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footer36.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2.xml" ContentType="application/vnd.openxmlformats-officedocument.wordprocessingml.footer+xml"/>
  <Override PartName="/word/header6.xml" ContentType="application/vnd.openxmlformats-officedocument.wordprocessingml.header+xml"/>
  <Override PartName="/word/footer31.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12.xml" ContentType="application/vnd.openxmlformats-officedocument.wordprocessingml.footer+xml"/>
  <Override PartName="/word/footer19.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9.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chart5.xml" ContentType="application/vnd.openxmlformats-officedocument.drawingml.chart+xml"/>
  <Override PartName="/word/charts/chart2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14.xml" ContentType="application/vnd.openxmlformats-officedocument.drawingml.chart+xml"/>
  <Override PartName="/word/charts/chart12.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charts/chart13.xml" ContentType="application/vnd.openxmlformats-officedocument.drawingml.chart+xml"/>
  <Override PartName="/word/charts/chart7.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7C89D" w14:textId="45C773B8" w:rsidR="00807215" w:rsidRDefault="00EB077F" w:rsidP="0060082A">
      <w:pPr>
        <w:spacing w:before="7000"/>
        <w:rPr>
          <w:b/>
          <w:sz w:val="32"/>
        </w:rPr>
      </w:pPr>
      <w:r>
        <w:rPr>
          <w:b/>
          <w:sz w:val="32"/>
        </w:rPr>
        <w:t>Kiribati Education Improvement Program Phase 2</w:t>
      </w:r>
    </w:p>
    <w:p w14:paraId="1E7BC7E1" w14:textId="2CB12254" w:rsidR="00EB077F" w:rsidRPr="0060082A" w:rsidRDefault="00EB077F" w:rsidP="00E60963">
      <w:pPr>
        <w:rPr>
          <w:b/>
          <w:sz w:val="56"/>
        </w:rPr>
      </w:pPr>
      <w:r w:rsidRPr="0060082A">
        <w:rPr>
          <w:b/>
          <w:sz w:val="56"/>
        </w:rPr>
        <w:t>Completion Report</w:t>
      </w:r>
    </w:p>
    <w:p w14:paraId="0DAFCF52" w14:textId="227ECA6F" w:rsidR="00EB077F" w:rsidRPr="0060082A" w:rsidRDefault="00EB077F" w:rsidP="00E60963">
      <w:pPr>
        <w:rPr>
          <w:b/>
          <w:sz w:val="44"/>
        </w:rPr>
      </w:pPr>
      <w:r w:rsidRPr="0060082A">
        <w:rPr>
          <w:b/>
          <w:sz w:val="44"/>
        </w:rPr>
        <w:t>April 2016</w:t>
      </w:r>
    </w:p>
    <w:p w14:paraId="438C4D64" w14:textId="15D4D875" w:rsidR="00EB077F" w:rsidRPr="0060082A" w:rsidRDefault="00EB077F" w:rsidP="0060082A">
      <w:pPr>
        <w:spacing w:before="5000"/>
        <w:rPr>
          <w:sz w:val="18"/>
        </w:rPr>
      </w:pPr>
      <w:r>
        <w:rPr>
          <w:b/>
          <w:noProof/>
          <w:sz w:val="32"/>
          <w:lang w:eastAsia="en-AU"/>
        </w:rPr>
        <w:drawing>
          <wp:anchor distT="0" distB="0" distL="114300" distR="114300" simplePos="0" relativeHeight="251749375" behindDoc="0" locked="0" layoutInCell="1" allowOverlap="1" wp14:anchorId="7A19DE51" wp14:editId="744AD8A2">
            <wp:simplePos x="0" y="0"/>
            <wp:positionH relativeFrom="margin">
              <wp:align>left</wp:align>
            </wp:positionH>
            <wp:positionV relativeFrom="paragraph">
              <wp:posOffset>2007235</wp:posOffset>
            </wp:positionV>
            <wp:extent cx="1546266" cy="694055"/>
            <wp:effectExtent l="0" t="0" r="0" b="0"/>
            <wp:wrapNone/>
            <wp:docPr id="6" name="Picture 6" descr="Australian Aid Identifier logo" title="Australian Aid Identifi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Aid Identifier colour.jpg"/>
                    <pic:cNvPicPr/>
                  </pic:nvPicPr>
                  <pic:blipFill>
                    <a:blip r:embed="rId9" cstate="screen">
                      <a:extLst>
                        <a:ext uri="{28A0092B-C50C-407E-A947-70E740481C1C}">
                          <a14:useLocalDpi xmlns:a14="http://schemas.microsoft.com/office/drawing/2010/main"/>
                        </a:ext>
                      </a:extLst>
                    </a:blip>
                    <a:stretch>
                      <a:fillRect/>
                    </a:stretch>
                  </pic:blipFill>
                  <pic:spPr>
                    <a:xfrm>
                      <a:off x="0" y="0"/>
                      <a:ext cx="1546266" cy="694055"/>
                    </a:xfrm>
                    <a:prstGeom prst="rect">
                      <a:avLst/>
                    </a:prstGeom>
                  </pic:spPr>
                </pic:pic>
              </a:graphicData>
            </a:graphic>
            <wp14:sizeRelH relativeFrom="page">
              <wp14:pctWidth>0</wp14:pctWidth>
            </wp14:sizeRelH>
            <wp14:sizeRelV relativeFrom="page">
              <wp14:pctHeight>0</wp14:pctHeight>
            </wp14:sizeRelV>
          </wp:anchor>
        </w:drawing>
      </w:r>
      <w:r w:rsidRPr="0060082A">
        <w:rPr>
          <w:sz w:val="18"/>
        </w:rPr>
        <w:t>Kiribati Education Facility is managed by Coffey, a Tetra Tech company, on behalf of the Australian Government</w:t>
      </w:r>
    </w:p>
    <w:p w14:paraId="386942F4" w14:textId="32BE3C69" w:rsidR="007750E6" w:rsidRPr="00C918BF" w:rsidRDefault="007750E6" w:rsidP="00E60963">
      <w:pPr>
        <w:sectPr w:rsidR="007750E6" w:rsidRPr="00C918BF" w:rsidSect="001776DC">
          <w:headerReference w:type="even" r:id="rId10"/>
          <w:headerReference w:type="default" r:id="rId11"/>
          <w:footerReference w:type="even" r:id="rId12"/>
          <w:footerReference w:type="default" r:id="rId13"/>
          <w:headerReference w:type="first" r:id="rId14"/>
          <w:footerReference w:type="first" r:id="rId15"/>
          <w:pgSz w:w="11906" w:h="16838" w:code="9"/>
          <w:pgMar w:top="851" w:right="1304" w:bottom="1304" w:left="1304" w:header="709" w:footer="709" w:gutter="0"/>
          <w:cols w:space="708"/>
          <w:docGrid w:linePitch="360"/>
        </w:sectPr>
      </w:pPr>
    </w:p>
    <w:bookmarkStart w:id="0" w:name="_Toc449697089" w:displacedByCustomXml="next"/>
    <w:bookmarkStart w:id="1" w:name="_Toc453665705" w:displacedByCustomXml="next"/>
    <w:bookmarkStart w:id="2" w:name="_Toc453669669" w:displacedByCustomXml="next"/>
    <w:bookmarkStart w:id="3" w:name="_Toc461615665" w:displacedByCustomXml="next"/>
    <w:sdt>
      <w:sdtPr>
        <w:rPr>
          <w:rFonts w:asciiTheme="minorHAnsi" w:hAnsiTheme="minorHAnsi" w:cstheme="minorBidi"/>
          <w:b w:val="0"/>
          <w:noProof/>
          <w:color w:val="auto"/>
          <w:sz w:val="20"/>
          <w:szCs w:val="20"/>
        </w:rPr>
        <w:id w:val="176011488"/>
        <w:docPartObj>
          <w:docPartGallery w:val="Table of Contents"/>
          <w:docPartUnique/>
        </w:docPartObj>
      </w:sdtPr>
      <w:sdtEndPr>
        <w:rPr>
          <w:b/>
          <w:szCs w:val="22"/>
        </w:rPr>
      </w:sdtEndPr>
      <w:sdtContent>
        <w:p w14:paraId="393A5D23" w14:textId="77777777" w:rsidR="007627F4" w:rsidRPr="00C918BF" w:rsidRDefault="007627F4" w:rsidP="00D02244">
          <w:pPr>
            <w:pStyle w:val="Heading1"/>
            <w:rPr>
              <w:color w:val="auto"/>
            </w:rPr>
          </w:pPr>
          <w:r w:rsidRPr="00C918BF">
            <w:rPr>
              <w:color w:val="auto"/>
            </w:rPr>
            <w:t>Contents</w:t>
          </w:r>
          <w:bookmarkEnd w:id="3"/>
          <w:bookmarkEnd w:id="2"/>
          <w:bookmarkEnd w:id="1"/>
          <w:bookmarkEnd w:id="0"/>
        </w:p>
        <w:p w14:paraId="24EDF040" w14:textId="427F44D9" w:rsidR="00814472" w:rsidRPr="00C918BF" w:rsidRDefault="00326449">
          <w:pPr>
            <w:pStyle w:val="TOC1"/>
            <w:rPr>
              <w:rFonts w:eastAsiaTheme="minorEastAsia"/>
              <w:b w:val="0"/>
              <w:sz w:val="22"/>
              <w:lang w:eastAsia="en-AU"/>
            </w:rPr>
          </w:pPr>
          <w:r w:rsidRPr="00C918BF">
            <w:fldChar w:fldCharType="begin"/>
          </w:r>
          <w:r w:rsidR="007627F4" w:rsidRPr="00C918BF">
            <w:instrText xml:space="preserve"> TOC \o "1-3" \h \z \u </w:instrText>
          </w:r>
          <w:r w:rsidRPr="00C918BF">
            <w:fldChar w:fldCharType="separate"/>
          </w:r>
          <w:hyperlink w:anchor="_Toc453669672" w:history="1">
            <w:r w:rsidR="00814472" w:rsidRPr="00C918BF">
              <w:rPr>
                <w:rStyle w:val="Hyperlink"/>
              </w:rPr>
              <w:t xml:space="preserve">Map of schools rehabilitated in Phase </w:t>
            </w:r>
            <w:r w:rsidR="00B37262">
              <w:rPr>
                <w:rStyle w:val="Hyperlink"/>
              </w:rPr>
              <w:t>2</w:t>
            </w:r>
            <w:r w:rsidR="00814472" w:rsidRPr="00C918BF">
              <w:rPr>
                <w:webHidden/>
              </w:rPr>
              <w:tab/>
            </w:r>
            <w:r w:rsidR="00814472" w:rsidRPr="00C918BF">
              <w:rPr>
                <w:webHidden/>
              </w:rPr>
              <w:fldChar w:fldCharType="begin"/>
            </w:r>
            <w:r w:rsidR="00814472" w:rsidRPr="00C918BF">
              <w:rPr>
                <w:webHidden/>
              </w:rPr>
              <w:instrText xml:space="preserve"> PAGEREF _Toc453669672 \h </w:instrText>
            </w:r>
            <w:r w:rsidR="00814472" w:rsidRPr="00C918BF">
              <w:rPr>
                <w:webHidden/>
              </w:rPr>
            </w:r>
            <w:r w:rsidR="00814472" w:rsidRPr="00C918BF">
              <w:rPr>
                <w:webHidden/>
              </w:rPr>
              <w:fldChar w:fldCharType="separate"/>
            </w:r>
            <w:r w:rsidR="00551D83">
              <w:rPr>
                <w:webHidden/>
              </w:rPr>
              <w:t>iv</w:t>
            </w:r>
            <w:r w:rsidR="00814472" w:rsidRPr="00C918BF">
              <w:rPr>
                <w:webHidden/>
              </w:rPr>
              <w:fldChar w:fldCharType="end"/>
            </w:r>
          </w:hyperlink>
        </w:p>
        <w:p w14:paraId="57268716" w14:textId="073F1BCD" w:rsidR="00814472" w:rsidRPr="00C918BF" w:rsidRDefault="00B951C4">
          <w:pPr>
            <w:pStyle w:val="TOC1"/>
            <w:rPr>
              <w:rFonts w:eastAsiaTheme="minorEastAsia"/>
              <w:b w:val="0"/>
              <w:sz w:val="22"/>
              <w:lang w:eastAsia="en-AU"/>
            </w:rPr>
          </w:pPr>
          <w:hyperlink w:anchor="_Toc453669673" w:history="1">
            <w:r w:rsidR="00814472" w:rsidRPr="00C918BF">
              <w:rPr>
                <w:rStyle w:val="Hyperlink"/>
              </w:rPr>
              <w:t>Infographic</w:t>
            </w:r>
            <w:r w:rsidR="00814472" w:rsidRPr="00C918BF">
              <w:rPr>
                <w:webHidden/>
              </w:rPr>
              <w:tab/>
            </w:r>
          </w:hyperlink>
          <w:r w:rsidR="00EF6F2C">
            <w:t>v</w:t>
          </w:r>
        </w:p>
        <w:p w14:paraId="7C194DE6" w14:textId="77777777" w:rsidR="00814472" w:rsidRPr="00C918BF" w:rsidRDefault="00B951C4">
          <w:pPr>
            <w:pStyle w:val="TOC1"/>
            <w:rPr>
              <w:rFonts w:eastAsiaTheme="minorEastAsia"/>
              <w:b w:val="0"/>
              <w:sz w:val="22"/>
              <w:lang w:eastAsia="en-AU"/>
            </w:rPr>
          </w:pPr>
          <w:hyperlink w:anchor="_Toc453669674" w:history="1">
            <w:r w:rsidR="00814472" w:rsidRPr="00C918BF">
              <w:rPr>
                <w:rStyle w:val="Hyperlink"/>
              </w:rPr>
              <w:t>1</w:t>
            </w:r>
            <w:r w:rsidR="00814472" w:rsidRPr="00C918BF">
              <w:rPr>
                <w:rFonts w:eastAsiaTheme="minorEastAsia"/>
                <w:b w:val="0"/>
                <w:sz w:val="22"/>
                <w:lang w:eastAsia="en-AU"/>
              </w:rPr>
              <w:tab/>
            </w:r>
            <w:r w:rsidR="00814472" w:rsidRPr="00C918BF">
              <w:rPr>
                <w:rStyle w:val="Hyperlink"/>
              </w:rPr>
              <w:t>Introduction</w:t>
            </w:r>
            <w:r w:rsidR="00814472" w:rsidRPr="00C918BF">
              <w:rPr>
                <w:webHidden/>
              </w:rPr>
              <w:tab/>
            </w:r>
            <w:r w:rsidR="00814472" w:rsidRPr="00C918BF">
              <w:rPr>
                <w:webHidden/>
              </w:rPr>
              <w:fldChar w:fldCharType="begin"/>
            </w:r>
            <w:r w:rsidR="00814472" w:rsidRPr="00C918BF">
              <w:rPr>
                <w:webHidden/>
              </w:rPr>
              <w:instrText xml:space="preserve"> PAGEREF _Toc453669674 \h </w:instrText>
            </w:r>
            <w:r w:rsidR="00814472" w:rsidRPr="00C918BF">
              <w:rPr>
                <w:webHidden/>
              </w:rPr>
            </w:r>
            <w:r w:rsidR="00814472" w:rsidRPr="00C918BF">
              <w:rPr>
                <w:webHidden/>
              </w:rPr>
              <w:fldChar w:fldCharType="separate"/>
            </w:r>
            <w:r w:rsidR="00551D83">
              <w:rPr>
                <w:webHidden/>
              </w:rPr>
              <w:t>1</w:t>
            </w:r>
            <w:r w:rsidR="00814472" w:rsidRPr="00C918BF">
              <w:rPr>
                <w:webHidden/>
              </w:rPr>
              <w:fldChar w:fldCharType="end"/>
            </w:r>
          </w:hyperlink>
        </w:p>
        <w:p w14:paraId="71CE7ADF" w14:textId="77777777" w:rsidR="00814472" w:rsidRPr="00C918BF" w:rsidRDefault="00B951C4" w:rsidP="00814472">
          <w:pPr>
            <w:pStyle w:val="TOC2"/>
            <w:rPr>
              <w:rFonts w:eastAsiaTheme="minorEastAsia"/>
              <w:spacing w:val="0"/>
              <w:sz w:val="22"/>
              <w:szCs w:val="22"/>
              <w:lang w:eastAsia="en-AU"/>
            </w:rPr>
          </w:pPr>
          <w:hyperlink w:anchor="_Toc453669675" w:history="1">
            <w:r w:rsidR="00814472" w:rsidRPr="00C918BF">
              <w:rPr>
                <w:rStyle w:val="Hyperlink"/>
              </w:rPr>
              <w:t>1.1</w:t>
            </w:r>
            <w:r w:rsidR="00814472" w:rsidRPr="00C918BF">
              <w:rPr>
                <w:rFonts w:eastAsiaTheme="minorEastAsia"/>
                <w:spacing w:val="0"/>
                <w:sz w:val="22"/>
                <w:szCs w:val="22"/>
                <w:lang w:eastAsia="en-AU"/>
              </w:rPr>
              <w:tab/>
            </w:r>
            <w:r w:rsidR="00814472" w:rsidRPr="00C918BF">
              <w:rPr>
                <w:rStyle w:val="Hyperlink"/>
              </w:rPr>
              <w:t>The KEIP Investment Overview</w:t>
            </w:r>
            <w:r w:rsidR="00814472" w:rsidRPr="00C918BF">
              <w:rPr>
                <w:webHidden/>
              </w:rPr>
              <w:tab/>
            </w:r>
            <w:r w:rsidR="00814472" w:rsidRPr="00C918BF">
              <w:rPr>
                <w:webHidden/>
              </w:rPr>
              <w:fldChar w:fldCharType="begin"/>
            </w:r>
            <w:r w:rsidR="00814472" w:rsidRPr="00C918BF">
              <w:rPr>
                <w:webHidden/>
              </w:rPr>
              <w:instrText xml:space="preserve"> PAGEREF _Toc453669675 \h </w:instrText>
            </w:r>
            <w:r w:rsidR="00814472" w:rsidRPr="00C918BF">
              <w:rPr>
                <w:webHidden/>
              </w:rPr>
            </w:r>
            <w:r w:rsidR="00814472" w:rsidRPr="00C918BF">
              <w:rPr>
                <w:webHidden/>
              </w:rPr>
              <w:fldChar w:fldCharType="separate"/>
            </w:r>
            <w:r w:rsidR="00551D83">
              <w:rPr>
                <w:webHidden/>
              </w:rPr>
              <w:t>1</w:t>
            </w:r>
            <w:r w:rsidR="00814472" w:rsidRPr="00C918BF">
              <w:rPr>
                <w:webHidden/>
              </w:rPr>
              <w:fldChar w:fldCharType="end"/>
            </w:r>
          </w:hyperlink>
        </w:p>
        <w:p w14:paraId="194CA2B1" w14:textId="27811D8A" w:rsidR="00814472" w:rsidRPr="00C918BF" w:rsidRDefault="00B951C4" w:rsidP="00814472">
          <w:pPr>
            <w:pStyle w:val="TOC2"/>
            <w:rPr>
              <w:rFonts w:eastAsiaTheme="minorEastAsia"/>
              <w:spacing w:val="0"/>
              <w:sz w:val="22"/>
              <w:szCs w:val="22"/>
              <w:lang w:eastAsia="en-AU"/>
            </w:rPr>
          </w:pPr>
          <w:hyperlink w:anchor="_Toc453669676" w:history="1">
            <w:r w:rsidR="00814472" w:rsidRPr="00C918BF">
              <w:rPr>
                <w:rStyle w:val="Hyperlink"/>
              </w:rPr>
              <w:t xml:space="preserve">1.2 </w:t>
            </w:r>
            <w:r w:rsidR="00814472" w:rsidRPr="00C918BF">
              <w:rPr>
                <w:rFonts w:eastAsiaTheme="minorEastAsia"/>
                <w:spacing w:val="0"/>
                <w:sz w:val="22"/>
                <w:szCs w:val="22"/>
                <w:lang w:eastAsia="en-AU"/>
              </w:rPr>
              <w:tab/>
            </w:r>
            <w:r w:rsidR="00814472" w:rsidRPr="00C918BF">
              <w:rPr>
                <w:rStyle w:val="Hyperlink"/>
              </w:rPr>
              <w:t xml:space="preserve">Structure of the KEIP Phase </w:t>
            </w:r>
            <w:r w:rsidR="000A49FE">
              <w:rPr>
                <w:rStyle w:val="Hyperlink"/>
              </w:rPr>
              <w:t>2</w:t>
            </w:r>
            <w:r w:rsidR="00814472" w:rsidRPr="00C918BF">
              <w:rPr>
                <w:rStyle w:val="Hyperlink"/>
              </w:rPr>
              <w:t xml:space="preserve"> Completion Report</w:t>
            </w:r>
            <w:r w:rsidR="00814472" w:rsidRPr="00C918BF">
              <w:rPr>
                <w:webHidden/>
              </w:rPr>
              <w:tab/>
            </w:r>
            <w:r w:rsidR="00814472" w:rsidRPr="00C918BF">
              <w:rPr>
                <w:webHidden/>
              </w:rPr>
              <w:fldChar w:fldCharType="begin"/>
            </w:r>
            <w:r w:rsidR="00814472" w:rsidRPr="00C918BF">
              <w:rPr>
                <w:webHidden/>
              </w:rPr>
              <w:instrText xml:space="preserve"> PAGEREF _Toc453669676 \h </w:instrText>
            </w:r>
            <w:r w:rsidR="00814472" w:rsidRPr="00C918BF">
              <w:rPr>
                <w:webHidden/>
              </w:rPr>
            </w:r>
            <w:r w:rsidR="00814472" w:rsidRPr="00C918BF">
              <w:rPr>
                <w:webHidden/>
              </w:rPr>
              <w:fldChar w:fldCharType="separate"/>
            </w:r>
            <w:r w:rsidR="00551D83">
              <w:rPr>
                <w:webHidden/>
              </w:rPr>
              <w:t>4</w:t>
            </w:r>
            <w:r w:rsidR="00814472" w:rsidRPr="00C918BF">
              <w:rPr>
                <w:webHidden/>
              </w:rPr>
              <w:fldChar w:fldCharType="end"/>
            </w:r>
          </w:hyperlink>
        </w:p>
        <w:p w14:paraId="2C0A2683" w14:textId="77777777" w:rsidR="00814472" w:rsidRPr="00C918BF" w:rsidRDefault="00B951C4" w:rsidP="00814472">
          <w:pPr>
            <w:pStyle w:val="TOC2"/>
            <w:rPr>
              <w:rFonts w:eastAsiaTheme="minorEastAsia"/>
              <w:spacing w:val="0"/>
              <w:sz w:val="22"/>
              <w:szCs w:val="22"/>
              <w:lang w:eastAsia="en-AU"/>
            </w:rPr>
          </w:pPr>
          <w:hyperlink w:anchor="_Toc453669677" w:history="1">
            <w:r w:rsidR="00814472" w:rsidRPr="00C918BF">
              <w:rPr>
                <w:rStyle w:val="Hyperlink"/>
              </w:rPr>
              <w:t xml:space="preserve">1.3 </w:t>
            </w:r>
            <w:r w:rsidR="00814472" w:rsidRPr="00C918BF">
              <w:rPr>
                <w:rFonts w:eastAsiaTheme="minorEastAsia"/>
                <w:spacing w:val="0"/>
                <w:sz w:val="22"/>
                <w:szCs w:val="22"/>
                <w:lang w:eastAsia="en-AU"/>
              </w:rPr>
              <w:tab/>
            </w:r>
            <w:r w:rsidR="00814472" w:rsidRPr="00C918BF">
              <w:rPr>
                <w:rStyle w:val="Hyperlink"/>
              </w:rPr>
              <w:t>The Objectives of KEIP</w:t>
            </w:r>
            <w:r w:rsidR="00814472" w:rsidRPr="00C918BF">
              <w:rPr>
                <w:webHidden/>
              </w:rPr>
              <w:tab/>
            </w:r>
            <w:r w:rsidR="00814472" w:rsidRPr="00C918BF">
              <w:rPr>
                <w:webHidden/>
              </w:rPr>
              <w:fldChar w:fldCharType="begin"/>
            </w:r>
            <w:r w:rsidR="00814472" w:rsidRPr="00C918BF">
              <w:rPr>
                <w:webHidden/>
              </w:rPr>
              <w:instrText xml:space="preserve"> PAGEREF _Toc453669677 \h </w:instrText>
            </w:r>
            <w:r w:rsidR="00814472" w:rsidRPr="00C918BF">
              <w:rPr>
                <w:webHidden/>
              </w:rPr>
            </w:r>
            <w:r w:rsidR="00814472" w:rsidRPr="00C918BF">
              <w:rPr>
                <w:webHidden/>
              </w:rPr>
              <w:fldChar w:fldCharType="separate"/>
            </w:r>
            <w:r w:rsidR="00551D83">
              <w:rPr>
                <w:webHidden/>
              </w:rPr>
              <w:t>5</w:t>
            </w:r>
            <w:r w:rsidR="00814472" w:rsidRPr="00C918BF">
              <w:rPr>
                <w:webHidden/>
              </w:rPr>
              <w:fldChar w:fldCharType="end"/>
            </w:r>
          </w:hyperlink>
        </w:p>
        <w:p w14:paraId="1C742AA3" w14:textId="1F56EF68" w:rsidR="00814472" w:rsidRPr="00C918BF" w:rsidRDefault="00B951C4" w:rsidP="00814472">
          <w:pPr>
            <w:pStyle w:val="TOC2"/>
            <w:rPr>
              <w:rFonts w:eastAsiaTheme="minorEastAsia"/>
              <w:spacing w:val="0"/>
              <w:sz w:val="22"/>
              <w:szCs w:val="22"/>
              <w:lang w:eastAsia="en-AU"/>
            </w:rPr>
          </w:pPr>
          <w:hyperlink w:anchor="_Toc453669678" w:history="1">
            <w:r w:rsidR="00814472" w:rsidRPr="00C918BF">
              <w:rPr>
                <w:rStyle w:val="Hyperlink"/>
              </w:rPr>
              <w:t>1.4</w:t>
            </w:r>
            <w:r w:rsidR="00814472" w:rsidRPr="00C918BF">
              <w:rPr>
                <w:rFonts w:eastAsiaTheme="minorEastAsia"/>
                <w:spacing w:val="0"/>
                <w:sz w:val="22"/>
                <w:szCs w:val="22"/>
                <w:lang w:eastAsia="en-AU"/>
              </w:rPr>
              <w:tab/>
            </w:r>
            <w:r w:rsidR="00814472" w:rsidRPr="00C918BF">
              <w:rPr>
                <w:rStyle w:val="Hyperlink"/>
              </w:rPr>
              <w:t xml:space="preserve">Key Achievements of KEIP during Phase </w:t>
            </w:r>
            <w:r w:rsidR="000A49FE">
              <w:rPr>
                <w:rStyle w:val="Hyperlink"/>
              </w:rPr>
              <w:t>2</w:t>
            </w:r>
            <w:r w:rsidR="00814472" w:rsidRPr="00C918BF">
              <w:rPr>
                <w:webHidden/>
              </w:rPr>
              <w:tab/>
            </w:r>
            <w:r w:rsidR="00814472" w:rsidRPr="00C918BF">
              <w:rPr>
                <w:webHidden/>
              </w:rPr>
              <w:fldChar w:fldCharType="begin"/>
            </w:r>
            <w:r w:rsidR="00814472" w:rsidRPr="00C918BF">
              <w:rPr>
                <w:webHidden/>
              </w:rPr>
              <w:instrText xml:space="preserve"> PAGEREF _Toc453669678 \h </w:instrText>
            </w:r>
            <w:r w:rsidR="00814472" w:rsidRPr="00C918BF">
              <w:rPr>
                <w:webHidden/>
              </w:rPr>
            </w:r>
            <w:r w:rsidR="00814472" w:rsidRPr="00C918BF">
              <w:rPr>
                <w:webHidden/>
              </w:rPr>
              <w:fldChar w:fldCharType="separate"/>
            </w:r>
            <w:r w:rsidR="00551D83">
              <w:rPr>
                <w:webHidden/>
              </w:rPr>
              <w:t>8</w:t>
            </w:r>
            <w:r w:rsidR="00814472" w:rsidRPr="00C918BF">
              <w:rPr>
                <w:webHidden/>
              </w:rPr>
              <w:fldChar w:fldCharType="end"/>
            </w:r>
          </w:hyperlink>
        </w:p>
        <w:p w14:paraId="2F9467C9" w14:textId="77777777" w:rsidR="00814472" w:rsidRPr="00C918BF" w:rsidRDefault="00B951C4">
          <w:pPr>
            <w:pStyle w:val="TOC1"/>
            <w:rPr>
              <w:rFonts w:eastAsiaTheme="minorEastAsia"/>
              <w:b w:val="0"/>
              <w:sz w:val="22"/>
              <w:lang w:eastAsia="en-AU"/>
            </w:rPr>
          </w:pPr>
          <w:hyperlink w:anchor="_Toc453669679" w:history="1">
            <w:r w:rsidR="00814472" w:rsidRPr="00C918BF">
              <w:rPr>
                <w:rStyle w:val="Hyperlink"/>
              </w:rPr>
              <w:t>2</w:t>
            </w:r>
            <w:r w:rsidR="00814472" w:rsidRPr="00C918BF">
              <w:rPr>
                <w:rFonts w:eastAsiaTheme="minorEastAsia"/>
                <w:b w:val="0"/>
                <w:sz w:val="22"/>
                <w:lang w:eastAsia="en-AU"/>
              </w:rPr>
              <w:tab/>
            </w:r>
            <w:r w:rsidR="00814472" w:rsidRPr="00C918BF">
              <w:rPr>
                <w:rStyle w:val="Hyperlink"/>
              </w:rPr>
              <w:t>Key Results and Activities</w:t>
            </w:r>
            <w:r w:rsidR="00814472" w:rsidRPr="00C918BF">
              <w:rPr>
                <w:webHidden/>
              </w:rPr>
              <w:tab/>
            </w:r>
            <w:r w:rsidR="00814472" w:rsidRPr="00C918BF">
              <w:rPr>
                <w:webHidden/>
              </w:rPr>
              <w:fldChar w:fldCharType="begin"/>
            </w:r>
            <w:r w:rsidR="00814472" w:rsidRPr="00C918BF">
              <w:rPr>
                <w:webHidden/>
              </w:rPr>
              <w:instrText xml:space="preserve"> PAGEREF _Toc453669679 \h </w:instrText>
            </w:r>
            <w:r w:rsidR="00814472" w:rsidRPr="00C918BF">
              <w:rPr>
                <w:webHidden/>
              </w:rPr>
            </w:r>
            <w:r w:rsidR="00814472" w:rsidRPr="00C918BF">
              <w:rPr>
                <w:webHidden/>
              </w:rPr>
              <w:fldChar w:fldCharType="separate"/>
            </w:r>
            <w:r w:rsidR="00551D83">
              <w:rPr>
                <w:webHidden/>
              </w:rPr>
              <w:t>12</w:t>
            </w:r>
            <w:r w:rsidR="00814472" w:rsidRPr="00C918BF">
              <w:rPr>
                <w:webHidden/>
              </w:rPr>
              <w:fldChar w:fldCharType="end"/>
            </w:r>
          </w:hyperlink>
        </w:p>
        <w:p w14:paraId="6B5E692D" w14:textId="5B2CC457" w:rsidR="00814472" w:rsidRPr="00C918BF" w:rsidRDefault="00B951C4" w:rsidP="00814472">
          <w:pPr>
            <w:pStyle w:val="TOC2"/>
            <w:rPr>
              <w:rFonts w:eastAsiaTheme="minorEastAsia"/>
              <w:sz w:val="22"/>
              <w:szCs w:val="22"/>
              <w:lang w:eastAsia="en-AU"/>
            </w:rPr>
          </w:pPr>
          <w:hyperlink w:anchor="_Toc453669680" w:history="1">
            <w:r w:rsidR="00814472" w:rsidRPr="00C918BF">
              <w:rPr>
                <w:rStyle w:val="Hyperlink"/>
                <w:spacing w:val="2"/>
              </w:rPr>
              <w:t xml:space="preserve">2.1 </w:t>
            </w:r>
            <w:r w:rsidR="00814472" w:rsidRPr="00C918BF">
              <w:rPr>
                <w:rFonts w:eastAsiaTheme="minorEastAsia"/>
                <w:sz w:val="22"/>
                <w:szCs w:val="22"/>
                <w:lang w:eastAsia="en-AU"/>
              </w:rPr>
              <w:tab/>
            </w:r>
            <w:r w:rsidR="00814472" w:rsidRPr="00C918BF">
              <w:rPr>
                <w:rStyle w:val="Hyperlink"/>
                <w:spacing w:val="2"/>
              </w:rPr>
              <w:t xml:space="preserve">Intermediate Outcome 1: Improved classroom teaching and learning for all children in </w:t>
            </w:r>
            <w:r w:rsidR="00814472" w:rsidRPr="00C918BF">
              <w:rPr>
                <w:rStyle w:val="Hyperlink"/>
              </w:rPr>
              <w:br/>
            </w:r>
            <w:r w:rsidR="00814472" w:rsidRPr="00C918BF">
              <w:rPr>
                <w:rStyle w:val="Hyperlink"/>
                <w:spacing w:val="2"/>
              </w:rPr>
              <w:t>Years 1-4</w:t>
            </w:r>
            <w:r w:rsidR="00814472" w:rsidRPr="00C918BF">
              <w:rPr>
                <w:webHidden/>
              </w:rPr>
              <w:tab/>
            </w:r>
            <w:r w:rsidR="00814472" w:rsidRPr="00C918BF">
              <w:rPr>
                <w:webHidden/>
              </w:rPr>
              <w:fldChar w:fldCharType="begin"/>
            </w:r>
            <w:r w:rsidR="00814472" w:rsidRPr="00C918BF">
              <w:rPr>
                <w:webHidden/>
              </w:rPr>
              <w:instrText xml:space="preserve"> PAGEREF _Toc453669680 \h </w:instrText>
            </w:r>
            <w:r w:rsidR="00814472" w:rsidRPr="00C918BF">
              <w:rPr>
                <w:webHidden/>
              </w:rPr>
            </w:r>
            <w:r w:rsidR="00814472" w:rsidRPr="00C918BF">
              <w:rPr>
                <w:webHidden/>
              </w:rPr>
              <w:fldChar w:fldCharType="separate"/>
            </w:r>
            <w:r w:rsidR="00551D83">
              <w:rPr>
                <w:webHidden/>
              </w:rPr>
              <w:t>12</w:t>
            </w:r>
            <w:r w:rsidR="00814472" w:rsidRPr="00C918BF">
              <w:rPr>
                <w:webHidden/>
              </w:rPr>
              <w:fldChar w:fldCharType="end"/>
            </w:r>
          </w:hyperlink>
        </w:p>
        <w:p w14:paraId="1FF5D76A" w14:textId="77777777" w:rsidR="00814472" w:rsidRPr="00C918BF" w:rsidRDefault="00B951C4">
          <w:pPr>
            <w:pStyle w:val="TOC3"/>
            <w:rPr>
              <w:sz w:val="22"/>
              <w:szCs w:val="22"/>
              <w:lang w:eastAsia="en-AU"/>
            </w:rPr>
          </w:pPr>
          <w:hyperlink w:anchor="_Toc453669681" w:history="1">
            <w:r w:rsidR="00814472" w:rsidRPr="00C918BF">
              <w:rPr>
                <w:rStyle w:val="Hyperlink"/>
                <w:spacing w:val="-2"/>
              </w:rPr>
              <w:t>2.1.1</w:t>
            </w:r>
            <w:r w:rsidR="00814472" w:rsidRPr="00C918BF">
              <w:rPr>
                <w:sz w:val="22"/>
                <w:szCs w:val="22"/>
                <w:lang w:eastAsia="en-AU"/>
              </w:rPr>
              <w:tab/>
            </w:r>
            <w:r w:rsidR="00814472" w:rsidRPr="00C918BF">
              <w:rPr>
                <w:rStyle w:val="Hyperlink"/>
                <w:spacing w:val="-2"/>
              </w:rPr>
              <w:t>Output 1.1: All children in Years 1-4 have access to the new curriculum and materials</w:t>
            </w:r>
            <w:r w:rsidR="00814472" w:rsidRPr="00C918BF">
              <w:rPr>
                <w:webHidden/>
              </w:rPr>
              <w:tab/>
            </w:r>
            <w:r w:rsidR="00814472" w:rsidRPr="00C918BF">
              <w:rPr>
                <w:webHidden/>
              </w:rPr>
              <w:fldChar w:fldCharType="begin"/>
            </w:r>
            <w:r w:rsidR="00814472" w:rsidRPr="00C918BF">
              <w:rPr>
                <w:webHidden/>
              </w:rPr>
              <w:instrText xml:space="preserve"> PAGEREF _Toc453669681 \h </w:instrText>
            </w:r>
            <w:r w:rsidR="00814472" w:rsidRPr="00C918BF">
              <w:rPr>
                <w:webHidden/>
              </w:rPr>
            </w:r>
            <w:r w:rsidR="00814472" w:rsidRPr="00C918BF">
              <w:rPr>
                <w:webHidden/>
              </w:rPr>
              <w:fldChar w:fldCharType="separate"/>
            </w:r>
            <w:r w:rsidR="00551D83">
              <w:rPr>
                <w:webHidden/>
              </w:rPr>
              <w:t>12</w:t>
            </w:r>
            <w:r w:rsidR="00814472" w:rsidRPr="00C918BF">
              <w:rPr>
                <w:webHidden/>
              </w:rPr>
              <w:fldChar w:fldCharType="end"/>
            </w:r>
          </w:hyperlink>
        </w:p>
        <w:p w14:paraId="3555BEEC" w14:textId="652B2C11" w:rsidR="00814472" w:rsidRPr="00C918BF" w:rsidRDefault="00B951C4">
          <w:pPr>
            <w:pStyle w:val="TOC3"/>
            <w:rPr>
              <w:sz w:val="22"/>
              <w:szCs w:val="22"/>
              <w:lang w:eastAsia="en-AU"/>
            </w:rPr>
          </w:pPr>
          <w:hyperlink w:anchor="_Toc453669682" w:history="1">
            <w:r w:rsidR="00814472" w:rsidRPr="00C918BF">
              <w:rPr>
                <w:rStyle w:val="Hyperlink"/>
              </w:rPr>
              <w:t xml:space="preserve">2.1.2 </w:t>
            </w:r>
            <w:r w:rsidR="00814472" w:rsidRPr="00C918BF">
              <w:rPr>
                <w:sz w:val="22"/>
                <w:szCs w:val="22"/>
                <w:lang w:eastAsia="en-AU"/>
              </w:rPr>
              <w:tab/>
            </w:r>
            <w:r w:rsidR="00814472" w:rsidRPr="00C918BF">
              <w:rPr>
                <w:rStyle w:val="Hyperlink"/>
              </w:rPr>
              <w:t xml:space="preserve">Output 1.2: All teachers of single and multi-grade classes in Years 1-4 have capacity </w:t>
            </w:r>
            <w:r w:rsidR="00814472" w:rsidRPr="00C918BF">
              <w:rPr>
                <w:rStyle w:val="Hyperlink"/>
              </w:rPr>
              <w:br/>
              <w:t>to develop children’s Te-Kiribati language, literacy and numeracy skills</w:t>
            </w:r>
            <w:r w:rsidR="00814472" w:rsidRPr="00C918BF">
              <w:rPr>
                <w:webHidden/>
              </w:rPr>
              <w:tab/>
            </w:r>
            <w:r w:rsidR="00814472" w:rsidRPr="00C918BF">
              <w:rPr>
                <w:webHidden/>
              </w:rPr>
              <w:fldChar w:fldCharType="begin"/>
            </w:r>
            <w:r w:rsidR="00814472" w:rsidRPr="00C918BF">
              <w:rPr>
                <w:webHidden/>
              </w:rPr>
              <w:instrText xml:space="preserve"> PAGEREF _Toc453669682 \h </w:instrText>
            </w:r>
            <w:r w:rsidR="00814472" w:rsidRPr="00C918BF">
              <w:rPr>
                <w:webHidden/>
              </w:rPr>
            </w:r>
            <w:r w:rsidR="00814472" w:rsidRPr="00C918BF">
              <w:rPr>
                <w:webHidden/>
              </w:rPr>
              <w:fldChar w:fldCharType="separate"/>
            </w:r>
            <w:r w:rsidR="00551D83">
              <w:rPr>
                <w:webHidden/>
              </w:rPr>
              <w:t>14</w:t>
            </w:r>
            <w:r w:rsidR="00814472" w:rsidRPr="00C918BF">
              <w:rPr>
                <w:webHidden/>
              </w:rPr>
              <w:fldChar w:fldCharType="end"/>
            </w:r>
          </w:hyperlink>
        </w:p>
        <w:p w14:paraId="358A2D2A" w14:textId="4446665C" w:rsidR="00814472" w:rsidRPr="00C918BF" w:rsidRDefault="00B951C4">
          <w:pPr>
            <w:pStyle w:val="TOC3"/>
            <w:rPr>
              <w:sz w:val="22"/>
              <w:szCs w:val="22"/>
              <w:lang w:eastAsia="en-AU"/>
            </w:rPr>
          </w:pPr>
          <w:hyperlink w:anchor="_Toc453669683" w:history="1">
            <w:r w:rsidR="00814472" w:rsidRPr="00C918BF">
              <w:rPr>
                <w:rStyle w:val="Hyperlink"/>
              </w:rPr>
              <w:t xml:space="preserve">2.1.3 </w:t>
            </w:r>
            <w:r w:rsidR="00814472" w:rsidRPr="00C918BF">
              <w:rPr>
                <w:sz w:val="22"/>
                <w:szCs w:val="22"/>
                <w:lang w:eastAsia="en-AU"/>
              </w:rPr>
              <w:tab/>
            </w:r>
            <w:r w:rsidR="00814472" w:rsidRPr="00C918BF">
              <w:rPr>
                <w:rStyle w:val="Hyperlink"/>
              </w:rPr>
              <w:t>Output 1.3: More children are learning in rehabilitated classrooms</w:t>
            </w:r>
            <w:r w:rsidR="00814472" w:rsidRPr="00C918BF">
              <w:rPr>
                <w:webHidden/>
              </w:rPr>
              <w:tab/>
            </w:r>
            <w:r w:rsidR="00814472" w:rsidRPr="00C918BF">
              <w:rPr>
                <w:webHidden/>
              </w:rPr>
              <w:fldChar w:fldCharType="begin"/>
            </w:r>
            <w:r w:rsidR="00814472" w:rsidRPr="00C918BF">
              <w:rPr>
                <w:webHidden/>
              </w:rPr>
              <w:instrText xml:space="preserve"> PAGEREF _Toc453669683 \h </w:instrText>
            </w:r>
            <w:r w:rsidR="00814472" w:rsidRPr="00C918BF">
              <w:rPr>
                <w:webHidden/>
              </w:rPr>
            </w:r>
            <w:r w:rsidR="00814472" w:rsidRPr="00C918BF">
              <w:rPr>
                <w:webHidden/>
              </w:rPr>
              <w:fldChar w:fldCharType="separate"/>
            </w:r>
            <w:r w:rsidR="00551D83">
              <w:rPr>
                <w:webHidden/>
              </w:rPr>
              <w:t>16</w:t>
            </w:r>
            <w:r w:rsidR="00814472" w:rsidRPr="00C918BF">
              <w:rPr>
                <w:webHidden/>
              </w:rPr>
              <w:fldChar w:fldCharType="end"/>
            </w:r>
          </w:hyperlink>
        </w:p>
        <w:p w14:paraId="10F37E66" w14:textId="096591CE" w:rsidR="00814472" w:rsidRPr="00C918BF" w:rsidRDefault="00B951C4" w:rsidP="00814472">
          <w:pPr>
            <w:pStyle w:val="TOC2"/>
            <w:rPr>
              <w:rFonts w:eastAsiaTheme="minorEastAsia"/>
              <w:sz w:val="22"/>
              <w:szCs w:val="22"/>
              <w:lang w:eastAsia="en-AU"/>
            </w:rPr>
          </w:pPr>
          <w:hyperlink w:anchor="_Toc453669684" w:history="1">
            <w:r w:rsidR="00814472" w:rsidRPr="00C918BF">
              <w:rPr>
                <w:rStyle w:val="Hyperlink"/>
              </w:rPr>
              <w:t xml:space="preserve">2.2 </w:t>
            </w:r>
            <w:r w:rsidR="00814472" w:rsidRPr="00C918BF">
              <w:rPr>
                <w:rFonts w:eastAsiaTheme="minorEastAsia"/>
                <w:sz w:val="22"/>
                <w:szCs w:val="22"/>
                <w:lang w:eastAsia="en-AU"/>
              </w:rPr>
              <w:tab/>
            </w:r>
            <w:r w:rsidR="00814472" w:rsidRPr="00C918BF">
              <w:rPr>
                <w:rStyle w:val="Hyperlink"/>
              </w:rPr>
              <w:t>Intermediate Outcome 2: Improved governance and management of the education system</w:t>
            </w:r>
            <w:r w:rsidR="00814472" w:rsidRPr="00C918BF">
              <w:rPr>
                <w:webHidden/>
              </w:rPr>
              <w:tab/>
            </w:r>
            <w:r w:rsidR="00814472" w:rsidRPr="00C918BF">
              <w:rPr>
                <w:webHidden/>
              </w:rPr>
              <w:fldChar w:fldCharType="begin"/>
            </w:r>
            <w:r w:rsidR="00814472" w:rsidRPr="00C918BF">
              <w:rPr>
                <w:webHidden/>
              </w:rPr>
              <w:instrText xml:space="preserve"> PAGEREF _Toc453669684 \h </w:instrText>
            </w:r>
            <w:r w:rsidR="00814472" w:rsidRPr="00C918BF">
              <w:rPr>
                <w:webHidden/>
              </w:rPr>
            </w:r>
            <w:r w:rsidR="00814472" w:rsidRPr="00C918BF">
              <w:rPr>
                <w:webHidden/>
              </w:rPr>
              <w:fldChar w:fldCharType="separate"/>
            </w:r>
            <w:r w:rsidR="00551D83">
              <w:rPr>
                <w:webHidden/>
              </w:rPr>
              <w:t>17</w:t>
            </w:r>
            <w:r w:rsidR="00814472" w:rsidRPr="00C918BF">
              <w:rPr>
                <w:webHidden/>
              </w:rPr>
              <w:fldChar w:fldCharType="end"/>
            </w:r>
          </w:hyperlink>
        </w:p>
        <w:p w14:paraId="6844D63C" w14:textId="111E78F6" w:rsidR="00814472" w:rsidRPr="00C918BF" w:rsidRDefault="00B951C4">
          <w:pPr>
            <w:pStyle w:val="TOC3"/>
            <w:rPr>
              <w:sz w:val="22"/>
              <w:szCs w:val="22"/>
              <w:lang w:eastAsia="en-AU"/>
            </w:rPr>
          </w:pPr>
          <w:hyperlink w:anchor="_Toc453669685" w:history="1">
            <w:r w:rsidR="00814472" w:rsidRPr="00C918BF">
              <w:rPr>
                <w:rStyle w:val="Hyperlink"/>
              </w:rPr>
              <w:t xml:space="preserve">2.2.1 </w:t>
            </w:r>
            <w:r w:rsidR="00814472" w:rsidRPr="00C918BF">
              <w:rPr>
                <w:sz w:val="22"/>
                <w:szCs w:val="22"/>
                <w:lang w:eastAsia="en-AU"/>
              </w:rPr>
              <w:tab/>
            </w:r>
            <w:r w:rsidR="00814472" w:rsidRPr="00C918BF">
              <w:rPr>
                <w:rStyle w:val="Hyperlink"/>
              </w:rPr>
              <w:t xml:space="preserve">Output 2.1: More schools have effective partnerships with their communities to </w:t>
            </w:r>
            <w:r w:rsidR="00814472" w:rsidRPr="00C918BF">
              <w:rPr>
                <w:rStyle w:val="Hyperlink"/>
              </w:rPr>
              <w:br/>
              <w:t>deliver quality education</w:t>
            </w:r>
            <w:r w:rsidR="00814472" w:rsidRPr="00C918BF">
              <w:rPr>
                <w:webHidden/>
              </w:rPr>
              <w:tab/>
            </w:r>
            <w:r w:rsidR="00814472" w:rsidRPr="00C918BF">
              <w:rPr>
                <w:webHidden/>
              </w:rPr>
              <w:fldChar w:fldCharType="begin"/>
            </w:r>
            <w:r w:rsidR="00814472" w:rsidRPr="00C918BF">
              <w:rPr>
                <w:webHidden/>
              </w:rPr>
              <w:instrText xml:space="preserve"> PAGEREF _Toc453669685 \h </w:instrText>
            </w:r>
            <w:r w:rsidR="00814472" w:rsidRPr="00C918BF">
              <w:rPr>
                <w:webHidden/>
              </w:rPr>
            </w:r>
            <w:r w:rsidR="00814472" w:rsidRPr="00C918BF">
              <w:rPr>
                <w:webHidden/>
              </w:rPr>
              <w:fldChar w:fldCharType="separate"/>
            </w:r>
            <w:r w:rsidR="00551D83">
              <w:rPr>
                <w:webHidden/>
              </w:rPr>
              <w:t>18</w:t>
            </w:r>
            <w:r w:rsidR="00814472" w:rsidRPr="00C918BF">
              <w:rPr>
                <w:webHidden/>
              </w:rPr>
              <w:fldChar w:fldCharType="end"/>
            </w:r>
          </w:hyperlink>
        </w:p>
        <w:p w14:paraId="33DBAB11" w14:textId="5C35A597" w:rsidR="00814472" w:rsidRPr="00C918BF" w:rsidRDefault="00B951C4">
          <w:pPr>
            <w:pStyle w:val="TOC3"/>
            <w:rPr>
              <w:sz w:val="22"/>
              <w:szCs w:val="22"/>
              <w:lang w:eastAsia="en-AU"/>
            </w:rPr>
          </w:pPr>
          <w:hyperlink w:anchor="_Toc453669686" w:history="1">
            <w:r w:rsidR="00814472" w:rsidRPr="00C918BF">
              <w:rPr>
                <w:rStyle w:val="Hyperlink"/>
                <w:rFonts w:ascii="Arial" w:hAnsi="Arial"/>
                <w:spacing w:val="-2"/>
              </w:rPr>
              <w:t xml:space="preserve">2.2.2 </w:t>
            </w:r>
            <w:r w:rsidR="00814472" w:rsidRPr="00C918BF">
              <w:rPr>
                <w:sz w:val="22"/>
                <w:szCs w:val="22"/>
                <w:lang w:eastAsia="en-AU"/>
              </w:rPr>
              <w:tab/>
            </w:r>
            <w:r w:rsidR="00814472" w:rsidRPr="00C918BF">
              <w:rPr>
                <w:rStyle w:val="Hyperlink"/>
                <w:rFonts w:ascii="Arial" w:hAnsi="Arial"/>
                <w:spacing w:val="-2"/>
              </w:rPr>
              <w:t xml:space="preserve">Output 2.2: MoE has greater capacity to plan and monitor the delivery of quality </w:t>
            </w:r>
            <w:r w:rsidR="00814472" w:rsidRPr="00C918BF">
              <w:rPr>
                <w:rStyle w:val="Hyperlink"/>
                <w:rFonts w:ascii="Arial" w:hAnsi="Arial"/>
                <w:spacing w:val="-2"/>
              </w:rPr>
              <w:br/>
              <w:t>education services</w:t>
            </w:r>
            <w:r w:rsidR="00814472" w:rsidRPr="00C918BF">
              <w:rPr>
                <w:webHidden/>
              </w:rPr>
              <w:tab/>
            </w:r>
            <w:r w:rsidR="00814472" w:rsidRPr="00C918BF">
              <w:rPr>
                <w:webHidden/>
              </w:rPr>
              <w:fldChar w:fldCharType="begin"/>
            </w:r>
            <w:r w:rsidR="00814472" w:rsidRPr="00C918BF">
              <w:rPr>
                <w:webHidden/>
              </w:rPr>
              <w:instrText xml:space="preserve"> PAGEREF _Toc453669686 \h </w:instrText>
            </w:r>
            <w:r w:rsidR="00814472" w:rsidRPr="00C918BF">
              <w:rPr>
                <w:webHidden/>
              </w:rPr>
            </w:r>
            <w:r w:rsidR="00814472" w:rsidRPr="00C918BF">
              <w:rPr>
                <w:webHidden/>
              </w:rPr>
              <w:fldChar w:fldCharType="separate"/>
            </w:r>
            <w:r w:rsidR="00551D83">
              <w:rPr>
                <w:webHidden/>
              </w:rPr>
              <w:t>18</w:t>
            </w:r>
            <w:r w:rsidR="00814472" w:rsidRPr="00C918BF">
              <w:rPr>
                <w:webHidden/>
              </w:rPr>
              <w:fldChar w:fldCharType="end"/>
            </w:r>
          </w:hyperlink>
        </w:p>
        <w:p w14:paraId="0D3E7AE7" w14:textId="5BD1BD9F" w:rsidR="00814472" w:rsidRPr="00C918BF" w:rsidRDefault="00B951C4">
          <w:pPr>
            <w:pStyle w:val="TOC1"/>
            <w:rPr>
              <w:rFonts w:eastAsiaTheme="minorEastAsia"/>
              <w:b w:val="0"/>
              <w:sz w:val="22"/>
              <w:lang w:eastAsia="en-AU"/>
            </w:rPr>
          </w:pPr>
          <w:hyperlink w:anchor="_Toc453669687" w:history="1">
            <w:r w:rsidR="00814472" w:rsidRPr="00C918BF">
              <w:rPr>
                <w:rStyle w:val="Hyperlink"/>
              </w:rPr>
              <w:t>3</w:t>
            </w:r>
            <w:r w:rsidR="00814472" w:rsidRPr="00C918BF">
              <w:rPr>
                <w:rFonts w:eastAsiaTheme="minorEastAsia"/>
                <w:b w:val="0"/>
                <w:sz w:val="22"/>
                <w:lang w:eastAsia="en-AU"/>
              </w:rPr>
              <w:tab/>
            </w:r>
            <w:r w:rsidR="00814472" w:rsidRPr="00C918BF">
              <w:rPr>
                <w:rStyle w:val="Hyperlink"/>
              </w:rPr>
              <w:t>Resources</w:t>
            </w:r>
            <w:r w:rsidR="00814472" w:rsidRPr="00C918BF">
              <w:rPr>
                <w:webHidden/>
              </w:rPr>
              <w:tab/>
            </w:r>
            <w:r w:rsidR="00814472" w:rsidRPr="00C918BF">
              <w:rPr>
                <w:webHidden/>
              </w:rPr>
              <w:fldChar w:fldCharType="begin"/>
            </w:r>
            <w:r w:rsidR="00814472" w:rsidRPr="00C918BF">
              <w:rPr>
                <w:webHidden/>
              </w:rPr>
              <w:instrText xml:space="preserve"> PAGEREF _Toc453669687 \h </w:instrText>
            </w:r>
            <w:r w:rsidR="00814472" w:rsidRPr="00C918BF">
              <w:rPr>
                <w:webHidden/>
              </w:rPr>
            </w:r>
            <w:r w:rsidR="00814472" w:rsidRPr="00C918BF">
              <w:rPr>
                <w:webHidden/>
              </w:rPr>
              <w:fldChar w:fldCharType="separate"/>
            </w:r>
            <w:r w:rsidR="00551D83">
              <w:rPr>
                <w:webHidden/>
              </w:rPr>
              <w:t>19</w:t>
            </w:r>
            <w:r w:rsidR="00814472" w:rsidRPr="00C918BF">
              <w:rPr>
                <w:webHidden/>
              </w:rPr>
              <w:fldChar w:fldCharType="end"/>
            </w:r>
          </w:hyperlink>
        </w:p>
        <w:p w14:paraId="30FDAD96" w14:textId="186473AD" w:rsidR="00814472" w:rsidRPr="00C918BF" w:rsidRDefault="00B951C4">
          <w:pPr>
            <w:pStyle w:val="TOC1"/>
            <w:rPr>
              <w:rFonts w:eastAsiaTheme="minorEastAsia"/>
              <w:b w:val="0"/>
              <w:sz w:val="22"/>
              <w:lang w:eastAsia="en-AU"/>
            </w:rPr>
          </w:pPr>
          <w:hyperlink w:anchor="_Toc453669688" w:history="1">
            <w:r w:rsidR="00814472" w:rsidRPr="00C918BF">
              <w:rPr>
                <w:rStyle w:val="Hyperlink"/>
              </w:rPr>
              <w:t xml:space="preserve">4 </w:t>
            </w:r>
            <w:r w:rsidR="00814472" w:rsidRPr="00C918BF">
              <w:rPr>
                <w:rFonts w:eastAsiaTheme="minorEastAsia"/>
                <w:b w:val="0"/>
                <w:sz w:val="22"/>
                <w:lang w:eastAsia="en-AU"/>
              </w:rPr>
              <w:tab/>
            </w:r>
            <w:r w:rsidR="00814472" w:rsidRPr="00C918BF">
              <w:rPr>
                <w:rStyle w:val="Hyperlink"/>
              </w:rPr>
              <w:t>Gender, Disability and Social Inclusion</w:t>
            </w:r>
            <w:r w:rsidR="00814472" w:rsidRPr="00C918BF">
              <w:rPr>
                <w:webHidden/>
              </w:rPr>
              <w:tab/>
            </w:r>
            <w:r w:rsidR="00814472" w:rsidRPr="00C918BF">
              <w:rPr>
                <w:webHidden/>
              </w:rPr>
              <w:fldChar w:fldCharType="begin"/>
            </w:r>
            <w:r w:rsidR="00814472" w:rsidRPr="00C918BF">
              <w:rPr>
                <w:webHidden/>
              </w:rPr>
              <w:instrText xml:space="preserve"> PAGEREF _Toc453669688 \h </w:instrText>
            </w:r>
            <w:r w:rsidR="00814472" w:rsidRPr="00C918BF">
              <w:rPr>
                <w:webHidden/>
              </w:rPr>
            </w:r>
            <w:r w:rsidR="00814472" w:rsidRPr="00C918BF">
              <w:rPr>
                <w:webHidden/>
              </w:rPr>
              <w:fldChar w:fldCharType="separate"/>
            </w:r>
            <w:r w:rsidR="00551D83">
              <w:rPr>
                <w:webHidden/>
              </w:rPr>
              <w:t>21</w:t>
            </w:r>
            <w:r w:rsidR="00814472" w:rsidRPr="00C918BF">
              <w:rPr>
                <w:webHidden/>
              </w:rPr>
              <w:fldChar w:fldCharType="end"/>
            </w:r>
          </w:hyperlink>
        </w:p>
        <w:p w14:paraId="0EF919C7" w14:textId="60B67170" w:rsidR="00814472" w:rsidRPr="00C918BF" w:rsidRDefault="00B951C4">
          <w:pPr>
            <w:pStyle w:val="TOC1"/>
            <w:rPr>
              <w:rFonts w:eastAsiaTheme="minorEastAsia"/>
              <w:b w:val="0"/>
              <w:sz w:val="22"/>
              <w:lang w:eastAsia="en-AU"/>
            </w:rPr>
          </w:pPr>
          <w:hyperlink w:anchor="_Toc453669689" w:history="1">
            <w:r w:rsidR="00814472" w:rsidRPr="00C918BF">
              <w:rPr>
                <w:rStyle w:val="Hyperlink"/>
              </w:rPr>
              <w:t>5</w:t>
            </w:r>
            <w:r w:rsidR="00814472" w:rsidRPr="00C918BF">
              <w:rPr>
                <w:rFonts w:eastAsiaTheme="minorEastAsia"/>
                <w:b w:val="0"/>
                <w:sz w:val="22"/>
                <w:lang w:eastAsia="en-AU"/>
              </w:rPr>
              <w:tab/>
            </w:r>
            <w:r w:rsidR="00814472" w:rsidRPr="00C918BF">
              <w:rPr>
                <w:rStyle w:val="Hyperlink"/>
              </w:rPr>
              <w:t>Innovation and Private Sector Engagement</w:t>
            </w:r>
            <w:r w:rsidR="00814472" w:rsidRPr="00C918BF">
              <w:rPr>
                <w:webHidden/>
              </w:rPr>
              <w:tab/>
            </w:r>
            <w:r w:rsidR="00814472" w:rsidRPr="00C918BF">
              <w:rPr>
                <w:webHidden/>
              </w:rPr>
              <w:fldChar w:fldCharType="begin"/>
            </w:r>
            <w:r w:rsidR="00814472" w:rsidRPr="00C918BF">
              <w:rPr>
                <w:webHidden/>
              </w:rPr>
              <w:instrText xml:space="preserve"> PAGEREF _Toc453669689 \h </w:instrText>
            </w:r>
            <w:r w:rsidR="00814472" w:rsidRPr="00C918BF">
              <w:rPr>
                <w:webHidden/>
              </w:rPr>
            </w:r>
            <w:r w:rsidR="00814472" w:rsidRPr="00C918BF">
              <w:rPr>
                <w:webHidden/>
              </w:rPr>
              <w:fldChar w:fldCharType="separate"/>
            </w:r>
            <w:r w:rsidR="00551D83">
              <w:rPr>
                <w:webHidden/>
              </w:rPr>
              <w:t>23</w:t>
            </w:r>
            <w:r w:rsidR="00814472" w:rsidRPr="00C918BF">
              <w:rPr>
                <w:webHidden/>
              </w:rPr>
              <w:fldChar w:fldCharType="end"/>
            </w:r>
          </w:hyperlink>
        </w:p>
        <w:p w14:paraId="055EA94F" w14:textId="4C62CB48" w:rsidR="00814472" w:rsidRPr="00C918BF" w:rsidRDefault="00B951C4" w:rsidP="00814472">
          <w:pPr>
            <w:pStyle w:val="TOC2"/>
            <w:rPr>
              <w:rFonts w:eastAsiaTheme="minorEastAsia"/>
              <w:spacing w:val="0"/>
              <w:sz w:val="22"/>
              <w:szCs w:val="22"/>
              <w:lang w:eastAsia="en-AU"/>
            </w:rPr>
          </w:pPr>
          <w:hyperlink w:anchor="_Toc453669690" w:history="1">
            <w:r w:rsidR="00814472" w:rsidRPr="00C918BF">
              <w:rPr>
                <w:rStyle w:val="Hyperlink"/>
              </w:rPr>
              <w:t>5.1</w:t>
            </w:r>
            <w:r w:rsidR="00814472" w:rsidRPr="00C918BF">
              <w:rPr>
                <w:rFonts w:eastAsiaTheme="minorEastAsia"/>
                <w:spacing w:val="0"/>
                <w:sz w:val="22"/>
                <w:szCs w:val="22"/>
                <w:lang w:eastAsia="en-AU"/>
              </w:rPr>
              <w:tab/>
            </w:r>
            <w:r w:rsidR="00814472" w:rsidRPr="00C918BF">
              <w:rPr>
                <w:rStyle w:val="Hyperlink"/>
              </w:rPr>
              <w:t xml:space="preserve">KEIP Phase </w:t>
            </w:r>
            <w:r w:rsidR="000A49FE">
              <w:rPr>
                <w:rStyle w:val="Hyperlink"/>
              </w:rPr>
              <w:t>2</w:t>
            </w:r>
            <w:r w:rsidR="00814472" w:rsidRPr="00C918BF">
              <w:rPr>
                <w:rStyle w:val="Hyperlink"/>
              </w:rPr>
              <w:t xml:space="preserve"> Innovation</w:t>
            </w:r>
            <w:r w:rsidR="00814472" w:rsidRPr="00C918BF">
              <w:rPr>
                <w:webHidden/>
              </w:rPr>
              <w:tab/>
            </w:r>
            <w:r w:rsidR="00814472" w:rsidRPr="00C918BF">
              <w:rPr>
                <w:webHidden/>
              </w:rPr>
              <w:fldChar w:fldCharType="begin"/>
            </w:r>
            <w:r w:rsidR="00814472" w:rsidRPr="00C918BF">
              <w:rPr>
                <w:webHidden/>
              </w:rPr>
              <w:instrText xml:space="preserve"> PAGEREF _Toc453669690 \h </w:instrText>
            </w:r>
            <w:r w:rsidR="00814472" w:rsidRPr="00C918BF">
              <w:rPr>
                <w:webHidden/>
              </w:rPr>
            </w:r>
            <w:r w:rsidR="00814472" w:rsidRPr="00C918BF">
              <w:rPr>
                <w:webHidden/>
              </w:rPr>
              <w:fldChar w:fldCharType="separate"/>
            </w:r>
            <w:r w:rsidR="00551D83">
              <w:rPr>
                <w:webHidden/>
              </w:rPr>
              <w:t>23</w:t>
            </w:r>
            <w:r w:rsidR="00814472" w:rsidRPr="00C918BF">
              <w:rPr>
                <w:webHidden/>
              </w:rPr>
              <w:fldChar w:fldCharType="end"/>
            </w:r>
          </w:hyperlink>
        </w:p>
        <w:p w14:paraId="1B91F027" w14:textId="5382A146" w:rsidR="00814472" w:rsidRPr="00C918BF" w:rsidRDefault="00B951C4" w:rsidP="00814472">
          <w:pPr>
            <w:pStyle w:val="TOC2"/>
            <w:rPr>
              <w:rFonts w:eastAsiaTheme="minorEastAsia"/>
              <w:spacing w:val="0"/>
              <w:sz w:val="22"/>
              <w:szCs w:val="22"/>
              <w:lang w:eastAsia="en-AU"/>
            </w:rPr>
          </w:pPr>
          <w:hyperlink w:anchor="_Toc453669691" w:history="1">
            <w:r w:rsidR="00814472" w:rsidRPr="00C918BF">
              <w:rPr>
                <w:rStyle w:val="Hyperlink"/>
              </w:rPr>
              <w:t>5.2</w:t>
            </w:r>
            <w:r w:rsidR="00814472" w:rsidRPr="00C918BF">
              <w:rPr>
                <w:rFonts w:eastAsiaTheme="minorEastAsia"/>
                <w:spacing w:val="0"/>
                <w:sz w:val="22"/>
                <w:szCs w:val="22"/>
                <w:lang w:eastAsia="en-AU"/>
              </w:rPr>
              <w:tab/>
            </w:r>
            <w:r w:rsidR="00814472" w:rsidRPr="00C918BF">
              <w:rPr>
                <w:rStyle w:val="Hyperlink"/>
              </w:rPr>
              <w:t xml:space="preserve">KEIP Phase </w:t>
            </w:r>
            <w:r w:rsidR="000A49FE">
              <w:rPr>
                <w:rStyle w:val="Hyperlink"/>
              </w:rPr>
              <w:t>2</w:t>
            </w:r>
            <w:r w:rsidR="00814472" w:rsidRPr="00C918BF">
              <w:rPr>
                <w:rStyle w:val="Hyperlink"/>
              </w:rPr>
              <w:t xml:space="preserve"> Private Sector engagement</w:t>
            </w:r>
            <w:r w:rsidR="00814472" w:rsidRPr="00C918BF">
              <w:rPr>
                <w:webHidden/>
              </w:rPr>
              <w:tab/>
            </w:r>
            <w:r w:rsidR="00814472" w:rsidRPr="00C918BF">
              <w:rPr>
                <w:webHidden/>
              </w:rPr>
              <w:fldChar w:fldCharType="begin"/>
            </w:r>
            <w:r w:rsidR="00814472" w:rsidRPr="00C918BF">
              <w:rPr>
                <w:webHidden/>
              </w:rPr>
              <w:instrText xml:space="preserve"> PAGEREF _Toc453669691 \h </w:instrText>
            </w:r>
            <w:r w:rsidR="00814472" w:rsidRPr="00C918BF">
              <w:rPr>
                <w:webHidden/>
              </w:rPr>
            </w:r>
            <w:r w:rsidR="00814472" w:rsidRPr="00C918BF">
              <w:rPr>
                <w:webHidden/>
              </w:rPr>
              <w:fldChar w:fldCharType="separate"/>
            </w:r>
            <w:r w:rsidR="00551D83">
              <w:rPr>
                <w:webHidden/>
              </w:rPr>
              <w:t>25</w:t>
            </w:r>
            <w:r w:rsidR="00814472" w:rsidRPr="00C918BF">
              <w:rPr>
                <w:webHidden/>
              </w:rPr>
              <w:fldChar w:fldCharType="end"/>
            </w:r>
          </w:hyperlink>
        </w:p>
        <w:p w14:paraId="48B6C157" w14:textId="5571D937" w:rsidR="00814472" w:rsidRPr="00C918BF" w:rsidRDefault="00B951C4">
          <w:pPr>
            <w:pStyle w:val="TOC1"/>
            <w:rPr>
              <w:rFonts w:eastAsiaTheme="minorEastAsia"/>
              <w:b w:val="0"/>
              <w:sz w:val="22"/>
              <w:lang w:eastAsia="en-AU"/>
            </w:rPr>
          </w:pPr>
          <w:hyperlink w:anchor="_Toc453669692" w:history="1">
            <w:r w:rsidR="00814472" w:rsidRPr="00C918BF">
              <w:rPr>
                <w:rStyle w:val="Hyperlink"/>
              </w:rPr>
              <w:t>6</w:t>
            </w:r>
            <w:r w:rsidR="00814472" w:rsidRPr="00C918BF">
              <w:rPr>
                <w:rFonts w:eastAsiaTheme="minorEastAsia"/>
                <w:b w:val="0"/>
                <w:sz w:val="22"/>
                <w:lang w:eastAsia="en-AU"/>
              </w:rPr>
              <w:tab/>
            </w:r>
            <w:r w:rsidR="00814472" w:rsidRPr="00C918BF">
              <w:rPr>
                <w:rStyle w:val="Hyperlink"/>
              </w:rPr>
              <w:t>Risks Management and Safeguards</w:t>
            </w:r>
            <w:r w:rsidR="00814472" w:rsidRPr="00C918BF">
              <w:rPr>
                <w:webHidden/>
              </w:rPr>
              <w:tab/>
            </w:r>
            <w:r w:rsidR="00814472" w:rsidRPr="00C918BF">
              <w:rPr>
                <w:webHidden/>
              </w:rPr>
              <w:fldChar w:fldCharType="begin"/>
            </w:r>
            <w:r w:rsidR="00814472" w:rsidRPr="00C918BF">
              <w:rPr>
                <w:webHidden/>
              </w:rPr>
              <w:instrText xml:space="preserve"> PAGEREF _Toc453669692 \h </w:instrText>
            </w:r>
            <w:r w:rsidR="00814472" w:rsidRPr="00C918BF">
              <w:rPr>
                <w:webHidden/>
              </w:rPr>
            </w:r>
            <w:r w:rsidR="00814472" w:rsidRPr="00C918BF">
              <w:rPr>
                <w:webHidden/>
              </w:rPr>
              <w:fldChar w:fldCharType="separate"/>
            </w:r>
            <w:r w:rsidR="00551D83">
              <w:rPr>
                <w:webHidden/>
              </w:rPr>
              <w:t>25</w:t>
            </w:r>
            <w:r w:rsidR="00814472" w:rsidRPr="00C918BF">
              <w:rPr>
                <w:webHidden/>
              </w:rPr>
              <w:fldChar w:fldCharType="end"/>
            </w:r>
          </w:hyperlink>
        </w:p>
        <w:p w14:paraId="2623F0C9" w14:textId="0BA6E435" w:rsidR="00814472" w:rsidRPr="00C918BF" w:rsidRDefault="00B951C4">
          <w:pPr>
            <w:pStyle w:val="TOC1"/>
            <w:rPr>
              <w:rFonts w:eastAsiaTheme="minorEastAsia"/>
              <w:b w:val="0"/>
              <w:sz w:val="22"/>
              <w:lang w:eastAsia="en-AU"/>
            </w:rPr>
          </w:pPr>
          <w:hyperlink w:anchor="_Toc453669693" w:history="1">
            <w:r w:rsidR="00814472" w:rsidRPr="00C918BF">
              <w:rPr>
                <w:rStyle w:val="Hyperlink"/>
              </w:rPr>
              <w:t>7</w:t>
            </w:r>
            <w:r w:rsidR="00814472" w:rsidRPr="00C918BF">
              <w:rPr>
                <w:rFonts w:eastAsiaTheme="minorEastAsia"/>
                <w:b w:val="0"/>
                <w:sz w:val="22"/>
                <w:lang w:eastAsia="en-AU"/>
              </w:rPr>
              <w:tab/>
            </w:r>
            <w:r w:rsidR="00814472" w:rsidRPr="00C918BF">
              <w:rPr>
                <w:rStyle w:val="Hyperlink"/>
              </w:rPr>
              <w:t>Challenges and Lessons Learned</w:t>
            </w:r>
            <w:r w:rsidR="00814472" w:rsidRPr="00C918BF">
              <w:rPr>
                <w:webHidden/>
              </w:rPr>
              <w:tab/>
            </w:r>
            <w:r w:rsidR="00814472" w:rsidRPr="00C918BF">
              <w:rPr>
                <w:webHidden/>
              </w:rPr>
              <w:fldChar w:fldCharType="begin"/>
            </w:r>
            <w:r w:rsidR="00814472" w:rsidRPr="00C918BF">
              <w:rPr>
                <w:webHidden/>
              </w:rPr>
              <w:instrText xml:space="preserve"> PAGEREF _Toc453669693 \h </w:instrText>
            </w:r>
            <w:r w:rsidR="00814472" w:rsidRPr="00C918BF">
              <w:rPr>
                <w:webHidden/>
              </w:rPr>
            </w:r>
            <w:r w:rsidR="00814472" w:rsidRPr="00C918BF">
              <w:rPr>
                <w:webHidden/>
              </w:rPr>
              <w:fldChar w:fldCharType="separate"/>
            </w:r>
            <w:r w:rsidR="00551D83">
              <w:rPr>
                <w:webHidden/>
              </w:rPr>
              <w:t>28</w:t>
            </w:r>
            <w:r w:rsidR="00814472" w:rsidRPr="00C918BF">
              <w:rPr>
                <w:webHidden/>
              </w:rPr>
              <w:fldChar w:fldCharType="end"/>
            </w:r>
          </w:hyperlink>
        </w:p>
        <w:p w14:paraId="5BD9EBAB" w14:textId="0741E463" w:rsidR="007627F4" w:rsidRPr="00C918BF" w:rsidRDefault="00B951C4" w:rsidP="0060082A">
          <w:pPr>
            <w:pStyle w:val="TOC1"/>
          </w:pPr>
          <w:hyperlink w:anchor="_Toc453669694" w:history="1">
            <w:r w:rsidR="00814472" w:rsidRPr="00C918BF">
              <w:rPr>
                <w:rStyle w:val="Hyperlink"/>
              </w:rPr>
              <w:t>8</w:t>
            </w:r>
            <w:r w:rsidR="00814472" w:rsidRPr="00C918BF">
              <w:rPr>
                <w:rFonts w:eastAsiaTheme="minorEastAsia"/>
                <w:b w:val="0"/>
                <w:sz w:val="22"/>
                <w:lang w:eastAsia="en-AU"/>
              </w:rPr>
              <w:tab/>
            </w:r>
            <w:r w:rsidR="00814472" w:rsidRPr="00C918BF">
              <w:rPr>
                <w:rStyle w:val="Hyperlink"/>
              </w:rPr>
              <w:t>Final Phase of the KEIP Investment</w:t>
            </w:r>
            <w:r w:rsidR="00814472" w:rsidRPr="00C918BF">
              <w:rPr>
                <w:webHidden/>
              </w:rPr>
              <w:tab/>
            </w:r>
            <w:r w:rsidR="00814472" w:rsidRPr="00C918BF">
              <w:rPr>
                <w:b w:val="0"/>
                <w:webHidden/>
              </w:rPr>
              <w:fldChar w:fldCharType="begin"/>
            </w:r>
            <w:r w:rsidR="00814472" w:rsidRPr="00C918BF">
              <w:rPr>
                <w:webHidden/>
              </w:rPr>
              <w:instrText xml:space="preserve"> PAGEREF _Toc453669694 \h </w:instrText>
            </w:r>
            <w:r w:rsidR="00814472" w:rsidRPr="00C918BF">
              <w:rPr>
                <w:b w:val="0"/>
                <w:webHidden/>
              </w:rPr>
            </w:r>
            <w:r w:rsidR="00814472" w:rsidRPr="00C918BF">
              <w:rPr>
                <w:b w:val="0"/>
                <w:webHidden/>
              </w:rPr>
              <w:fldChar w:fldCharType="separate"/>
            </w:r>
            <w:r w:rsidR="00551D83">
              <w:rPr>
                <w:webHidden/>
              </w:rPr>
              <w:t>32</w:t>
            </w:r>
            <w:r w:rsidR="00814472" w:rsidRPr="00C918BF">
              <w:rPr>
                <w:b w:val="0"/>
                <w:webHidden/>
              </w:rPr>
              <w:fldChar w:fldCharType="end"/>
            </w:r>
          </w:hyperlink>
          <w:r w:rsidR="00326449" w:rsidRPr="00C918BF">
            <w:rPr>
              <w:b w:val="0"/>
            </w:rPr>
            <w:fldChar w:fldCharType="end"/>
          </w:r>
        </w:p>
      </w:sdtContent>
    </w:sdt>
    <w:p w14:paraId="5232E027" w14:textId="77777777" w:rsidR="007750E6" w:rsidRPr="00C918BF" w:rsidRDefault="004D5223" w:rsidP="0060082A">
      <w:pPr>
        <w:pStyle w:val="Heading1"/>
        <w:spacing w:before="1000"/>
        <w:rPr>
          <w:color w:val="auto"/>
        </w:rPr>
      </w:pPr>
      <w:bookmarkStart w:id="4" w:name="_Toc453665706"/>
      <w:bookmarkStart w:id="5" w:name="_Toc453669670"/>
      <w:bookmarkStart w:id="6" w:name="_Toc461615666"/>
      <w:r w:rsidRPr="00C918BF">
        <w:rPr>
          <w:color w:val="auto"/>
        </w:rPr>
        <w:t>Annexes</w:t>
      </w:r>
      <w:bookmarkEnd w:id="4"/>
      <w:bookmarkEnd w:id="5"/>
      <w:bookmarkEnd w:id="6"/>
    </w:p>
    <w:p w14:paraId="04CE1AA1" w14:textId="0CFDEFCA" w:rsidR="00022721" w:rsidRPr="0060082A" w:rsidRDefault="00022721" w:rsidP="0060082A">
      <w:pPr>
        <w:spacing w:after="60"/>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1</w:t>
      </w:r>
      <w:r w:rsidRPr="0060082A">
        <w:rPr>
          <w:rFonts w:asciiTheme="majorHAnsi" w:hAnsiTheme="majorHAnsi" w:cstheme="majorHAnsi"/>
        </w:rPr>
        <w:tab/>
        <w:t xml:space="preserve">KEIP Phase </w:t>
      </w:r>
      <w:r w:rsidR="000A49FE">
        <w:rPr>
          <w:rFonts w:asciiTheme="majorHAnsi" w:hAnsiTheme="majorHAnsi" w:cstheme="majorHAnsi"/>
        </w:rPr>
        <w:t>2</w:t>
      </w:r>
      <w:r w:rsidRPr="0060082A">
        <w:rPr>
          <w:rFonts w:asciiTheme="majorHAnsi" w:hAnsiTheme="majorHAnsi" w:cstheme="majorHAnsi"/>
        </w:rPr>
        <w:t xml:space="preserve"> </w:t>
      </w:r>
      <w:r w:rsidR="00376445" w:rsidRPr="0060082A">
        <w:rPr>
          <w:rFonts w:asciiTheme="majorHAnsi" w:hAnsiTheme="majorHAnsi" w:cstheme="majorHAnsi"/>
        </w:rPr>
        <w:t>Progress against the Monitoring and Evaluation Framework</w:t>
      </w:r>
    </w:p>
    <w:p w14:paraId="71E03986" w14:textId="06696528" w:rsidR="00022721" w:rsidRPr="0060082A" w:rsidRDefault="00022721" w:rsidP="0060082A">
      <w:pPr>
        <w:spacing w:after="60"/>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2</w:t>
      </w:r>
      <w:r w:rsidRPr="0060082A">
        <w:rPr>
          <w:rFonts w:asciiTheme="majorHAnsi" w:hAnsiTheme="majorHAnsi" w:cstheme="majorHAnsi"/>
        </w:rPr>
        <w:tab/>
        <w:t>KEF Gender, Disability and Social Inclusion Strategy Report</w:t>
      </w:r>
    </w:p>
    <w:p w14:paraId="420BBBDF" w14:textId="145A71FF" w:rsidR="00022721" w:rsidRPr="0060082A" w:rsidRDefault="00022721" w:rsidP="0060082A">
      <w:pPr>
        <w:spacing w:after="60"/>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3</w:t>
      </w:r>
      <w:r w:rsidRPr="0060082A">
        <w:rPr>
          <w:rFonts w:asciiTheme="majorHAnsi" w:hAnsiTheme="majorHAnsi" w:cstheme="majorHAnsi"/>
        </w:rPr>
        <w:tab/>
        <w:t>Breakdown of Program Activity Costs by Strategy to 31 March 2016</w:t>
      </w:r>
    </w:p>
    <w:p w14:paraId="57332CF5" w14:textId="6CD3FB88" w:rsidR="00022721" w:rsidRPr="0060082A" w:rsidRDefault="00022721" w:rsidP="0060082A">
      <w:pPr>
        <w:spacing w:after="60"/>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4</w:t>
      </w:r>
      <w:r w:rsidRPr="0060082A">
        <w:rPr>
          <w:rFonts w:asciiTheme="majorHAnsi" w:hAnsiTheme="majorHAnsi" w:cstheme="majorHAnsi"/>
        </w:rPr>
        <w:tab/>
        <w:t>KEIP Research Synthesis Report</w:t>
      </w:r>
    </w:p>
    <w:p w14:paraId="61508FC3" w14:textId="1B657D94" w:rsidR="00022721" w:rsidRPr="0060082A" w:rsidRDefault="00022721" w:rsidP="0060082A">
      <w:pPr>
        <w:spacing w:after="60"/>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5</w:t>
      </w:r>
      <w:r w:rsidR="00B14F3C" w:rsidRPr="0060082A">
        <w:rPr>
          <w:rFonts w:asciiTheme="majorHAnsi" w:hAnsiTheme="majorHAnsi" w:cstheme="majorHAnsi"/>
        </w:rPr>
        <w:tab/>
        <w:t>STAKI R</w:t>
      </w:r>
      <w:r w:rsidRPr="0060082A">
        <w:rPr>
          <w:rFonts w:asciiTheme="majorHAnsi" w:hAnsiTheme="majorHAnsi" w:cstheme="majorHAnsi"/>
        </w:rPr>
        <w:t>esults for 2015</w:t>
      </w:r>
    </w:p>
    <w:p w14:paraId="6AA82718" w14:textId="1F8F6345" w:rsidR="00CF70EA" w:rsidRPr="0060082A" w:rsidRDefault="00022721" w:rsidP="0060082A">
      <w:pPr>
        <w:spacing w:after="60"/>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6</w:t>
      </w:r>
      <w:r w:rsidRPr="0060082A">
        <w:rPr>
          <w:rFonts w:asciiTheme="majorHAnsi" w:hAnsiTheme="majorHAnsi" w:cstheme="majorHAnsi"/>
        </w:rPr>
        <w:tab/>
        <w:t xml:space="preserve">The KEIP Kitset Classroom Innovation </w:t>
      </w:r>
    </w:p>
    <w:p w14:paraId="4FF0BC34" w14:textId="04E4D4EE" w:rsidR="007750E6" w:rsidRPr="0060082A" w:rsidRDefault="00CF70EA" w:rsidP="0060082A">
      <w:pPr>
        <w:spacing w:before="500"/>
        <w:rPr>
          <w:rFonts w:asciiTheme="majorHAnsi" w:hAnsiTheme="majorHAnsi" w:cstheme="majorHAnsi"/>
        </w:rPr>
      </w:pPr>
      <w:r w:rsidRPr="0060082A">
        <w:rPr>
          <w:rFonts w:asciiTheme="majorHAnsi" w:hAnsiTheme="majorHAnsi" w:cstheme="majorHAnsi"/>
        </w:rPr>
        <w:t xml:space="preserve">Note: This Completion Report for KEIP Phase </w:t>
      </w:r>
      <w:r w:rsidR="000A49FE">
        <w:rPr>
          <w:rFonts w:asciiTheme="majorHAnsi" w:hAnsiTheme="majorHAnsi" w:cstheme="majorHAnsi"/>
        </w:rPr>
        <w:t>2</w:t>
      </w:r>
      <w:r w:rsidRPr="0060082A">
        <w:rPr>
          <w:rFonts w:asciiTheme="majorHAnsi" w:hAnsiTheme="majorHAnsi" w:cstheme="majorHAnsi"/>
        </w:rPr>
        <w:t xml:space="preserve"> was prepared by Coffey International Development as Managing Contractor. The information and perspectives in this Report are those of Coffey and not necessarily those of the two major partners: the Department of Foreign Affairs and Trade (DFAT) or the Go</w:t>
      </w:r>
      <w:r w:rsidR="00376445" w:rsidRPr="0060082A">
        <w:rPr>
          <w:rFonts w:asciiTheme="majorHAnsi" w:hAnsiTheme="majorHAnsi" w:cstheme="majorHAnsi"/>
        </w:rPr>
        <w:t xml:space="preserve">vernment of Kiribati’s </w:t>
      </w:r>
      <w:r w:rsidRPr="0060082A">
        <w:rPr>
          <w:rFonts w:asciiTheme="majorHAnsi" w:hAnsiTheme="majorHAnsi" w:cstheme="majorHAnsi"/>
        </w:rPr>
        <w:t>Ministry of Education (M</w:t>
      </w:r>
      <w:r w:rsidR="00AE1AC2" w:rsidRPr="0060082A">
        <w:rPr>
          <w:rFonts w:asciiTheme="majorHAnsi" w:hAnsiTheme="majorHAnsi" w:cstheme="majorHAnsi"/>
        </w:rPr>
        <w:t>o</w:t>
      </w:r>
      <w:r w:rsidRPr="0060082A">
        <w:rPr>
          <w:rFonts w:asciiTheme="majorHAnsi" w:hAnsiTheme="majorHAnsi" w:cstheme="majorHAnsi"/>
        </w:rPr>
        <w:t>E)</w:t>
      </w:r>
      <w:r w:rsidR="00AE1AC2" w:rsidRPr="0060082A">
        <w:rPr>
          <w:rFonts w:asciiTheme="majorHAnsi" w:hAnsiTheme="majorHAnsi" w:cstheme="majorHAnsi"/>
        </w:rPr>
        <w:t>.</w:t>
      </w:r>
      <w:r w:rsidR="007750E6" w:rsidRPr="0060082A">
        <w:rPr>
          <w:rFonts w:asciiTheme="majorHAnsi" w:hAnsiTheme="majorHAnsi" w:cstheme="majorHAnsi"/>
        </w:rPr>
        <w:br w:type="page"/>
      </w:r>
    </w:p>
    <w:p w14:paraId="6170F3BA" w14:textId="77777777" w:rsidR="007750E6" w:rsidRPr="00C918BF" w:rsidRDefault="007750E6" w:rsidP="00D02244">
      <w:pPr>
        <w:pStyle w:val="Heading1"/>
        <w:rPr>
          <w:color w:val="auto"/>
        </w:rPr>
      </w:pPr>
      <w:bookmarkStart w:id="7" w:name="_Toc453665707"/>
      <w:bookmarkStart w:id="8" w:name="_Toc453669671"/>
      <w:bookmarkStart w:id="9" w:name="_Toc461615667"/>
      <w:r w:rsidRPr="00C918BF">
        <w:rPr>
          <w:color w:val="auto"/>
        </w:rPr>
        <w:lastRenderedPageBreak/>
        <w:t>Abbreviations</w:t>
      </w:r>
      <w:bookmarkEnd w:id="7"/>
      <w:bookmarkEnd w:id="8"/>
      <w:bookmarkEnd w:id="9"/>
    </w:p>
    <w:p w14:paraId="4543026F"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APR </w:t>
      </w:r>
      <w:r w:rsidRPr="0060082A">
        <w:rPr>
          <w:rFonts w:asciiTheme="majorHAnsi" w:hAnsiTheme="majorHAnsi" w:cstheme="majorHAnsi"/>
        </w:rPr>
        <w:tab/>
        <w:t xml:space="preserve">Activity Progress Report </w:t>
      </w:r>
    </w:p>
    <w:p w14:paraId="36C12A53"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CDRC</w:t>
      </w:r>
      <w:r w:rsidRPr="0060082A">
        <w:rPr>
          <w:rFonts w:asciiTheme="majorHAnsi" w:hAnsiTheme="majorHAnsi" w:cstheme="majorHAnsi"/>
        </w:rPr>
        <w:tab/>
        <w:t>Curriculum Development Resource Centre</w:t>
      </w:r>
    </w:p>
    <w:p w14:paraId="2B818F5D" w14:textId="77777777" w:rsidR="009C226E" w:rsidRPr="0060082A" w:rsidRDefault="009C226E" w:rsidP="0060082A">
      <w:pPr>
        <w:tabs>
          <w:tab w:val="left" w:pos="1276"/>
        </w:tabs>
        <w:rPr>
          <w:rFonts w:asciiTheme="majorHAnsi" w:hAnsiTheme="majorHAnsi" w:cstheme="majorHAnsi"/>
        </w:rPr>
      </w:pPr>
      <w:r w:rsidRPr="0060082A">
        <w:rPr>
          <w:rFonts w:asciiTheme="majorHAnsi" w:hAnsiTheme="majorHAnsi" w:cstheme="majorHAnsi"/>
        </w:rPr>
        <w:t>DEO</w:t>
      </w:r>
      <w:r w:rsidRPr="0060082A">
        <w:rPr>
          <w:rFonts w:asciiTheme="majorHAnsi" w:hAnsiTheme="majorHAnsi" w:cstheme="majorHAnsi"/>
        </w:rPr>
        <w:tab/>
        <w:t>District Education Officer</w:t>
      </w:r>
    </w:p>
    <w:p w14:paraId="2465BB21"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DFAT </w:t>
      </w:r>
      <w:r w:rsidRPr="0060082A">
        <w:rPr>
          <w:rFonts w:asciiTheme="majorHAnsi" w:hAnsiTheme="majorHAnsi" w:cstheme="majorHAnsi"/>
        </w:rPr>
        <w:tab/>
        <w:t>Department of Foreign Affairs and Trade</w:t>
      </w:r>
    </w:p>
    <w:p w14:paraId="6DC89A62"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ECCE </w:t>
      </w:r>
      <w:r w:rsidRPr="0060082A">
        <w:rPr>
          <w:rFonts w:asciiTheme="majorHAnsi" w:hAnsiTheme="majorHAnsi" w:cstheme="majorHAnsi"/>
        </w:rPr>
        <w:tab/>
        <w:t>Early Childhood Care and Education</w:t>
      </w:r>
    </w:p>
    <w:p w14:paraId="43D780B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EGBVS</w:t>
      </w:r>
      <w:r w:rsidRPr="0060082A">
        <w:rPr>
          <w:rFonts w:asciiTheme="majorHAnsi" w:hAnsiTheme="majorHAnsi" w:cstheme="majorHAnsi"/>
        </w:rPr>
        <w:tab/>
        <w:t>Elimination of Gender Based Violence in Schools</w:t>
      </w:r>
    </w:p>
    <w:p w14:paraId="3D70A6BF"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EGRA </w:t>
      </w:r>
      <w:r w:rsidRPr="0060082A">
        <w:rPr>
          <w:rFonts w:asciiTheme="majorHAnsi" w:hAnsiTheme="majorHAnsi" w:cstheme="majorHAnsi"/>
        </w:rPr>
        <w:tab/>
        <w:t xml:space="preserve">Early Grade Reading Assessment </w:t>
      </w:r>
    </w:p>
    <w:p w14:paraId="25B9B9D1"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EMT </w:t>
      </w:r>
      <w:r w:rsidRPr="0060082A">
        <w:rPr>
          <w:rFonts w:asciiTheme="majorHAnsi" w:hAnsiTheme="majorHAnsi" w:cstheme="majorHAnsi"/>
        </w:rPr>
        <w:tab/>
        <w:t>Executive Management Team</w:t>
      </w:r>
    </w:p>
    <w:p w14:paraId="611A44E4"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EPiK </w:t>
      </w:r>
      <w:r w:rsidRPr="0060082A">
        <w:rPr>
          <w:rFonts w:asciiTheme="majorHAnsi" w:hAnsiTheme="majorHAnsi" w:cstheme="majorHAnsi"/>
        </w:rPr>
        <w:tab/>
        <w:t>Education Partners in Kiribati</w:t>
      </w:r>
    </w:p>
    <w:p w14:paraId="0DB908AA" w14:textId="57F2A91B" w:rsidR="004A0684" w:rsidRPr="0060082A" w:rsidRDefault="0037695F" w:rsidP="0060082A">
      <w:pPr>
        <w:tabs>
          <w:tab w:val="left" w:pos="1276"/>
        </w:tabs>
        <w:ind w:right="-200"/>
        <w:rPr>
          <w:rFonts w:asciiTheme="majorHAnsi" w:hAnsiTheme="majorHAnsi" w:cstheme="majorHAnsi"/>
        </w:rPr>
      </w:pPr>
      <w:r w:rsidRPr="0060082A">
        <w:rPr>
          <w:rFonts w:asciiTheme="majorHAnsi" w:hAnsiTheme="majorHAnsi" w:cstheme="majorHAnsi"/>
        </w:rPr>
        <w:t>EQ</w:t>
      </w:r>
      <w:r w:rsidR="004A0684" w:rsidRPr="0060082A">
        <w:rPr>
          <w:rFonts w:asciiTheme="majorHAnsi" w:hAnsiTheme="majorHAnsi" w:cstheme="majorHAnsi"/>
        </w:rPr>
        <w:t>AP</w:t>
      </w:r>
      <w:r w:rsidR="004A0684" w:rsidRPr="0060082A">
        <w:rPr>
          <w:rFonts w:asciiTheme="majorHAnsi" w:hAnsiTheme="majorHAnsi" w:cstheme="majorHAnsi"/>
        </w:rPr>
        <w:tab/>
        <w:t>Education Quality and Assessment Program</w:t>
      </w:r>
      <w:r w:rsidRPr="0060082A">
        <w:rPr>
          <w:rFonts w:asciiTheme="majorHAnsi" w:hAnsiTheme="majorHAnsi" w:cstheme="majorHAnsi"/>
        </w:rPr>
        <w:t>me</w:t>
      </w:r>
      <w:r w:rsidR="004A0684" w:rsidRPr="0060082A">
        <w:rPr>
          <w:rFonts w:asciiTheme="majorHAnsi" w:hAnsiTheme="majorHAnsi" w:cstheme="majorHAnsi"/>
        </w:rPr>
        <w:t xml:space="preserve"> of </w:t>
      </w:r>
      <w:r w:rsidRPr="0060082A">
        <w:rPr>
          <w:rFonts w:asciiTheme="majorHAnsi" w:hAnsiTheme="majorHAnsi" w:cstheme="majorHAnsi"/>
        </w:rPr>
        <w:t>the Secretariat of the Pacific Community</w:t>
      </w:r>
    </w:p>
    <w:p w14:paraId="47D1C0FC"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ESSP </w:t>
      </w:r>
      <w:r w:rsidRPr="0060082A">
        <w:rPr>
          <w:rFonts w:asciiTheme="majorHAnsi" w:hAnsiTheme="majorHAnsi" w:cstheme="majorHAnsi"/>
        </w:rPr>
        <w:tab/>
        <w:t>Education Sector Strategic Plan</w:t>
      </w:r>
    </w:p>
    <w:p w14:paraId="54E55B7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FMU</w:t>
      </w:r>
      <w:r w:rsidRPr="0060082A">
        <w:rPr>
          <w:rFonts w:asciiTheme="majorHAnsi" w:hAnsiTheme="majorHAnsi" w:cstheme="majorHAnsi"/>
        </w:rPr>
        <w:tab/>
        <w:t>Facilities Management Unit</w:t>
      </w:r>
    </w:p>
    <w:p w14:paraId="7DF1B3FF"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GoA </w:t>
      </w:r>
      <w:r w:rsidRPr="0060082A">
        <w:rPr>
          <w:rFonts w:asciiTheme="majorHAnsi" w:hAnsiTheme="majorHAnsi" w:cstheme="majorHAnsi"/>
        </w:rPr>
        <w:tab/>
        <w:t>Government of Australia</w:t>
      </w:r>
    </w:p>
    <w:p w14:paraId="3C933573"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GoK </w:t>
      </w:r>
      <w:r w:rsidRPr="0060082A">
        <w:rPr>
          <w:rFonts w:asciiTheme="majorHAnsi" w:hAnsiTheme="majorHAnsi" w:cstheme="majorHAnsi"/>
        </w:rPr>
        <w:tab/>
        <w:t xml:space="preserve">Government of Kiribati </w:t>
      </w:r>
    </w:p>
    <w:p w14:paraId="76764155"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GER </w:t>
      </w:r>
      <w:r w:rsidRPr="0060082A">
        <w:rPr>
          <w:rFonts w:asciiTheme="majorHAnsi" w:hAnsiTheme="majorHAnsi" w:cstheme="majorHAnsi"/>
        </w:rPr>
        <w:tab/>
        <w:t xml:space="preserve">Gross Enrolment Ratio </w:t>
      </w:r>
    </w:p>
    <w:p w14:paraId="31B561CD" w14:textId="77777777" w:rsidR="00DF6FE1" w:rsidRPr="0060082A" w:rsidRDefault="00DF6FE1" w:rsidP="0060082A">
      <w:pPr>
        <w:tabs>
          <w:tab w:val="left" w:pos="1276"/>
        </w:tabs>
        <w:rPr>
          <w:rFonts w:asciiTheme="majorHAnsi" w:hAnsiTheme="majorHAnsi" w:cstheme="majorHAnsi"/>
          <w:lang w:val="en-US"/>
        </w:rPr>
      </w:pPr>
      <w:r w:rsidRPr="0060082A">
        <w:rPr>
          <w:rFonts w:asciiTheme="majorHAnsi" w:hAnsiTheme="majorHAnsi" w:cstheme="majorHAnsi"/>
          <w:lang w:val="en-US"/>
        </w:rPr>
        <w:t xml:space="preserve">HRD </w:t>
      </w:r>
      <w:r w:rsidRPr="0060082A">
        <w:rPr>
          <w:rFonts w:asciiTheme="majorHAnsi" w:hAnsiTheme="majorHAnsi" w:cstheme="majorHAnsi"/>
          <w:lang w:val="en-US"/>
        </w:rPr>
        <w:tab/>
        <w:t>Human Resource Development</w:t>
      </w:r>
    </w:p>
    <w:p w14:paraId="2E2EDB9D" w14:textId="56ABF0C6" w:rsidR="00680AEC" w:rsidRPr="0060082A" w:rsidRDefault="00680AEC" w:rsidP="0060082A">
      <w:pPr>
        <w:tabs>
          <w:tab w:val="left" w:pos="1276"/>
        </w:tabs>
        <w:rPr>
          <w:rFonts w:asciiTheme="majorHAnsi" w:hAnsiTheme="majorHAnsi" w:cstheme="majorHAnsi"/>
        </w:rPr>
      </w:pPr>
      <w:r w:rsidRPr="0060082A">
        <w:rPr>
          <w:rFonts w:asciiTheme="majorHAnsi" w:hAnsiTheme="majorHAnsi" w:cstheme="majorHAnsi"/>
        </w:rPr>
        <w:t>IDD</w:t>
      </w:r>
      <w:r w:rsidRPr="0060082A">
        <w:rPr>
          <w:rFonts w:asciiTheme="majorHAnsi" w:hAnsiTheme="majorHAnsi" w:cstheme="majorHAnsi"/>
        </w:rPr>
        <w:tab/>
        <w:t>Investment Design Document</w:t>
      </w:r>
    </w:p>
    <w:p w14:paraId="1675BC22"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IEC </w:t>
      </w:r>
      <w:r w:rsidRPr="0060082A">
        <w:rPr>
          <w:rFonts w:asciiTheme="majorHAnsi" w:hAnsiTheme="majorHAnsi" w:cstheme="majorHAnsi"/>
        </w:rPr>
        <w:tab/>
        <w:t xml:space="preserve">Island Education Coordinators </w:t>
      </w:r>
    </w:p>
    <w:p w14:paraId="3DBF22D8"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IELTS</w:t>
      </w:r>
      <w:r w:rsidRPr="0060082A">
        <w:rPr>
          <w:rFonts w:asciiTheme="majorHAnsi" w:hAnsiTheme="majorHAnsi" w:cstheme="majorHAnsi"/>
        </w:rPr>
        <w:tab/>
        <w:t>International English Language Testing System</w:t>
      </w:r>
    </w:p>
    <w:p w14:paraId="68A87EAD" w14:textId="77777777" w:rsidR="004A377C" w:rsidRPr="0060082A" w:rsidRDefault="004A377C" w:rsidP="0060082A">
      <w:pPr>
        <w:tabs>
          <w:tab w:val="left" w:pos="1276"/>
        </w:tabs>
        <w:rPr>
          <w:rFonts w:asciiTheme="majorHAnsi" w:hAnsiTheme="majorHAnsi" w:cstheme="majorHAnsi"/>
        </w:rPr>
      </w:pPr>
      <w:r w:rsidRPr="0060082A">
        <w:rPr>
          <w:rFonts w:asciiTheme="majorHAnsi" w:hAnsiTheme="majorHAnsi" w:cstheme="majorHAnsi"/>
        </w:rPr>
        <w:t>IEWG</w:t>
      </w:r>
      <w:r w:rsidRPr="0060082A">
        <w:rPr>
          <w:rFonts w:asciiTheme="majorHAnsi" w:hAnsiTheme="majorHAnsi" w:cstheme="majorHAnsi"/>
        </w:rPr>
        <w:tab/>
        <w:t>Inclusive Education Working Group</w:t>
      </w:r>
    </w:p>
    <w:p w14:paraId="23109442"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ISLPR</w:t>
      </w:r>
      <w:r w:rsidRPr="0060082A">
        <w:rPr>
          <w:rFonts w:asciiTheme="majorHAnsi" w:hAnsiTheme="majorHAnsi" w:cstheme="majorHAnsi"/>
        </w:rPr>
        <w:tab/>
        <w:t xml:space="preserve">International Second Language Proficiency Rating </w:t>
      </w:r>
    </w:p>
    <w:p w14:paraId="4E14608C"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JSS </w:t>
      </w:r>
      <w:r w:rsidRPr="0060082A">
        <w:rPr>
          <w:rFonts w:asciiTheme="majorHAnsi" w:hAnsiTheme="majorHAnsi" w:cstheme="majorHAnsi"/>
        </w:rPr>
        <w:tab/>
        <w:t>Junior Secondary School</w:t>
      </w:r>
      <w:r w:rsidRPr="0060082A">
        <w:rPr>
          <w:rFonts w:asciiTheme="majorHAnsi" w:hAnsiTheme="majorHAnsi" w:cstheme="majorHAnsi"/>
        </w:rPr>
        <w:tab/>
      </w:r>
    </w:p>
    <w:p w14:paraId="7EC8BA04"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KEIP</w:t>
      </w:r>
      <w:r w:rsidRPr="0060082A">
        <w:rPr>
          <w:rFonts w:asciiTheme="majorHAnsi" w:hAnsiTheme="majorHAnsi" w:cstheme="majorHAnsi"/>
        </w:rPr>
        <w:tab/>
        <w:t>Kiribati Education Improvement Program</w:t>
      </w:r>
    </w:p>
    <w:p w14:paraId="75951F84"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KEF </w:t>
      </w:r>
      <w:r w:rsidRPr="0060082A">
        <w:rPr>
          <w:rFonts w:asciiTheme="majorHAnsi" w:hAnsiTheme="majorHAnsi" w:cstheme="majorHAnsi"/>
        </w:rPr>
        <w:tab/>
        <w:t xml:space="preserve">Kiribati Education Facility </w:t>
      </w:r>
    </w:p>
    <w:p w14:paraId="74E6F2BA"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KELP</w:t>
      </w:r>
      <w:r w:rsidRPr="0060082A">
        <w:rPr>
          <w:rFonts w:asciiTheme="majorHAnsi" w:hAnsiTheme="majorHAnsi" w:cstheme="majorHAnsi"/>
        </w:rPr>
        <w:tab/>
        <w:t>Kiribati English Language Program</w:t>
      </w:r>
    </w:p>
    <w:p w14:paraId="5AFAB97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KELT</w:t>
      </w:r>
      <w:r w:rsidRPr="0060082A">
        <w:rPr>
          <w:rFonts w:asciiTheme="majorHAnsi" w:hAnsiTheme="majorHAnsi" w:cstheme="majorHAnsi"/>
        </w:rPr>
        <w:tab/>
        <w:t>Kiribati English Language Training</w:t>
      </w:r>
    </w:p>
    <w:p w14:paraId="5FA8DEDE"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KTC </w:t>
      </w:r>
      <w:r w:rsidRPr="0060082A">
        <w:rPr>
          <w:rFonts w:asciiTheme="majorHAnsi" w:hAnsiTheme="majorHAnsi" w:cstheme="majorHAnsi"/>
        </w:rPr>
        <w:tab/>
        <w:t>Kiribati Teachers College</w:t>
      </w:r>
    </w:p>
    <w:p w14:paraId="6C7ADB0A"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KTC TESOL</w:t>
      </w:r>
      <w:r w:rsidRPr="0060082A">
        <w:rPr>
          <w:rFonts w:asciiTheme="majorHAnsi" w:hAnsiTheme="majorHAnsi" w:cstheme="majorHAnsi"/>
        </w:rPr>
        <w:tab/>
        <w:t xml:space="preserve">KTC Teaching English as a Second or Other Language </w:t>
      </w:r>
    </w:p>
    <w:p w14:paraId="4031FA28" w14:textId="77777777" w:rsidR="009C226E" w:rsidRPr="0060082A" w:rsidRDefault="009C226E" w:rsidP="0060082A">
      <w:pPr>
        <w:tabs>
          <w:tab w:val="left" w:pos="1276"/>
        </w:tabs>
        <w:rPr>
          <w:rFonts w:asciiTheme="majorHAnsi" w:hAnsiTheme="majorHAnsi" w:cstheme="majorHAnsi"/>
        </w:rPr>
      </w:pPr>
      <w:r w:rsidRPr="0060082A">
        <w:rPr>
          <w:rFonts w:asciiTheme="majorHAnsi" w:hAnsiTheme="majorHAnsi" w:cstheme="majorHAnsi"/>
        </w:rPr>
        <w:t>LEPP</w:t>
      </w:r>
      <w:r w:rsidRPr="0060082A">
        <w:rPr>
          <w:rFonts w:asciiTheme="majorHAnsi" w:hAnsiTheme="majorHAnsi" w:cstheme="majorHAnsi"/>
        </w:rPr>
        <w:tab/>
        <w:t>Language Education Pilot Project</w:t>
      </w:r>
    </w:p>
    <w:p w14:paraId="58569D2F"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MC </w:t>
      </w:r>
      <w:r w:rsidRPr="0060082A">
        <w:rPr>
          <w:rFonts w:asciiTheme="majorHAnsi" w:hAnsiTheme="majorHAnsi" w:cstheme="majorHAnsi"/>
        </w:rPr>
        <w:tab/>
        <w:t xml:space="preserve">Managing Contractor </w:t>
      </w:r>
    </w:p>
    <w:p w14:paraId="0DD8E6F3"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M&amp;E </w:t>
      </w:r>
      <w:r w:rsidRPr="0060082A">
        <w:rPr>
          <w:rFonts w:asciiTheme="majorHAnsi" w:hAnsiTheme="majorHAnsi" w:cstheme="majorHAnsi"/>
        </w:rPr>
        <w:tab/>
        <w:t xml:space="preserve">Monitoring and Evaluation </w:t>
      </w:r>
    </w:p>
    <w:p w14:paraId="5520A7B5"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MLPID </w:t>
      </w:r>
      <w:r w:rsidRPr="0060082A">
        <w:rPr>
          <w:rFonts w:asciiTheme="majorHAnsi" w:hAnsiTheme="majorHAnsi" w:cstheme="majorHAnsi"/>
        </w:rPr>
        <w:tab/>
        <w:t>Ministry of the Line and Phoenix Islands</w:t>
      </w:r>
    </w:p>
    <w:p w14:paraId="60CEA3C4"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lastRenderedPageBreak/>
        <w:t>MoE</w:t>
      </w:r>
      <w:r w:rsidRPr="0060082A">
        <w:rPr>
          <w:rFonts w:asciiTheme="majorHAnsi" w:hAnsiTheme="majorHAnsi" w:cstheme="majorHAnsi"/>
        </w:rPr>
        <w:tab/>
        <w:t xml:space="preserve">Ministry of Education </w:t>
      </w:r>
    </w:p>
    <w:p w14:paraId="726D8E4F"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MOP </w:t>
      </w:r>
      <w:r w:rsidRPr="0060082A">
        <w:rPr>
          <w:rFonts w:asciiTheme="majorHAnsi" w:hAnsiTheme="majorHAnsi" w:cstheme="majorHAnsi"/>
        </w:rPr>
        <w:tab/>
        <w:t xml:space="preserve">Ministry Operational Plans </w:t>
      </w:r>
    </w:p>
    <w:p w14:paraId="6FF9736B"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MPWU</w:t>
      </w:r>
      <w:r w:rsidRPr="0060082A">
        <w:rPr>
          <w:rFonts w:asciiTheme="majorHAnsi" w:hAnsiTheme="majorHAnsi" w:cstheme="majorHAnsi"/>
        </w:rPr>
        <w:tab/>
        <w:t>Ministry of Public Works and Utilities</w:t>
      </w:r>
    </w:p>
    <w:p w14:paraId="4FCDC07D" w14:textId="77777777" w:rsidR="005336B2" w:rsidRPr="0060082A" w:rsidRDefault="005336B2" w:rsidP="0060082A">
      <w:pPr>
        <w:tabs>
          <w:tab w:val="left" w:pos="1276"/>
        </w:tabs>
        <w:rPr>
          <w:rFonts w:asciiTheme="majorHAnsi" w:hAnsiTheme="majorHAnsi" w:cstheme="majorHAnsi"/>
        </w:rPr>
      </w:pPr>
      <w:r w:rsidRPr="0060082A">
        <w:rPr>
          <w:rFonts w:asciiTheme="majorHAnsi" w:hAnsiTheme="majorHAnsi" w:cstheme="majorHAnsi"/>
        </w:rPr>
        <w:t>MWYSA</w:t>
      </w:r>
      <w:r w:rsidRPr="0060082A">
        <w:rPr>
          <w:rFonts w:asciiTheme="majorHAnsi" w:hAnsiTheme="majorHAnsi" w:cstheme="majorHAnsi"/>
        </w:rPr>
        <w:tab/>
        <w:t>Kiribati Ministry of Women, Youth and Social Affairs</w:t>
      </w:r>
    </w:p>
    <w:p w14:paraId="235E558D"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NCAF</w:t>
      </w:r>
      <w:r w:rsidRPr="0060082A">
        <w:rPr>
          <w:rFonts w:asciiTheme="majorHAnsi" w:hAnsiTheme="majorHAnsi" w:cstheme="majorHAnsi"/>
        </w:rPr>
        <w:tab/>
        <w:t xml:space="preserve">National Curriculum and Assessment Framework </w:t>
      </w:r>
    </w:p>
    <w:p w14:paraId="7504C967"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NER </w:t>
      </w:r>
      <w:r w:rsidRPr="0060082A">
        <w:rPr>
          <w:rFonts w:asciiTheme="majorHAnsi" w:hAnsiTheme="majorHAnsi" w:cstheme="majorHAnsi"/>
        </w:rPr>
        <w:tab/>
        <w:t>Net Enrolment Ratio</w:t>
      </w:r>
    </w:p>
    <w:p w14:paraId="53AF63B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NGO </w:t>
      </w:r>
      <w:r w:rsidRPr="0060082A">
        <w:rPr>
          <w:rFonts w:asciiTheme="majorHAnsi" w:hAnsiTheme="majorHAnsi" w:cstheme="majorHAnsi"/>
        </w:rPr>
        <w:tab/>
        <w:t xml:space="preserve">Non-Government Organisations </w:t>
      </w:r>
    </w:p>
    <w:p w14:paraId="0A9026BD" w14:textId="77777777" w:rsidR="00DF6FE1" w:rsidRPr="0060082A" w:rsidRDefault="00DF6FE1" w:rsidP="0060082A">
      <w:pPr>
        <w:tabs>
          <w:tab w:val="left" w:pos="1276"/>
        </w:tabs>
        <w:rPr>
          <w:rFonts w:asciiTheme="majorHAnsi" w:hAnsiTheme="majorHAnsi" w:cstheme="majorHAnsi"/>
          <w:lang w:val="en-US"/>
        </w:rPr>
      </w:pPr>
      <w:r w:rsidRPr="0060082A">
        <w:rPr>
          <w:rFonts w:asciiTheme="majorHAnsi" w:hAnsiTheme="majorHAnsi" w:cstheme="majorHAnsi"/>
          <w:lang w:val="en-US"/>
        </w:rPr>
        <w:t>NIS</w:t>
      </w:r>
      <w:r w:rsidRPr="0060082A">
        <w:rPr>
          <w:rFonts w:asciiTheme="majorHAnsi" w:hAnsiTheme="majorHAnsi" w:cstheme="majorHAnsi"/>
          <w:lang w:val="en-US"/>
        </w:rPr>
        <w:tab/>
        <w:t>National Infrastructure Standards</w:t>
      </w:r>
    </w:p>
    <w:p w14:paraId="572AE54B" w14:textId="77777777" w:rsidR="006C7CB2" w:rsidRPr="0060082A" w:rsidRDefault="006C7CB2" w:rsidP="0060082A">
      <w:pPr>
        <w:tabs>
          <w:tab w:val="left" w:pos="1276"/>
        </w:tabs>
        <w:rPr>
          <w:rFonts w:asciiTheme="majorHAnsi" w:hAnsiTheme="majorHAnsi" w:cstheme="majorHAnsi"/>
          <w:lang w:val="en-US"/>
        </w:rPr>
      </w:pPr>
      <w:r w:rsidRPr="0060082A">
        <w:rPr>
          <w:rFonts w:asciiTheme="majorHAnsi" w:hAnsiTheme="majorHAnsi" w:cstheme="majorHAnsi"/>
          <w:lang w:val="en-US"/>
        </w:rPr>
        <w:t>NZ AID</w:t>
      </w:r>
      <w:r w:rsidRPr="0060082A">
        <w:rPr>
          <w:rFonts w:asciiTheme="majorHAnsi" w:hAnsiTheme="majorHAnsi" w:cstheme="majorHAnsi"/>
          <w:lang w:val="en-US"/>
        </w:rPr>
        <w:tab/>
        <w:t>The New Zealand Aid Program (within Foreign Affairs and Trade)</w:t>
      </w:r>
    </w:p>
    <w:p w14:paraId="23AB56C6" w14:textId="77777777" w:rsidR="00DF6FE1" w:rsidRPr="0060082A" w:rsidRDefault="00DF6FE1" w:rsidP="0060082A">
      <w:pPr>
        <w:tabs>
          <w:tab w:val="left" w:pos="1276"/>
        </w:tabs>
        <w:rPr>
          <w:rFonts w:asciiTheme="majorHAnsi" w:hAnsiTheme="majorHAnsi" w:cstheme="majorHAnsi"/>
          <w:lang w:val="en-US"/>
        </w:rPr>
      </w:pPr>
      <w:r w:rsidRPr="0060082A">
        <w:rPr>
          <w:rFonts w:asciiTheme="majorHAnsi" w:hAnsiTheme="majorHAnsi" w:cstheme="majorHAnsi"/>
          <w:lang w:val="en-US"/>
        </w:rPr>
        <w:t xml:space="preserve">P4D </w:t>
      </w:r>
      <w:r w:rsidRPr="0060082A">
        <w:rPr>
          <w:rFonts w:asciiTheme="majorHAnsi" w:hAnsiTheme="majorHAnsi" w:cstheme="majorHAnsi"/>
          <w:lang w:val="en-US"/>
        </w:rPr>
        <w:tab/>
        <w:t xml:space="preserve">Kiribati-Australia Partnership for Development </w:t>
      </w:r>
    </w:p>
    <w:p w14:paraId="7F2CAC5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PACTAM</w:t>
      </w:r>
      <w:r w:rsidRPr="0060082A">
        <w:rPr>
          <w:rFonts w:asciiTheme="majorHAnsi" w:hAnsiTheme="majorHAnsi" w:cstheme="majorHAnsi"/>
        </w:rPr>
        <w:tab/>
        <w:t>Pacific Technical Assistance Mechanism</w:t>
      </w:r>
    </w:p>
    <w:p w14:paraId="6FDB76B7"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PD</w:t>
      </w:r>
      <w:r w:rsidRPr="0060082A">
        <w:rPr>
          <w:rFonts w:asciiTheme="majorHAnsi" w:hAnsiTheme="majorHAnsi" w:cstheme="majorHAnsi"/>
        </w:rPr>
        <w:tab/>
        <w:t>Professional Development</w:t>
      </w:r>
    </w:p>
    <w:p w14:paraId="51663BD9" w14:textId="77777777" w:rsidR="006C7CB2" w:rsidRPr="0060082A" w:rsidRDefault="006C7CB2" w:rsidP="0060082A">
      <w:pPr>
        <w:tabs>
          <w:tab w:val="left" w:pos="1276"/>
        </w:tabs>
        <w:rPr>
          <w:rFonts w:asciiTheme="majorHAnsi" w:hAnsiTheme="majorHAnsi" w:cstheme="majorHAnsi"/>
        </w:rPr>
      </w:pPr>
      <w:r w:rsidRPr="0060082A">
        <w:rPr>
          <w:rFonts w:asciiTheme="majorHAnsi" w:hAnsiTheme="majorHAnsi" w:cstheme="majorHAnsi"/>
        </w:rPr>
        <w:t>PESDA</w:t>
      </w:r>
      <w:r w:rsidRPr="0060082A">
        <w:rPr>
          <w:rFonts w:asciiTheme="majorHAnsi" w:hAnsiTheme="majorHAnsi" w:cstheme="majorHAnsi"/>
        </w:rPr>
        <w:tab/>
        <w:t>Pacific Education and Skills Development Agenda</w:t>
      </w:r>
    </w:p>
    <w:p w14:paraId="5A12C6ED"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PILNA </w:t>
      </w:r>
      <w:r w:rsidRPr="0060082A">
        <w:rPr>
          <w:rFonts w:asciiTheme="majorHAnsi" w:hAnsiTheme="majorHAnsi" w:cstheme="majorHAnsi"/>
        </w:rPr>
        <w:tab/>
        <w:t xml:space="preserve">Pacific Islands Literacy and Numeracy Assessment </w:t>
      </w:r>
    </w:p>
    <w:p w14:paraId="1D665CCC"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PPD</w:t>
      </w:r>
      <w:r w:rsidRPr="0060082A">
        <w:rPr>
          <w:rFonts w:asciiTheme="majorHAnsi" w:hAnsiTheme="majorHAnsi" w:cstheme="majorHAnsi"/>
        </w:rPr>
        <w:tab/>
        <w:t>Policy, Planning and Development Unit</w:t>
      </w:r>
    </w:p>
    <w:p w14:paraId="7B02CAC2"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PSRP</w:t>
      </w:r>
      <w:r w:rsidRPr="0060082A">
        <w:rPr>
          <w:rFonts w:asciiTheme="majorHAnsi" w:hAnsiTheme="majorHAnsi" w:cstheme="majorHAnsi"/>
        </w:rPr>
        <w:tab/>
        <w:t>Primary Schools Rehabilitation Plan</w:t>
      </w:r>
    </w:p>
    <w:p w14:paraId="35296DB6"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QA </w:t>
      </w:r>
      <w:r w:rsidRPr="0060082A">
        <w:rPr>
          <w:rFonts w:asciiTheme="majorHAnsi" w:hAnsiTheme="majorHAnsi" w:cstheme="majorHAnsi"/>
        </w:rPr>
        <w:tab/>
        <w:t>Quality Assurance</w:t>
      </w:r>
    </w:p>
    <w:p w14:paraId="1162B51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SCCSN</w:t>
      </w:r>
      <w:r w:rsidRPr="0060082A">
        <w:rPr>
          <w:rFonts w:asciiTheme="majorHAnsi" w:hAnsiTheme="majorHAnsi" w:cstheme="majorHAnsi"/>
        </w:rPr>
        <w:tab/>
        <w:t>School and Centre for Children with Special Needs</w:t>
      </w:r>
    </w:p>
    <w:p w14:paraId="12C8E767" w14:textId="77777777" w:rsidR="004A377C" w:rsidRPr="0060082A" w:rsidRDefault="004A377C" w:rsidP="0060082A">
      <w:pPr>
        <w:tabs>
          <w:tab w:val="left" w:pos="1276"/>
        </w:tabs>
        <w:rPr>
          <w:rFonts w:asciiTheme="majorHAnsi" w:hAnsiTheme="majorHAnsi" w:cstheme="majorHAnsi"/>
        </w:rPr>
      </w:pPr>
      <w:r w:rsidRPr="0060082A">
        <w:rPr>
          <w:rFonts w:asciiTheme="majorHAnsi" w:hAnsiTheme="majorHAnsi" w:cstheme="majorHAnsi"/>
        </w:rPr>
        <w:t>SFDA</w:t>
      </w:r>
      <w:r w:rsidRPr="0060082A">
        <w:rPr>
          <w:rFonts w:asciiTheme="majorHAnsi" w:hAnsiTheme="majorHAnsi" w:cstheme="majorHAnsi"/>
        </w:rPr>
        <w:tab/>
        <w:t>School Focussed Disability Adviser</w:t>
      </w:r>
    </w:p>
    <w:p w14:paraId="406223EC"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SIU </w:t>
      </w:r>
      <w:r w:rsidRPr="0060082A">
        <w:rPr>
          <w:rFonts w:asciiTheme="majorHAnsi" w:hAnsiTheme="majorHAnsi" w:cstheme="majorHAnsi"/>
        </w:rPr>
        <w:tab/>
        <w:t xml:space="preserve">School Improvement Unit </w:t>
      </w:r>
    </w:p>
    <w:p w14:paraId="1008F5D8"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SIP</w:t>
      </w:r>
      <w:r w:rsidRPr="0060082A">
        <w:rPr>
          <w:rFonts w:asciiTheme="majorHAnsi" w:hAnsiTheme="majorHAnsi" w:cstheme="majorHAnsi"/>
        </w:rPr>
        <w:tab/>
        <w:t>School Improvement Plan</w:t>
      </w:r>
    </w:p>
    <w:p w14:paraId="42CC2288"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SfEP</w:t>
      </w:r>
      <w:r w:rsidRPr="0060082A">
        <w:rPr>
          <w:rFonts w:asciiTheme="majorHAnsi" w:hAnsiTheme="majorHAnsi" w:cstheme="majorHAnsi"/>
        </w:rPr>
        <w:tab/>
        <w:t>Skills for Employment Program</w:t>
      </w:r>
    </w:p>
    <w:p w14:paraId="2C5584B0"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SMT </w:t>
      </w:r>
      <w:r w:rsidRPr="0060082A">
        <w:rPr>
          <w:rFonts w:asciiTheme="majorHAnsi" w:hAnsiTheme="majorHAnsi" w:cstheme="majorHAnsi"/>
        </w:rPr>
        <w:tab/>
        <w:t xml:space="preserve">Senior Management Team </w:t>
      </w:r>
    </w:p>
    <w:p w14:paraId="67D02023" w14:textId="77777777" w:rsidR="00DF6FE1" w:rsidRPr="0060082A" w:rsidRDefault="00DF6FE1" w:rsidP="0060082A">
      <w:pPr>
        <w:tabs>
          <w:tab w:val="left" w:pos="1276"/>
        </w:tabs>
        <w:rPr>
          <w:rFonts w:asciiTheme="majorHAnsi" w:hAnsiTheme="majorHAnsi" w:cstheme="majorHAnsi"/>
          <w:lang w:val="en-US"/>
        </w:rPr>
      </w:pPr>
      <w:r w:rsidRPr="0060082A">
        <w:rPr>
          <w:rFonts w:asciiTheme="majorHAnsi" w:hAnsiTheme="majorHAnsi" w:cstheme="majorHAnsi"/>
        </w:rPr>
        <w:t xml:space="preserve">STAKI </w:t>
      </w:r>
      <w:r w:rsidRPr="0060082A">
        <w:rPr>
          <w:rFonts w:asciiTheme="majorHAnsi" w:hAnsiTheme="majorHAnsi" w:cstheme="majorHAnsi"/>
        </w:rPr>
        <w:tab/>
        <w:t>Standardised Test of Achievement in Kiribati</w:t>
      </w:r>
    </w:p>
    <w:p w14:paraId="366DD481" w14:textId="77777777" w:rsidR="006C7CB2" w:rsidRPr="0060082A" w:rsidRDefault="006C7CB2" w:rsidP="0060082A">
      <w:pPr>
        <w:tabs>
          <w:tab w:val="left" w:pos="1276"/>
        </w:tabs>
        <w:rPr>
          <w:rFonts w:asciiTheme="majorHAnsi" w:hAnsiTheme="majorHAnsi" w:cstheme="majorHAnsi"/>
        </w:rPr>
      </w:pPr>
      <w:r w:rsidRPr="0060082A">
        <w:rPr>
          <w:rFonts w:asciiTheme="majorHAnsi" w:hAnsiTheme="majorHAnsi" w:cstheme="majorHAnsi"/>
        </w:rPr>
        <w:t>SWaP</w:t>
      </w:r>
      <w:r w:rsidRPr="0060082A">
        <w:rPr>
          <w:rFonts w:asciiTheme="majorHAnsi" w:hAnsiTheme="majorHAnsi" w:cstheme="majorHAnsi"/>
        </w:rPr>
        <w:tab/>
        <w:t>Sector Wide Approach</w:t>
      </w:r>
    </w:p>
    <w:p w14:paraId="2E7E2105"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TA</w:t>
      </w:r>
      <w:r w:rsidRPr="0060082A">
        <w:rPr>
          <w:rFonts w:asciiTheme="majorHAnsi" w:hAnsiTheme="majorHAnsi" w:cstheme="majorHAnsi"/>
        </w:rPr>
        <w:tab/>
        <w:t>Technical Adviser</w:t>
      </w:r>
    </w:p>
    <w:p w14:paraId="563BCB83" w14:textId="3A344170" w:rsidR="004E1BF2" w:rsidRPr="0060082A" w:rsidRDefault="004E1BF2" w:rsidP="0060082A">
      <w:pPr>
        <w:tabs>
          <w:tab w:val="left" w:pos="1276"/>
        </w:tabs>
        <w:rPr>
          <w:rFonts w:asciiTheme="majorHAnsi" w:hAnsiTheme="majorHAnsi" w:cstheme="majorHAnsi"/>
        </w:rPr>
      </w:pPr>
      <w:r w:rsidRPr="0060082A">
        <w:rPr>
          <w:rFonts w:asciiTheme="majorHAnsi" w:hAnsiTheme="majorHAnsi" w:cstheme="majorHAnsi"/>
        </w:rPr>
        <w:t>TSIMU</w:t>
      </w:r>
      <w:r w:rsidRPr="0060082A">
        <w:rPr>
          <w:rFonts w:asciiTheme="majorHAnsi" w:hAnsiTheme="majorHAnsi" w:cstheme="majorHAnsi"/>
        </w:rPr>
        <w:tab/>
        <w:t>Technology Support and Information Management Unit</w:t>
      </w:r>
    </w:p>
    <w:p w14:paraId="7EEDACA4" w14:textId="7F0518B2" w:rsidR="004A0684" w:rsidRPr="0060082A" w:rsidRDefault="004A0684" w:rsidP="0060082A">
      <w:pPr>
        <w:tabs>
          <w:tab w:val="left" w:pos="1276"/>
        </w:tabs>
        <w:rPr>
          <w:rFonts w:asciiTheme="majorHAnsi" w:hAnsiTheme="majorHAnsi" w:cstheme="majorHAnsi"/>
        </w:rPr>
      </w:pPr>
      <w:r w:rsidRPr="0060082A">
        <w:rPr>
          <w:rFonts w:asciiTheme="majorHAnsi" w:hAnsiTheme="majorHAnsi" w:cstheme="majorHAnsi"/>
        </w:rPr>
        <w:t>TPD</w:t>
      </w:r>
      <w:r w:rsidRPr="0060082A">
        <w:rPr>
          <w:rFonts w:asciiTheme="majorHAnsi" w:hAnsiTheme="majorHAnsi" w:cstheme="majorHAnsi"/>
        </w:rPr>
        <w:tab/>
        <w:t>Teacher Professional Development</w:t>
      </w:r>
    </w:p>
    <w:p w14:paraId="37C59396" w14:textId="77777777" w:rsidR="00366943" w:rsidRPr="0060082A" w:rsidRDefault="00366943" w:rsidP="0060082A">
      <w:pPr>
        <w:tabs>
          <w:tab w:val="left" w:pos="1276"/>
        </w:tabs>
        <w:rPr>
          <w:rFonts w:asciiTheme="majorHAnsi" w:hAnsiTheme="majorHAnsi" w:cstheme="majorHAnsi"/>
        </w:rPr>
      </w:pPr>
      <w:r w:rsidRPr="0060082A">
        <w:rPr>
          <w:rFonts w:asciiTheme="majorHAnsi" w:hAnsiTheme="majorHAnsi" w:cstheme="majorHAnsi"/>
        </w:rPr>
        <w:t>TSS</w:t>
      </w:r>
      <w:r w:rsidRPr="0060082A">
        <w:rPr>
          <w:rFonts w:asciiTheme="majorHAnsi" w:hAnsiTheme="majorHAnsi" w:cstheme="majorHAnsi"/>
        </w:rPr>
        <w:tab/>
        <w:t>Kiribati Teaching Service Standards</w:t>
      </w:r>
    </w:p>
    <w:p w14:paraId="31BBA202"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UNESCO</w:t>
      </w:r>
      <w:r w:rsidRPr="0060082A">
        <w:rPr>
          <w:rFonts w:asciiTheme="majorHAnsi" w:hAnsiTheme="majorHAnsi" w:cstheme="majorHAnsi"/>
        </w:rPr>
        <w:tab/>
        <w:t>United Nations Environmental, Scientific and Cultural Organisation</w:t>
      </w:r>
    </w:p>
    <w:p w14:paraId="0642E944"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UNICEF</w:t>
      </w:r>
      <w:r w:rsidRPr="0060082A">
        <w:rPr>
          <w:rFonts w:asciiTheme="majorHAnsi" w:hAnsiTheme="majorHAnsi" w:cstheme="majorHAnsi"/>
        </w:rPr>
        <w:tab/>
        <w:t>United Nations Children’s Emergency Fund</w:t>
      </w:r>
    </w:p>
    <w:p w14:paraId="4FFB9491" w14:textId="77777777" w:rsidR="00DF6FE1" w:rsidRPr="0060082A" w:rsidRDefault="00DF6FE1" w:rsidP="0060082A">
      <w:pPr>
        <w:tabs>
          <w:tab w:val="left" w:pos="1276"/>
        </w:tabs>
        <w:rPr>
          <w:rFonts w:asciiTheme="majorHAnsi" w:hAnsiTheme="majorHAnsi" w:cstheme="majorHAnsi"/>
        </w:rPr>
      </w:pPr>
      <w:r w:rsidRPr="0060082A">
        <w:rPr>
          <w:rFonts w:asciiTheme="majorHAnsi" w:hAnsiTheme="majorHAnsi" w:cstheme="majorHAnsi"/>
        </w:rPr>
        <w:t xml:space="preserve">WASH </w:t>
      </w:r>
      <w:r w:rsidRPr="0060082A">
        <w:rPr>
          <w:rFonts w:asciiTheme="majorHAnsi" w:hAnsiTheme="majorHAnsi" w:cstheme="majorHAnsi"/>
        </w:rPr>
        <w:tab/>
        <w:t>Water, Sanitation and Hygiene</w:t>
      </w:r>
    </w:p>
    <w:p w14:paraId="017F67BB" w14:textId="77777777" w:rsidR="00DF6FE1" w:rsidRPr="0060082A" w:rsidRDefault="00DF6FE1" w:rsidP="0060082A">
      <w:pPr>
        <w:tabs>
          <w:tab w:val="left" w:pos="1276"/>
        </w:tabs>
        <w:rPr>
          <w:rFonts w:asciiTheme="majorHAnsi" w:hAnsiTheme="majorHAnsi" w:cstheme="majorHAnsi"/>
          <w:lang w:val="en-US"/>
        </w:rPr>
      </w:pPr>
      <w:r w:rsidRPr="0060082A">
        <w:rPr>
          <w:rFonts w:asciiTheme="majorHAnsi" w:hAnsiTheme="majorHAnsi" w:cstheme="majorHAnsi"/>
        </w:rPr>
        <w:t>WATSAN</w:t>
      </w:r>
      <w:r w:rsidRPr="0060082A">
        <w:rPr>
          <w:rFonts w:asciiTheme="majorHAnsi" w:hAnsiTheme="majorHAnsi" w:cstheme="majorHAnsi"/>
        </w:rPr>
        <w:tab/>
        <w:t xml:space="preserve">Water and Sanitation </w:t>
      </w:r>
    </w:p>
    <w:p w14:paraId="0FBB1760" w14:textId="77777777" w:rsidR="00A96DAA" w:rsidRPr="00C918BF" w:rsidRDefault="00A96DAA">
      <w:pPr>
        <w:spacing w:line="276" w:lineRule="auto"/>
        <w:rPr>
          <w:rFonts w:ascii="Calibri" w:hAnsi="Calibri"/>
          <w:b/>
          <w:sz w:val="36"/>
          <w:szCs w:val="40"/>
        </w:rPr>
        <w:sectPr w:rsidR="00A96DAA" w:rsidRPr="00C918BF" w:rsidSect="008225AE">
          <w:footerReference w:type="default" r:id="rId16"/>
          <w:pgSz w:w="11906" w:h="16838" w:code="9"/>
          <w:pgMar w:top="851" w:right="1304" w:bottom="1304" w:left="1304" w:header="709" w:footer="510" w:gutter="0"/>
          <w:pgNumType w:fmt="lowerRoman" w:start="1"/>
          <w:cols w:space="708"/>
          <w:docGrid w:linePitch="360"/>
        </w:sectPr>
      </w:pPr>
    </w:p>
    <w:p w14:paraId="177C7853" w14:textId="2B5D5857" w:rsidR="00A96DAA" w:rsidRDefault="00C56BB6" w:rsidP="004D5223">
      <w:pPr>
        <w:pStyle w:val="Heading1"/>
        <w:rPr>
          <w:color w:val="auto"/>
        </w:rPr>
      </w:pPr>
      <w:bookmarkStart w:id="10" w:name="_Toc453669672"/>
      <w:bookmarkStart w:id="11" w:name="_Toc461615668"/>
      <w:r w:rsidRPr="0060082A">
        <w:rPr>
          <w:noProof/>
          <w:color w:val="auto"/>
          <w:highlight w:val="yellow"/>
          <w:lang w:eastAsia="en-AU"/>
        </w:rPr>
        <w:lastRenderedPageBreak/>
        <w:drawing>
          <wp:anchor distT="0" distB="0" distL="114300" distR="114300" simplePos="0" relativeHeight="251730943" behindDoc="0" locked="0" layoutInCell="1" allowOverlap="1" wp14:anchorId="19CAFB70" wp14:editId="02F65BC6">
            <wp:simplePos x="0" y="0"/>
            <wp:positionH relativeFrom="page">
              <wp:posOffset>10160</wp:posOffset>
            </wp:positionH>
            <wp:positionV relativeFrom="paragraph">
              <wp:posOffset>-814705</wp:posOffset>
            </wp:positionV>
            <wp:extent cx="10668000" cy="7541900"/>
            <wp:effectExtent l="0" t="0" r="0" b="1905"/>
            <wp:wrapNone/>
            <wp:docPr id="4" name="Picture 4" descr="A total of 12 schools have been rehabilitated in Phase 2 of the Kiribati Education Improvement Program.&#10;The total number of females who benefited is 2052.&#10;The total number of males who benefited is 2007.0&#10;Tarawa has 5 schools that were rehabilitated in phase 2. &#10;Saint John Bosco Primary School has 248 female students and 255 male students.&#10;Dai Nippon Primary School has 333 female students and 297 male students.&#10;Rurubao Primary School has 141 female students and 94 male students.&#10;Abaunamou Primary School has 327 female students and 303 male students.&#10;Bareaumai Primary School has 214 female students and 193 male students.&#10;The Sunlight Primary School, located on Teraina Island, has 111 Female students and 136 male students.&#10;Tabuaeran Island has 3 primary schools that were rehabilitated in Phase 2.&#10;Tebonnano Primary School has 53 female students and 59 male students.&#10;Norwegian Cruise Line Primary School has 88 female students and 100 male students.&#10;Ara Eden Primary School has 40 female students and 49 male students.&#10;Kiritimai (pronounced Kirismas) Island has 3 primary schools that were rehabilitated in Phase 2.&#10;Tennessee Primary School has 363 female students and 384 male students.&#10;Banana / Gulfport Primary School has 103 female students and 107 male students. &#10;Poland Primary School has 33 female students and 30 male students." title="Infographic of a map of schools rehabilitated in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for Completion Report.jpg"/>
                    <pic:cNvPicPr/>
                  </pic:nvPicPr>
                  <pic:blipFill>
                    <a:blip r:embed="rId17" cstate="screen">
                      <a:extLst>
                        <a:ext uri="{28A0092B-C50C-407E-A947-70E740481C1C}">
                          <a14:useLocalDpi xmlns:a14="http://schemas.microsoft.com/office/drawing/2010/main"/>
                        </a:ext>
                      </a:extLst>
                    </a:blip>
                    <a:stretch>
                      <a:fillRect/>
                    </a:stretch>
                  </pic:blipFill>
                  <pic:spPr>
                    <a:xfrm>
                      <a:off x="0" y="0"/>
                      <a:ext cx="10668000" cy="7541900"/>
                    </a:xfrm>
                    <a:prstGeom prst="rect">
                      <a:avLst/>
                    </a:prstGeom>
                  </pic:spPr>
                </pic:pic>
              </a:graphicData>
            </a:graphic>
            <wp14:sizeRelH relativeFrom="page">
              <wp14:pctWidth>0</wp14:pctWidth>
            </wp14:sizeRelH>
            <wp14:sizeRelV relativeFrom="page">
              <wp14:pctHeight>0</wp14:pctHeight>
            </wp14:sizeRelV>
          </wp:anchor>
        </w:drawing>
      </w:r>
      <w:r w:rsidR="007750E6" w:rsidRPr="00C56BB6">
        <w:rPr>
          <w:color w:val="auto"/>
        </w:rPr>
        <w:t>Map of schools</w:t>
      </w:r>
      <w:r w:rsidR="004D5223" w:rsidRPr="00C56BB6">
        <w:rPr>
          <w:color w:val="auto"/>
        </w:rPr>
        <w:t xml:space="preserve"> rehabilitated in Phase </w:t>
      </w:r>
      <w:r w:rsidR="00A629A7" w:rsidRPr="0060082A">
        <w:rPr>
          <w:color w:val="auto"/>
        </w:rPr>
        <w:t>2</w:t>
      </w:r>
      <w:bookmarkEnd w:id="10"/>
      <w:bookmarkEnd w:id="11"/>
    </w:p>
    <w:p w14:paraId="65236BC3" w14:textId="77777777" w:rsidR="00482D83" w:rsidRPr="0060082A" w:rsidRDefault="00482D83" w:rsidP="0060082A">
      <w:pPr>
        <w:pStyle w:val="BodyText"/>
        <w:sectPr w:rsidR="00482D83" w:rsidRPr="0060082A" w:rsidSect="00814472">
          <w:pgSz w:w="16838" w:h="11906" w:orient="landscape" w:code="9"/>
          <w:pgMar w:top="1304" w:right="851" w:bottom="1304" w:left="1304" w:header="709" w:footer="709" w:gutter="0"/>
          <w:pgNumType w:fmt="lowerRoman"/>
          <w:cols w:space="708"/>
          <w:docGrid w:linePitch="360"/>
        </w:sectPr>
      </w:pPr>
    </w:p>
    <w:p w14:paraId="5B3D4226" w14:textId="310FCD3D" w:rsidR="00807215" w:rsidRPr="00C918BF" w:rsidRDefault="00DE1EF6" w:rsidP="00A96DAA">
      <w:pPr>
        <w:pStyle w:val="Heading1"/>
        <w:rPr>
          <w:color w:val="auto"/>
        </w:rPr>
      </w:pPr>
      <w:bookmarkStart w:id="12" w:name="_Toc453669673"/>
      <w:bookmarkStart w:id="13" w:name="_Toc461615669"/>
      <w:bookmarkStart w:id="14" w:name="_GoBack"/>
      <w:r w:rsidRPr="0060082A">
        <w:rPr>
          <w:noProof/>
          <w:color w:val="auto"/>
          <w:highlight w:val="yellow"/>
          <w:lang w:eastAsia="en-AU"/>
        </w:rPr>
        <w:lastRenderedPageBreak/>
        <w:drawing>
          <wp:anchor distT="0" distB="0" distL="114300" distR="114300" simplePos="0" relativeHeight="251747327" behindDoc="0" locked="0" layoutInCell="1" allowOverlap="1" wp14:anchorId="25329F8C" wp14:editId="402B6185">
            <wp:simplePos x="0" y="0"/>
            <wp:positionH relativeFrom="page">
              <wp:posOffset>2050</wp:posOffset>
            </wp:positionH>
            <wp:positionV relativeFrom="paragraph">
              <wp:posOffset>-541020</wp:posOffset>
            </wp:positionV>
            <wp:extent cx="7550643" cy="10677525"/>
            <wp:effectExtent l="0" t="0" r="0" b="0"/>
            <wp:wrapNone/>
            <wp:docPr id="2" name="Picture 2" descr="The Kiribati Education Improvement Program (KEIP) has built 5 new disability accessible toilets, 39 new toilet facilities, 51 refurbished classrooms, and built 74 new classrooms.&#10;The kitset classroom design is classified as an innovative solution.&#10;12065 children over the last four years have started primary school using the new curriculum.&#10;640 teachers have been trained in English language.&#10;There has been an 1.2% increase in teachers in primary schools.&#10;There has been 1 new policy, 'The Inclusive Education Policy'.&#10;There has been a 6% increase in children enrolled in primary school.&#10;The gender parity rating in primary schools is 1.0.&#10;75 primary schools have developed new school improvement plans.&#10;The focus areas for Kiribati Education Improvement Program (KEIP) are:&#10;1. Strengthening school community partnership.&#10;2. Classroom teaching and learning.&#10;3. Strengthening Ministry of Education (MoE) capacity.&#10;4. Curriculum development.&#10;5. Improved school infrastructure." title="Infographic for Kiribati Education Improvement Program (KE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P Infographic.jpg"/>
                    <pic:cNvPicPr/>
                  </pic:nvPicPr>
                  <pic:blipFill>
                    <a:blip r:embed="rId18" cstate="screen">
                      <a:extLst>
                        <a:ext uri="{28A0092B-C50C-407E-A947-70E740481C1C}">
                          <a14:useLocalDpi xmlns:a14="http://schemas.microsoft.com/office/drawing/2010/main"/>
                        </a:ext>
                      </a:extLst>
                    </a:blip>
                    <a:stretch>
                      <a:fillRect/>
                    </a:stretch>
                  </pic:blipFill>
                  <pic:spPr>
                    <a:xfrm>
                      <a:off x="0" y="0"/>
                      <a:ext cx="7550643" cy="10677525"/>
                    </a:xfrm>
                    <a:prstGeom prst="rect">
                      <a:avLst/>
                    </a:prstGeom>
                  </pic:spPr>
                </pic:pic>
              </a:graphicData>
            </a:graphic>
            <wp14:sizeRelH relativeFrom="page">
              <wp14:pctWidth>0</wp14:pctWidth>
            </wp14:sizeRelH>
            <wp14:sizeRelV relativeFrom="page">
              <wp14:pctHeight>0</wp14:pctHeight>
            </wp14:sizeRelV>
          </wp:anchor>
        </w:drawing>
      </w:r>
      <w:bookmarkEnd w:id="14"/>
      <w:r w:rsidR="00814472" w:rsidRPr="00DE1EF6">
        <w:rPr>
          <w:color w:val="auto"/>
        </w:rPr>
        <w:t>Infographic</w:t>
      </w:r>
      <w:bookmarkEnd w:id="12"/>
      <w:bookmarkEnd w:id="13"/>
    </w:p>
    <w:p w14:paraId="0E206729" w14:textId="30EDE24F" w:rsidR="00814472" w:rsidRDefault="00814472" w:rsidP="00807215">
      <w:pPr>
        <w:pStyle w:val="BodyText"/>
      </w:pPr>
    </w:p>
    <w:p w14:paraId="57C87299" w14:textId="2278353D" w:rsidR="00EB077F" w:rsidRDefault="00EB077F" w:rsidP="00807215">
      <w:pPr>
        <w:pStyle w:val="BodyText"/>
      </w:pPr>
    </w:p>
    <w:p w14:paraId="26F6EEC2" w14:textId="77777777" w:rsidR="00EB077F" w:rsidRPr="00C918BF" w:rsidRDefault="00EB077F" w:rsidP="00807215">
      <w:pPr>
        <w:pStyle w:val="BodyText"/>
        <w:sectPr w:rsidR="00EB077F" w:rsidRPr="00C918BF" w:rsidSect="00EF6F2C">
          <w:footerReference w:type="default" r:id="rId19"/>
          <w:pgSz w:w="11906" w:h="16838" w:code="9"/>
          <w:pgMar w:top="851" w:right="1304" w:bottom="1304" w:left="1304" w:header="709" w:footer="709" w:gutter="0"/>
          <w:pgNumType w:fmt="lowerRoman"/>
          <w:cols w:space="708"/>
          <w:docGrid w:linePitch="360"/>
        </w:sectPr>
      </w:pPr>
    </w:p>
    <w:p w14:paraId="1D20BAD8" w14:textId="581F8B90" w:rsidR="007750E6" w:rsidRPr="00DD2CE2" w:rsidRDefault="007750E6" w:rsidP="00DD2CE2">
      <w:pPr>
        <w:pStyle w:val="Heading1"/>
      </w:pPr>
      <w:bookmarkStart w:id="15" w:name="_Toc453669674"/>
      <w:bookmarkStart w:id="16" w:name="_Toc461615670"/>
      <w:r w:rsidRPr="00DD2CE2">
        <w:lastRenderedPageBreak/>
        <w:t>1</w:t>
      </w:r>
      <w:r w:rsidRPr="00DD2CE2">
        <w:tab/>
        <w:t>Introduction</w:t>
      </w:r>
      <w:bookmarkEnd w:id="15"/>
      <w:bookmarkEnd w:id="16"/>
      <w:r w:rsidRPr="00DD2CE2">
        <w:t xml:space="preserve"> </w:t>
      </w:r>
    </w:p>
    <w:p w14:paraId="7B49636E" w14:textId="77777777" w:rsidR="00927FF5" w:rsidRPr="00C918BF" w:rsidRDefault="00FE523E" w:rsidP="00D02244">
      <w:pPr>
        <w:pStyle w:val="Heading2"/>
        <w:rPr>
          <w:color w:val="auto"/>
        </w:rPr>
      </w:pPr>
      <w:bookmarkStart w:id="17" w:name="_Toc453669675"/>
      <w:bookmarkStart w:id="18" w:name="_Toc461615671"/>
      <w:r w:rsidRPr="00C918BF">
        <w:rPr>
          <w:color w:val="auto"/>
        </w:rPr>
        <w:t>1.1</w:t>
      </w:r>
      <w:r w:rsidRPr="00C918BF">
        <w:rPr>
          <w:color w:val="auto"/>
        </w:rPr>
        <w:tab/>
      </w:r>
      <w:r w:rsidR="00B716FC" w:rsidRPr="00C918BF">
        <w:rPr>
          <w:color w:val="auto"/>
        </w:rPr>
        <w:t xml:space="preserve">The KEIP </w:t>
      </w:r>
      <w:r w:rsidRPr="00C918BF">
        <w:rPr>
          <w:color w:val="auto"/>
        </w:rPr>
        <w:t xml:space="preserve">Investment </w:t>
      </w:r>
      <w:r w:rsidR="00927FF5" w:rsidRPr="00C918BF">
        <w:rPr>
          <w:color w:val="auto"/>
        </w:rPr>
        <w:t>Overview</w:t>
      </w:r>
      <w:bookmarkEnd w:id="17"/>
      <w:bookmarkEnd w:id="18"/>
    </w:p>
    <w:p w14:paraId="4978639E" w14:textId="77777777" w:rsidR="00221AE8" w:rsidRPr="00C918BF" w:rsidRDefault="00221AE8" w:rsidP="00CD6138">
      <w:pPr>
        <w:pStyle w:val="Heading3"/>
      </w:pPr>
      <w:bookmarkStart w:id="19" w:name="_Toc461615672"/>
      <w:r w:rsidRPr="00C918BF">
        <w:t>The Kiribati Australia Partnership for Development (P4D)</w:t>
      </w:r>
      <w:bookmarkEnd w:id="19"/>
    </w:p>
    <w:p w14:paraId="720D9BC6" w14:textId="77777777" w:rsidR="00397FD6" w:rsidRPr="0060082A" w:rsidRDefault="00C11ABA" w:rsidP="0060082A">
      <w:pPr>
        <w:rPr>
          <w:rFonts w:asciiTheme="majorHAnsi" w:hAnsiTheme="majorHAnsi" w:cstheme="majorHAnsi"/>
          <w:spacing w:val="-2"/>
        </w:rPr>
      </w:pPr>
      <w:r w:rsidRPr="0060082A">
        <w:rPr>
          <w:rFonts w:asciiTheme="majorHAnsi" w:hAnsiTheme="majorHAnsi" w:cstheme="majorHAnsi"/>
          <w:spacing w:val="-2"/>
        </w:rPr>
        <w:t xml:space="preserve">Kiribati's development plans prioritise human resource development (HRD) as </w:t>
      </w:r>
      <w:r w:rsidRPr="0060082A">
        <w:rPr>
          <w:rFonts w:asciiTheme="majorHAnsi" w:hAnsiTheme="majorHAnsi" w:cstheme="majorHAnsi"/>
          <w:i/>
          <w:spacing w:val="-2"/>
        </w:rPr>
        <w:t xml:space="preserve">"of paramount importance in the development and future economic growth of the country". </w:t>
      </w:r>
      <w:r w:rsidRPr="0060082A">
        <w:rPr>
          <w:rFonts w:asciiTheme="majorHAnsi" w:hAnsiTheme="majorHAnsi" w:cstheme="majorHAnsi"/>
          <w:spacing w:val="-2"/>
        </w:rPr>
        <w:t xml:space="preserve">The Government </w:t>
      </w:r>
      <w:r w:rsidR="00B9577E" w:rsidRPr="0060082A">
        <w:rPr>
          <w:rFonts w:asciiTheme="majorHAnsi" w:hAnsiTheme="majorHAnsi" w:cstheme="majorHAnsi"/>
          <w:spacing w:val="-2"/>
        </w:rPr>
        <w:t xml:space="preserve">of Kiribati </w:t>
      </w:r>
      <w:r w:rsidRPr="0060082A">
        <w:rPr>
          <w:rFonts w:asciiTheme="majorHAnsi" w:hAnsiTheme="majorHAnsi" w:cstheme="majorHAnsi"/>
          <w:spacing w:val="-2"/>
        </w:rPr>
        <w:t xml:space="preserve">identified access to relevant, quality education as a key objective of the Kiribati Development Plan 2012-15, to improve functional literacy and numeracy and provide access to skills development opportunities. </w:t>
      </w:r>
    </w:p>
    <w:p w14:paraId="3C17FAAC" w14:textId="31C778D7" w:rsidR="00072A9E" w:rsidRPr="0060082A" w:rsidRDefault="00C11ABA" w:rsidP="0060082A">
      <w:pPr>
        <w:rPr>
          <w:rFonts w:asciiTheme="majorHAnsi" w:hAnsiTheme="majorHAnsi" w:cstheme="majorHAnsi"/>
          <w:spacing w:val="-2"/>
        </w:rPr>
      </w:pPr>
      <w:r w:rsidRPr="0060082A">
        <w:rPr>
          <w:rFonts w:asciiTheme="majorHAnsi" w:hAnsiTheme="majorHAnsi" w:cstheme="majorHAnsi"/>
          <w:spacing w:val="-2"/>
        </w:rPr>
        <w:t xml:space="preserve">The Kiribati-Australia Partnership for Development (P4D) outlines strategic development priorities between the Government of Australia (GoA) and Government of Kiribati (GoK). It reflects strong, </w:t>
      </w:r>
      <w:r w:rsidR="00C603D3" w:rsidRPr="0060082A">
        <w:rPr>
          <w:rFonts w:asciiTheme="majorHAnsi" w:hAnsiTheme="majorHAnsi" w:cstheme="majorHAnsi"/>
          <w:spacing w:val="-2"/>
        </w:rPr>
        <w:t>on-going</w:t>
      </w:r>
      <w:r w:rsidRPr="0060082A">
        <w:rPr>
          <w:rFonts w:asciiTheme="majorHAnsi" w:hAnsiTheme="majorHAnsi" w:cstheme="majorHAnsi"/>
          <w:spacing w:val="-2"/>
        </w:rPr>
        <w:t xml:space="preserve"> engagement between Australia and Kiribati to support</w:t>
      </w:r>
      <w:r w:rsidR="00724E23" w:rsidRPr="0060082A">
        <w:rPr>
          <w:rFonts w:asciiTheme="majorHAnsi" w:hAnsiTheme="majorHAnsi" w:cstheme="majorHAnsi"/>
          <w:spacing w:val="-2"/>
        </w:rPr>
        <w:t xml:space="preserve"> </w:t>
      </w:r>
      <w:r w:rsidRPr="0060082A">
        <w:rPr>
          <w:rFonts w:asciiTheme="majorHAnsi" w:hAnsiTheme="majorHAnsi" w:cstheme="majorHAnsi"/>
          <w:spacing w:val="-2"/>
        </w:rPr>
        <w:t xml:space="preserve">GoK initiatives for its citizens. Priority Outcome 1 of the P4D </w:t>
      </w:r>
      <w:r w:rsidR="000D187F" w:rsidRPr="0060082A">
        <w:rPr>
          <w:rFonts w:asciiTheme="majorHAnsi" w:hAnsiTheme="majorHAnsi" w:cstheme="majorHAnsi"/>
          <w:spacing w:val="-2"/>
        </w:rPr>
        <w:t xml:space="preserve">aims </w:t>
      </w:r>
      <w:r w:rsidRPr="0060082A">
        <w:rPr>
          <w:rFonts w:asciiTheme="majorHAnsi" w:hAnsiTheme="majorHAnsi" w:cstheme="majorHAnsi"/>
          <w:spacing w:val="-2"/>
        </w:rPr>
        <w:t xml:space="preserve">at improved basic education and increased access to (and quality of) education </w:t>
      </w:r>
      <w:r w:rsidR="00724E23" w:rsidRPr="0060082A">
        <w:rPr>
          <w:rFonts w:asciiTheme="majorHAnsi" w:hAnsiTheme="majorHAnsi" w:cstheme="majorHAnsi"/>
          <w:spacing w:val="-2"/>
        </w:rPr>
        <w:t xml:space="preserve">delivered </w:t>
      </w:r>
      <w:r w:rsidRPr="0060082A">
        <w:rPr>
          <w:rFonts w:asciiTheme="majorHAnsi" w:hAnsiTheme="majorHAnsi" w:cstheme="majorHAnsi"/>
          <w:spacing w:val="-2"/>
        </w:rPr>
        <w:t xml:space="preserve">in primary schools. </w:t>
      </w:r>
      <w:r w:rsidR="00724E23" w:rsidRPr="0060082A">
        <w:rPr>
          <w:rFonts w:asciiTheme="majorHAnsi" w:hAnsiTheme="majorHAnsi" w:cstheme="majorHAnsi"/>
          <w:spacing w:val="-2"/>
        </w:rPr>
        <w:t>The P4D, signed on 27 January 2009, initiated the Kiribati Education Improvement Program (KEIP), which has gu</w:t>
      </w:r>
      <w:r w:rsidR="00397FD6" w:rsidRPr="0060082A">
        <w:rPr>
          <w:rFonts w:asciiTheme="majorHAnsi" w:hAnsiTheme="majorHAnsi" w:cstheme="majorHAnsi"/>
          <w:spacing w:val="-2"/>
        </w:rPr>
        <w:t xml:space="preserve">ided </w:t>
      </w:r>
      <w:r w:rsidR="00724E23" w:rsidRPr="0060082A">
        <w:rPr>
          <w:rFonts w:asciiTheme="majorHAnsi" w:hAnsiTheme="majorHAnsi" w:cstheme="majorHAnsi"/>
          <w:spacing w:val="-2"/>
        </w:rPr>
        <w:t xml:space="preserve">development interventions in support of the </w:t>
      </w:r>
      <w:r w:rsidR="00FA59B4" w:rsidRPr="0060082A">
        <w:rPr>
          <w:rFonts w:asciiTheme="majorHAnsi" w:hAnsiTheme="majorHAnsi" w:cstheme="majorHAnsi"/>
          <w:spacing w:val="-2"/>
        </w:rPr>
        <w:t>Kiribati Ministry of Education (</w:t>
      </w:r>
      <w:r w:rsidR="00724E23" w:rsidRPr="0060082A">
        <w:rPr>
          <w:rFonts w:asciiTheme="majorHAnsi" w:hAnsiTheme="majorHAnsi" w:cstheme="majorHAnsi"/>
          <w:spacing w:val="-2"/>
        </w:rPr>
        <w:t>MoE</w:t>
      </w:r>
      <w:r w:rsidR="00FA59B4" w:rsidRPr="0060082A">
        <w:rPr>
          <w:rFonts w:asciiTheme="majorHAnsi" w:hAnsiTheme="majorHAnsi" w:cstheme="majorHAnsi"/>
          <w:spacing w:val="-2"/>
        </w:rPr>
        <w:t>)</w:t>
      </w:r>
      <w:r w:rsidR="00397FD6" w:rsidRPr="0060082A">
        <w:rPr>
          <w:rFonts w:asciiTheme="majorHAnsi" w:hAnsiTheme="majorHAnsi" w:cstheme="majorHAnsi"/>
          <w:spacing w:val="-2"/>
        </w:rPr>
        <w:t xml:space="preserve"> in achieving</w:t>
      </w:r>
      <w:r w:rsidR="00724E23" w:rsidRPr="0060082A">
        <w:rPr>
          <w:rFonts w:asciiTheme="majorHAnsi" w:hAnsiTheme="majorHAnsi" w:cstheme="majorHAnsi"/>
          <w:spacing w:val="-2"/>
        </w:rPr>
        <w:t xml:space="preserve"> results against </w:t>
      </w:r>
      <w:r w:rsidR="002F4FD9" w:rsidRPr="0060082A">
        <w:rPr>
          <w:rFonts w:asciiTheme="majorHAnsi" w:hAnsiTheme="majorHAnsi" w:cstheme="majorHAnsi"/>
          <w:spacing w:val="-2"/>
        </w:rPr>
        <w:t xml:space="preserve">its </w:t>
      </w:r>
      <w:r w:rsidR="001F1F27" w:rsidRPr="0060082A">
        <w:rPr>
          <w:rFonts w:asciiTheme="majorHAnsi" w:hAnsiTheme="majorHAnsi" w:cstheme="majorHAnsi"/>
          <w:spacing w:val="-2"/>
        </w:rPr>
        <w:t>Education Sector Strategic Plan (</w:t>
      </w:r>
      <w:r w:rsidR="00724E23" w:rsidRPr="0060082A">
        <w:rPr>
          <w:rFonts w:asciiTheme="majorHAnsi" w:hAnsiTheme="majorHAnsi" w:cstheme="majorHAnsi"/>
          <w:spacing w:val="-2"/>
        </w:rPr>
        <w:t>ESSP</w:t>
      </w:r>
      <w:r w:rsidR="001F1F27" w:rsidRPr="0060082A">
        <w:rPr>
          <w:rFonts w:asciiTheme="majorHAnsi" w:hAnsiTheme="majorHAnsi" w:cstheme="majorHAnsi"/>
          <w:spacing w:val="-2"/>
        </w:rPr>
        <w:t>)</w:t>
      </w:r>
      <w:r w:rsidR="00724E23" w:rsidRPr="0060082A">
        <w:rPr>
          <w:rFonts w:asciiTheme="majorHAnsi" w:hAnsiTheme="majorHAnsi" w:cstheme="majorHAnsi"/>
          <w:spacing w:val="-2"/>
        </w:rPr>
        <w:t xml:space="preserve">. </w:t>
      </w:r>
    </w:p>
    <w:p w14:paraId="4EB19679" w14:textId="6B823610" w:rsidR="00724E23" w:rsidRPr="0060082A" w:rsidRDefault="00C32532" w:rsidP="0060082A">
      <w:pPr>
        <w:rPr>
          <w:rFonts w:asciiTheme="majorHAnsi" w:hAnsiTheme="majorHAnsi" w:cstheme="majorHAnsi"/>
        </w:rPr>
      </w:pPr>
      <w:r w:rsidRPr="0060082A">
        <w:rPr>
          <w:rFonts w:asciiTheme="majorHAnsi" w:hAnsiTheme="majorHAnsi" w:cstheme="majorHAnsi"/>
        </w:rPr>
        <w:t>T</w:t>
      </w:r>
      <w:r w:rsidR="000F32DB" w:rsidRPr="0060082A">
        <w:rPr>
          <w:rFonts w:asciiTheme="majorHAnsi" w:hAnsiTheme="majorHAnsi" w:cstheme="majorHAnsi"/>
        </w:rPr>
        <w:t>he KEIP framework</w:t>
      </w:r>
      <w:r w:rsidR="008F3A38" w:rsidRPr="0060082A">
        <w:rPr>
          <w:rFonts w:asciiTheme="majorHAnsi" w:hAnsiTheme="majorHAnsi" w:cstheme="majorHAnsi"/>
        </w:rPr>
        <w:t>—</w:t>
      </w:r>
      <w:r w:rsidR="000F32DB" w:rsidRPr="0060082A">
        <w:rPr>
          <w:rFonts w:asciiTheme="majorHAnsi" w:hAnsiTheme="majorHAnsi" w:cstheme="majorHAnsi"/>
        </w:rPr>
        <w:t>together with the Education Partners in Kiribati (EPiK) forum</w:t>
      </w:r>
      <w:r w:rsidR="008F3A38" w:rsidRPr="0060082A">
        <w:rPr>
          <w:rFonts w:asciiTheme="majorHAnsi" w:hAnsiTheme="majorHAnsi" w:cstheme="majorHAnsi"/>
        </w:rPr>
        <w:t>—</w:t>
      </w:r>
      <w:r w:rsidR="000F32DB" w:rsidRPr="0060082A">
        <w:rPr>
          <w:rFonts w:asciiTheme="majorHAnsi" w:hAnsiTheme="majorHAnsi" w:cstheme="majorHAnsi"/>
        </w:rPr>
        <w:t xml:space="preserve">has </w:t>
      </w:r>
      <w:r w:rsidR="00724E23" w:rsidRPr="0060082A">
        <w:rPr>
          <w:rFonts w:asciiTheme="majorHAnsi" w:hAnsiTheme="majorHAnsi" w:cstheme="majorHAnsi"/>
        </w:rPr>
        <w:t xml:space="preserve">contributed to harmonisation between donors, including </w:t>
      </w:r>
      <w:r w:rsidR="00397FD6" w:rsidRPr="0060082A">
        <w:rPr>
          <w:rFonts w:asciiTheme="majorHAnsi" w:hAnsiTheme="majorHAnsi" w:cstheme="majorHAnsi"/>
        </w:rPr>
        <w:t xml:space="preserve">for </w:t>
      </w:r>
      <w:r w:rsidR="00724E23" w:rsidRPr="0060082A">
        <w:rPr>
          <w:rFonts w:asciiTheme="majorHAnsi" w:hAnsiTheme="majorHAnsi" w:cstheme="majorHAnsi"/>
        </w:rPr>
        <w:t xml:space="preserve">mutual accountability. </w:t>
      </w:r>
      <w:r w:rsidR="00C11ABA" w:rsidRPr="0060082A">
        <w:rPr>
          <w:rFonts w:asciiTheme="majorHAnsi" w:hAnsiTheme="majorHAnsi" w:cstheme="majorHAnsi"/>
        </w:rPr>
        <w:t xml:space="preserve">The KEIP is the framework within which Australia and other development partners support </w:t>
      </w:r>
      <w:r w:rsidR="00B765AC" w:rsidRPr="0060082A">
        <w:rPr>
          <w:rFonts w:asciiTheme="majorHAnsi" w:hAnsiTheme="majorHAnsi" w:cstheme="majorHAnsi"/>
        </w:rPr>
        <w:t>MoE</w:t>
      </w:r>
      <w:r w:rsidR="00C11ABA" w:rsidRPr="0060082A">
        <w:rPr>
          <w:rFonts w:asciiTheme="majorHAnsi" w:hAnsiTheme="majorHAnsi" w:cstheme="majorHAnsi"/>
        </w:rPr>
        <w:t xml:space="preserve"> to implement its plans for education and </w:t>
      </w:r>
      <w:r w:rsidR="00397FD6" w:rsidRPr="0060082A">
        <w:rPr>
          <w:rFonts w:asciiTheme="majorHAnsi" w:hAnsiTheme="majorHAnsi" w:cstheme="majorHAnsi"/>
        </w:rPr>
        <w:t xml:space="preserve">for </w:t>
      </w:r>
      <w:r w:rsidR="00C11ABA" w:rsidRPr="0060082A">
        <w:rPr>
          <w:rFonts w:asciiTheme="majorHAnsi" w:hAnsiTheme="majorHAnsi" w:cstheme="majorHAnsi"/>
        </w:rPr>
        <w:t xml:space="preserve">improved </w:t>
      </w:r>
      <w:r w:rsidR="00B9577E" w:rsidRPr="0060082A">
        <w:rPr>
          <w:rFonts w:asciiTheme="majorHAnsi" w:hAnsiTheme="majorHAnsi" w:cstheme="majorHAnsi"/>
        </w:rPr>
        <w:t>Human Resource Development (</w:t>
      </w:r>
      <w:r w:rsidR="00C11ABA" w:rsidRPr="0060082A">
        <w:rPr>
          <w:rFonts w:asciiTheme="majorHAnsi" w:hAnsiTheme="majorHAnsi" w:cstheme="majorHAnsi"/>
        </w:rPr>
        <w:t>HR</w:t>
      </w:r>
      <w:r w:rsidR="00B9577E" w:rsidRPr="0060082A">
        <w:rPr>
          <w:rFonts w:asciiTheme="majorHAnsi" w:hAnsiTheme="majorHAnsi" w:cstheme="majorHAnsi"/>
        </w:rPr>
        <w:t>D)</w:t>
      </w:r>
      <w:r w:rsidR="00C11ABA" w:rsidRPr="0060082A">
        <w:rPr>
          <w:rFonts w:asciiTheme="majorHAnsi" w:hAnsiTheme="majorHAnsi" w:cstheme="majorHAnsi"/>
        </w:rPr>
        <w:t xml:space="preserve">. </w:t>
      </w:r>
      <w:r w:rsidR="00B55D9B" w:rsidRPr="0060082A">
        <w:rPr>
          <w:rFonts w:asciiTheme="majorHAnsi" w:hAnsiTheme="majorHAnsi" w:cstheme="majorHAnsi"/>
        </w:rPr>
        <w:t>An important aspect of KEIP is its planned continuity over nine years (2011 to 2020) allowing systemic change across basic education to be consolidated and sustained.</w:t>
      </w:r>
    </w:p>
    <w:p w14:paraId="0DE67E4C" w14:textId="5E233632" w:rsidR="00C11ABA" w:rsidRPr="0060082A" w:rsidRDefault="00C11ABA" w:rsidP="0060082A">
      <w:pPr>
        <w:rPr>
          <w:rFonts w:asciiTheme="majorHAnsi" w:hAnsiTheme="majorHAnsi" w:cstheme="majorHAnsi"/>
          <w:spacing w:val="-2"/>
        </w:rPr>
      </w:pPr>
      <w:r w:rsidRPr="0060082A">
        <w:rPr>
          <w:rFonts w:asciiTheme="majorHAnsi" w:hAnsiTheme="majorHAnsi" w:cstheme="majorHAnsi"/>
          <w:spacing w:val="-2"/>
        </w:rPr>
        <w:t>KEIP was designed as three phases, with Phase I (2011-2012)</w:t>
      </w:r>
      <w:r w:rsidR="001F1F27" w:rsidRPr="0060082A">
        <w:rPr>
          <w:rFonts w:asciiTheme="majorHAnsi" w:hAnsiTheme="majorHAnsi" w:cstheme="majorHAnsi"/>
          <w:spacing w:val="-2"/>
        </w:rPr>
        <w:t xml:space="preserve"> –</w:t>
      </w:r>
      <w:r w:rsidRPr="0060082A">
        <w:rPr>
          <w:rFonts w:asciiTheme="majorHAnsi" w:hAnsiTheme="majorHAnsi" w:cstheme="majorHAnsi"/>
          <w:spacing w:val="-2"/>
        </w:rPr>
        <w:t xml:space="preserve"> the enabling phase</w:t>
      </w:r>
      <w:r w:rsidR="001F1F27" w:rsidRPr="0060082A">
        <w:rPr>
          <w:rFonts w:asciiTheme="majorHAnsi" w:hAnsiTheme="majorHAnsi" w:cstheme="majorHAnsi"/>
          <w:spacing w:val="-2"/>
        </w:rPr>
        <w:t xml:space="preserve"> – </w:t>
      </w:r>
      <w:r w:rsidRPr="0060082A">
        <w:rPr>
          <w:rFonts w:asciiTheme="majorHAnsi" w:hAnsiTheme="majorHAnsi" w:cstheme="majorHAnsi"/>
          <w:spacing w:val="-2"/>
        </w:rPr>
        <w:t xml:space="preserve">helping </w:t>
      </w:r>
      <w:r w:rsidR="00B765AC" w:rsidRPr="0060082A">
        <w:rPr>
          <w:rFonts w:asciiTheme="majorHAnsi" w:hAnsiTheme="majorHAnsi" w:cstheme="majorHAnsi"/>
          <w:spacing w:val="-2"/>
        </w:rPr>
        <w:t>MoE</w:t>
      </w:r>
      <w:r w:rsidRPr="0060082A">
        <w:rPr>
          <w:rFonts w:asciiTheme="majorHAnsi" w:hAnsiTheme="majorHAnsi" w:cstheme="majorHAnsi"/>
          <w:spacing w:val="-2"/>
        </w:rPr>
        <w:t xml:space="preserve"> establish legislative and policy frameworks for transforming the quality </w:t>
      </w:r>
      <w:r w:rsidR="00397FD6" w:rsidRPr="0060082A">
        <w:rPr>
          <w:rFonts w:asciiTheme="majorHAnsi" w:hAnsiTheme="majorHAnsi" w:cstheme="majorHAnsi"/>
          <w:spacing w:val="-2"/>
        </w:rPr>
        <w:t xml:space="preserve">and access </w:t>
      </w:r>
      <w:r w:rsidRPr="0060082A">
        <w:rPr>
          <w:rFonts w:asciiTheme="majorHAnsi" w:hAnsiTheme="majorHAnsi" w:cstheme="majorHAnsi"/>
          <w:spacing w:val="-2"/>
        </w:rPr>
        <w:t xml:space="preserve">of learning in basic education. KEIP Phase </w:t>
      </w:r>
      <w:r w:rsidR="000A49FE">
        <w:rPr>
          <w:rFonts w:asciiTheme="majorHAnsi" w:hAnsiTheme="majorHAnsi" w:cstheme="majorHAnsi"/>
          <w:spacing w:val="-2"/>
        </w:rPr>
        <w:t>2</w:t>
      </w:r>
      <w:r w:rsidRPr="0060082A">
        <w:rPr>
          <w:rFonts w:asciiTheme="majorHAnsi" w:hAnsiTheme="majorHAnsi" w:cstheme="majorHAnsi"/>
          <w:spacing w:val="-2"/>
        </w:rPr>
        <w:t xml:space="preserve"> (</w:t>
      </w:r>
      <w:r w:rsidR="000D187F" w:rsidRPr="0060082A">
        <w:rPr>
          <w:rFonts w:asciiTheme="majorHAnsi" w:hAnsiTheme="majorHAnsi" w:cstheme="majorHAnsi"/>
          <w:spacing w:val="-2"/>
        </w:rPr>
        <w:t xml:space="preserve">planned </w:t>
      </w:r>
      <w:r w:rsidRPr="0060082A">
        <w:rPr>
          <w:rFonts w:asciiTheme="majorHAnsi" w:hAnsiTheme="majorHAnsi" w:cstheme="majorHAnsi"/>
          <w:spacing w:val="-2"/>
        </w:rPr>
        <w:t>2013-2015</w:t>
      </w:r>
      <w:r w:rsidR="000D187F" w:rsidRPr="0060082A">
        <w:rPr>
          <w:rFonts w:asciiTheme="majorHAnsi" w:hAnsiTheme="majorHAnsi" w:cstheme="majorHAnsi"/>
          <w:spacing w:val="-2"/>
        </w:rPr>
        <w:t>, but extended to March 2016</w:t>
      </w:r>
      <w:r w:rsidRPr="0060082A">
        <w:rPr>
          <w:rFonts w:asciiTheme="majorHAnsi" w:hAnsiTheme="majorHAnsi" w:cstheme="majorHAnsi"/>
          <w:spacing w:val="-2"/>
        </w:rPr>
        <w:t xml:space="preserve">) </w:t>
      </w:r>
      <w:r w:rsidR="001F1F27" w:rsidRPr="0060082A">
        <w:rPr>
          <w:rFonts w:asciiTheme="majorHAnsi" w:hAnsiTheme="majorHAnsi" w:cstheme="majorHAnsi"/>
          <w:spacing w:val="-2"/>
        </w:rPr>
        <w:t>–</w:t>
      </w:r>
      <w:r w:rsidRPr="0060082A">
        <w:rPr>
          <w:rFonts w:asciiTheme="majorHAnsi" w:hAnsiTheme="majorHAnsi" w:cstheme="majorHAnsi"/>
          <w:spacing w:val="-2"/>
        </w:rPr>
        <w:t xml:space="preserve"> the focus of this Completion Report </w:t>
      </w:r>
      <w:r w:rsidR="001F1F27" w:rsidRPr="0060082A">
        <w:rPr>
          <w:rFonts w:asciiTheme="majorHAnsi" w:hAnsiTheme="majorHAnsi" w:cstheme="majorHAnsi"/>
          <w:spacing w:val="-2"/>
        </w:rPr>
        <w:t>–</w:t>
      </w:r>
      <w:r w:rsidRPr="0060082A">
        <w:rPr>
          <w:rFonts w:asciiTheme="majorHAnsi" w:hAnsiTheme="majorHAnsi" w:cstheme="majorHAnsi"/>
          <w:spacing w:val="-2"/>
        </w:rPr>
        <w:t xml:space="preserve"> provided support to </w:t>
      </w:r>
      <w:r w:rsidR="00B765AC" w:rsidRPr="0060082A">
        <w:rPr>
          <w:rFonts w:asciiTheme="majorHAnsi" w:hAnsiTheme="majorHAnsi" w:cstheme="majorHAnsi"/>
          <w:spacing w:val="-2"/>
        </w:rPr>
        <w:t>MoE</w:t>
      </w:r>
      <w:r w:rsidRPr="0060082A">
        <w:rPr>
          <w:rFonts w:asciiTheme="majorHAnsi" w:hAnsiTheme="majorHAnsi" w:cstheme="majorHAnsi"/>
          <w:spacing w:val="-2"/>
        </w:rPr>
        <w:t xml:space="preserve"> in its implementation of reforms at school and classroom level </w:t>
      </w:r>
      <w:r w:rsidR="00397FD6" w:rsidRPr="0060082A">
        <w:rPr>
          <w:rFonts w:asciiTheme="majorHAnsi" w:hAnsiTheme="majorHAnsi" w:cstheme="majorHAnsi"/>
          <w:spacing w:val="-2"/>
        </w:rPr>
        <w:t xml:space="preserve">across Years 1-4, as well as </w:t>
      </w:r>
      <w:r w:rsidRPr="0060082A">
        <w:rPr>
          <w:rFonts w:asciiTheme="majorHAnsi" w:hAnsiTheme="majorHAnsi" w:cstheme="majorHAnsi"/>
          <w:spacing w:val="-2"/>
        </w:rPr>
        <w:t xml:space="preserve">leadership and reporting. Phase </w:t>
      </w:r>
      <w:r w:rsidR="000A49FE">
        <w:rPr>
          <w:rFonts w:asciiTheme="majorHAnsi" w:hAnsiTheme="majorHAnsi" w:cstheme="majorHAnsi"/>
          <w:spacing w:val="-2"/>
        </w:rPr>
        <w:t>2</w:t>
      </w:r>
      <w:r w:rsidRPr="0060082A">
        <w:rPr>
          <w:rFonts w:asciiTheme="majorHAnsi" w:hAnsiTheme="majorHAnsi" w:cstheme="majorHAnsi"/>
          <w:spacing w:val="-2"/>
        </w:rPr>
        <w:t xml:space="preserve"> also established the foundation for KEIP </w:t>
      </w:r>
      <w:r w:rsidR="00743616">
        <w:rPr>
          <w:rFonts w:asciiTheme="majorHAnsi" w:hAnsiTheme="majorHAnsi" w:cstheme="majorHAnsi"/>
          <w:spacing w:val="-2"/>
        </w:rPr>
        <w:t>Phase 3</w:t>
      </w:r>
      <w:r w:rsidRPr="0060082A">
        <w:rPr>
          <w:rFonts w:asciiTheme="majorHAnsi" w:hAnsiTheme="majorHAnsi" w:cstheme="majorHAnsi"/>
          <w:spacing w:val="-2"/>
        </w:rPr>
        <w:t xml:space="preserve"> efforts that focus on </w:t>
      </w:r>
      <w:r w:rsidR="00397FD6" w:rsidRPr="0060082A">
        <w:rPr>
          <w:rFonts w:asciiTheme="majorHAnsi" w:hAnsiTheme="majorHAnsi" w:cstheme="majorHAnsi"/>
          <w:spacing w:val="-2"/>
        </w:rPr>
        <w:t xml:space="preserve">continuing the </w:t>
      </w:r>
      <w:r w:rsidRPr="0060082A">
        <w:rPr>
          <w:rFonts w:asciiTheme="majorHAnsi" w:hAnsiTheme="majorHAnsi" w:cstheme="majorHAnsi"/>
          <w:spacing w:val="-2"/>
        </w:rPr>
        <w:t>reform in upper primary and into the junior secondary levels.</w:t>
      </w:r>
    </w:p>
    <w:p w14:paraId="5E87D105" w14:textId="69E0D8C9" w:rsidR="00724E23" w:rsidRPr="0060082A" w:rsidRDefault="00C11ABA" w:rsidP="0060082A">
      <w:pPr>
        <w:rPr>
          <w:rFonts w:asciiTheme="majorHAnsi" w:hAnsiTheme="majorHAnsi" w:cstheme="majorHAnsi"/>
        </w:rPr>
      </w:pPr>
      <w:r w:rsidRPr="0060082A">
        <w:rPr>
          <w:rFonts w:asciiTheme="majorHAnsi" w:hAnsiTheme="majorHAnsi" w:cstheme="majorHAnsi"/>
        </w:rPr>
        <w:t xml:space="preserve">Much of Australia’s support to </w:t>
      </w:r>
      <w:r w:rsidR="00B9577E" w:rsidRPr="0060082A">
        <w:rPr>
          <w:rFonts w:asciiTheme="majorHAnsi" w:hAnsiTheme="majorHAnsi" w:cstheme="majorHAnsi"/>
        </w:rPr>
        <w:t>the KEIP</w:t>
      </w:r>
      <w:r w:rsidRPr="0060082A">
        <w:rPr>
          <w:rFonts w:asciiTheme="majorHAnsi" w:hAnsiTheme="majorHAnsi" w:cstheme="majorHAnsi"/>
        </w:rPr>
        <w:t xml:space="preserve"> </w:t>
      </w:r>
      <w:r w:rsidR="00C32532" w:rsidRPr="0060082A">
        <w:rPr>
          <w:rFonts w:asciiTheme="majorHAnsi" w:hAnsiTheme="majorHAnsi" w:cstheme="majorHAnsi"/>
        </w:rPr>
        <w:t xml:space="preserve">has </w:t>
      </w:r>
      <w:r w:rsidRPr="0060082A">
        <w:rPr>
          <w:rFonts w:asciiTheme="majorHAnsi" w:hAnsiTheme="majorHAnsi" w:cstheme="majorHAnsi"/>
        </w:rPr>
        <w:t>been implemented by a managing contractor (</w:t>
      </w:r>
      <w:r w:rsidR="00C32532" w:rsidRPr="0060082A">
        <w:rPr>
          <w:rFonts w:asciiTheme="majorHAnsi" w:hAnsiTheme="majorHAnsi" w:cstheme="majorHAnsi"/>
        </w:rPr>
        <w:t xml:space="preserve">MC - </w:t>
      </w:r>
      <w:r w:rsidRPr="0060082A">
        <w:rPr>
          <w:rFonts w:asciiTheme="majorHAnsi" w:hAnsiTheme="majorHAnsi" w:cstheme="majorHAnsi"/>
        </w:rPr>
        <w:t xml:space="preserve">Coffey International Development) through the resources of the Kiribati Education Facility (KEF). The KEF role is to support and facilitate </w:t>
      </w:r>
      <w:r w:rsidR="00B765AC" w:rsidRPr="0060082A">
        <w:rPr>
          <w:rFonts w:asciiTheme="majorHAnsi" w:hAnsiTheme="majorHAnsi" w:cstheme="majorHAnsi"/>
        </w:rPr>
        <w:t>MoE</w:t>
      </w:r>
      <w:r w:rsidRPr="0060082A">
        <w:rPr>
          <w:rFonts w:asciiTheme="majorHAnsi" w:hAnsiTheme="majorHAnsi" w:cstheme="majorHAnsi"/>
        </w:rPr>
        <w:t xml:space="preserve"> to implement the strategies and activities to achieve the ESSP goals. </w:t>
      </w:r>
      <w:r w:rsidR="00B765AC" w:rsidRPr="0060082A">
        <w:rPr>
          <w:rFonts w:asciiTheme="majorHAnsi" w:hAnsiTheme="majorHAnsi" w:cstheme="majorHAnsi"/>
        </w:rPr>
        <w:t>MoE</w:t>
      </w:r>
      <w:r w:rsidRPr="0060082A">
        <w:rPr>
          <w:rFonts w:asciiTheme="majorHAnsi" w:hAnsiTheme="majorHAnsi" w:cstheme="majorHAnsi"/>
        </w:rPr>
        <w:t xml:space="preserve"> involvement and approval has been sought for all KEF plans, </w:t>
      </w:r>
      <w:r w:rsidR="002F4FD9" w:rsidRPr="0060082A">
        <w:rPr>
          <w:rFonts w:asciiTheme="majorHAnsi" w:hAnsiTheme="majorHAnsi" w:cstheme="majorHAnsi"/>
        </w:rPr>
        <w:t>which have</w:t>
      </w:r>
      <w:r w:rsidRPr="0060082A">
        <w:rPr>
          <w:rFonts w:asciiTheme="majorHAnsi" w:hAnsiTheme="majorHAnsi" w:cstheme="majorHAnsi"/>
        </w:rPr>
        <w:t xml:space="preserve"> stay</w:t>
      </w:r>
      <w:r w:rsidR="002F4FD9" w:rsidRPr="0060082A">
        <w:rPr>
          <w:rFonts w:asciiTheme="majorHAnsi" w:hAnsiTheme="majorHAnsi" w:cstheme="majorHAnsi"/>
        </w:rPr>
        <w:t>ed</w:t>
      </w:r>
      <w:r w:rsidRPr="0060082A">
        <w:rPr>
          <w:rFonts w:asciiTheme="majorHAnsi" w:hAnsiTheme="majorHAnsi" w:cstheme="majorHAnsi"/>
        </w:rPr>
        <w:t xml:space="preserve"> closely aligned with the ESSP. </w:t>
      </w:r>
    </w:p>
    <w:p w14:paraId="1B6A9B7D" w14:textId="130F612D" w:rsidR="00C11ABA" w:rsidRPr="0060082A" w:rsidRDefault="00C11ABA" w:rsidP="0060082A">
      <w:pPr>
        <w:rPr>
          <w:rFonts w:asciiTheme="majorHAnsi" w:hAnsiTheme="majorHAnsi" w:cstheme="majorHAnsi"/>
          <w:spacing w:val="-2"/>
        </w:rPr>
      </w:pPr>
      <w:r w:rsidRPr="0060082A">
        <w:rPr>
          <w:rFonts w:asciiTheme="majorHAnsi" w:hAnsiTheme="majorHAnsi" w:cstheme="majorHAnsi"/>
          <w:spacing w:val="-2"/>
        </w:rPr>
        <w:t xml:space="preserve">There is open, professional dialogue and understanding between the three major participants in the reform – </w:t>
      </w:r>
      <w:r w:rsidR="001F1F27" w:rsidRPr="0060082A">
        <w:rPr>
          <w:rFonts w:asciiTheme="majorHAnsi" w:hAnsiTheme="majorHAnsi" w:cstheme="majorHAnsi"/>
          <w:spacing w:val="-2"/>
        </w:rPr>
        <w:t>the Australian Government’s Department of Foreign Affairs and Trade (</w:t>
      </w:r>
      <w:r w:rsidRPr="0060082A">
        <w:rPr>
          <w:rFonts w:asciiTheme="majorHAnsi" w:hAnsiTheme="majorHAnsi" w:cstheme="majorHAnsi"/>
          <w:spacing w:val="-2"/>
        </w:rPr>
        <w:t>DFAT</w:t>
      </w:r>
      <w:r w:rsidR="001F1F27" w:rsidRPr="0060082A">
        <w:rPr>
          <w:rFonts w:asciiTheme="majorHAnsi" w:hAnsiTheme="majorHAnsi" w:cstheme="majorHAnsi"/>
          <w:spacing w:val="-2"/>
        </w:rPr>
        <w:t>)</w:t>
      </w:r>
      <w:r w:rsidRPr="0060082A">
        <w:rPr>
          <w:rFonts w:asciiTheme="majorHAnsi" w:hAnsiTheme="majorHAnsi" w:cstheme="majorHAnsi"/>
          <w:spacing w:val="-2"/>
        </w:rPr>
        <w:t xml:space="preserve">, the </w:t>
      </w:r>
      <w:r w:rsidR="00B765AC" w:rsidRPr="0060082A">
        <w:rPr>
          <w:rFonts w:asciiTheme="majorHAnsi" w:hAnsiTheme="majorHAnsi" w:cstheme="majorHAnsi"/>
          <w:spacing w:val="-2"/>
        </w:rPr>
        <w:t>MoE</w:t>
      </w:r>
      <w:r w:rsidRPr="0060082A">
        <w:rPr>
          <w:rFonts w:asciiTheme="majorHAnsi" w:hAnsiTheme="majorHAnsi" w:cstheme="majorHAnsi"/>
          <w:spacing w:val="-2"/>
        </w:rPr>
        <w:t xml:space="preserve"> and the MC. Strong relationships and alignment of pu</w:t>
      </w:r>
      <w:r w:rsidR="00397FD6" w:rsidRPr="0060082A">
        <w:rPr>
          <w:rFonts w:asciiTheme="majorHAnsi" w:hAnsiTheme="majorHAnsi" w:cstheme="majorHAnsi"/>
          <w:spacing w:val="-2"/>
        </w:rPr>
        <w:t xml:space="preserve">rpose has led to success at </w:t>
      </w:r>
      <w:r w:rsidRPr="0060082A">
        <w:rPr>
          <w:rFonts w:asciiTheme="majorHAnsi" w:hAnsiTheme="majorHAnsi" w:cstheme="majorHAnsi"/>
          <w:spacing w:val="-2"/>
        </w:rPr>
        <w:t xml:space="preserve">program level. Strong communication and policy engagement with </w:t>
      </w:r>
      <w:r w:rsidR="00B765AC" w:rsidRPr="0060082A">
        <w:rPr>
          <w:rFonts w:asciiTheme="majorHAnsi" w:hAnsiTheme="majorHAnsi" w:cstheme="majorHAnsi"/>
          <w:spacing w:val="-2"/>
        </w:rPr>
        <w:t>MoE</w:t>
      </w:r>
      <w:r w:rsidR="00397FD6" w:rsidRPr="0060082A">
        <w:rPr>
          <w:rFonts w:asciiTheme="majorHAnsi" w:hAnsiTheme="majorHAnsi" w:cstheme="majorHAnsi"/>
          <w:spacing w:val="-2"/>
        </w:rPr>
        <w:t xml:space="preserve"> and DFAT has </w:t>
      </w:r>
      <w:r w:rsidRPr="0060082A">
        <w:rPr>
          <w:rFonts w:asciiTheme="majorHAnsi" w:hAnsiTheme="majorHAnsi" w:cstheme="majorHAnsi"/>
          <w:spacing w:val="-2"/>
        </w:rPr>
        <w:t>supported achievement in public diplomacy.</w:t>
      </w:r>
    </w:p>
    <w:p w14:paraId="63DBC8C0" w14:textId="44D88A0D" w:rsidR="002E0B9D" w:rsidRPr="0060082A" w:rsidRDefault="00724E23" w:rsidP="0060082A">
      <w:pPr>
        <w:rPr>
          <w:rFonts w:asciiTheme="majorHAnsi" w:hAnsiTheme="majorHAnsi" w:cstheme="majorHAnsi"/>
          <w:spacing w:val="-2"/>
        </w:rPr>
      </w:pPr>
      <w:r w:rsidRPr="0060082A">
        <w:rPr>
          <w:rFonts w:asciiTheme="majorHAnsi" w:hAnsiTheme="majorHAnsi" w:cstheme="majorHAnsi"/>
          <w:spacing w:val="-2"/>
        </w:rPr>
        <w:t xml:space="preserve">DFAT prioritised its </w:t>
      </w:r>
      <w:r w:rsidR="006C0488" w:rsidRPr="0060082A">
        <w:rPr>
          <w:rFonts w:asciiTheme="majorHAnsi" w:hAnsiTheme="majorHAnsi" w:cstheme="majorHAnsi"/>
          <w:spacing w:val="-2"/>
        </w:rPr>
        <w:t xml:space="preserve">AUD </w:t>
      </w:r>
      <w:r w:rsidR="00C761BB" w:rsidRPr="0060082A">
        <w:rPr>
          <w:rFonts w:asciiTheme="majorHAnsi" w:hAnsiTheme="majorHAnsi" w:cstheme="majorHAnsi"/>
          <w:spacing w:val="-2"/>
        </w:rPr>
        <w:t>22</w:t>
      </w:r>
      <w:r w:rsidRPr="0060082A">
        <w:rPr>
          <w:rFonts w:asciiTheme="majorHAnsi" w:hAnsiTheme="majorHAnsi" w:cstheme="majorHAnsi"/>
          <w:spacing w:val="-2"/>
        </w:rPr>
        <w:t xml:space="preserve"> million KEIP Phase </w:t>
      </w:r>
      <w:r w:rsidR="000A49FE">
        <w:rPr>
          <w:rFonts w:asciiTheme="majorHAnsi" w:hAnsiTheme="majorHAnsi" w:cstheme="majorHAnsi"/>
          <w:spacing w:val="-2"/>
        </w:rPr>
        <w:t>2</w:t>
      </w:r>
      <w:r w:rsidRPr="0060082A">
        <w:rPr>
          <w:rFonts w:asciiTheme="majorHAnsi" w:hAnsiTheme="majorHAnsi" w:cstheme="majorHAnsi"/>
          <w:spacing w:val="-2"/>
        </w:rPr>
        <w:t xml:space="preserve"> investment for basic education in Kiribati, through its </w:t>
      </w:r>
      <w:r w:rsidR="00C603D3" w:rsidRPr="0060082A">
        <w:rPr>
          <w:rFonts w:asciiTheme="majorHAnsi" w:hAnsiTheme="majorHAnsi" w:cstheme="majorHAnsi"/>
          <w:spacing w:val="-2"/>
        </w:rPr>
        <w:t>on-going</w:t>
      </w:r>
      <w:r w:rsidRPr="0060082A">
        <w:rPr>
          <w:rFonts w:asciiTheme="majorHAnsi" w:hAnsiTheme="majorHAnsi" w:cstheme="majorHAnsi"/>
          <w:spacing w:val="-2"/>
        </w:rPr>
        <w:t xml:space="preserve"> support to the goals of the GoK </w:t>
      </w:r>
      <w:r w:rsidR="001F1F27" w:rsidRPr="0060082A">
        <w:rPr>
          <w:rFonts w:asciiTheme="majorHAnsi" w:hAnsiTheme="majorHAnsi" w:cstheme="majorHAnsi"/>
          <w:spacing w:val="-2"/>
        </w:rPr>
        <w:t>ESSP</w:t>
      </w:r>
      <w:r w:rsidR="001F1F27" w:rsidRPr="0060082A" w:rsidDel="001F1F27">
        <w:rPr>
          <w:rFonts w:asciiTheme="majorHAnsi" w:hAnsiTheme="majorHAnsi" w:cstheme="majorHAnsi"/>
          <w:spacing w:val="-2"/>
        </w:rPr>
        <w:t xml:space="preserve"> </w:t>
      </w:r>
      <w:r w:rsidRPr="0060082A">
        <w:rPr>
          <w:rFonts w:asciiTheme="majorHAnsi" w:hAnsiTheme="majorHAnsi" w:cstheme="majorHAnsi"/>
          <w:spacing w:val="-2"/>
        </w:rPr>
        <w:t>2012-2015.</w:t>
      </w:r>
      <w:r w:rsidR="00B9577E" w:rsidRPr="0060082A">
        <w:rPr>
          <w:rStyle w:val="FootnoteReference"/>
          <w:rFonts w:asciiTheme="majorHAnsi" w:hAnsiTheme="majorHAnsi" w:cstheme="majorHAnsi"/>
          <w:b/>
          <w:spacing w:val="-2"/>
        </w:rPr>
        <w:footnoteReference w:id="2"/>
      </w:r>
      <w:r w:rsidRPr="0060082A">
        <w:rPr>
          <w:rFonts w:asciiTheme="majorHAnsi" w:hAnsiTheme="majorHAnsi" w:cstheme="majorHAnsi"/>
          <w:spacing w:val="-2"/>
        </w:rPr>
        <w:t xml:space="preserve"> </w:t>
      </w:r>
      <w:r w:rsidR="00C11ABA" w:rsidRPr="0060082A">
        <w:rPr>
          <w:rFonts w:asciiTheme="majorHAnsi" w:hAnsiTheme="majorHAnsi" w:cstheme="majorHAnsi"/>
          <w:spacing w:val="-2"/>
        </w:rPr>
        <w:t>Australia provide</w:t>
      </w:r>
      <w:r w:rsidR="002F4FD9" w:rsidRPr="0060082A">
        <w:rPr>
          <w:rFonts w:asciiTheme="majorHAnsi" w:hAnsiTheme="majorHAnsi" w:cstheme="majorHAnsi"/>
          <w:spacing w:val="-2"/>
        </w:rPr>
        <w:t>d</w:t>
      </w:r>
      <w:r w:rsidR="00C11ABA" w:rsidRPr="0060082A">
        <w:rPr>
          <w:rFonts w:asciiTheme="majorHAnsi" w:hAnsiTheme="majorHAnsi" w:cstheme="majorHAnsi"/>
          <w:spacing w:val="-2"/>
        </w:rPr>
        <w:t xml:space="preserve"> additional grant funding to UNESCO for specific activities that support the KEIP partnership. </w:t>
      </w:r>
      <w:r w:rsidR="00963E2D" w:rsidRPr="0060082A">
        <w:rPr>
          <w:rFonts w:asciiTheme="majorHAnsi" w:hAnsiTheme="majorHAnsi" w:cstheme="majorHAnsi"/>
          <w:spacing w:val="-2"/>
        </w:rPr>
        <w:t xml:space="preserve">The DFAT also continues to fund the position of Education </w:t>
      </w:r>
      <w:r w:rsidR="00EB2F5C" w:rsidRPr="0060082A">
        <w:rPr>
          <w:rFonts w:asciiTheme="majorHAnsi" w:hAnsiTheme="majorHAnsi" w:cstheme="majorHAnsi"/>
          <w:spacing w:val="-2"/>
        </w:rPr>
        <w:t xml:space="preserve">Strategic </w:t>
      </w:r>
      <w:r w:rsidR="00963E2D" w:rsidRPr="0060082A">
        <w:rPr>
          <w:rFonts w:asciiTheme="majorHAnsi" w:hAnsiTheme="majorHAnsi" w:cstheme="majorHAnsi"/>
          <w:spacing w:val="-2"/>
        </w:rPr>
        <w:t>Planning Adviser (ESPA),</w:t>
      </w:r>
      <w:r w:rsidR="00C32532" w:rsidRPr="0060082A">
        <w:rPr>
          <w:rFonts w:asciiTheme="majorHAnsi" w:hAnsiTheme="majorHAnsi" w:cstheme="majorHAnsi"/>
          <w:spacing w:val="-2"/>
        </w:rPr>
        <w:t xml:space="preserve"> who aims to </w:t>
      </w:r>
      <w:r w:rsidR="00963E2D" w:rsidRPr="0060082A">
        <w:rPr>
          <w:rFonts w:asciiTheme="majorHAnsi" w:hAnsiTheme="majorHAnsi" w:cstheme="majorHAnsi"/>
          <w:spacing w:val="-2"/>
        </w:rPr>
        <w:t>support and strengthen MoE strategic planning and management. This position is sourced through the Pacific Technical Assistance Mechanism (PACTAM) and will be on-going</w:t>
      </w:r>
      <w:r w:rsidR="00397FD6" w:rsidRPr="0060082A">
        <w:rPr>
          <w:rFonts w:asciiTheme="majorHAnsi" w:hAnsiTheme="majorHAnsi" w:cstheme="majorHAnsi"/>
          <w:spacing w:val="-2"/>
        </w:rPr>
        <w:t>, providing direct technical support to the MoE</w:t>
      </w:r>
      <w:r w:rsidR="00CD34F9" w:rsidRPr="0060082A">
        <w:rPr>
          <w:rFonts w:asciiTheme="majorHAnsi" w:hAnsiTheme="majorHAnsi" w:cstheme="majorHAnsi"/>
          <w:spacing w:val="-2"/>
        </w:rPr>
        <w:t xml:space="preserve"> executive</w:t>
      </w:r>
      <w:r w:rsidR="00110B2A" w:rsidRPr="0060082A">
        <w:rPr>
          <w:rFonts w:asciiTheme="majorHAnsi" w:hAnsiTheme="majorHAnsi" w:cstheme="majorHAnsi"/>
          <w:spacing w:val="-2"/>
        </w:rPr>
        <w:t xml:space="preserve"> in </w:t>
      </w:r>
      <w:r w:rsidR="00BB0686" w:rsidRPr="0060082A">
        <w:rPr>
          <w:rFonts w:asciiTheme="majorHAnsi" w:hAnsiTheme="majorHAnsi" w:cstheme="majorHAnsi"/>
          <w:spacing w:val="-2"/>
        </w:rPr>
        <w:t xml:space="preserve">their </w:t>
      </w:r>
      <w:r w:rsidR="00110B2A" w:rsidRPr="0060082A">
        <w:rPr>
          <w:rFonts w:asciiTheme="majorHAnsi" w:hAnsiTheme="majorHAnsi" w:cstheme="majorHAnsi"/>
          <w:spacing w:val="-2"/>
        </w:rPr>
        <w:t xml:space="preserve">policy development and </w:t>
      </w:r>
      <w:r w:rsidR="00BB0686" w:rsidRPr="0060082A">
        <w:rPr>
          <w:rFonts w:asciiTheme="majorHAnsi" w:hAnsiTheme="majorHAnsi" w:cstheme="majorHAnsi"/>
          <w:spacing w:val="-2"/>
        </w:rPr>
        <w:t>ongoing management development</w:t>
      </w:r>
      <w:r w:rsidR="00963E2D" w:rsidRPr="0060082A">
        <w:rPr>
          <w:rFonts w:asciiTheme="majorHAnsi" w:hAnsiTheme="majorHAnsi" w:cstheme="majorHAnsi"/>
          <w:spacing w:val="-2"/>
        </w:rPr>
        <w:t xml:space="preserve">. </w:t>
      </w:r>
    </w:p>
    <w:p w14:paraId="01B14C63" w14:textId="038AD3DC" w:rsidR="002E0B9D" w:rsidRPr="0060082A" w:rsidRDefault="002E0B9D" w:rsidP="0060082A">
      <w:pPr>
        <w:rPr>
          <w:rFonts w:asciiTheme="majorHAnsi" w:hAnsiTheme="majorHAnsi" w:cstheme="majorHAnsi"/>
          <w:spacing w:val="-2"/>
        </w:rPr>
      </w:pPr>
      <w:r w:rsidRPr="0060082A">
        <w:rPr>
          <w:rFonts w:asciiTheme="majorHAnsi" w:hAnsiTheme="majorHAnsi" w:cstheme="majorHAnsi"/>
          <w:spacing w:val="-2"/>
        </w:rPr>
        <w:t xml:space="preserve">The New Zealand Government also provided significant financial support </w:t>
      </w:r>
      <w:r w:rsidR="00EA7841" w:rsidRPr="0060082A">
        <w:rPr>
          <w:rFonts w:asciiTheme="majorHAnsi" w:hAnsiTheme="majorHAnsi" w:cstheme="majorHAnsi"/>
          <w:spacing w:val="-2"/>
        </w:rPr>
        <w:t xml:space="preserve">to </w:t>
      </w:r>
      <w:r w:rsidR="00220B81" w:rsidRPr="0060082A">
        <w:rPr>
          <w:rFonts w:asciiTheme="majorHAnsi" w:hAnsiTheme="majorHAnsi" w:cstheme="majorHAnsi"/>
          <w:spacing w:val="-2"/>
        </w:rPr>
        <w:t>KEIP in 2015</w:t>
      </w:r>
      <w:r w:rsidR="00EA7841" w:rsidRPr="0060082A">
        <w:rPr>
          <w:rFonts w:asciiTheme="majorHAnsi" w:hAnsiTheme="majorHAnsi" w:cstheme="majorHAnsi"/>
          <w:spacing w:val="-2"/>
        </w:rPr>
        <w:t xml:space="preserve">, comprising </w:t>
      </w:r>
      <w:r w:rsidRPr="0060082A">
        <w:rPr>
          <w:rFonts w:asciiTheme="majorHAnsi" w:hAnsiTheme="majorHAnsi" w:cstheme="majorHAnsi"/>
          <w:spacing w:val="-2"/>
        </w:rPr>
        <w:t>AUD $2.2m, which was made available under a delegated cooperation agreement between NZ</w:t>
      </w:r>
      <w:r w:rsidR="00B55D9B" w:rsidRPr="0060082A">
        <w:rPr>
          <w:rFonts w:asciiTheme="majorHAnsi" w:hAnsiTheme="majorHAnsi" w:cstheme="majorHAnsi"/>
          <w:spacing w:val="-2"/>
        </w:rPr>
        <w:t>’s Ministry of Foreign Affairs and Trade (MFAT)</w:t>
      </w:r>
      <w:r w:rsidRPr="0060082A">
        <w:rPr>
          <w:rFonts w:asciiTheme="majorHAnsi" w:hAnsiTheme="majorHAnsi" w:cstheme="majorHAnsi"/>
          <w:spacing w:val="-2"/>
        </w:rPr>
        <w:t xml:space="preserve"> </w:t>
      </w:r>
      <w:r w:rsidR="00EA7841" w:rsidRPr="0060082A">
        <w:rPr>
          <w:rFonts w:asciiTheme="majorHAnsi" w:hAnsiTheme="majorHAnsi" w:cstheme="majorHAnsi"/>
          <w:spacing w:val="-2"/>
        </w:rPr>
        <w:t xml:space="preserve">and </w:t>
      </w:r>
      <w:r w:rsidRPr="0060082A">
        <w:rPr>
          <w:rFonts w:asciiTheme="majorHAnsi" w:hAnsiTheme="majorHAnsi" w:cstheme="majorHAnsi"/>
          <w:spacing w:val="-2"/>
        </w:rPr>
        <w:t xml:space="preserve">DFAT. </w:t>
      </w:r>
    </w:p>
    <w:p w14:paraId="597EED92" w14:textId="7FEE53AB" w:rsidR="00EB077F" w:rsidRDefault="00C11ABA" w:rsidP="0060082A">
      <w:pPr>
        <w:rPr>
          <w:rFonts w:ascii="Arial" w:hAnsi="Arial" w:cs="Arial (TT)"/>
          <w:b/>
          <w:lang w:val="en-GB"/>
        </w:rPr>
      </w:pPr>
      <w:r w:rsidRPr="0060082A">
        <w:rPr>
          <w:rFonts w:asciiTheme="majorHAnsi" w:hAnsiTheme="majorHAnsi" w:cstheme="majorHAnsi"/>
          <w:spacing w:val="-2"/>
        </w:rPr>
        <w:t>Each of the</w:t>
      </w:r>
      <w:r w:rsidR="007127A7" w:rsidRPr="0060082A">
        <w:rPr>
          <w:rFonts w:asciiTheme="majorHAnsi" w:hAnsiTheme="majorHAnsi" w:cstheme="majorHAnsi"/>
          <w:spacing w:val="-2"/>
        </w:rPr>
        <w:t xml:space="preserve"> donor</w:t>
      </w:r>
      <w:r w:rsidRPr="0060082A">
        <w:rPr>
          <w:rFonts w:asciiTheme="majorHAnsi" w:hAnsiTheme="majorHAnsi" w:cstheme="majorHAnsi"/>
          <w:spacing w:val="-2"/>
        </w:rPr>
        <w:t xml:space="preserve"> investments in KEIP are reported though </w:t>
      </w:r>
      <w:r w:rsidR="00397FD6" w:rsidRPr="0060082A">
        <w:rPr>
          <w:rFonts w:asciiTheme="majorHAnsi" w:hAnsiTheme="majorHAnsi" w:cstheme="majorHAnsi"/>
          <w:spacing w:val="-2"/>
        </w:rPr>
        <w:t xml:space="preserve">the </w:t>
      </w:r>
      <w:r w:rsidRPr="0060082A">
        <w:rPr>
          <w:rFonts w:asciiTheme="majorHAnsi" w:hAnsiTheme="majorHAnsi" w:cstheme="majorHAnsi"/>
          <w:spacing w:val="-2"/>
        </w:rPr>
        <w:t>EPiK</w:t>
      </w:r>
      <w:r w:rsidR="00397FD6" w:rsidRPr="0060082A">
        <w:rPr>
          <w:rFonts w:asciiTheme="majorHAnsi" w:hAnsiTheme="majorHAnsi" w:cstheme="majorHAnsi"/>
          <w:spacing w:val="-2"/>
        </w:rPr>
        <w:t xml:space="preserve">, </w:t>
      </w:r>
      <w:r w:rsidRPr="0060082A">
        <w:rPr>
          <w:rFonts w:asciiTheme="majorHAnsi" w:hAnsiTheme="majorHAnsi" w:cstheme="majorHAnsi"/>
          <w:spacing w:val="-2"/>
        </w:rPr>
        <w:t>a coordinating forum that meets bi</w:t>
      </w:r>
      <w:r w:rsidR="006C0488" w:rsidRPr="0060082A">
        <w:rPr>
          <w:rFonts w:asciiTheme="majorHAnsi" w:hAnsiTheme="majorHAnsi" w:cstheme="majorHAnsi"/>
          <w:spacing w:val="-2"/>
        </w:rPr>
        <w:t>-</w:t>
      </w:r>
      <w:r w:rsidRPr="0060082A">
        <w:rPr>
          <w:rFonts w:asciiTheme="majorHAnsi" w:hAnsiTheme="majorHAnsi" w:cstheme="majorHAnsi"/>
          <w:spacing w:val="-2"/>
        </w:rPr>
        <w:t>annually and helps</w:t>
      </w:r>
      <w:r w:rsidR="00397FD6" w:rsidRPr="0060082A">
        <w:rPr>
          <w:rFonts w:asciiTheme="majorHAnsi" w:hAnsiTheme="majorHAnsi" w:cstheme="majorHAnsi"/>
          <w:spacing w:val="-2"/>
        </w:rPr>
        <w:t xml:space="preserve"> to align and clarify</w:t>
      </w:r>
      <w:r w:rsidRPr="0060082A">
        <w:rPr>
          <w:rFonts w:asciiTheme="majorHAnsi" w:hAnsiTheme="majorHAnsi" w:cstheme="majorHAnsi"/>
          <w:spacing w:val="-2"/>
        </w:rPr>
        <w:t xml:space="preserve"> major donor contributions in support of the Kiribati basic education sector. The EPiK promotes greater coherence across the basic education sector, helping</w:t>
      </w:r>
      <w:r w:rsidR="004E104B" w:rsidRPr="0060082A">
        <w:rPr>
          <w:rFonts w:asciiTheme="majorHAnsi" w:hAnsiTheme="majorHAnsi" w:cstheme="majorHAnsi"/>
          <w:spacing w:val="-2"/>
        </w:rPr>
        <w:t xml:space="preserve"> coordinate and align</w:t>
      </w:r>
      <w:r w:rsidR="00612FB4" w:rsidRPr="0060082A">
        <w:rPr>
          <w:rFonts w:asciiTheme="majorHAnsi" w:hAnsiTheme="majorHAnsi" w:cstheme="majorHAnsi"/>
          <w:spacing w:val="-2"/>
        </w:rPr>
        <w:t xml:space="preserve"> </w:t>
      </w:r>
      <w:r w:rsidRPr="0060082A">
        <w:rPr>
          <w:rFonts w:asciiTheme="majorHAnsi" w:hAnsiTheme="majorHAnsi" w:cstheme="majorHAnsi"/>
          <w:spacing w:val="-2"/>
        </w:rPr>
        <w:t>investment</w:t>
      </w:r>
      <w:r w:rsidR="006C0488" w:rsidRPr="0060082A">
        <w:rPr>
          <w:rFonts w:asciiTheme="majorHAnsi" w:hAnsiTheme="majorHAnsi" w:cstheme="majorHAnsi"/>
          <w:spacing w:val="-2"/>
        </w:rPr>
        <w:t>s</w:t>
      </w:r>
      <w:r w:rsidRPr="0060082A">
        <w:rPr>
          <w:rFonts w:asciiTheme="majorHAnsi" w:hAnsiTheme="majorHAnsi" w:cstheme="majorHAnsi"/>
          <w:spacing w:val="-2"/>
        </w:rPr>
        <w:t xml:space="preserve"> from DFAT and others</w:t>
      </w:r>
      <w:r w:rsidR="00EB2F5C" w:rsidRPr="0060082A">
        <w:rPr>
          <w:rFonts w:asciiTheme="majorHAnsi" w:hAnsiTheme="majorHAnsi" w:cstheme="majorHAnsi"/>
          <w:spacing w:val="-2"/>
        </w:rPr>
        <w:t xml:space="preserve"> (e.g. UNICEF)</w:t>
      </w:r>
      <w:r w:rsidRPr="0060082A">
        <w:rPr>
          <w:rFonts w:asciiTheme="majorHAnsi" w:hAnsiTheme="majorHAnsi" w:cstheme="majorHAnsi"/>
          <w:spacing w:val="-2"/>
        </w:rPr>
        <w:t xml:space="preserve"> </w:t>
      </w:r>
      <w:r w:rsidR="00397FD6" w:rsidRPr="0060082A">
        <w:rPr>
          <w:rFonts w:asciiTheme="majorHAnsi" w:hAnsiTheme="majorHAnsi" w:cstheme="majorHAnsi"/>
          <w:spacing w:val="-2"/>
        </w:rPr>
        <w:t xml:space="preserve">who </w:t>
      </w:r>
      <w:r w:rsidRPr="0060082A">
        <w:rPr>
          <w:rFonts w:asciiTheme="majorHAnsi" w:hAnsiTheme="majorHAnsi" w:cstheme="majorHAnsi"/>
          <w:spacing w:val="-2"/>
        </w:rPr>
        <w:t>contribute to common outcomes.</w:t>
      </w:r>
      <w:r w:rsidR="00EB077F">
        <w:br w:type="page"/>
      </w:r>
    </w:p>
    <w:p w14:paraId="7A23B66F" w14:textId="750CC286" w:rsidR="00221AE8" w:rsidRPr="00C918BF" w:rsidRDefault="00221AE8" w:rsidP="00CD6138">
      <w:pPr>
        <w:pStyle w:val="Heading3"/>
      </w:pPr>
      <w:bookmarkStart w:id="20" w:name="_Toc461615673"/>
      <w:r w:rsidRPr="00C918BF">
        <w:lastRenderedPageBreak/>
        <w:t xml:space="preserve">Alignment of </w:t>
      </w:r>
      <w:r w:rsidR="00B07F6D" w:rsidRPr="00C918BF">
        <w:t xml:space="preserve">the </w:t>
      </w:r>
      <w:r w:rsidRPr="00C918BF">
        <w:t xml:space="preserve">Australian KEIP Phase </w:t>
      </w:r>
      <w:r w:rsidR="000A49FE">
        <w:t>2</w:t>
      </w:r>
      <w:r w:rsidRPr="00C918BF">
        <w:t xml:space="preserve"> Investment</w:t>
      </w:r>
      <w:bookmarkEnd w:id="20"/>
    </w:p>
    <w:p w14:paraId="471ABD85" w14:textId="0AABB7BD" w:rsidR="00C11ABA" w:rsidRPr="0060082A" w:rsidRDefault="00C11ABA" w:rsidP="0060082A">
      <w:pPr>
        <w:rPr>
          <w:rFonts w:asciiTheme="majorHAnsi" w:hAnsiTheme="majorHAnsi" w:cstheme="majorHAnsi"/>
        </w:rPr>
      </w:pPr>
      <w:r w:rsidRPr="0060082A">
        <w:rPr>
          <w:rFonts w:asciiTheme="majorHAnsi" w:hAnsiTheme="majorHAnsi" w:cstheme="majorHAnsi"/>
        </w:rPr>
        <w:t>The KEIP has exercised a high degree of flexibility an</w:t>
      </w:r>
      <w:r w:rsidR="00397FD6" w:rsidRPr="0060082A">
        <w:rPr>
          <w:rFonts w:asciiTheme="majorHAnsi" w:hAnsiTheme="majorHAnsi" w:cstheme="majorHAnsi"/>
        </w:rPr>
        <w:t xml:space="preserve">d responsiveness to address </w:t>
      </w:r>
      <w:r w:rsidRPr="0060082A">
        <w:rPr>
          <w:rFonts w:asciiTheme="majorHAnsi" w:hAnsiTheme="majorHAnsi" w:cstheme="majorHAnsi"/>
        </w:rPr>
        <w:t xml:space="preserve">development priorities and </w:t>
      </w:r>
      <w:r w:rsidR="00397FD6" w:rsidRPr="0060082A">
        <w:rPr>
          <w:rFonts w:asciiTheme="majorHAnsi" w:hAnsiTheme="majorHAnsi" w:cstheme="majorHAnsi"/>
        </w:rPr>
        <w:t xml:space="preserve">the </w:t>
      </w:r>
      <w:r w:rsidRPr="0060082A">
        <w:rPr>
          <w:rFonts w:asciiTheme="majorHAnsi" w:hAnsiTheme="majorHAnsi" w:cstheme="majorHAnsi"/>
        </w:rPr>
        <w:t xml:space="preserve">capacity of </w:t>
      </w:r>
      <w:r w:rsidR="00B765AC" w:rsidRPr="0060082A">
        <w:rPr>
          <w:rFonts w:asciiTheme="majorHAnsi" w:hAnsiTheme="majorHAnsi" w:cstheme="majorHAnsi"/>
        </w:rPr>
        <w:t>MoE</w:t>
      </w:r>
      <w:r w:rsidRPr="0060082A">
        <w:rPr>
          <w:rFonts w:asciiTheme="majorHAnsi" w:hAnsiTheme="majorHAnsi" w:cstheme="majorHAnsi"/>
        </w:rPr>
        <w:t xml:space="preserve"> and its partners in Kiribati. This was facilitated through having a program team with a strong, consistent presence and </w:t>
      </w:r>
      <w:r w:rsidR="00397FD6" w:rsidRPr="0060082A">
        <w:rPr>
          <w:rFonts w:asciiTheme="majorHAnsi" w:hAnsiTheme="majorHAnsi" w:cstheme="majorHAnsi"/>
        </w:rPr>
        <w:t xml:space="preserve">close </w:t>
      </w:r>
      <w:r w:rsidRPr="0060082A">
        <w:rPr>
          <w:rFonts w:asciiTheme="majorHAnsi" w:hAnsiTheme="majorHAnsi" w:cstheme="majorHAnsi"/>
        </w:rPr>
        <w:t xml:space="preserve">engagement with key stakeholders </w:t>
      </w:r>
    </w:p>
    <w:p w14:paraId="67E575F3" w14:textId="058F952E" w:rsidR="00C11ABA" w:rsidRPr="0060082A" w:rsidRDefault="00845128" w:rsidP="0060082A">
      <w:pPr>
        <w:rPr>
          <w:rFonts w:asciiTheme="majorHAnsi" w:hAnsiTheme="majorHAnsi" w:cstheme="majorHAnsi"/>
        </w:rPr>
      </w:pPr>
      <w:r w:rsidRPr="0060082A" w:rsidDel="00B55D9B">
        <w:rPr>
          <w:rFonts w:asciiTheme="majorHAnsi" w:hAnsiTheme="majorHAnsi" w:cstheme="majorHAnsi"/>
        </w:rPr>
        <w:t>The KEIP</w:t>
      </w:r>
      <w:r w:rsidR="00220B81" w:rsidRPr="0060082A">
        <w:rPr>
          <w:rFonts w:asciiTheme="majorHAnsi" w:hAnsiTheme="majorHAnsi" w:cstheme="majorHAnsi"/>
        </w:rPr>
        <w:t xml:space="preserve"> Phase </w:t>
      </w:r>
      <w:r w:rsidR="000A49FE">
        <w:rPr>
          <w:rFonts w:asciiTheme="majorHAnsi" w:hAnsiTheme="majorHAnsi" w:cstheme="majorHAnsi"/>
        </w:rPr>
        <w:t>2</w:t>
      </w:r>
      <w:r w:rsidRPr="0060082A" w:rsidDel="00B55D9B">
        <w:rPr>
          <w:rFonts w:asciiTheme="majorHAnsi" w:hAnsiTheme="majorHAnsi" w:cstheme="majorHAnsi"/>
        </w:rPr>
        <w:t xml:space="preserve"> investment is closely aligned with Australia’s strategic policies for education, </w:t>
      </w:r>
      <w:r w:rsidR="00EA7841" w:rsidRPr="0060082A" w:rsidDel="00B55D9B">
        <w:rPr>
          <w:rFonts w:asciiTheme="majorHAnsi" w:hAnsiTheme="majorHAnsi" w:cstheme="majorHAnsi"/>
        </w:rPr>
        <w:t xml:space="preserve">including </w:t>
      </w:r>
      <w:r w:rsidRPr="0060082A" w:rsidDel="00B55D9B">
        <w:rPr>
          <w:rFonts w:asciiTheme="majorHAnsi" w:hAnsiTheme="majorHAnsi" w:cstheme="majorHAnsi"/>
        </w:rPr>
        <w:t>the</w:t>
      </w:r>
      <w:r w:rsidR="00863136" w:rsidRPr="0060082A" w:rsidDel="00B55D9B">
        <w:rPr>
          <w:rFonts w:asciiTheme="majorHAnsi" w:hAnsiTheme="majorHAnsi" w:cstheme="majorHAnsi"/>
        </w:rPr>
        <w:t xml:space="preserve"> </w:t>
      </w:r>
      <w:r w:rsidRPr="0060082A" w:rsidDel="00B55D9B">
        <w:rPr>
          <w:rFonts w:asciiTheme="majorHAnsi" w:hAnsiTheme="majorHAnsi" w:cstheme="majorHAnsi"/>
        </w:rPr>
        <w:t>Pacific Education and Skills Development Agenda (PESDA</w:t>
      </w:r>
      <w:r w:rsidR="00863136" w:rsidRPr="0060082A" w:rsidDel="00B55D9B">
        <w:rPr>
          <w:rFonts w:asciiTheme="majorHAnsi" w:hAnsiTheme="majorHAnsi" w:cstheme="majorHAnsi"/>
        </w:rPr>
        <w:t xml:space="preserve">), with a </w:t>
      </w:r>
      <w:r w:rsidRPr="0060082A" w:rsidDel="00B55D9B">
        <w:rPr>
          <w:rFonts w:asciiTheme="majorHAnsi" w:hAnsiTheme="majorHAnsi" w:cstheme="majorHAnsi"/>
        </w:rPr>
        <w:t>focus on early years 1-4</w:t>
      </w:r>
      <w:r w:rsidR="00863136" w:rsidRPr="0060082A" w:rsidDel="00B55D9B">
        <w:rPr>
          <w:rStyle w:val="FootnoteReference"/>
          <w:rFonts w:asciiTheme="majorHAnsi" w:hAnsiTheme="majorHAnsi" w:cstheme="majorHAnsi"/>
          <w:spacing w:val="2"/>
        </w:rPr>
        <w:footnoteReference w:id="3"/>
      </w:r>
      <w:r w:rsidR="00863136" w:rsidRPr="0060082A" w:rsidDel="00B55D9B">
        <w:rPr>
          <w:rFonts w:asciiTheme="majorHAnsi" w:hAnsiTheme="majorHAnsi" w:cstheme="majorHAnsi"/>
        </w:rPr>
        <w:t xml:space="preserve">. </w:t>
      </w:r>
      <w:r w:rsidR="00C11ABA" w:rsidRPr="0060082A">
        <w:rPr>
          <w:rFonts w:asciiTheme="majorHAnsi" w:hAnsiTheme="majorHAnsi" w:cstheme="majorHAnsi"/>
        </w:rPr>
        <w:t xml:space="preserve">The overall design of KEIP was </w:t>
      </w:r>
      <w:r w:rsidR="00EA7841" w:rsidRPr="0060082A">
        <w:rPr>
          <w:rFonts w:asciiTheme="majorHAnsi" w:hAnsiTheme="majorHAnsi" w:cstheme="majorHAnsi"/>
        </w:rPr>
        <w:t xml:space="preserve">also </w:t>
      </w:r>
      <w:r w:rsidR="00C11ABA" w:rsidRPr="0060082A">
        <w:rPr>
          <w:rFonts w:asciiTheme="majorHAnsi" w:hAnsiTheme="majorHAnsi" w:cstheme="majorHAnsi"/>
        </w:rPr>
        <w:t>shaped by the GoK, including the</w:t>
      </w:r>
      <w:r w:rsidR="00724E23" w:rsidRPr="0060082A">
        <w:rPr>
          <w:rFonts w:asciiTheme="majorHAnsi" w:hAnsiTheme="majorHAnsi" w:cstheme="majorHAnsi"/>
        </w:rPr>
        <w:t>ir</w:t>
      </w:r>
      <w:r w:rsidR="00C11ABA" w:rsidRPr="0060082A">
        <w:rPr>
          <w:rFonts w:asciiTheme="majorHAnsi" w:hAnsiTheme="majorHAnsi" w:cstheme="majorHAnsi"/>
        </w:rPr>
        <w:t xml:space="preserve"> priorities for the </w:t>
      </w:r>
      <w:r w:rsidR="00EA7841" w:rsidRPr="0060082A">
        <w:rPr>
          <w:rFonts w:asciiTheme="majorHAnsi" w:hAnsiTheme="majorHAnsi" w:cstheme="majorHAnsi"/>
        </w:rPr>
        <w:t xml:space="preserve">Kiribati basic </w:t>
      </w:r>
      <w:r w:rsidR="00C11ABA" w:rsidRPr="0060082A">
        <w:rPr>
          <w:rFonts w:asciiTheme="majorHAnsi" w:hAnsiTheme="majorHAnsi" w:cstheme="majorHAnsi"/>
        </w:rPr>
        <w:t xml:space="preserve">education sector and </w:t>
      </w:r>
      <w:r w:rsidR="00EA7841" w:rsidRPr="0060082A">
        <w:rPr>
          <w:rFonts w:asciiTheme="majorHAnsi" w:hAnsiTheme="majorHAnsi" w:cstheme="majorHAnsi"/>
        </w:rPr>
        <w:t xml:space="preserve">the </w:t>
      </w:r>
      <w:r w:rsidR="00843719" w:rsidRPr="0060082A">
        <w:rPr>
          <w:rFonts w:asciiTheme="majorHAnsi" w:hAnsiTheme="majorHAnsi" w:cstheme="majorHAnsi"/>
        </w:rPr>
        <w:t xml:space="preserve">ESSP </w:t>
      </w:r>
      <w:r w:rsidR="00C11ABA" w:rsidRPr="0060082A">
        <w:rPr>
          <w:rFonts w:asciiTheme="majorHAnsi" w:hAnsiTheme="majorHAnsi" w:cstheme="majorHAnsi"/>
        </w:rPr>
        <w:t>risk management strategy</w:t>
      </w:r>
      <w:r w:rsidR="00CD34F9" w:rsidRPr="0060082A">
        <w:rPr>
          <w:rFonts w:asciiTheme="majorHAnsi" w:hAnsiTheme="majorHAnsi" w:cstheme="majorHAnsi"/>
        </w:rPr>
        <w:t>,</w:t>
      </w:r>
      <w:r w:rsidR="00C11ABA" w:rsidRPr="0060082A">
        <w:rPr>
          <w:rFonts w:asciiTheme="majorHAnsi" w:hAnsiTheme="majorHAnsi" w:cstheme="majorHAnsi"/>
        </w:rPr>
        <w:t xml:space="preserve"> as drafted by </w:t>
      </w:r>
      <w:r w:rsidR="00B765AC" w:rsidRPr="0060082A">
        <w:rPr>
          <w:rFonts w:asciiTheme="majorHAnsi" w:hAnsiTheme="majorHAnsi" w:cstheme="majorHAnsi"/>
        </w:rPr>
        <w:t>MoE</w:t>
      </w:r>
      <w:r w:rsidR="00C11ABA" w:rsidRPr="0060082A">
        <w:rPr>
          <w:rFonts w:asciiTheme="majorHAnsi" w:hAnsiTheme="majorHAnsi" w:cstheme="majorHAnsi"/>
        </w:rPr>
        <w:t xml:space="preserve"> senior management. The alignment of KEIP inputs and support for </w:t>
      </w:r>
      <w:r w:rsidR="00B765AC" w:rsidRPr="0060082A">
        <w:rPr>
          <w:rFonts w:asciiTheme="majorHAnsi" w:hAnsiTheme="majorHAnsi" w:cstheme="majorHAnsi"/>
        </w:rPr>
        <w:t>MoE</w:t>
      </w:r>
      <w:r w:rsidR="00C11ABA" w:rsidRPr="0060082A">
        <w:rPr>
          <w:rFonts w:asciiTheme="majorHAnsi" w:hAnsiTheme="majorHAnsi" w:cstheme="majorHAnsi"/>
        </w:rPr>
        <w:t xml:space="preserve"> policies and strategic planning is central to sustained change management</w:t>
      </w:r>
      <w:r w:rsidR="00843719" w:rsidRPr="0060082A">
        <w:rPr>
          <w:rFonts w:asciiTheme="majorHAnsi" w:hAnsiTheme="majorHAnsi" w:cstheme="majorHAnsi"/>
        </w:rPr>
        <w:t>,</w:t>
      </w:r>
      <w:r w:rsidR="00C11ABA" w:rsidRPr="0060082A">
        <w:rPr>
          <w:rFonts w:asciiTheme="majorHAnsi" w:hAnsiTheme="majorHAnsi" w:cstheme="majorHAnsi"/>
        </w:rPr>
        <w:t xml:space="preserve"> and</w:t>
      </w:r>
      <w:r w:rsidR="00EA7841" w:rsidRPr="0060082A">
        <w:rPr>
          <w:rFonts w:asciiTheme="majorHAnsi" w:hAnsiTheme="majorHAnsi" w:cstheme="majorHAnsi"/>
        </w:rPr>
        <w:t xml:space="preserve"> </w:t>
      </w:r>
      <w:r w:rsidR="00C11ABA" w:rsidRPr="0060082A">
        <w:rPr>
          <w:rFonts w:asciiTheme="majorHAnsi" w:hAnsiTheme="majorHAnsi" w:cstheme="majorHAnsi"/>
        </w:rPr>
        <w:t xml:space="preserve">institutionalisation </w:t>
      </w:r>
      <w:r w:rsidR="00EA7841" w:rsidRPr="0060082A">
        <w:rPr>
          <w:rFonts w:asciiTheme="majorHAnsi" w:hAnsiTheme="majorHAnsi" w:cstheme="majorHAnsi"/>
        </w:rPr>
        <w:t xml:space="preserve">and support for </w:t>
      </w:r>
      <w:r w:rsidR="00C11ABA" w:rsidRPr="0060082A">
        <w:rPr>
          <w:rFonts w:asciiTheme="majorHAnsi" w:hAnsiTheme="majorHAnsi" w:cstheme="majorHAnsi"/>
        </w:rPr>
        <w:t xml:space="preserve">new systems </w:t>
      </w:r>
      <w:r w:rsidR="00EA7841" w:rsidRPr="0060082A">
        <w:rPr>
          <w:rFonts w:asciiTheme="majorHAnsi" w:hAnsiTheme="majorHAnsi" w:cstheme="majorHAnsi"/>
        </w:rPr>
        <w:t xml:space="preserve">that </w:t>
      </w:r>
      <w:r w:rsidR="00843719" w:rsidRPr="0060082A">
        <w:rPr>
          <w:rFonts w:asciiTheme="majorHAnsi" w:hAnsiTheme="majorHAnsi" w:cstheme="majorHAnsi"/>
        </w:rPr>
        <w:t xml:space="preserve">can </w:t>
      </w:r>
      <w:r w:rsidR="00EA7841" w:rsidRPr="0060082A">
        <w:rPr>
          <w:rFonts w:asciiTheme="majorHAnsi" w:hAnsiTheme="majorHAnsi" w:cstheme="majorHAnsi"/>
        </w:rPr>
        <w:t xml:space="preserve">deliver improved </w:t>
      </w:r>
      <w:r w:rsidR="00C11ABA" w:rsidRPr="0060082A">
        <w:rPr>
          <w:rFonts w:asciiTheme="majorHAnsi" w:hAnsiTheme="majorHAnsi" w:cstheme="majorHAnsi"/>
        </w:rPr>
        <w:t xml:space="preserve">educational outcomes. </w:t>
      </w:r>
    </w:p>
    <w:p w14:paraId="68EAD4ED" w14:textId="63C43501" w:rsidR="00C11ABA" w:rsidRPr="0060082A" w:rsidRDefault="00C11ABA" w:rsidP="0060082A">
      <w:pPr>
        <w:rPr>
          <w:rFonts w:asciiTheme="majorHAnsi" w:hAnsiTheme="majorHAnsi" w:cstheme="majorHAnsi"/>
        </w:rPr>
      </w:pPr>
      <w:r w:rsidRPr="0060082A">
        <w:rPr>
          <w:rFonts w:asciiTheme="majorHAnsi" w:hAnsiTheme="majorHAnsi" w:cstheme="majorHAnsi"/>
        </w:rPr>
        <w:t xml:space="preserve">At the Australia – Kiribati Partnership Talks in September 2012, </w:t>
      </w:r>
      <w:r w:rsidR="00EA7841" w:rsidRPr="0060082A">
        <w:rPr>
          <w:rFonts w:asciiTheme="majorHAnsi" w:hAnsiTheme="majorHAnsi" w:cstheme="majorHAnsi"/>
        </w:rPr>
        <w:t xml:space="preserve">the </w:t>
      </w:r>
      <w:r w:rsidRPr="0060082A">
        <w:rPr>
          <w:rFonts w:asciiTheme="majorHAnsi" w:hAnsiTheme="majorHAnsi" w:cstheme="majorHAnsi"/>
        </w:rPr>
        <w:t>KEIP targets for 2013 were updated</w:t>
      </w:r>
      <w:r w:rsidR="00724E23" w:rsidRPr="0060082A">
        <w:rPr>
          <w:rFonts w:asciiTheme="majorHAnsi" w:hAnsiTheme="majorHAnsi" w:cstheme="majorHAnsi"/>
        </w:rPr>
        <w:t xml:space="preserve"> and the </w:t>
      </w:r>
      <w:r w:rsidRPr="0060082A">
        <w:rPr>
          <w:rFonts w:asciiTheme="majorHAnsi" w:hAnsiTheme="majorHAnsi" w:cstheme="majorHAnsi"/>
        </w:rPr>
        <w:t xml:space="preserve">talks provided a catalyst for shifting the focus for Australia’s investment in KEIP Phase </w:t>
      </w:r>
      <w:r w:rsidR="000A49FE">
        <w:rPr>
          <w:rFonts w:asciiTheme="majorHAnsi" w:hAnsiTheme="majorHAnsi" w:cstheme="majorHAnsi"/>
        </w:rPr>
        <w:t>2</w:t>
      </w:r>
      <w:r w:rsidRPr="0060082A">
        <w:rPr>
          <w:rFonts w:asciiTheme="majorHAnsi" w:hAnsiTheme="majorHAnsi" w:cstheme="majorHAnsi"/>
        </w:rPr>
        <w:t xml:space="preserve">. More reliable data led to an updated theory of change and a clearer understanding of the support needs </w:t>
      </w:r>
      <w:r w:rsidR="00724E23" w:rsidRPr="0060082A">
        <w:rPr>
          <w:rFonts w:asciiTheme="majorHAnsi" w:hAnsiTheme="majorHAnsi" w:cstheme="majorHAnsi"/>
        </w:rPr>
        <w:t xml:space="preserve">of </w:t>
      </w:r>
      <w:r w:rsidR="00B765AC" w:rsidRPr="0060082A">
        <w:rPr>
          <w:rFonts w:asciiTheme="majorHAnsi" w:hAnsiTheme="majorHAnsi" w:cstheme="majorHAnsi"/>
        </w:rPr>
        <w:t>MoE</w:t>
      </w:r>
      <w:r w:rsidR="00724E23" w:rsidRPr="0060082A">
        <w:rPr>
          <w:rFonts w:asciiTheme="majorHAnsi" w:hAnsiTheme="majorHAnsi" w:cstheme="majorHAnsi"/>
        </w:rPr>
        <w:t>,</w:t>
      </w:r>
      <w:r w:rsidRPr="0060082A">
        <w:rPr>
          <w:rFonts w:asciiTheme="majorHAnsi" w:hAnsiTheme="majorHAnsi" w:cstheme="majorHAnsi"/>
        </w:rPr>
        <w:t xml:space="preserve"> which </w:t>
      </w:r>
      <w:r w:rsidR="00EA7841" w:rsidRPr="0060082A">
        <w:rPr>
          <w:rFonts w:asciiTheme="majorHAnsi" w:hAnsiTheme="majorHAnsi" w:cstheme="majorHAnsi"/>
        </w:rPr>
        <w:t xml:space="preserve">itself </w:t>
      </w:r>
      <w:r w:rsidRPr="0060082A">
        <w:rPr>
          <w:rFonts w:asciiTheme="majorHAnsi" w:hAnsiTheme="majorHAnsi" w:cstheme="majorHAnsi"/>
        </w:rPr>
        <w:t xml:space="preserve">operates in a complex strategic and delivery environment. </w:t>
      </w:r>
      <w:r w:rsidR="00EA7841" w:rsidRPr="0060082A">
        <w:rPr>
          <w:rFonts w:asciiTheme="majorHAnsi" w:hAnsiTheme="majorHAnsi" w:cstheme="majorHAnsi"/>
        </w:rPr>
        <w:t xml:space="preserve">The update </w:t>
      </w:r>
      <w:r w:rsidRPr="0060082A">
        <w:rPr>
          <w:rFonts w:asciiTheme="majorHAnsi" w:hAnsiTheme="majorHAnsi" w:cstheme="majorHAnsi"/>
        </w:rPr>
        <w:t xml:space="preserve">enabled the design for Phase </w:t>
      </w:r>
      <w:r w:rsidR="000A49FE">
        <w:rPr>
          <w:rFonts w:asciiTheme="majorHAnsi" w:hAnsiTheme="majorHAnsi" w:cstheme="majorHAnsi"/>
        </w:rPr>
        <w:t>2</w:t>
      </w:r>
      <w:r w:rsidRPr="0060082A">
        <w:rPr>
          <w:rFonts w:asciiTheme="majorHAnsi" w:hAnsiTheme="majorHAnsi" w:cstheme="majorHAnsi"/>
        </w:rPr>
        <w:t xml:space="preserve"> to sharpen the development focus and enable new Australian funded investments to </w:t>
      </w:r>
      <w:r w:rsidR="00EA7841" w:rsidRPr="0060082A">
        <w:rPr>
          <w:rFonts w:asciiTheme="majorHAnsi" w:hAnsiTheme="majorHAnsi" w:cstheme="majorHAnsi"/>
        </w:rPr>
        <w:t xml:space="preserve">support MoE </w:t>
      </w:r>
      <w:r w:rsidRPr="0060082A">
        <w:rPr>
          <w:rFonts w:asciiTheme="majorHAnsi" w:hAnsiTheme="majorHAnsi" w:cstheme="majorHAnsi"/>
        </w:rPr>
        <w:t>achieve better outcomes. The heightened development understanding included: the long-term nature of the KEIP program objectives</w:t>
      </w:r>
      <w:r w:rsidR="00EA7841" w:rsidRPr="0060082A">
        <w:rPr>
          <w:rFonts w:asciiTheme="majorHAnsi" w:hAnsiTheme="majorHAnsi" w:cstheme="majorHAnsi"/>
        </w:rPr>
        <w:t xml:space="preserve"> and the time taken to effect change</w:t>
      </w:r>
      <w:r w:rsidRPr="0060082A">
        <w:rPr>
          <w:rFonts w:asciiTheme="majorHAnsi" w:hAnsiTheme="majorHAnsi" w:cstheme="majorHAnsi"/>
        </w:rPr>
        <w:t xml:space="preserve">; the limited </w:t>
      </w:r>
      <w:r w:rsidR="00B765AC" w:rsidRPr="0060082A">
        <w:rPr>
          <w:rFonts w:asciiTheme="majorHAnsi" w:hAnsiTheme="majorHAnsi" w:cstheme="majorHAnsi"/>
        </w:rPr>
        <w:t>MoE</w:t>
      </w:r>
      <w:r w:rsidRPr="0060082A">
        <w:rPr>
          <w:rFonts w:asciiTheme="majorHAnsi" w:hAnsiTheme="majorHAnsi" w:cstheme="majorHAnsi"/>
        </w:rPr>
        <w:t xml:space="preserve"> operational budget</w:t>
      </w:r>
      <w:r w:rsidR="006C0488" w:rsidRPr="0060082A">
        <w:rPr>
          <w:rFonts w:asciiTheme="majorHAnsi" w:hAnsiTheme="majorHAnsi" w:cstheme="majorHAnsi"/>
        </w:rPr>
        <w:t>;</w:t>
      </w:r>
      <w:r w:rsidRPr="0060082A">
        <w:rPr>
          <w:rFonts w:asciiTheme="majorHAnsi" w:hAnsiTheme="majorHAnsi" w:cstheme="majorHAnsi"/>
        </w:rPr>
        <w:t xml:space="preserve"> and</w:t>
      </w:r>
      <w:r w:rsidR="006C0488" w:rsidRPr="0060082A">
        <w:rPr>
          <w:rFonts w:asciiTheme="majorHAnsi" w:hAnsiTheme="majorHAnsi" w:cstheme="majorHAnsi"/>
        </w:rPr>
        <w:t>,</w:t>
      </w:r>
      <w:r w:rsidRPr="0060082A">
        <w:rPr>
          <w:rFonts w:asciiTheme="majorHAnsi" w:hAnsiTheme="majorHAnsi" w:cstheme="majorHAnsi"/>
        </w:rPr>
        <w:t xml:space="preserve"> the Ministry’s capacity</w:t>
      </w:r>
      <w:r w:rsidR="00EA7841" w:rsidRPr="0060082A">
        <w:rPr>
          <w:rFonts w:asciiTheme="majorHAnsi" w:hAnsiTheme="majorHAnsi" w:cstheme="majorHAnsi"/>
        </w:rPr>
        <w:t xml:space="preserve"> (staff and systems)</w:t>
      </w:r>
      <w:r w:rsidRPr="0060082A">
        <w:rPr>
          <w:rFonts w:asciiTheme="majorHAnsi" w:hAnsiTheme="majorHAnsi" w:cstheme="majorHAnsi"/>
        </w:rPr>
        <w:t xml:space="preserve"> to absorb</w:t>
      </w:r>
      <w:r w:rsidR="00EA7841" w:rsidRPr="0060082A">
        <w:rPr>
          <w:rFonts w:asciiTheme="majorHAnsi" w:hAnsiTheme="majorHAnsi" w:cstheme="majorHAnsi"/>
        </w:rPr>
        <w:t xml:space="preserve"> this</w:t>
      </w:r>
      <w:r w:rsidRPr="0060082A">
        <w:rPr>
          <w:rFonts w:asciiTheme="majorHAnsi" w:hAnsiTheme="majorHAnsi" w:cstheme="majorHAnsi"/>
        </w:rPr>
        <w:t xml:space="preserve"> support for change management </w:t>
      </w:r>
      <w:r w:rsidR="00EA7841" w:rsidRPr="0060082A">
        <w:rPr>
          <w:rFonts w:asciiTheme="majorHAnsi" w:hAnsiTheme="majorHAnsi" w:cstheme="majorHAnsi"/>
        </w:rPr>
        <w:t xml:space="preserve">that is </w:t>
      </w:r>
      <w:r w:rsidRPr="0060082A">
        <w:rPr>
          <w:rFonts w:asciiTheme="majorHAnsi" w:hAnsiTheme="majorHAnsi" w:cstheme="majorHAnsi"/>
        </w:rPr>
        <w:t xml:space="preserve">required across the sector. </w:t>
      </w:r>
    </w:p>
    <w:p w14:paraId="13F76649" w14:textId="79325115" w:rsidR="00C11ABA" w:rsidRPr="0060082A" w:rsidRDefault="007E03CA" w:rsidP="0060082A">
      <w:pPr>
        <w:rPr>
          <w:rFonts w:asciiTheme="majorHAnsi" w:hAnsiTheme="majorHAnsi" w:cstheme="majorHAnsi"/>
        </w:rPr>
      </w:pPr>
      <w:r w:rsidRPr="0060082A">
        <w:rPr>
          <w:rFonts w:asciiTheme="majorHAnsi" w:hAnsiTheme="majorHAnsi" w:cstheme="majorHAnsi"/>
        </w:rPr>
        <w:t xml:space="preserve">The Australia – Kiribati Partnership discussions had (as one outcome) support to MoE for developing its staff and systems to sustain continuous improvement in service delivery and towards the aims of the ESSP of quality education for all. </w:t>
      </w:r>
      <w:r w:rsidR="00C11ABA" w:rsidRPr="0060082A">
        <w:rPr>
          <w:rFonts w:asciiTheme="majorHAnsi" w:hAnsiTheme="majorHAnsi" w:cstheme="majorHAnsi"/>
        </w:rPr>
        <w:t xml:space="preserve">Alignment of Australian support during KEIP Phase </w:t>
      </w:r>
      <w:r w:rsidR="000A49FE">
        <w:rPr>
          <w:rFonts w:asciiTheme="majorHAnsi" w:hAnsiTheme="majorHAnsi" w:cstheme="majorHAnsi"/>
        </w:rPr>
        <w:t>2</w:t>
      </w:r>
      <w:r w:rsidR="00C11ABA" w:rsidRPr="0060082A">
        <w:rPr>
          <w:rFonts w:asciiTheme="majorHAnsi" w:hAnsiTheme="majorHAnsi" w:cstheme="majorHAnsi"/>
        </w:rPr>
        <w:t xml:space="preserve"> directly </w:t>
      </w:r>
      <w:r w:rsidR="00852D1F" w:rsidRPr="0060082A">
        <w:rPr>
          <w:rFonts w:asciiTheme="majorHAnsi" w:hAnsiTheme="majorHAnsi" w:cstheme="majorHAnsi"/>
        </w:rPr>
        <w:t xml:space="preserve">supported </w:t>
      </w:r>
      <w:r w:rsidR="00C11ABA" w:rsidRPr="0060082A">
        <w:rPr>
          <w:rFonts w:asciiTheme="majorHAnsi" w:hAnsiTheme="majorHAnsi" w:cstheme="majorHAnsi"/>
        </w:rPr>
        <w:t>the</w:t>
      </w:r>
      <w:r w:rsidR="00843719" w:rsidRPr="0060082A">
        <w:rPr>
          <w:rFonts w:asciiTheme="majorHAnsi" w:hAnsiTheme="majorHAnsi" w:cstheme="majorHAnsi"/>
        </w:rPr>
        <w:t>se</w:t>
      </w:r>
      <w:r w:rsidR="00C11ABA" w:rsidRPr="0060082A">
        <w:rPr>
          <w:rFonts w:asciiTheme="majorHAnsi" w:hAnsiTheme="majorHAnsi" w:cstheme="majorHAnsi"/>
        </w:rPr>
        <w:t xml:space="preserve"> </w:t>
      </w:r>
      <w:r w:rsidR="006C0488" w:rsidRPr="0060082A">
        <w:rPr>
          <w:rFonts w:asciiTheme="majorHAnsi" w:hAnsiTheme="majorHAnsi" w:cstheme="majorHAnsi"/>
        </w:rPr>
        <w:t xml:space="preserve">GoK </w:t>
      </w:r>
      <w:r w:rsidR="00C11ABA" w:rsidRPr="0060082A">
        <w:rPr>
          <w:rFonts w:asciiTheme="majorHAnsi" w:hAnsiTheme="majorHAnsi" w:cstheme="majorHAnsi"/>
        </w:rPr>
        <w:t xml:space="preserve">and </w:t>
      </w:r>
      <w:r w:rsidR="006C0488" w:rsidRPr="0060082A">
        <w:rPr>
          <w:rFonts w:asciiTheme="majorHAnsi" w:hAnsiTheme="majorHAnsi" w:cstheme="majorHAnsi"/>
        </w:rPr>
        <w:t xml:space="preserve">MoE </w:t>
      </w:r>
      <w:r w:rsidR="00843719" w:rsidRPr="0060082A">
        <w:rPr>
          <w:rFonts w:asciiTheme="majorHAnsi" w:hAnsiTheme="majorHAnsi" w:cstheme="majorHAnsi"/>
        </w:rPr>
        <w:t>priorities for</w:t>
      </w:r>
      <w:r w:rsidR="00863136" w:rsidRPr="0060082A">
        <w:rPr>
          <w:rFonts w:asciiTheme="majorHAnsi" w:hAnsiTheme="majorHAnsi" w:cstheme="majorHAnsi"/>
        </w:rPr>
        <w:t xml:space="preserve"> </w:t>
      </w:r>
      <w:r w:rsidR="00C11ABA" w:rsidRPr="0060082A">
        <w:rPr>
          <w:rFonts w:asciiTheme="majorHAnsi" w:hAnsiTheme="majorHAnsi" w:cstheme="majorHAnsi"/>
        </w:rPr>
        <w:t xml:space="preserve">quality and access improvement. </w:t>
      </w:r>
    </w:p>
    <w:p w14:paraId="151BBE5D" w14:textId="1A3F19CE" w:rsidR="00221AE8" w:rsidRPr="00C918BF" w:rsidRDefault="00221AE8" w:rsidP="00CD6138">
      <w:pPr>
        <w:pStyle w:val="Heading3"/>
      </w:pPr>
      <w:bookmarkStart w:id="21" w:name="_Toc461615674"/>
      <w:r w:rsidRPr="00C918BF">
        <w:t>Deliver</w:t>
      </w:r>
      <w:r w:rsidR="00B07F6D" w:rsidRPr="00C918BF">
        <w:t>ing</w:t>
      </w:r>
      <w:r w:rsidRPr="00C918BF">
        <w:t xml:space="preserve"> Lasting Results and Impact to </w:t>
      </w:r>
      <w:r w:rsidR="00B765AC" w:rsidRPr="00C918BF">
        <w:t>MOE</w:t>
      </w:r>
      <w:r w:rsidRPr="00C918BF">
        <w:t xml:space="preserve"> at Central and School level</w:t>
      </w:r>
      <w:bookmarkEnd w:id="21"/>
    </w:p>
    <w:p w14:paraId="64629FF8" w14:textId="477A135D" w:rsidR="00C11ABA" w:rsidRPr="0060082A" w:rsidRDefault="00C11ABA" w:rsidP="0060082A">
      <w:pPr>
        <w:rPr>
          <w:rFonts w:asciiTheme="majorHAnsi" w:hAnsiTheme="majorHAnsi" w:cstheme="majorHAnsi"/>
        </w:rPr>
      </w:pPr>
      <w:r w:rsidRPr="0060082A">
        <w:rPr>
          <w:rFonts w:asciiTheme="majorHAnsi" w:hAnsiTheme="majorHAnsi" w:cstheme="majorHAnsi"/>
        </w:rPr>
        <w:t xml:space="preserve">Australia’s investment </w:t>
      </w:r>
      <w:r w:rsidR="00843719" w:rsidRPr="0060082A">
        <w:rPr>
          <w:rFonts w:asciiTheme="majorHAnsi" w:hAnsiTheme="majorHAnsi" w:cstheme="majorHAnsi"/>
        </w:rPr>
        <w:t xml:space="preserve">strengthened </w:t>
      </w:r>
      <w:r w:rsidR="00B765AC" w:rsidRPr="0060082A">
        <w:rPr>
          <w:rFonts w:asciiTheme="majorHAnsi" w:hAnsiTheme="majorHAnsi" w:cstheme="majorHAnsi"/>
        </w:rPr>
        <w:t>MoE</w:t>
      </w:r>
      <w:r w:rsidRPr="0060082A">
        <w:rPr>
          <w:rFonts w:asciiTheme="majorHAnsi" w:hAnsiTheme="majorHAnsi" w:cstheme="majorHAnsi"/>
        </w:rPr>
        <w:t xml:space="preserve"> and supported change at the top through improved leadership, ownership and coordination of the reform process. It helped to broaden community consultation and increase partnership dialogue; improve school facilities; strengthen teachers’ professional development; enhance school leadership; and</w:t>
      </w:r>
      <w:r w:rsidR="006C0488" w:rsidRPr="0060082A">
        <w:rPr>
          <w:rFonts w:asciiTheme="majorHAnsi" w:hAnsiTheme="majorHAnsi" w:cstheme="majorHAnsi"/>
        </w:rPr>
        <w:t>,</w:t>
      </w:r>
      <w:r w:rsidRPr="0060082A">
        <w:rPr>
          <w:rFonts w:asciiTheme="majorHAnsi" w:hAnsiTheme="majorHAnsi" w:cstheme="majorHAnsi"/>
        </w:rPr>
        <w:t xml:space="preserve"> improve access and participation rates.</w:t>
      </w:r>
      <w:r w:rsidR="006907EC" w:rsidRPr="0060082A">
        <w:rPr>
          <w:rFonts w:asciiTheme="majorHAnsi" w:hAnsiTheme="majorHAnsi" w:cstheme="majorHAnsi"/>
        </w:rPr>
        <w:t xml:space="preserve"> </w:t>
      </w:r>
      <w:r w:rsidRPr="0060082A">
        <w:rPr>
          <w:rFonts w:asciiTheme="majorHAnsi" w:hAnsiTheme="majorHAnsi" w:cstheme="majorHAnsi"/>
        </w:rPr>
        <w:t>It also modernised the national curriculum to strengthen literacy and numeracy</w:t>
      </w:r>
      <w:r w:rsidR="00E845D9" w:rsidRPr="0060082A">
        <w:rPr>
          <w:rFonts w:asciiTheme="majorHAnsi" w:hAnsiTheme="majorHAnsi" w:cstheme="majorHAnsi"/>
        </w:rPr>
        <w:t>.</w:t>
      </w:r>
      <w:r w:rsidRPr="0060082A">
        <w:rPr>
          <w:rFonts w:asciiTheme="majorHAnsi" w:hAnsiTheme="majorHAnsi" w:cstheme="majorHAnsi"/>
        </w:rPr>
        <w:t xml:space="preserve"> This </w:t>
      </w:r>
      <w:r w:rsidR="00B765AC" w:rsidRPr="0060082A">
        <w:rPr>
          <w:rFonts w:asciiTheme="majorHAnsi" w:hAnsiTheme="majorHAnsi" w:cstheme="majorHAnsi"/>
        </w:rPr>
        <w:t>MoE</w:t>
      </w:r>
      <w:r w:rsidRPr="0060082A">
        <w:rPr>
          <w:rFonts w:asciiTheme="majorHAnsi" w:hAnsiTheme="majorHAnsi" w:cstheme="majorHAnsi"/>
        </w:rPr>
        <w:t xml:space="preserve"> leadership support, as well as the alignment with the ESSP, </w:t>
      </w:r>
      <w:r w:rsidR="00843719" w:rsidRPr="0060082A">
        <w:rPr>
          <w:rFonts w:asciiTheme="majorHAnsi" w:hAnsiTheme="majorHAnsi" w:cstheme="majorHAnsi"/>
        </w:rPr>
        <w:t xml:space="preserve">was </w:t>
      </w:r>
      <w:r w:rsidRPr="0060082A">
        <w:rPr>
          <w:rFonts w:asciiTheme="majorHAnsi" w:hAnsiTheme="majorHAnsi" w:cstheme="majorHAnsi"/>
        </w:rPr>
        <w:t xml:space="preserve">critical to ensuring KEIP benefits are sustained and have lasting positive impact. </w:t>
      </w:r>
    </w:p>
    <w:p w14:paraId="369FD10D" w14:textId="77777777" w:rsidR="00C11ABA" w:rsidRPr="0060082A" w:rsidRDefault="00C11ABA" w:rsidP="0060082A">
      <w:pPr>
        <w:rPr>
          <w:rFonts w:asciiTheme="majorHAnsi" w:hAnsiTheme="majorHAnsi" w:cstheme="majorHAnsi"/>
        </w:rPr>
      </w:pPr>
      <w:r w:rsidRPr="0060082A">
        <w:rPr>
          <w:rFonts w:asciiTheme="majorHAnsi" w:hAnsiTheme="majorHAnsi" w:cstheme="majorHAnsi"/>
        </w:rPr>
        <w:t xml:space="preserve">Support provided to </w:t>
      </w:r>
      <w:r w:rsidR="00B765AC" w:rsidRPr="0060082A">
        <w:rPr>
          <w:rFonts w:asciiTheme="majorHAnsi" w:hAnsiTheme="majorHAnsi" w:cstheme="majorHAnsi"/>
        </w:rPr>
        <w:t>MoE</w:t>
      </w:r>
      <w:r w:rsidRPr="0060082A">
        <w:rPr>
          <w:rFonts w:asciiTheme="majorHAnsi" w:hAnsiTheme="majorHAnsi" w:cstheme="majorHAnsi"/>
        </w:rPr>
        <w:t xml:space="preserve"> covered those basic components to be improved and institutionalised across the system (leadership development, policy, planning, </w:t>
      </w:r>
      <w:r w:rsidR="006C0488" w:rsidRPr="0060082A">
        <w:rPr>
          <w:rFonts w:asciiTheme="majorHAnsi" w:hAnsiTheme="majorHAnsi" w:cstheme="majorHAnsi"/>
        </w:rPr>
        <w:t xml:space="preserve">and </w:t>
      </w:r>
      <w:r w:rsidRPr="0060082A">
        <w:rPr>
          <w:rFonts w:asciiTheme="majorHAnsi" w:hAnsiTheme="majorHAnsi" w:cstheme="majorHAnsi"/>
        </w:rPr>
        <w:t>budget management)</w:t>
      </w:r>
      <w:r w:rsidR="00E845D9" w:rsidRPr="0060082A">
        <w:rPr>
          <w:rFonts w:asciiTheme="majorHAnsi" w:hAnsiTheme="majorHAnsi" w:cstheme="majorHAnsi"/>
        </w:rPr>
        <w:t>.</w:t>
      </w:r>
      <w:r w:rsidRPr="0060082A">
        <w:rPr>
          <w:rFonts w:asciiTheme="majorHAnsi" w:hAnsiTheme="majorHAnsi" w:cstheme="majorHAnsi"/>
        </w:rPr>
        <w:t xml:space="preserve"> This support has led to accountability and commitment from all partners and stakeholders, and co-investment by </w:t>
      </w:r>
      <w:r w:rsidR="00B765AC" w:rsidRPr="0060082A">
        <w:rPr>
          <w:rFonts w:asciiTheme="majorHAnsi" w:hAnsiTheme="majorHAnsi" w:cstheme="majorHAnsi"/>
        </w:rPr>
        <w:t>MoE</w:t>
      </w:r>
      <w:r w:rsidRPr="0060082A">
        <w:rPr>
          <w:rFonts w:asciiTheme="majorHAnsi" w:hAnsiTheme="majorHAnsi" w:cstheme="majorHAnsi"/>
        </w:rPr>
        <w:t xml:space="preserve"> and KEIP funding on areas of agreed priority. Alignment of the Australian support to the GoK, </w:t>
      </w:r>
      <w:r w:rsidR="00B765AC" w:rsidRPr="0060082A">
        <w:rPr>
          <w:rFonts w:asciiTheme="majorHAnsi" w:hAnsiTheme="majorHAnsi" w:cstheme="majorHAnsi"/>
        </w:rPr>
        <w:t>MoE</w:t>
      </w:r>
      <w:r w:rsidRPr="0060082A">
        <w:rPr>
          <w:rFonts w:asciiTheme="majorHAnsi" w:hAnsiTheme="majorHAnsi" w:cstheme="majorHAnsi"/>
        </w:rPr>
        <w:t xml:space="preserve"> and ESSP agreed HRD and education priorities has provided for an efficient, effective and sustainable approach to improving education access, quality and service delivery.</w:t>
      </w:r>
    </w:p>
    <w:p w14:paraId="2C239F0A" w14:textId="292114BE" w:rsidR="00B67E4D" w:rsidRPr="0060082A" w:rsidRDefault="003E1F80" w:rsidP="0060082A">
      <w:pPr>
        <w:rPr>
          <w:rFonts w:asciiTheme="majorHAnsi" w:hAnsiTheme="majorHAnsi" w:cstheme="majorHAnsi"/>
        </w:rPr>
      </w:pPr>
      <w:r w:rsidRPr="0060082A">
        <w:rPr>
          <w:rFonts w:asciiTheme="majorHAnsi" w:hAnsiTheme="majorHAnsi" w:cstheme="majorHAnsi"/>
        </w:rPr>
        <w:t xml:space="preserve">A </w:t>
      </w:r>
      <w:r w:rsidR="00843719" w:rsidRPr="0060082A">
        <w:rPr>
          <w:rFonts w:asciiTheme="majorHAnsi" w:hAnsiTheme="majorHAnsi" w:cstheme="majorHAnsi"/>
        </w:rPr>
        <w:t>2014 Independent E</w:t>
      </w:r>
      <w:r w:rsidRPr="0060082A">
        <w:rPr>
          <w:rFonts w:asciiTheme="majorHAnsi" w:hAnsiTheme="majorHAnsi" w:cstheme="majorHAnsi"/>
        </w:rPr>
        <w:t xml:space="preserve">valuation was </w:t>
      </w:r>
      <w:r w:rsidR="002E0B9D" w:rsidRPr="0060082A">
        <w:rPr>
          <w:rFonts w:asciiTheme="majorHAnsi" w:hAnsiTheme="majorHAnsi" w:cstheme="majorHAnsi"/>
        </w:rPr>
        <w:t xml:space="preserve">commissioned by DFAT and </w:t>
      </w:r>
      <w:r w:rsidRPr="0060082A">
        <w:rPr>
          <w:rFonts w:asciiTheme="majorHAnsi" w:hAnsiTheme="majorHAnsi" w:cstheme="majorHAnsi"/>
        </w:rPr>
        <w:t xml:space="preserve">led to adjustments in the program. </w:t>
      </w:r>
      <w:r w:rsidR="002E0B9D" w:rsidRPr="0060082A">
        <w:rPr>
          <w:rFonts w:asciiTheme="majorHAnsi" w:hAnsiTheme="majorHAnsi" w:cstheme="majorHAnsi"/>
        </w:rPr>
        <w:t xml:space="preserve">The external analysis and </w:t>
      </w:r>
      <w:r w:rsidRPr="0060082A">
        <w:rPr>
          <w:rFonts w:asciiTheme="majorHAnsi" w:hAnsiTheme="majorHAnsi" w:cstheme="majorHAnsi"/>
        </w:rPr>
        <w:t xml:space="preserve">independent evaluation </w:t>
      </w:r>
      <w:r w:rsidR="00843719" w:rsidRPr="0060082A">
        <w:rPr>
          <w:rFonts w:asciiTheme="majorHAnsi" w:hAnsiTheme="majorHAnsi" w:cstheme="majorHAnsi"/>
        </w:rPr>
        <w:t xml:space="preserve">reviewed </w:t>
      </w:r>
      <w:r w:rsidR="002E0B9D" w:rsidRPr="0060082A">
        <w:rPr>
          <w:rFonts w:asciiTheme="majorHAnsi" w:hAnsiTheme="majorHAnsi" w:cstheme="majorHAnsi"/>
        </w:rPr>
        <w:t xml:space="preserve">KEIP Phase </w:t>
      </w:r>
      <w:r w:rsidR="000A49FE">
        <w:rPr>
          <w:rFonts w:asciiTheme="majorHAnsi" w:hAnsiTheme="majorHAnsi" w:cstheme="majorHAnsi"/>
        </w:rPr>
        <w:t>2</w:t>
      </w:r>
      <w:r w:rsidR="002E0B9D" w:rsidRPr="0060082A">
        <w:rPr>
          <w:rFonts w:asciiTheme="majorHAnsi" w:hAnsiTheme="majorHAnsi" w:cstheme="majorHAnsi"/>
        </w:rPr>
        <w:t xml:space="preserve"> constr</w:t>
      </w:r>
      <w:r w:rsidR="00843719" w:rsidRPr="0060082A">
        <w:rPr>
          <w:rFonts w:asciiTheme="majorHAnsi" w:hAnsiTheme="majorHAnsi" w:cstheme="majorHAnsi"/>
        </w:rPr>
        <w:t xml:space="preserve">aints, progress and achievement and enabled changes to </w:t>
      </w:r>
      <w:r w:rsidR="002E0B9D" w:rsidRPr="0060082A">
        <w:rPr>
          <w:rFonts w:asciiTheme="majorHAnsi" w:hAnsiTheme="majorHAnsi" w:cstheme="majorHAnsi"/>
        </w:rPr>
        <w:t xml:space="preserve">focus and resource allocation. The analysis and recommendations of the Independent Evaluation also fed into the design considerations for KEIP </w:t>
      </w:r>
      <w:r w:rsidR="00743616">
        <w:rPr>
          <w:rFonts w:asciiTheme="majorHAnsi" w:hAnsiTheme="majorHAnsi" w:cstheme="majorHAnsi"/>
        </w:rPr>
        <w:t>Phase 3</w:t>
      </w:r>
      <w:r w:rsidR="002E0B9D" w:rsidRPr="0060082A">
        <w:rPr>
          <w:rFonts w:asciiTheme="majorHAnsi" w:hAnsiTheme="majorHAnsi" w:cstheme="majorHAnsi"/>
        </w:rPr>
        <w:t>.</w:t>
      </w:r>
    </w:p>
    <w:p w14:paraId="6D9908C3" w14:textId="602D4C58" w:rsidR="00C11ABA" w:rsidRPr="0060082A" w:rsidRDefault="00C11ABA" w:rsidP="0060082A">
      <w:pPr>
        <w:rPr>
          <w:rFonts w:asciiTheme="majorHAnsi" w:hAnsiTheme="majorHAnsi" w:cstheme="majorHAnsi"/>
        </w:rPr>
      </w:pPr>
      <w:r w:rsidRPr="0060082A">
        <w:rPr>
          <w:rFonts w:asciiTheme="majorHAnsi" w:hAnsiTheme="majorHAnsi" w:cstheme="majorHAnsi"/>
        </w:rPr>
        <w:t xml:space="preserve">KEIP Phase </w:t>
      </w:r>
      <w:r w:rsidR="000A49FE">
        <w:rPr>
          <w:rFonts w:asciiTheme="majorHAnsi" w:hAnsiTheme="majorHAnsi" w:cstheme="majorHAnsi"/>
        </w:rPr>
        <w:t>2</w:t>
      </w:r>
      <w:r w:rsidRPr="0060082A">
        <w:rPr>
          <w:rFonts w:asciiTheme="majorHAnsi" w:hAnsiTheme="majorHAnsi" w:cstheme="majorHAnsi"/>
        </w:rPr>
        <w:t xml:space="preserve"> also fulfilled an important role in influencing behavioural change and supporting systemic improvement. Changes to the management structure in basic education, including the introduction of Island Education Coordinators (IEC), highlight</w:t>
      </w:r>
      <w:r w:rsidR="00843719" w:rsidRPr="0060082A">
        <w:rPr>
          <w:rFonts w:asciiTheme="majorHAnsi" w:hAnsiTheme="majorHAnsi" w:cstheme="majorHAnsi"/>
        </w:rPr>
        <w:t xml:space="preserve"> </w:t>
      </w:r>
      <w:r w:rsidRPr="0060082A">
        <w:rPr>
          <w:rFonts w:asciiTheme="majorHAnsi" w:hAnsiTheme="majorHAnsi" w:cstheme="majorHAnsi"/>
        </w:rPr>
        <w:t xml:space="preserve">success in supporting </w:t>
      </w:r>
      <w:r w:rsidR="00B765AC" w:rsidRPr="0060082A">
        <w:rPr>
          <w:rFonts w:asciiTheme="majorHAnsi" w:hAnsiTheme="majorHAnsi" w:cstheme="majorHAnsi"/>
        </w:rPr>
        <w:t>MoE</w:t>
      </w:r>
      <w:r w:rsidRPr="0060082A">
        <w:rPr>
          <w:rFonts w:asciiTheme="majorHAnsi" w:hAnsiTheme="majorHAnsi" w:cstheme="majorHAnsi"/>
        </w:rPr>
        <w:t xml:space="preserve"> to better manage its budgets and </w:t>
      </w:r>
      <w:r w:rsidR="00843719" w:rsidRPr="0060082A">
        <w:rPr>
          <w:rFonts w:asciiTheme="majorHAnsi" w:hAnsiTheme="majorHAnsi" w:cstheme="majorHAnsi"/>
        </w:rPr>
        <w:t xml:space="preserve">service delivery </w:t>
      </w:r>
      <w:r w:rsidRPr="0060082A">
        <w:rPr>
          <w:rFonts w:asciiTheme="majorHAnsi" w:hAnsiTheme="majorHAnsi" w:cstheme="majorHAnsi"/>
        </w:rPr>
        <w:t xml:space="preserve">responsibilities. </w:t>
      </w:r>
    </w:p>
    <w:p w14:paraId="22F221A5" w14:textId="77777777" w:rsidR="00221AE8" w:rsidRPr="00C918BF" w:rsidRDefault="00B07F6D" w:rsidP="00CD6138">
      <w:pPr>
        <w:pStyle w:val="Heading3"/>
      </w:pPr>
      <w:bookmarkStart w:id="22" w:name="_Toc461615675"/>
      <w:r w:rsidRPr="00C918BF">
        <w:t xml:space="preserve">Strong </w:t>
      </w:r>
      <w:r w:rsidR="00221AE8" w:rsidRPr="00C918BF">
        <w:t>Collaboration and Communication</w:t>
      </w:r>
      <w:bookmarkEnd w:id="22"/>
      <w:r w:rsidR="00221AE8" w:rsidRPr="00C918BF">
        <w:t xml:space="preserve"> </w:t>
      </w:r>
    </w:p>
    <w:p w14:paraId="3E0173B5" w14:textId="3D9AF3A6" w:rsidR="00C11ABA" w:rsidRPr="0060082A" w:rsidRDefault="002B55BB" w:rsidP="0060082A">
      <w:pPr>
        <w:rPr>
          <w:rFonts w:asciiTheme="majorHAnsi" w:hAnsiTheme="majorHAnsi" w:cstheme="majorHAnsi"/>
        </w:rPr>
      </w:pPr>
      <w:r w:rsidRPr="0060082A">
        <w:rPr>
          <w:rFonts w:asciiTheme="majorHAnsi" w:hAnsiTheme="majorHAnsi" w:cstheme="majorHAnsi"/>
        </w:rPr>
        <w:t>Support to b</w:t>
      </w:r>
      <w:r w:rsidR="00C11ABA" w:rsidRPr="0060082A">
        <w:rPr>
          <w:rFonts w:asciiTheme="majorHAnsi" w:hAnsiTheme="majorHAnsi" w:cstheme="majorHAnsi"/>
        </w:rPr>
        <w:t xml:space="preserve">asic education </w:t>
      </w:r>
      <w:r w:rsidR="00843719" w:rsidRPr="0060082A">
        <w:rPr>
          <w:rFonts w:asciiTheme="majorHAnsi" w:hAnsiTheme="majorHAnsi" w:cstheme="majorHAnsi"/>
        </w:rPr>
        <w:t xml:space="preserve">was </w:t>
      </w:r>
      <w:r w:rsidR="00C11ABA" w:rsidRPr="0060082A">
        <w:rPr>
          <w:rFonts w:asciiTheme="majorHAnsi" w:hAnsiTheme="majorHAnsi" w:cstheme="majorHAnsi"/>
        </w:rPr>
        <w:t xml:space="preserve">strengthened </w:t>
      </w:r>
      <w:r w:rsidRPr="0060082A">
        <w:rPr>
          <w:rFonts w:asciiTheme="majorHAnsi" w:hAnsiTheme="majorHAnsi" w:cstheme="majorHAnsi"/>
        </w:rPr>
        <w:t xml:space="preserve">and made more effective </w:t>
      </w:r>
      <w:r w:rsidR="00C11ABA" w:rsidRPr="0060082A">
        <w:rPr>
          <w:rFonts w:asciiTheme="majorHAnsi" w:hAnsiTheme="majorHAnsi" w:cstheme="majorHAnsi"/>
        </w:rPr>
        <w:t xml:space="preserve">through </w:t>
      </w:r>
      <w:r w:rsidR="005977AB" w:rsidRPr="0060082A">
        <w:rPr>
          <w:rFonts w:asciiTheme="majorHAnsi" w:hAnsiTheme="majorHAnsi" w:cstheme="majorHAnsi"/>
        </w:rPr>
        <w:t xml:space="preserve">the development of </w:t>
      </w:r>
      <w:r w:rsidR="00C11ABA" w:rsidRPr="0060082A">
        <w:rPr>
          <w:rFonts w:asciiTheme="majorHAnsi" w:hAnsiTheme="majorHAnsi" w:cstheme="majorHAnsi"/>
        </w:rPr>
        <w:t xml:space="preserve">strong relationships and communication, focussed on DFAT, </w:t>
      </w:r>
      <w:r w:rsidR="00B765AC" w:rsidRPr="0060082A">
        <w:rPr>
          <w:rFonts w:asciiTheme="majorHAnsi" w:hAnsiTheme="majorHAnsi" w:cstheme="majorHAnsi"/>
        </w:rPr>
        <w:t>MoE</w:t>
      </w:r>
      <w:r w:rsidR="00C11ABA" w:rsidRPr="0060082A">
        <w:rPr>
          <w:rFonts w:asciiTheme="majorHAnsi" w:hAnsiTheme="majorHAnsi" w:cstheme="majorHAnsi"/>
        </w:rPr>
        <w:t xml:space="preserve"> and </w:t>
      </w:r>
      <w:r w:rsidRPr="0060082A">
        <w:rPr>
          <w:rFonts w:asciiTheme="majorHAnsi" w:hAnsiTheme="majorHAnsi" w:cstheme="majorHAnsi"/>
        </w:rPr>
        <w:t xml:space="preserve">the </w:t>
      </w:r>
      <w:r w:rsidR="00C11ABA" w:rsidRPr="0060082A">
        <w:rPr>
          <w:rFonts w:asciiTheme="majorHAnsi" w:hAnsiTheme="majorHAnsi" w:cstheme="majorHAnsi"/>
        </w:rPr>
        <w:t xml:space="preserve">ESSP priority areas. </w:t>
      </w:r>
      <w:r w:rsidR="00C11ABA" w:rsidRPr="0060082A">
        <w:rPr>
          <w:rFonts w:asciiTheme="majorHAnsi" w:hAnsiTheme="majorHAnsi" w:cstheme="majorHAnsi"/>
        </w:rPr>
        <w:lastRenderedPageBreak/>
        <w:t xml:space="preserve">Relationships between DFAT and </w:t>
      </w:r>
      <w:r w:rsidR="00B765AC" w:rsidRPr="0060082A">
        <w:rPr>
          <w:rFonts w:asciiTheme="majorHAnsi" w:hAnsiTheme="majorHAnsi" w:cstheme="majorHAnsi"/>
        </w:rPr>
        <w:t>MoE</w:t>
      </w:r>
      <w:r w:rsidR="00C11ABA" w:rsidRPr="0060082A">
        <w:rPr>
          <w:rFonts w:asciiTheme="majorHAnsi" w:hAnsiTheme="majorHAnsi" w:cstheme="majorHAnsi"/>
        </w:rPr>
        <w:t xml:space="preserve"> staff and the stakeholders at all levels of the program (</w:t>
      </w:r>
      <w:r w:rsidR="00B765AC" w:rsidRPr="0060082A">
        <w:rPr>
          <w:rFonts w:asciiTheme="majorHAnsi" w:hAnsiTheme="majorHAnsi" w:cstheme="majorHAnsi"/>
        </w:rPr>
        <w:t>MoE</w:t>
      </w:r>
      <w:r w:rsidR="00C11ABA" w:rsidRPr="0060082A">
        <w:rPr>
          <w:rFonts w:asciiTheme="majorHAnsi" w:hAnsiTheme="majorHAnsi" w:cstheme="majorHAnsi"/>
        </w:rPr>
        <w:t>, Island</w:t>
      </w:r>
      <w:r w:rsidR="006A70B7" w:rsidRPr="0060082A">
        <w:rPr>
          <w:rFonts w:asciiTheme="majorHAnsi" w:hAnsiTheme="majorHAnsi" w:cstheme="majorHAnsi"/>
        </w:rPr>
        <w:t xml:space="preserve"> Council</w:t>
      </w:r>
      <w:r w:rsidR="00C11ABA" w:rsidRPr="0060082A">
        <w:rPr>
          <w:rFonts w:asciiTheme="majorHAnsi" w:hAnsiTheme="majorHAnsi" w:cstheme="majorHAnsi"/>
        </w:rPr>
        <w:t xml:space="preserve">s, </w:t>
      </w:r>
      <w:r w:rsidR="006A70B7" w:rsidRPr="0060082A">
        <w:rPr>
          <w:rFonts w:asciiTheme="majorHAnsi" w:hAnsiTheme="majorHAnsi" w:cstheme="majorHAnsi"/>
        </w:rPr>
        <w:t>non-government organisations</w:t>
      </w:r>
      <w:r w:rsidR="00C11ABA" w:rsidRPr="0060082A">
        <w:rPr>
          <w:rFonts w:asciiTheme="majorHAnsi" w:hAnsiTheme="majorHAnsi" w:cstheme="majorHAnsi"/>
        </w:rPr>
        <w:t>, school</w:t>
      </w:r>
      <w:r w:rsidR="006A70B7" w:rsidRPr="0060082A">
        <w:rPr>
          <w:rFonts w:asciiTheme="majorHAnsi" w:hAnsiTheme="majorHAnsi" w:cstheme="majorHAnsi"/>
        </w:rPr>
        <w:t>s</w:t>
      </w:r>
      <w:r w:rsidR="00C11ABA" w:rsidRPr="0060082A">
        <w:rPr>
          <w:rFonts w:asciiTheme="majorHAnsi" w:hAnsiTheme="majorHAnsi" w:cstheme="majorHAnsi"/>
        </w:rPr>
        <w:t xml:space="preserve"> and communit</w:t>
      </w:r>
      <w:r w:rsidR="006A70B7" w:rsidRPr="0060082A">
        <w:rPr>
          <w:rFonts w:asciiTheme="majorHAnsi" w:hAnsiTheme="majorHAnsi" w:cstheme="majorHAnsi"/>
        </w:rPr>
        <w:t>ies</w:t>
      </w:r>
      <w:r w:rsidR="00C11ABA" w:rsidRPr="0060082A">
        <w:rPr>
          <w:rFonts w:asciiTheme="majorHAnsi" w:hAnsiTheme="majorHAnsi" w:cstheme="majorHAnsi"/>
        </w:rPr>
        <w:t xml:space="preserve">) have been important </w:t>
      </w:r>
      <w:r w:rsidRPr="0060082A">
        <w:rPr>
          <w:rFonts w:asciiTheme="majorHAnsi" w:hAnsiTheme="majorHAnsi" w:cstheme="majorHAnsi"/>
        </w:rPr>
        <w:t xml:space="preserve">in supporting the reform </w:t>
      </w:r>
      <w:r w:rsidR="00C11ABA" w:rsidRPr="0060082A">
        <w:rPr>
          <w:rFonts w:asciiTheme="majorHAnsi" w:hAnsiTheme="majorHAnsi" w:cstheme="majorHAnsi"/>
        </w:rPr>
        <w:t xml:space="preserve">and will carry through into the KEIP </w:t>
      </w:r>
      <w:r w:rsidR="00743616">
        <w:rPr>
          <w:rFonts w:asciiTheme="majorHAnsi" w:hAnsiTheme="majorHAnsi" w:cstheme="majorHAnsi"/>
        </w:rPr>
        <w:t>Phase 3</w:t>
      </w:r>
      <w:r w:rsidR="00C11ABA" w:rsidRPr="0060082A">
        <w:rPr>
          <w:rFonts w:asciiTheme="majorHAnsi" w:hAnsiTheme="majorHAnsi" w:cstheme="majorHAnsi"/>
        </w:rPr>
        <w:t xml:space="preserve">. </w:t>
      </w:r>
    </w:p>
    <w:p w14:paraId="58C0CC81" w14:textId="212A75CF" w:rsidR="00C11ABA" w:rsidRPr="0060082A" w:rsidRDefault="006A70B7" w:rsidP="0060082A">
      <w:pPr>
        <w:rPr>
          <w:rFonts w:asciiTheme="majorHAnsi" w:hAnsiTheme="majorHAnsi" w:cstheme="majorHAnsi"/>
        </w:rPr>
      </w:pPr>
      <w:r w:rsidRPr="0060082A">
        <w:rPr>
          <w:rFonts w:asciiTheme="majorHAnsi" w:hAnsiTheme="majorHAnsi" w:cstheme="majorHAnsi"/>
        </w:rPr>
        <w:t xml:space="preserve">A feature of KEIP Phase </w:t>
      </w:r>
      <w:r w:rsidR="000A49FE">
        <w:rPr>
          <w:rFonts w:asciiTheme="majorHAnsi" w:hAnsiTheme="majorHAnsi" w:cstheme="majorHAnsi"/>
        </w:rPr>
        <w:t>2</w:t>
      </w:r>
      <w:r w:rsidRPr="0060082A">
        <w:rPr>
          <w:rFonts w:asciiTheme="majorHAnsi" w:hAnsiTheme="majorHAnsi" w:cstheme="majorHAnsi"/>
        </w:rPr>
        <w:t xml:space="preserve"> was the progressive strengthening of relationships </w:t>
      </w:r>
      <w:r w:rsidR="00C11ABA" w:rsidRPr="0060082A">
        <w:rPr>
          <w:rFonts w:asciiTheme="majorHAnsi" w:hAnsiTheme="majorHAnsi" w:cstheme="majorHAnsi"/>
        </w:rPr>
        <w:t xml:space="preserve">between </w:t>
      </w:r>
      <w:r w:rsidRPr="0060082A">
        <w:rPr>
          <w:rFonts w:asciiTheme="majorHAnsi" w:hAnsiTheme="majorHAnsi" w:cstheme="majorHAnsi"/>
        </w:rPr>
        <w:t xml:space="preserve">the </w:t>
      </w:r>
      <w:r w:rsidR="00C11ABA" w:rsidRPr="0060082A">
        <w:rPr>
          <w:rFonts w:asciiTheme="majorHAnsi" w:hAnsiTheme="majorHAnsi" w:cstheme="majorHAnsi"/>
        </w:rPr>
        <w:t>Ministry Executive, Heads of Divisions, school level stakeholders, non</w:t>
      </w:r>
      <w:r w:rsidR="00E845D9" w:rsidRPr="0060082A">
        <w:rPr>
          <w:rFonts w:asciiTheme="majorHAnsi" w:hAnsiTheme="majorHAnsi" w:cstheme="majorHAnsi"/>
        </w:rPr>
        <w:t>-</w:t>
      </w:r>
      <w:r w:rsidR="00C11ABA" w:rsidRPr="0060082A">
        <w:rPr>
          <w:rFonts w:asciiTheme="majorHAnsi" w:hAnsiTheme="majorHAnsi" w:cstheme="majorHAnsi"/>
        </w:rPr>
        <w:t>government organisations</w:t>
      </w:r>
      <w:r w:rsidR="00E845D9" w:rsidRPr="0060082A">
        <w:rPr>
          <w:rFonts w:asciiTheme="majorHAnsi" w:hAnsiTheme="majorHAnsi" w:cstheme="majorHAnsi"/>
        </w:rPr>
        <w:t xml:space="preserve"> (NGOs)</w:t>
      </w:r>
      <w:r w:rsidR="00C11ABA" w:rsidRPr="0060082A">
        <w:rPr>
          <w:rFonts w:asciiTheme="majorHAnsi" w:hAnsiTheme="majorHAnsi" w:cstheme="majorHAnsi"/>
        </w:rPr>
        <w:t>, and also between DFAT staff in Tarawa and the KEF team. This includes th</w:t>
      </w:r>
      <w:r w:rsidR="005977AB" w:rsidRPr="0060082A">
        <w:rPr>
          <w:rFonts w:asciiTheme="majorHAnsi" w:hAnsiTheme="majorHAnsi" w:cstheme="majorHAnsi"/>
        </w:rPr>
        <w:t>os</w:t>
      </w:r>
      <w:r w:rsidR="00C11ABA" w:rsidRPr="0060082A">
        <w:rPr>
          <w:rFonts w:asciiTheme="majorHAnsi" w:hAnsiTheme="majorHAnsi" w:cstheme="majorHAnsi"/>
        </w:rPr>
        <w:t xml:space="preserve">e KEIP Phase </w:t>
      </w:r>
      <w:r w:rsidR="000A49FE">
        <w:rPr>
          <w:rFonts w:asciiTheme="majorHAnsi" w:hAnsiTheme="majorHAnsi" w:cstheme="majorHAnsi"/>
        </w:rPr>
        <w:t>2</w:t>
      </w:r>
      <w:r w:rsidR="00C11ABA" w:rsidRPr="0060082A">
        <w:rPr>
          <w:rFonts w:asciiTheme="majorHAnsi" w:hAnsiTheme="majorHAnsi" w:cstheme="majorHAnsi"/>
        </w:rPr>
        <w:t xml:space="preserve"> funded </w:t>
      </w:r>
      <w:r w:rsidRPr="0060082A">
        <w:rPr>
          <w:rFonts w:asciiTheme="majorHAnsi" w:hAnsiTheme="majorHAnsi" w:cstheme="majorHAnsi"/>
        </w:rPr>
        <w:t>T</w:t>
      </w:r>
      <w:r w:rsidR="00C11ABA" w:rsidRPr="0060082A">
        <w:rPr>
          <w:rFonts w:asciiTheme="majorHAnsi" w:hAnsiTheme="majorHAnsi" w:cstheme="majorHAnsi"/>
        </w:rPr>
        <w:t xml:space="preserve">echnical </w:t>
      </w:r>
      <w:r w:rsidRPr="0060082A">
        <w:rPr>
          <w:rFonts w:asciiTheme="majorHAnsi" w:hAnsiTheme="majorHAnsi" w:cstheme="majorHAnsi"/>
        </w:rPr>
        <w:t>A</w:t>
      </w:r>
      <w:r w:rsidR="00C11ABA" w:rsidRPr="0060082A">
        <w:rPr>
          <w:rFonts w:asciiTheme="majorHAnsi" w:hAnsiTheme="majorHAnsi" w:cstheme="majorHAnsi"/>
        </w:rPr>
        <w:t>dvisers</w:t>
      </w:r>
      <w:r w:rsidR="00BC4B6D" w:rsidRPr="0060082A">
        <w:rPr>
          <w:rFonts w:asciiTheme="majorHAnsi" w:hAnsiTheme="majorHAnsi" w:cstheme="majorHAnsi"/>
        </w:rPr>
        <w:t xml:space="preserve"> (TA)</w:t>
      </w:r>
      <w:r w:rsidR="00C11ABA" w:rsidRPr="0060082A">
        <w:rPr>
          <w:rFonts w:asciiTheme="majorHAnsi" w:hAnsiTheme="majorHAnsi" w:cstheme="majorHAnsi"/>
        </w:rPr>
        <w:t xml:space="preserve">, who generally worked </w:t>
      </w:r>
      <w:r w:rsidR="005977AB" w:rsidRPr="0060082A">
        <w:rPr>
          <w:rFonts w:asciiTheme="majorHAnsi" w:hAnsiTheme="majorHAnsi" w:cstheme="majorHAnsi"/>
        </w:rPr>
        <w:t xml:space="preserve">directly </w:t>
      </w:r>
      <w:r w:rsidR="00A92571" w:rsidRPr="0060082A">
        <w:rPr>
          <w:rFonts w:asciiTheme="majorHAnsi" w:hAnsiTheme="majorHAnsi" w:cstheme="majorHAnsi"/>
        </w:rPr>
        <w:t>with</w:t>
      </w:r>
      <w:r w:rsidR="00C11ABA" w:rsidRPr="0060082A">
        <w:rPr>
          <w:rFonts w:asciiTheme="majorHAnsi" w:hAnsiTheme="majorHAnsi" w:cstheme="majorHAnsi"/>
        </w:rPr>
        <w:t xml:space="preserve"> their </w:t>
      </w:r>
      <w:r w:rsidR="00B765AC" w:rsidRPr="0060082A">
        <w:rPr>
          <w:rFonts w:asciiTheme="majorHAnsi" w:hAnsiTheme="majorHAnsi" w:cstheme="majorHAnsi"/>
        </w:rPr>
        <w:t>MoE</w:t>
      </w:r>
      <w:r w:rsidR="00C11ABA" w:rsidRPr="0060082A">
        <w:rPr>
          <w:rFonts w:asciiTheme="majorHAnsi" w:hAnsiTheme="majorHAnsi" w:cstheme="majorHAnsi"/>
        </w:rPr>
        <w:t xml:space="preserve"> managers and counterparts</w:t>
      </w:r>
      <w:r w:rsidR="00843719" w:rsidRPr="0060082A">
        <w:rPr>
          <w:rFonts w:asciiTheme="majorHAnsi" w:hAnsiTheme="majorHAnsi" w:cstheme="majorHAnsi"/>
        </w:rPr>
        <w:t xml:space="preserve">, </w:t>
      </w:r>
      <w:r w:rsidR="00C11ABA" w:rsidRPr="0060082A">
        <w:rPr>
          <w:rFonts w:asciiTheme="majorHAnsi" w:hAnsiTheme="majorHAnsi" w:cstheme="majorHAnsi"/>
        </w:rPr>
        <w:t xml:space="preserve">engaged on </w:t>
      </w:r>
      <w:r w:rsidR="00BC4B6D" w:rsidRPr="0060082A">
        <w:rPr>
          <w:rFonts w:asciiTheme="majorHAnsi" w:hAnsiTheme="majorHAnsi" w:cstheme="majorHAnsi"/>
        </w:rPr>
        <w:t xml:space="preserve">the </w:t>
      </w:r>
      <w:r w:rsidR="00B765AC" w:rsidRPr="0060082A">
        <w:rPr>
          <w:rFonts w:asciiTheme="majorHAnsi" w:hAnsiTheme="majorHAnsi" w:cstheme="majorHAnsi"/>
        </w:rPr>
        <w:t>MoE</w:t>
      </w:r>
      <w:r w:rsidR="00C11ABA" w:rsidRPr="0060082A">
        <w:rPr>
          <w:rFonts w:asciiTheme="majorHAnsi" w:hAnsiTheme="majorHAnsi" w:cstheme="majorHAnsi"/>
        </w:rPr>
        <w:t xml:space="preserve"> </w:t>
      </w:r>
      <w:r w:rsidR="00BC4B6D" w:rsidRPr="0060082A">
        <w:rPr>
          <w:rFonts w:asciiTheme="majorHAnsi" w:hAnsiTheme="majorHAnsi" w:cstheme="majorHAnsi"/>
        </w:rPr>
        <w:t xml:space="preserve">agency </w:t>
      </w:r>
      <w:r w:rsidR="00C11ABA" w:rsidRPr="0060082A">
        <w:rPr>
          <w:rFonts w:asciiTheme="majorHAnsi" w:hAnsiTheme="majorHAnsi" w:cstheme="majorHAnsi"/>
        </w:rPr>
        <w:t xml:space="preserve">priorities as part of their KEIP work. Sound relationships have been established and maintained with </w:t>
      </w:r>
      <w:r w:rsidR="00B765AC" w:rsidRPr="0060082A">
        <w:rPr>
          <w:rFonts w:asciiTheme="majorHAnsi" w:hAnsiTheme="majorHAnsi" w:cstheme="majorHAnsi"/>
        </w:rPr>
        <w:t>MoE</w:t>
      </w:r>
      <w:r w:rsidR="00C11ABA" w:rsidRPr="0060082A">
        <w:rPr>
          <w:rFonts w:asciiTheme="majorHAnsi" w:hAnsiTheme="majorHAnsi" w:cstheme="majorHAnsi"/>
        </w:rPr>
        <w:t xml:space="preserve"> leadership</w:t>
      </w:r>
      <w:r w:rsidR="005977AB" w:rsidRPr="0060082A">
        <w:rPr>
          <w:rFonts w:asciiTheme="majorHAnsi" w:hAnsiTheme="majorHAnsi" w:cstheme="majorHAnsi"/>
        </w:rPr>
        <w:t>, leading to open discussions and ongoing sharing of lessons learned, constraints and on better ways to implement the reform process</w:t>
      </w:r>
      <w:r w:rsidR="00C11ABA" w:rsidRPr="0060082A">
        <w:rPr>
          <w:rFonts w:asciiTheme="majorHAnsi" w:hAnsiTheme="majorHAnsi" w:cstheme="majorHAnsi"/>
        </w:rPr>
        <w:t xml:space="preserve">. </w:t>
      </w:r>
      <w:r w:rsidR="00F92E70" w:rsidRPr="0060082A">
        <w:rPr>
          <w:rFonts w:asciiTheme="majorHAnsi" w:hAnsiTheme="majorHAnsi" w:cstheme="majorHAnsi"/>
        </w:rPr>
        <w:t>This was</w:t>
      </w:r>
      <w:r w:rsidR="00C11ABA" w:rsidRPr="0060082A">
        <w:rPr>
          <w:rFonts w:asciiTheme="majorHAnsi" w:hAnsiTheme="majorHAnsi" w:cstheme="majorHAnsi"/>
        </w:rPr>
        <w:t xml:space="preserve"> an essential part of effective implementation and reporting</w:t>
      </w:r>
      <w:r w:rsidR="00843719" w:rsidRPr="0060082A">
        <w:rPr>
          <w:rFonts w:asciiTheme="majorHAnsi" w:hAnsiTheme="majorHAnsi" w:cstheme="majorHAnsi"/>
        </w:rPr>
        <w:t xml:space="preserve">, helping </w:t>
      </w:r>
      <w:r w:rsidR="00C11ABA" w:rsidRPr="0060082A">
        <w:rPr>
          <w:rFonts w:asciiTheme="majorHAnsi" w:hAnsiTheme="majorHAnsi" w:cstheme="majorHAnsi"/>
        </w:rPr>
        <w:t>to identify risks or</w:t>
      </w:r>
      <w:r w:rsidR="00843719" w:rsidRPr="0060082A">
        <w:rPr>
          <w:rFonts w:asciiTheme="majorHAnsi" w:hAnsiTheme="majorHAnsi" w:cstheme="majorHAnsi"/>
        </w:rPr>
        <w:t xml:space="preserve"> those</w:t>
      </w:r>
      <w:r w:rsidR="00C11ABA" w:rsidRPr="0060082A">
        <w:rPr>
          <w:rFonts w:asciiTheme="majorHAnsi" w:hAnsiTheme="majorHAnsi" w:cstheme="majorHAnsi"/>
        </w:rPr>
        <w:t xml:space="preserve"> implementation constraints to be jointly addressed. </w:t>
      </w:r>
      <w:r w:rsidR="000B252F" w:rsidRPr="0060082A">
        <w:rPr>
          <w:rFonts w:asciiTheme="majorHAnsi" w:hAnsiTheme="majorHAnsi" w:cstheme="majorHAnsi"/>
        </w:rPr>
        <w:t>At a personal level, t</w:t>
      </w:r>
      <w:r w:rsidR="00C11ABA" w:rsidRPr="0060082A">
        <w:rPr>
          <w:rFonts w:asciiTheme="majorHAnsi" w:hAnsiTheme="majorHAnsi" w:cstheme="majorHAnsi"/>
        </w:rPr>
        <w:t xml:space="preserve">he team’s relationships were built on trust, integrity and mutual respect. Initiatives in educational leadership engaged all key stakeholders from within the Ministry and externally, through </w:t>
      </w:r>
      <w:r w:rsidR="00843719" w:rsidRPr="0060082A">
        <w:rPr>
          <w:rFonts w:asciiTheme="majorHAnsi" w:hAnsiTheme="majorHAnsi" w:cstheme="majorHAnsi"/>
        </w:rPr>
        <w:t xml:space="preserve">to </w:t>
      </w:r>
      <w:r w:rsidR="00C11ABA" w:rsidRPr="0060082A">
        <w:rPr>
          <w:rFonts w:asciiTheme="majorHAnsi" w:hAnsiTheme="majorHAnsi" w:cstheme="majorHAnsi"/>
        </w:rPr>
        <w:t>the broader community, interest groups and NGOs.</w:t>
      </w:r>
    </w:p>
    <w:p w14:paraId="77726453" w14:textId="4234ECFD" w:rsidR="00C11ABA" w:rsidRPr="0060082A" w:rsidRDefault="00C11ABA" w:rsidP="0060082A">
      <w:pPr>
        <w:rPr>
          <w:rFonts w:asciiTheme="majorHAnsi" w:hAnsiTheme="majorHAnsi" w:cstheme="majorHAnsi"/>
        </w:rPr>
      </w:pPr>
      <w:r w:rsidRPr="0060082A">
        <w:rPr>
          <w:rFonts w:asciiTheme="majorHAnsi" w:hAnsiTheme="majorHAnsi" w:cstheme="majorHAnsi"/>
        </w:rPr>
        <w:t>Developing and maintaining respectful relationships in Paci</w:t>
      </w:r>
      <w:r w:rsidR="00843719" w:rsidRPr="0060082A">
        <w:rPr>
          <w:rFonts w:asciiTheme="majorHAnsi" w:hAnsiTheme="majorHAnsi" w:cstheme="majorHAnsi"/>
        </w:rPr>
        <w:t xml:space="preserve">fic Islands States is </w:t>
      </w:r>
      <w:r w:rsidR="005977AB" w:rsidRPr="0060082A">
        <w:rPr>
          <w:rFonts w:asciiTheme="majorHAnsi" w:hAnsiTheme="majorHAnsi" w:cstheme="majorHAnsi"/>
        </w:rPr>
        <w:t xml:space="preserve">also </w:t>
      </w:r>
      <w:r w:rsidR="00843719" w:rsidRPr="0060082A">
        <w:rPr>
          <w:rFonts w:asciiTheme="majorHAnsi" w:hAnsiTheme="majorHAnsi" w:cstheme="majorHAnsi"/>
        </w:rPr>
        <w:t xml:space="preserve">a </w:t>
      </w:r>
      <w:r w:rsidRPr="0060082A">
        <w:rPr>
          <w:rFonts w:asciiTheme="majorHAnsi" w:hAnsiTheme="majorHAnsi" w:cstheme="majorHAnsi"/>
        </w:rPr>
        <w:t xml:space="preserve">factor </w:t>
      </w:r>
      <w:r w:rsidR="00843719" w:rsidRPr="0060082A">
        <w:rPr>
          <w:rFonts w:asciiTheme="majorHAnsi" w:hAnsiTheme="majorHAnsi" w:cstheme="majorHAnsi"/>
        </w:rPr>
        <w:t>in</w:t>
      </w:r>
      <w:r w:rsidRPr="0060082A">
        <w:rPr>
          <w:rFonts w:asciiTheme="majorHAnsi" w:hAnsiTheme="majorHAnsi" w:cstheme="majorHAnsi"/>
        </w:rPr>
        <w:t xml:space="preserve"> </w:t>
      </w:r>
      <w:r w:rsidR="007127A7" w:rsidRPr="0060082A">
        <w:rPr>
          <w:rFonts w:asciiTheme="majorHAnsi" w:hAnsiTheme="majorHAnsi" w:cstheme="majorHAnsi"/>
        </w:rPr>
        <w:t xml:space="preserve">program </w:t>
      </w:r>
      <w:r w:rsidRPr="0060082A">
        <w:rPr>
          <w:rFonts w:asciiTheme="majorHAnsi" w:hAnsiTheme="majorHAnsi" w:cstheme="majorHAnsi"/>
        </w:rPr>
        <w:t xml:space="preserve">success. </w:t>
      </w:r>
      <w:r w:rsidR="00B839BC" w:rsidRPr="0060082A">
        <w:rPr>
          <w:rFonts w:asciiTheme="majorHAnsi" w:hAnsiTheme="majorHAnsi" w:cstheme="majorHAnsi"/>
        </w:rPr>
        <w:t>Vital</w:t>
      </w:r>
      <w:r w:rsidR="0057623D" w:rsidRPr="0060082A">
        <w:rPr>
          <w:rFonts w:asciiTheme="majorHAnsi" w:hAnsiTheme="majorHAnsi" w:cstheme="majorHAnsi"/>
        </w:rPr>
        <w:t xml:space="preserve"> to </w:t>
      </w:r>
      <w:r w:rsidRPr="0060082A">
        <w:rPr>
          <w:rFonts w:asciiTheme="majorHAnsi" w:hAnsiTheme="majorHAnsi" w:cstheme="majorHAnsi"/>
        </w:rPr>
        <w:t xml:space="preserve">maintaining the positive professional engagement in Kiribati is to understand and respect the working environment and </w:t>
      </w:r>
      <w:r w:rsidR="007127A7" w:rsidRPr="0060082A">
        <w:rPr>
          <w:rFonts w:asciiTheme="majorHAnsi" w:hAnsiTheme="majorHAnsi" w:cstheme="majorHAnsi"/>
        </w:rPr>
        <w:t xml:space="preserve">the </w:t>
      </w:r>
      <w:r w:rsidRPr="0060082A">
        <w:rPr>
          <w:rFonts w:asciiTheme="majorHAnsi" w:hAnsiTheme="majorHAnsi" w:cstheme="majorHAnsi"/>
        </w:rPr>
        <w:t>Kiribati cultural framework (the way of life of the people; their attitudes, beliefs and practices; and respecting the ways that individuals engage with and treat one another).</w:t>
      </w:r>
      <w:r w:rsidR="000B252F" w:rsidRPr="0060082A">
        <w:rPr>
          <w:rFonts w:asciiTheme="majorHAnsi" w:hAnsiTheme="majorHAnsi" w:cstheme="majorHAnsi"/>
        </w:rPr>
        <w:t xml:space="preserve"> </w:t>
      </w:r>
      <w:r w:rsidR="005977AB" w:rsidRPr="0060082A">
        <w:rPr>
          <w:rFonts w:asciiTheme="majorHAnsi" w:hAnsiTheme="majorHAnsi" w:cstheme="majorHAnsi"/>
        </w:rPr>
        <w:t xml:space="preserve">Being largely </w:t>
      </w:r>
      <w:r w:rsidR="00C32532" w:rsidRPr="0060082A">
        <w:rPr>
          <w:rFonts w:asciiTheme="majorHAnsi" w:hAnsiTheme="majorHAnsi" w:cstheme="majorHAnsi"/>
        </w:rPr>
        <w:t xml:space="preserve">an </w:t>
      </w:r>
      <w:r w:rsidR="005977AB" w:rsidRPr="0060082A">
        <w:rPr>
          <w:rFonts w:asciiTheme="majorHAnsi" w:hAnsiTheme="majorHAnsi" w:cstheme="majorHAnsi"/>
        </w:rPr>
        <w:t xml:space="preserve">oral society, discussion and reinforcement are essential elements in reaching consensus and acceptance of change or innovation. </w:t>
      </w:r>
      <w:r w:rsidR="000B252F" w:rsidRPr="0060082A">
        <w:rPr>
          <w:rFonts w:asciiTheme="majorHAnsi" w:hAnsiTheme="majorHAnsi" w:cstheme="majorHAnsi"/>
        </w:rPr>
        <w:t>T</w:t>
      </w:r>
      <w:r w:rsidRPr="0060082A">
        <w:rPr>
          <w:rFonts w:asciiTheme="majorHAnsi" w:hAnsiTheme="majorHAnsi" w:cstheme="majorHAnsi"/>
        </w:rPr>
        <w:t xml:space="preserve">he degree to which the </w:t>
      </w:r>
      <w:r w:rsidR="00B765AC" w:rsidRPr="0060082A">
        <w:rPr>
          <w:rFonts w:asciiTheme="majorHAnsi" w:hAnsiTheme="majorHAnsi" w:cstheme="majorHAnsi"/>
        </w:rPr>
        <w:t>MoE</w:t>
      </w:r>
      <w:r w:rsidRPr="0060082A">
        <w:rPr>
          <w:rFonts w:asciiTheme="majorHAnsi" w:hAnsiTheme="majorHAnsi" w:cstheme="majorHAnsi"/>
        </w:rPr>
        <w:t xml:space="preserve"> outcomes </w:t>
      </w:r>
      <w:r w:rsidR="00C32532" w:rsidRPr="0060082A">
        <w:rPr>
          <w:rFonts w:asciiTheme="majorHAnsi" w:hAnsiTheme="majorHAnsi" w:cstheme="majorHAnsi"/>
        </w:rPr>
        <w:t>have been</w:t>
      </w:r>
      <w:r w:rsidRPr="0060082A">
        <w:rPr>
          <w:rFonts w:asciiTheme="majorHAnsi" w:hAnsiTheme="majorHAnsi" w:cstheme="majorHAnsi"/>
        </w:rPr>
        <w:t xml:space="preserve"> achieved </w:t>
      </w:r>
      <w:r w:rsidR="007127A7" w:rsidRPr="0060082A">
        <w:rPr>
          <w:rFonts w:asciiTheme="majorHAnsi" w:hAnsiTheme="majorHAnsi" w:cstheme="majorHAnsi"/>
        </w:rPr>
        <w:t>(</w:t>
      </w:r>
      <w:r w:rsidRPr="0060082A">
        <w:rPr>
          <w:rFonts w:asciiTheme="majorHAnsi" w:hAnsiTheme="majorHAnsi" w:cstheme="majorHAnsi"/>
        </w:rPr>
        <w:t>despite a challenging and fluid work environment</w:t>
      </w:r>
      <w:r w:rsidR="007127A7" w:rsidRPr="0060082A">
        <w:rPr>
          <w:rFonts w:asciiTheme="majorHAnsi" w:hAnsiTheme="majorHAnsi" w:cstheme="majorHAnsi"/>
        </w:rPr>
        <w:t>)</w:t>
      </w:r>
      <w:r w:rsidR="000B252F" w:rsidRPr="0060082A">
        <w:rPr>
          <w:rFonts w:asciiTheme="majorHAnsi" w:hAnsiTheme="majorHAnsi" w:cstheme="majorHAnsi"/>
        </w:rPr>
        <w:t xml:space="preserve"> provides evidence of the strength of the MoE</w:t>
      </w:r>
      <w:r w:rsidR="007127A7" w:rsidRPr="0060082A">
        <w:rPr>
          <w:rFonts w:asciiTheme="majorHAnsi" w:hAnsiTheme="majorHAnsi" w:cstheme="majorHAnsi"/>
        </w:rPr>
        <w:t>, DFAT</w:t>
      </w:r>
      <w:r w:rsidR="000B252F" w:rsidRPr="0060082A">
        <w:rPr>
          <w:rFonts w:asciiTheme="majorHAnsi" w:hAnsiTheme="majorHAnsi" w:cstheme="majorHAnsi"/>
        </w:rPr>
        <w:t xml:space="preserve"> and </w:t>
      </w:r>
      <w:r w:rsidR="00B839BC" w:rsidRPr="0060082A">
        <w:rPr>
          <w:rFonts w:asciiTheme="majorHAnsi" w:hAnsiTheme="majorHAnsi" w:cstheme="majorHAnsi"/>
        </w:rPr>
        <w:t>KEF</w:t>
      </w:r>
      <w:r w:rsidR="000B252F" w:rsidRPr="0060082A">
        <w:rPr>
          <w:rFonts w:asciiTheme="majorHAnsi" w:hAnsiTheme="majorHAnsi" w:cstheme="majorHAnsi"/>
        </w:rPr>
        <w:t xml:space="preserve"> relationship</w:t>
      </w:r>
      <w:r w:rsidR="005977AB" w:rsidRPr="0060082A">
        <w:rPr>
          <w:rFonts w:asciiTheme="majorHAnsi" w:hAnsiTheme="majorHAnsi" w:cstheme="majorHAnsi"/>
        </w:rPr>
        <w:t xml:space="preserve"> and the </w:t>
      </w:r>
      <w:r w:rsidR="00C32532" w:rsidRPr="0060082A">
        <w:rPr>
          <w:rFonts w:asciiTheme="majorHAnsi" w:hAnsiTheme="majorHAnsi" w:cstheme="majorHAnsi"/>
        </w:rPr>
        <w:t xml:space="preserve">change management </w:t>
      </w:r>
      <w:r w:rsidR="005977AB" w:rsidRPr="0060082A">
        <w:rPr>
          <w:rFonts w:asciiTheme="majorHAnsi" w:hAnsiTheme="majorHAnsi" w:cstheme="majorHAnsi"/>
        </w:rPr>
        <w:t xml:space="preserve">approach </w:t>
      </w:r>
      <w:r w:rsidR="00C32532" w:rsidRPr="0060082A">
        <w:rPr>
          <w:rFonts w:asciiTheme="majorHAnsi" w:hAnsiTheme="majorHAnsi" w:cstheme="majorHAnsi"/>
        </w:rPr>
        <w:t xml:space="preserve">being </w:t>
      </w:r>
      <w:r w:rsidR="005977AB" w:rsidRPr="0060082A">
        <w:rPr>
          <w:rFonts w:asciiTheme="majorHAnsi" w:hAnsiTheme="majorHAnsi" w:cstheme="majorHAnsi"/>
        </w:rPr>
        <w:t>taken</w:t>
      </w:r>
      <w:r w:rsidR="00C32532" w:rsidRPr="0060082A">
        <w:rPr>
          <w:rFonts w:asciiTheme="majorHAnsi" w:hAnsiTheme="majorHAnsi" w:cstheme="majorHAnsi"/>
        </w:rPr>
        <w:t xml:space="preserve">. </w:t>
      </w:r>
      <w:r w:rsidRPr="0060082A">
        <w:rPr>
          <w:rFonts w:asciiTheme="majorHAnsi" w:hAnsiTheme="majorHAnsi" w:cstheme="majorHAnsi"/>
        </w:rPr>
        <w:t xml:space="preserve">. </w:t>
      </w:r>
    </w:p>
    <w:p w14:paraId="7A7FC0D4" w14:textId="77CFE288" w:rsidR="000B252F" w:rsidRPr="0060082A" w:rsidRDefault="00C11ABA" w:rsidP="0060082A">
      <w:pPr>
        <w:rPr>
          <w:rFonts w:asciiTheme="majorHAnsi" w:hAnsiTheme="majorHAnsi" w:cstheme="majorHAnsi"/>
        </w:rPr>
      </w:pPr>
      <w:r w:rsidRPr="0060082A">
        <w:rPr>
          <w:rFonts w:asciiTheme="majorHAnsi" w:hAnsiTheme="majorHAnsi" w:cstheme="majorHAnsi"/>
        </w:rPr>
        <w:t xml:space="preserve">KEF leadership and technical staff have been responsive to DFAT and </w:t>
      </w:r>
      <w:r w:rsidR="00B765AC" w:rsidRPr="0060082A">
        <w:rPr>
          <w:rFonts w:asciiTheme="majorHAnsi" w:hAnsiTheme="majorHAnsi" w:cstheme="majorHAnsi"/>
        </w:rPr>
        <w:t>MoE</w:t>
      </w:r>
      <w:r w:rsidRPr="0060082A">
        <w:rPr>
          <w:rFonts w:asciiTheme="majorHAnsi" w:hAnsiTheme="majorHAnsi" w:cstheme="majorHAnsi"/>
        </w:rPr>
        <w:t xml:space="preserve"> priorities and requirements</w:t>
      </w:r>
      <w:r w:rsidR="00843719" w:rsidRPr="0060082A">
        <w:rPr>
          <w:rFonts w:asciiTheme="majorHAnsi" w:hAnsiTheme="majorHAnsi" w:cstheme="majorHAnsi"/>
        </w:rPr>
        <w:t>,</w:t>
      </w:r>
      <w:r w:rsidRPr="0060082A">
        <w:rPr>
          <w:rFonts w:asciiTheme="majorHAnsi" w:hAnsiTheme="majorHAnsi" w:cstheme="majorHAnsi"/>
        </w:rPr>
        <w:t xml:space="preserve"> and included support from the </w:t>
      </w:r>
      <w:r w:rsidR="00AD2068" w:rsidRPr="0060082A">
        <w:rPr>
          <w:rFonts w:asciiTheme="majorHAnsi" w:hAnsiTheme="majorHAnsi" w:cstheme="majorHAnsi"/>
        </w:rPr>
        <w:t>MC</w:t>
      </w:r>
      <w:r w:rsidRPr="0060082A">
        <w:rPr>
          <w:rFonts w:asciiTheme="majorHAnsi" w:hAnsiTheme="majorHAnsi" w:cstheme="majorHAnsi"/>
        </w:rPr>
        <w:t xml:space="preserve"> home office</w:t>
      </w:r>
      <w:r w:rsidR="007127A7" w:rsidRPr="0060082A">
        <w:rPr>
          <w:rFonts w:asciiTheme="majorHAnsi" w:hAnsiTheme="majorHAnsi" w:cstheme="majorHAnsi"/>
        </w:rPr>
        <w:t xml:space="preserve"> staff</w:t>
      </w:r>
      <w:r w:rsidRPr="0060082A">
        <w:rPr>
          <w:rFonts w:asciiTheme="majorHAnsi" w:hAnsiTheme="majorHAnsi" w:cstheme="majorHAnsi"/>
        </w:rPr>
        <w:t xml:space="preserve"> as required. </w:t>
      </w:r>
      <w:r w:rsidR="000B252F" w:rsidRPr="0060082A">
        <w:rPr>
          <w:rFonts w:asciiTheme="majorHAnsi" w:hAnsiTheme="majorHAnsi" w:cstheme="majorHAnsi"/>
        </w:rPr>
        <w:t xml:space="preserve">This enabled transparent decision making </w:t>
      </w:r>
      <w:r w:rsidR="00843719" w:rsidRPr="0060082A">
        <w:rPr>
          <w:rFonts w:asciiTheme="majorHAnsi" w:hAnsiTheme="majorHAnsi" w:cstheme="majorHAnsi"/>
        </w:rPr>
        <w:t>and fast responses to</w:t>
      </w:r>
      <w:r w:rsidR="000B252F" w:rsidRPr="0060082A">
        <w:rPr>
          <w:rFonts w:asciiTheme="majorHAnsi" w:hAnsiTheme="majorHAnsi" w:cstheme="majorHAnsi"/>
        </w:rPr>
        <w:t xml:space="preserve"> emerging issues; accurate definition of the required service level, and </w:t>
      </w:r>
      <w:r w:rsidR="00B839BC" w:rsidRPr="0060082A">
        <w:rPr>
          <w:rFonts w:asciiTheme="majorHAnsi" w:hAnsiTheme="majorHAnsi" w:cstheme="majorHAnsi"/>
        </w:rPr>
        <w:t>prompt</w:t>
      </w:r>
      <w:r w:rsidR="000B252F" w:rsidRPr="0060082A">
        <w:rPr>
          <w:rFonts w:asciiTheme="majorHAnsi" w:hAnsiTheme="majorHAnsi" w:cstheme="majorHAnsi"/>
        </w:rPr>
        <w:t xml:space="preserve"> implementation.</w:t>
      </w:r>
    </w:p>
    <w:p w14:paraId="12158ED0" w14:textId="77777777" w:rsidR="00221AE8" w:rsidRPr="00C918BF" w:rsidRDefault="00221AE8" w:rsidP="00CD6138">
      <w:pPr>
        <w:pStyle w:val="Heading3"/>
      </w:pPr>
      <w:bookmarkStart w:id="23" w:name="_Toc461615676"/>
      <w:r w:rsidRPr="00C918BF">
        <w:t xml:space="preserve">Support to </w:t>
      </w:r>
      <w:r w:rsidR="00A27114" w:rsidRPr="00C918BF">
        <w:t>Mo</w:t>
      </w:r>
      <w:r w:rsidR="00B765AC" w:rsidRPr="00C918BF">
        <w:t>E</w:t>
      </w:r>
      <w:r w:rsidRPr="00C918BF">
        <w:t xml:space="preserve"> Policy focus on Inclusion, Quality and Access</w:t>
      </w:r>
      <w:bookmarkEnd w:id="23"/>
    </w:p>
    <w:p w14:paraId="60147689" w14:textId="18806521" w:rsidR="00C11ABA" w:rsidRPr="0060082A" w:rsidRDefault="00C11ABA" w:rsidP="0060082A">
      <w:pPr>
        <w:rPr>
          <w:rFonts w:asciiTheme="majorHAnsi" w:hAnsiTheme="majorHAnsi" w:cstheme="majorHAnsi"/>
        </w:rPr>
      </w:pPr>
      <w:r w:rsidRPr="0060082A">
        <w:rPr>
          <w:rFonts w:asciiTheme="majorHAnsi" w:hAnsiTheme="majorHAnsi" w:cstheme="majorHAnsi"/>
        </w:rPr>
        <w:t>Quality education is one of the most valuable assets that a society or an individual can have.</w:t>
      </w:r>
      <w:r w:rsidR="006907EC" w:rsidRPr="0060082A">
        <w:rPr>
          <w:rFonts w:asciiTheme="majorHAnsi" w:hAnsiTheme="majorHAnsi" w:cstheme="majorHAnsi"/>
        </w:rPr>
        <w:t xml:space="preserve"> </w:t>
      </w:r>
      <w:r w:rsidRPr="0060082A">
        <w:rPr>
          <w:rFonts w:asciiTheme="majorHAnsi" w:hAnsiTheme="majorHAnsi" w:cstheme="majorHAnsi"/>
        </w:rPr>
        <w:t xml:space="preserve">Effective and innovative education policies provide people with the power to understand their options and make informed choices that </w:t>
      </w:r>
      <w:r w:rsidR="00843719" w:rsidRPr="0060082A">
        <w:rPr>
          <w:rFonts w:asciiTheme="majorHAnsi" w:hAnsiTheme="majorHAnsi" w:cstheme="majorHAnsi"/>
        </w:rPr>
        <w:t xml:space="preserve">can </w:t>
      </w:r>
      <w:r w:rsidRPr="0060082A">
        <w:rPr>
          <w:rFonts w:asciiTheme="majorHAnsi" w:hAnsiTheme="majorHAnsi" w:cstheme="majorHAnsi"/>
        </w:rPr>
        <w:t xml:space="preserve">improve their lives. Education also contributes to a multitude </w:t>
      </w:r>
      <w:r w:rsidR="00B839BC" w:rsidRPr="0060082A">
        <w:rPr>
          <w:rFonts w:asciiTheme="majorHAnsi" w:hAnsiTheme="majorHAnsi" w:cstheme="majorHAnsi"/>
        </w:rPr>
        <w:t xml:space="preserve">of </w:t>
      </w:r>
      <w:r w:rsidRPr="0060082A">
        <w:rPr>
          <w:rFonts w:asciiTheme="majorHAnsi" w:hAnsiTheme="majorHAnsi" w:cstheme="majorHAnsi"/>
        </w:rPr>
        <w:t>objectives including: empowering citizens; protecting the environment; and</w:t>
      </w:r>
      <w:r w:rsidR="00B839BC" w:rsidRPr="0060082A">
        <w:rPr>
          <w:rFonts w:asciiTheme="majorHAnsi" w:hAnsiTheme="majorHAnsi" w:cstheme="majorHAnsi"/>
        </w:rPr>
        <w:t>,</w:t>
      </w:r>
      <w:r w:rsidRPr="0060082A">
        <w:rPr>
          <w:rFonts w:asciiTheme="majorHAnsi" w:hAnsiTheme="majorHAnsi" w:cstheme="majorHAnsi"/>
        </w:rPr>
        <w:t xml:space="preserve"> strengthening health care, democracy and good governance. Education </w:t>
      </w:r>
      <w:r w:rsidR="00B839BC" w:rsidRPr="0060082A">
        <w:rPr>
          <w:rFonts w:asciiTheme="majorHAnsi" w:hAnsiTheme="majorHAnsi" w:cstheme="majorHAnsi"/>
        </w:rPr>
        <w:t>provides knowledge</w:t>
      </w:r>
      <w:r w:rsidR="00BC4B6D" w:rsidRPr="0060082A">
        <w:rPr>
          <w:rFonts w:asciiTheme="majorHAnsi" w:hAnsiTheme="majorHAnsi" w:cstheme="majorHAnsi"/>
        </w:rPr>
        <w:t xml:space="preserve">, </w:t>
      </w:r>
      <w:r w:rsidRPr="0060082A">
        <w:rPr>
          <w:rFonts w:asciiTheme="majorHAnsi" w:hAnsiTheme="majorHAnsi" w:cstheme="majorHAnsi"/>
        </w:rPr>
        <w:t xml:space="preserve">teaches skills and is an important avenue </w:t>
      </w:r>
      <w:r w:rsidR="00843719" w:rsidRPr="0060082A">
        <w:rPr>
          <w:rFonts w:asciiTheme="majorHAnsi" w:hAnsiTheme="majorHAnsi" w:cstheme="majorHAnsi"/>
        </w:rPr>
        <w:t xml:space="preserve">for social mobility and </w:t>
      </w:r>
      <w:r w:rsidRPr="0060082A">
        <w:rPr>
          <w:rFonts w:asciiTheme="majorHAnsi" w:hAnsiTheme="majorHAnsi" w:cstheme="majorHAnsi"/>
        </w:rPr>
        <w:t xml:space="preserve">reducing poverty. </w:t>
      </w:r>
    </w:p>
    <w:p w14:paraId="10B46078" w14:textId="6EC383B5" w:rsidR="00843719" w:rsidRPr="0060082A" w:rsidRDefault="00B839BC" w:rsidP="0060082A">
      <w:pPr>
        <w:rPr>
          <w:rFonts w:asciiTheme="majorHAnsi" w:hAnsiTheme="majorHAnsi" w:cstheme="majorHAnsi"/>
        </w:rPr>
      </w:pPr>
      <w:r w:rsidRPr="0060082A">
        <w:rPr>
          <w:rFonts w:asciiTheme="majorHAnsi" w:hAnsiTheme="majorHAnsi" w:cstheme="majorHAnsi"/>
        </w:rPr>
        <w:t>I</w:t>
      </w:r>
      <w:r w:rsidR="00C11ABA" w:rsidRPr="0060082A">
        <w:rPr>
          <w:rFonts w:asciiTheme="majorHAnsi" w:hAnsiTheme="majorHAnsi" w:cstheme="majorHAnsi"/>
        </w:rPr>
        <w:t xml:space="preserve">ncreased knowledge and skills are </w:t>
      </w:r>
      <w:r w:rsidR="00BC4B6D" w:rsidRPr="0060082A">
        <w:rPr>
          <w:rFonts w:asciiTheme="majorHAnsi" w:hAnsiTheme="majorHAnsi" w:cstheme="majorHAnsi"/>
        </w:rPr>
        <w:t xml:space="preserve">also </w:t>
      </w:r>
      <w:r w:rsidR="00C11ABA" w:rsidRPr="0060082A">
        <w:rPr>
          <w:rFonts w:asciiTheme="majorHAnsi" w:hAnsiTheme="majorHAnsi" w:cstheme="majorHAnsi"/>
        </w:rPr>
        <w:t>key factors for productivity and economic growth</w:t>
      </w:r>
      <w:r w:rsidRPr="0060082A">
        <w:rPr>
          <w:rFonts w:asciiTheme="majorHAnsi" w:hAnsiTheme="majorHAnsi" w:cstheme="majorHAnsi"/>
        </w:rPr>
        <w:t>. Additionally</w:t>
      </w:r>
      <w:r w:rsidR="00C11ABA" w:rsidRPr="0060082A">
        <w:rPr>
          <w:rFonts w:asciiTheme="majorHAnsi" w:hAnsiTheme="majorHAnsi" w:cstheme="majorHAnsi"/>
        </w:rPr>
        <w:t xml:space="preserve">, there are powerful arguments regarding the importance of education in improving social inclusion, increasing options for marginalised groups, supporting cultural development, and enabling individual growth. </w:t>
      </w:r>
      <w:r w:rsidR="000B252F" w:rsidRPr="0060082A">
        <w:rPr>
          <w:rFonts w:asciiTheme="majorHAnsi" w:hAnsiTheme="majorHAnsi" w:cstheme="majorHAnsi"/>
        </w:rPr>
        <w:t xml:space="preserve">Specialist assistance in gender and inclusion was provided through a KEF </w:t>
      </w:r>
      <w:r w:rsidRPr="0060082A">
        <w:rPr>
          <w:rFonts w:asciiTheme="majorHAnsi" w:hAnsiTheme="majorHAnsi" w:cstheme="majorHAnsi"/>
        </w:rPr>
        <w:t>Technical Adviser and locally engaged Coordinator</w:t>
      </w:r>
      <w:r w:rsidR="000B252F" w:rsidRPr="0060082A">
        <w:rPr>
          <w:rFonts w:asciiTheme="majorHAnsi" w:hAnsiTheme="majorHAnsi" w:cstheme="majorHAnsi"/>
        </w:rPr>
        <w:t xml:space="preserve">, working with MoE and key stakeholders to assist them advocate for policy development, as well as identify actions that could be implemented at school and classroom level. </w:t>
      </w:r>
    </w:p>
    <w:p w14:paraId="0243198B" w14:textId="416B5657" w:rsidR="004E50C5" w:rsidRPr="0060082A" w:rsidRDefault="00BC4B6D" w:rsidP="0060082A">
      <w:pPr>
        <w:rPr>
          <w:rFonts w:asciiTheme="majorHAnsi" w:hAnsiTheme="majorHAnsi" w:cstheme="majorHAnsi"/>
        </w:rPr>
      </w:pPr>
      <w:r w:rsidRPr="0060082A">
        <w:rPr>
          <w:rFonts w:asciiTheme="majorHAnsi" w:hAnsiTheme="majorHAnsi" w:cstheme="majorHAnsi"/>
        </w:rPr>
        <w:t>Technical s</w:t>
      </w:r>
      <w:r w:rsidR="00C11ABA" w:rsidRPr="0060082A">
        <w:rPr>
          <w:rFonts w:asciiTheme="majorHAnsi" w:hAnsiTheme="majorHAnsi" w:cstheme="majorHAnsi"/>
        </w:rPr>
        <w:t xml:space="preserve">upport was </w:t>
      </w:r>
      <w:r w:rsidR="000B252F" w:rsidRPr="0060082A">
        <w:rPr>
          <w:rFonts w:asciiTheme="majorHAnsi" w:hAnsiTheme="majorHAnsi" w:cstheme="majorHAnsi"/>
        </w:rPr>
        <w:t xml:space="preserve">also </w:t>
      </w:r>
      <w:r w:rsidR="00C11ABA" w:rsidRPr="0060082A">
        <w:rPr>
          <w:rFonts w:asciiTheme="majorHAnsi" w:hAnsiTheme="majorHAnsi" w:cstheme="majorHAnsi"/>
        </w:rPr>
        <w:t>provided</w:t>
      </w:r>
      <w:r w:rsidR="00843719" w:rsidRPr="0060082A">
        <w:rPr>
          <w:rFonts w:asciiTheme="majorHAnsi" w:hAnsiTheme="majorHAnsi" w:cstheme="majorHAnsi"/>
        </w:rPr>
        <w:t xml:space="preserve"> by KEF Advisers</w:t>
      </w:r>
      <w:r w:rsidR="00C11ABA" w:rsidRPr="0060082A">
        <w:rPr>
          <w:rFonts w:asciiTheme="majorHAnsi" w:hAnsiTheme="majorHAnsi" w:cstheme="majorHAnsi"/>
        </w:rPr>
        <w:t xml:space="preserve"> to </w:t>
      </w:r>
      <w:r w:rsidR="00B765AC" w:rsidRPr="0060082A">
        <w:rPr>
          <w:rFonts w:asciiTheme="majorHAnsi" w:hAnsiTheme="majorHAnsi" w:cstheme="majorHAnsi"/>
        </w:rPr>
        <w:t>MoE</w:t>
      </w:r>
      <w:r w:rsidR="00C11ABA" w:rsidRPr="0060082A">
        <w:rPr>
          <w:rFonts w:asciiTheme="majorHAnsi" w:hAnsiTheme="majorHAnsi" w:cstheme="majorHAnsi"/>
        </w:rPr>
        <w:t xml:space="preserve"> in the development of </w:t>
      </w:r>
      <w:r w:rsidR="00843719" w:rsidRPr="0060082A">
        <w:rPr>
          <w:rFonts w:asciiTheme="majorHAnsi" w:hAnsiTheme="majorHAnsi" w:cstheme="majorHAnsi"/>
        </w:rPr>
        <w:t xml:space="preserve">their </w:t>
      </w:r>
      <w:r w:rsidR="0057623D" w:rsidRPr="0060082A">
        <w:rPr>
          <w:rFonts w:asciiTheme="majorHAnsi" w:hAnsiTheme="majorHAnsi" w:cstheme="majorHAnsi"/>
        </w:rPr>
        <w:t xml:space="preserve">Inclusive Education Policy, which was approved by </w:t>
      </w:r>
      <w:r w:rsidR="00CD34F9" w:rsidRPr="0060082A">
        <w:rPr>
          <w:rFonts w:asciiTheme="majorHAnsi" w:hAnsiTheme="majorHAnsi" w:cstheme="majorHAnsi"/>
        </w:rPr>
        <w:t xml:space="preserve">the GoK </w:t>
      </w:r>
      <w:r w:rsidR="0057623D" w:rsidRPr="0060082A">
        <w:rPr>
          <w:rFonts w:asciiTheme="majorHAnsi" w:hAnsiTheme="majorHAnsi" w:cstheme="majorHAnsi"/>
        </w:rPr>
        <w:t>Cabinet in March 2015.</w:t>
      </w:r>
      <w:r w:rsidR="00843719" w:rsidRPr="0060082A">
        <w:rPr>
          <w:rFonts w:asciiTheme="majorHAnsi" w:hAnsiTheme="majorHAnsi" w:cstheme="majorHAnsi"/>
        </w:rPr>
        <w:t xml:space="preserve"> </w:t>
      </w:r>
      <w:r w:rsidR="00C32532" w:rsidRPr="0060082A">
        <w:rPr>
          <w:rFonts w:asciiTheme="majorHAnsi" w:hAnsiTheme="majorHAnsi" w:cstheme="majorHAnsi"/>
        </w:rPr>
        <w:t>A p</w:t>
      </w:r>
      <w:r w:rsidR="00496E8C" w:rsidRPr="0060082A">
        <w:rPr>
          <w:rFonts w:asciiTheme="majorHAnsi" w:hAnsiTheme="majorHAnsi" w:cstheme="majorHAnsi"/>
        </w:rPr>
        <w:t xml:space="preserve">ositive attitude and a common understanding of Inclusive Education </w:t>
      </w:r>
      <w:r w:rsidR="00C32532" w:rsidRPr="0060082A">
        <w:rPr>
          <w:rFonts w:asciiTheme="majorHAnsi" w:hAnsiTheme="majorHAnsi" w:cstheme="majorHAnsi"/>
        </w:rPr>
        <w:t xml:space="preserve">has </w:t>
      </w:r>
      <w:r w:rsidRPr="0060082A">
        <w:rPr>
          <w:rFonts w:asciiTheme="majorHAnsi" w:hAnsiTheme="majorHAnsi" w:cstheme="majorHAnsi"/>
        </w:rPr>
        <w:t>bec</w:t>
      </w:r>
      <w:r w:rsidR="00690CEF" w:rsidRPr="0060082A">
        <w:rPr>
          <w:rFonts w:asciiTheme="majorHAnsi" w:hAnsiTheme="majorHAnsi" w:cstheme="majorHAnsi"/>
        </w:rPr>
        <w:t>o</w:t>
      </w:r>
      <w:r w:rsidRPr="0060082A">
        <w:rPr>
          <w:rFonts w:asciiTheme="majorHAnsi" w:hAnsiTheme="majorHAnsi" w:cstheme="majorHAnsi"/>
        </w:rPr>
        <w:t xml:space="preserve">me </w:t>
      </w:r>
      <w:r w:rsidR="00496E8C" w:rsidRPr="0060082A">
        <w:rPr>
          <w:rFonts w:asciiTheme="majorHAnsi" w:hAnsiTheme="majorHAnsi" w:cstheme="majorHAnsi"/>
        </w:rPr>
        <w:t>evident.</w:t>
      </w:r>
      <w:r w:rsidRPr="0060082A">
        <w:rPr>
          <w:rFonts w:asciiTheme="majorHAnsi" w:hAnsiTheme="majorHAnsi" w:cstheme="majorHAnsi"/>
        </w:rPr>
        <w:t xml:space="preserve"> </w:t>
      </w:r>
      <w:r w:rsidR="004E50C5" w:rsidRPr="0060082A">
        <w:rPr>
          <w:rFonts w:asciiTheme="majorHAnsi" w:hAnsiTheme="majorHAnsi" w:cstheme="majorHAnsi"/>
        </w:rPr>
        <w:t>For example</w:t>
      </w:r>
      <w:r w:rsidR="00843719" w:rsidRPr="0060082A">
        <w:rPr>
          <w:rFonts w:asciiTheme="majorHAnsi" w:hAnsiTheme="majorHAnsi" w:cstheme="majorHAnsi"/>
        </w:rPr>
        <w:t>,</w:t>
      </w:r>
      <w:r w:rsidR="004E50C5" w:rsidRPr="0060082A">
        <w:rPr>
          <w:rFonts w:asciiTheme="majorHAnsi" w:hAnsiTheme="majorHAnsi" w:cstheme="majorHAnsi"/>
        </w:rPr>
        <w:t xml:space="preserve"> KEF</w:t>
      </w:r>
      <w:r w:rsidR="005336B2" w:rsidRPr="0060082A">
        <w:rPr>
          <w:rFonts w:asciiTheme="majorHAnsi" w:hAnsiTheme="majorHAnsi" w:cstheme="majorHAnsi"/>
        </w:rPr>
        <w:t xml:space="preserve"> </w:t>
      </w:r>
      <w:r w:rsidR="004E50C5" w:rsidRPr="0060082A">
        <w:rPr>
          <w:rFonts w:asciiTheme="majorHAnsi" w:hAnsiTheme="majorHAnsi" w:cstheme="majorHAnsi"/>
        </w:rPr>
        <w:t xml:space="preserve">supported MoE to embed inclusion principles in the ESSP 2012-15 &amp; 2016-19, the principles </w:t>
      </w:r>
      <w:r w:rsidR="00843719" w:rsidRPr="0060082A">
        <w:rPr>
          <w:rFonts w:asciiTheme="majorHAnsi" w:hAnsiTheme="majorHAnsi" w:cstheme="majorHAnsi"/>
        </w:rPr>
        <w:t>that underpin</w:t>
      </w:r>
      <w:r w:rsidR="004E50C5" w:rsidRPr="0060082A">
        <w:rPr>
          <w:rFonts w:asciiTheme="majorHAnsi" w:hAnsiTheme="majorHAnsi" w:cstheme="majorHAnsi"/>
        </w:rPr>
        <w:t xml:space="preserve"> the Kiribati Education Act 2014 and in the Inclusive Education Policy. The MoE’s commitment is also reflected in their 2015 release (with </w:t>
      </w:r>
      <w:r w:rsidR="008F3A38" w:rsidRPr="0060082A">
        <w:rPr>
          <w:rFonts w:asciiTheme="majorHAnsi" w:hAnsiTheme="majorHAnsi" w:cstheme="majorHAnsi"/>
        </w:rPr>
        <w:t>Kiribati Ministry of Women, Youth and Social Affairs (</w:t>
      </w:r>
      <w:r w:rsidR="004E50C5" w:rsidRPr="0060082A">
        <w:rPr>
          <w:rFonts w:asciiTheme="majorHAnsi" w:hAnsiTheme="majorHAnsi" w:cstheme="majorHAnsi"/>
        </w:rPr>
        <w:t>MWYSA</w:t>
      </w:r>
      <w:r w:rsidR="008F3A38" w:rsidRPr="0060082A">
        <w:rPr>
          <w:rFonts w:asciiTheme="majorHAnsi" w:hAnsiTheme="majorHAnsi" w:cstheme="majorHAnsi"/>
        </w:rPr>
        <w:t>)</w:t>
      </w:r>
      <w:r w:rsidR="004E50C5" w:rsidRPr="0060082A">
        <w:rPr>
          <w:rFonts w:asciiTheme="majorHAnsi" w:hAnsiTheme="majorHAnsi" w:cstheme="majorHAnsi"/>
        </w:rPr>
        <w:t>) of the School Wellbeing &amp; Counselling Good Practice Guidelines which operationalise the Family Peace Act, aim</w:t>
      </w:r>
      <w:r w:rsidR="0026224E" w:rsidRPr="0060082A">
        <w:rPr>
          <w:rFonts w:asciiTheme="majorHAnsi" w:hAnsiTheme="majorHAnsi" w:cstheme="majorHAnsi"/>
        </w:rPr>
        <w:t>ing</w:t>
      </w:r>
      <w:r w:rsidR="004E50C5" w:rsidRPr="0060082A">
        <w:rPr>
          <w:rFonts w:asciiTheme="majorHAnsi" w:hAnsiTheme="majorHAnsi" w:cstheme="majorHAnsi"/>
        </w:rPr>
        <w:t xml:space="preserve"> to counter gender-based violence by promoting respectful gender relationships and self-esteem in schools (KEIP facilitated the</w:t>
      </w:r>
      <w:r w:rsidR="004855CD" w:rsidRPr="0060082A">
        <w:rPr>
          <w:rFonts w:asciiTheme="majorHAnsi" w:hAnsiTheme="majorHAnsi" w:cstheme="majorHAnsi"/>
        </w:rPr>
        <w:t xml:space="preserve"> Elimination of Gender Based Violence in Schools (</w:t>
      </w:r>
      <w:r w:rsidR="004E50C5" w:rsidRPr="0060082A">
        <w:rPr>
          <w:rFonts w:asciiTheme="majorHAnsi" w:hAnsiTheme="majorHAnsi" w:cstheme="majorHAnsi"/>
        </w:rPr>
        <w:t>ESGBV</w:t>
      </w:r>
      <w:r w:rsidR="004855CD" w:rsidRPr="0060082A">
        <w:rPr>
          <w:rFonts w:asciiTheme="majorHAnsi" w:hAnsiTheme="majorHAnsi" w:cstheme="majorHAnsi"/>
        </w:rPr>
        <w:t>)</w:t>
      </w:r>
      <w:r w:rsidR="004E50C5" w:rsidRPr="0060082A">
        <w:rPr>
          <w:rFonts w:asciiTheme="majorHAnsi" w:hAnsiTheme="majorHAnsi" w:cstheme="majorHAnsi"/>
        </w:rPr>
        <w:t xml:space="preserve"> Committee which led </w:t>
      </w:r>
      <w:r w:rsidR="005336B2" w:rsidRPr="0060082A">
        <w:rPr>
          <w:rFonts w:asciiTheme="majorHAnsi" w:hAnsiTheme="majorHAnsi" w:cstheme="majorHAnsi"/>
        </w:rPr>
        <w:t xml:space="preserve">to </w:t>
      </w:r>
      <w:r w:rsidR="004E50C5" w:rsidRPr="0060082A">
        <w:rPr>
          <w:rFonts w:asciiTheme="majorHAnsi" w:hAnsiTheme="majorHAnsi" w:cstheme="majorHAnsi"/>
        </w:rPr>
        <w:t>the</w:t>
      </w:r>
      <w:r w:rsidR="005336B2" w:rsidRPr="0060082A">
        <w:rPr>
          <w:rFonts w:asciiTheme="majorHAnsi" w:hAnsiTheme="majorHAnsi" w:cstheme="majorHAnsi"/>
        </w:rPr>
        <w:t xml:space="preserve"> guideline</w:t>
      </w:r>
      <w:r w:rsidR="004E50C5" w:rsidRPr="0060082A">
        <w:rPr>
          <w:rFonts w:asciiTheme="majorHAnsi" w:hAnsiTheme="majorHAnsi" w:cstheme="majorHAnsi"/>
        </w:rPr>
        <w:t xml:space="preserve"> development). </w:t>
      </w:r>
    </w:p>
    <w:p w14:paraId="633798D9" w14:textId="20D4CCBD" w:rsidR="003E2A6D" w:rsidRPr="0060082A" w:rsidRDefault="00496E8C" w:rsidP="0060082A">
      <w:pPr>
        <w:rPr>
          <w:rFonts w:asciiTheme="majorHAnsi" w:hAnsiTheme="majorHAnsi" w:cstheme="majorHAnsi"/>
        </w:rPr>
      </w:pPr>
      <w:r w:rsidRPr="0060082A">
        <w:rPr>
          <w:rFonts w:asciiTheme="majorHAnsi" w:hAnsiTheme="majorHAnsi" w:cstheme="majorHAnsi"/>
        </w:rPr>
        <w:t>The MoE Inclusive Education Working Group (IEWG) remains active with high attendance and engagement.</w:t>
      </w:r>
      <w:r w:rsidR="00BC4B6D" w:rsidRPr="0060082A">
        <w:rPr>
          <w:rFonts w:asciiTheme="majorHAnsi" w:hAnsiTheme="majorHAnsi" w:cstheme="majorHAnsi"/>
        </w:rPr>
        <w:t xml:space="preserve"> </w:t>
      </w:r>
      <w:r w:rsidRPr="0060082A">
        <w:rPr>
          <w:rFonts w:asciiTheme="majorHAnsi" w:hAnsiTheme="majorHAnsi" w:cstheme="majorHAnsi"/>
        </w:rPr>
        <w:t xml:space="preserve">Supported by the KEF Gender and Social Inclusion (GESI) Coordinator, the </w:t>
      </w:r>
      <w:r w:rsidR="008F3A38" w:rsidRPr="0060082A">
        <w:rPr>
          <w:rFonts w:asciiTheme="majorHAnsi" w:hAnsiTheme="majorHAnsi" w:cstheme="majorHAnsi"/>
        </w:rPr>
        <w:t>School Improvement Unit District Education Officers</w:t>
      </w:r>
      <w:r w:rsidRPr="0060082A">
        <w:rPr>
          <w:rFonts w:asciiTheme="majorHAnsi" w:hAnsiTheme="majorHAnsi" w:cstheme="majorHAnsi"/>
        </w:rPr>
        <w:t xml:space="preserve"> </w:t>
      </w:r>
      <w:r w:rsidR="008F3A38" w:rsidRPr="0060082A">
        <w:rPr>
          <w:rFonts w:asciiTheme="majorHAnsi" w:hAnsiTheme="majorHAnsi" w:cstheme="majorHAnsi"/>
        </w:rPr>
        <w:t xml:space="preserve">and </w:t>
      </w:r>
      <w:r w:rsidRPr="0060082A">
        <w:rPr>
          <w:rFonts w:asciiTheme="majorHAnsi" w:hAnsiTheme="majorHAnsi" w:cstheme="majorHAnsi"/>
        </w:rPr>
        <w:t xml:space="preserve">other stakeholders </w:t>
      </w:r>
      <w:r w:rsidR="00843719" w:rsidRPr="0060082A">
        <w:rPr>
          <w:rFonts w:asciiTheme="majorHAnsi" w:hAnsiTheme="majorHAnsi" w:cstheme="majorHAnsi"/>
        </w:rPr>
        <w:t>(</w:t>
      </w:r>
      <w:r w:rsidRPr="0060082A">
        <w:rPr>
          <w:rFonts w:asciiTheme="majorHAnsi" w:hAnsiTheme="majorHAnsi" w:cstheme="majorHAnsi"/>
        </w:rPr>
        <w:t>e.g. Health, MWYS</w:t>
      </w:r>
      <w:r w:rsidR="00636112" w:rsidRPr="0060082A">
        <w:rPr>
          <w:rFonts w:asciiTheme="majorHAnsi" w:hAnsiTheme="majorHAnsi" w:cstheme="majorHAnsi"/>
        </w:rPr>
        <w:t>A, Statistics &amp; community</w:t>
      </w:r>
      <w:r w:rsidR="00843719" w:rsidRPr="0060082A">
        <w:rPr>
          <w:rFonts w:asciiTheme="majorHAnsi" w:hAnsiTheme="majorHAnsi" w:cstheme="majorHAnsi"/>
        </w:rPr>
        <w:t>)</w:t>
      </w:r>
      <w:r w:rsidR="00636112" w:rsidRPr="0060082A">
        <w:rPr>
          <w:rFonts w:asciiTheme="majorHAnsi" w:hAnsiTheme="majorHAnsi" w:cstheme="majorHAnsi"/>
        </w:rPr>
        <w:t xml:space="preserve"> have</w:t>
      </w:r>
      <w:r w:rsidR="004E50C5" w:rsidRPr="0060082A">
        <w:rPr>
          <w:rFonts w:asciiTheme="majorHAnsi" w:hAnsiTheme="majorHAnsi" w:cstheme="majorHAnsi"/>
        </w:rPr>
        <w:t xml:space="preserve"> developed an IE implementation strategy</w:t>
      </w:r>
      <w:r w:rsidR="00636112" w:rsidRPr="0060082A">
        <w:rPr>
          <w:rFonts w:asciiTheme="majorHAnsi" w:hAnsiTheme="majorHAnsi" w:cstheme="majorHAnsi"/>
        </w:rPr>
        <w:t xml:space="preserve"> 2016-2019.</w:t>
      </w:r>
      <w:r w:rsidR="004E50C5" w:rsidRPr="0060082A">
        <w:rPr>
          <w:rFonts w:asciiTheme="majorHAnsi" w:hAnsiTheme="majorHAnsi" w:cstheme="majorHAnsi"/>
        </w:rPr>
        <w:t xml:space="preserve"> While this plan has been approved by MoE </w:t>
      </w:r>
      <w:r w:rsidR="007211BA" w:rsidRPr="0060082A">
        <w:rPr>
          <w:rFonts w:asciiTheme="majorHAnsi" w:hAnsiTheme="majorHAnsi" w:cstheme="majorHAnsi"/>
        </w:rPr>
        <w:t>Heads of Divisions</w:t>
      </w:r>
      <w:r w:rsidR="00843719" w:rsidRPr="0060082A">
        <w:rPr>
          <w:rFonts w:asciiTheme="majorHAnsi" w:hAnsiTheme="majorHAnsi" w:cstheme="majorHAnsi"/>
        </w:rPr>
        <w:t>,</w:t>
      </w:r>
      <w:r w:rsidR="004E50C5" w:rsidRPr="0060082A">
        <w:rPr>
          <w:rFonts w:asciiTheme="majorHAnsi" w:hAnsiTheme="majorHAnsi" w:cstheme="majorHAnsi"/>
        </w:rPr>
        <w:t xml:space="preserve"> there is an understanding that th</w:t>
      </w:r>
      <w:r w:rsidR="00BC4B6D" w:rsidRPr="0060082A">
        <w:rPr>
          <w:rFonts w:asciiTheme="majorHAnsi" w:hAnsiTheme="majorHAnsi" w:cstheme="majorHAnsi"/>
        </w:rPr>
        <w:t xml:space="preserve">e </w:t>
      </w:r>
      <w:r w:rsidR="004E50C5" w:rsidRPr="0060082A">
        <w:rPr>
          <w:rFonts w:asciiTheme="majorHAnsi" w:hAnsiTheme="majorHAnsi" w:cstheme="majorHAnsi"/>
        </w:rPr>
        <w:t>plan will be reviewed late 2016 to accommodate</w:t>
      </w:r>
      <w:r w:rsidR="00636112" w:rsidRPr="0060082A">
        <w:rPr>
          <w:rFonts w:asciiTheme="majorHAnsi" w:hAnsiTheme="majorHAnsi" w:cstheme="majorHAnsi"/>
        </w:rPr>
        <w:t xml:space="preserve"> MoE related activities under the ESSP 2016-2020 and</w:t>
      </w:r>
      <w:r w:rsidR="004E50C5" w:rsidRPr="0060082A">
        <w:rPr>
          <w:rFonts w:asciiTheme="majorHAnsi" w:hAnsiTheme="majorHAnsi" w:cstheme="majorHAnsi"/>
        </w:rPr>
        <w:t xml:space="preserve"> </w:t>
      </w:r>
      <w:r w:rsidR="00636112" w:rsidRPr="0060082A">
        <w:rPr>
          <w:rFonts w:asciiTheme="majorHAnsi" w:hAnsiTheme="majorHAnsi" w:cstheme="majorHAnsi"/>
        </w:rPr>
        <w:t xml:space="preserve">also </w:t>
      </w:r>
      <w:r w:rsidR="004E50C5" w:rsidRPr="0060082A">
        <w:rPr>
          <w:rFonts w:asciiTheme="majorHAnsi" w:hAnsiTheme="majorHAnsi" w:cstheme="majorHAnsi"/>
        </w:rPr>
        <w:t>the outcomes of consultation</w:t>
      </w:r>
      <w:r w:rsidR="00636112" w:rsidRPr="0060082A">
        <w:rPr>
          <w:rFonts w:asciiTheme="majorHAnsi" w:hAnsiTheme="majorHAnsi" w:cstheme="majorHAnsi"/>
        </w:rPr>
        <w:t xml:space="preserve"> with the KEIP </w:t>
      </w:r>
      <w:r w:rsidR="00743616">
        <w:rPr>
          <w:rFonts w:asciiTheme="majorHAnsi" w:hAnsiTheme="majorHAnsi" w:cstheme="majorHAnsi"/>
        </w:rPr>
        <w:t>Phase 3</w:t>
      </w:r>
      <w:r w:rsidR="00636112" w:rsidRPr="0060082A">
        <w:rPr>
          <w:rFonts w:asciiTheme="majorHAnsi" w:hAnsiTheme="majorHAnsi" w:cstheme="majorHAnsi"/>
        </w:rPr>
        <w:t xml:space="preserve"> KEF Classroom and Schools Focussed Disability Adviser (</w:t>
      </w:r>
      <w:r w:rsidR="004E50C5" w:rsidRPr="0060082A">
        <w:rPr>
          <w:rFonts w:asciiTheme="majorHAnsi" w:hAnsiTheme="majorHAnsi" w:cstheme="majorHAnsi"/>
        </w:rPr>
        <w:t>SFDA</w:t>
      </w:r>
      <w:r w:rsidR="00636112" w:rsidRPr="0060082A">
        <w:rPr>
          <w:rFonts w:asciiTheme="majorHAnsi" w:hAnsiTheme="majorHAnsi" w:cstheme="majorHAnsi"/>
        </w:rPr>
        <w:t xml:space="preserve">) to </w:t>
      </w:r>
      <w:r w:rsidR="003E2A6D" w:rsidRPr="0060082A">
        <w:rPr>
          <w:rFonts w:asciiTheme="majorHAnsi" w:hAnsiTheme="majorHAnsi" w:cstheme="majorHAnsi"/>
        </w:rPr>
        <w:lastRenderedPageBreak/>
        <w:t>include</w:t>
      </w:r>
      <w:r w:rsidR="00636112" w:rsidRPr="0060082A">
        <w:rPr>
          <w:rFonts w:asciiTheme="majorHAnsi" w:hAnsiTheme="majorHAnsi" w:cstheme="majorHAnsi"/>
        </w:rPr>
        <w:t xml:space="preserve"> interventions that improve</w:t>
      </w:r>
      <w:r w:rsidR="00C1235A" w:rsidRPr="0060082A">
        <w:rPr>
          <w:rFonts w:asciiTheme="majorHAnsi" w:hAnsiTheme="majorHAnsi" w:cstheme="majorHAnsi"/>
        </w:rPr>
        <w:t xml:space="preserve"> the access, teaching and assessment of </w:t>
      </w:r>
      <w:r w:rsidR="003E2A6D" w:rsidRPr="0060082A">
        <w:rPr>
          <w:rFonts w:asciiTheme="majorHAnsi" w:hAnsiTheme="majorHAnsi" w:cstheme="majorHAnsi"/>
        </w:rPr>
        <w:t>a</w:t>
      </w:r>
      <w:r w:rsidR="00C1235A" w:rsidRPr="0060082A">
        <w:rPr>
          <w:rFonts w:asciiTheme="majorHAnsi" w:hAnsiTheme="majorHAnsi" w:cstheme="majorHAnsi"/>
        </w:rPr>
        <w:t xml:space="preserve">ll struggling students, including children </w:t>
      </w:r>
      <w:r w:rsidR="003E2A6D" w:rsidRPr="0060082A">
        <w:rPr>
          <w:rFonts w:asciiTheme="majorHAnsi" w:hAnsiTheme="majorHAnsi" w:cstheme="majorHAnsi"/>
        </w:rPr>
        <w:t xml:space="preserve">with a disability. </w:t>
      </w:r>
    </w:p>
    <w:p w14:paraId="66EFB53E" w14:textId="2833CBDE" w:rsidR="00C11ABA" w:rsidRPr="0060082A" w:rsidRDefault="00636112" w:rsidP="0060082A">
      <w:pPr>
        <w:rPr>
          <w:rFonts w:asciiTheme="majorHAnsi" w:hAnsiTheme="majorHAnsi" w:cstheme="majorHAnsi"/>
        </w:rPr>
      </w:pPr>
      <w:r w:rsidRPr="0060082A">
        <w:rPr>
          <w:rFonts w:asciiTheme="majorHAnsi" w:hAnsiTheme="majorHAnsi" w:cstheme="majorHAnsi"/>
        </w:rPr>
        <w:t>With the support of the SFDA</w:t>
      </w:r>
      <w:r w:rsidR="005336B2" w:rsidRPr="0060082A">
        <w:rPr>
          <w:rFonts w:asciiTheme="majorHAnsi" w:hAnsiTheme="majorHAnsi" w:cstheme="majorHAnsi"/>
        </w:rPr>
        <w:t>,</w:t>
      </w:r>
      <w:r w:rsidRPr="0060082A">
        <w:rPr>
          <w:rFonts w:asciiTheme="majorHAnsi" w:hAnsiTheme="majorHAnsi" w:cstheme="majorHAnsi"/>
        </w:rPr>
        <w:t xml:space="preserve"> t</w:t>
      </w:r>
      <w:r w:rsidR="00C11ABA" w:rsidRPr="0060082A">
        <w:rPr>
          <w:rFonts w:asciiTheme="majorHAnsi" w:hAnsiTheme="majorHAnsi" w:cstheme="majorHAnsi"/>
        </w:rPr>
        <w:t xml:space="preserve">here will be increased support to </w:t>
      </w:r>
      <w:r w:rsidR="00B765AC" w:rsidRPr="0060082A">
        <w:rPr>
          <w:rFonts w:asciiTheme="majorHAnsi" w:hAnsiTheme="majorHAnsi" w:cstheme="majorHAnsi"/>
        </w:rPr>
        <w:t>MoE</w:t>
      </w:r>
      <w:r w:rsidR="00C11ABA" w:rsidRPr="0060082A">
        <w:rPr>
          <w:rFonts w:asciiTheme="majorHAnsi" w:hAnsiTheme="majorHAnsi" w:cstheme="majorHAnsi"/>
        </w:rPr>
        <w:t xml:space="preserve"> policy and the ESSP goals to improve access </w:t>
      </w:r>
      <w:r w:rsidR="00774DF9" w:rsidRPr="0060082A">
        <w:rPr>
          <w:rFonts w:asciiTheme="majorHAnsi" w:hAnsiTheme="majorHAnsi" w:cstheme="majorHAnsi"/>
        </w:rPr>
        <w:t xml:space="preserve">by </w:t>
      </w:r>
      <w:r w:rsidR="00C11ABA" w:rsidRPr="0060082A">
        <w:rPr>
          <w:rFonts w:asciiTheme="majorHAnsi" w:hAnsiTheme="majorHAnsi" w:cstheme="majorHAnsi"/>
        </w:rPr>
        <w:t xml:space="preserve">vulnerable groups and </w:t>
      </w:r>
      <w:r w:rsidR="00774DF9" w:rsidRPr="0060082A">
        <w:rPr>
          <w:rFonts w:asciiTheme="majorHAnsi" w:hAnsiTheme="majorHAnsi" w:cstheme="majorHAnsi"/>
        </w:rPr>
        <w:t>people with disabilities</w:t>
      </w:r>
      <w:r w:rsidR="00C11ABA" w:rsidRPr="0060082A">
        <w:rPr>
          <w:rFonts w:asciiTheme="majorHAnsi" w:hAnsiTheme="majorHAnsi" w:cstheme="majorHAnsi"/>
        </w:rPr>
        <w:t xml:space="preserve"> in KEIP </w:t>
      </w:r>
      <w:r w:rsidR="00743616">
        <w:rPr>
          <w:rFonts w:asciiTheme="majorHAnsi" w:hAnsiTheme="majorHAnsi" w:cstheme="majorHAnsi"/>
        </w:rPr>
        <w:t>Phase 3</w:t>
      </w:r>
      <w:r w:rsidR="00C11ABA" w:rsidRPr="0060082A">
        <w:rPr>
          <w:rFonts w:asciiTheme="majorHAnsi" w:hAnsiTheme="majorHAnsi" w:cstheme="majorHAnsi"/>
        </w:rPr>
        <w:t xml:space="preserve">, which </w:t>
      </w:r>
      <w:r w:rsidR="00BC4B6D" w:rsidRPr="0060082A">
        <w:rPr>
          <w:rFonts w:asciiTheme="majorHAnsi" w:hAnsiTheme="majorHAnsi" w:cstheme="majorHAnsi"/>
        </w:rPr>
        <w:t>can</w:t>
      </w:r>
      <w:r w:rsidR="006E6B10" w:rsidRPr="0060082A">
        <w:rPr>
          <w:rFonts w:asciiTheme="majorHAnsi" w:hAnsiTheme="majorHAnsi" w:cstheme="majorHAnsi"/>
        </w:rPr>
        <w:t xml:space="preserve"> </w:t>
      </w:r>
      <w:r w:rsidR="00C11ABA" w:rsidRPr="0060082A">
        <w:rPr>
          <w:rFonts w:asciiTheme="majorHAnsi" w:hAnsiTheme="majorHAnsi" w:cstheme="majorHAnsi"/>
        </w:rPr>
        <w:t>contribute positively to the next generation</w:t>
      </w:r>
      <w:r w:rsidR="00BC4B6D" w:rsidRPr="0060082A">
        <w:rPr>
          <w:rFonts w:asciiTheme="majorHAnsi" w:hAnsiTheme="majorHAnsi" w:cstheme="majorHAnsi"/>
        </w:rPr>
        <w:t>.</w:t>
      </w:r>
    </w:p>
    <w:p w14:paraId="1508F866" w14:textId="77777777" w:rsidR="00221AE8" w:rsidRPr="00C918BF" w:rsidRDefault="00221AE8" w:rsidP="00CD6138">
      <w:pPr>
        <w:pStyle w:val="Heading3"/>
      </w:pPr>
      <w:bookmarkStart w:id="24" w:name="_Toc461615677"/>
      <w:r w:rsidRPr="00C918BF">
        <w:t xml:space="preserve">Maximising </w:t>
      </w:r>
      <w:r w:rsidR="00B07F6D" w:rsidRPr="00C918BF">
        <w:t xml:space="preserve">the </w:t>
      </w:r>
      <w:r w:rsidRPr="00C918BF">
        <w:t>Value for Money and Efficiency</w:t>
      </w:r>
      <w:bookmarkEnd w:id="24"/>
    </w:p>
    <w:p w14:paraId="142E119C" w14:textId="22902EEA" w:rsidR="005D4846" w:rsidRPr="0060082A" w:rsidRDefault="005D4846" w:rsidP="0060082A">
      <w:pPr>
        <w:rPr>
          <w:rFonts w:asciiTheme="majorHAnsi" w:hAnsiTheme="majorHAnsi" w:cstheme="majorHAnsi"/>
        </w:rPr>
      </w:pPr>
      <w:r w:rsidRPr="0060082A">
        <w:rPr>
          <w:rFonts w:asciiTheme="majorHAnsi" w:hAnsiTheme="majorHAnsi" w:cstheme="majorHAnsi"/>
        </w:rPr>
        <w:t xml:space="preserve">Wherever possible, </w:t>
      </w:r>
      <w:r w:rsidR="00B839BC" w:rsidRPr="0060082A">
        <w:rPr>
          <w:rFonts w:asciiTheme="majorHAnsi" w:hAnsiTheme="majorHAnsi" w:cstheme="majorHAnsi"/>
        </w:rPr>
        <w:t xml:space="preserve">cost-efficient </w:t>
      </w:r>
      <w:r w:rsidRPr="0060082A">
        <w:rPr>
          <w:rFonts w:asciiTheme="majorHAnsi" w:hAnsiTheme="majorHAnsi" w:cstheme="majorHAnsi"/>
        </w:rPr>
        <w:t xml:space="preserve">alternatives have been sought for the provision of goods or services to support the implementation of basic education reform. Goods and infrastructure were delivered through a public procurement process, where best available quality materials and local expertise was contracted to complete the services. This is especially the case for infrastructure, where high quality school buildings have been delivered utilising an innovative design and clear specification of construction quality. </w:t>
      </w:r>
    </w:p>
    <w:p w14:paraId="46665C1F" w14:textId="10648FFE" w:rsidR="00221AE8" w:rsidRPr="00C918BF" w:rsidRDefault="00221AE8" w:rsidP="00CD6138">
      <w:pPr>
        <w:pStyle w:val="Heading3"/>
      </w:pPr>
      <w:bookmarkStart w:id="25" w:name="_Toc461615678"/>
      <w:r w:rsidRPr="00C918BF">
        <w:t xml:space="preserve">KEIP Phase </w:t>
      </w:r>
      <w:r w:rsidR="000A49FE">
        <w:t>2</w:t>
      </w:r>
      <w:r w:rsidRPr="00C918BF">
        <w:t xml:space="preserve"> Personnel</w:t>
      </w:r>
      <w:bookmarkEnd w:id="25"/>
    </w:p>
    <w:p w14:paraId="0695AA5A" w14:textId="03747EB4" w:rsidR="005D4846" w:rsidRPr="0060082A" w:rsidRDefault="005D4846" w:rsidP="0060082A">
      <w:pPr>
        <w:rPr>
          <w:rFonts w:asciiTheme="majorHAnsi" w:hAnsiTheme="majorHAnsi" w:cstheme="majorHAnsi"/>
        </w:rPr>
      </w:pPr>
      <w:r w:rsidRPr="0060082A">
        <w:rPr>
          <w:rFonts w:asciiTheme="majorHAnsi" w:hAnsiTheme="majorHAnsi" w:cstheme="majorHAnsi"/>
        </w:rPr>
        <w:t xml:space="preserve">The successful approach of working closely with the </w:t>
      </w:r>
      <w:r w:rsidR="00B765AC" w:rsidRPr="0060082A">
        <w:rPr>
          <w:rFonts w:asciiTheme="majorHAnsi" w:hAnsiTheme="majorHAnsi" w:cstheme="majorHAnsi"/>
        </w:rPr>
        <w:t>MoE</w:t>
      </w:r>
      <w:r w:rsidRPr="0060082A">
        <w:rPr>
          <w:rFonts w:asciiTheme="majorHAnsi" w:hAnsiTheme="majorHAnsi" w:cstheme="majorHAnsi"/>
        </w:rPr>
        <w:t xml:space="preserve"> and with DFAT is, to a large extent, the result of qualified and capable KEF staff who are </w:t>
      </w:r>
      <w:r w:rsidR="006E4E8B" w:rsidRPr="0060082A">
        <w:rPr>
          <w:rFonts w:asciiTheme="majorHAnsi" w:hAnsiTheme="majorHAnsi" w:cstheme="majorHAnsi"/>
        </w:rPr>
        <w:t xml:space="preserve">strong </w:t>
      </w:r>
      <w:r w:rsidRPr="0060082A">
        <w:rPr>
          <w:rFonts w:asciiTheme="majorHAnsi" w:hAnsiTheme="majorHAnsi" w:cstheme="majorHAnsi"/>
        </w:rPr>
        <w:t xml:space="preserve">communicators and understand and support the value of transparent, </w:t>
      </w:r>
      <w:r w:rsidR="00C603D3" w:rsidRPr="0060082A">
        <w:rPr>
          <w:rFonts w:asciiTheme="majorHAnsi" w:hAnsiTheme="majorHAnsi" w:cstheme="majorHAnsi"/>
        </w:rPr>
        <w:t>on-going</w:t>
      </w:r>
      <w:r w:rsidRPr="0060082A">
        <w:rPr>
          <w:rFonts w:asciiTheme="majorHAnsi" w:hAnsiTheme="majorHAnsi" w:cstheme="majorHAnsi"/>
        </w:rPr>
        <w:t xml:space="preserve"> communications. KEIP Phase </w:t>
      </w:r>
      <w:r w:rsidR="000A49FE">
        <w:rPr>
          <w:rFonts w:asciiTheme="majorHAnsi" w:hAnsiTheme="majorHAnsi" w:cstheme="majorHAnsi"/>
        </w:rPr>
        <w:t>2</w:t>
      </w:r>
      <w:r w:rsidRPr="0060082A">
        <w:rPr>
          <w:rFonts w:asciiTheme="majorHAnsi" w:hAnsiTheme="majorHAnsi" w:cstheme="majorHAnsi"/>
        </w:rPr>
        <w:t xml:space="preserve"> personnel working in Kiribati supported the </w:t>
      </w:r>
      <w:r w:rsidR="00B765AC" w:rsidRPr="0060082A">
        <w:rPr>
          <w:rFonts w:asciiTheme="majorHAnsi" w:hAnsiTheme="majorHAnsi" w:cstheme="majorHAnsi"/>
        </w:rPr>
        <w:t>MoE</w:t>
      </w:r>
      <w:r w:rsidRPr="0060082A">
        <w:rPr>
          <w:rFonts w:asciiTheme="majorHAnsi" w:hAnsiTheme="majorHAnsi" w:cstheme="majorHAnsi"/>
        </w:rPr>
        <w:t xml:space="preserve"> to address the ESSP goals and also to support </w:t>
      </w:r>
      <w:r w:rsidR="00B765AC" w:rsidRPr="0060082A">
        <w:rPr>
          <w:rFonts w:asciiTheme="majorHAnsi" w:hAnsiTheme="majorHAnsi" w:cstheme="majorHAnsi"/>
        </w:rPr>
        <w:t>MoE</w:t>
      </w:r>
      <w:r w:rsidRPr="0060082A">
        <w:rPr>
          <w:rFonts w:asciiTheme="majorHAnsi" w:hAnsiTheme="majorHAnsi" w:cstheme="majorHAnsi"/>
        </w:rPr>
        <w:t xml:space="preserve"> senior and school level staff through capacity development and modelling good practice. The </w:t>
      </w:r>
      <w:r w:rsidR="00C32532" w:rsidRPr="0060082A">
        <w:rPr>
          <w:rFonts w:asciiTheme="majorHAnsi" w:hAnsiTheme="majorHAnsi" w:cstheme="majorHAnsi"/>
        </w:rPr>
        <w:t>professional r</w:t>
      </w:r>
      <w:r w:rsidRPr="0060082A">
        <w:rPr>
          <w:rFonts w:asciiTheme="majorHAnsi" w:hAnsiTheme="majorHAnsi" w:cstheme="majorHAnsi"/>
        </w:rPr>
        <w:t xml:space="preserve">elationship between KEIP personnel and the </w:t>
      </w:r>
      <w:r w:rsidR="00B765AC" w:rsidRPr="0060082A">
        <w:rPr>
          <w:rFonts w:asciiTheme="majorHAnsi" w:hAnsiTheme="majorHAnsi" w:cstheme="majorHAnsi"/>
        </w:rPr>
        <w:t>MoE</w:t>
      </w:r>
      <w:r w:rsidRPr="0060082A">
        <w:rPr>
          <w:rFonts w:asciiTheme="majorHAnsi" w:hAnsiTheme="majorHAnsi" w:cstheme="majorHAnsi"/>
        </w:rPr>
        <w:t xml:space="preserve"> </w:t>
      </w:r>
      <w:r w:rsidR="00C32532" w:rsidRPr="0060082A">
        <w:rPr>
          <w:rFonts w:asciiTheme="majorHAnsi" w:hAnsiTheme="majorHAnsi" w:cstheme="majorHAnsi"/>
        </w:rPr>
        <w:t xml:space="preserve">has </w:t>
      </w:r>
      <w:r w:rsidRPr="0060082A">
        <w:rPr>
          <w:rFonts w:asciiTheme="majorHAnsi" w:hAnsiTheme="majorHAnsi" w:cstheme="majorHAnsi"/>
        </w:rPr>
        <w:t xml:space="preserve">evolved over time so that greater </w:t>
      </w:r>
      <w:r w:rsidR="00B765AC" w:rsidRPr="0060082A">
        <w:rPr>
          <w:rFonts w:asciiTheme="majorHAnsi" w:hAnsiTheme="majorHAnsi" w:cstheme="majorHAnsi"/>
        </w:rPr>
        <w:t>MoE</w:t>
      </w:r>
      <w:r w:rsidRPr="0060082A">
        <w:rPr>
          <w:rFonts w:asciiTheme="majorHAnsi" w:hAnsiTheme="majorHAnsi" w:cstheme="majorHAnsi"/>
        </w:rPr>
        <w:t xml:space="preserve"> internal capacity offered opportuniti</w:t>
      </w:r>
      <w:r w:rsidR="00843719" w:rsidRPr="0060082A">
        <w:rPr>
          <w:rFonts w:asciiTheme="majorHAnsi" w:hAnsiTheme="majorHAnsi" w:cstheme="majorHAnsi"/>
        </w:rPr>
        <w:t>es for change management and</w:t>
      </w:r>
      <w:r w:rsidRPr="0060082A">
        <w:rPr>
          <w:rFonts w:asciiTheme="majorHAnsi" w:hAnsiTheme="majorHAnsi" w:cstheme="majorHAnsi"/>
        </w:rPr>
        <w:t xml:space="preserve"> embedding change across basic education planning and delivery.</w:t>
      </w:r>
    </w:p>
    <w:p w14:paraId="36B4FA57" w14:textId="13C72E24" w:rsidR="005D4846" w:rsidRPr="0060082A" w:rsidRDefault="005D4846" w:rsidP="0060082A">
      <w:pPr>
        <w:rPr>
          <w:rFonts w:asciiTheme="majorHAnsi" w:hAnsiTheme="majorHAnsi" w:cstheme="majorHAnsi"/>
        </w:rPr>
      </w:pPr>
      <w:r w:rsidRPr="0060082A">
        <w:rPr>
          <w:rFonts w:asciiTheme="majorHAnsi" w:hAnsiTheme="majorHAnsi" w:cstheme="majorHAnsi"/>
        </w:rPr>
        <w:t xml:space="preserve">At the leadership level, KEIP Phase </w:t>
      </w:r>
      <w:r w:rsidR="000A49FE">
        <w:rPr>
          <w:rFonts w:asciiTheme="majorHAnsi" w:hAnsiTheme="majorHAnsi" w:cstheme="majorHAnsi"/>
        </w:rPr>
        <w:t>2</w:t>
      </w:r>
      <w:r w:rsidRPr="0060082A">
        <w:rPr>
          <w:rFonts w:asciiTheme="majorHAnsi" w:hAnsiTheme="majorHAnsi" w:cstheme="majorHAnsi"/>
        </w:rPr>
        <w:t xml:space="preserve"> support </w:t>
      </w:r>
      <w:r w:rsidR="00C32532" w:rsidRPr="0060082A">
        <w:rPr>
          <w:rFonts w:asciiTheme="majorHAnsi" w:hAnsiTheme="majorHAnsi" w:cstheme="majorHAnsi"/>
        </w:rPr>
        <w:t xml:space="preserve">grew </w:t>
      </w:r>
      <w:r w:rsidRPr="0060082A">
        <w:rPr>
          <w:rFonts w:asciiTheme="majorHAnsi" w:hAnsiTheme="majorHAnsi" w:cstheme="majorHAnsi"/>
        </w:rPr>
        <w:t xml:space="preserve">to match the absorptive capacity of </w:t>
      </w:r>
      <w:r w:rsidR="00B765AC" w:rsidRPr="0060082A">
        <w:rPr>
          <w:rFonts w:asciiTheme="majorHAnsi" w:hAnsiTheme="majorHAnsi" w:cstheme="majorHAnsi"/>
        </w:rPr>
        <w:t>MoE</w:t>
      </w:r>
      <w:r w:rsidRPr="0060082A">
        <w:rPr>
          <w:rFonts w:asciiTheme="majorHAnsi" w:hAnsiTheme="majorHAnsi" w:cstheme="majorHAnsi"/>
        </w:rPr>
        <w:t xml:space="preserve"> staff and systems. The personnel </w:t>
      </w:r>
      <w:r w:rsidR="006E4E8B" w:rsidRPr="0060082A">
        <w:rPr>
          <w:rFonts w:asciiTheme="majorHAnsi" w:hAnsiTheme="majorHAnsi" w:cstheme="majorHAnsi"/>
        </w:rPr>
        <w:t>engaged were</w:t>
      </w:r>
      <w:r w:rsidRPr="0060082A">
        <w:rPr>
          <w:rFonts w:asciiTheme="majorHAnsi" w:hAnsiTheme="majorHAnsi" w:cstheme="majorHAnsi"/>
        </w:rPr>
        <w:t xml:space="preserve"> experienced and adaptive, with the current Team Leader contracted to lead the transition into KEIP </w:t>
      </w:r>
      <w:r w:rsidR="00743616">
        <w:rPr>
          <w:rFonts w:asciiTheme="majorHAnsi" w:hAnsiTheme="majorHAnsi" w:cstheme="majorHAnsi"/>
        </w:rPr>
        <w:t>Phase 3</w:t>
      </w:r>
      <w:r w:rsidRPr="0060082A">
        <w:rPr>
          <w:rFonts w:asciiTheme="majorHAnsi" w:hAnsiTheme="majorHAnsi" w:cstheme="majorHAnsi"/>
        </w:rPr>
        <w:t xml:space="preserve">. </w:t>
      </w:r>
    </w:p>
    <w:p w14:paraId="57F4A58F" w14:textId="4BAA8F10" w:rsidR="005D4846" w:rsidRPr="0060082A" w:rsidRDefault="00BC4B6D" w:rsidP="0060082A">
      <w:pPr>
        <w:rPr>
          <w:rFonts w:asciiTheme="majorHAnsi" w:hAnsiTheme="majorHAnsi" w:cstheme="majorHAnsi"/>
        </w:rPr>
      </w:pPr>
      <w:r w:rsidRPr="0060082A">
        <w:rPr>
          <w:rFonts w:asciiTheme="majorHAnsi" w:hAnsiTheme="majorHAnsi" w:cstheme="majorHAnsi"/>
        </w:rPr>
        <w:t>T</w:t>
      </w:r>
      <w:r w:rsidR="005D4846" w:rsidRPr="0060082A">
        <w:rPr>
          <w:rFonts w:asciiTheme="majorHAnsi" w:hAnsiTheme="majorHAnsi" w:cstheme="majorHAnsi"/>
        </w:rPr>
        <w:t xml:space="preserve">hough the KEIP works </w:t>
      </w:r>
      <w:r w:rsidRPr="0060082A">
        <w:rPr>
          <w:rFonts w:asciiTheme="majorHAnsi" w:hAnsiTheme="majorHAnsi" w:cstheme="majorHAnsi"/>
        </w:rPr>
        <w:t xml:space="preserve">well </w:t>
      </w:r>
      <w:r w:rsidR="001413EF" w:rsidRPr="0060082A">
        <w:rPr>
          <w:rFonts w:asciiTheme="majorHAnsi" w:hAnsiTheme="majorHAnsi" w:cstheme="majorHAnsi"/>
        </w:rPr>
        <w:t xml:space="preserve">with </w:t>
      </w:r>
      <w:r w:rsidR="00B765AC" w:rsidRPr="0060082A">
        <w:rPr>
          <w:rFonts w:asciiTheme="majorHAnsi" w:hAnsiTheme="majorHAnsi" w:cstheme="majorHAnsi"/>
        </w:rPr>
        <w:t>MoE</w:t>
      </w:r>
      <w:r w:rsidR="005D4846" w:rsidRPr="0060082A">
        <w:rPr>
          <w:rFonts w:asciiTheme="majorHAnsi" w:hAnsiTheme="majorHAnsi" w:cstheme="majorHAnsi"/>
        </w:rPr>
        <w:t xml:space="preserve"> and DFAT to make improvement to basic education and create options, Kiribati remains an isolated</w:t>
      </w:r>
      <w:r w:rsidR="001413EF" w:rsidRPr="0060082A">
        <w:rPr>
          <w:rFonts w:asciiTheme="majorHAnsi" w:hAnsiTheme="majorHAnsi" w:cstheme="majorHAnsi"/>
        </w:rPr>
        <w:t xml:space="preserve">, </w:t>
      </w:r>
      <w:r w:rsidR="005D4846" w:rsidRPr="0060082A">
        <w:rPr>
          <w:rFonts w:asciiTheme="majorHAnsi" w:hAnsiTheme="majorHAnsi" w:cstheme="majorHAnsi"/>
        </w:rPr>
        <w:t>complex work environment. Attracting and holding quality staff is a challenge due to perceptions of Kiribati, the relative isolation</w:t>
      </w:r>
      <w:r w:rsidR="00C32532" w:rsidRPr="0060082A">
        <w:rPr>
          <w:rFonts w:asciiTheme="majorHAnsi" w:hAnsiTheme="majorHAnsi" w:cstheme="majorHAnsi"/>
        </w:rPr>
        <w:t>,</w:t>
      </w:r>
      <w:r w:rsidR="005D4846" w:rsidRPr="0060082A">
        <w:rPr>
          <w:rFonts w:asciiTheme="majorHAnsi" w:hAnsiTheme="majorHAnsi" w:cstheme="majorHAnsi"/>
        </w:rPr>
        <w:t xml:space="preserve"> and the limited options for accommodation, professional </w:t>
      </w:r>
      <w:r w:rsidR="00863136" w:rsidRPr="0060082A">
        <w:rPr>
          <w:rFonts w:asciiTheme="majorHAnsi" w:hAnsiTheme="majorHAnsi" w:cstheme="majorHAnsi"/>
        </w:rPr>
        <w:t xml:space="preserve">development </w:t>
      </w:r>
      <w:r w:rsidR="005D4846" w:rsidRPr="0060082A">
        <w:rPr>
          <w:rFonts w:asciiTheme="majorHAnsi" w:hAnsiTheme="majorHAnsi" w:cstheme="majorHAnsi"/>
        </w:rPr>
        <w:t>activities</w:t>
      </w:r>
      <w:r w:rsidR="00863136" w:rsidRPr="0060082A">
        <w:rPr>
          <w:rFonts w:asciiTheme="majorHAnsi" w:hAnsiTheme="majorHAnsi" w:cstheme="majorHAnsi"/>
        </w:rPr>
        <w:t>, recreational pursuits</w:t>
      </w:r>
      <w:r w:rsidR="005D4846" w:rsidRPr="0060082A">
        <w:rPr>
          <w:rFonts w:asciiTheme="majorHAnsi" w:hAnsiTheme="majorHAnsi" w:cstheme="majorHAnsi"/>
        </w:rPr>
        <w:t xml:space="preserve"> and </w:t>
      </w:r>
      <w:r w:rsidR="001413EF" w:rsidRPr="0060082A">
        <w:rPr>
          <w:rFonts w:asciiTheme="majorHAnsi" w:hAnsiTheme="majorHAnsi" w:cstheme="majorHAnsi"/>
        </w:rPr>
        <w:t xml:space="preserve">the </w:t>
      </w:r>
      <w:r w:rsidR="005D4846" w:rsidRPr="0060082A">
        <w:rPr>
          <w:rFonts w:asciiTheme="majorHAnsi" w:hAnsiTheme="majorHAnsi" w:cstheme="majorHAnsi"/>
        </w:rPr>
        <w:t>poor communications.</w:t>
      </w:r>
    </w:p>
    <w:p w14:paraId="5F804380" w14:textId="3E5AA1DE" w:rsidR="005D4846" w:rsidRPr="0060082A" w:rsidRDefault="005D4846" w:rsidP="0060082A">
      <w:pPr>
        <w:rPr>
          <w:rFonts w:asciiTheme="majorHAnsi" w:hAnsiTheme="majorHAnsi" w:cstheme="majorHAnsi"/>
        </w:rPr>
      </w:pPr>
      <w:r w:rsidRPr="0060082A">
        <w:rPr>
          <w:rFonts w:asciiTheme="majorHAnsi" w:hAnsiTheme="majorHAnsi" w:cstheme="majorHAnsi"/>
        </w:rPr>
        <w:t>The team in Kiribati has been supported by the M</w:t>
      </w:r>
      <w:r w:rsidR="004F0E14" w:rsidRPr="0060082A">
        <w:rPr>
          <w:rFonts w:asciiTheme="majorHAnsi" w:hAnsiTheme="majorHAnsi" w:cstheme="majorHAnsi"/>
        </w:rPr>
        <w:t>C</w:t>
      </w:r>
      <w:r w:rsidRPr="0060082A">
        <w:rPr>
          <w:rFonts w:asciiTheme="majorHAnsi" w:hAnsiTheme="majorHAnsi" w:cstheme="majorHAnsi"/>
        </w:rPr>
        <w:t>, involving the contractor representative, a project manager, as well as expertise to support</w:t>
      </w:r>
      <w:r w:rsidR="00BC4B6D" w:rsidRPr="0060082A">
        <w:rPr>
          <w:rFonts w:asciiTheme="majorHAnsi" w:hAnsiTheme="majorHAnsi" w:cstheme="majorHAnsi"/>
        </w:rPr>
        <w:t xml:space="preserve"> Facility</w:t>
      </w:r>
      <w:r w:rsidRPr="0060082A">
        <w:rPr>
          <w:rFonts w:asciiTheme="majorHAnsi" w:hAnsiTheme="majorHAnsi" w:cstheme="majorHAnsi"/>
        </w:rPr>
        <w:t xml:space="preserve"> finance, communications, </w:t>
      </w:r>
      <w:r w:rsidR="006E4E8B" w:rsidRPr="0060082A">
        <w:rPr>
          <w:rFonts w:asciiTheme="majorHAnsi" w:hAnsiTheme="majorHAnsi" w:cstheme="majorHAnsi"/>
        </w:rPr>
        <w:t xml:space="preserve">human resources (HR) </w:t>
      </w:r>
      <w:r w:rsidRPr="0060082A">
        <w:rPr>
          <w:rFonts w:asciiTheme="majorHAnsi" w:hAnsiTheme="majorHAnsi" w:cstheme="majorHAnsi"/>
        </w:rPr>
        <w:t>and reporting. A continual process of review and quality</w:t>
      </w:r>
      <w:r w:rsidR="001413EF" w:rsidRPr="0060082A">
        <w:rPr>
          <w:rFonts w:asciiTheme="majorHAnsi" w:hAnsiTheme="majorHAnsi" w:cstheme="majorHAnsi"/>
        </w:rPr>
        <w:t xml:space="preserve"> control is undertaken, so </w:t>
      </w:r>
      <w:r w:rsidRPr="0060082A">
        <w:rPr>
          <w:rFonts w:asciiTheme="majorHAnsi" w:hAnsiTheme="majorHAnsi" w:cstheme="majorHAnsi"/>
        </w:rPr>
        <w:t xml:space="preserve">the quality and appropriateness of </w:t>
      </w:r>
      <w:r w:rsidR="001413EF" w:rsidRPr="0060082A">
        <w:rPr>
          <w:rFonts w:asciiTheme="majorHAnsi" w:hAnsiTheme="majorHAnsi" w:cstheme="majorHAnsi"/>
        </w:rPr>
        <w:t xml:space="preserve">inputs </w:t>
      </w:r>
      <w:r w:rsidRPr="0060082A">
        <w:rPr>
          <w:rFonts w:asciiTheme="majorHAnsi" w:hAnsiTheme="majorHAnsi" w:cstheme="majorHAnsi"/>
        </w:rPr>
        <w:t xml:space="preserve">remain aligned to KEIP and </w:t>
      </w:r>
      <w:r w:rsidR="00B765AC" w:rsidRPr="0060082A">
        <w:rPr>
          <w:rFonts w:asciiTheme="majorHAnsi" w:hAnsiTheme="majorHAnsi" w:cstheme="majorHAnsi"/>
        </w:rPr>
        <w:t>MoE</w:t>
      </w:r>
      <w:r w:rsidRPr="0060082A">
        <w:rPr>
          <w:rFonts w:asciiTheme="majorHAnsi" w:hAnsiTheme="majorHAnsi" w:cstheme="majorHAnsi"/>
        </w:rPr>
        <w:t xml:space="preserve"> priorities. </w:t>
      </w:r>
    </w:p>
    <w:p w14:paraId="56AA7C8F" w14:textId="26528EC1" w:rsidR="005D4846" w:rsidRPr="0060082A" w:rsidRDefault="005D4846" w:rsidP="0060082A">
      <w:pPr>
        <w:rPr>
          <w:rFonts w:asciiTheme="majorHAnsi" w:hAnsiTheme="majorHAnsi" w:cstheme="majorHAnsi"/>
        </w:rPr>
      </w:pPr>
      <w:r w:rsidRPr="0060082A">
        <w:rPr>
          <w:rFonts w:asciiTheme="majorHAnsi" w:hAnsiTheme="majorHAnsi" w:cstheme="majorHAnsi"/>
        </w:rPr>
        <w:t>On occasions when Technical Advis</w:t>
      </w:r>
      <w:r w:rsidR="004F0E14" w:rsidRPr="0060082A">
        <w:rPr>
          <w:rFonts w:asciiTheme="majorHAnsi" w:hAnsiTheme="majorHAnsi" w:cstheme="majorHAnsi"/>
        </w:rPr>
        <w:t>e</w:t>
      </w:r>
      <w:r w:rsidRPr="0060082A">
        <w:rPr>
          <w:rFonts w:asciiTheme="majorHAnsi" w:hAnsiTheme="majorHAnsi" w:cstheme="majorHAnsi"/>
        </w:rPr>
        <w:t>rs</w:t>
      </w:r>
      <w:r w:rsidR="007236F0" w:rsidRPr="0060082A">
        <w:rPr>
          <w:rFonts w:asciiTheme="majorHAnsi" w:hAnsiTheme="majorHAnsi" w:cstheme="majorHAnsi"/>
        </w:rPr>
        <w:t xml:space="preserve"> (TA)</w:t>
      </w:r>
      <w:r w:rsidRPr="0060082A">
        <w:rPr>
          <w:rFonts w:asciiTheme="majorHAnsi" w:hAnsiTheme="majorHAnsi" w:cstheme="majorHAnsi"/>
        </w:rPr>
        <w:t xml:space="preserve"> have left the KEIP program, replacements were recruited through the managing contractor HR. </w:t>
      </w:r>
    </w:p>
    <w:p w14:paraId="65796BD7" w14:textId="483B47F2" w:rsidR="00B07F6D" w:rsidRPr="00C918BF" w:rsidRDefault="00B07F6D" w:rsidP="00D02244">
      <w:pPr>
        <w:pStyle w:val="Heading2"/>
        <w:rPr>
          <w:color w:val="auto"/>
        </w:rPr>
      </w:pPr>
      <w:bookmarkStart w:id="26" w:name="_Toc453669676"/>
      <w:bookmarkStart w:id="27" w:name="_Toc461615679"/>
      <w:r w:rsidRPr="00C918BF">
        <w:rPr>
          <w:color w:val="auto"/>
        </w:rPr>
        <w:t xml:space="preserve">1.2 </w:t>
      </w:r>
      <w:r w:rsidRPr="00C918BF">
        <w:rPr>
          <w:color w:val="auto"/>
        </w:rPr>
        <w:tab/>
        <w:t xml:space="preserve">Structure of the KEIP Phase </w:t>
      </w:r>
      <w:r w:rsidR="000A49FE">
        <w:rPr>
          <w:color w:val="auto"/>
        </w:rPr>
        <w:t>2</w:t>
      </w:r>
      <w:r w:rsidRPr="00C918BF">
        <w:rPr>
          <w:color w:val="auto"/>
        </w:rPr>
        <w:t xml:space="preserve"> Completion Report</w:t>
      </w:r>
      <w:bookmarkEnd w:id="26"/>
      <w:bookmarkEnd w:id="27"/>
    </w:p>
    <w:p w14:paraId="7E2AF48A" w14:textId="2543F3D8" w:rsidR="005D4846" w:rsidRPr="0060082A" w:rsidRDefault="005D4846" w:rsidP="0060082A">
      <w:pPr>
        <w:rPr>
          <w:rFonts w:asciiTheme="majorHAnsi" w:hAnsiTheme="majorHAnsi" w:cstheme="majorHAnsi"/>
        </w:rPr>
      </w:pPr>
      <w:r w:rsidRPr="0060082A">
        <w:rPr>
          <w:rFonts w:asciiTheme="majorHAnsi" w:hAnsiTheme="majorHAnsi" w:cstheme="majorHAnsi"/>
        </w:rPr>
        <w:t xml:space="preserve">This document is the Completion Report for the </w:t>
      </w:r>
      <w:r w:rsidR="00502C97" w:rsidRPr="0060082A">
        <w:rPr>
          <w:rFonts w:asciiTheme="majorHAnsi" w:hAnsiTheme="majorHAnsi" w:cstheme="majorHAnsi"/>
        </w:rPr>
        <w:t>DFAT-</w:t>
      </w:r>
      <w:r w:rsidRPr="0060082A">
        <w:rPr>
          <w:rFonts w:asciiTheme="majorHAnsi" w:hAnsiTheme="majorHAnsi" w:cstheme="majorHAnsi"/>
        </w:rPr>
        <w:t xml:space="preserve">funded Kiribati Education Improvement Program Phase </w:t>
      </w:r>
      <w:r w:rsidR="000A49FE">
        <w:rPr>
          <w:rFonts w:asciiTheme="majorHAnsi" w:hAnsiTheme="majorHAnsi" w:cstheme="majorHAnsi"/>
        </w:rPr>
        <w:t>2</w:t>
      </w:r>
      <w:r w:rsidRPr="0060082A">
        <w:rPr>
          <w:rFonts w:asciiTheme="majorHAnsi" w:hAnsiTheme="majorHAnsi" w:cstheme="majorHAnsi"/>
        </w:rPr>
        <w:t xml:space="preserve">. </w:t>
      </w:r>
    </w:p>
    <w:p w14:paraId="50F43F61" w14:textId="77777777" w:rsidR="005D4846" w:rsidRPr="0060082A" w:rsidRDefault="005D4846" w:rsidP="00820811">
      <w:pPr>
        <w:tabs>
          <w:tab w:val="left" w:pos="1276"/>
        </w:tabs>
        <w:spacing w:after="100"/>
        <w:ind w:left="1275" w:hanging="1275"/>
        <w:rPr>
          <w:rFonts w:asciiTheme="majorHAnsi" w:hAnsiTheme="majorHAnsi" w:cstheme="majorHAnsi"/>
          <w:b/>
        </w:rPr>
      </w:pPr>
      <w:r w:rsidRPr="0060082A">
        <w:rPr>
          <w:rFonts w:asciiTheme="majorHAnsi" w:hAnsiTheme="majorHAnsi" w:cstheme="majorHAnsi"/>
          <w:b/>
        </w:rPr>
        <w:t xml:space="preserve">Section 1 </w:t>
      </w:r>
      <w:r w:rsidR="00BC026E" w:rsidRPr="0060082A">
        <w:rPr>
          <w:rFonts w:asciiTheme="majorHAnsi" w:hAnsiTheme="majorHAnsi" w:cstheme="majorHAnsi"/>
          <w:b/>
        </w:rPr>
        <w:tab/>
      </w:r>
      <w:r w:rsidRPr="0060082A">
        <w:rPr>
          <w:rFonts w:asciiTheme="majorHAnsi" w:hAnsiTheme="majorHAnsi" w:cstheme="majorHAnsi"/>
        </w:rPr>
        <w:t xml:space="preserve">provides the background to the KEIP and the basis for its design, supporting the </w:t>
      </w:r>
      <w:r w:rsidR="00B765AC" w:rsidRPr="0060082A">
        <w:rPr>
          <w:rFonts w:asciiTheme="majorHAnsi" w:hAnsiTheme="majorHAnsi" w:cstheme="majorHAnsi"/>
        </w:rPr>
        <w:t>MoE</w:t>
      </w:r>
      <w:r w:rsidRPr="0060082A">
        <w:rPr>
          <w:rFonts w:asciiTheme="majorHAnsi" w:hAnsiTheme="majorHAnsi" w:cstheme="majorHAnsi"/>
        </w:rPr>
        <w:t xml:space="preserve"> and the ESSP through activities and funding that contributes to improved basic education.</w:t>
      </w:r>
    </w:p>
    <w:p w14:paraId="45303FC9" w14:textId="066FF155" w:rsidR="005D4846" w:rsidRPr="0060082A" w:rsidRDefault="005D4846" w:rsidP="00820811">
      <w:pPr>
        <w:tabs>
          <w:tab w:val="left" w:pos="1276"/>
        </w:tabs>
        <w:spacing w:after="100"/>
        <w:ind w:left="1275" w:hanging="1275"/>
        <w:rPr>
          <w:rFonts w:asciiTheme="majorHAnsi" w:hAnsiTheme="majorHAnsi" w:cstheme="majorHAnsi"/>
          <w:b/>
        </w:rPr>
      </w:pPr>
      <w:r w:rsidRPr="0060082A">
        <w:rPr>
          <w:rFonts w:asciiTheme="majorHAnsi" w:hAnsiTheme="majorHAnsi" w:cstheme="majorHAnsi"/>
          <w:b/>
        </w:rPr>
        <w:t xml:space="preserve">Section 2 </w:t>
      </w:r>
      <w:r w:rsidR="00BC026E" w:rsidRPr="0060082A">
        <w:rPr>
          <w:rFonts w:asciiTheme="majorHAnsi" w:hAnsiTheme="majorHAnsi" w:cstheme="majorHAnsi"/>
          <w:b/>
        </w:rPr>
        <w:tab/>
      </w:r>
      <w:r w:rsidRPr="0060082A">
        <w:rPr>
          <w:rFonts w:asciiTheme="majorHAnsi" w:hAnsiTheme="majorHAnsi" w:cstheme="majorHAnsi"/>
        </w:rPr>
        <w:t xml:space="preserve">details key results and activities from </w:t>
      </w:r>
      <w:r w:rsidR="003F0BFC" w:rsidRPr="0060082A">
        <w:rPr>
          <w:rFonts w:asciiTheme="majorHAnsi" w:hAnsiTheme="majorHAnsi" w:cstheme="majorHAnsi"/>
        </w:rPr>
        <w:t>March 2013</w:t>
      </w:r>
      <w:r w:rsidRPr="0060082A">
        <w:rPr>
          <w:rFonts w:asciiTheme="majorHAnsi" w:hAnsiTheme="majorHAnsi" w:cstheme="majorHAnsi"/>
        </w:rPr>
        <w:t xml:space="preserve"> to </w:t>
      </w:r>
      <w:r w:rsidR="003F0BFC" w:rsidRPr="0060082A">
        <w:rPr>
          <w:rFonts w:asciiTheme="majorHAnsi" w:hAnsiTheme="majorHAnsi" w:cstheme="majorHAnsi"/>
        </w:rPr>
        <w:t>March</w:t>
      </w:r>
      <w:r w:rsidR="001413EF" w:rsidRPr="0060082A">
        <w:rPr>
          <w:rFonts w:asciiTheme="majorHAnsi" w:hAnsiTheme="majorHAnsi" w:cstheme="majorHAnsi"/>
        </w:rPr>
        <w:t xml:space="preserve"> 2016. It includes </w:t>
      </w:r>
      <w:r w:rsidRPr="0060082A">
        <w:rPr>
          <w:rFonts w:asciiTheme="majorHAnsi" w:hAnsiTheme="majorHAnsi" w:cstheme="majorHAnsi"/>
        </w:rPr>
        <w:t xml:space="preserve">factors that have influenced effectiveness, impact and sustainability of the investment. Where relevant, </w:t>
      </w:r>
      <w:r w:rsidR="003F0BFC" w:rsidRPr="0060082A">
        <w:rPr>
          <w:rFonts w:asciiTheme="majorHAnsi" w:hAnsiTheme="majorHAnsi" w:cstheme="majorHAnsi"/>
        </w:rPr>
        <w:t xml:space="preserve">reference to KEIP Phase I activities and </w:t>
      </w:r>
      <w:r w:rsidRPr="0060082A">
        <w:rPr>
          <w:rFonts w:asciiTheme="majorHAnsi" w:hAnsiTheme="majorHAnsi" w:cstheme="majorHAnsi"/>
        </w:rPr>
        <w:t xml:space="preserve">key considerations for the KEIP </w:t>
      </w:r>
      <w:r w:rsidR="00743616">
        <w:rPr>
          <w:rFonts w:asciiTheme="majorHAnsi" w:hAnsiTheme="majorHAnsi" w:cstheme="majorHAnsi"/>
        </w:rPr>
        <w:t>Phase 3</w:t>
      </w:r>
      <w:r w:rsidRPr="0060082A">
        <w:rPr>
          <w:rFonts w:asciiTheme="majorHAnsi" w:hAnsiTheme="majorHAnsi" w:cstheme="majorHAnsi"/>
        </w:rPr>
        <w:t xml:space="preserve"> of the investment </w:t>
      </w:r>
      <w:r w:rsidR="001413EF" w:rsidRPr="0060082A">
        <w:rPr>
          <w:rFonts w:asciiTheme="majorHAnsi" w:hAnsiTheme="majorHAnsi" w:cstheme="majorHAnsi"/>
        </w:rPr>
        <w:t xml:space="preserve">are </w:t>
      </w:r>
      <w:r w:rsidRPr="0060082A">
        <w:rPr>
          <w:rFonts w:asciiTheme="majorHAnsi" w:hAnsiTheme="majorHAnsi" w:cstheme="majorHAnsi"/>
        </w:rPr>
        <w:t>included.</w:t>
      </w:r>
      <w:r w:rsidRPr="0060082A">
        <w:rPr>
          <w:rFonts w:asciiTheme="majorHAnsi" w:hAnsiTheme="majorHAnsi" w:cstheme="majorHAnsi"/>
          <w:b/>
        </w:rPr>
        <w:t xml:space="preserve"> </w:t>
      </w:r>
    </w:p>
    <w:p w14:paraId="670BC9CC" w14:textId="77777777" w:rsidR="005D4846" w:rsidRPr="0060082A" w:rsidRDefault="005D4846" w:rsidP="00820811">
      <w:pPr>
        <w:tabs>
          <w:tab w:val="left" w:pos="1276"/>
        </w:tabs>
        <w:spacing w:after="100"/>
        <w:ind w:left="1275" w:hanging="1275"/>
        <w:rPr>
          <w:rFonts w:asciiTheme="majorHAnsi" w:hAnsiTheme="majorHAnsi" w:cstheme="majorHAnsi"/>
          <w:b/>
        </w:rPr>
      </w:pPr>
      <w:r w:rsidRPr="0060082A">
        <w:rPr>
          <w:rFonts w:asciiTheme="majorHAnsi" w:hAnsiTheme="majorHAnsi" w:cstheme="majorHAnsi"/>
          <w:b/>
        </w:rPr>
        <w:t xml:space="preserve">Section 3 </w:t>
      </w:r>
      <w:r w:rsidR="00BC026E" w:rsidRPr="0060082A">
        <w:rPr>
          <w:rFonts w:asciiTheme="majorHAnsi" w:hAnsiTheme="majorHAnsi" w:cstheme="majorHAnsi"/>
          <w:b/>
        </w:rPr>
        <w:tab/>
      </w:r>
      <w:r w:rsidRPr="0060082A">
        <w:rPr>
          <w:rFonts w:asciiTheme="majorHAnsi" w:hAnsiTheme="majorHAnsi" w:cstheme="majorHAnsi"/>
        </w:rPr>
        <w:t xml:space="preserve">outlines the use of financial and human resources in support of </w:t>
      </w:r>
      <w:r w:rsidR="00B765AC" w:rsidRPr="0060082A">
        <w:rPr>
          <w:rFonts w:asciiTheme="majorHAnsi" w:hAnsiTheme="majorHAnsi" w:cstheme="majorHAnsi"/>
        </w:rPr>
        <w:t>MoE</w:t>
      </w:r>
      <w:r w:rsidRPr="0060082A">
        <w:rPr>
          <w:rFonts w:asciiTheme="majorHAnsi" w:hAnsiTheme="majorHAnsi" w:cstheme="majorHAnsi"/>
        </w:rPr>
        <w:t xml:space="preserve"> delivering a quality basic education.</w:t>
      </w:r>
    </w:p>
    <w:p w14:paraId="4A4997C3" w14:textId="5F57B4E8" w:rsidR="005D4846" w:rsidRPr="0060082A" w:rsidRDefault="005D4846" w:rsidP="00820811">
      <w:pPr>
        <w:tabs>
          <w:tab w:val="left" w:pos="1276"/>
        </w:tabs>
        <w:spacing w:after="100"/>
        <w:ind w:left="1275" w:hanging="1275"/>
        <w:rPr>
          <w:rFonts w:asciiTheme="majorHAnsi" w:hAnsiTheme="majorHAnsi" w:cstheme="majorHAnsi"/>
          <w:b/>
        </w:rPr>
      </w:pPr>
      <w:r w:rsidRPr="0060082A">
        <w:rPr>
          <w:rFonts w:asciiTheme="majorHAnsi" w:hAnsiTheme="majorHAnsi" w:cstheme="majorHAnsi"/>
          <w:b/>
        </w:rPr>
        <w:t xml:space="preserve">Section 4 </w:t>
      </w:r>
      <w:r w:rsidR="00BC026E" w:rsidRPr="0060082A">
        <w:rPr>
          <w:rFonts w:asciiTheme="majorHAnsi" w:hAnsiTheme="majorHAnsi" w:cstheme="majorHAnsi"/>
          <w:b/>
        </w:rPr>
        <w:tab/>
      </w:r>
      <w:r w:rsidRPr="0060082A">
        <w:rPr>
          <w:rFonts w:asciiTheme="majorHAnsi" w:hAnsiTheme="majorHAnsi" w:cstheme="majorHAnsi"/>
        </w:rPr>
        <w:t>provides information o</w:t>
      </w:r>
      <w:r w:rsidR="001413EF" w:rsidRPr="0060082A">
        <w:rPr>
          <w:rFonts w:asciiTheme="majorHAnsi" w:hAnsiTheme="majorHAnsi" w:cstheme="majorHAnsi"/>
        </w:rPr>
        <w:t xml:space="preserve">n progress that the investment </w:t>
      </w:r>
      <w:r w:rsidRPr="0060082A">
        <w:rPr>
          <w:rFonts w:asciiTheme="majorHAnsi" w:hAnsiTheme="majorHAnsi" w:cstheme="majorHAnsi"/>
        </w:rPr>
        <w:t xml:space="preserve">made towards improving gender equality </w:t>
      </w:r>
      <w:r w:rsidR="003F0BFC" w:rsidRPr="0060082A">
        <w:rPr>
          <w:rFonts w:asciiTheme="majorHAnsi" w:hAnsiTheme="majorHAnsi" w:cstheme="majorHAnsi"/>
        </w:rPr>
        <w:t xml:space="preserve">and social inclusion </w:t>
      </w:r>
      <w:r w:rsidRPr="0060082A">
        <w:rPr>
          <w:rFonts w:asciiTheme="majorHAnsi" w:hAnsiTheme="majorHAnsi" w:cstheme="majorHAnsi"/>
        </w:rPr>
        <w:t xml:space="preserve">across </w:t>
      </w:r>
      <w:r w:rsidR="00724E23" w:rsidRPr="0060082A">
        <w:rPr>
          <w:rFonts w:asciiTheme="majorHAnsi" w:hAnsiTheme="majorHAnsi" w:cstheme="majorHAnsi"/>
        </w:rPr>
        <w:t xml:space="preserve">basic </w:t>
      </w:r>
      <w:r w:rsidRPr="0060082A">
        <w:rPr>
          <w:rFonts w:asciiTheme="majorHAnsi" w:hAnsiTheme="majorHAnsi" w:cstheme="majorHAnsi"/>
        </w:rPr>
        <w:t>education.</w:t>
      </w:r>
      <w:r w:rsidRPr="0060082A">
        <w:rPr>
          <w:rFonts w:asciiTheme="majorHAnsi" w:hAnsiTheme="majorHAnsi" w:cstheme="majorHAnsi"/>
          <w:b/>
        </w:rPr>
        <w:t xml:space="preserve"> </w:t>
      </w:r>
    </w:p>
    <w:p w14:paraId="044FE8F6" w14:textId="79355B85" w:rsidR="005D4846" w:rsidRPr="0060082A" w:rsidRDefault="005D4846" w:rsidP="00820811">
      <w:pPr>
        <w:tabs>
          <w:tab w:val="left" w:pos="1276"/>
        </w:tabs>
        <w:spacing w:after="100"/>
        <w:ind w:left="1275" w:hanging="1275"/>
        <w:rPr>
          <w:rFonts w:asciiTheme="majorHAnsi" w:hAnsiTheme="majorHAnsi" w:cstheme="majorHAnsi"/>
          <w:b/>
        </w:rPr>
      </w:pPr>
      <w:r w:rsidRPr="0060082A">
        <w:rPr>
          <w:rFonts w:asciiTheme="majorHAnsi" w:hAnsiTheme="majorHAnsi" w:cstheme="majorHAnsi"/>
          <w:b/>
        </w:rPr>
        <w:t xml:space="preserve">Section 5 </w:t>
      </w:r>
      <w:r w:rsidR="00BC026E" w:rsidRPr="0060082A">
        <w:rPr>
          <w:rFonts w:asciiTheme="majorHAnsi" w:hAnsiTheme="majorHAnsi" w:cstheme="majorHAnsi"/>
          <w:b/>
        </w:rPr>
        <w:tab/>
      </w:r>
      <w:r w:rsidRPr="0060082A">
        <w:rPr>
          <w:rFonts w:asciiTheme="majorHAnsi" w:hAnsiTheme="majorHAnsi" w:cstheme="majorHAnsi"/>
        </w:rPr>
        <w:t>details where KEIP has been able to successfully provide innovative</w:t>
      </w:r>
      <w:r w:rsidR="001413EF" w:rsidRPr="0060082A">
        <w:rPr>
          <w:rFonts w:asciiTheme="majorHAnsi" w:hAnsiTheme="majorHAnsi" w:cstheme="majorHAnsi"/>
        </w:rPr>
        <w:t>, sustainable</w:t>
      </w:r>
      <w:r w:rsidRPr="0060082A">
        <w:rPr>
          <w:rFonts w:asciiTheme="majorHAnsi" w:hAnsiTheme="majorHAnsi" w:cstheme="majorHAnsi"/>
        </w:rPr>
        <w:t xml:space="preserve"> solutions that </w:t>
      </w:r>
      <w:r w:rsidR="00724E23" w:rsidRPr="0060082A">
        <w:rPr>
          <w:rFonts w:asciiTheme="majorHAnsi" w:hAnsiTheme="majorHAnsi" w:cstheme="majorHAnsi"/>
        </w:rPr>
        <w:t xml:space="preserve">have </w:t>
      </w:r>
      <w:r w:rsidR="003F0BFC" w:rsidRPr="0060082A">
        <w:rPr>
          <w:rFonts w:asciiTheme="majorHAnsi" w:hAnsiTheme="majorHAnsi" w:cstheme="majorHAnsi"/>
        </w:rPr>
        <w:t xml:space="preserve">generated </w:t>
      </w:r>
      <w:r w:rsidR="00724E23" w:rsidRPr="0060082A">
        <w:rPr>
          <w:rFonts w:asciiTheme="majorHAnsi" w:hAnsiTheme="majorHAnsi" w:cstheme="majorHAnsi"/>
        </w:rPr>
        <w:t xml:space="preserve">positive </w:t>
      </w:r>
      <w:r w:rsidRPr="0060082A">
        <w:rPr>
          <w:rFonts w:asciiTheme="majorHAnsi" w:hAnsiTheme="majorHAnsi" w:cstheme="majorHAnsi"/>
        </w:rPr>
        <w:t>impact. Through fostering public and private sector collaboration KEIP played a role in assisting innovation and the development of local opportunities.</w:t>
      </w:r>
    </w:p>
    <w:p w14:paraId="08A8E609" w14:textId="68B1013A" w:rsidR="005D4846" w:rsidRPr="0060082A" w:rsidRDefault="005D4846" w:rsidP="00820811">
      <w:pPr>
        <w:tabs>
          <w:tab w:val="left" w:pos="1276"/>
        </w:tabs>
        <w:spacing w:after="100"/>
        <w:ind w:left="1275" w:hanging="1275"/>
        <w:rPr>
          <w:rFonts w:asciiTheme="majorHAnsi" w:hAnsiTheme="majorHAnsi" w:cstheme="majorHAnsi"/>
          <w:b/>
        </w:rPr>
      </w:pPr>
      <w:r w:rsidRPr="0060082A">
        <w:rPr>
          <w:rFonts w:asciiTheme="majorHAnsi" w:hAnsiTheme="majorHAnsi" w:cstheme="majorHAnsi"/>
          <w:b/>
        </w:rPr>
        <w:lastRenderedPageBreak/>
        <w:t xml:space="preserve">Section 6 </w:t>
      </w:r>
      <w:r w:rsidR="00BC026E" w:rsidRPr="0060082A">
        <w:rPr>
          <w:rFonts w:asciiTheme="majorHAnsi" w:hAnsiTheme="majorHAnsi" w:cstheme="majorHAnsi"/>
          <w:b/>
        </w:rPr>
        <w:tab/>
      </w:r>
      <w:r w:rsidRPr="0060082A">
        <w:rPr>
          <w:rFonts w:asciiTheme="majorHAnsi" w:hAnsiTheme="majorHAnsi" w:cstheme="majorHAnsi"/>
        </w:rPr>
        <w:t xml:space="preserve">discusses the implementation and effectiveness of risk management and safeguards applied over the life of </w:t>
      </w:r>
      <w:r w:rsidR="00724E23" w:rsidRPr="0060082A">
        <w:rPr>
          <w:rFonts w:asciiTheme="majorHAnsi" w:hAnsiTheme="majorHAnsi" w:cstheme="majorHAnsi"/>
        </w:rPr>
        <w:t xml:space="preserve">KEIP </w:t>
      </w:r>
      <w:r w:rsidRPr="0060082A">
        <w:rPr>
          <w:rFonts w:asciiTheme="majorHAnsi" w:hAnsiTheme="majorHAnsi" w:cstheme="majorHAnsi"/>
        </w:rPr>
        <w:t xml:space="preserve">Phase </w:t>
      </w:r>
      <w:r w:rsidR="000A49FE">
        <w:rPr>
          <w:rFonts w:asciiTheme="majorHAnsi" w:hAnsiTheme="majorHAnsi" w:cstheme="majorHAnsi"/>
        </w:rPr>
        <w:t>2</w:t>
      </w:r>
      <w:r w:rsidRPr="0060082A">
        <w:rPr>
          <w:rFonts w:asciiTheme="majorHAnsi" w:hAnsiTheme="majorHAnsi" w:cstheme="majorHAnsi"/>
        </w:rPr>
        <w:t>.</w:t>
      </w:r>
      <w:r w:rsidRPr="0060082A">
        <w:rPr>
          <w:rFonts w:asciiTheme="majorHAnsi" w:hAnsiTheme="majorHAnsi" w:cstheme="majorHAnsi"/>
          <w:b/>
        </w:rPr>
        <w:t xml:space="preserve"> </w:t>
      </w:r>
    </w:p>
    <w:p w14:paraId="528D9161" w14:textId="403AB18A" w:rsidR="005D4846" w:rsidRPr="0060082A" w:rsidRDefault="005D4846" w:rsidP="00820811">
      <w:pPr>
        <w:tabs>
          <w:tab w:val="left" w:pos="1276"/>
        </w:tabs>
        <w:spacing w:after="100"/>
        <w:rPr>
          <w:rFonts w:asciiTheme="majorHAnsi" w:hAnsiTheme="majorHAnsi" w:cstheme="majorHAnsi"/>
          <w:b/>
        </w:rPr>
      </w:pPr>
      <w:r w:rsidRPr="0060082A">
        <w:rPr>
          <w:rFonts w:asciiTheme="majorHAnsi" w:hAnsiTheme="majorHAnsi" w:cstheme="majorHAnsi"/>
          <w:b/>
        </w:rPr>
        <w:t xml:space="preserve">Section 7 </w:t>
      </w:r>
      <w:r w:rsidR="00BC026E" w:rsidRPr="0060082A">
        <w:rPr>
          <w:rFonts w:asciiTheme="majorHAnsi" w:hAnsiTheme="majorHAnsi" w:cstheme="majorHAnsi"/>
          <w:b/>
        </w:rPr>
        <w:tab/>
      </w:r>
      <w:r w:rsidRPr="0060082A">
        <w:rPr>
          <w:rFonts w:asciiTheme="majorHAnsi" w:hAnsiTheme="majorHAnsi" w:cstheme="majorHAnsi"/>
        </w:rPr>
        <w:t xml:space="preserve">outlines the challenges and lessons learned for </w:t>
      </w:r>
      <w:r w:rsidR="00C603D3" w:rsidRPr="0060082A">
        <w:rPr>
          <w:rFonts w:asciiTheme="majorHAnsi" w:hAnsiTheme="majorHAnsi" w:cstheme="majorHAnsi"/>
        </w:rPr>
        <w:t>on-going</w:t>
      </w:r>
      <w:r w:rsidRPr="0060082A">
        <w:rPr>
          <w:rFonts w:asciiTheme="majorHAnsi" w:hAnsiTheme="majorHAnsi" w:cstheme="majorHAnsi"/>
        </w:rPr>
        <w:t xml:space="preserve"> support </w:t>
      </w:r>
      <w:r w:rsidR="003F0BFC" w:rsidRPr="0060082A">
        <w:rPr>
          <w:rFonts w:asciiTheme="majorHAnsi" w:hAnsiTheme="majorHAnsi" w:cstheme="majorHAnsi"/>
        </w:rPr>
        <w:t xml:space="preserve">to </w:t>
      </w:r>
      <w:r w:rsidRPr="0060082A">
        <w:rPr>
          <w:rFonts w:asciiTheme="majorHAnsi" w:hAnsiTheme="majorHAnsi" w:cstheme="majorHAnsi"/>
        </w:rPr>
        <w:t xml:space="preserve">the </w:t>
      </w:r>
      <w:r w:rsidR="00B765AC" w:rsidRPr="0060082A">
        <w:rPr>
          <w:rFonts w:asciiTheme="majorHAnsi" w:hAnsiTheme="majorHAnsi" w:cstheme="majorHAnsi"/>
        </w:rPr>
        <w:t>MoE</w:t>
      </w:r>
      <w:r w:rsidRPr="0060082A">
        <w:rPr>
          <w:rFonts w:asciiTheme="majorHAnsi" w:hAnsiTheme="majorHAnsi" w:cstheme="majorHAnsi"/>
        </w:rPr>
        <w:t xml:space="preserve"> by DFAT</w:t>
      </w:r>
      <w:r w:rsidR="00502C97" w:rsidRPr="0060082A">
        <w:rPr>
          <w:rFonts w:asciiTheme="majorHAnsi" w:hAnsiTheme="majorHAnsi" w:cstheme="majorHAnsi"/>
        </w:rPr>
        <w:t>.</w:t>
      </w:r>
    </w:p>
    <w:p w14:paraId="1C0F133A" w14:textId="6988ED60" w:rsidR="005D4846" w:rsidRPr="0060082A" w:rsidRDefault="005D4846" w:rsidP="00820811">
      <w:pPr>
        <w:tabs>
          <w:tab w:val="left" w:pos="1276"/>
        </w:tabs>
        <w:spacing w:after="100"/>
        <w:rPr>
          <w:rFonts w:asciiTheme="majorHAnsi" w:hAnsiTheme="majorHAnsi" w:cstheme="majorHAnsi"/>
        </w:rPr>
      </w:pPr>
      <w:r w:rsidRPr="0060082A">
        <w:rPr>
          <w:rFonts w:asciiTheme="majorHAnsi" w:hAnsiTheme="majorHAnsi" w:cstheme="majorHAnsi"/>
          <w:b/>
        </w:rPr>
        <w:t xml:space="preserve">Section 8 </w:t>
      </w:r>
      <w:r w:rsidR="00BC026E" w:rsidRPr="0060082A">
        <w:rPr>
          <w:rFonts w:asciiTheme="majorHAnsi" w:hAnsiTheme="majorHAnsi" w:cstheme="majorHAnsi"/>
          <w:b/>
        </w:rPr>
        <w:tab/>
      </w:r>
      <w:r w:rsidRPr="0060082A">
        <w:rPr>
          <w:rFonts w:asciiTheme="majorHAnsi" w:hAnsiTheme="majorHAnsi" w:cstheme="majorHAnsi"/>
        </w:rPr>
        <w:t xml:space="preserve">summarises the position at </w:t>
      </w:r>
      <w:r w:rsidR="00DE2CB7" w:rsidRPr="0060082A">
        <w:rPr>
          <w:rFonts w:asciiTheme="majorHAnsi" w:hAnsiTheme="majorHAnsi" w:cstheme="majorHAnsi"/>
        </w:rPr>
        <w:t xml:space="preserve">the end of </w:t>
      </w:r>
      <w:r w:rsidRPr="0060082A">
        <w:rPr>
          <w:rFonts w:asciiTheme="majorHAnsi" w:hAnsiTheme="majorHAnsi" w:cstheme="majorHAnsi"/>
        </w:rPr>
        <w:t xml:space="preserve">Phase </w:t>
      </w:r>
      <w:r w:rsidR="000A49FE">
        <w:rPr>
          <w:rFonts w:asciiTheme="majorHAnsi" w:hAnsiTheme="majorHAnsi" w:cstheme="majorHAnsi"/>
        </w:rPr>
        <w:t>2</w:t>
      </w:r>
      <w:r w:rsidRPr="0060082A">
        <w:rPr>
          <w:rFonts w:asciiTheme="majorHAnsi" w:hAnsiTheme="majorHAnsi" w:cstheme="majorHAnsi"/>
        </w:rPr>
        <w:t xml:space="preserve"> and how achievements provide a solid platform that positively supports </w:t>
      </w:r>
      <w:r w:rsidR="00B765AC" w:rsidRPr="0060082A">
        <w:rPr>
          <w:rFonts w:asciiTheme="majorHAnsi" w:hAnsiTheme="majorHAnsi" w:cstheme="majorHAnsi"/>
        </w:rPr>
        <w:t>MoE</w:t>
      </w:r>
      <w:r w:rsidRPr="0060082A">
        <w:rPr>
          <w:rFonts w:asciiTheme="majorHAnsi" w:hAnsiTheme="majorHAnsi" w:cstheme="majorHAnsi"/>
        </w:rPr>
        <w:t xml:space="preserve"> delivery of quality and inclusive education.</w:t>
      </w:r>
    </w:p>
    <w:p w14:paraId="09615B82" w14:textId="45077DE0" w:rsidR="005D4846" w:rsidRPr="0060082A" w:rsidRDefault="005D4846" w:rsidP="0060082A">
      <w:pPr>
        <w:rPr>
          <w:rFonts w:asciiTheme="majorHAnsi" w:hAnsiTheme="majorHAnsi" w:cstheme="majorHAnsi"/>
        </w:rPr>
      </w:pPr>
      <w:r w:rsidRPr="0060082A">
        <w:rPr>
          <w:rFonts w:asciiTheme="majorHAnsi" w:hAnsiTheme="majorHAnsi" w:cstheme="majorHAnsi"/>
        </w:rPr>
        <w:t xml:space="preserve">The following </w:t>
      </w:r>
      <w:r w:rsidR="00AE1AC2" w:rsidRPr="0060082A">
        <w:rPr>
          <w:rFonts w:asciiTheme="majorHAnsi" w:hAnsiTheme="majorHAnsi" w:cstheme="majorHAnsi"/>
        </w:rPr>
        <w:t>six</w:t>
      </w:r>
      <w:r w:rsidRPr="0060082A">
        <w:rPr>
          <w:rFonts w:asciiTheme="majorHAnsi" w:hAnsiTheme="majorHAnsi" w:cstheme="majorHAnsi"/>
        </w:rPr>
        <w:t xml:space="preserve"> Annexes are also included in the Completion Report and contain the more detailed information associated with </w:t>
      </w:r>
      <w:r w:rsidR="00724E23" w:rsidRPr="0060082A">
        <w:rPr>
          <w:rFonts w:asciiTheme="majorHAnsi" w:hAnsiTheme="majorHAnsi" w:cstheme="majorHAnsi"/>
        </w:rPr>
        <w:t xml:space="preserve">KEIP </w:t>
      </w:r>
      <w:r w:rsidRPr="0060082A">
        <w:rPr>
          <w:rFonts w:asciiTheme="majorHAnsi" w:hAnsiTheme="majorHAnsi" w:cstheme="majorHAnsi"/>
        </w:rPr>
        <w:t xml:space="preserve">Phase </w:t>
      </w:r>
      <w:r w:rsidR="000A49FE">
        <w:rPr>
          <w:rFonts w:asciiTheme="majorHAnsi" w:hAnsiTheme="majorHAnsi" w:cstheme="majorHAnsi"/>
        </w:rPr>
        <w:t>2</w:t>
      </w:r>
      <w:r w:rsidRPr="0060082A">
        <w:rPr>
          <w:rFonts w:asciiTheme="majorHAnsi" w:hAnsiTheme="majorHAnsi" w:cstheme="majorHAnsi"/>
        </w:rPr>
        <w:t xml:space="preserve"> implementation and achievement:</w:t>
      </w:r>
    </w:p>
    <w:p w14:paraId="77004FFB" w14:textId="4B74D9D5" w:rsidR="00B07F6D" w:rsidRPr="0060082A" w:rsidRDefault="00B07F6D" w:rsidP="0060082A">
      <w:pPr>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1</w:t>
      </w:r>
      <w:r w:rsidRPr="0060082A">
        <w:rPr>
          <w:rFonts w:asciiTheme="majorHAnsi" w:hAnsiTheme="majorHAnsi" w:cstheme="majorHAnsi"/>
        </w:rPr>
        <w:tab/>
      </w:r>
      <w:r w:rsidR="001413EF" w:rsidRPr="0060082A">
        <w:rPr>
          <w:rFonts w:asciiTheme="majorHAnsi" w:hAnsiTheme="majorHAnsi" w:cstheme="majorHAnsi"/>
        </w:rPr>
        <w:t xml:space="preserve">KEIP Phase </w:t>
      </w:r>
      <w:r w:rsidR="000A49FE">
        <w:rPr>
          <w:rFonts w:asciiTheme="majorHAnsi" w:hAnsiTheme="majorHAnsi" w:cstheme="majorHAnsi"/>
        </w:rPr>
        <w:t>2</w:t>
      </w:r>
      <w:r w:rsidR="001413EF" w:rsidRPr="0060082A">
        <w:rPr>
          <w:rFonts w:asciiTheme="majorHAnsi" w:hAnsiTheme="majorHAnsi" w:cstheme="majorHAnsi"/>
        </w:rPr>
        <w:t xml:space="preserve"> Progress against the Monitoring and Evaluation Framework</w:t>
      </w:r>
    </w:p>
    <w:p w14:paraId="62095481" w14:textId="7ACAABED" w:rsidR="00B07F6D" w:rsidRPr="0060082A" w:rsidRDefault="00B07F6D" w:rsidP="0060082A">
      <w:pPr>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2</w:t>
      </w:r>
      <w:r w:rsidRPr="0060082A">
        <w:rPr>
          <w:rFonts w:asciiTheme="majorHAnsi" w:hAnsiTheme="majorHAnsi" w:cstheme="majorHAnsi"/>
        </w:rPr>
        <w:tab/>
      </w:r>
      <w:r w:rsidR="008429C8" w:rsidRPr="0060082A">
        <w:rPr>
          <w:rFonts w:asciiTheme="majorHAnsi" w:hAnsiTheme="majorHAnsi" w:cstheme="majorHAnsi"/>
        </w:rPr>
        <w:t xml:space="preserve">KEF </w:t>
      </w:r>
      <w:r w:rsidRPr="0060082A">
        <w:rPr>
          <w:rFonts w:asciiTheme="majorHAnsi" w:hAnsiTheme="majorHAnsi" w:cstheme="majorHAnsi"/>
        </w:rPr>
        <w:t>Gender</w:t>
      </w:r>
      <w:r w:rsidR="008429C8" w:rsidRPr="0060082A">
        <w:rPr>
          <w:rFonts w:asciiTheme="majorHAnsi" w:hAnsiTheme="majorHAnsi" w:cstheme="majorHAnsi"/>
        </w:rPr>
        <w:t>, Disability and Social Inclusion Strategy</w:t>
      </w:r>
      <w:r w:rsidRPr="0060082A">
        <w:rPr>
          <w:rFonts w:asciiTheme="majorHAnsi" w:hAnsiTheme="majorHAnsi" w:cstheme="majorHAnsi"/>
        </w:rPr>
        <w:t xml:space="preserve"> Report</w:t>
      </w:r>
    </w:p>
    <w:p w14:paraId="1AFBD0AD" w14:textId="4C329EA7" w:rsidR="00B07F6D" w:rsidRPr="0060082A" w:rsidRDefault="00B07F6D" w:rsidP="0060082A">
      <w:pPr>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3</w:t>
      </w:r>
      <w:r w:rsidRPr="0060082A">
        <w:rPr>
          <w:rFonts w:asciiTheme="majorHAnsi" w:hAnsiTheme="majorHAnsi" w:cstheme="majorHAnsi"/>
        </w:rPr>
        <w:tab/>
        <w:t>Breakdown of Program Activity Costs by Strategy to 31 March 2016</w:t>
      </w:r>
    </w:p>
    <w:p w14:paraId="49814155" w14:textId="4CFD5ABD" w:rsidR="00B07F6D" w:rsidRPr="0060082A" w:rsidRDefault="00B07F6D" w:rsidP="0060082A">
      <w:pPr>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4</w:t>
      </w:r>
      <w:r w:rsidRPr="0060082A">
        <w:rPr>
          <w:rFonts w:asciiTheme="majorHAnsi" w:hAnsiTheme="majorHAnsi" w:cstheme="majorHAnsi"/>
        </w:rPr>
        <w:tab/>
      </w:r>
      <w:r w:rsidR="008429C8" w:rsidRPr="0060082A">
        <w:rPr>
          <w:rFonts w:asciiTheme="majorHAnsi" w:hAnsiTheme="majorHAnsi" w:cstheme="majorHAnsi"/>
        </w:rPr>
        <w:t xml:space="preserve">KEIP </w:t>
      </w:r>
      <w:r w:rsidRPr="0060082A">
        <w:rPr>
          <w:rFonts w:asciiTheme="majorHAnsi" w:hAnsiTheme="majorHAnsi" w:cstheme="majorHAnsi"/>
        </w:rPr>
        <w:t>Research Synthesis Report</w:t>
      </w:r>
    </w:p>
    <w:p w14:paraId="7EB43477" w14:textId="2E8ED7FB" w:rsidR="00B07F6D" w:rsidRPr="0060082A" w:rsidRDefault="00B07F6D" w:rsidP="0060082A">
      <w:pPr>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5</w:t>
      </w:r>
      <w:r w:rsidRPr="0060082A">
        <w:rPr>
          <w:rFonts w:asciiTheme="majorHAnsi" w:hAnsiTheme="majorHAnsi" w:cstheme="majorHAnsi"/>
        </w:rPr>
        <w:tab/>
        <w:t>STAK</w:t>
      </w:r>
      <w:r w:rsidR="00B16784" w:rsidRPr="0060082A">
        <w:rPr>
          <w:rFonts w:asciiTheme="majorHAnsi" w:hAnsiTheme="majorHAnsi" w:cstheme="majorHAnsi"/>
        </w:rPr>
        <w:t>I</w:t>
      </w:r>
      <w:r w:rsidRPr="0060082A">
        <w:rPr>
          <w:rFonts w:asciiTheme="majorHAnsi" w:hAnsiTheme="majorHAnsi" w:cstheme="majorHAnsi"/>
        </w:rPr>
        <w:t xml:space="preserve"> results for 2015</w:t>
      </w:r>
    </w:p>
    <w:p w14:paraId="624DAA38" w14:textId="3900916D" w:rsidR="00EE0A2C" w:rsidRPr="0060082A" w:rsidRDefault="00EE0A2C" w:rsidP="0060082A">
      <w:pPr>
        <w:rPr>
          <w:rFonts w:asciiTheme="majorHAnsi" w:hAnsiTheme="majorHAnsi" w:cstheme="majorHAnsi"/>
        </w:rPr>
      </w:pPr>
      <w:r w:rsidRPr="0060082A">
        <w:rPr>
          <w:rFonts w:asciiTheme="majorHAnsi" w:hAnsiTheme="majorHAnsi" w:cstheme="majorHAnsi"/>
          <w:b/>
        </w:rPr>
        <w:t xml:space="preserve">Annex </w:t>
      </w:r>
      <w:r w:rsidR="002A58F4" w:rsidRPr="0060082A">
        <w:rPr>
          <w:rFonts w:asciiTheme="majorHAnsi" w:hAnsiTheme="majorHAnsi" w:cstheme="majorHAnsi"/>
          <w:b/>
        </w:rPr>
        <w:t>6</w:t>
      </w:r>
      <w:r w:rsidRPr="0060082A">
        <w:rPr>
          <w:rFonts w:asciiTheme="majorHAnsi" w:hAnsiTheme="majorHAnsi" w:cstheme="majorHAnsi"/>
        </w:rPr>
        <w:tab/>
        <w:t>The KEIP Kitset Classroom Innovation</w:t>
      </w:r>
      <w:r w:rsidR="006907EC" w:rsidRPr="0060082A">
        <w:rPr>
          <w:rFonts w:asciiTheme="majorHAnsi" w:hAnsiTheme="majorHAnsi" w:cstheme="majorHAnsi"/>
        </w:rPr>
        <w:t xml:space="preserve"> </w:t>
      </w:r>
    </w:p>
    <w:p w14:paraId="5888233F" w14:textId="77777777" w:rsidR="007627F4" w:rsidRPr="00C918BF" w:rsidRDefault="007627F4" w:rsidP="00D02244">
      <w:pPr>
        <w:pStyle w:val="Heading2"/>
        <w:rPr>
          <w:color w:val="auto"/>
        </w:rPr>
      </w:pPr>
      <w:bookmarkStart w:id="28" w:name="_Toc453669677"/>
      <w:bookmarkStart w:id="29" w:name="_Toc461615680"/>
      <w:r w:rsidRPr="00C918BF">
        <w:rPr>
          <w:color w:val="auto"/>
        </w:rPr>
        <w:t>1</w:t>
      </w:r>
      <w:r w:rsidR="00FE523E" w:rsidRPr="00C918BF">
        <w:rPr>
          <w:color w:val="auto"/>
        </w:rPr>
        <w:t>.</w:t>
      </w:r>
      <w:r w:rsidR="00B07F6D" w:rsidRPr="00C918BF">
        <w:rPr>
          <w:color w:val="auto"/>
        </w:rPr>
        <w:t>3</w:t>
      </w:r>
      <w:r w:rsidRPr="00C918BF">
        <w:rPr>
          <w:color w:val="auto"/>
        </w:rPr>
        <w:t xml:space="preserve"> </w:t>
      </w:r>
      <w:r w:rsidR="005E55C1" w:rsidRPr="00C918BF">
        <w:rPr>
          <w:color w:val="auto"/>
        </w:rPr>
        <w:tab/>
      </w:r>
      <w:r w:rsidR="00FE523E" w:rsidRPr="00C918BF">
        <w:rPr>
          <w:color w:val="auto"/>
        </w:rPr>
        <w:t xml:space="preserve">The </w:t>
      </w:r>
      <w:r w:rsidRPr="00C918BF">
        <w:rPr>
          <w:color w:val="auto"/>
        </w:rPr>
        <w:t>Objectives of KEIP</w:t>
      </w:r>
      <w:bookmarkEnd w:id="28"/>
      <w:bookmarkEnd w:id="29"/>
    </w:p>
    <w:p w14:paraId="79BD2038" w14:textId="49374C5A" w:rsidR="00140A6B" w:rsidRPr="0060082A" w:rsidRDefault="00E80EFE" w:rsidP="0060082A">
      <w:pPr>
        <w:rPr>
          <w:rFonts w:asciiTheme="majorHAnsi" w:hAnsiTheme="majorHAnsi" w:cstheme="majorHAnsi"/>
        </w:rPr>
      </w:pPr>
      <w:r w:rsidRPr="0060082A">
        <w:rPr>
          <w:rFonts w:asciiTheme="majorHAnsi" w:hAnsiTheme="majorHAnsi" w:cstheme="majorHAnsi"/>
        </w:rPr>
        <w:t xml:space="preserve">The longer term target of the KEIP partnership is to give all children in Kiribati access to quality education by 2020. This requires large-scale </w:t>
      </w:r>
      <w:r w:rsidR="00140A6B" w:rsidRPr="0060082A">
        <w:rPr>
          <w:rFonts w:asciiTheme="majorHAnsi" w:hAnsiTheme="majorHAnsi" w:cstheme="majorHAnsi"/>
        </w:rPr>
        <w:t xml:space="preserve">system and service delivery </w:t>
      </w:r>
      <w:r w:rsidRPr="0060082A">
        <w:rPr>
          <w:rFonts w:asciiTheme="majorHAnsi" w:hAnsiTheme="majorHAnsi" w:cstheme="majorHAnsi"/>
        </w:rPr>
        <w:t>change</w:t>
      </w:r>
      <w:r w:rsidR="00140A6B" w:rsidRPr="0060082A">
        <w:rPr>
          <w:rFonts w:asciiTheme="majorHAnsi" w:hAnsiTheme="majorHAnsi" w:cstheme="majorHAnsi"/>
        </w:rPr>
        <w:t xml:space="preserve">, through </w:t>
      </w:r>
      <w:r w:rsidRPr="0060082A">
        <w:rPr>
          <w:rFonts w:asciiTheme="majorHAnsi" w:hAnsiTheme="majorHAnsi" w:cstheme="majorHAnsi"/>
        </w:rPr>
        <w:t xml:space="preserve">which leaders </w:t>
      </w:r>
      <w:r w:rsidR="0001672F" w:rsidRPr="0060082A">
        <w:rPr>
          <w:rFonts w:asciiTheme="majorHAnsi" w:hAnsiTheme="majorHAnsi" w:cstheme="majorHAnsi"/>
        </w:rPr>
        <w:t xml:space="preserve">(change agents) </w:t>
      </w:r>
      <w:r w:rsidRPr="0060082A">
        <w:rPr>
          <w:rFonts w:asciiTheme="majorHAnsi" w:hAnsiTheme="majorHAnsi" w:cstheme="majorHAnsi"/>
        </w:rPr>
        <w:t xml:space="preserve">permeate the system, and take daily actions that </w:t>
      </w:r>
      <w:r w:rsidR="00140A6B" w:rsidRPr="0060082A">
        <w:rPr>
          <w:rFonts w:asciiTheme="majorHAnsi" w:hAnsiTheme="majorHAnsi" w:cstheme="majorHAnsi"/>
        </w:rPr>
        <w:t xml:space="preserve">better </w:t>
      </w:r>
      <w:r w:rsidRPr="0060082A">
        <w:rPr>
          <w:rFonts w:asciiTheme="majorHAnsi" w:hAnsiTheme="majorHAnsi" w:cstheme="majorHAnsi"/>
        </w:rPr>
        <w:t>build capacity and ownership</w:t>
      </w:r>
      <w:r w:rsidR="00140A6B" w:rsidRPr="0060082A">
        <w:rPr>
          <w:rFonts w:asciiTheme="majorHAnsi" w:hAnsiTheme="majorHAnsi" w:cstheme="majorHAnsi"/>
        </w:rPr>
        <w:t xml:space="preserve">, working </w:t>
      </w:r>
      <w:r w:rsidR="00D91F30" w:rsidRPr="0060082A">
        <w:rPr>
          <w:rFonts w:asciiTheme="majorHAnsi" w:hAnsiTheme="majorHAnsi" w:cstheme="majorHAnsi"/>
        </w:rPr>
        <w:t xml:space="preserve">in ways that </w:t>
      </w:r>
      <w:r w:rsidR="00140A6B" w:rsidRPr="0060082A">
        <w:rPr>
          <w:rFonts w:asciiTheme="majorHAnsi" w:hAnsiTheme="majorHAnsi" w:cstheme="majorHAnsi"/>
        </w:rPr>
        <w:t>influenc</w:t>
      </w:r>
      <w:r w:rsidR="00D91F30" w:rsidRPr="0060082A">
        <w:rPr>
          <w:rFonts w:asciiTheme="majorHAnsi" w:hAnsiTheme="majorHAnsi" w:cstheme="majorHAnsi"/>
        </w:rPr>
        <w:t>e</w:t>
      </w:r>
      <w:r w:rsidR="00140A6B" w:rsidRPr="0060082A">
        <w:rPr>
          <w:rFonts w:asciiTheme="majorHAnsi" w:hAnsiTheme="majorHAnsi" w:cstheme="majorHAnsi"/>
        </w:rPr>
        <w:t xml:space="preserve"> the work of others</w:t>
      </w:r>
      <w:r w:rsidR="001413EF" w:rsidRPr="0060082A">
        <w:rPr>
          <w:rFonts w:asciiTheme="majorHAnsi" w:hAnsiTheme="majorHAnsi" w:cstheme="majorHAnsi"/>
        </w:rPr>
        <w:t xml:space="preserve">, </w:t>
      </w:r>
      <w:r w:rsidRPr="0060082A">
        <w:rPr>
          <w:rFonts w:asciiTheme="majorHAnsi" w:hAnsiTheme="majorHAnsi" w:cstheme="majorHAnsi"/>
        </w:rPr>
        <w:t xml:space="preserve">to </w:t>
      </w:r>
      <w:r w:rsidR="00140A6B" w:rsidRPr="0060082A">
        <w:rPr>
          <w:rFonts w:asciiTheme="majorHAnsi" w:hAnsiTheme="majorHAnsi" w:cstheme="majorHAnsi"/>
        </w:rPr>
        <w:t xml:space="preserve">improve </w:t>
      </w:r>
      <w:r w:rsidR="00D91F30" w:rsidRPr="0060082A">
        <w:rPr>
          <w:rFonts w:asciiTheme="majorHAnsi" w:hAnsiTheme="majorHAnsi" w:cstheme="majorHAnsi"/>
        </w:rPr>
        <w:t xml:space="preserve">methods and </w:t>
      </w:r>
      <w:r w:rsidRPr="0060082A">
        <w:rPr>
          <w:rFonts w:asciiTheme="majorHAnsi" w:hAnsiTheme="majorHAnsi" w:cstheme="majorHAnsi"/>
        </w:rPr>
        <w:t>results</w:t>
      </w:r>
      <w:r w:rsidR="00140A6B" w:rsidRPr="0060082A">
        <w:rPr>
          <w:rFonts w:asciiTheme="majorHAnsi" w:hAnsiTheme="majorHAnsi" w:cstheme="majorHAnsi"/>
        </w:rPr>
        <w:t>.</w:t>
      </w:r>
    </w:p>
    <w:p w14:paraId="6789F99B" w14:textId="5CD5A9F4" w:rsidR="00A52510" w:rsidRPr="0060082A" w:rsidRDefault="00C30464" w:rsidP="0060082A">
      <w:pPr>
        <w:rPr>
          <w:rFonts w:asciiTheme="majorHAnsi" w:hAnsiTheme="majorHAnsi" w:cstheme="majorHAnsi"/>
        </w:rPr>
      </w:pPr>
      <w:r w:rsidRPr="0060082A">
        <w:rPr>
          <w:rFonts w:asciiTheme="majorHAnsi" w:hAnsiTheme="majorHAnsi" w:cstheme="majorHAnsi"/>
        </w:rPr>
        <w:t xml:space="preserve">Reform of basic education </w:t>
      </w:r>
      <w:r w:rsidR="009B4F62" w:rsidRPr="0060082A">
        <w:rPr>
          <w:rFonts w:asciiTheme="majorHAnsi" w:hAnsiTheme="majorHAnsi" w:cstheme="majorHAnsi"/>
        </w:rPr>
        <w:t>requires a long-term</w:t>
      </w:r>
      <w:r w:rsidR="00D91F30" w:rsidRPr="0060082A">
        <w:rPr>
          <w:rFonts w:asciiTheme="majorHAnsi" w:hAnsiTheme="majorHAnsi" w:cstheme="majorHAnsi"/>
        </w:rPr>
        <w:t xml:space="preserve">, </w:t>
      </w:r>
      <w:r w:rsidR="009B4F62" w:rsidRPr="0060082A">
        <w:rPr>
          <w:rFonts w:asciiTheme="majorHAnsi" w:hAnsiTheme="majorHAnsi" w:cstheme="majorHAnsi"/>
        </w:rPr>
        <w:t>effective approach to sector planning and development.</w:t>
      </w:r>
      <w:r w:rsidR="00CC24DE" w:rsidRPr="0060082A">
        <w:rPr>
          <w:rFonts w:asciiTheme="majorHAnsi" w:hAnsiTheme="majorHAnsi" w:cstheme="majorHAnsi"/>
        </w:rPr>
        <w:t xml:space="preserve"> </w:t>
      </w:r>
      <w:r w:rsidR="00E80EFE" w:rsidRPr="0060082A">
        <w:rPr>
          <w:rFonts w:asciiTheme="majorHAnsi" w:hAnsiTheme="majorHAnsi" w:cstheme="majorHAnsi"/>
        </w:rPr>
        <w:t>KEIP Phase I</w:t>
      </w:r>
      <w:r w:rsidR="001413EF" w:rsidRPr="0060082A">
        <w:rPr>
          <w:rFonts w:asciiTheme="majorHAnsi" w:hAnsiTheme="majorHAnsi" w:cstheme="majorHAnsi"/>
        </w:rPr>
        <w:t xml:space="preserve"> helped MoE</w:t>
      </w:r>
      <w:r w:rsidR="00E80EFE" w:rsidRPr="0060082A">
        <w:rPr>
          <w:rFonts w:asciiTheme="majorHAnsi" w:hAnsiTheme="majorHAnsi" w:cstheme="majorHAnsi"/>
        </w:rPr>
        <w:t xml:space="preserve"> establish the building blocks</w:t>
      </w:r>
      <w:r w:rsidR="003F0BFC" w:rsidRPr="0060082A">
        <w:rPr>
          <w:rFonts w:asciiTheme="majorHAnsi" w:hAnsiTheme="majorHAnsi" w:cstheme="majorHAnsi"/>
        </w:rPr>
        <w:t xml:space="preserve"> for this. </w:t>
      </w:r>
      <w:r w:rsidR="00E80EFE" w:rsidRPr="0060082A">
        <w:rPr>
          <w:rFonts w:asciiTheme="majorHAnsi" w:hAnsiTheme="majorHAnsi" w:cstheme="majorHAnsi"/>
        </w:rPr>
        <w:t xml:space="preserve">KEIP Phase </w:t>
      </w:r>
      <w:r w:rsidR="000A49FE">
        <w:rPr>
          <w:rFonts w:asciiTheme="majorHAnsi" w:hAnsiTheme="majorHAnsi" w:cstheme="majorHAnsi"/>
        </w:rPr>
        <w:t>2</w:t>
      </w:r>
      <w:r w:rsidR="00E80EFE" w:rsidRPr="0060082A">
        <w:rPr>
          <w:rFonts w:asciiTheme="majorHAnsi" w:hAnsiTheme="majorHAnsi" w:cstheme="majorHAnsi"/>
        </w:rPr>
        <w:t xml:space="preserve"> </w:t>
      </w:r>
      <w:r w:rsidR="001413EF" w:rsidRPr="0060082A">
        <w:rPr>
          <w:rFonts w:asciiTheme="majorHAnsi" w:hAnsiTheme="majorHAnsi" w:cstheme="majorHAnsi"/>
        </w:rPr>
        <w:t>supported MoE</w:t>
      </w:r>
      <w:r w:rsidR="004D2471" w:rsidRPr="0060082A">
        <w:rPr>
          <w:rFonts w:asciiTheme="majorHAnsi" w:hAnsiTheme="majorHAnsi" w:cstheme="majorHAnsi"/>
        </w:rPr>
        <w:t xml:space="preserve"> to</w:t>
      </w:r>
      <w:r w:rsidR="001413EF" w:rsidRPr="0060082A">
        <w:rPr>
          <w:rFonts w:asciiTheme="majorHAnsi" w:hAnsiTheme="majorHAnsi" w:cstheme="majorHAnsi"/>
        </w:rPr>
        <w:t xml:space="preserve"> </w:t>
      </w:r>
      <w:r w:rsidR="009C284C" w:rsidRPr="0060082A">
        <w:rPr>
          <w:rFonts w:asciiTheme="majorHAnsi" w:hAnsiTheme="majorHAnsi" w:cstheme="majorHAnsi"/>
        </w:rPr>
        <w:t>provide the foundations of a decentral</w:t>
      </w:r>
      <w:r w:rsidR="00D97A93" w:rsidRPr="0060082A">
        <w:rPr>
          <w:rFonts w:asciiTheme="majorHAnsi" w:hAnsiTheme="majorHAnsi" w:cstheme="majorHAnsi"/>
        </w:rPr>
        <w:t>ised and strengthened education system</w:t>
      </w:r>
      <w:r w:rsidR="00D91F30" w:rsidRPr="0060082A">
        <w:rPr>
          <w:rFonts w:asciiTheme="majorHAnsi" w:hAnsiTheme="majorHAnsi" w:cstheme="majorHAnsi"/>
        </w:rPr>
        <w:t xml:space="preserve">, establishing </w:t>
      </w:r>
      <w:r w:rsidR="00E80EFE" w:rsidRPr="0060082A">
        <w:rPr>
          <w:rFonts w:asciiTheme="majorHAnsi" w:hAnsiTheme="majorHAnsi" w:cstheme="majorHAnsi"/>
        </w:rPr>
        <w:t xml:space="preserve">interlocking strategies to create change </w:t>
      </w:r>
      <w:r w:rsidR="001413EF" w:rsidRPr="0060082A">
        <w:rPr>
          <w:rFonts w:asciiTheme="majorHAnsi" w:hAnsiTheme="majorHAnsi" w:cstheme="majorHAnsi"/>
        </w:rPr>
        <w:t>that has</w:t>
      </w:r>
      <w:r w:rsidRPr="0060082A">
        <w:rPr>
          <w:rFonts w:asciiTheme="majorHAnsi" w:hAnsiTheme="majorHAnsi" w:cstheme="majorHAnsi"/>
        </w:rPr>
        <w:t xml:space="preserve"> </w:t>
      </w:r>
      <w:r w:rsidR="00502C97" w:rsidRPr="0060082A">
        <w:rPr>
          <w:rFonts w:asciiTheme="majorHAnsi" w:hAnsiTheme="majorHAnsi" w:cstheme="majorHAnsi"/>
        </w:rPr>
        <w:t xml:space="preserve">MoE </w:t>
      </w:r>
      <w:r w:rsidRPr="0060082A">
        <w:rPr>
          <w:rFonts w:asciiTheme="majorHAnsi" w:hAnsiTheme="majorHAnsi" w:cstheme="majorHAnsi"/>
        </w:rPr>
        <w:t xml:space="preserve">commitment to </w:t>
      </w:r>
      <w:r w:rsidR="00E80EFE" w:rsidRPr="0060082A">
        <w:rPr>
          <w:rFonts w:asciiTheme="majorHAnsi" w:hAnsiTheme="majorHAnsi" w:cstheme="majorHAnsi"/>
        </w:rPr>
        <w:t>sustain</w:t>
      </w:r>
      <w:r w:rsidRPr="0060082A">
        <w:rPr>
          <w:rFonts w:asciiTheme="majorHAnsi" w:hAnsiTheme="majorHAnsi" w:cstheme="majorHAnsi"/>
        </w:rPr>
        <w:t>ed,</w:t>
      </w:r>
      <w:r w:rsidR="00E80EFE" w:rsidRPr="0060082A">
        <w:rPr>
          <w:rFonts w:asciiTheme="majorHAnsi" w:hAnsiTheme="majorHAnsi" w:cstheme="majorHAnsi"/>
        </w:rPr>
        <w:t xml:space="preserve"> continuous improvement for better</w:t>
      </w:r>
      <w:r w:rsidRPr="0060082A">
        <w:rPr>
          <w:rFonts w:asciiTheme="majorHAnsi" w:hAnsiTheme="majorHAnsi" w:cstheme="majorHAnsi"/>
        </w:rPr>
        <w:t xml:space="preserve"> education </w:t>
      </w:r>
      <w:r w:rsidR="001413EF" w:rsidRPr="0060082A">
        <w:rPr>
          <w:rFonts w:asciiTheme="majorHAnsi" w:hAnsiTheme="majorHAnsi" w:cstheme="majorHAnsi"/>
        </w:rPr>
        <w:t>outcomes</w:t>
      </w:r>
      <w:r w:rsidR="00E80EFE" w:rsidRPr="0060082A">
        <w:rPr>
          <w:rFonts w:asciiTheme="majorHAnsi" w:hAnsiTheme="majorHAnsi" w:cstheme="majorHAnsi"/>
        </w:rPr>
        <w:t>.</w:t>
      </w:r>
      <w:r w:rsidR="00CC24DE" w:rsidRPr="0060082A">
        <w:rPr>
          <w:rFonts w:asciiTheme="majorHAnsi" w:hAnsiTheme="majorHAnsi" w:cstheme="majorHAnsi"/>
        </w:rPr>
        <w:t xml:space="preserve"> </w:t>
      </w:r>
    </w:p>
    <w:p w14:paraId="3339937D" w14:textId="3A1A3121" w:rsidR="00E80EFE" w:rsidRPr="00C918BF" w:rsidRDefault="00C30464" w:rsidP="00C30464">
      <w:pPr>
        <w:pStyle w:val="IntroBodyText"/>
        <w:spacing w:before="0"/>
        <w:jc w:val="both"/>
        <w:rPr>
          <w:rFonts w:ascii="Arial" w:hAnsi="Arial"/>
          <w:b w:val="0"/>
          <w:color w:val="auto"/>
          <w:sz w:val="20"/>
        </w:rPr>
      </w:pPr>
      <w:r w:rsidRPr="00C918BF">
        <w:rPr>
          <w:rFonts w:ascii="Arial" w:hAnsi="Arial"/>
          <w:b w:val="0"/>
          <w:color w:val="auto"/>
          <w:sz w:val="20"/>
        </w:rPr>
        <w:t xml:space="preserve">Following on, KEIP </w:t>
      </w:r>
      <w:r w:rsidR="00743616">
        <w:rPr>
          <w:rFonts w:ascii="Arial" w:hAnsi="Arial"/>
          <w:b w:val="0"/>
          <w:color w:val="auto"/>
          <w:sz w:val="20"/>
        </w:rPr>
        <w:t>Phase 3</w:t>
      </w:r>
      <w:r w:rsidR="009B4F62" w:rsidRPr="00C918BF">
        <w:rPr>
          <w:rFonts w:ascii="Arial" w:hAnsi="Arial"/>
          <w:b w:val="0"/>
          <w:color w:val="auto"/>
          <w:sz w:val="20"/>
        </w:rPr>
        <w:t xml:space="preserve"> will focus on embedding this </w:t>
      </w:r>
      <w:r w:rsidR="00774012" w:rsidRPr="00C918BF">
        <w:rPr>
          <w:rFonts w:ascii="Arial" w:hAnsi="Arial"/>
          <w:b w:val="0"/>
          <w:color w:val="auto"/>
          <w:sz w:val="20"/>
        </w:rPr>
        <w:t xml:space="preserve">Primary school </w:t>
      </w:r>
      <w:r w:rsidR="001413EF" w:rsidRPr="00C918BF">
        <w:rPr>
          <w:rFonts w:ascii="Arial" w:hAnsi="Arial"/>
          <w:b w:val="0"/>
          <w:color w:val="auto"/>
          <w:sz w:val="20"/>
        </w:rPr>
        <w:t xml:space="preserve">effort and extending </w:t>
      </w:r>
      <w:r w:rsidR="009B4F62" w:rsidRPr="00C918BF">
        <w:rPr>
          <w:rFonts w:ascii="Arial" w:hAnsi="Arial"/>
          <w:b w:val="0"/>
          <w:color w:val="auto"/>
          <w:sz w:val="20"/>
        </w:rPr>
        <w:t>reforms into the junior secondary sector</w:t>
      </w:r>
      <w:r w:rsidRPr="00C918BF">
        <w:rPr>
          <w:rFonts w:ascii="Arial" w:hAnsi="Arial"/>
          <w:b w:val="0"/>
          <w:color w:val="auto"/>
          <w:sz w:val="20"/>
        </w:rPr>
        <w:t>, whil</w:t>
      </w:r>
      <w:r w:rsidR="003F0BFC" w:rsidRPr="00C918BF">
        <w:rPr>
          <w:rFonts w:ascii="Arial" w:hAnsi="Arial"/>
          <w:b w:val="0"/>
          <w:color w:val="auto"/>
          <w:sz w:val="20"/>
        </w:rPr>
        <w:t>st</w:t>
      </w:r>
      <w:r w:rsidRPr="00C918BF">
        <w:rPr>
          <w:rFonts w:ascii="Arial" w:hAnsi="Arial"/>
          <w:b w:val="0"/>
          <w:color w:val="auto"/>
          <w:sz w:val="20"/>
        </w:rPr>
        <w:t xml:space="preserve"> </w:t>
      </w:r>
      <w:r w:rsidR="009B4F62" w:rsidRPr="00C918BF">
        <w:rPr>
          <w:rFonts w:ascii="Arial" w:hAnsi="Arial"/>
          <w:b w:val="0"/>
          <w:color w:val="auto"/>
          <w:sz w:val="20"/>
        </w:rPr>
        <w:t>ensuring</w:t>
      </w:r>
      <w:r w:rsidR="001413EF" w:rsidRPr="00C918BF">
        <w:rPr>
          <w:rFonts w:ascii="Arial" w:hAnsi="Arial"/>
          <w:b w:val="0"/>
          <w:color w:val="auto"/>
          <w:sz w:val="20"/>
        </w:rPr>
        <w:t xml:space="preserve"> MoE </w:t>
      </w:r>
      <w:r w:rsidR="009B4F62" w:rsidRPr="00C918BF">
        <w:rPr>
          <w:rFonts w:ascii="Arial" w:hAnsi="Arial"/>
          <w:b w:val="0"/>
          <w:color w:val="auto"/>
          <w:sz w:val="20"/>
        </w:rPr>
        <w:t xml:space="preserve">has the capacity and capability to </w:t>
      </w:r>
      <w:r w:rsidR="00F573BA" w:rsidRPr="00C918BF">
        <w:rPr>
          <w:rFonts w:ascii="Arial" w:hAnsi="Arial"/>
          <w:b w:val="0"/>
          <w:color w:val="auto"/>
          <w:sz w:val="20"/>
        </w:rPr>
        <w:t>shape</w:t>
      </w:r>
      <w:r w:rsidR="00774012" w:rsidRPr="00C918BF">
        <w:rPr>
          <w:rFonts w:ascii="Arial" w:hAnsi="Arial"/>
          <w:b w:val="0"/>
          <w:color w:val="auto"/>
          <w:sz w:val="20"/>
        </w:rPr>
        <w:t xml:space="preserve"> and strengthen</w:t>
      </w:r>
      <w:r w:rsidR="00F573BA" w:rsidRPr="00C918BF">
        <w:rPr>
          <w:rFonts w:ascii="Arial" w:hAnsi="Arial"/>
          <w:b w:val="0"/>
          <w:color w:val="auto"/>
          <w:sz w:val="20"/>
        </w:rPr>
        <w:t xml:space="preserve"> its approach through</w:t>
      </w:r>
      <w:r w:rsidR="001413EF" w:rsidRPr="00C918BF">
        <w:rPr>
          <w:rFonts w:ascii="Arial" w:hAnsi="Arial"/>
          <w:b w:val="0"/>
          <w:color w:val="auto"/>
          <w:sz w:val="20"/>
        </w:rPr>
        <w:t xml:space="preserve"> better</w:t>
      </w:r>
      <w:r w:rsidR="00F573BA" w:rsidRPr="00C918BF">
        <w:rPr>
          <w:rFonts w:ascii="Arial" w:hAnsi="Arial"/>
          <w:b w:val="0"/>
          <w:color w:val="auto"/>
          <w:sz w:val="20"/>
        </w:rPr>
        <w:t xml:space="preserve"> </w:t>
      </w:r>
      <w:r w:rsidR="00493CAB" w:rsidRPr="00C918BF">
        <w:rPr>
          <w:rFonts w:ascii="Arial" w:hAnsi="Arial"/>
          <w:b w:val="0"/>
          <w:color w:val="auto"/>
          <w:sz w:val="20"/>
        </w:rPr>
        <w:t xml:space="preserve">research, </w:t>
      </w:r>
      <w:r w:rsidR="00F573BA" w:rsidRPr="00C918BF">
        <w:rPr>
          <w:rFonts w:ascii="Arial" w:hAnsi="Arial"/>
          <w:b w:val="0"/>
          <w:color w:val="auto"/>
          <w:sz w:val="20"/>
        </w:rPr>
        <w:t>planning</w:t>
      </w:r>
      <w:r w:rsidR="00D91F30" w:rsidRPr="00C918BF">
        <w:rPr>
          <w:rFonts w:ascii="Arial" w:hAnsi="Arial"/>
          <w:b w:val="0"/>
          <w:color w:val="auto"/>
          <w:sz w:val="20"/>
        </w:rPr>
        <w:t xml:space="preserve">, </w:t>
      </w:r>
      <w:r w:rsidR="00F573BA" w:rsidRPr="00C918BF">
        <w:rPr>
          <w:rFonts w:ascii="Arial" w:hAnsi="Arial"/>
          <w:b w:val="0"/>
          <w:color w:val="auto"/>
          <w:sz w:val="20"/>
        </w:rPr>
        <w:t xml:space="preserve">policy </w:t>
      </w:r>
      <w:r w:rsidRPr="00C918BF">
        <w:rPr>
          <w:rFonts w:ascii="Arial" w:hAnsi="Arial"/>
          <w:b w:val="0"/>
          <w:color w:val="auto"/>
          <w:sz w:val="20"/>
        </w:rPr>
        <w:t>development</w:t>
      </w:r>
      <w:r w:rsidR="00D91F30" w:rsidRPr="00C918BF">
        <w:rPr>
          <w:rFonts w:ascii="Arial" w:hAnsi="Arial"/>
          <w:b w:val="0"/>
          <w:color w:val="auto"/>
          <w:sz w:val="20"/>
        </w:rPr>
        <w:t xml:space="preserve"> and </w:t>
      </w:r>
      <w:r w:rsidR="00774012" w:rsidRPr="00C918BF">
        <w:rPr>
          <w:rFonts w:ascii="Arial" w:hAnsi="Arial"/>
          <w:b w:val="0"/>
          <w:color w:val="auto"/>
          <w:sz w:val="20"/>
        </w:rPr>
        <w:t xml:space="preserve">having </w:t>
      </w:r>
      <w:r w:rsidR="00D91F30" w:rsidRPr="00C918BF">
        <w:rPr>
          <w:rFonts w:ascii="Arial" w:hAnsi="Arial"/>
          <w:b w:val="0"/>
          <w:color w:val="auto"/>
          <w:sz w:val="20"/>
        </w:rPr>
        <w:t>capable staff</w:t>
      </w:r>
      <w:r w:rsidRPr="00C918BF">
        <w:rPr>
          <w:rFonts w:ascii="Arial" w:hAnsi="Arial"/>
          <w:b w:val="0"/>
          <w:color w:val="auto"/>
          <w:sz w:val="20"/>
        </w:rPr>
        <w:t>.</w:t>
      </w:r>
    </w:p>
    <w:p w14:paraId="42DBF6A1" w14:textId="77777777" w:rsidR="001776DC" w:rsidRPr="00C918BF" w:rsidRDefault="001776DC" w:rsidP="00CD6138">
      <w:pPr>
        <w:pStyle w:val="Heading3"/>
      </w:pPr>
      <w:bookmarkStart w:id="30" w:name="_Toc461615681"/>
      <w:r w:rsidRPr="00C918BF">
        <w:t>Monitoring of Progress and Research</w:t>
      </w:r>
      <w:bookmarkEnd w:id="30"/>
    </w:p>
    <w:p w14:paraId="3C24877B" w14:textId="46442E72" w:rsidR="005977AB" w:rsidRDefault="00C96136" w:rsidP="0060082A">
      <w:r w:rsidRPr="00C918BF">
        <w:t xml:space="preserve">The Independent Evaluation in 2014 </w:t>
      </w:r>
      <w:r w:rsidR="00A06603">
        <w:t xml:space="preserve">provided the opportunity to review the design and implementation of KEIP Phase </w:t>
      </w:r>
      <w:r w:rsidR="000A49FE">
        <w:t>2</w:t>
      </w:r>
      <w:r w:rsidR="00A06603">
        <w:t xml:space="preserve"> and to adjust</w:t>
      </w:r>
      <w:r w:rsidR="00C32532">
        <w:t xml:space="preserve"> </w:t>
      </w:r>
      <w:r w:rsidR="00A06603">
        <w:t>resource allocation</w:t>
      </w:r>
      <w:r w:rsidR="00C32532">
        <w:t>s</w:t>
      </w:r>
      <w:r w:rsidR="00A06603">
        <w:t xml:space="preserve"> and the priority support being provided to MoE. The Independent Evaluation made several key recommendations that enabled KEF staff to work with MoE and adjust </w:t>
      </w:r>
      <w:r w:rsidR="005977AB">
        <w:t xml:space="preserve">the strategies or implementation methods in order to refocus effort and target constraints. </w:t>
      </w:r>
      <w:r w:rsidR="0003148F">
        <w:t xml:space="preserve">The Independent Evaluation was also an important source document used in the KEIP </w:t>
      </w:r>
      <w:r w:rsidR="00743616">
        <w:t>Phase 3</w:t>
      </w:r>
      <w:r w:rsidR="0003148F">
        <w:t xml:space="preserve"> design process to align priorities and support in ways that addressed </w:t>
      </w:r>
      <w:r w:rsidR="00F84410">
        <w:t xml:space="preserve">KEIP Phase </w:t>
      </w:r>
      <w:r w:rsidR="000A49FE">
        <w:t>2</w:t>
      </w:r>
      <w:r w:rsidR="00F84410">
        <w:t xml:space="preserve"> lessons learned and the Independent Evaluation recommendations.</w:t>
      </w:r>
    </w:p>
    <w:p w14:paraId="055CD392" w14:textId="5DBF3D48" w:rsidR="00CD34F9" w:rsidRPr="0060082A" w:rsidRDefault="005977AB" w:rsidP="0060082A">
      <w:pPr>
        <w:rPr>
          <w:spacing w:val="2"/>
        </w:rPr>
      </w:pPr>
      <w:r w:rsidRPr="0060082A">
        <w:rPr>
          <w:spacing w:val="2"/>
        </w:rPr>
        <w:t xml:space="preserve">The Evaluation </w:t>
      </w:r>
      <w:r w:rsidR="00C96136" w:rsidRPr="0060082A">
        <w:rPr>
          <w:spacing w:val="2"/>
        </w:rPr>
        <w:t>found a high degree of consistency and alignment in the implementation of reforms</w:t>
      </w:r>
      <w:r w:rsidR="00F84410" w:rsidRPr="0060082A">
        <w:rPr>
          <w:spacing w:val="2"/>
        </w:rPr>
        <w:t xml:space="preserve"> and consistency between KEF and MoE priorities and the support being provided</w:t>
      </w:r>
      <w:r w:rsidR="00C96136" w:rsidRPr="0060082A">
        <w:rPr>
          <w:spacing w:val="2"/>
        </w:rPr>
        <w:t xml:space="preserve">. Key findings influenced the </w:t>
      </w:r>
      <w:r w:rsidR="00F84410" w:rsidRPr="0060082A">
        <w:rPr>
          <w:spacing w:val="2"/>
        </w:rPr>
        <w:t>re-</w:t>
      </w:r>
      <w:r w:rsidR="00C96136" w:rsidRPr="0060082A">
        <w:rPr>
          <w:spacing w:val="2"/>
        </w:rPr>
        <w:t xml:space="preserve">focus of KEIP Phase </w:t>
      </w:r>
      <w:r w:rsidR="000A49FE">
        <w:rPr>
          <w:spacing w:val="2"/>
        </w:rPr>
        <w:t>2</w:t>
      </w:r>
      <w:r w:rsidR="00C96136" w:rsidRPr="0060082A">
        <w:rPr>
          <w:spacing w:val="2"/>
        </w:rPr>
        <w:t xml:space="preserve">, including </w:t>
      </w:r>
      <w:r w:rsidR="001413EF" w:rsidRPr="0060082A">
        <w:rPr>
          <w:spacing w:val="2"/>
        </w:rPr>
        <w:t xml:space="preserve">the </w:t>
      </w:r>
      <w:r w:rsidR="00CD34F9" w:rsidRPr="0060082A">
        <w:rPr>
          <w:spacing w:val="2"/>
        </w:rPr>
        <w:t xml:space="preserve">quality and completeness of </w:t>
      </w:r>
      <w:r w:rsidR="00F84410" w:rsidRPr="0060082A">
        <w:rPr>
          <w:spacing w:val="2"/>
        </w:rPr>
        <w:t xml:space="preserve">support </w:t>
      </w:r>
      <w:r w:rsidR="00CD34F9" w:rsidRPr="0060082A">
        <w:rPr>
          <w:spacing w:val="2"/>
        </w:rPr>
        <w:t>program</w:t>
      </w:r>
      <w:r w:rsidR="00F84410" w:rsidRPr="0060082A">
        <w:rPr>
          <w:spacing w:val="2"/>
        </w:rPr>
        <w:t>, as well as the</w:t>
      </w:r>
      <w:r w:rsidR="00CD34F9" w:rsidRPr="0060082A">
        <w:rPr>
          <w:spacing w:val="2"/>
        </w:rPr>
        <w:t xml:space="preserve"> </w:t>
      </w:r>
      <w:r w:rsidR="00C96136" w:rsidRPr="0060082A">
        <w:rPr>
          <w:spacing w:val="2"/>
        </w:rPr>
        <w:t xml:space="preserve">monitoring and </w:t>
      </w:r>
      <w:r w:rsidR="00CD34F9" w:rsidRPr="0060082A">
        <w:rPr>
          <w:spacing w:val="2"/>
        </w:rPr>
        <w:t xml:space="preserve">the </w:t>
      </w:r>
      <w:r w:rsidR="00C96136" w:rsidRPr="0060082A">
        <w:rPr>
          <w:spacing w:val="2"/>
        </w:rPr>
        <w:t xml:space="preserve">reporting. </w:t>
      </w:r>
      <w:r w:rsidR="00CD34F9" w:rsidRPr="0060082A">
        <w:rPr>
          <w:spacing w:val="2"/>
        </w:rPr>
        <w:t>As a result of th</w:t>
      </w:r>
      <w:r w:rsidR="00F84410" w:rsidRPr="0060082A">
        <w:rPr>
          <w:spacing w:val="2"/>
        </w:rPr>
        <w:t xml:space="preserve">e </w:t>
      </w:r>
      <w:r w:rsidR="00CD34F9" w:rsidRPr="0060082A">
        <w:rPr>
          <w:spacing w:val="2"/>
        </w:rPr>
        <w:t>recommendation</w:t>
      </w:r>
      <w:r w:rsidR="00F84410" w:rsidRPr="0060082A">
        <w:rPr>
          <w:spacing w:val="2"/>
        </w:rPr>
        <w:t>s</w:t>
      </w:r>
      <w:r w:rsidR="00CD34F9" w:rsidRPr="0060082A">
        <w:rPr>
          <w:spacing w:val="2"/>
        </w:rPr>
        <w:t>, a new M&amp;E adviser was recruited and an increased focus on the base line and identification of change, as well as conducting research to provide richer information on community engagement and priorities for children attending and staying at school. The M&amp;E and reporting were revised in order to provide MoE and DFAT with data and trends that could better be used in decision making and in the planning of support being provided to MoE under KEF.</w:t>
      </w:r>
    </w:p>
    <w:p w14:paraId="0B915EA0" w14:textId="0A6AD209" w:rsidR="00C96136" w:rsidRPr="00C918BF" w:rsidRDefault="00CD34F9" w:rsidP="00820811">
      <w:pPr>
        <w:spacing w:before="100" w:after="100" w:line="235" w:lineRule="auto"/>
        <w:rPr>
          <w:spacing w:val="-2"/>
          <w:lang w:val="en-US"/>
        </w:rPr>
      </w:pPr>
      <w:r>
        <w:t xml:space="preserve">A </w:t>
      </w:r>
      <w:r w:rsidR="007E03CA" w:rsidRPr="00C918BF">
        <w:t xml:space="preserve">finding </w:t>
      </w:r>
      <w:r>
        <w:t xml:space="preserve">also concerned the </w:t>
      </w:r>
      <w:r w:rsidR="007E03CA" w:rsidRPr="00C918BF">
        <w:t xml:space="preserve">structural </w:t>
      </w:r>
      <w:r w:rsidR="005977AB">
        <w:t xml:space="preserve">and organisational </w:t>
      </w:r>
      <w:r w:rsidR="007E03CA" w:rsidRPr="00C918BF">
        <w:t xml:space="preserve">reforms in MoE under KEIP Phase </w:t>
      </w:r>
      <w:r w:rsidR="000A49FE">
        <w:t>2</w:t>
      </w:r>
      <w:r>
        <w:t xml:space="preserve">, </w:t>
      </w:r>
      <w:r w:rsidR="007E03CA" w:rsidRPr="00C918BF">
        <w:t xml:space="preserve">were significant achievements, </w:t>
      </w:r>
      <w:r>
        <w:t xml:space="preserve">although somewhat hampered by </w:t>
      </w:r>
      <w:r w:rsidR="005977AB">
        <w:t xml:space="preserve">high </w:t>
      </w:r>
      <w:r>
        <w:t>staff turnover and the number of acting appointments. The review found that the structural changes and</w:t>
      </w:r>
      <w:r w:rsidR="007E03CA" w:rsidRPr="00C918BF">
        <w:t xml:space="preserve"> reforms </w:t>
      </w:r>
      <w:r>
        <w:t xml:space="preserve">underway were </w:t>
      </w:r>
      <w:r w:rsidR="007E03CA" w:rsidRPr="00C918BF">
        <w:t xml:space="preserve">still vulnerable </w:t>
      </w:r>
      <w:r w:rsidR="007E03CA" w:rsidRPr="00C918BF">
        <w:lastRenderedPageBreak/>
        <w:t>because of their newness and broad scope.</w:t>
      </w:r>
      <w:r w:rsidR="007E03CA" w:rsidRPr="00C918BF">
        <w:rPr>
          <w:rStyle w:val="FootnoteReference"/>
          <w:rFonts w:asciiTheme="majorHAnsi" w:eastAsia="Cambria" w:hAnsiTheme="majorHAnsi" w:cstheme="majorHAnsi"/>
          <w:sz w:val="22"/>
        </w:rPr>
        <w:footnoteReference w:id="4"/>
      </w:r>
      <w:r w:rsidR="007E03CA" w:rsidRPr="00C918BF">
        <w:t xml:space="preserve"> </w:t>
      </w:r>
      <w:r w:rsidR="00C96136" w:rsidRPr="00C918BF">
        <w:rPr>
          <w:spacing w:val="-2"/>
          <w:lang w:val="en-US"/>
        </w:rPr>
        <w:t xml:space="preserve">The </w:t>
      </w:r>
      <w:r w:rsidR="001413EF" w:rsidRPr="00C918BF">
        <w:rPr>
          <w:spacing w:val="-2"/>
          <w:lang w:val="en-US"/>
        </w:rPr>
        <w:t xml:space="preserve">Independent </w:t>
      </w:r>
      <w:r w:rsidR="00C96136" w:rsidRPr="00C918BF">
        <w:rPr>
          <w:spacing w:val="-2"/>
          <w:lang w:val="en-US"/>
        </w:rPr>
        <w:t xml:space="preserve">Evaluation </w:t>
      </w:r>
      <w:r w:rsidR="002B3ABE" w:rsidRPr="00C918BF">
        <w:rPr>
          <w:spacing w:val="-2"/>
          <w:lang w:val="en-US"/>
        </w:rPr>
        <w:t xml:space="preserve">also </w:t>
      </w:r>
      <w:r w:rsidR="00C96136" w:rsidRPr="00C918BF">
        <w:rPr>
          <w:spacing w:val="-2"/>
          <w:lang w:val="en-US"/>
        </w:rPr>
        <w:t xml:space="preserve">found </w:t>
      </w:r>
      <w:r w:rsidR="002B3ABE" w:rsidRPr="00C918BF">
        <w:rPr>
          <w:spacing w:val="-2"/>
          <w:lang w:val="en-US"/>
        </w:rPr>
        <w:t xml:space="preserve">that </w:t>
      </w:r>
      <w:r w:rsidR="00C96136" w:rsidRPr="00C918BF">
        <w:rPr>
          <w:spacing w:val="-2"/>
          <w:lang w:val="en-US"/>
        </w:rPr>
        <w:t xml:space="preserve">understanding the relationship between assessment practice and improved teaching and learning was not adequately grasped by </w:t>
      </w:r>
      <w:r>
        <w:rPr>
          <w:spacing w:val="-2"/>
          <w:lang w:val="en-US"/>
        </w:rPr>
        <w:t xml:space="preserve">either </w:t>
      </w:r>
      <w:r w:rsidR="00C96136" w:rsidRPr="00C918BF">
        <w:rPr>
          <w:spacing w:val="-2"/>
          <w:lang w:val="en-US"/>
        </w:rPr>
        <w:t xml:space="preserve">teachers or </w:t>
      </w:r>
      <w:r>
        <w:rPr>
          <w:spacing w:val="-2"/>
          <w:lang w:val="en-US"/>
        </w:rPr>
        <w:t xml:space="preserve">school </w:t>
      </w:r>
      <w:r w:rsidR="00C96136" w:rsidRPr="00C918BF">
        <w:rPr>
          <w:spacing w:val="-2"/>
          <w:lang w:val="en-US"/>
        </w:rPr>
        <w:t xml:space="preserve">principals. This led </w:t>
      </w:r>
      <w:r>
        <w:rPr>
          <w:spacing w:val="-2"/>
          <w:lang w:val="en-US"/>
        </w:rPr>
        <w:t xml:space="preserve">KEF </w:t>
      </w:r>
      <w:r w:rsidR="00C32532">
        <w:rPr>
          <w:spacing w:val="-2"/>
          <w:lang w:val="en-US"/>
        </w:rPr>
        <w:t xml:space="preserve">to </w:t>
      </w:r>
      <w:r>
        <w:rPr>
          <w:spacing w:val="-2"/>
          <w:lang w:val="en-US"/>
        </w:rPr>
        <w:t xml:space="preserve">support </w:t>
      </w:r>
      <w:r w:rsidR="00C32532">
        <w:rPr>
          <w:spacing w:val="-2"/>
          <w:lang w:val="en-US"/>
        </w:rPr>
        <w:t xml:space="preserve">a </w:t>
      </w:r>
      <w:r>
        <w:rPr>
          <w:spacing w:val="-2"/>
          <w:lang w:val="en-US"/>
        </w:rPr>
        <w:t xml:space="preserve">greater MoE </w:t>
      </w:r>
      <w:r w:rsidR="00C96136" w:rsidRPr="00C918BF">
        <w:rPr>
          <w:spacing w:val="-2"/>
          <w:lang w:val="en-US"/>
        </w:rPr>
        <w:t xml:space="preserve">effort in </w:t>
      </w:r>
      <w:r>
        <w:rPr>
          <w:spacing w:val="-2"/>
          <w:lang w:val="en-US"/>
        </w:rPr>
        <w:t xml:space="preserve">student </w:t>
      </w:r>
      <w:r w:rsidR="00C96136" w:rsidRPr="00C918BF">
        <w:rPr>
          <w:spacing w:val="-2"/>
          <w:lang w:val="en-US"/>
        </w:rPr>
        <w:t>assessment, in sch</w:t>
      </w:r>
      <w:r w:rsidR="001413EF" w:rsidRPr="00C918BF">
        <w:rPr>
          <w:spacing w:val="-2"/>
          <w:lang w:val="en-US"/>
        </w:rPr>
        <w:t xml:space="preserve">ool leadership training, in </w:t>
      </w:r>
      <w:r>
        <w:rPr>
          <w:spacing w:val="-2"/>
          <w:lang w:val="en-US"/>
        </w:rPr>
        <w:t xml:space="preserve">the </w:t>
      </w:r>
      <w:r w:rsidR="00C96136" w:rsidRPr="00C918BF">
        <w:rPr>
          <w:spacing w:val="-2"/>
          <w:lang w:val="en-US"/>
        </w:rPr>
        <w:t xml:space="preserve">development of curriculum materials and guides, and </w:t>
      </w:r>
      <w:r w:rsidR="002B3ABE" w:rsidRPr="00C918BF">
        <w:rPr>
          <w:spacing w:val="-2"/>
          <w:lang w:val="en-US"/>
        </w:rPr>
        <w:t xml:space="preserve">in </w:t>
      </w:r>
      <w:r w:rsidR="00C96136" w:rsidRPr="00C918BF">
        <w:rPr>
          <w:spacing w:val="-2"/>
          <w:lang w:val="en-US"/>
        </w:rPr>
        <w:t xml:space="preserve">support to the MoE in increasing its focus on testing and assessment tools, including </w:t>
      </w:r>
      <w:r w:rsidR="005977AB">
        <w:rPr>
          <w:spacing w:val="-2"/>
          <w:lang w:val="en-US"/>
        </w:rPr>
        <w:t xml:space="preserve">the use of the </w:t>
      </w:r>
      <w:r w:rsidR="00C55C0C" w:rsidRPr="00C918BF">
        <w:rPr>
          <w:rFonts w:cs="Arial"/>
        </w:rPr>
        <w:t>Standardised Test of Achievement in Kiribati</w:t>
      </w:r>
      <w:r w:rsidR="00A82C90">
        <w:rPr>
          <w:spacing w:val="-2"/>
          <w:lang w:val="en-US"/>
        </w:rPr>
        <w:t xml:space="preserve"> </w:t>
      </w:r>
      <w:r w:rsidR="00C55C0C">
        <w:rPr>
          <w:spacing w:val="-2"/>
          <w:lang w:val="en-US"/>
        </w:rPr>
        <w:t>(</w:t>
      </w:r>
      <w:r w:rsidR="00C96136" w:rsidRPr="00C918BF">
        <w:rPr>
          <w:spacing w:val="-2"/>
          <w:lang w:val="en-US"/>
        </w:rPr>
        <w:t>STAKI</w:t>
      </w:r>
      <w:r w:rsidR="00C55C0C">
        <w:rPr>
          <w:spacing w:val="-2"/>
          <w:lang w:val="en-US"/>
        </w:rPr>
        <w:t>)</w:t>
      </w:r>
      <w:r w:rsidR="00C96136" w:rsidRPr="00C918BF">
        <w:rPr>
          <w:spacing w:val="-2"/>
          <w:lang w:val="en-US"/>
        </w:rPr>
        <w:t xml:space="preserve">. </w:t>
      </w:r>
    </w:p>
    <w:p w14:paraId="62E7D553" w14:textId="79192248" w:rsidR="00C96136" w:rsidRPr="00C918BF" w:rsidRDefault="00C96136" w:rsidP="00820811">
      <w:pPr>
        <w:spacing w:before="100" w:after="100" w:line="235" w:lineRule="auto"/>
      </w:pPr>
      <w:r w:rsidRPr="00C918BF">
        <w:t xml:space="preserve">The </w:t>
      </w:r>
      <w:r w:rsidR="00774012" w:rsidRPr="00C918BF">
        <w:t xml:space="preserve">Independent </w:t>
      </w:r>
      <w:r w:rsidRPr="00C918BF">
        <w:t>Evaluation identified a need to improve data coordination, collection and analysis, including opportunities for Kiribati’s engagement in the UNESCO Institute of Statistics’ regional Pacific initiative for support for data improvement and policy analysis.</w:t>
      </w:r>
      <w:r w:rsidR="005977AB">
        <w:t xml:space="preserve"> This led to greater regional coordination on data collection and analysis, as well as a focus on the MoE KEMIS function and capability. Th</w:t>
      </w:r>
      <w:r w:rsidR="00C32532">
        <w:t xml:space="preserve">e </w:t>
      </w:r>
      <w:r w:rsidR="00F84410">
        <w:t xml:space="preserve">requirement for additional </w:t>
      </w:r>
      <w:r w:rsidR="005977AB">
        <w:t xml:space="preserve">support and assistance to </w:t>
      </w:r>
      <w:r w:rsidR="00F84410">
        <w:t xml:space="preserve">the collection and management of </w:t>
      </w:r>
      <w:r w:rsidR="005977AB">
        <w:t xml:space="preserve">education data </w:t>
      </w:r>
      <w:r w:rsidR="00F84410">
        <w:t xml:space="preserve">was also identified in the KEIP </w:t>
      </w:r>
      <w:r w:rsidR="00743616">
        <w:t>Phase 3</w:t>
      </w:r>
      <w:r w:rsidR="00F84410">
        <w:t xml:space="preserve"> </w:t>
      </w:r>
      <w:r w:rsidR="00680AEC">
        <w:t>Investment Design Document (</w:t>
      </w:r>
      <w:r w:rsidR="00F84410">
        <w:t>IDD</w:t>
      </w:r>
      <w:r w:rsidR="00680AEC">
        <w:t>)</w:t>
      </w:r>
      <w:r w:rsidR="00F84410">
        <w:t xml:space="preserve"> and will </w:t>
      </w:r>
      <w:r w:rsidR="005977AB">
        <w:t xml:space="preserve">need to continue, </w:t>
      </w:r>
      <w:r w:rsidR="00110B2A">
        <w:t xml:space="preserve">because </w:t>
      </w:r>
      <w:r w:rsidR="005977AB">
        <w:t xml:space="preserve">the availability of valid and reliable </w:t>
      </w:r>
      <w:r w:rsidR="00110B2A">
        <w:t xml:space="preserve">educational </w:t>
      </w:r>
      <w:r w:rsidR="005977AB">
        <w:t xml:space="preserve">data </w:t>
      </w:r>
      <w:r w:rsidR="00F84410">
        <w:t xml:space="preserve">(including the reporting of achievements or constraints) </w:t>
      </w:r>
      <w:r w:rsidR="005977AB">
        <w:t>remains a MoE and ESSP priority.</w:t>
      </w:r>
      <w:r w:rsidRPr="00C918BF">
        <w:t xml:space="preserve"> </w:t>
      </w:r>
    </w:p>
    <w:p w14:paraId="72EFA9A4" w14:textId="670695BD" w:rsidR="00C96136" w:rsidRPr="00C918BF" w:rsidRDefault="00A130CF" w:rsidP="00820811">
      <w:pPr>
        <w:spacing w:before="100" w:after="100" w:line="235" w:lineRule="auto"/>
      </w:pPr>
      <w:r w:rsidRPr="00C918BF">
        <w:t>Finally t</w:t>
      </w:r>
      <w:r w:rsidR="00C96136" w:rsidRPr="00C918BF">
        <w:t xml:space="preserve">he Evaluation found the EPiK forum </w:t>
      </w:r>
      <w:r w:rsidRPr="00C918BF">
        <w:t>was</w:t>
      </w:r>
      <w:r w:rsidR="00C96136" w:rsidRPr="00C918BF">
        <w:t xml:space="preserve"> a promising mechanism for coordinated GoK leadership of the reform process with </w:t>
      </w:r>
      <w:r w:rsidR="001413EF" w:rsidRPr="00C918BF">
        <w:t xml:space="preserve">its </w:t>
      </w:r>
      <w:r w:rsidR="00C96136" w:rsidRPr="00C918BF">
        <w:t xml:space="preserve">stakeholders and development partners. </w:t>
      </w:r>
    </w:p>
    <w:p w14:paraId="6E6E5EFC" w14:textId="4E4535FA" w:rsidR="001776DC" w:rsidRPr="0060082A" w:rsidRDefault="001776DC" w:rsidP="00820811">
      <w:pPr>
        <w:spacing w:before="100" w:after="100" w:line="235" w:lineRule="auto"/>
      </w:pPr>
      <w:r w:rsidRPr="0060082A">
        <w:t>Th</w:t>
      </w:r>
      <w:r w:rsidR="006907EC" w:rsidRPr="0060082A">
        <w:t>e</w:t>
      </w:r>
      <w:r w:rsidRPr="0060082A">
        <w:t xml:space="preserve"> M&amp;E support, in cooperation with </w:t>
      </w:r>
      <w:r w:rsidR="00A27114" w:rsidRPr="0060082A">
        <w:t>MoE</w:t>
      </w:r>
      <w:r w:rsidRPr="0060082A">
        <w:t xml:space="preserve"> staff and local consultants, provide</w:t>
      </w:r>
      <w:r w:rsidR="006907EC" w:rsidRPr="0060082A">
        <w:t>d</w:t>
      </w:r>
      <w:r w:rsidRPr="0060082A">
        <w:t xml:space="preserve"> </w:t>
      </w:r>
      <w:r w:rsidR="00A27114" w:rsidRPr="0060082A">
        <w:t>MoE</w:t>
      </w:r>
      <w:r w:rsidRPr="0060082A">
        <w:t xml:space="preserve"> with the </w:t>
      </w:r>
      <w:r w:rsidR="00366F11" w:rsidRPr="0060082A">
        <w:t xml:space="preserve">advice, </w:t>
      </w:r>
      <w:r w:rsidRPr="0060082A">
        <w:t xml:space="preserve">tools and information </w:t>
      </w:r>
      <w:r w:rsidR="00366F11" w:rsidRPr="0060082A">
        <w:t xml:space="preserve">that were </w:t>
      </w:r>
      <w:r w:rsidRPr="0060082A">
        <w:t>require</w:t>
      </w:r>
      <w:r w:rsidR="006907EC" w:rsidRPr="0060082A">
        <w:t>d</w:t>
      </w:r>
      <w:r w:rsidRPr="0060082A">
        <w:t xml:space="preserve"> </w:t>
      </w:r>
      <w:r w:rsidR="00774012" w:rsidRPr="0060082A">
        <w:t xml:space="preserve">to support their </w:t>
      </w:r>
      <w:r w:rsidRPr="0060082A">
        <w:t xml:space="preserve">collection and analysis of school level data. The M&amp;E activities and research each involved key </w:t>
      </w:r>
      <w:r w:rsidR="00A27114" w:rsidRPr="0060082A">
        <w:t>MoE</w:t>
      </w:r>
      <w:r w:rsidRPr="0060082A">
        <w:t xml:space="preserve"> staff </w:t>
      </w:r>
      <w:r w:rsidR="00774012" w:rsidRPr="0060082A">
        <w:t xml:space="preserve">in </w:t>
      </w:r>
      <w:r w:rsidRPr="0060082A">
        <w:t xml:space="preserve">the </w:t>
      </w:r>
      <w:r w:rsidR="00774012" w:rsidRPr="0060082A">
        <w:t xml:space="preserve">reporting </w:t>
      </w:r>
      <w:r w:rsidRPr="0060082A">
        <w:t>process</w:t>
      </w:r>
      <w:r w:rsidR="00366F11" w:rsidRPr="0060082A">
        <w:t xml:space="preserve"> as the curriculum reform and various PD initiatives were implemented</w:t>
      </w:r>
      <w:r w:rsidRPr="0060082A">
        <w:t xml:space="preserve">. </w:t>
      </w:r>
      <w:r w:rsidR="00366F11" w:rsidRPr="0060082A">
        <w:t xml:space="preserve">The cooperative approach </w:t>
      </w:r>
      <w:r w:rsidRPr="0060082A">
        <w:t>also serve</w:t>
      </w:r>
      <w:r w:rsidR="006907EC" w:rsidRPr="0060082A">
        <w:t>d</w:t>
      </w:r>
      <w:r w:rsidRPr="0060082A">
        <w:t xml:space="preserve"> to strengthen the </w:t>
      </w:r>
      <w:r w:rsidR="00E42168" w:rsidRPr="0060082A">
        <w:t xml:space="preserve">capacity of </w:t>
      </w:r>
      <w:r w:rsidR="00A27114" w:rsidRPr="0060082A">
        <w:t>MoE</w:t>
      </w:r>
      <w:r w:rsidRPr="0060082A">
        <w:t xml:space="preserve"> staff to better understand the importance of </w:t>
      </w:r>
      <w:r w:rsidR="00366F11" w:rsidRPr="0060082A">
        <w:t xml:space="preserve">having access to </w:t>
      </w:r>
      <w:r w:rsidRPr="0060082A">
        <w:t xml:space="preserve">reliable data and </w:t>
      </w:r>
      <w:r w:rsidR="00366F11" w:rsidRPr="0060082A">
        <w:t>the ability to</w:t>
      </w:r>
      <w:r w:rsidRPr="0060082A">
        <w:t xml:space="preserve"> provide models for their future research and data collection needs. </w:t>
      </w:r>
    </w:p>
    <w:p w14:paraId="1B3ED54C" w14:textId="43FD0C79" w:rsidR="001776DC" w:rsidRPr="0060082A" w:rsidRDefault="001776DC"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The </w:t>
      </w:r>
      <w:r w:rsidR="00E42168" w:rsidRPr="0060082A">
        <w:rPr>
          <w:rFonts w:asciiTheme="majorHAnsi" w:hAnsiTheme="majorHAnsi" w:cstheme="majorHAnsi"/>
        </w:rPr>
        <w:t xml:space="preserve">KEIP Phase </w:t>
      </w:r>
      <w:r w:rsidR="000A49FE">
        <w:rPr>
          <w:rFonts w:asciiTheme="majorHAnsi" w:hAnsiTheme="majorHAnsi" w:cstheme="majorHAnsi"/>
        </w:rPr>
        <w:t>2</w:t>
      </w:r>
      <w:r w:rsidR="00E42168" w:rsidRPr="0060082A">
        <w:rPr>
          <w:rFonts w:asciiTheme="majorHAnsi" w:hAnsiTheme="majorHAnsi" w:cstheme="majorHAnsi"/>
        </w:rPr>
        <w:t xml:space="preserve"> Progress against the Monitoring and Evaluation Framework </w:t>
      </w:r>
      <w:r w:rsidRPr="0060082A">
        <w:rPr>
          <w:rFonts w:asciiTheme="majorHAnsi" w:hAnsiTheme="majorHAnsi" w:cstheme="majorHAnsi"/>
        </w:rPr>
        <w:t xml:space="preserve">Performance </w:t>
      </w:r>
      <w:r w:rsidR="008429C8" w:rsidRPr="0060082A">
        <w:rPr>
          <w:rFonts w:asciiTheme="majorHAnsi" w:hAnsiTheme="majorHAnsi" w:cstheme="majorHAnsi"/>
        </w:rPr>
        <w:t xml:space="preserve">Assessment </w:t>
      </w:r>
      <w:r w:rsidRPr="0060082A">
        <w:rPr>
          <w:rFonts w:asciiTheme="majorHAnsi" w:hAnsiTheme="majorHAnsi" w:cstheme="majorHAnsi"/>
        </w:rPr>
        <w:t xml:space="preserve">Framework is included as Annex </w:t>
      </w:r>
      <w:r w:rsidR="00E42168" w:rsidRPr="0060082A">
        <w:rPr>
          <w:rFonts w:asciiTheme="majorHAnsi" w:hAnsiTheme="majorHAnsi" w:cstheme="majorHAnsi"/>
        </w:rPr>
        <w:t>1</w:t>
      </w:r>
      <w:r w:rsidRPr="0060082A">
        <w:rPr>
          <w:rFonts w:asciiTheme="majorHAnsi" w:hAnsiTheme="majorHAnsi" w:cstheme="majorHAnsi"/>
        </w:rPr>
        <w:t>.</w:t>
      </w:r>
    </w:p>
    <w:p w14:paraId="1E1835E1" w14:textId="0CD20FF6" w:rsidR="00B35694" w:rsidRPr="0060082A" w:rsidRDefault="00B35694" w:rsidP="00820811">
      <w:pPr>
        <w:spacing w:before="100" w:after="100" w:line="235" w:lineRule="auto"/>
        <w:rPr>
          <w:rFonts w:asciiTheme="majorHAnsi" w:hAnsiTheme="majorHAnsi" w:cstheme="majorHAnsi"/>
        </w:rPr>
      </w:pPr>
      <w:r w:rsidRPr="0060082A">
        <w:rPr>
          <w:rFonts w:asciiTheme="majorHAnsi" w:hAnsiTheme="majorHAnsi" w:cstheme="majorHAnsi"/>
        </w:rPr>
        <w:t>In addition to the M&amp;E reporting and provision of data and information to the MoE, research was carried out to gather additional information on the impact of the KEIP support and MoE actions, as well as additional insights into how basic education is being perceived by stakeholders.</w:t>
      </w:r>
    </w:p>
    <w:p w14:paraId="54897FE0" w14:textId="7AC1B87A" w:rsidR="00A130CF" w:rsidRPr="0060082A" w:rsidRDefault="00A130CF" w:rsidP="00820811">
      <w:pPr>
        <w:spacing w:before="100" w:after="100" w:line="235" w:lineRule="auto"/>
        <w:rPr>
          <w:rFonts w:asciiTheme="majorHAnsi" w:hAnsiTheme="majorHAnsi" w:cstheme="majorHAnsi"/>
        </w:rPr>
      </w:pPr>
      <w:r w:rsidRPr="0060082A">
        <w:rPr>
          <w:rFonts w:asciiTheme="majorHAnsi" w:hAnsiTheme="majorHAnsi" w:cstheme="majorHAnsi"/>
        </w:rPr>
        <w:t>In late 2015</w:t>
      </w:r>
      <w:r w:rsidR="00E42168" w:rsidRPr="0060082A">
        <w:rPr>
          <w:rFonts w:asciiTheme="majorHAnsi" w:hAnsiTheme="majorHAnsi" w:cstheme="majorHAnsi"/>
        </w:rPr>
        <w:t>,</w:t>
      </w:r>
      <w:r w:rsidRPr="0060082A">
        <w:rPr>
          <w:rFonts w:asciiTheme="majorHAnsi" w:hAnsiTheme="majorHAnsi" w:cstheme="majorHAnsi"/>
        </w:rPr>
        <w:t xml:space="preserve"> related M&amp;E research activities were undertaken with MoE</w:t>
      </w:r>
      <w:r w:rsidR="00754F17" w:rsidRPr="0060082A">
        <w:rPr>
          <w:rFonts w:asciiTheme="majorHAnsi" w:hAnsiTheme="majorHAnsi" w:cstheme="majorHAnsi"/>
        </w:rPr>
        <w:t xml:space="preserve"> comprised of cases studies of eight primary schools in South Tarawa, Butaritari and Nonouti. Consecutively, nation-wide surveys of teachers, school leaders and households were conducted to assess progress in implementing the new curriculum and </w:t>
      </w:r>
      <w:r w:rsidR="008026D1" w:rsidRPr="0060082A">
        <w:rPr>
          <w:rFonts w:asciiTheme="majorHAnsi" w:hAnsiTheme="majorHAnsi" w:cstheme="majorHAnsi"/>
        </w:rPr>
        <w:t xml:space="preserve">also to </w:t>
      </w:r>
      <w:r w:rsidR="00754F17" w:rsidRPr="0060082A">
        <w:rPr>
          <w:rFonts w:asciiTheme="majorHAnsi" w:hAnsiTheme="majorHAnsi" w:cstheme="majorHAnsi"/>
        </w:rPr>
        <w:t xml:space="preserve">provide baseline measures for KEIP </w:t>
      </w:r>
      <w:r w:rsidR="00743616">
        <w:rPr>
          <w:rFonts w:asciiTheme="majorHAnsi" w:hAnsiTheme="majorHAnsi" w:cstheme="majorHAnsi"/>
        </w:rPr>
        <w:t>Phase 3</w:t>
      </w:r>
      <w:r w:rsidR="00754F17" w:rsidRPr="0060082A">
        <w:rPr>
          <w:rFonts w:asciiTheme="majorHAnsi" w:hAnsiTheme="majorHAnsi" w:cstheme="majorHAnsi"/>
        </w:rPr>
        <w:t>.</w:t>
      </w:r>
    </w:p>
    <w:p w14:paraId="39FBA837" w14:textId="41EA6E32" w:rsidR="00B97856" w:rsidRPr="0060082A" w:rsidRDefault="00B97856" w:rsidP="00820811">
      <w:pPr>
        <w:spacing w:before="100" w:after="100" w:line="235" w:lineRule="auto"/>
        <w:rPr>
          <w:rFonts w:asciiTheme="majorHAnsi" w:hAnsiTheme="majorHAnsi" w:cstheme="majorHAnsi"/>
        </w:rPr>
      </w:pPr>
      <w:r w:rsidRPr="0060082A">
        <w:rPr>
          <w:rFonts w:asciiTheme="majorHAnsi" w:hAnsiTheme="majorHAnsi" w:cstheme="majorHAnsi"/>
        </w:rPr>
        <w:t>In addition to the M&amp;E reporting and research, a literature review was</w:t>
      </w:r>
      <w:r w:rsidR="00754F17" w:rsidRPr="0060082A">
        <w:rPr>
          <w:rFonts w:asciiTheme="majorHAnsi" w:hAnsiTheme="majorHAnsi" w:cstheme="majorHAnsi"/>
        </w:rPr>
        <w:t xml:space="preserve"> also</w:t>
      </w:r>
      <w:r w:rsidRPr="0060082A">
        <w:rPr>
          <w:rFonts w:asciiTheme="majorHAnsi" w:hAnsiTheme="majorHAnsi" w:cstheme="majorHAnsi"/>
        </w:rPr>
        <w:t xml:space="preserve"> undertaken in support of </w:t>
      </w:r>
      <w:r w:rsidR="00A27114" w:rsidRPr="0060082A">
        <w:rPr>
          <w:rFonts w:asciiTheme="majorHAnsi" w:hAnsiTheme="majorHAnsi" w:cstheme="majorHAnsi"/>
        </w:rPr>
        <w:t>MoE</w:t>
      </w:r>
      <w:r w:rsidRPr="0060082A">
        <w:rPr>
          <w:rFonts w:asciiTheme="majorHAnsi" w:hAnsiTheme="majorHAnsi" w:cstheme="majorHAnsi"/>
        </w:rPr>
        <w:t xml:space="preserve"> </w:t>
      </w:r>
      <w:r w:rsidR="00774012" w:rsidRPr="0060082A">
        <w:rPr>
          <w:rFonts w:asciiTheme="majorHAnsi" w:hAnsiTheme="majorHAnsi" w:cstheme="majorHAnsi"/>
        </w:rPr>
        <w:t xml:space="preserve">staff and </w:t>
      </w:r>
      <w:r w:rsidRPr="0060082A">
        <w:rPr>
          <w:rFonts w:asciiTheme="majorHAnsi" w:hAnsiTheme="majorHAnsi" w:cstheme="majorHAnsi"/>
        </w:rPr>
        <w:t>decision making. The literature review</w:t>
      </w:r>
      <w:r w:rsidR="00566412" w:rsidRPr="0060082A">
        <w:rPr>
          <w:rFonts w:asciiTheme="majorHAnsi" w:hAnsiTheme="majorHAnsi" w:cstheme="majorHAnsi"/>
        </w:rPr>
        <w:t xml:space="preserve">, </w:t>
      </w:r>
      <w:r w:rsidRPr="0060082A">
        <w:rPr>
          <w:rFonts w:asciiTheme="majorHAnsi" w:hAnsiTheme="majorHAnsi" w:cstheme="majorHAnsi"/>
        </w:rPr>
        <w:t xml:space="preserve">provided to </w:t>
      </w:r>
      <w:r w:rsidR="00502C97" w:rsidRPr="0060082A">
        <w:rPr>
          <w:rFonts w:asciiTheme="majorHAnsi" w:hAnsiTheme="majorHAnsi" w:cstheme="majorHAnsi"/>
        </w:rPr>
        <w:t>MoE</w:t>
      </w:r>
      <w:r w:rsidR="00566412" w:rsidRPr="0060082A">
        <w:rPr>
          <w:rFonts w:asciiTheme="majorHAnsi" w:hAnsiTheme="majorHAnsi" w:cstheme="majorHAnsi"/>
        </w:rPr>
        <w:t xml:space="preserve">, </w:t>
      </w:r>
      <w:r w:rsidRPr="0060082A">
        <w:rPr>
          <w:rFonts w:asciiTheme="majorHAnsi" w:hAnsiTheme="majorHAnsi" w:cstheme="majorHAnsi"/>
        </w:rPr>
        <w:t>provid</w:t>
      </w:r>
      <w:r w:rsidR="00774012" w:rsidRPr="0060082A">
        <w:rPr>
          <w:rFonts w:asciiTheme="majorHAnsi" w:hAnsiTheme="majorHAnsi" w:cstheme="majorHAnsi"/>
        </w:rPr>
        <w:t xml:space="preserve">ed </w:t>
      </w:r>
      <w:r w:rsidRPr="0060082A">
        <w:rPr>
          <w:rFonts w:asciiTheme="majorHAnsi" w:hAnsiTheme="majorHAnsi" w:cstheme="majorHAnsi"/>
        </w:rPr>
        <w:t>a broader pool of source documents and examples for use in policy development or comparative analysis</w:t>
      </w:r>
      <w:r w:rsidR="00754F17" w:rsidRPr="0060082A">
        <w:rPr>
          <w:rFonts w:asciiTheme="majorHAnsi" w:hAnsiTheme="majorHAnsi" w:cstheme="majorHAnsi"/>
        </w:rPr>
        <w:t xml:space="preserve"> in </w:t>
      </w:r>
      <w:r w:rsidR="00774012" w:rsidRPr="0060082A">
        <w:rPr>
          <w:rFonts w:asciiTheme="majorHAnsi" w:hAnsiTheme="majorHAnsi" w:cstheme="majorHAnsi"/>
        </w:rPr>
        <w:t xml:space="preserve">the </w:t>
      </w:r>
      <w:r w:rsidR="00754F17" w:rsidRPr="0060082A">
        <w:rPr>
          <w:rFonts w:asciiTheme="majorHAnsi" w:hAnsiTheme="majorHAnsi" w:cstheme="majorHAnsi"/>
        </w:rPr>
        <w:t>three priority areas identified by MoE</w:t>
      </w:r>
      <w:r w:rsidRPr="0060082A">
        <w:rPr>
          <w:rFonts w:asciiTheme="majorHAnsi" w:hAnsiTheme="majorHAnsi" w:cstheme="majorHAnsi"/>
        </w:rPr>
        <w:t>.</w:t>
      </w:r>
      <w:r w:rsidR="00754F17" w:rsidRPr="0060082A">
        <w:rPr>
          <w:rFonts w:asciiTheme="majorHAnsi" w:hAnsiTheme="majorHAnsi" w:cstheme="majorHAnsi"/>
        </w:rPr>
        <w:t xml:space="preserve"> These were </w:t>
      </w:r>
      <w:r w:rsidR="00403567" w:rsidRPr="0060082A">
        <w:rPr>
          <w:rFonts w:asciiTheme="majorHAnsi" w:hAnsiTheme="majorHAnsi" w:cstheme="majorHAnsi"/>
        </w:rPr>
        <w:t xml:space="preserve">i) </w:t>
      </w:r>
      <w:r w:rsidR="00754F17" w:rsidRPr="0060082A">
        <w:rPr>
          <w:rFonts w:asciiTheme="majorHAnsi" w:hAnsiTheme="majorHAnsi" w:cstheme="majorHAnsi"/>
        </w:rPr>
        <w:t xml:space="preserve">School Leadership, </w:t>
      </w:r>
      <w:r w:rsidR="000A49FE">
        <w:rPr>
          <w:rFonts w:asciiTheme="majorHAnsi" w:hAnsiTheme="majorHAnsi" w:cstheme="majorHAnsi"/>
        </w:rPr>
        <w:t>2</w:t>
      </w:r>
      <w:r w:rsidR="00403567" w:rsidRPr="0060082A">
        <w:rPr>
          <w:rFonts w:asciiTheme="majorHAnsi" w:hAnsiTheme="majorHAnsi" w:cstheme="majorHAnsi"/>
        </w:rPr>
        <w:t xml:space="preserve">) </w:t>
      </w:r>
      <w:r w:rsidR="00754F17" w:rsidRPr="0060082A">
        <w:rPr>
          <w:rFonts w:asciiTheme="majorHAnsi" w:hAnsiTheme="majorHAnsi" w:cstheme="majorHAnsi"/>
        </w:rPr>
        <w:t>Assessment Approaches</w:t>
      </w:r>
      <w:r w:rsidR="00C32532" w:rsidRPr="0060082A">
        <w:rPr>
          <w:rFonts w:asciiTheme="majorHAnsi" w:hAnsiTheme="majorHAnsi" w:cstheme="majorHAnsi"/>
        </w:rPr>
        <w:t>,</w:t>
      </w:r>
      <w:r w:rsidR="00754F17" w:rsidRPr="0060082A">
        <w:rPr>
          <w:rFonts w:asciiTheme="majorHAnsi" w:hAnsiTheme="majorHAnsi" w:cstheme="majorHAnsi"/>
        </w:rPr>
        <w:t xml:space="preserve"> and </w:t>
      </w:r>
      <w:r w:rsidR="000A49FE">
        <w:rPr>
          <w:rFonts w:asciiTheme="majorHAnsi" w:hAnsiTheme="majorHAnsi" w:cstheme="majorHAnsi"/>
        </w:rPr>
        <w:t>2</w:t>
      </w:r>
      <w:r w:rsidR="00403567" w:rsidRPr="0060082A">
        <w:rPr>
          <w:rFonts w:asciiTheme="majorHAnsi" w:hAnsiTheme="majorHAnsi" w:cstheme="majorHAnsi"/>
        </w:rPr>
        <w:t xml:space="preserve">i) </w:t>
      </w:r>
      <w:r w:rsidR="00754F17" w:rsidRPr="0060082A">
        <w:rPr>
          <w:rFonts w:asciiTheme="majorHAnsi" w:hAnsiTheme="majorHAnsi" w:cstheme="majorHAnsi"/>
        </w:rPr>
        <w:t>Approaches to teaching in non-English language environments.</w:t>
      </w:r>
    </w:p>
    <w:p w14:paraId="067118C8" w14:textId="0972F9C9" w:rsidR="00A130CF" w:rsidRPr="0060082A" w:rsidRDefault="00A130CF"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The KEIP Research Synthesis Report is included as Annex </w:t>
      </w:r>
      <w:r w:rsidR="00E42168" w:rsidRPr="0060082A">
        <w:rPr>
          <w:rFonts w:asciiTheme="majorHAnsi" w:hAnsiTheme="majorHAnsi" w:cstheme="majorHAnsi"/>
        </w:rPr>
        <w:t>4</w:t>
      </w:r>
      <w:r w:rsidRPr="0060082A">
        <w:rPr>
          <w:rFonts w:asciiTheme="majorHAnsi" w:hAnsiTheme="majorHAnsi" w:cstheme="majorHAnsi"/>
        </w:rPr>
        <w:t>.</w:t>
      </w:r>
    </w:p>
    <w:p w14:paraId="3BD0591E" w14:textId="599250ED" w:rsidR="00C30464" w:rsidRPr="00C918BF" w:rsidRDefault="00B07F6D" w:rsidP="00820811">
      <w:pPr>
        <w:pStyle w:val="Heading3"/>
        <w:spacing w:line="235" w:lineRule="auto"/>
      </w:pPr>
      <w:bookmarkStart w:id="31" w:name="_Toc461615682"/>
      <w:r w:rsidRPr="00C918BF">
        <w:t xml:space="preserve">The </w:t>
      </w:r>
      <w:r w:rsidR="00C30464" w:rsidRPr="00C918BF">
        <w:t xml:space="preserve">KEIP Phase </w:t>
      </w:r>
      <w:r w:rsidR="000A49FE">
        <w:t>2</w:t>
      </w:r>
      <w:r w:rsidR="00C30464" w:rsidRPr="00C918BF">
        <w:t xml:space="preserve"> </w:t>
      </w:r>
      <w:r w:rsidR="00774012" w:rsidRPr="00C918BF">
        <w:t xml:space="preserve">Intended </w:t>
      </w:r>
      <w:r w:rsidR="000110F3" w:rsidRPr="00C918BF">
        <w:t>Outcomes</w:t>
      </w:r>
      <w:bookmarkEnd w:id="31"/>
    </w:p>
    <w:p w14:paraId="42F7B109" w14:textId="31C3AA65" w:rsidR="005D4846" w:rsidRPr="0060082A" w:rsidRDefault="005D4846"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KEIP </w:t>
      </w:r>
      <w:r w:rsidR="0026224E" w:rsidRPr="0060082A">
        <w:rPr>
          <w:rFonts w:asciiTheme="majorHAnsi" w:hAnsiTheme="majorHAnsi" w:cstheme="majorHAnsi"/>
        </w:rPr>
        <w:t xml:space="preserve">Phase </w:t>
      </w:r>
      <w:r w:rsidR="000A49FE">
        <w:rPr>
          <w:rFonts w:asciiTheme="majorHAnsi" w:hAnsiTheme="majorHAnsi" w:cstheme="majorHAnsi"/>
        </w:rPr>
        <w:t>2</w:t>
      </w:r>
      <w:r w:rsidRPr="0060082A">
        <w:rPr>
          <w:rFonts w:asciiTheme="majorHAnsi" w:hAnsiTheme="majorHAnsi" w:cstheme="majorHAnsi"/>
        </w:rPr>
        <w:t xml:space="preserve"> </w:t>
      </w:r>
      <w:r w:rsidR="001B51B5" w:rsidRPr="0060082A">
        <w:rPr>
          <w:rFonts w:asciiTheme="majorHAnsi" w:hAnsiTheme="majorHAnsi" w:cstheme="majorHAnsi"/>
        </w:rPr>
        <w:t xml:space="preserve">was designed to </w:t>
      </w:r>
      <w:r w:rsidR="00774012" w:rsidRPr="0060082A">
        <w:rPr>
          <w:rFonts w:asciiTheme="majorHAnsi" w:hAnsiTheme="majorHAnsi" w:cstheme="majorHAnsi"/>
        </w:rPr>
        <w:t>support</w:t>
      </w:r>
      <w:r w:rsidR="006E6B10" w:rsidRPr="0060082A">
        <w:rPr>
          <w:rFonts w:asciiTheme="majorHAnsi" w:hAnsiTheme="majorHAnsi" w:cstheme="majorHAnsi"/>
        </w:rPr>
        <w:t xml:space="preserve"> </w:t>
      </w:r>
      <w:r w:rsidR="001B51B5" w:rsidRPr="0060082A">
        <w:rPr>
          <w:rFonts w:asciiTheme="majorHAnsi" w:hAnsiTheme="majorHAnsi" w:cstheme="majorHAnsi"/>
        </w:rPr>
        <w:t>two high-level</w:t>
      </w:r>
      <w:r w:rsidRPr="0060082A">
        <w:rPr>
          <w:rFonts w:asciiTheme="majorHAnsi" w:hAnsiTheme="majorHAnsi" w:cstheme="majorHAnsi"/>
        </w:rPr>
        <w:t xml:space="preserve"> </w:t>
      </w:r>
      <w:r w:rsidR="00EC036F" w:rsidRPr="0060082A">
        <w:rPr>
          <w:rFonts w:asciiTheme="majorHAnsi" w:hAnsiTheme="majorHAnsi" w:cstheme="majorHAnsi"/>
        </w:rPr>
        <w:t>outcomes</w:t>
      </w:r>
      <w:r w:rsidR="006E6B10" w:rsidRPr="0060082A">
        <w:rPr>
          <w:rFonts w:asciiTheme="majorHAnsi" w:hAnsiTheme="majorHAnsi" w:cstheme="majorHAnsi"/>
        </w:rPr>
        <w:t xml:space="preserve"> </w:t>
      </w:r>
      <w:r w:rsidRPr="0060082A">
        <w:rPr>
          <w:rFonts w:asciiTheme="majorHAnsi" w:hAnsiTheme="majorHAnsi" w:cstheme="majorHAnsi"/>
        </w:rPr>
        <w:t xml:space="preserve">i) Improve Te-Kiribati language, literacy and numeracy skills of children in Years 1-4; and </w:t>
      </w:r>
      <w:r w:rsidR="000A49FE">
        <w:rPr>
          <w:rFonts w:asciiTheme="majorHAnsi" w:hAnsiTheme="majorHAnsi" w:cstheme="majorHAnsi"/>
        </w:rPr>
        <w:t>2</w:t>
      </w:r>
      <w:r w:rsidRPr="0060082A">
        <w:rPr>
          <w:rFonts w:asciiTheme="majorHAnsi" w:hAnsiTheme="majorHAnsi" w:cstheme="majorHAnsi"/>
        </w:rPr>
        <w:t xml:space="preserve">) improve the management, funding and inclusiveness of the education system. </w:t>
      </w:r>
    </w:p>
    <w:p w14:paraId="334F77A5" w14:textId="3A6CC187" w:rsidR="005D4846" w:rsidRPr="0060082A" w:rsidRDefault="005D4846"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The design of KEIP </w:t>
      </w:r>
      <w:r w:rsidR="00774012" w:rsidRPr="0060082A">
        <w:rPr>
          <w:rFonts w:asciiTheme="majorHAnsi" w:hAnsiTheme="majorHAnsi" w:cstheme="majorHAnsi"/>
        </w:rPr>
        <w:t xml:space="preserve">Phase </w:t>
      </w:r>
      <w:r w:rsidR="000A49FE">
        <w:rPr>
          <w:rFonts w:asciiTheme="majorHAnsi" w:hAnsiTheme="majorHAnsi" w:cstheme="majorHAnsi"/>
        </w:rPr>
        <w:t>2</w:t>
      </w:r>
      <w:r w:rsidR="006E6B10" w:rsidRPr="0060082A">
        <w:rPr>
          <w:rFonts w:asciiTheme="majorHAnsi" w:hAnsiTheme="majorHAnsi" w:cstheme="majorHAnsi"/>
        </w:rPr>
        <w:t xml:space="preserve"> </w:t>
      </w:r>
      <w:r w:rsidRPr="0060082A">
        <w:rPr>
          <w:rFonts w:asciiTheme="majorHAnsi" w:hAnsiTheme="majorHAnsi" w:cstheme="majorHAnsi"/>
        </w:rPr>
        <w:t xml:space="preserve">aligned with the </w:t>
      </w:r>
      <w:r w:rsidR="00B765AC" w:rsidRPr="0060082A">
        <w:rPr>
          <w:rFonts w:asciiTheme="majorHAnsi" w:hAnsiTheme="majorHAnsi" w:cstheme="majorHAnsi"/>
        </w:rPr>
        <w:t>MoE</w:t>
      </w:r>
      <w:r w:rsidRPr="0060082A">
        <w:rPr>
          <w:rFonts w:asciiTheme="majorHAnsi" w:hAnsiTheme="majorHAnsi" w:cstheme="majorHAnsi"/>
        </w:rPr>
        <w:t xml:space="preserve"> ESSP 2012-2015</w:t>
      </w:r>
      <w:r w:rsidR="00566412" w:rsidRPr="0060082A">
        <w:rPr>
          <w:rFonts w:asciiTheme="majorHAnsi" w:hAnsiTheme="majorHAnsi" w:cstheme="majorHAnsi"/>
        </w:rPr>
        <w:t>,</w:t>
      </w:r>
      <w:r w:rsidRPr="0060082A">
        <w:rPr>
          <w:rFonts w:asciiTheme="majorHAnsi" w:hAnsiTheme="majorHAnsi" w:cstheme="majorHAnsi"/>
        </w:rPr>
        <w:t xml:space="preserve"> which reflects the Ministry’s intent for systemic change</w:t>
      </w:r>
      <w:r w:rsidR="00587950" w:rsidRPr="0060082A">
        <w:rPr>
          <w:rFonts w:asciiTheme="majorHAnsi" w:hAnsiTheme="majorHAnsi" w:cstheme="majorHAnsi"/>
        </w:rPr>
        <w:t xml:space="preserve"> and</w:t>
      </w:r>
      <w:r w:rsidR="00612FB4" w:rsidRPr="0060082A">
        <w:rPr>
          <w:rFonts w:asciiTheme="majorHAnsi" w:hAnsiTheme="majorHAnsi" w:cstheme="majorHAnsi"/>
        </w:rPr>
        <w:t xml:space="preserve"> </w:t>
      </w:r>
      <w:r w:rsidRPr="0060082A">
        <w:rPr>
          <w:rFonts w:asciiTheme="majorHAnsi" w:hAnsiTheme="majorHAnsi" w:cstheme="majorHAnsi"/>
        </w:rPr>
        <w:t>improved</w:t>
      </w:r>
      <w:r w:rsidR="00587950" w:rsidRPr="0060082A">
        <w:rPr>
          <w:rFonts w:asciiTheme="majorHAnsi" w:hAnsiTheme="majorHAnsi" w:cstheme="majorHAnsi"/>
        </w:rPr>
        <w:t xml:space="preserve"> access,</w:t>
      </w:r>
      <w:r w:rsidRPr="0060082A">
        <w:rPr>
          <w:rFonts w:asciiTheme="majorHAnsi" w:hAnsiTheme="majorHAnsi" w:cstheme="majorHAnsi"/>
        </w:rPr>
        <w:t xml:space="preserve"> teaching and learning. The planned reform of the </w:t>
      </w:r>
      <w:r w:rsidR="001401FE" w:rsidRPr="0060082A">
        <w:rPr>
          <w:rFonts w:asciiTheme="majorHAnsi" w:hAnsiTheme="majorHAnsi" w:cstheme="majorHAnsi"/>
        </w:rPr>
        <w:t xml:space="preserve">Kiribati </w:t>
      </w:r>
      <w:r w:rsidRPr="0060082A">
        <w:rPr>
          <w:rFonts w:asciiTheme="majorHAnsi" w:hAnsiTheme="majorHAnsi" w:cstheme="majorHAnsi"/>
        </w:rPr>
        <w:t xml:space="preserve">education system responds to numerous earlier reviews which reported decline in Net Enrolment Ratio (NER) and </w:t>
      </w:r>
      <w:r w:rsidR="00566412" w:rsidRPr="0060082A">
        <w:rPr>
          <w:rFonts w:asciiTheme="majorHAnsi" w:hAnsiTheme="majorHAnsi" w:cstheme="majorHAnsi"/>
        </w:rPr>
        <w:t>Gross Enrolment Ratio (GER) in b</w:t>
      </w:r>
      <w:r w:rsidRPr="0060082A">
        <w:rPr>
          <w:rFonts w:asciiTheme="majorHAnsi" w:hAnsiTheme="majorHAnsi" w:cstheme="majorHAnsi"/>
        </w:rPr>
        <w:t xml:space="preserve">asic education, with the student survival rate to </w:t>
      </w:r>
      <w:r w:rsidR="008429C8" w:rsidRPr="0060082A">
        <w:rPr>
          <w:rFonts w:asciiTheme="majorHAnsi" w:hAnsiTheme="majorHAnsi" w:cstheme="majorHAnsi"/>
        </w:rPr>
        <w:t xml:space="preserve">Years </w:t>
      </w:r>
      <w:r w:rsidRPr="0060082A">
        <w:rPr>
          <w:rFonts w:asciiTheme="majorHAnsi" w:hAnsiTheme="majorHAnsi" w:cstheme="majorHAnsi"/>
        </w:rPr>
        <w:t>5 and 6 low and declining. This</w:t>
      </w:r>
      <w:r w:rsidR="00566412" w:rsidRPr="0060082A">
        <w:rPr>
          <w:rFonts w:asciiTheme="majorHAnsi" w:hAnsiTheme="majorHAnsi" w:cstheme="majorHAnsi"/>
        </w:rPr>
        <w:t>,</w:t>
      </w:r>
      <w:r w:rsidRPr="0060082A">
        <w:rPr>
          <w:rFonts w:asciiTheme="majorHAnsi" w:hAnsiTheme="majorHAnsi" w:cstheme="majorHAnsi"/>
        </w:rPr>
        <w:t xml:space="preserve"> along with dropout and repetition rates</w:t>
      </w:r>
      <w:r w:rsidR="00566412" w:rsidRPr="0060082A">
        <w:rPr>
          <w:rFonts w:asciiTheme="majorHAnsi" w:hAnsiTheme="majorHAnsi" w:cstheme="majorHAnsi"/>
        </w:rPr>
        <w:t>,</w:t>
      </w:r>
      <w:r w:rsidRPr="0060082A">
        <w:rPr>
          <w:rFonts w:asciiTheme="majorHAnsi" w:hAnsiTheme="majorHAnsi" w:cstheme="majorHAnsi"/>
        </w:rPr>
        <w:t xml:space="preserve"> indicated some serious deficits in efficiency and effectiveness in the system. </w:t>
      </w:r>
    </w:p>
    <w:p w14:paraId="44C2AF82" w14:textId="794933E7" w:rsidR="00E42168" w:rsidRPr="0060082A" w:rsidRDefault="005D4846"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KEIP </w:t>
      </w:r>
      <w:r w:rsidR="00566412" w:rsidRPr="0060082A">
        <w:rPr>
          <w:rFonts w:asciiTheme="majorHAnsi" w:hAnsiTheme="majorHAnsi" w:cstheme="majorHAnsi"/>
        </w:rPr>
        <w:t xml:space="preserve">Phase </w:t>
      </w:r>
      <w:r w:rsidR="000A49FE">
        <w:rPr>
          <w:rFonts w:asciiTheme="majorHAnsi" w:hAnsiTheme="majorHAnsi" w:cstheme="majorHAnsi"/>
        </w:rPr>
        <w:t>2</w:t>
      </w:r>
      <w:r w:rsidR="00E42168" w:rsidRPr="0060082A">
        <w:rPr>
          <w:rFonts w:asciiTheme="majorHAnsi" w:hAnsiTheme="majorHAnsi" w:cstheme="majorHAnsi"/>
        </w:rPr>
        <w:t xml:space="preserve"> </w:t>
      </w:r>
      <w:r w:rsidRPr="0060082A">
        <w:rPr>
          <w:rFonts w:asciiTheme="majorHAnsi" w:hAnsiTheme="majorHAnsi" w:cstheme="majorHAnsi"/>
        </w:rPr>
        <w:t xml:space="preserve">worked </w:t>
      </w:r>
      <w:r w:rsidR="009C226E" w:rsidRPr="0060082A">
        <w:rPr>
          <w:rFonts w:asciiTheme="majorHAnsi" w:hAnsiTheme="majorHAnsi" w:cstheme="majorHAnsi"/>
        </w:rPr>
        <w:t xml:space="preserve">directly </w:t>
      </w:r>
      <w:r w:rsidRPr="0060082A">
        <w:rPr>
          <w:rFonts w:asciiTheme="majorHAnsi" w:hAnsiTheme="majorHAnsi" w:cstheme="majorHAnsi"/>
        </w:rPr>
        <w:t xml:space="preserve">with the </w:t>
      </w:r>
      <w:r w:rsidR="00B765AC" w:rsidRPr="0060082A">
        <w:rPr>
          <w:rFonts w:asciiTheme="majorHAnsi" w:hAnsiTheme="majorHAnsi" w:cstheme="majorHAnsi"/>
        </w:rPr>
        <w:t>MoE</w:t>
      </w:r>
      <w:r w:rsidRPr="0060082A">
        <w:rPr>
          <w:rFonts w:asciiTheme="majorHAnsi" w:hAnsiTheme="majorHAnsi" w:cstheme="majorHAnsi"/>
        </w:rPr>
        <w:t xml:space="preserve"> to </w:t>
      </w:r>
      <w:r w:rsidR="000110F3" w:rsidRPr="0060082A">
        <w:rPr>
          <w:rFonts w:asciiTheme="majorHAnsi" w:hAnsiTheme="majorHAnsi" w:cstheme="majorHAnsi"/>
        </w:rPr>
        <w:t xml:space="preserve">start to </w:t>
      </w:r>
      <w:r w:rsidRPr="0060082A">
        <w:rPr>
          <w:rFonts w:asciiTheme="majorHAnsi" w:hAnsiTheme="majorHAnsi" w:cstheme="majorHAnsi"/>
        </w:rPr>
        <w:t>address these issues</w:t>
      </w:r>
      <w:r w:rsidR="00E42168" w:rsidRPr="0060082A">
        <w:rPr>
          <w:rFonts w:asciiTheme="majorHAnsi" w:hAnsiTheme="majorHAnsi" w:cstheme="majorHAnsi"/>
        </w:rPr>
        <w:t xml:space="preserve">, </w:t>
      </w:r>
      <w:r w:rsidRPr="0060082A">
        <w:rPr>
          <w:rFonts w:asciiTheme="majorHAnsi" w:hAnsiTheme="majorHAnsi" w:cstheme="majorHAnsi"/>
        </w:rPr>
        <w:t>providing support to key ESSP priority areas, namely</w:t>
      </w:r>
      <w:r w:rsidR="008429C8" w:rsidRPr="0060082A">
        <w:rPr>
          <w:rFonts w:asciiTheme="majorHAnsi" w:hAnsiTheme="majorHAnsi" w:cstheme="majorHAnsi"/>
        </w:rPr>
        <w:t>:</w:t>
      </w:r>
      <w:r w:rsidRPr="0060082A">
        <w:rPr>
          <w:rFonts w:asciiTheme="majorHAnsi" w:hAnsiTheme="majorHAnsi" w:cstheme="majorHAnsi"/>
        </w:rPr>
        <w:t xml:space="preserve"> supporting curriculum development and implementation, strengthening the capabilities of teachers</w:t>
      </w:r>
      <w:r w:rsidR="000110F3" w:rsidRPr="0060082A">
        <w:rPr>
          <w:rFonts w:asciiTheme="majorHAnsi" w:hAnsiTheme="majorHAnsi" w:cstheme="majorHAnsi"/>
        </w:rPr>
        <w:t xml:space="preserve"> (content, pedagogic and language)</w:t>
      </w:r>
      <w:r w:rsidR="008429C8" w:rsidRPr="0060082A">
        <w:rPr>
          <w:rFonts w:asciiTheme="majorHAnsi" w:hAnsiTheme="majorHAnsi" w:cstheme="majorHAnsi"/>
        </w:rPr>
        <w:t>,</w:t>
      </w:r>
      <w:r w:rsidRPr="0060082A">
        <w:rPr>
          <w:rFonts w:asciiTheme="majorHAnsi" w:hAnsiTheme="majorHAnsi" w:cstheme="majorHAnsi"/>
        </w:rPr>
        <w:t xml:space="preserve"> and improving school infrastructure. Assistance has also been provided for enhancing school-community partnerships, and </w:t>
      </w:r>
      <w:r w:rsidR="00566412" w:rsidRPr="0060082A">
        <w:rPr>
          <w:rFonts w:asciiTheme="majorHAnsi" w:hAnsiTheme="majorHAnsi" w:cstheme="majorHAnsi"/>
        </w:rPr>
        <w:t xml:space="preserve">in </w:t>
      </w:r>
      <w:r w:rsidRPr="0060082A">
        <w:rPr>
          <w:rFonts w:asciiTheme="majorHAnsi" w:hAnsiTheme="majorHAnsi" w:cstheme="majorHAnsi"/>
        </w:rPr>
        <w:t xml:space="preserve">strengthening </w:t>
      </w:r>
      <w:r w:rsidR="00B765AC" w:rsidRPr="0060082A">
        <w:rPr>
          <w:rFonts w:asciiTheme="majorHAnsi" w:hAnsiTheme="majorHAnsi" w:cstheme="majorHAnsi"/>
        </w:rPr>
        <w:t>MoE</w:t>
      </w:r>
      <w:r w:rsidRPr="0060082A">
        <w:rPr>
          <w:rFonts w:asciiTheme="majorHAnsi" w:hAnsiTheme="majorHAnsi" w:cstheme="majorHAnsi"/>
        </w:rPr>
        <w:t xml:space="preserve">’s capacity to plan, monitor and improve sub-sector performance. </w:t>
      </w:r>
    </w:p>
    <w:p w14:paraId="0AADB276" w14:textId="452DAE4D" w:rsidR="00293148" w:rsidRPr="0060082A" w:rsidRDefault="000110F3"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As with any major curriculum and language reform across a complete basic education system, there will be on-going support and consolidation required as the reform moves through the grades within basic </w:t>
      </w:r>
      <w:r w:rsidRPr="0060082A">
        <w:rPr>
          <w:rFonts w:asciiTheme="majorHAnsi" w:hAnsiTheme="majorHAnsi" w:cstheme="majorHAnsi"/>
        </w:rPr>
        <w:lastRenderedPageBreak/>
        <w:t xml:space="preserve">education system. This will be more complex in KEIP Phase </w:t>
      </w:r>
      <w:r w:rsidR="00743616">
        <w:rPr>
          <w:rFonts w:asciiTheme="majorHAnsi" w:hAnsiTheme="majorHAnsi" w:cstheme="majorHAnsi"/>
        </w:rPr>
        <w:t>3</w:t>
      </w:r>
      <w:r w:rsidRPr="0060082A">
        <w:rPr>
          <w:rFonts w:asciiTheme="majorHAnsi" w:hAnsiTheme="majorHAnsi" w:cstheme="majorHAnsi"/>
        </w:rPr>
        <w:t xml:space="preserve">, when the reforms move </w:t>
      </w:r>
      <w:r w:rsidR="001401FE" w:rsidRPr="0060082A">
        <w:rPr>
          <w:rFonts w:asciiTheme="majorHAnsi" w:hAnsiTheme="majorHAnsi" w:cstheme="majorHAnsi"/>
        </w:rPr>
        <w:t>from the Primary level</w:t>
      </w:r>
      <w:r w:rsidR="00E42168" w:rsidRPr="0060082A">
        <w:rPr>
          <w:rFonts w:asciiTheme="majorHAnsi" w:hAnsiTheme="majorHAnsi" w:cstheme="majorHAnsi"/>
        </w:rPr>
        <w:t xml:space="preserve"> and</w:t>
      </w:r>
      <w:r w:rsidR="001401FE" w:rsidRPr="0060082A">
        <w:rPr>
          <w:rFonts w:asciiTheme="majorHAnsi" w:hAnsiTheme="majorHAnsi" w:cstheme="majorHAnsi"/>
        </w:rPr>
        <w:t xml:space="preserve"> </w:t>
      </w:r>
      <w:r w:rsidRPr="0060082A">
        <w:rPr>
          <w:rFonts w:asciiTheme="majorHAnsi" w:hAnsiTheme="majorHAnsi" w:cstheme="majorHAnsi"/>
        </w:rPr>
        <w:t>into the secondary school system.</w:t>
      </w:r>
    </w:p>
    <w:p w14:paraId="6535353C" w14:textId="71E91A5B" w:rsidR="005D4846" w:rsidRPr="0060082A" w:rsidRDefault="005D4846" w:rsidP="00820811">
      <w:pPr>
        <w:spacing w:before="100" w:after="100" w:line="235" w:lineRule="auto"/>
        <w:rPr>
          <w:rFonts w:asciiTheme="majorHAnsi" w:hAnsiTheme="majorHAnsi" w:cstheme="majorHAnsi"/>
        </w:rPr>
      </w:pPr>
      <w:r w:rsidRPr="0060082A">
        <w:rPr>
          <w:rFonts w:asciiTheme="majorHAnsi" w:hAnsiTheme="majorHAnsi" w:cstheme="majorHAnsi"/>
        </w:rPr>
        <w:t xml:space="preserve">The following </w:t>
      </w:r>
      <w:r w:rsidR="00566412" w:rsidRPr="0060082A">
        <w:rPr>
          <w:rFonts w:asciiTheme="majorHAnsi" w:hAnsiTheme="majorHAnsi" w:cstheme="majorHAnsi"/>
        </w:rPr>
        <w:t xml:space="preserve">outlines </w:t>
      </w:r>
      <w:r w:rsidRPr="0060082A">
        <w:rPr>
          <w:rFonts w:asciiTheme="majorHAnsi" w:hAnsiTheme="majorHAnsi" w:cstheme="majorHAnsi"/>
        </w:rPr>
        <w:t xml:space="preserve">the Theory of Change for KEIP Phase </w:t>
      </w:r>
      <w:r w:rsidR="000A49FE">
        <w:rPr>
          <w:rFonts w:asciiTheme="majorHAnsi" w:hAnsiTheme="majorHAnsi" w:cstheme="majorHAnsi"/>
        </w:rPr>
        <w:t>2</w:t>
      </w:r>
      <w:r w:rsidR="00566412" w:rsidRPr="0060082A">
        <w:rPr>
          <w:rFonts w:asciiTheme="majorHAnsi" w:hAnsiTheme="majorHAnsi" w:cstheme="majorHAnsi"/>
        </w:rPr>
        <w:t xml:space="preserve">, </w:t>
      </w:r>
      <w:r w:rsidR="00E42168" w:rsidRPr="0060082A">
        <w:rPr>
          <w:rFonts w:asciiTheme="majorHAnsi" w:hAnsiTheme="majorHAnsi" w:cstheme="majorHAnsi"/>
        </w:rPr>
        <w:t xml:space="preserve">also </w:t>
      </w:r>
      <w:r w:rsidR="009C226E" w:rsidRPr="0060082A">
        <w:rPr>
          <w:rFonts w:asciiTheme="majorHAnsi" w:hAnsiTheme="majorHAnsi" w:cstheme="majorHAnsi"/>
        </w:rPr>
        <w:t xml:space="preserve">incorporating </w:t>
      </w:r>
      <w:r w:rsidRPr="0060082A">
        <w:rPr>
          <w:rFonts w:asciiTheme="majorHAnsi" w:hAnsiTheme="majorHAnsi" w:cstheme="majorHAnsi"/>
        </w:rPr>
        <w:t xml:space="preserve">the main areas of support provided by the </w:t>
      </w:r>
      <w:r w:rsidR="00566412" w:rsidRPr="0060082A">
        <w:rPr>
          <w:rFonts w:asciiTheme="majorHAnsi" w:hAnsiTheme="majorHAnsi" w:cstheme="majorHAnsi"/>
        </w:rPr>
        <w:t xml:space="preserve">KEF </w:t>
      </w:r>
      <w:r w:rsidRPr="0060082A">
        <w:rPr>
          <w:rFonts w:asciiTheme="majorHAnsi" w:hAnsiTheme="majorHAnsi" w:cstheme="majorHAnsi"/>
        </w:rPr>
        <w:t xml:space="preserve">team to </w:t>
      </w:r>
      <w:r w:rsidR="00566412" w:rsidRPr="0060082A">
        <w:rPr>
          <w:rFonts w:asciiTheme="majorHAnsi" w:hAnsiTheme="majorHAnsi" w:cstheme="majorHAnsi"/>
        </w:rPr>
        <w:t xml:space="preserve">the </w:t>
      </w:r>
      <w:r w:rsidR="00B765AC" w:rsidRPr="0060082A">
        <w:rPr>
          <w:rFonts w:asciiTheme="majorHAnsi" w:hAnsiTheme="majorHAnsi" w:cstheme="majorHAnsi"/>
        </w:rPr>
        <w:t>MoE</w:t>
      </w:r>
      <w:r w:rsidRPr="0060082A">
        <w:rPr>
          <w:rFonts w:asciiTheme="majorHAnsi" w:hAnsiTheme="majorHAnsi" w:cstheme="majorHAnsi"/>
        </w:rPr>
        <w:t>.</w:t>
      </w:r>
    </w:p>
    <w:p w14:paraId="79EE967F" w14:textId="77777777" w:rsidR="001776DC" w:rsidRPr="00C918BF" w:rsidRDefault="001776DC" w:rsidP="00C30464">
      <w:pPr>
        <w:pStyle w:val="IntroBodyText"/>
        <w:spacing w:before="0"/>
        <w:jc w:val="both"/>
        <w:rPr>
          <w:rFonts w:ascii="Arial" w:hAnsi="Arial"/>
          <w:b w:val="0"/>
          <w:color w:val="auto"/>
          <w:sz w:val="20"/>
        </w:rPr>
        <w:sectPr w:rsidR="001776DC" w:rsidRPr="00C918BF" w:rsidSect="0060082A">
          <w:pgSz w:w="11906" w:h="16838" w:code="9"/>
          <w:pgMar w:top="851" w:right="1304" w:bottom="1304" w:left="1304" w:header="709" w:footer="510" w:gutter="0"/>
          <w:pgNumType w:start="1"/>
          <w:cols w:space="708"/>
          <w:docGrid w:linePitch="360"/>
        </w:sectPr>
      </w:pPr>
    </w:p>
    <w:p w14:paraId="253CF936" w14:textId="32B78BBA" w:rsidR="00EB077F" w:rsidRPr="00820811" w:rsidRDefault="00EB077F" w:rsidP="00725067">
      <w:pPr>
        <w:pStyle w:val="IntroBodyText"/>
        <w:spacing w:before="0" w:after="0"/>
        <w:jc w:val="both"/>
        <w:rPr>
          <w:rFonts w:ascii="Arial" w:hAnsi="Arial"/>
          <w:color w:val="auto"/>
          <w:sz w:val="20"/>
        </w:rPr>
      </w:pPr>
      <w:r w:rsidRPr="00820811">
        <w:rPr>
          <w:rFonts w:ascii="Arial" w:hAnsi="Arial"/>
          <w:color w:val="auto"/>
          <w:sz w:val="20"/>
        </w:rPr>
        <w:lastRenderedPageBreak/>
        <w:t xml:space="preserve">Diagram: </w:t>
      </w:r>
      <w:r w:rsidR="00C532F5" w:rsidRPr="00820811">
        <w:rPr>
          <w:rFonts w:ascii="Arial" w:hAnsi="Arial"/>
          <w:color w:val="auto"/>
          <w:sz w:val="20"/>
        </w:rPr>
        <w:t xml:space="preserve">KEIP Phase </w:t>
      </w:r>
      <w:r w:rsidR="000A49FE" w:rsidRPr="00820811">
        <w:rPr>
          <w:rFonts w:ascii="Arial" w:hAnsi="Arial"/>
          <w:color w:val="auto"/>
          <w:sz w:val="20"/>
        </w:rPr>
        <w:t>2</w:t>
      </w:r>
      <w:r w:rsidR="00C532F5" w:rsidRPr="00820811">
        <w:rPr>
          <w:rFonts w:ascii="Arial" w:hAnsi="Arial"/>
          <w:color w:val="auto"/>
          <w:sz w:val="20"/>
        </w:rPr>
        <w:t xml:space="preserve"> Program Logic</w:t>
      </w:r>
    </w:p>
    <w:p w14:paraId="73DC86E0" w14:textId="46783C9B" w:rsidR="00A52510" w:rsidRPr="0060082A" w:rsidRDefault="00CD6138" w:rsidP="00CD6138">
      <w:pPr>
        <w:spacing w:before="8400"/>
        <w:rPr>
          <w:rFonts w:asciiTheme="majorHAnsi" w:hAnsiTheme="majorHAnsi" w:cstheme="majorHAnsi"/>
        </w:rPr>
      </w:pPr>
      <w:r w:rsidRPr="00DF17DE">
        <w:rPr>
          <w:rFonts w:ascii="Arial" w:hAnsi="Arial"/>
          <w:b/>
          <w:noProof/>
          <w:lang w:eastAsia="en-AU"/>
        </w:rPr>
        <w:drawing>
          <wp:anchor distT="0" distB="0" distL="114300" distR="114300" simplePos="0" relativeHeight="251731967" behindDoc="0" locked="0" layoutInCell="1" allowOverlap="1" wp14:anchorId="48698A42" wp14:editId="76FDFF5E">
            <wp:simplePos x="0" y="0"/>
            <wp:positionH relativeFrom="margin">
              <wp:posOffset>-10795</wp:posOffset>
            </wp:positionH>
            <wp:positionV relativeFrom="paragraph">
              <wp:posOffset>40640</wp:posOffset>
            </wp:positionV>
            <wp:extent cx="8533130" cy="5207000"/>
            <wp:effectExtent l="0" t="0" r="1270" b="0"/>
            <wp:wrapNone/>
            <wp:docPr id="7" name="Picture 7" descr="KEIP outputs:&#10;Output 1.1: All children in Years 1-4 have access to the new curriculum and materials.&#10;Output 1.2: All teachers of single and multi-grade classes in Years 1-4 have capacity to develop children's Te-Kiribati language, literacy and numeracy skills.&#10;Output 1.3: More children are learning in rehabilitated classrooms.&#10;Output 2.1: More schools have effective partnerships with their communities to deliver quality education.&#10;Output 2.2: Ministry of Education (MoE) has greater capacity to plan and monitor the delivery of quality education services.&#10;The ESSO goals/priority areas for Output 1.1 are Curriculum (1.0) and Curriculum and Materials (1).&#10;The ESSO goals/priority areas for Output 1.2 are Competent Teachers (3.0) and Competent Teachers (2).&#10;The ESSO goals/priority areas for Output 1.3 are Environment for Learning (2.0) and Rehabilitated classrooms.&#10;The ESSO goals/priority areas for Output 2.1 are Stakeholder Collaboration (6.0) and Community Partnerships (4).&#10;The ESSO goals/priority areas for Output 2.2 are Planning and Policy (4.0), Legislative Framework (5.0), School Support Services (7.0) and Sector Planning and Monitoring (5).&#10;Under the KEIP objectives is the Intermediate Outcome 1, which is improved classroom teaching and learning for all children in Years 1-4. Intermediate Outcome 2, which is improved governance and management of the education system. The EOP Outcome is all children (girls and boys) in years 1-4 in Kiribati participate in primary education and make progress toward functional literacy and numeracy after six years." title="Diagram: KEIP Phase 2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P II Program Log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3130" cy="5207000"/>
                    </a:xfrm>
                    <a:prstGeom prst="rect">
                      <a:avLst/>
                    </a:prstGeom>
                  </pic:spPr>
                </pic:pic>
              </a:graphicData>
            </a:graphic>
            <wp14:sizeRelH relativeFrom="page">
              <wp14:pctWidth>0</wp14:pctWidth>
            </wp14:sizeRelH>
            <wp14:sizeRelV relativeFrom="page">
              <wp14:pctHeight>0</wp14:pctHeight>
            </wp14:sizeRelV>
          </wp:anchor>
        </w:drawing>
      </w:r>
      <w:r w:rsidR="00A52510" w:rsidRPr="0060082A">
        <w:rPr>
          <w:rFonts w:asciiTheme="majorHAnsi" w:hAnsiTheme="majorHAnsi" w:cstheme="majorHAnsi"/>
        </w:rPr>
        <w:t xml:space="preserve">As illustrated in the diagram </w:t>
      </w:r>
      <w:r w:rsidR="008429C8" w:rsidRPr="0060082A">
        <w:rPr>
          <w:rFonts w:asciiTheme="majorHAnsi" w:hAnsiTheme="majorHAnsi" w:cstheme="majorHAnsi"/>
        </w:rPr>
        <w:t>above</w:t>
      </w:r>
      <w:r w:rsidR="00A52510" w:rsidRPr="0060082A">
        <w:rPr>
          <w:rFonts w:asciiTheme="majorHAnsi" w:hAnsiTheme="majorHAnsi" w:cstheme="majorHAnsi"/>
        </w:rPr>
        <w:t xml:space="preserve">, the KEIP Phase </w:t>
      </w:r>
      <w:r w:rsidR="000A49FE">
        <w:rPr>
          <w:rFonts w:asciiTheme="majorHAnsi" w:hAnsiTheme="majorHAnsi" w:cstheme="majorHAnsi"/>
        </w:rPr>
        <w:t>2</w:t>
      </w:r>
      <w:r w:rsidR="00A52510" w:rsidRPr="0060082A">
        <w:rPr>
          <w:rFonts w:asciiTheme="majorHAnsi" w:hAnsiTheme="majorHAnsi" w:cstheme="majorHAnsi"/>
        </w:rPr>
        <w:t xml:space="preserve"> </w:t>
      </w:r>
      <w:r w:rsidR="00502C97" w:rsidRPr="0060082A">
        <w:rPr>
          <w:rFonts w:asciiTheme="majorHAnsi" w:hAnsiTheme="majorHAnsi" w:cstheme="majorHAnsi"/>
        </w:rPr>
        <w:t>T</w:t>
      </w:r>
      <w:r w:rsidR="00A52510" w:rsidRPr="0060082A">
        <w:rPr>
          <w:rFonts w:asciiTheme="majorHAnsi" w:hAnsiTheme="majorHAnsi" w:cstheme="majorHAnsi"/>
        </w:rPr>
        <w:t xml:space="preserve">heory of </w:t>
      </w:r>
      <w:r w:rsidR="00502C97" w:rsidRPr="0060082A">
        <w:rPr>
          <w:rFonts w:asciiTheme="majorHAnsi" w:hAnsiTheme="majorHAnsi" w:cstheme="majorHAnsi"/>
        </w:rPr>
        <w:t>C</w:t>
      </w:r>
      <w:r w:rsidR="00A52510" w:rsidRPr="0060082A">
        <w:rPr>
          <w:rFonts w:asciiTheme="majorHAnsi" w:hAnsiTheme="majorHAnsi" w:cstheme="majorHAnsi"/>
        </w:rPr>
        <w:t xml:space="preserve">hange focussed </w:t>
      </w:r>
      <w:r w:rsidR="00566412" w:rsidRPr="0060082A">
        <w:rPr>
          <w:rFonts w:asciiTheme="majorHAnsi" w:hAnsiTheme="majorHAnsi" w:cstheme="majorHAnsi"/>
        </w:rPr>
        <w:t xml:space="preserve">on supporting the </w:t>
      </w:r>
      <w:r w:rsidR="00502C97" w:rsidRPr="0060082A">
        <w:rPr>
          <w:rFonts w:asciiTheme="majorHAnsi" w:hAnsiTheme="majorHAnsi" w:cstheme="majorHAnsi"/>
        </w:rPr>
        <w:t xml:space="preserve">MoE </w:t>
      </w:r>
      <w:r w:rsidR="00A52510" w:rsidRPr="0060082A">
        <w:rPr>
          <w:rFonts w:asciiTheme="majorHAnsi" w:hAnsiTheme="majorHAnsi" w:cstheme="majorHAnsi"/>
        </w:rPr>
        <w:t>achiev</w:t>
      </w:r>
      <w:r w:rsidR="00566412" w:rsidRPr="0060082A">
        <w:rPr>
          <w:rFonts w:asciiTheme="majorHAnsi" w:hAnsiTheme="majorHAnsi" w:cstheme="majorHAnsi"/>
        </w:rPr>
        <w:t xml:space="preserve">ement of </w:t>
      </w:r>
      <w:r w:rsidR="00C96136" w:rsidRPr="0060082A">
        <w:rPr>
          <w:rFonts w:asciiTheme="majorHAnsi" w:hAnsiTheme="majorHAnsi" w:cstheme="majorHAnsi"/>
        </w:rPr>
        <w:t>the goals and priority areas</w:t>
      </w:r>
      <w:r w:rsidR="00612FB4" w:rsidRPr="0060082A">
        <w:rPr>
          <w:rFonts w:asciiTheme="majorHAnsi" w:hAnsiTheme="majorHAnsi" w:cstheme="majorHAnsi"/>
        </w:rPr>
        <w:t xml:space="preserve"> </w:t>
      </w:r>
      <w:r w:rsidR="00566412" w:rsidRPr="0060082A">
        <w:rPr>
          <w:rFonts w:asciiTheme="majorHAnsi" w:hAnsiTheme="majorHAnsi" w:cstheme="majorHAnsi"/>
        </w:rPr>
        <w:t>as</w:t>
      </w:r>
      <w:r w:rsidR="00A52510" w:rsidRPr="0060082A">
        <w:rPr>
          <w:rFonts w:asciiTheme="majorHAnsi" w:hAnsiTheme="majorHAnsi" w:cstheme="majorHAnsi"/>
        </w:rPr>
        <w:t xml:space="preserve"> set out in the </w:t>
      </w:r>
      <w:r w:rsidR="00B765AC" w:rsidRPr="0060082A">
        <w:rPr>
          <w:rFonts w:asciiTheme="majorHAnsi" w:hAnsiTheme="majorHAnsi" w:cstheme="majorHAnsi"/>
        </w:rPr>
        <w:t>MoE</w:t>
      </w:r>
      <w:r w:rsidR="00566412" w:rsidRPr="0060082A">
        <w:rPr>
          <w:rFonts w:asciiTheme="majorHAnsi" w:hAnsiTheme="majorHAnsi" w:cstheme="majorHAnsi"/>
        </w:rPr>
        <w:t xml:space="preserve"> ESSP 2012-2015</w:t>
      </w:r>
      <w:r w:rsidR="00A52510" w:rsidRPr="0060082A">
        <w:rPr>
          <w:rFonts w:asciiTheme="majorHAnsi" w:hAnsiTheme="majorHAnsi" w:cstheme="majorHAnsi"/>
        </w:rPr>
        <w:t xml:space="preserve">. </w:t>
      </w:r>
    </w:p>
    <w:p w14:paraId="6E2F40A0" w14:textId="77777777" w:rsidR="001776DC" w:rsidRPr="00C918BF" w:rsidRDefault="001776DC" w:rsidP="00A52510">
      <w:pPr>
        <w:pStyle w:val="IntroBodyText"/>
        <w:spacing w:before="0"/>
        <w:jc w:val="both"/>
        <w:rPr>
          <w:rFonts w:ascii="Arial" w:hAnsi="Arial"/>
          <w:b w:val="0"/>
          <w:color w:val="auto"/>
          <w:sz w:val="20"/>
        </w:rPr>
        <w:sectPr w:rsidR="001776DC" w:rsidRPr="00C918BF" w:rsidSect="0060082A">
          <w:footerReference w:type="default" r:id="rId21"/>
          <w:pgSz w:w="16838" w:h="11906" w:orient="landscape" w:code="9"/>
          <w:pgMar w:top="1304" w:right="2096" w:bottom="1304" w:left="1304" w:header="709" w:footer="510" w:gutter="0"/>
          <w:cols w:space="708"/>
          <w:docGrid w:linePitch="360"/>
        </w:sectPr>
      </w:pPr>
    </w:p>
    <w:p w14:paraId="25CF2E57" w14:textId="3CE92075" w:rsidR="00B765AC" w:rsidRPr="0060082A" w:rsidRDefault="00B765AC" w:rsidP="0060082A">
      <w:pPr>
        <w:rPr>
          <w:rFonts w:asciiTheme="majorHAnsi" w:hAnsiTheme="majorHAnsi" w:cstheme="majorHAnsi"/>
        </w:rPr>
      </w:pPr>
      <w:r w:rsidRPr="0060082A">
        <w:rPr>
          <w:rFonts w:asciiTheme="majorHAnsi" w:hAnsiTheme="majorHAnsi" w:cstheme="majorHAnsi"/>
        </w:rPr>
        <w:lastRenderedPageBreak/>
        <w:t xml:space="preserve">Five core outputs were </w:t>
      </w:r>
      <w:r w:rsidR="00E42168" w:rsidRPr="0060082A">
        <w:rPr>
          <w:rFonts w:asciiTheme="majorHAnsi" w:hAnsiTheme="majorHAnsi" w:cstheme="majorHAnsi"/>
        </w:rPr>
        <w:t>identified as necessary for the</w:t>
      </w:r>
      <w:r w:rsidRPr="0060082A">
        <w:rPr>
          <w:rFonts w:asciiTheme="majorHAnsi" w:hAnsiTheme="majorHAnsi" w:cstheme="majorHAnsi"/>
        </w:rPr>
        <w:t xml:space="preserve"> </w:t>
      </w:r>
      <w:r w:rsidR="001401FE" w:rsidRPr="0060082A">
        <w:rPr>
          <w:rFonts w:asciiTheme="majorHAnsi" w:hAnsiTheme="majorHAnsi" w:cstheme="majorHAnsi"/>
        </w:rPr>
        <w:t xml:space="preserve">two </w:t>
      </w:r>
      <w:r w:rsidRPr="0060082A">
        <w:rPr>
          <w:rFonts w:asciiTheme="majorHAnsi" w:hAnsiTheme="majorHAnsi" w:cstheme="majorHAnsi"/>
        </w:rPr>
        <w:t>outcomes to be achieved. These outputs built on the work co</w:t>
      </w:r>
      <w:r w:rsidR="00566412" w:rsidRPr="0060082A">
        <w:rPr>
          <w:rFonts w:asciiTheme="majorHAnsi" w:hAnsiTheme="majorHAnsi" w:cstheme="majorHAnsi"/>
        </w:rPr>
        <w:t xml:space="preserve">mmenced during KEIP Phase </w:t>
      </w:r>
      <w:r w:rsidR="000A49FE">
        <w:rPr>
          <w:rFonts w:asciiTheme="majorHAnsi" w:hAnsiTheme="majorHAnsi" w:cstheme="majorHAnsi"/>
        </w:rPr>
        <w:t>1</w:t>
      </w:r>
      <w:r w:rsidR="00566412" w:rsidRPr="0060082A">
        <w:rPr>
          <w:rFonts w:asciiTheme="majorHAnsi" w:hAnsiTheme="majorHAnsi" w:cstheme="majorHAnsi"/>
        </w:rPr>
        <w:t xml:space="preserve"> (</w:t>
      </w:r>
      <w:r w:rsidRPr="0060082A">
        <w:rPr>
          <w:rFonts w:asciiTheme="majorHAnsi" w:hAnsiTheme="majorHAnsi" w:cstheme="majorHAnsi"/>
        </w:rPr>
        <w:t>2011</w:t>
      </w:r>
      <w:r w:rsidR="00566412" w:rsidRPr="0060082A">
        <w:rPr>
          <w:rFonts w:asciiTheme="majorHAnsi" w:hAnsiTheme="majorHAnsi" w:cstheme="majorHAnsi"/>
        </w:rPr>
        <w:t>-</w:t>
      </w:r>
      <w:r w:rsidRPr="0060082A">
        <w:rPr>
          <w:rFonts w:asciiTheme="majorHAnsi" w:hAnsiTheme="majorHAnsi" w:cstheme="majorHAnsi"/>
        </w:rPr>
        <w:t xml:space="preserve">2012) and extended this work into new areas identified during the </w:t>
      </w:r>
      <w:r w:rsidR="00566412" w:rsidRPr="0060082A">
        <w:rPr>
          <w:rFonts w:asciiTheme="majorHAnsi" w:hAnsiTheme="majorHAnsi" w:cstheme="majorHAnsi"/>
        </w:rPr>
        <w:t xml:space="preserve">KEIP </w:t>
      </w:r>
      <w:r w:rsidRPr="0060082A">
        <w:rPr>
          <w:rFonts w:asciiTheme="majorHAnsi" w:hAnsiTheme="majorHAnsi" w:cstheme="majorHAnsi"/>
        </w:rPr>
        <w:t xml:space="preserve">Phase </w:t>
      </w:r>
      <w:r w:rsidR="000A49FE">
        <w:rPr>
          <w:rFonts w:asciiTheme="majorHAnsi" w:hAnsiTheme="majorHAnsi" w:cstheme="majorHAnsi"/>
        </w:rPr>
        <w:t>2</w:t>
      </w:r>
      <w:r w:rsidRPr="0060082A">
        <w:rPr>
          <w:rFonts w:asciiTheme="majorHAnsi" w:hAnsiTheme="majorHAnsi" w:cstheme="majorHAnsi"/>
        </w:rPr>
        <w:t xml:space="preserve"> design. Th</w:t>
      </w:r>
      <w:r w:rsidR="00E42168" w:rsidRPr="0060082A">
        <w:rPr>
          <w:rFonts w:asciiTheme="majorHAnsi" w:hAnsiTheme="majorHAnsi" w:cstheme="majorHAnsi"/>
        </w:rPr>
        <w:t xml:space="preserve">is </w:t>
      </w:r>
      <w:r w:rsidRPr="0060082A">
        <w:rPr>
          <w:rFonts w:asciiTheme="majorHAnsi" w:hAnsiTheme="majorHAnsi" w:cstheme="majorHAnsi"/>
        </w:rPr>
        <w:t>included a focus on new curriculum development</w:t>
      </w:r>
      <w:r w:rsidR="00566412" w:rsidRPr="0060082A">
        <w:rPr>
          <w:rFonts w:asciiTheme="majorHAnsi" w:hAnsiTheme="majorHAnsi" w:cstheme="majorHAnsi"/>
        </w:rPr>
        <w:t xml:space="preserve"> (</w:t>
      </w:r>
      <w:r w:rsidRPr="0060082A">
        <w:rPr>
          <w:rFonts w:asciiTheme="majorHAnsi" w:hAnsiTheme="majorHAnsi" w:cstheme="majorHAnsi"/>
        </w:rPr>
        <w:t>especially Years 1-4</w:t>
      </w:r>
      <w:r w:rsidR="00566412" w:rsidRPr="0060082A">
        <w:rPr>
          <w:rFonts w:asciiTheme="majorHAnsi" w:hAnsiTheme="majorHAnsi" w:cstheme="majorHAnsi"/>
        </w:rPr>
        <w:t xml:space="preserve">) </w:t>
      </w:r>
      <w:r w:rsidRPr="0060082A">
        <w:rPr>
          <w:rFonts w:asciiTheme="majorHAnsi" w:hAnsiTheme="majorHAnsi" w:cstheme="majorHAnsi"/>
        </w:rPr>
        <w:t>combined with improved teacher skills through a professional development program; an English language program for teachers; rehabilitated</w:t>
      </w:r>
      <w:r w:rsidR="008429C8" w:rsidRPr="0060082A">
        <w:rPr>
          <w:rFonts w:asciiTheme="majorHAnsi" w:hAnsiTheme="majorHAnsi" w:cstheme="majorHAnsi"/>
        </w:rPr>
        <w:t xml:space="preserve"> school</w:t>
      </w:r>
      <w:r w:rsidRPr="0060082A">
        <w:rPr>
          <w:rFonts w:asciiTheme="majorHAnsi" w:hAnsiTheme="majorHAnsi" w:cstheme="majorHAnsi"/>
        </w:rPr>
        <w:t xml:space="preserve"> infrastructure; school leadership development; enhanced community engagement; and improved service delivery by MoE. </w:t>
      </w:r>
    </w:p>
    <w:p w14:paraId="18318EF5" w14:textId="68A55FEB" w:rsidR="00B765AC" w:rsidRPr="0060082A" w:rsidRDefault="00B765AC" w:rsidP="0060082A">
      <w:pPr>
        <w:rPr>
          <w:rFonts w:asciiTheme="majorHAnsi" w:hAnsiTheme="majorHAnsi" w:cstheme="majorHAnsi"/>
        </w:rPr>
      </w:pPr>
      <w:r w:rsidRPr="0060082A">
        <w:rPr>
          <w:rFonts w:asciiTheme="majorHAnsi" w:hAnsiTheme="majorHAnsi" w:cstheme="majorHAnsi"/>
        </w:rPr>
        <w:t xml:space="preserve">The pace of activity implementation was modified to align with Ministry Operational Plans (MOPs) and policy development, where </w:t>
      </w:r>
      <w:r w:rsidR="00566412" w:rsidRPr="0060082A">
        <w:rPr>
          <w:rFonts w:asciiTheme="majorHAnsi" w:hAnsiTheme="majorHAnsi" w:cstheme="majorHAnsi"/>
        </w:rPr>
        <w:t xml:space="preserve">the </w:t>
      </w:r>
      <w:r w:rsidRPr="0060082A">
        <w:rPr>
          <w:rFonts w:asciiTheme="majorHAnsi" w:hAnsiTheme="majorHAnsi" w:cstheme="majorHAnsi"/>
        </w:rPr>
        <w:t xml:space="preserve">MoE identified it required additional time for reflection, development and wider engagement with stakeholders before embarking on </w:t>
      </w:r>
      <w:r w:rsidR="001401FE" w:rsidRPr="0060082A">
        <w:rPr>
          <w:rFonts w:asciiTheme="majorHAnsi" w:hAnsiTheme="majorHAnsi" w:cstheme="majorHAnsi"/>
        </w:rPr>
        <w:t xml:space="preserve">the </w:t>
      </w:r>
      <w:r w:rsidRPr="0060082A">
        <w:rPr>
          <w:rFonts w:asciiTheme="majorHAnsi" w:hAnsiTheme="majorHAnsi" w:cstheme="majorHAnsi"/>
        </w:rPr>
        <w:t>system and curriculum change.</w:t>
      </w:r>
    </w:p>
    <w:p w14:paraId="40460E31" w14:textId="47190E96" w:rsidR="005E55C1" w:rsidRPr="0060082A" w:rsidRDefault="002E56A6" w:rsidP="0060082A">
      <w:pPr>
        <w:rPr>
          <w:rFonts w:asciiTheme="majorHAnsi" w:hAnsiTheme="majorHAnsi" w:cstheme="majorHAnsi"/>
        </w:rPr>
      </w:pPr>
      <w:r w:rsidRPr="0060082A">
        <w:rPr>
          <w:rFonts w:asciiTheme="majorHAnsi" w:hAnsiTheme="majorHAnsi" w:cstheme="majorHAnsi"/>
        </w:rPr>
        <w:t xml:space="preserve">The </w:t>
      </w:r>
      <w:r w:rsidR="00B765AC" w:rsidRPr="0060082A">
        <w:rPr>
          <w:rFonts w:asciiTheme="majorHAnsi" w:hAnsiTheme="majorHAnsi" w:cstheme="majorHAnsi"/>
        </w:rPr>
        <w:t>MoE</w:t>
      </w:r>
      <w:r w:rsidRPr="0060082A">
        <w:rPr>
          <w:rFonts w:asciiTheme="majorHAnsi" w:hAnsiTheme="majorHAnsi" w:cstheme="majorHAnsi"/>
        </w:rPr>
        <w:t xml:space="preserve"> Senior Management Team </w:t>
      </w:r>
      <w:r w:rsidR="00566412" w:rsidRPr="0060082A">
        <w:rPr>
          <w:rFonts w:asciiTheme="majorHAnsi" w:hAnsiTheme="majorHAnsi" w:cstheme="majorHAnsi"/>
        </w:rPr>
        <w:t xml:space="preserve">(SMT) </w:t>
      </w:r>
      <w:r w:rsidR="005E55C1" w:rsidRPr="0060082A">
        <w:rPr>
          <w:rFonts w:asciiTheme="majorHAnsi" w:hAnsiTheme="majorHAnsi" w:cstheme="majorHAnsi"/>
        </w:rPr>
        <w:t>h</w:t>
      </w:r>
      <w:r w:rsidR="00B765AC" w:rsidRPr="0060082A">
        <w:rPr>
          <w:rFonts w:asciiTheme="majorHAnsi" w:hAnsiTheme="majorHAnsi" w:cstheme="majorHAnsi"/>
        </w:rPr>
        <w:t>as</w:t>
      </w:r>
      <w:r w:rsidR="005E55C1" w:rsidRPr="0060082A">
        <w:rPr>
          <w:rFonts w:asciiTheme="majorHAnsi" w:hAnsiTheme="majorHAnsi" w:cstheme="majorHAnsi"/>
        </w:rPr>
        <w:t xml:space="preserve"> responsibility</w:t>
      </w:r>
      <w:r w:rsidRPr="0060082A">
        <w:rPr>
          <w:rFonts w:asciiTheme="majorHAnsi" w:hAnsiTheme="majorHAnsi" w:cstheme="majorHAnsi"/>
        </w:rPr>
        <w:t xml:space="preserve"> for delivery of the goals and </w:t>
      </w:r>
      <w:r w:rsidR="00994C8F" w:rsidRPr="0060082A">
        <w:rPr>
          <w:rFonts w:asciiTheme="majorHAnsi" w:hAnsiTheme="majorHAnsi" w:cstheme="majorHAnsi"/>
        </w:rPr>
        <w:t>priorities within</w:t>
      </w:r>
      <w:r w:rsidR="006E6B10" w:rsidRPr="0060082A">
        <w:rPr>
          <w:rFonts w:asciiTheme="majorHAnsi" w:hAnsiTheme="majorHAnsi" w:cstheme="majorHAnsi"/>
        </w:rPr>
        <w:t xml:space="preserve"> </w:t>
      </w:r>
      <w:r w:rsidR="00BA10FD" w:rsidRPr="0060082A">
        <w:rPr>
          <w:rFonts w:asciiTheme="majorHAnsi" w:hAnsiTheme="majorHAnsi" w:cstheme="majorHAnsi"/>
        </w:rPr>
        <w:t xml:space="preserve">the ESSP and </w:t>
      </w:r>
      <w:r w:rsidR="00994C8F" w:rsidRPr="0060082A">
        <w:rPr>
          <w:rFonts w:asciiTheme="majorHAnsi" w:hAnsiTheme="majorHAnsi" w:cstheme="majorHAnsi"/>
        </w:rPr>
        <w:t xml:space="preserve">the </w:t>
      </w:r>
      <w:r w:rsidR="00BA10FD" w:rsidRPr="0060082A">
        <w:rPr>
          <w:rFonts w:asciiTheme="majorHAnsi" w:hAnsiTheme="majorHAnsi" w:cstheme="majorHAnsi"/>
        </w:rPr>
        <w:t xml:space="preserve">management of core </w:t>
      </w:r>
      <w:r w:rsidRPr="0060082A">
        <w:rPr>
          <w:rFonts w:asciiTheme="majorHAnsi" w:hAnsiTheme="majorHAnsi" w:cstheme="majorHAnsi"/>
        </w:rPr>
        <w:t>activities designed to achieve them.</w:t>
      </w:r>
      <w:r w:rsidR="00CC24DE" w:rsidRPr="0060082A">
        <w:rPr>
          <w:rFonts w:asciiTheme="majorHAnsi" w:hAnsiTheme="majorHAnsi" w:cstheme="majorHAnsi"/>
        </w:rPr>
        <w:t xml:space="preserve"> </w:t>
      </w:r>
      <w:r w:rsidRPr="0060082A">
        <w:rPr>
          <w:rFonts w:asciiTheme="majorHAnsi" w:hAnsiTheme="majorHAnsi" w:cstheme="majorHAnsi"/>
        </w:rPr>
        <w:t>All technical and op</w:t>
      </w:r>
      <w:r w:rsidR="005E55C1" w:rsidRPr="0060082A">
        <w:rPr>
          <w:rFonts w:asciiTheme="majorHAnsi" w:hAnsiTheme="majorHAnsi" w:cstheme="majorHAnsi"/>
        </w:rPr>
        <w:t xml:space="preserve">erational assistance provided through </w:t>
      </w:r>
      <w:r w:rsidRPr="0060082A">
        <w:rPr>
          <w:rFonts w:asciiTheme="majorHAnsi" w:hAnsiTheme="majorHAnsi" w:cstheme="majorHAnsi"/>
        </w:rPr>
        <w:t xml:space="preserve">donor partners to KEIP was to be managed by </w:t>
      </w:r>
      <w:r w:rsidR="00B765AC" w:rsidRPr="0060082A">
        <w:rPr>
          <w:rFonts w:asciiTheme="majorHAnsi" w:hAnsiTheme="majorHAnsi" w:cstheme="majorHAnsi"/>
        </w:rPr>
        <w:t>MoE</w:t>
      </w:r>
      <w:r w:rsidRPr="0060082A">
        <w:rPr>
          <w:rFonts w:asciiTheme="majorHAnsi" w:hAnsiTheme="majorHAnsi" w:cstheme="majorHAnsi"/>
        </w:rPr>
        <w:t xml:space="preserve"> senior managers responsible for </w:t>
      </w:r>
      <w:r w:rsidR="00566412" w:rsidRPr="0060082A">
        <w:rPr>
          <w:rFonts w:asciiTheme="majorHAnsi" w:hAnsiTheme="majorHAnsi" w:cstheme="majorHAnsi"/>
        </w:rPr>
        <w:t xml:space="preserve">their </w:t>
      </w:r>
      <w:r w:rsidRPr="0060082A">
        <w:rPr>
          <w:rFonts w:asciiTheme="majorHAnsi" w:hAnsiTheme="majorHAnsi" w:cstheme="majorHAnsi"/>
        </w:rPr>
        <w:t>specific area</w:t>
      </w:r>
      <w:r w:rsidR="00566412" w:rsidRPr="0060082A">
        <w:rPr>
          <w:rFonts w:asciiTheme="majorHAnsi" w:hAnsiTheme="majorHAnsi" w:cstheme="majorHAnsi"/>
        </w:rPr>
        <w:t>,</w:t>
      </w:r>
      <w:r w:rsidRPr="0060082A">
        <w:rPr>
          <w:rFonts w:asciiTheme="majorHAnsi" w:hAnsiTheme="majorHAnsi" w:cstheme="majorHAnsi"/>
        </w:rPr>
        <w:t xml:space="preserve"> or by Working Groups reporting to them.</w:t>
      </w:r>
      <w:r w:rsidR="00CC24DE" w:rsidRPr="0060082A">
        <w:rPr>
          <w:rFonts w:asciiTheme="majorHAnsi" w:hAnsiTheme="majorHAnsi" w:cstheme="majorHAnsi"/>
        </w:rPr>
        <w:t xml:space="preserve"> </w:t>
      </w:r>
      <w:r w:rsidR="00DE1CB5" w:rsidRPr="0060082A">
        <w:rPr>
          <w:rFonts w:asciiTheme="majorHAnsi" w:hAnsiTheme="majorHAnsi" w:cstheme="majorHAnsi"/>
        </w:rPr>
        <w:t xml:space="preserve">A constraint during the start of KEIP Phase </w:t>
      </w:r>
      <w:r w:rsidR="000A49FE">
        <w:rPr>
          <w:rFonts w:asciiTheme="majorHAnsi" w:hAnsiTheme="majorHAnsi" w:cstheme="majorHAnsi"/>
        </w:rPr>
        <w:t>2</w:t>
      </w:r>
      <w:r w:rsidR="00DE1CB5" w:rsidRPr="0060082A">
        <w:rPr>
          <w:rFonts w:asciiTheme="majorHAnsi" w:hAnsiTheme="majorHAnsi" w:cstheme="majorHAnsi"/>
        </w:rPr>
        <w:t xml:space="preserve"> was the need to strengthen MoE leadership and capacity for decision making, including relating policies to planning and budgeting</w:t>
      </w:r>
      <w:r w:rsidR="00E42168" w:rsidRPr="0060082A">
        <w:rPr>
          <w:rFonts w:asciiTheme="majorHAnsi" w:hAnsiTheme="majorHAnsi" w:cstheme="majorHAnsi"/>
        </w:rPr>
        <w:t xml:space="preserve"> which i</w:t>
      </w:r>
      <w:r w:rsidR="005E55C1" w:rsidRPr="0060082A">
        <w:rPr>
          <w:rFonts w:asciiTheme="majorHAnsi" w:hAnsiTheme="majorHAnsi" w:cstheme="majorHAnsi"/>
        </w:rPr>
        <w:t xml:space="preserve">nitially slowed </w:t>
      </w:r>
      <w:r w:rsidR="00566412" w:rsidRPr="0060082A">
        <w:rPr>
          <w:rFonts w:asciiTheme="majorHAnsi" w:hAnsiTheme="majorHAnsi" w:cstheme="majorHAnsi"/>
        </w:rPr>
        <w:t xml:space="preserve">the </w:t>
      </w:r>
      <w:r w:rsidR="00B7498F" w:rsidRPr="0060082A">
        <w:rPr>
          <w:rFonts w:asciiTheme="majorHAnsi" w:hAnsiTheme="majorHAnsi" w:cstheme="majorHAnsi"/>
        </w:rPr>
        <w:t>KEIP progress</w:t>
      </w:r>
      <w:r w:rsidR="005E55C1" w:rsidRPr="0060082A">
        <w:rPr>
          <w:rFonts w:asciiTheme="majorHAnsi" w:hAnsiTheme="majorHAnsi" w:cstheme="majorHAnsi"/>
        </w:rPr>
        <w:t xml:space="preserve">. </w:t>
      </w:r>
    </w:p>
    <w:p w14:paraId="5A9B48B0" w14:textId="625EBFB3" w:rsidR="00B7498F" w:rsidRPr="0060082A" w:rsidRDefault="005E55C1" w:rsidP="0060082A">
      <w:pPr>
        <w:rPr>
          <w:rFonts w:asciiTheme="majorHAnsi" w:hAnsiTheme="majorHAnsi" w:cstheme="majorHAnsi"/>
        </w:rPr>
      </w:pPr>
      <w:r w:rsidRPr="0060082A">
        <w:rPr>
          <w:rFonts w:asciiTheme="majorHAnsi" w:hAnsiTheme="majorHAnsi" w:cstheme="majorHAnsi"/>
        </w:rPr>
        <w:t>W</w:t>
      </w:r>
      <w:r w:rsidR="009076D8" w:rsidRPr="0060082A">
        <w:rPr>
          <w:rFonts w:asciiTheme="majorHAnsi" w:hAnsiTheme="majorHAnsi" w:cstheme="majorHAnsi"/>
        </w:rPr>
        <w:t xml:space="preserve">ith </w:t>
      </w:r>
      <w:r w:rsidR="00B045BD" w:rsidRPr="0060082A">
        <w:rPr>
          <w:rFonts w:asciiTheme="majorHAnsi" w:hAnsiTheme="majorHAnsi" w:cstheme="majorHAnsi"/>
        </w:rPr>
        <w:t xml:space="preserve">the </w:t>
      </w:r>
      <w:r w:rsidR="009076D8" w:rsidRPr="0060082A">
        <w:rPr>
          <w:rFonts w:asciiTheme="majorHAnsi" w:hAnsiTheme="majorHAnsi" w:cstheme="majorHAnsi"/>
        </w:rPr>
        <w:t xml:space="preserve">professional guidance </w:t>
      </w:r>
      <w:r w:rsidR="00B045BD" w:rsidRPr="0060082A">
        <w:rPr>
          <w:rFonts w:asciiTheme="majorHAnsi" w:hAnsiTheme="majorHAnsi" w:cstheme="majorHAnsi"/>
        </w:rPr>
        <w:t xml:space="preserve">and technical input </w:t>
      </w:r>
      <w:r w:rsidR="009076D8" w:rsidRPr="0060082A">
        <w:rPr>
          <w:rFonts w:asciiTheme="majorHAnsi" w:hAnsiTheme="majorHAnsi" w:cstheme="majorHAnsi"/>
        </w:rPr>
        <w:t xml:space="preserve">from the </w:t>
      </w:r>
      <w:r w:rsidR="00D73189" w:rsidRPr="0060082A">
        <w:rPr>
          <w:rFonts w:asciiTheme="majorHAnsi" w:hAnsiTheme="majorHAnsi" w:cstheme="majorHAnsi"/>
        </w:rPr>
        <w:t>Education Strategic Planning Adviser</w:t>
      </w:r>
      <w:r w:rsidR="00B045BD" w:rsidRPr="0060082A">
        <w:rPr>
          <w:rFonts w:asciiTheme="majorHAnsi" w:hAnsiTheme="majorHAnsi" w:cstheme="majorHAnsi"/>
        </w:rPr>
        <w:t xml:space="preserve"> (</w:t>
      </w:r>
      <w:r w:rsidR="00D73189" w:rsidRPr="0060082A">
        <w:rPr>
          <w:rFonts w:asciiTheme="majorHAnsi" w:hAnsiTheme="majorHAnsi" w:cstheme="majorHAnsi"/>
        </w:rPr>
        <w:t>ESPA</w:t>
      </w:r>
      <w:r w:rsidR="00B045BD" w:rsidRPr="0060082A">
        <w:rPr>
          <w:rFonts w:asciiTheme="majorHAnsi" w:hAnsiTheme="majorHAnsi" w:cstheme="majorHAnsi"/>
        </w:rPr>
        <w:t xml:space="preserve"> </w:t>
      </w:r>
      <w:r w:rsidR="00D73189" w:rsidRPr="0060082A">
        <w:rPr>
          <w:rFonts w:asciiTheme="majorHAnsi" w:hAnsiTheme="majorHAnsi" w:cstheme="majorHAnsi"/>
        </w:rPr>
        <w:t>–</w:t>
      </w:r>
      <w:r w:rsidR="00B045BD" w:rsidRPr="0060082A">
        <w:rPr>
          <w:rFonts w:asciiTheme="majorHAnsi" w:hAnsiTheme="majorHAnsi" w:cstheme="majorHAnsi"/>
        </w:rPr>
        <w:t xml:space="preserve"> </w:t>
      </w:r>
      <w:r w:rsidR="00D73189" w:rsidRPr="0060082A">
        <w:rPr>
          <w:rFonts w:asciiTheme="majorHAnsi" w:hAnsiTheme="majorHAnsi" w:cstheme="majorHAnsi"/>
        </w:rPr>
        <w:t xml:space="preserve">formerly the Senior Education Management Specialist, </w:t>
      </w:r>
      <w:r w:rsidR="00B7498F" w:rsidRPr="0060082A">
        <w:rPr>
          <w:rFonts w:asciiTheme="majorHAnsi" w:hAnsiTheme="majorHAnsi" w:cstheme="majorHAnsi"/>
        </w:rPr>
        <w:t xml:space="preserve">DFAT funded through </w:t>
      </w:r>
      <w:r w:rsidR="008429C8" w:rsidRPr="0060082A">
        <w:rPr>
          <w:rFonts w:asciiTheme="majorHAnsi" w:hAnsiTheme="majorHAnsi" w:cstheme="majorHAnsi"/>
        </w:rPr>
        <w:t>the Pacific Technical Assistance Mechanism</w:t>
      </w:r>
      <w:r w:rsidR="00B7498F" w:rsidRPr="0060082A">
        <w:rPr>
          <w:rFonts w:asciiTheme="majorHAnsi" w:hAnsiTheme="majorHAnsi" w:cstheme="majorHAnsi"/>
        </w:rPr>
        <w:t xml:space="preserve">) </w:t>
      </w:r>
      <w:r w:rsidR="009076D8" w:rsidRPr="0060082A">
        <w:rPr>
          <w:rFonts w:asciiTheme="majorHAnsi" w:hAnsiTheme="majorHAnsi" w:cstheme="majorHAnsi"/>
        </w:rPr>
        <w:t xml:space="preserve">and </w:t>
      </w:r>
      <w:r w:rsidRPr="0060082A">
        <w:rPr>
          <w:rFonts w:asciiTheme="majorHAnsi" w:hAnsiTheme="majorHAnsi" w:cstheme="majorHAnsi"/>
        </w:rPr>
        <w:t xml:space="preserve">with </w:t>
      </w:r>
      <w:r w:rsidR="009076D8" w:rsidRPr="0060082A">
        <w:rPr>
          <w:rFonts w:asciiTheme="majorHAnsi" w:hAnsiTheme="majorHAnsi" w:cstheme="majorHAnsi"/>
        </w:rPr>
        <w:t xml:space="preserve">KEF </w:t>
      </w:r>
      <w:r w:rsidRPr="0060082A">
        <w:rPr>
          <w:rFonts w:asciiTheme="majorHAnsi" w:hAnsiTheme="majorHAnsi" w:cstheme="majorHAnsi"/>
        </w:rPr>
        <w:t xml:space="preserve">technical </w:t>
      </w:r>
      <w:r w:rsidR="009076D8" w:rsidRPr="0060082A">
        <w:rPr>
          <w:rFonts w:asciiTheme="majorHAnsi" w:hAnsiTheme="majorHAnsi" w:cstheme="majorHAnsi"/>
        </w:rPr>
        <w:t>support</w:t>
      </w:r>
      <w:r w:rsidR="00B7498F" w:rsidRPr="0060082A">
        <w:rPr>
          <w:rFonts w:asciiTheme="majorHAnsi" w:hAnsiTheme="majorHAnsi" w:cstheme="majorHAnsi"/>
        </w:rPr>
        <w:t>,</w:t>
      </w:r>
      <w:r w:rsidR="009076D8" w:rsidRPr="0060082A">
        <w:rPr>
          <w:rFonts w:asciiTheme="majorHAnsi" w:hAnsiTheme="majorHAnsi" w:cstheme="majorHAnsi"/>
        </w:rPr>
        <w:t xml:space="preserve"> by the end of 2014</w:t>
      </w:r>
      <w:r w:rsidR="00CC24DE" w:rsidRPr="0060082A">
        <w:rPr>
          <w:rFonts w:asciiTheme="majorHAnsi" w:hAnsiTheme="majorHAnsi" w:cstheme="majorHAnsi"/>
        </w:rPr>
        <w:t xml:space="preserve"> </w:t>
      </w:r>
      <w:r w:rsidR="00B765AC" w:rsidRPr="0060082A">
        <w:rPr>
          <w:rFonts w:asciiTheme="majorHAnsi" w:hAnsiTheme="majorHAnsi" w:cstheme="majorHAnsi"/>
        </w:rPr>
        <w:t>MoE</w:t>
      </w:r>
      <w:r w:rsidR="00B7498F" w:rsidRPr="0060082A">
        <w:rPr>
          <w:rFonts w:asciiTheme="majorHAnsi" w:hAnsiTheme="majorHAnsi" w:cstheme="majorHAnsi"/>
        </w:rPr>
        <w:t xml:space="preserve"> had recruited a Director of Education and a Director of Policy, Planning and Research.</w:t>
      </w:r>
      <w:r w:rsidR="00CC24DE" w:rsidRPr="0060082A">
        <w:rPr>
          <w:rFonts w:asciiTheme="majorHAnsi" w:hAnsiTheme="majorHAnsi" w:cstheme="majorHAnsi"/>
        </w:rPr>
        <w:t xml:space="preserve"> </w:t>
      </w:r>
      <w:r w:rsidR="00B7498F" w:rsidRPr="0060082A">
        <w:rPr>
          <w:rFonts w:asciiTheme="majorHAnsi" w:hAnsiTheme="majorHAnsi" w:cstheme="majorHAnsi"/>
        </w:rPr>
        <w:t xml:space="preserve">With </w:t>
      </w:r>
      <w:r w:rsidR="00B765AC" w:rsidRPr="0060082A">
        <w:rPr>
          <w:rFonts w:asciiTheme="majorHAnsi" w:hAnsiTheme="majorHAnsi" w:cstheme="majorHAnsi"/>
        </w:rPr>
        <w:t>MoE</w:t>
      </w:r>
      <w:r w:rsidR="00B7498F" w:rsidRPr="0060082A">
        <w:rPr>
          <w:rFonts w:asciiTheme="majorHAnsi" w:hAnsiTheme="majorHAnsi" w:cstheme="majorHAnsi"/>
        </w:rPr>
        <w:t xml:space="preserve"> leadership strengthened, </w:t>
      </w:r>
      <w:r w:rsidRPr="0060082A">
        <w:rPr>
          <w:rFonts w:asciiTheme="majorHAnsi" w:hAnsiTheme="majorHAnsi" w:cstheme="majorHAnsi"/>
        </w:rPr>
        <w:t xml:space="preserve">decision making </w:t>
      </w:r>
      <w:r w:rsidR="00B7498F" w:rsidRPr="0060082A">
        <w:rPr>
          <w:rFonts w:asciiTheme="majorHAnsi" w:hAnsiTheme="majorHAnsi" w:cstheme="majorHAnsi"/>
        </w:rPr>
        <w:t>around organisational capacit</w:t>
      </w:r>
      <w:r w:rsidRPr="0060082A">
        <w:rPr>
          <w:rFonts w:asciiTheme="majorHAnsi" w:hAnsiTheme="majorHAnsi" w:cstheme="majorHAnsi"/>
        </w:rPr>
        <w:t xml:space="preserve">y building, strategic planning and </w:t>
      </w:r>
      <w:r w:rsidR="00B7498F" w:rsidRPr="0060082A">
        <w:rPr>
          <w:rFonts w:asciiTheme="majorHAnsi" w:hAnsiTheme="majorHAnsi" w:cstheme="majorHAnsi"/>
        </w:rPr>
        <w:t>succession pla</w:t>
      </w:r>
      <w:r w:rsidR="000B70C5" w:rsidRPr="0060082A">
        <w:rPr>
          <w:rFonts w:asciiTheme="majorHAnsi" w:hAnsiTheme="majorHAnsi" w:cstheme="majorHAnsi"/>
        </w:rPr>
        <w:t xml:space="preserve">nning </w:t>
      </w:r>
      <w:r w:rsidR="00B045BD" w:rsidRPr="0060082A">
        <w:rPr>
          <w:rFonts w:asciiTheme="majorHAnsi" w:hAnsiTheme="majorHAnsi" w:cstheme="majorHAnsi"/>
        </w:rPr>
        <w:t>became more</w:t>
      </w:r>
      <w:r w:rsidR="000B70C5" w:rsidRPr="0060082A">
        <w:rPr>
          <w:rFonts w:asciiTheme="majorHAnsi" w:hAnsiTheme="majorHAnsi" w:cstheme="majorHAnsi"/>
        </w:rPr>
        <w:t xml:space="preserve"> evident</w:t>
      </w:r>
      <w:r w:rsidRPr="0060082A">
        <w:rPr>
          <w:rFonts w:asciiTheme="majorHAnsi" w:hAnsiTheme="majorHAnsi" w:cstheme="majorHAnsi"/>
        </w:rPr>
        <w:t xml:space="preserve">. The </w:t>
      </w:r>
      <w:r w:rsidR="00B765AC" w:rsidRPr="0060082A">
        <w:rPr>
          <w:rFonts w:asciiTheme="majorHAnsi" w:hAnsiTheme="majorHAnsi" w:cstheme="majorHAnsi"/>
        </w:rPr>
        <w:t>MoE</w:t>
      </w:r>
      <w:r w:rsidR="000B70C5" w:rsidRPr="0060082A">
        <w:rPr>
          <w:rFonts w:asciiTheme="majorHAnsi" w:hAnsiTheme="majorHAnsi" w:cstheme="majorHAnsi"/>
        </w:rPr>
        <w:t xml:space="preserve"> </w:t>
      </w:r>
      <w:r w:rsidRPr="0060082A">
        <w:rPr>
          <w:rFonts w:asciiTheme="majorHAnsi" w:hAnsiTheme="majorHAnsi" w:cstheme="majorHAnsi"/>
        </w:rPr>
        <w:t>E</w:t>
      </w:r>
      <w:r w:rsidR="000B70C5" w:rsidRPr="0060082A">
        <w:rPr>
          <w:rFonts w:asciiTheme="majorHAnsi" w:hAnsiTheme="majorHAnsi" w:cstheme="majorHAnsi"/>
        </w:rPr>
        <w:t xml:space="preserve">xecutive </w:t>
      </w:r>
      <w:r w:rsidR="00BC7EAB" w:rsidRPr="0060082A">
        <w:rPr>
          <w:rFonts w:asciiTheme="majorHAnsi" w:hAnsiTheme="majorHAnsi" w:cstheme="majorHAnsi"/>
        </w:rPr>
        <w:t xml:space="preserve">has </w:t>
      </w:r>
      <w:r w:rsidRPr="0060082A">
        <w:rPr>
          <w:rFonts w:asciiTheme="majorHAnsi" w:hAnsiTheme="majorHAnsi" w:cstheme="majorHAnsi"/>
        </w:rPr>
        <w:t xml:space="preserve">always </w:t>
      </w:r>
      <w:r w:rsidR="000B70C5" w:rsidRPr="0060082A">
        <w:rPr>
          <w:rFonts w:asciiTheme="majorHAnsi" w:hAnsiTheme="majorHAnsi" w:cstheme="majorHAnsi"/>
        </w:rPr>
        <w:t>display</w:t>
      </w:r>
      <w:r w:rsidRPr="0060082A">
        <w:rPr>
          <w:rFonts w:asciiTheme="majorHAnsi" w:hAnsiTheme="majorHAnsi" w:cstheme="majorHAnsi"/>
        </w:rPr>
        <w:t>ed a</w:t>
      </w:r>
      <w:r w:rsidR="00566412" w:rsidRPr="0060082A">
        <w:rPr>
          <w:rFonts w:asciiTheme="majorHAnsi" w:hAnsiTheme="majorHAnsi" w:cstheme="majorHAnsi"/>
        </w:rPr>
        <w:t xml:space="preserve"> good team spirit, </w:t>
      </w:r>
      <w:r w:rsidR="00B7498F" w:rsidRPr="0060082A">
        <w:rPr>
          <w:rFonts w:asciiTheme="majorHAnsi" w:hAnsiTheme="majorHAnsi" w:cstheme="majorHAnsi"/>
        </w:rPr>
        <w:t xml:space="preserve">with </w:t>
      </w:r>
      <w:r w:rsidRPr="0060082A">
        <w:rPr>
          <w:rFonts w:asciiTheme="majorHAnsi" w:hAnsiTheme="majorHAnsi" w:cstheme="majorHAnsi"/>
        </w:rPr>
        <w:t xml:space="preserve">their </w:t>
      </w:r>
      <w:r w:rsidR="00DD2E5F" w:rsidRPr="0060082A">
        <w:rPr>
          <w:rFonts w:asciiTheme="majorHAnsi" w:hAnsiTheme="majorHAnsi" w:cstheme="majorHAnsi"/>
        </w:rPr>
        <w:t>obvious</w:t>
      </w:r>
      <w:r w:rsidR="00B7498F" w:rsidRPr="0060082A">
        <w:rPr>
          <w:rFonts w:asciiTheme="majorHAnsi" w:hAnsiTheme="majorHAnsi" w:cstheme="majorHAnsi"/>
        </w:rPr>
        <w:t xml:space="preserve"> shared commitment towards change </w:t>
      </w:r>
      <w:r w:rsidRPr="0060082A">
        <w:rPr>
          <w:rFonts w:asciiTheme="majorHAnsi" w:hAnsiTheme="majorHAnsi" w:cstheme="majorHAnsi"/>
        </w:rPr>
        <w:t xml:space="preserve">that </w:t>
      </w:r>
      <w:r w:rsidR="00566412" w:rsidRPr="0060082A">
        <w:rPr>
          <w:rFonts w:asciiTheme="majorHAnsi" w:hAnsiTheme="majorHAnsi" w:cstheme="majorHAnsi"/>
        </w:rPr>
        <w:t xml:space="preserve">can </w:t>
      </w:r>
      <w:r w:rsidR="00B7498F" w:rsidRPr="0060082A">
        <w:rPr>
          <w:rFonts w:asciiTheme="majorHAnsi" w:hAnsiTheme="majorHAnsi" w:cstheme="majorHAnsi"/>
        </w:rPr>
        <w:t>improve</w:t>
      </w:r>
      <w:r w:rsidRPr="0060082A">
        <w:rPr>
          <w:rFonts w:asciiTheme="majorHAnsi" w:hAnsiTheme="majorHAnsi" w:cstheme="majorHAnsi"/>
        </w:rPr>
        <w:t xml:space="preserve"> educational efficiency, access and outcomes.</w:t>
      </w:r>
      <w:r w:rsidR="00B045BD" w:rsidRPr="0060082A">
        <w:rPr>
          <w:rFonts w:asciiTheme="majorHAnsi" w:hAnsiTheme="majorHAnsi" w:cstheme="majorHAnsi"/>
        </w:rPr>
        <w:t xml:space="preserve"> There is still work to be done </w:t>
      </w:r>
      <w:r w:rsidR="00E42168" w:rsidRPr="0060082A">
        <w:rPr>
          <w:rFonts w:asciiTheme="majorHAnsi" w:hAnsiTheme="majorHAnsi" w:cstheme="majorHAnsi"/>
        </w:rPr>
        <w:t xml:space="preserve">with the </w:t>
      </w:r>
      <w:r w:rsidR="00B045BD" w:rsidRPr="0060082A">
        <w:rPr>
          <w:rFonts w:asciiTheme="majorHAnsi" w:hAnsiTheme="majorHAnsi" w:cstheme="majorHAnsi"/>
        </w:rPr>
        <w:t>MoE Executive requir</w:t>
      </w:r>
      <w:r w:rsidR="00E42168" w:rsidRPr="0060082A">
        <w:rPr>
          <w:rFonts w:asciiTheme="majorHAnsi" w:hAnsiTheme="majorHAnsi" w:cstheme="majorHAnsi"/>
        </w:rPr>
        <w:t>ing</w:t>
      </w:r>
      <w:r w:rsidR="00B045BD" w:rsidRPr="0060082A">
        <w:rPr>
          <w:rFonts w:asciiTheme="majorHAnsi" w:hAnsiTheme="majorHAnsi" w:cstheme="majorHAnsi"/>
        </w:rPr>
        <w:t xml:space="preserve"> on-going support from the </w:t>
      </w:r>
      <w:r w:rsidR="00D73189" w:rsidRPr="0060082A">
        <w:rPr>
          <w:rFonts w:asciiTheme="majorHAnsi" w:hAnsiTheme="majorHAnsi" w:cstheme="majorHAnsi"/>
        </w:rPr>
        <w:t xml:space="preserve">ESPA </w:t>
      </w:r>
      <w:r w:rsidR="00B045BD" w:rsidRPr="0060082A">
        <w:rPr>
          <w:rFonts w:asciiTheme="majorHAnsi" w:hAnsiTheme="majorHAnsi" w:cstheme="majorHAnsi"/>
        </w:rPr>
        <w:t>and via specialist TA into the next Phase.</w:t>
      </w:r>
    </w:p>
    <w:p w14:paraId="12406E71" w14:textId="7DDA9022" w:rsidR="007627F4" w:rsidRPr="00C918BF" w:rsidRDefault="007627F4" w:rsidP="00D02244">
      <w:pPr>
        <w:pStyle w:val="Heading2"/>
        <w:rPr>
          <w:color w:val="auto"/>
        </w:rPr>
      </w:pPr>
      <w:bookmarkStart w:id="32" w:name="_Toc453669678"/>
      <w:bookmarkStart w:id="33" w:name="_Toc461615683"/>
      <w:r w:rsidRPr="00C918BF">
        <w:rPr>
          <w:color w:val="auto"/>
        </w:rPr>
        <w:t>1.</w:t>
      </w:r>
      <w:r w:rsidR="00FE523E" w:rsidRPr="00C918BF">
        <w:rPr>
          <w:color w:val="auto"/>
        </w:rPr>
        <w:t>4</w:t>
      </w:r>
      <w:r w:rsidR="003B2DF9" w:rsidRPr="00C918BF">
        <w:rPr>
          <w:color w:val="auto"/>
        </w:rPr>
        <w:tab/>
      </w:r>
      <w:r w:rsidRPr="00C918BF">
        <w:rPr>
          <w:color w:val="auto"/>
        </w:rPr>
        <w:t xml:space="preserve">Key Achievements of KEIP during Phase </w:t>
      </w:r>
      <w:bookmarkEnd w:id="32"/>
      <w:r w:rsidR="000A49FE">
        <w:rPr>
          <w:color w:val="auto"/>
        </w:rPr>
        <w:t>2</w:t>
      </w:r>
      <w:bookmarkEnd w:id="33"/>
    </w:p>
    <w:p w14:paraId="4CD9AB1C" w14:textId="77777777" w:rsidR="006C528A" w:rsidRPr="00C918BF" w:rsidRDefault="006C528A" w:rsidP="00CD6138">
      <w:pPr>
        <w:pStyle w:val="Heading3"/>
      </w:pPr>
      <w:bookmarkStart w:id="34" w:name="_Toc461615684"/>
      <w:r w:rsidRPr="00C918BF">
        <w:t>Summary Achievements</w:t>
      </w:r>
      <w:bookmarkEnd w:id="34"/>
    </w:p>
    <w:p w14:paraId="611FCC9B" w14:textId="44D8596B" w:rsidR="004D4D1C" w:rsidRPr="0060082A" w:rsidRDefault="006C528A" w:rsidP="0060082A">
      <w:pPr>
        <w:rPr>
          <w:rFonts w:asciiTheme="majorHAnsi" w:hAnsiTheme="majorHAnsi" w:cstheme="majorHAnsi"/>
        </w:rPr>
      </w:pPr>
      <w:r w:rsidRPr="0060082A">
        <w:rPr>
          <w:rFonts w:asciiTheme="majorHAnsi" w:hAnsiTheme="majorHAnsi" w:cstheme="majorHAnsi"/>
        </w:rPr>
        <w:t xml:space="preserve">In support of MoE, the following provides an overview of </w:t>
      </w:r>
      <w:r w:rsidR="00E05661" w:rsidRPr="0060082A">
        <w:rPr>
          <w:rFonts w:asciiTheme="majorHAnsi" w:hAnsiTheme="majorHAnsi" w:cstheme="majorHAnsi"/>
        </w:rPr>
        <w:t xml:space="preserve">the </w:t>
      </w:r>
      <w:r w:rsidR="007E03CA" w:rsidRPr="0060082A">
        <w:rPr>
          <w:rFonts w:asciiTheme="majorHAnsi" w:hAnsiTheme="majorHAnsi" w:cstheme="majorHAnsi"/>
        </w:rPr>
        <w:t>progress KEIP</w:t>
      </w:r>
      <w:r w:rsidRPr="0060082A">
        <w:rPr>
          <w:rFonts w:asciiTheme="majorHAnsi" w:hAnsiTheme="majorHAnsi" w:cstheme="majorHAnsi"/>
        </w:rPr>
        <w:t xml:space="preserve"> Phase </w:t>
      </w:r>
      <w:r w:rsidR="000A49FE">
        <w:rPr>
          <w:rFonts w:asciiTheme="majorHAnsi" w:hAnsiTheme="majorHAnsi" w:cstheme="majorHAnsi"/>
        </w:rPr>
        <w:t>2</w:t>
      </w:r>
      <w:r w:rsidRPr="0060082A">
        <w:rPr>
          <w:rFonts w:asciiTheme="majorHAnsi" w:hAnsiTheme="majorHAnsi" w:cstheme="majorHAnsi"/>
        </w:rPr>
        <w:t xml:space="preserve"> supported the MoE achieve. These achievements, together with the </w:t>
      </w:r>
      <w:r w:rsidR="00E05661" w:rsidRPr="0060082A">
        <w:rPr>
          <w:rFonts w:asciiTheme="majorHAnsi" w:hAnsiTheme="majorHAnsi" w:cstheme="majorHAnsi"/>
        </w:rPr>
        <w:t xml:space="preserve">early trends in </w:t>
      </w:r>
      <w:r w:rsidRPr="0060082A">
        <w:rPr>
          <w:rFonts w:asciiTheme="majorHAnsi" w:hAnsiTheme="majorHAnsi" w:cstheme="majorHAnsi"/>
        </w:rPr>
        <w:t>latest Standardised Tests of Achievement in Kiribati (STAKI) results, indicate the reform process is underway,</w:t>
      </w:r>
      <w:r w:rsidR="00E05661" w:rsidRPr="0060082A">
        <w:rPr>
          <w:rFonts w:asciiTheme="majorHAnsi" w:hAnsiTheme="majorHAnsi" w:cstheme="majorHAnsi"/>
        </w:rPr>
        <w:t xml:space="preserve"> with an </w:t>
      </w:r>
      <w:r w:rsidR="00963E2D" w:rsidRPr="0060082A">
        <w:rPr>
          <w:rFonts w:asciiTheme="majorHAnsi" w:hAnsiTheme="majorHAnsi" w:cstheme="majorHAnsi"/>
        </w:rPr>
        <w:t>on-going</w:t>
      </w:r>
      <w:r w:rsidRPr="0060082A">
        <w:rPr>
          <w:rFonts w:asciiTheme="majorHAnsi" w:hAnsiTheme="majorHAnsi" w:cstheme="majorHAnsi"/>
        </w:rPr>
        <w:t xml:space="preserve"> </w:t>
      </w:r>
      <w:r w:rsidR="00E05661" w:rsidRPr="0060082A">
        <w:rPr>
          <w:rFonts w:asciiTheme="majorHAnsi" w:hAnsiTheme="majorHAnsi" w:cstheme="majorHAnsi"/>
        </w:rPr>
        <w:t xml:space="preserve">MoE </w:t>
      </w:r>
      <w:r w:rsidRPr="0060082A">
        <w:rPr>
          <w:rFonts w:asciiTheme="majorHAnsi" w:hAnsiTheme="majorHAnsi" w:cstheme="majorHAnsi"/>
        </w:rPr>
        <w:t xml:space="preserve">commitment to achieve </w:t>
      </w:r>
      <w:r w:rsidR="00E42168" w:rsidRPr="0060082A">
        <w:rPr>
          <w:rFonts w:asciiTheme="majorHAnsi" w:hAnsiTheme="majorHAnsi" w:cstheme="majorHAnsi"/>
        </w:rPr>
        <w:t xml:space="preserve">its </w:t>
      </w:r>
      <w:r w:rsidRPr="0060082A">
        <w:rPr>
          <w:rFonts w:asciiTheme="majorHAnsi" w:hAnsiTheme="majorHAnsi" w:cstheme="majorHAnsi"/>
        </w:rPr>
        <w:t>ESSP goals.</w:t>
      </w:r>
      <w:r w:rsidR="00632EE5" w:rsidRPr="0060082A">
        <w:rPr>
          <w:rFonts w:asciiTheme="majorHAnsi" w:hAnsiTheme="majorHAnsi" w:cstheme="majorHAnsi"/>
        </w:rPr>
        <w:t xml:space="preserve"> </w:t>
      </w:r>
    </w:p>
    <w:p w14:paraId="64AA5AED" w14:textId="3567931A" w:rsidR="003257D9" w:rsidRPr="0060082A" w:rsidRDefault="003257D9" w:rsidP="0060082A">
      <w:pPr>
        <w:rPr>
          <w:rFonts w:asciiTheme="majorHAnsi" w:hAnsiTheme="majorHAnsi" w:cstheme="majorHAnsi"/>
        </w:rPr>
      </w:pPr>
      <w:r w:rsidRPr="0060082A">
        <w:rPr>
          <w:rFonts w:asciiTheme="majorHAnsi" w:hAnsiTheme="majorHAnsi" w:cstheme="majorHAnsi"/>
        </w:rPr>
        <w:t xml:space="preserve">The PILNA and STAKI results are all based on the same series of tests. The test results are used by the MoE for system and school performance analysis, with the school level results made available to schools and their communities (via the schools). The STAKI results are used by MoE for their planning, management and </w:t>
      </w:r>
      <w:r w:rsidR="00CD488B" w:rsidRPr="0060082A">
        <w:rPr>
          <w:rFonts w:asciiTheme="majorHAnsi" w:hAnsiTheme="majorHAnsi" w:cstheme="majorHAnsi"/>
        </w:rPr>
        <w:t>reporting purposes.</w:t>
      </w:r>
    </w:p>
    <w:p w14:paraId="51689D4E" w14:textId="11101A0F" w:rsidR="00CD488B" w:rsidRPr="0060082A" w:rsidRDefault="00CD488B" w:rsidP="0060082A">
      <w:pPr>
        <w:rPr>
          <w:rFonts w:asciiTheme="majorHAnsi" w:hAnsiTheme="majorHAnsi" w:cstheme="majorHAnsi"/>
        </w:rPr>
      </w:pPr>
      <w:r w:rsidRPr="0060082A">
        <w:rPr>
          <w:rFonts w:asciiTheme="majorHAnsi" w:hAnsiTheme="majorHAnsi" w:cstheme="majorHAnsi"/>
        </w:rPr>
        <w:t>The PILNA takes these same test results and develops a comparative analysis of basic education outcomes across the region. In most Pacific countries, the PILNA represents the results from a representative sample of schools. For Kiribati, the results for all schools are collected as part of the analysis and reporting</w:t>
      </w:r>
      <w:r w:rsidRPr="0060082A">
        <w:rPr>
          <w:rStyle w:val="FootnoteReference"/>
          <w:rFonts w:asciiTheme="majorHAnsi" w:hAnsiTheme="majorHAnsi" w:cstheme="majorHAnsi"/>
        </w:rPr>
        <w:footnoteReference w:id="5"/>
      </w:r>
      <w:r w:rsidRPr="0060082A">
        <w:rPr>
          <w:rFonts w:asciiTheme="majorHAnsi" w:hAnsiTheme="majorHAnsi" w:cstheme="majorHAnsi"/>
        </w:rPr>
        <w:t>.</w:t>
      </w:r>
      <w:r w:rsidR="00A82C90" w:rsidRPr="0060082A">
        <w:rPr>
          <w:rFonts w:asciiTheme="majorHAnsi" w:hAnsiTheme="majorHAnsi" w:cstheme="majorHAnsi"/>
        </w:rPr>
        <w:t xml:space="preserve"> </w:t>
      </w:r>
      <w:r w:rsidRPr="0060082A">
        <w:rPr>
          <w:rFonts w:asciiTheme="majorHAnsi" w:hAnsiTheme="majorHAnsi" w:cstheme="majorHAnsi"/>
        </w:rPr>
        <w:t>The advantage of the PILNA is that it can provide reasonably consistent comparison of literacy and numeracy outcomes for countries across the Pacific.</w:t>
      </w:r>
    </w:p>
    <w:p w14:paraId="12C96087" w14:textId="25EE22E5" w:rsidR="006C528A" w:rsidRPr="0060082A" w:rsidRDefault="00632EE5" w:rsidP="0060082A">
      <w:pPr>
        <w:rPr>
          <w:rFonts w:asciiTheme="majorHAnsi" w:hAnsiTheme="majorHAnsi" w:cstheme="majorHAnsi"/>
        </w:rPr>
      </w:pPr>
      <w:r w:rsidRPr="0060082A">
        <w:rPr>
          <w:rFonts w:asciiTheme="majorHAnsi" w:hAnsiTheme="majorHAnsi" w:cstheme="majorHAnsi"/>
        </w:rPr>
        <w:t>The regional Pacific Literacy and Numeracy Assessments - PILNA were due to be run in October 2015</w:t>
      </w:r>
      <w:r w:rsidR="004D4D1C" w:rsidRPr="0060082A">
        <w:rPr>
          <w:rFonts w:asciiTheme="majorHAnsi" w:hAnsiTheme="majorHAnsi" w:cstheme="majorHAnsi"/>
        </w:rPr>
        <w:t xml:space="preserve"> at the same time as the STAKI</w:t>
      </w:r>
      <w:r w:rsidRPr="0060082A">
        <w:rPr>
          <w:rFonts w:asciiTheme="majorHAnsi" w:hAnsiTheme="majorHAnsi" w:cstheme="majorHAnsi"/>
        </w:rPr>
        <w:t xml:space="preserve">. </w:t>
      </w:r>
      <w:r w:rsidR="004D4D1C" w:rsidRPr="0060082A">
        <w:rPr>
          <w:rFonts w:asciiTheme="majorHAnsi" w:hAnsiTheme="majorHAnsi" w:cstheme="majorHAnsi"/>
        </w:rPr>
        <w:t>Hence, t</w:t>
      </w:r>
      <w:r w:rsidRPr="0060082A">
        <w:rPr>
          <w:rFonts w:asciiTheme="majorHAnsi" w:hAnsiTheme="majorHAnsi" w:cstheme="majorHAnsi"/>
        </w:rPr>
        <w:t xml:space="preserve">he Ministry co-operated with the Education Quality and Assessment </w:t>
      </w:r>
      <w:r w:rsidR="004D4D1C" w:rsidRPr="0060082A">
        <w:rPr>
          <w:rFonts w:asciiTheme="majorHAnsi" w:hAnsiTheme="majorHAnsi" w:cstheme="majorHAnsi"/>
        </w:rPr>
        <w:t xml:space="preserve">Programme of </w:t>
      </w:r>
      <w:r w:rsidR="0037695F" w:rsidRPr="0060082A">
        <w:rPr>
          <w:rFonts w:asciiTheme="majorHAnsi" w:hAnsiTheme="majorHAnsi" w:cstheme="majorHAnsi"/>
        </w:rPr>
        <w:t>the Secretariat of the</w:t>
      </w:r>
      <w:r w:rsidR="004D4D1C" w:rsidRPr="0060082A">
        <w:rPr>
          <w:rFonts w:asciiTheme="majorHAnsi" w:hAnsiTheme="majorHAnsi" w:cstheme="majorHAnsi"/>
        </w:rPr>
        <w:t xml:space="preserve"> Pacific </w:t>
      </w:r>
      <w:r w:rsidR="0037695F" w:rsidRPr="0060082A">
        <w:rPr>
          <w:rFonts w:asciiTheme="majorHAnsi" w:hAnsiTheme="majorHAnsi" w:cstheme="majorHAnsi"/>
        </w:rPr>
        <w:t>Community</w:t>
      </w:r>
      <w:r w:rsidR="00363EDE" w:rsidRPr="0060082A">
        <w:rPr>
          <w:rFonts w:asciiTheme="majorHAnsi" w:hAnsiTheme="majorHAnsi" w:cstheme="majorHAnsi"/>
        </w:rPr>
        <w:t xml:space="preserve"> (EQAP) who administer and</w:t>
      </w:r>
      <w:r w:rsidRPr="0060082A">
        <w:rPr>
          <w:rFonts w:asciiTheme="majorHAnsi" w:hAnsiTheme="majorHAnsi" w:cstheme="majorHAnsi"/>
        </w:rPr>
        <w:t xml:space="preserve"> manage PILNA, to use the PILNA tests were possible in place of the STAKI</w:t>
      </w:r>
      <w:r w:rsidR="004D4D1C" w:rsidRPr="0060082A">
        <w:rPr>
          <w:rFonts w:asciiTheme="majorHAnsi" w:hAnsiTheme="majorHAnsi" w:cstheme="majorHAnsi"/>
        </w:rPr>
        <w:t xml:space="preserve"> to avoid duplication of effort and cost</w:t>
      </w:r>
      <w:r w:rsidRPr="0060082A">
        <w:rPr>
          <w:rFonts w:asciiTheme="majorHAnsi" w:hAnsiTheme="majorHAnsi" w:cstheme="majorHAnsi"/>
        </w:rPr>
        <w:t>. Consequently, the Year 4 and 6 numeracy tests, the Year 4 te-Kiribati test and the Year 6 English test were prepared, printed and the marking was managed by EQAP.</w:t>
      </w:r>
    </w:p>
    <w:p w14:paraId="1FF49529" w14:textId="72901D13" w:rsidR="000510E4" w:rsidRPr="0060082A" w:rsidRDefault="000510E4" w:rsidP="0060082A">
      <w:pPr>
        <w:rPr>
          <w:rFonts w:asciiTheme="majorHAnsi" w:hAnsiTheme="majorHAnsi" w:cstheme="majorHAnsi"/>
        </w:rPr>
      </w:pPr>
      <w:r w:rsidRPr="0060082A">
        <w:rPr>
          <w:rFonts w:asciiTheme="majorHAnsi" w:hAnsiTheme="majorHAnsi" w:cstheme="majorHAnsi"/>
        </w:rPr>
        <w:t xml:space="preserve">The structure of the papers and the questions were closely based on those used in 2013. A few questions were improved to make their requirements clearer </w:t>
      </w:r>
      <w:r w:rsidR="00C32532" w:rsidRPr="0060082A">
        <w:rPr>
          <w:rFonts w:asciiTheme="majorHAnsi" w:hAnsiTheme="majorHAnsi" w:cstheme="majorHAnsi"/>
        </w:rPr>
        <w:t xml:space="preserve">and </w:t>
      </w:r>
      <w:r w:rsidRPr="0060082A">
        <w:rPr>
          <w:rFonts w:asciiTheme="majorHAnsi" w:hAnsiTheme="majorHAnsi" w:cstheme="majorHAnsi"/>
        </w:rPr>
        <w:t>inclusive of all students. Care was taken to ensure that the Year 4 tests reflected the Year 4 benchmarks for the new curriculum.</w:t>
      </w:r>
    </w:p>
    <w:p w14:paraId="5288C96C" w14:textId="0F946A5D" w:rsidR="006C528A" w:rsidRPr="0060082A" w:rsidRDefault="006C528A" w:rsidP="0060082A">
      <w:pPr>
        <w:rPr>
          <w:rFonts w:asciiTheme="majorHAnsi" w:hAnsiTheme="majorHAnsi" w:cstheme="majorHAnsi"/>
        </w:rPr>
      </w:pPr>
      <w:r w:rsidRPr="0060082A">
        <w:rPr>
          <w:rFonts w:asciiTheme="majorHAnsi" w:hAnsiTheme="majorHAnsi" w:cstheme="majorHAnsi"/>
          <w:b/>
        </w:rPr>
        <w:lastRenderedPageBreak/>
        <w:t>100% of primary schools in Kiribati are implementing new curriculum for Years 1-4.</w:t>
      </w:r>
      <w:r w:rsidRPr="0060082A">
        <w:rPr>
          <w:rFonts w:asciiTheme="majorHAnsi" w:hAnsiTheme="majorHAnsi" w:cstheme="majorHAnsi"/>
        </w:rPr>
        <w:t xml:space="preserve"> In 2015 this curriculum was being delivered to th</w:t>
      </w:r>
      <w:r w:rsidR="00E42168" w:rsidRPr="0060082A">
        <w:rPr>
          <w:rFonts w:asciiTheme="majorHAnsi" w:hAnsiTheme="majorHAnsi" w:cstheme="majorHAnsi"/>
        </w:rPr>
        <w:t xml:space="preserve">e </w:t>
      </w:r>
      <w:r w:rsidRPr="0060082A">
        <w:rPr>
          <w:rFonts w:asciiTheme="majorHAnsi" w:hAnsiTheme="majorHAnsi" w:cstheme="majorHAnsi"/>
        </w:rPr>
        <w:t xml:space="preserve">11,321 children enrolled in each year from Years 1-4. It addresses gender and disability dimensions by promoting inclusivity, as well as integrating healthy living (in cooperation with UNICEF), with relevant early years literacy and numeracy content in both Te-Kiribati and English. </w:t>
      </w:r>
    </w:p>
    <w:p w14:paraId="55EFF3F2" w14:textId="3FD8DAE4" w:rsidR="00D73189" w:rsidRPr="00C918BF" w:rsidRDefault="006C528A" w:rsidP="00BD005B">
      <w:pPr>
        <w:spacing w:after="60"/>
        <w:rPr>
          <w:spacing w:val="-2"/>
        </w:rPr>
      </w:pPr>
      <w:r w:rsidRPr="00C918BF">
        <w:rPr>
          <w:spacing w:val="-2"/>
        </w:rPr>
        <w:t xml:space="preserve">Promising indications of the early effectiveness of this new curriculum include improvement in Year 4 numeracy skills, with 78% of those who sat the 2015 STAKI and Pacific Islands Literacy and Numeracy Assessment (PILNA) tests demonstrating performance </w:t>
      </w:r>
      <w:r w:rsidR="000D187F" w:rsidRPr="00C918BF">
        <w:rPr>
          <w:spacing w:val="-2"/>
        </w:rPr>
        <w:t xml:space="preserve">at or </w:t>
      </w:r>
      <w:r w:rsidRPr="00C918BF">
        <w:rPr>
          <w:spacing w:val="-2"/>
        </w:rPr>
        <w:t>better than the benchmark</w:t>
      </w:r>
      <w:r w:rsidR="00D73189" w:rsidRPr="00C918BF">
        <w:rPr>
          <w:spacing w:val="-2"/>
        </w:rPr>
        <w:t>,</w:t>
      </w:r>
      <w:r w:rsidRPr="00C918BF">
        <w:rPr>
          <w:spacing w:val="-2"/>
        </w:rPr>
        <w:t xml:space="preserve"> compared with only 26% in 2013. </w:t>
      </w:r>
    </w:p>
    <w:p w14:paraId="64A41EC8" w14:textId="1F53D1DD" w:rsidR="009C226E" w:rsidRPr="00A82C90" w:rsidRDefault="00BD005B" w:rsidP="00632EE5">
      <w:pPr>
        <w:spacing w:after="60"/>
        <w:rPr>
          <w:spacing w:val="2"/>
        </w:rPr>
      </w:pPr>
      <w:r w:rsidRPr="00A82C90">
        <w:rPr>
          <w:spacing w:val="2"/>
        </w:rPr>
        <w:t xml:space="preserve">The Te-Kiribati STAKI literacy results have been static since 2009 until 2015, where a significant decrease in the national average </w:t>
      </w:r>
      <w:r w:rsidR="007E03CA" w:rsidRPr="00A82C90">
        <w:rPr>
          <w:spacing w:val="2"/>
        </w:rPr>
        <w:t>occurred</w:t>
      </w:r>
      <w:r w:rsidRPr="00A82C90">
        <w:rPr>
          <w:spacing w:val="2"/>
        </w:rPr>
        <w:t xml:space="preserve">. </w:t>
      </w:r>
      <w:r w:rsidR="005336B2" w:rsidRPr="00A82C90">
        <w:rPr>
          <w:spacing w:val="2"/>
        </w:rPr>
        <w:t>T</w:t>
      </w:r>
      <w:r w:rsidRPr="00A82C90">
        <w:rPr>
          <w:spacing w:val="2"/>
        </w:rPr>
        <w:t xml:space="preserve">he proportion of </w:t>
      </w:r>
      <w:r w:rsidR="00632EE5" w:rsidRPr="00A82C90">
        <w:rPr>
          <w:spacing w:val="2"/>
        </w:rPr>
        <w:t xml:space="preserve">very weak </w:t>
      </w:r>
      <w:r w:rsidRPr="00A82C90">
        <w:rPr>
          <w:spacing w:val="2"/>
        </w:rPr>
        <w:t>student</w:t>
      </w:r>
      <w:r w:rsidR="00061C69" w:rsidRPr="00A82C90">
        <w:rPr>
          <w:spacing w:val="2"/>
        </w:rPr>
        <w:t xml:space="preserve"> </w:t>
      </w:r>
      <w:r w:rsidRPr="00A82C90">
        <w:rPr>
          <w:spacing w:val="2"/>
        </w:rPr>
        <w:t>perform</w:t>
      </w:r>
      <w:r w:rsidR="00632EE5" w:rsidRPr="00A82C90">
        <w:rPr>
          <w:spacing w:val="2"/>
        </w:rPr>
        <w:t>ances</w:t>
      </w:r>
      <w:r w:rsidRPr="00A82C90">
        <w:rPr>
          <w:spacing w:val="2"/>
        </w:rPr>
        <w:t xml:space="preserve"> </w:t>
      </w:r>
      <w:r w:rsidR="00632EE5" w:rsidRPr="00A82C90">
        <w:rPr>
          <w:spacing w:val="2"/>
        </w:rPr>
        <w:t xml:space="preserve">in Year 4 </w:t>
      </w:r>
      <w:r w:rsidRPr="00A82C90">
        <w:rPr>
          <w:spacing w:val="2"/>
        </w:rPr>
        <w:t xml:space="preserve">has </w:t>
      </w:r>
      <w:r w:rsidR="00632EE5" w:rsidRPr="00A82C90">
        <w:rPr>
          <w:spacing w:val="2"/>
        </w:rPr>
        <w:t>declined</w:t>
      </w:r>
      <w:r w:rsidRPr="00A82C90">
        <w:rPr>
          <w:spacing w:val="2"/>
        </w:rPr>
        <w:t xml:space="preserve">, </w:t>
      </w:r>
      <w:r w:rsidR="00664E34" w:rsidRPr="00A82C90">
        <w:rPr>
          <w:spacing w:val="2"/>
        </w:rPr>
        <w:t>t</w:t>
      </w:r>
      <w:r w:rsidR="00632EE5" w:rsidRPr="00A82C90">
        <w:rPr>
          <w:spacing w:val="2"/>
        </w:rPr>
        <w:t>his may reflect improved classroom engagement resulting from improved curriculum and pedagogy; an improved attitude towards and familiarity with testing</w:t>
      </w:r>
      <w:r w:rsidR="00C32532">
        <w:rPr>
          <w:spacing w:val="2"/>
        </w:rPr>
        <w:t>;</w:t>
      </w:r>
      <w:r w:rsidR="00632EE5" w:rsidRPr="00A82C90">
        <w:rPr>
          <w:spacing w:val="2"/>
        </w:rPr>
        <w:t xml:space="preserve"> or a</w:t>
      </w:r>
      <w:r w:rsidR="00664E34" w:rsidRPr="00A82C90">
        <w:rPr>
          <w:spacing w:val="2"/>
        </w:rPr>
        <w:t xml:space="preserve"> </w:t>
      </w:r>
      <w:r w:rsidR="00632EE5" w:rsidRPr="00A82C90">
        <w:rPr>
          <w:spacing w:val="2"/>
        </w:rPr>
        <w:t>combination of those and other factors.</w:t>
      </w:r>
    </w:p>
    <w:p w14:paraId="3182E07C" w14:textId="0AF3F49C" w:rsidR="00D73189" w:rsidRPr="00C918BF" w:rsidRDefault="00BD005B" w:rsidP="00BD005B">
      <w:pPr>
        <w:spacing w:after="60"/>
        <w:rPr>
          <w:spacing w:val="-2"/>
        </w:rPr>
      </w:pPr>
      <w:r w:rsidRPr="00D860CA">
        <w:rPr>
          <w:spacing w:val="-2"/>
        </w:rPr>
        <w:t xml:space="preserve">It </w:t>
      </w:r>
      <w:r w:rsidR="00A97208" w:rsidRPr="00C918BF">
        <w:rPr>
          <w:spacing w:val="-2"/>
        </w:rPr>
        <w:t>should also be noted</w:t>
      </w:r>
      <w:r w:rsidR="00C32532">
        <w:rPr>
          <w:rStyle w:val="FootnoteReference"/>
          <w:spacing w:val="-2"/>
        </w:rPr>
        <w:footnoteReference w:id="6"/>
      </w:r>
      <w:r w:rsidR="00A97208" w:rsidRPr="00C918BF">
        <w:rPr>
          <w:spacing w:val="-2"/>
        </w:rPr>
        <w:t xml:space="preserve"> that the Y</w:t>
      </w:r>
      <w:r w:rsidRPr="00C918BF">
        <w:rPr>
          <w:spacing w:val="-2"/>
        </w:rPr>
        <w:t xml:space="preserve"> 4 students tested were only exposed to the new curriculum for a maximum of </w:t>
      </w:r>
      <w:r w:rsidR="003257D9">
        <w:rPr>
          <w:spacing w:val="-2"/>
        </w:rPr>
        <w:t>3</w:t>
      </w:r>
      <w:r w:rsidRPr="00C918BF">
        <w:rPr>
          <w:spacing w:val="-2"/>
        </w:rPr>
        <w:t xml:space="preserve"> years</w:t>
      </w:r>
      <w:r w:rsidR="00680AEC">
        <w:rPr>
          <w:spacing w:val="-2"/>
        </w:rPr>
        <w:t xml:space="preserve">. </w:t>
      </w:r>
      <w:r w:rsidR="00CD488B">
        <w:rPr>
          <w:spacing w:val="-2"/>
        </w:rPr>
        <w:t>While it is early days, there are some positive trends but the results remain mixed. Th</w:t>
      </w:r>
      <w:r w:rsidR="00C32532">
        <w:rPr>
          <w:spacing w:val="-2"/>
        </w:rPr>
        <w:t xml:space="preserve">ese mixed early results </w:t>
      </w:r>
      <w:r w:rsidR="00CD488B">
        <w:rPr>
          <w:spacing w:val="-2"/>
        </w:rPr>
        <w:t>can be expected during a reform process when new curriculum and methods are introduced across the schools and islands in Kiribati. It can be expected that there will be differences in school level results depending on the resources available and the teach</w:t>
      </w:r>
      <w:r w:rsidR="00680AEC">
        <w:rPr>
          <w:spacing w:val="-2"/>
        </w:rPr>
        <w:t>er</w:t>
      </w:r>
      <w:r w:rsidR="00CD488B">
        <w:rPr>
          <w:spacing w:val="-2"/>
        </w:rPr>
        <w:t xml:space="preserve"> PD and school leadership. </w:t>
      </w:r>
      <w:r w:rsidR="00AD0C0E">
        <w:rPr>
          <w:spacing w:val="-2"/>
        </w:rPr>
        <w:t>Over the coming years, the measurement and reporting outcomes in literacy and numeracy, as a result of the new curriculum, will become more reliable.</w:t>
      </w:r>
    </w:p>
    <w:p w14:paraId="073DC3BD" w14:textId="04EAD243" w:rsidR="006C528A" w:rsidRPr="00C918BF" w:rsidRDefault="006C528A" w:rsidP="00BD005B">
      <w:pPr>
        <w:spacing w:after="60"/>
        <w:rPr>
          <w:spacing w:val="-2"/>
        </w:rPr>
      </w:pPr>
      <w:r w:rsidRPr="00D860CA">
        <w:rPr>
          <w:b/>
        </w:rPr>
        <w:t>An Assessment and Examinations Framework</w:t>
      </w:r>
      <w:r w:rsidRPr="00D860CA">
        <w:t xml:space="preserve"> has been developed with support from KEIP TA, to guide the use of findings about student literacy and numeracy learning from assessments (STAKI, the trial PILNA and international work on Early Grade Reading Ass</w:t>
      </w:r>
      <w:r w:rsidRPr="00C918BF">
        <w:t>essment - EGRA) and to inform MoE on school-based assessments, curriculum materials and related teacher professional development.</w:t>
      </w:r>
    </w:p>
    <w:p w14:paraId="678ADE68" w14:textId="4BFBABB6" w:rsidR="00A97208" w:rsidRPr="00C918BF" w:rsidRDefault="006C528A" w:rsidP="00A97208">
      <w:pPr>
        <w:spacing w:after="60"/>
        <w:rPr>
          <w:rFonts w:ascii="Arial" w:hAnsi="Arial" w:cs="Arial (TT)"/>
          <w:lang w:val="en-GB"/>
        </w:rPr>
      </w:pPr>
      <w:r w:rsidRPr="00C918BF">
        <w:rPr>
          <w:b/>
        </w:rPr>
        <w:t>95% of permanent MoE teachers of Years 1-4</w:t>
      </w:r>
      <w:r w:rsidRPr="00C918BF">
        <w:t xml:space="preserve"> had opportunities, through a systemic approach to professional development, to practice implement</w:t>
      </w:r>
      <w:r w:rsidR="008227F9" w:rsidRPr="00C918BF">
        <w:t>ing</w:t>
      </w:r>
      <w:r w:rsidRPr="00C918BF">
        <w:t xml:space="preserve"> the new curriculum and improved teaching approaches over relatively extended periods of time</w:t>
      </w:r>
      <w:r w:rsidR="008227F9" w:rsidRPr="00C918BF">
        <w:t>.</w:t>
      </w:r>
      <w:r w:rsidRPr="00C918BF">
        <w:t xml:space="preserve"> </w:t>
      </w:r>
      <w:r w:rsidR="003B1DEF" w:rsidRPr="00C918BF">
        <w:rPr>
          <w:rFonts w:ascii="Arial" w:hAnsi="Arial" w:cs="Arial (TT)"/>
          <w:lang w:val="en-GB"/>
        </w:rPr>
        <w:t xml:space="preserve">Through the </w:t>
      </w:r>
      <w:r w:rsidR="008227F9" w:rsidRPr="00C918BF">
        <w:rPr>
          <w:rFonts w:ascii="Arial" w:hAnsi="Arial" w:cs="Arial (TT)"/>
          <w:lang w:val="en-GB"/>
        </w:rPr>
        <w:t xml:space="preserve">Teacher Professional Development </w:t>
      </w:r>
      <w:r w:rsidR="003B1DEF" w:rsidRPr="00C918BF">
        <w:rPr>
          <w:rFonts w:ascii="Arial" w:hAnsi="Arial" w:cs="Arial (TT)"/>
          <w:lang w:val="en-GB"/>
        </w:rPr>
        <w:t>approach</w:t>
      </w:r>
      <w:r w:rsidR="00E05661" w:rsidRPr="00C918BF">
        <w:rPr>
          <w:rFonts w:ascii="Arial" w:hAnsi="Arial" w:cs="Arial (TT)"/>
          <w:lang w:val="en-GB"/>
        </w:rPr>
        <w:t>,</w:t>
      </w:r>
      <w:r w:rsidR="003B1DEF" w:rsidRPr="00C918BF">
        <w:rPr>
          <w:rFonts w:ascii="Arial" w:hAnsi="Arial" w:cs="Arial (TT)"/>
          <w:lang w:val="en-GB"/>
        </w:rPr>
        <w:t xml:space="preserve"> 95% </w:t>
      </w:r>
      <w:r w:rsidR="00A97208" w:rsidRPr="00C918BF">
        <w:rPr>
          <w:rFonts w:ascii="Arial" w:hAnsi="Arial" w:cs="Arial (TT)"/>
          <w:lang w:val="en-GB"/>
        </w:rPr>
        <w:t>of primary school teach</w:t>
      </w:r>
      <w:r w:rsidR="005336B2" w:rsidRPr="00C918BF">
        <w:rPr>
          <w:rFonts w:ascii="Arial" w:hAnsi="Arial" w:cs="Arial (TT)"/>
          <w:lang w:val="en-GB"/>
        </w:rPr>
        <w:t>ers who are certified to teach (</w:t>
      </w:r>
      <w:r w:rsidR="00366943" w:rsidRPr="00C918BF">
        <w:rPr>
          <w:rFonts w:ascii="Arial" w:hAnsi="Arial" w:cs="Arial (TT)"/>
          <w:lang w:val="en-GB"/>
        </w:rPr>
        <w:t>i.e.</w:t>
      </w:r>
      <w:r w:rsidR="00A97208" w:rsidRPr="00C918BF">
        <w:rPr>
          <w:rFonts w:ascii="Arial" w:hAnsi="Arial" w:cs="Arial (TT)"/>
          <w:lang w:val="en-GB"/>
        </w:rPr>
        <w:t xml:space="preserve"> have met the Kiribati Teaching Service Standards (</w:t>
      </w:r>
      <w:r w:rsidR="00366943" w:rsidRPr="00C918BF">
        <w:rPr>
          <w:rFonts w:ascii="Arial" w:hAnsi="Arial" w:cs="Arial (TT)"/>
          <w:lang w:val="en-GB"/>
        </w:rPr>
        <w:t>TSS)</w:t>
      </w:r>
      <w:r w:rsidR="007738F2" w:rsidRPr="00C918BF">
        <w:rPr>
          <w:rFonts w:ascii="Arial" w:hAnsi="Arial" w:cs="Arial (TT)"/>
          <w:lang w:val="en-GB"/>
        </w:rPr>
        <w:t>)</w:t>
      </w:r>
      <w:r w:rsidR="00A97208" w:rsidRPr="00C918BF">
        <w:rPr>
          <w:rFonts w:ascii="Arial" w:hAnsi="Arial" w:cs="Arial (TT)"/>
          <w:lang w:val="en-GB"/>
        </w:rPr>
        <w:t xml:space="preserve"> has been achieved</w:t>
      </w:r>
      <w:r w:rsidR="003B1DEF" w:rsidRPr="00C918BF">
        <w:rPr>
          <w:rFonts w:ascii="Arial" w:hAnsi="Arial" w:cs="Arial (TT)"/>
          <w:lang w:val="en-GB"/>
        </w:rPr>
        <w:t xml:space="preserve"> against the 2011 target of 94%</w:t>
      </w:r>
      <w:r w:rsidR="00A97208" w:rsidRPr="00C918BF">
        <w:rPr>
          <w:rFonts w:ascii="Arial" w:hAnsi="Arial" w:cs="Arial (TT)"/>
          <w:lang w:val="en-GB"/>
        </w:rPr>
        <w:t>. In 2012 only 49% m</w:t>
      </w:r>
      <w:r w:rsidR="003B1DEF" w:rsidRPr="00C918BF">
        <w:rPr>
          <w:rFonts w:ascii="Arial" w:hAnsi="Arial" w:cs="Arial (TT)"/>
          <w:lang w:val="en-GB"/>
        </w:rPr>
        <w:t xml:space="preserve">et TSS requirement. During KEIP Phase </w:t>
      </w:r>
      <w:r w:rsidR="000A49FE">
        <w:rPr>
          <w:rFonts w:ascii="Arial" w:hAnsi="Arial" w:cs="Arial (TT)"/>
          <w:lang w:val="en-GB"/>
        </w:rPr>
        <w:t>2</w:t>
      </w:r>
      <w:r w:rsidR="003B1DEF" w:rsidRPr="00C918BF">
        <w:rPr>
          <w:rFonts w:ascii="Arial" w:hAnsi="Arial" w:cs="Arial (TT)"/>
          <w:lang w:val="en-GB"/>
        </w:rPr>
        <w:t xml:space="preserve"> </w:t>
      </w:r>
      <w:r w:rsidRPr="00C918BF">
        <w:t xml:space="preserve">90% of newly appointed and continuing school leaders received training in instructional leadership, school management, the new curriculum and assessment, and Ministry policies and procedures. </w:t>
      </w:r>
    </w:p>
    <w:p w14:paraId="55833730" w14:textId="24EF4926" w:rsidR="006C528A" w:rsidRPr="0060082A" w:rsidRDefault="006C528A" w:rsidP="0060082A">
      <w:pPr>
        <w:rPr>
          <w:rFonts w:asciiTheme="majorHAnsi" w:hAnsiTheme="majorHAnsi" w:cstheme="majorHAnsi"/>
          <w:spacing w:val="-2"/>
        </w:rPr>
      </w:pPr>
      <w:r w:rsidRPr="0060082A">
        <w:rPr>
          <w:rFonts w:asciiTheme="majorHAnsi" w:hAnsiTheme="majorHAnsi" w:cstheme="majorHAnsi"/>
          <w:spacing w:val="-2"/>
        </w:rPr>
        <w:t xml:space="preserve">All schools had representatives (one teacher and the school leader) attend new curriculum training. Eighty </w:t>
      </w:r>
      <w:r w:rsidR="00C669A4" w:rsidRPr="0060082A">
        <w:rPr>
          <w:rFonts w:asciiTheme="majorHAnsi" w:hAnsiTheme="majorHAnsi" w:cstheme="majorHAnsi"/>
          <w:spacing w:val="-2"/>
        </w:rPr>
        <w:t>%</w:t>
      </w:r>
      <w:r w:rsidR="006E6B10" w:rsidRPr="0060082A">
        <w:rPr>
          <w:rFonts w:asciiTheme="majorHAnsi" w:hAnsiTheme="majorHAnsi" w:cstheme="majorHAnsi"/>
          <w:spacing w:val="-2"/>
        </w:rPr>
        <w:t xml:space="preserve"> </w:t>
      </w:r>
      <w:r w:rsidRPr="0060082A">
        <w:rPr>
          <w:rFonts w:asciiTheme="majorHAnsi" w:hAnsiTheme="majorHAnsi" w:cstheme="majorHAnsi"/>
          <w:spacing w:val="-2"/>
        </w:rPr>
        <w:t>of Y1-2 and 79% of Y2-3 classes in 2015 were being taught by teachers who had received at least some new curriculum training. Sixty-one and 67%, respectively, had received all three training cycles</w:t>
      </w:r>
      <w:r w:rsidRPr="0060082A">
        <w:rPr>
          <w:rStyle w:val="FootnoteReference"/>
          <w:rFonts w:asciiTheme="majorHAnsi" w:hAnsiTheme="majorHAnsi" w:cstheme="majorHAnsi"/>
          <w:b/>
          <w:spacing w:val="-2"/>
        </w:rPr>
        <w:footnoteReference w:id="7"/>
      </w:r>
      <w:r w:rsidRPr="0060082A">
        <w:rPr>
          <w:rFonts w:asciiTheme="majorHAnsi" w:hAnsiTheme="majorHAnsi" w:cstheme="majorHAnsi"/>
          <w:spacing w:val="-2"/>
        </w:rPr>
        <w:t xml:space="preserve">. </w:t>
      </w:r>
    </w:p>
    <w:p w14:paraId="25E90C7F" w14:textId="769B065E" w:rsidR="006C528A" w:rsidRPr="0060082A" w:rsidRDefault="006C528A" w:rsidP="0060082A">
      <w:pPr>
        <w:rPr>
          <w:rFonts w:asciiTheme="majorHAnsi" w:hAnsiTheme="majorHAnsi" w:cstheme="majorHAnsi"/>
          <w:spacing w:val="2"/>
        </w:rPr>
      </w:pPr>
      <w:r w:rsidRPr="0060082A">
        <w:rPr>
          <w:rFonts w:asciiTheme="majorHAnsi" w:hAnsiTheme="majorHAnsi" w:cstheme="majorHAnsi"/>
          <w:spacing w:val="2"/>
        </w:rPr>
        <w:t>In addition</w:t>
      </w:r>
      <w:r w:rsidR="00E42168" w:rsidRPr="0060082A">
        <w:rPr>
          <w:rFonts w:asciiTheme="majorHAnsi" w:hAnsiTheme="majorHAnsi" w:cstheme="majorHAnsi"/>
          <w:spacing w:val="2"/>
        </w:rPr>
        <w:t>,</w:t>
      </w:r>
      <w:r w:rsidRPr="0060082A">
        <w:rPr>
          <w:rFonts w:asciiTheme="majorHAnsi" w:hAnsiTheme="majorHAnsi" w:cstheme="majorHAnsi"/>
          <w:spacing w:val="2"/>
        </w:rPr>
        <w:t xml:space="preserve"> 13 Island Education Coordinators (IECs) were appointed in Q3 2015</w:t>
      </w:r>
      <w:r w:rsidR="00E42168" w:rsidRPr="0060082A">
        <w:rPr>
          <w:rFonts w:asciiTheme="majorHAnsi" w:hAnsiTheme="majorHAnsi" w:cstheme="majorHAnsi"/>
          <w:spacing w:val="2"/>
        </w:rPr>
        <w:t xml:space="preserve">, </w:t>
      </w:r>
      <w:r w:rsidRPr="0060082A">
        <w:rPr>
          <w:rFonts w:asciiTheme="majorHAnsi" w:hAnsiTheme="majorHAnsi" w:cstheme="majorHAnsi"/>
          <w:spacing w:val="2"/>
        </w:rPr>
        <w:t>mobilised in time for the start of the 2016 school year. This is expected to lead to stronger support to school leadership and a more enabled</w:t>
      </w:r>
      <w:r w:rsidR="00C669A4" w:rsidRPr="0060082A">
        <w:rPr>
          <w:rFonts w:asciiTheme="majorHAnsi" w:hAnsiTheme="majorHAnsi" w:cstheme="majorHAnsi"/>
          <w:spacing w:val="2"/>
        </w:rPr>
        <w:t xml:space="preserve"> </w:t>
      </w:r>
      <w:r w:rsidRPr="0060082A">
        <w:rPr>
          <w:rFonts w:asciiTheme="majorHAnsi" w:hAnsiTheme="majorHAnsi" w:cstheme="majorHAnsi"/>
          <w:spacing w:val="2"/>
        </w:rPr>
        <w:t xml:space="preserve">Primary School teaching workforce. This workforce will be </w:t>
      </w:r>
      <w:r w:rsidR="00E52A87" w:rsidRPr="0060082A">
        <w:rPr>
          <w:rFonts w:asciiTheme="majorHAnsi" w:hAnsiTheme="majorHAnsi" w:cstheme="majorHAnsi"/>
          <w:spacing w:val="2"/>
        </w:rPr>
        <w:t>strengthened</w:t>
      </w:r>
      <w:r w:rsidRPr="0060082A">
        <w:rPr>
          <w:rFonts w:asciiTheme="majorHAnsi" w:hAnsiTheme="majorHAnsi" w:cstheme="majorHAnsi"/>
          <w:spacing w:val="2"/>
        </w:rPr>
        <w:t xml:space="preserve"> when (in December 2016) 25 newly trained Kiribati Teachers College (KTC) graduates become qualified primary teachers.</w:t>
      </w:r>
    </w:p>
    <w:p w14:paraId="789138BA" w14:textId="01E8943E" w:rsidR="006C528A" w:rsidRPr="0060082A" w:rsidRDefault="006C528A" w:rsidP="0060082A">
      <w:pPr>
        <w:rPr>
          <w:rFonts w:asciiTheme="majorHAnsi" w:hAnsiTheme="majorHAnsi" w:cstheme="majorHAnsi"/>
        </w:rPr>
      </w:pPr>
      <w:r w:rsidRPr="0060082A">
        <w:rPr>
          <w:rFonts w:asciiTheme="majorHAnsi" w:hAnsiTheme="majorHAnsi" w:cstheme="majorHAnsi"/>
          <w:b/>
        </w:rPr>
        <w:t>64% (640/1,000) teachers participated in language training</w:t>
      </w:r>
      <w:r w:rsidRPr="0060082A">
        <w:rPr>
          <w:rFonts w:asciiTheme="majorHAnsi" w:hAnsiTheme="majorHAnsi" w:cstheme="majorHAnsi"/>
        </w:rPr>
        <w:t xml:space="preserve"> to </w:t>
      </w:r>
      <w:r w:rsidR="00E52A87" w:rsidRPr="0060082A">
        <w:rPr>
          <w:rFonts w:asciiTheme="majorHAnsi" w:hAnsiTheme="majorHAnsi" w:cstheme="majorHAnsi"/>
        </w:rPr>
        <w:t xml:space="preserve">help </w:t>
      </w:r>
      <w:r w:rsidRPr="0060082A">
        <w:rPr>
          <w:rFonts w:asciiTheme="majorHAnsi" w:hAnsiTheme="majorHAnsi" w:cstheme="majorHAnsi"/>
        </w:rPr>
        <w:t>improve their English language proficiency and resource base.</w:t>
      </w:r>
      <w:r w:rsidR="00B6644B" w:rsidRPr="0060082A">
        <w:rPr>
          <w:rFonts w:asciiTheme="majorHAnsi" w:hAnsiTheme="majorHAnsi" w:cstheme="majorHAnsi"/>
        </w:rPr>
        <w:t xml:space="preserve"> In line with the GOK Language Policy, the transition from Te-Kiribati to English as the main language of instruction starts in Years 3 and 4 (2014 and 2015 respectively).</w:t>
      </w:r>
      <w:r w:rsidR="00BC4B6D" w:rsidRPr="0060082A">
        <w:rPr>
          <w:rFonts w:asciiTheme="majorHAnsi" w:hAnsiTheme="majorHAnsi" w:cstheme="majorHAnsi"/>
        </w:rPr>
        <w:t xml:space="preserve"> </w:t>
      </w:r>
      <w:r w:rsidR="00B6644B" w:rsidRPr="0060082A">
        <w:rPr>
          <w:rFonts w:asciiTheme="majorHAnsi" w:hAnsiTheme="majorHAnsi" w:cstheme="majorHAnsi"/>
        </w:rPr>
        <w:t>The National Curriculum and Assessment Framework (NCAF) Language Policy</w:t>
      </w:r>
      <w:r w:rsidR="007C1B43" w:rsidRPr="0060082A">
        <w:rPr>
          <w:rFonts w:asciiTheme="majorHAnsi" w:hAnsiTheme="majorHAnsi" w:cstheme="majorHAnsi"/>
        </w:rPr>
        <w:t>,</w:t>
      </w:r>
      <w:r w:rsidR="00B6644B" w:rsidRPr="0060082A">
        <w:rPr>
          <w:rFonts w:asciiTheme="majorHAnsi" w:hAnsiTheme="majorHAnsi" w:cstheme="majorHAnsi"/>
        </w:rPr>
        <w:t xml:space="preserve"> states by Year 5, 60% of instruction should be in English.</w:t>
      </w:r>
      <w:r w:rsidR="00BC4B6D" w:rsidRPr="0060082A">
        <w:rPr>
          <w:rFonts w:asciiTheme="majorHAnsi" w:hAnsiTheme="majorHAnsi" w:cstheme="majorHAnsi"/>
        </w:rPr>
        <w:t xml:space="preserve"> </w:t>
      </w:r>
      <w:r w:rsidRPr="0060082A">
        <w:rPr>
          <w:rFonts w:asciiTheme="majorHAnsi" w:hAnsiTheme="majorHAnsi" w:cstheme="majorHAnsi"/>
        </w:rPr>
        <w:t>A</w:t>
      </w:r>
      <w:r w:rsidR="00E52A87" w:rsidRPr="0060082A">
        <w:rPr>
          <w:rFonts w:asciiTheme="majorHAnsi" w:hAnsiTheme="majorHAnsi" w:cstheme="majorHAnsi"/>
        </w:rPr>
        <w:t xml:space="preserve"> </w:t>
      </w:r>
      <w:r w:rsidRPr="0060082A">
        <w:rPr>
          <w:rFonts w:asciiTheme="majorHAnsi" w:hAnsiTheme="majorHAnsi" w:cstheme="majorHAnsi"/>
        </w:rPr>
        <w:t>factor in the success of the teacher professional development bridging from Te-Kiribati to English is a teacher’s confidence and competence in using English</w:t>
      </w:r>
      <w:r w:rsidR="00FD02E5" w:rsidRPr="0060082A">
        <w:rPr>
          <w:rFonts w:asciiTheme="majorHAnsi" w:hAnsiTheme="majorHAnsi" w:cstheme="majorHAnsi"/>
        </w:rPr>
        <w:t xml:space="preserve"> </w:t>
      </w:r>
      <w:r w:rsidRPr="0060082A">
        <w:rPr>
          <w:rFonts w:asciiTheme="majorHAnsi" w:hAnsiTheme="majorHAnsi" w:cstheme="majorHAnsi"/>
        </w:rPr>
        <w:t xml:space="preserve">to support students express themselves and understand concepts in English. The KEIP research indicates the current KTC Teaching English as a Second or Other Language (TESOL) program, with repeated periodic cycles of training, has contributed to </w:t>
      </w:r>
      <w:r w:rsidR="00E42168" w:rsidRPr="0060082A">
        <w:rPr>
          <w:rFonts w:asciiTheme="majorHAnsi" w:hAnsiTheme="majorHAnsi" w:cstheme="majorHAnsi"/>
        </w:rPr>
        <w:t xml:space="preserve">some </w:t>
      </w:r>
      <w:r w:rsidRPr="0060082A">
        <w:rPr>
          <w:rFonts w:asciiTheme="majorHAnsi" w:hAnsiTheme="majorHAnsi" w:cstheme="majorHAnsi"/>
        </w:rPr>
        <w:t>improvement in English language proficiency</w:t>
      </w:r>
      <w:r w:rsidR="00FD02E5" w:rsidRPr="0060082A">
        <w:rPr>
          <w:rFonts w:asciiTheme="majorHAnsi" w:hAnsiTheme="majorHAnsi" w:cstheme="majorHAnsi"/>
        </w:rPr>
        <w:t xml:space="preserve"> </w:t>
      </w:r>
      <w:r w:rsidRPr="0060082A">
        <w:rPr>
          <w:rFonts w:asciiTheme="majorHAnsi" w:hAnsiTheme="majorHAnsi" w:cstheme="majorHAnsi"/>
        </w:rPr>
        <w:t>of participants (pre-service and Year 4 teachers).</w:t>
      </w:r>
    </w:p>
    <w:p w14:paraId="763A3A8B" w14:textId="761D86DB" w:rsidR="006C528A" w:rsidRPr="0060082A" w:rsidRDefault="006C528A" w:rsidP="0060082A">
      <w:pPr>
        <w:rPr>
          <w:rFonts w:asciiTheme="majorHAnsi" w:hAnsiTheme="majorHAnsi" w:cstheme="majorHAnsi"/>
          <w:spacing w:val="-2"/>
        </w:rPr>
      </w:pPr>
      <w:r w:rsidRPr="0060082A">
        <w:rPr>
          <w:rFonts w:asciiTheme="majorHAnsi" w:hAnsiTheme="majorHAnsi" w:cstheme="majorHAnsi"/>
          <w:b/>
          <w:spacing w:val="-2"/>
        </w:rPr>
        <w:lastRenderedPageBreak/>
        <w:t>95% of teachers and caregivers</w:t>
      </w:r>
      <w:r w:rsidRPr="0060082A">
        <w:rPr>
          <w:rFonts w:asciiTheme="majorHAnsi" w:hAnsiTheme="majorHAnsi" w:cstheme="majorHAnsi"/>
          <w:spacing w:val="-2"/>
        </w:rPr>
        <w:t xml:space="preserve"> interviewed in MOE-KEIP surveys strongly support</w:t>
      </w:r>
      <w:r w:rsidR="00FD02E5" w:rsidRPr="0060082A">
        <w:rPr>
          <w:rFonts w:asciiTheme="majorHAnsi" w:hAnsiTheme="majorHAnsi" w:cstheme="majorHAnsi"/>
          <w:spacing w:val="-2"/>
        </w:rPr>
        <w:t>ed the</w:t>
      </w:r>
      <w:r w:rsidRPr="0060082A">
        <w:rPr>
          <w:rFonts w:asciiTheme="majorHAnsi" w:hAnsiTheme="majorHAnsi" w:cstheme="majorHAnsi"/>
          <w:spacing w:val="-2"/>
        </w:rPr>
        <w:t xml:space="preserve"> reform to basic education</w:t>
      </w:r>
      <w:r w:rsidR="00E42168" w:rsidRPr="0060082A">
        <w:rPr>
          <w:rFonts w:asciiTheme="majorHAnsi" w:hAnsiTheme="majorHAnsi" w:cstheme="majorHAnsi"/>
          <w:spacing w:val="-2"/>
        </w:rPr>
        <w:t>,</w:t>
      </w:r>
      <w:r w:rsidRPr="0060082A">
        <w:rPr>
          <w:rFonts w:asciiTheme="majorHAnsi" w:hAnsiTheme="majorHAnsi" w:cstheme="majorHAnsi"/>
          <w:spacing w:val="-2"/>
        </w:rPr>
        <w:t xml:space="preserve"> although overall community engagement with school leadership remains low. Efforts to boost community engagement at the school level will continue to be a focus of MoE during KEIP Phase </w:t>
      </w:r>
      <w:r w:rsidR="000A49FE">
        <w:rPr>
          <w:rFonts w:asciiTheme="majorHAnsi" w:hAnsiTheme="majorHAnsi" w:cstheme="majorHAnsi"/>
          <w:spacing w:val="-2"/>
        </w:rPr>
        <w:t>3</w:t>
      </w:r>
      <w:r w:rsidRPr="0060082A">
        <w:rPr>
          <w:rFonts w:asciiTheme="majorHAnsi" w:hAnsiTheme="majorHAnsi" w:cstheme="majorHAnsi"/>
          <w:spacing w:val="-2"/>
        </w:rPr>
        <w:t>.</w:t>
      </w:r>
    </w:p>
    <w:p w14:paraId="32E4D3D1" w14:textId="100FC3D0" w:rsidR="006C528A" w:rsidRPr="0060082A" w:rsidRDefault="006C528A" w:rsidP="0060082A">
      <w:pPr>
        <w:rPr>
          <w:rFonts w:asciiTheme="majorHAnsi" w:hAnsiTheme="majorHAnsi" w:cstheme="majorHAnsi"/>
        </w:rPr>
      </w:pPr>
      <w:r w:rsidRPr="0060082A">
        <w:rPr>
          <w:rFonts w:asciiTheme="majorHAnsi" w:hAnsiTheme="majorHAnsi" w:cstheme="majorHAnsi"/>
          <w:b/>
        </w:rPr>
        <w:t>Twelve (12) primary schools, extending from the Linnix group of islands to South Tarawa</w:t>
      </w:r>
      <w:r w:rsidRPr="0060082A">
        <w:rPr>
          <w:rFonts w:asciiTheme="majorHAnsi" w:hAnsiTheme="majorHAnsi" w:cstheme="majorHAnsi"/>
        </w:rPr>
        <w:t xml:space="preserve">, received new or rehabilitated school building construction, which includes ramps for access for children with a disability, along with water and sanitation (WATSAN) improvement. Approximately 4,061 children directly benefitted from these works. Improvement in facilities also benefited teachers and </w:t>
      </w:r>
      <w:r w:rsidR="00FD02E5" w:rsidRPr="0060082A">
        <w:rPr>
          <w:rFonts w:asciiTheme="majorHAnsi" w:hAnsiTheme="majorHAnsi" w:cstheme="majorHAnsi"/>
        </w:rPr>
        <w:t xml:space="preserve">the </w:t>
      </w:r>
      <w:r w:rsidRPr="0060082A">
        <w:rPr>
          <w:rFonts w:asciiTheme="majorHAnsi" w:hAnsiTheme="majorHAnsi" w:cstheme="majorHAnsi"/>
        </w:rPr>
        <w:t>community involved with day to day school operations.</w:t>
      </w:r>
      <w:r w:rsidRPr="0060082A">
        <w:rPr>
          <w:rStyle w:val="FootnoteReference"/>
          <w:rFonts w:asciiTheme="majorHAnsi" w:hAnsiTheme="majorHAnsi" w:cstheme="majorHAnsi"/>
          <w:b/>
        </w:rPr>
        <w:t xml:space="preserve"> </w:t>
      </w:r>
      <w:r w:rsidRPr="0060082A">
        <w:rPr>
          <w:rStyle w:val="FootnoteReference"/>
          <w:rFonts w:asciiTheme="majorHAnsi" w:hAnsiTheme="majorHAnsi" w:cstheme="majorHAnsi"/>
          <w:b/>
        </w:rPr>
        <w:footnoteReference w:id="8"/>
      </w:r>
      <w:r w:rsidRPr="0060082A">
        <w:rPr>
          <w:rFonts w:asciiTheme="majorHAnsi" w:hAnsiTheme="majorHAnsi" w:cstheme="majorHAnsi"/>
        </w:rPr>
        <w:t xml:space="preserve"> The capacity of the MoE Facility Management Unit (FMU), through their involvement in contracting, supervision and approvals, has </w:t>
      </w:r>
      <w:r w:rsidR="00FD02E5" w:rsidRPr="0060082A">
        <w:rPr>
          <w:rFonts w:asciiTheme="majorHAnsi" w:hAnsiTheme="majorHAnsi" w:cstheme="majorHAnsi"/>
        </w:rPr>
        <w:t>improved</w:t>
      </w:r>
      <w:r w:rsidRPr="0060082A">
        <w:rPr>
          <w:rFonts w:asciiTheme="majorHAnsi" w:hAnsiTheme="majorHAnsi" w:cstheme="majorHAnsi"/>
        </w:rPr>
        <w:t xml:space="preserve">. </w:t>
      </w:r>
    </w:p>
    <w:p w14:paraId="0F9ED35E" w14:textId="4B61489E" w:rsidR="006C528A" w:rsidRPr="0060082A" w:rsidRDefault="006C528A" w:rsidP="0060082A">
      <w:pPr>
        <w:rPr>
          <w:rFonts w:asciiTheme="majorHAnsi" w:hAnsiTheme="majorHAnsi" w:cstheme="majorHAnsi"/>
        </w:rPr>
      </w:pPr>
      <w:r w:rsidRPr="0060082A">
        <w:rPr>
          <w:rFonts w:asciiTheme="majorHAnsi" w:hAnsiTheme="majorHAnsi" w:cstheme="majorHAnsi"/>
          <w:b/>
        </w:rPr>
        <w:t>More school aged children are enrolling in school.</w:t>
      </w:r>
      <w:r w:rsidRPr="0060082A">
        <w:rPr>
          <w:rFonts w:asciiTheme="majorHAnsi" w:hAnsiTheme="majorHAnsi" w:cstheme="majorHAnsi"/>
        </w:rPr>
        <w:t xml:space="preserve"> A strengthened system, public advocacy and improv</w:t>
      </w:r>
      <w:r w:rsidR="00FD02E5" w:rsidRPr="0060082A">
        <w:rPr>
          <w:rFonts w:asciiTheme="majorHAnsi" w:hAnsiTheme="majorHAnsi" w:cstheme="majorHAnsi"/>
        </w:rPr>
        <w:t xml:space="preserve">ing the </w:t>
      </w:r>
      <w:r w:rsidRPr="0060082A">
        <w:rPr>
          <w:rFonts w:asciiTheme="majorHAnsi" w:hAnsiTheme="majorHAnsi" w:cstheme="majorHAnsi"/>
        </w:rPr>
        <w:t>community engagement is having a positive effect. Findings of KEIP research during 2015 indicate the percentage of out-of-school children at 2.1% (21 out of 1,071 school aged children) is lower than previously recorded.</w:t>
      </w:r>
      <w:r w:rsidRPr="0060082A">
        <w:rPr>
          <w:rStyle w:val="FootnoteReference"/>
          <w:rFonts w:asciiTheme="majorHAnsi" w:hAnsiTheme="majorHAnsi" w:cstheme="majorHAnsi"/>
          <w:b/>
        </w:rPr>
        <w:footnoteReference w:id="9"/>
      </w:r>
      <w:r w:rsidRPr="0060082A">
        <w:rPr>
          <w:rFonts w:asciiTheme="majorHAnsi" w:hAnsiTheme="majorHAnsi" w:cstheme="majorHAnsi"/>
        </w:rPr>
        <w:t xml:space="preserve"> There are many contributing factors on children attending school and KEIP Phase </w:t>
      </w:r>
      <w:r w:rsidR="000A49FE">
        <w:rPr>
          <w:rFonts w:asciiTheme="majorHAnsi" w:hAnsiTheme="majorHAnsi" w:cstheme="majorHAnsi"/>
        </w:rPr>
        <w:t>3</w:t>
      </w:r>
      <w:r w:rsidRPr="0060082A">
        <w:rPr>
          <w:rFonts w:asciiTheme="majorHAnsi" w:hAnsiTheme="majorHAnsi" w:cstheme="majorHAnsi"/>
        </w:rPr>
        <w:t xml:space="preserve"> will continue to assist MoE focus on reaching the most marginalised and hardest-to-reach children to overcome </w:t>
      </w:r>
      <w:r w:rsidR="00FD02E5" w:rsidRPr="0060082A">
        <w:rPr>
          <w:rFonts w:asciiTheme="majorHAnsi" w:hAnsiTheme="majorHAnsi" w:cstheme="majorHAnsi"/>
        </w:rPr>
        <w:t xml:space="preserve">those </w:t>
      </w:r>
      <w:r w:rsidRPr="0060082A">
        <w:rPr>
          <w:rFonts w:asciiTheme="majorHAnsi" w:hAnsiTheme="majorHAnsi" w:cstheme="majorHAnsi"/>
        </w:rPr>
        <w:t>barriers that prevent them from attending, staying and finishing school.</w:t>
      </w:r>
    </w:p>
    <w:p w14:paraId="5B1F79D7" w14:textId="77777777" w:rsidR="006C528A" w:rsidRPr="00C918BF" w:rsidRDefault="006C528A" w:rsidP="00CD6138">
      <w:pPr>
        <w:pStyle w:val="Heading3"/>
      </w:pPr>
      <w:bookmarkStart w:id="35" w:name="_Toc461615685"/>
      <w:r w:rsidRPr="00C918BF">
        <w:t>Two intermediate program outcomes</w:t>
      </w:r>
      <w:bookmarkEnd w:id="35"/>
    </w:p>
    <w:p w14:paraId="61920BE3" w14:textId="08A48233" w:rsidR="006C528A" w:rsidRPr="0060082A" w:rsidRDefault="006C528A" w:rsidP="0060082A">
      <w:pPr>
        <w:rPr>
          <w:rFonts w:asciiTheme="majorHAnsi" w:hAnsiTheme="majorHAnsi" w:cstheme="majorHAnsi"/>
        </w:rPr>
      </w:pPr>
      <w:r w:rsidRPr="0060082A">
        <w:rPr>
          <w:rFonts w:asciiTheme="majorHAnsi" w:hAnsiTheme="majorHAnsi" w:cstheme="majorHAnsi"/>
        </w:rPr>
        <w:t xml:space="preserve">For MoE, the </w:t>
      </w:r>
      <w:r w:rsidR="00FD02E5" w:rsidRPr="0060082A">
        <w:rPr>
          <w:rFonts w:asciiTheme="majorHAnsi" w:hAnsiTheme="majorHAnsi" w:cstheme="majorHAnsi"/>
        </w:rPr>
        <w:t>improvement</w:t>
      </w:r>
      <w:r w:rsidR="00EA1897" w:rsidRPr="0060082A">
        <w:rPr>
          <w:rFonts w:asciiTheme="majorHAnsi" w:hAnsiTheme="majorHAnsi" w:cstheme="majorHAnsi"/>
        </w:rPr>
        <w:t>s</w:t>
      </w:r>
      <w:r w:rsidR="006E6B10" w:rsidRPr="0060082A">
        <w:rPr>
          <w:rFonts w:asciiTheme="majorHAnsi" w:hAnsiTheme="majorHAnsi" w:cstheme="majorHAnsi"/>
        </w:rPr>
        <w:t xml:space="preserve"> </w:t>
      </w:r>
      <w:r w:rsidR="00FD02E5" w:rsidRPr="0060082A">
        <w:rPr>
          <w:rFonts w:asciiTheme="majorHAnsi" w:hAnsiTheme="majorHAnsi" w:cstheme="majorHAnsi"/>
        </w:rPr>
        <w:t xml:space="preserve">being made </w:t>
      </w:r>
      <w:r w:rsidRPr="0060082A">
        <w:rPr>
          <w:rFonts w:asciiTheme="majorHAnsi" w:hAnsiTheme="majorHAnsi" w:cstheme="majorHAnsi"/>
        </w:rPr>
        <w:t>across the system</w:t>
      </w:r>
      <w:r w:rsidR="00FD02E5" w:rsidRPr="0060082A">
        <w:rPr>
          <w:rFonts w:asciiTheme="majorHAnsi" w:hAnsiTheme="majorHAnsi" w:cstheme="majorHAnsi"/>
        </w:rPr>
        <w:t xml:space="preserve"> </w:t>
      </w:r>
      <w:r w:rsidRPr="0060082A">
        <w:rPr>
          <w:rFonts w:asciiTheme="majorHAnsi" w:hAnsiTheme="majorHAnsi" w:cstheme="majorHAnsi"/>
        </w:rPr>
        <w:t xml:space="preserve">are indicators that the basic education reform is well underway, with benefits and improvement to service delivery. Success to date will form an important part of consolidating the reforms, as well as moving into the junior secondary area, which has different sets of challenges and constraints compared to primary. MoE </w:t>
      </w:r>
      <w:r w:rsidR="00C32532" w:rsidRPr="0060082A">
        <w:rPr>
          <w:rFonts w:asciiTheme="majorHAnsi" w:hAnsiTheme="majorHAnsi" w:cstheme="majorHAnsi"/>
        </w:rPr>
        <w:t xml:space="preserve">appetite </w:t>
      </w:r>
      <w:r w:rsidRPr="0060082A">
        <w:rPr>
          <w:rFonts w:asciiTheme="majorHAnsi" w:hAnsiTheme="majorHAnsi" w:cstheme="majorHAnsi"/>
        </w:rPr>
        <w:t>for reform</w:t>
      </w:r>
      <w:r w:rsidR="001F4804" w:rsidRPr="0060082A">
        <w:rPr>
          <w:rFonts w:asciiTheme="majorHAnsi" w:hAnsiTheme="majorHAnsi" w:cstheme="majorHAnsi"/>
        </w:rPr>
        <w:t xml:space="preserve"> remains </w:t>
      </w:r>
      <w:r w:rsidRPr="0060082A">
        <w:rPr>
          <w:rFonts w:asciiTheme="majorHAnsi" w:hAnsiTheme="majorHAnsi" w:cstheme="majorHAnsi"/>
        </w:rPr>
        <w:t>high</w:t>
      </w:r>
      <w:r w:rsidR="00E42168" w:rsidRPr="0060082A">
        <w:rPr>
          <w:rFonts w:asciiTheme="majorHAnsi" w:hAnsiTheme="majorHAnsi" w:cstheme="majorHAnsi"/>
        </w:rPr>
        <w:t>. T</w:t>
      </w:r>
      <w:r w:rsidRPr="0060082A">
        <w:rPr>
          <w:rFonts w:asciiTheme="majorHAnsi" w:hAnsiTheme="majorHAnsi" w:cstheme="majorHAnsi"/>
        </w:rPr>
        <w:t>he KEIP delivery architecture (providing KEF support aligned to the ESSP and complementing the work of other donors through EPiK) is a model that respects the role and capacity of the MoE.</w:t>
      </w:r>
    </w:p>
    <w:p w14:paraId="3ADEFB0D" w14:textId="2A23A5B6" w:rsidR="006C528A" w:rsidRPr="0060082A" w:rsidRDefault="006C528A" w:rsidP="0060082A">
      <w:pPr>
        <w:rPr>
          <w:rFonts w:asciiTheme="majorHAnsi" w:hAnsiTheme="majorHAnsi" w:cstheme="majorHAnsi"/>
        </w:rPr>
      </w:pPr>
      <w:r w:rsidRPr="0060082A">
        <w:rPr>
          <w:rFonts w:asciiTheme="majorHAnsi" w:hAnsiTheme="majorHAnsi" w:cstheme="majorHAnsi"/>
        </w:rPr>
        <w:t xml:space="preserve">For DFAT, achievements evident from KEIP Phase </w:t>
      </w:r>
      <w:r w:rsidR="000A49FE">
        <w:rPr>
          <w:rFonts w:asciiTheme="majorHAnsi" w:hAnsiTheme="majorHAnsi" w:cstheme="majorHAnsi"/>
        </w:rPr>
        <w:t>2</w:t>
      </w:r>
      <w:r w:rsidRPr="0060082A">
        <w:rPr>
          <w:rFonts w:asciiTheme="majorHAnsi" w:hAnsiTheme="majorHAnsi" w:cstheme="majorHAnsi"/>
        </w:rPr>
        <w:t xml:space="preserve"> contributed an important part to the broader objectives of this strong partnership with GoK and MoE. Basic education is the large</w:t>
      </w:r>
      <w:r w:rsidR="001F4804" w:rsidRPr="0060082A">
        <w:rPr>
          <w:rFonts w:asciiTheme="majorHAnsi" w:hAnsiTheme="majorHAnsi" w:cstheme="majorHAnsi"/>
        </w:rPr>
        <w:t xml:space="preserve">st </w:t>
      </w:r>
      <w:r w:rsidR="00C32532" w:rsidRPr="0060082A">
        <w:rPr>
          <w:rFonts w:asciiTheme="majorHAnsi" w:hAnsiTheme="majorHAnsi" w:cstheme="majorHAnsi"/>
        </w:rPr>
        <w:t xml:space="preserve">component </w:t>
      </w:r>
      <w:r w:rsidRPr="0060082A">
        <w:rPr>
          <w:rFonts w:asciiTheme="majorHAnsi" w:hAnsiTheme="majorHAnsi" w:cstheme="majorHAnsi"/>
        </w:rPr>
        <w:t>of the Australian aid program</w:t>
      </w:r>
      <w:r w:rsidR="006F637A" w:rsidRPr="0060082A">
        <w:rPr>
          <w:rFonts w:asciiTheme="majorHAnsi" w:hAnsiTheme="majorHAnsi" w:cstheme="majorHAnsi"/>
        </w:rPr>
        <w:t xml:space="preserve"> to Kiribati</w:t>
      </w:r>
      <w:r w:rsidRPr="0060082A">
        <w:rPr>
          <w:rFonts w:asciiTheme="majorHAnsi" w:hAnsiTheme="majorHAnsi" w:cstheme="majorHAnsi"/>
        </w:rPr>
        <w:t xml:space="preserve">, so it was vital a true partnership was modelled. The basic education reform needs to continue, providing this “once in a generation” opportunity for young I-Kiribati boys and girls to complete basic education with relevant knowledge, useful skills and appropriate attitudes. </w:t>
      </w:r>
    </w:p>
    <w:p w14:paraId="1751F7AB" w14:textId="6821E3F0" w:rsidR="006C528A" w:rsidRPr="0060082A" w:rsidRDefault="006C528A" w:rsidP="0060082A">
      <w:pPr>
        <w:rPr>
          <w:rFonts w:asciiTheme="majorHAnsi" w:hAnsiTheme="majorHAnsi" w:cstheme="majorHAnsi"/>
        </w:rPr>
      </w:pPr>
      <w:r w:rsidRPr="0060082A">
        <w:rPr>
          <w:rFonts w:asciiTheme="majorHAnsi" w:hAnsiTheme="majorHAnsi" w:cstheme="majorHAnsi"/>
        </w:rPr>
        <w:t>The</w:t>
      </w:r>
      <w:r w:rsidR="001F4804" w:rsidRPr="0060082A">
        <w:rPr>
          <w:rFonts w:asciiTheme="majorHAnsi" w:hAnsiTheme="majorHAnsi" w:cstheme="majorHAnsi"/>
        </w:rPr>
        <w:t xml:space="preserve"> DFAT</w:t>
      </w:r>
      <w:r w:rsidRPr="0060082A">
        <w:rPr>
          <w:rFonts w:asciiTheme="majorHAnsi" w:hAnsiTheme="majorHAnsi" w:cstheme="majorHAnsi"/>
        </w:rPr>
        <w:t xml:space="preserve"> support provided to MoE also enabled significant public diplomacy opportunities that c</w:t>
      </w:r>
      <w:r w:rsidR="001F4804" w:rsidRPr="0060082A">
        <w:rPr>
          <w:rFonts w:asciiTheme="majorHAnsi" w:hAnsiTheme="majorHAnsi" w:cstheme="majorHAnsi"/>
        </w:rPr>
        <w:t xml:space="preserve">an </w:t>
      </w:r>
      <w:r w:rsidRPr="0060082A">
        <w:rPr>
          <w:rFonts w:asciiTheme="majorHAnsi" w:hAnsiTheme="majorHAnsi" w:cstheme="majorHAnsi"/>
        </w:rPr>
        <w:t>strengthen bilateral relationships and encourage public support for the MoE commitment to reform and improvement.</w:t>
      </w:r>
    </w:p>
    <w:p w14:paraId="3E971BB6" w14:textId="64635D96" w:rsidR="006C528A" w:rsidRPr="00C918BF" w:rsidRDefault="006C528A" w:rsidP="00CD6138">
      <w:pPr>
        <w:pStyle w:val="Heading3"/>
        <w:ind w:left="0" w:firstLine="0"/>
        <w:rPr>
          <w:lang w:eastAsia="en-AU"/>
        </w:rPr>
      </w:pPr>
      <w:bookmarkStart w:id="36" w:name="_Toc461615686"/>
      <w:r w:rsidRPr="00C918BF">
        <w:rPr>
          <w:lang w:eastAsia="en-AU"/>
        </w:rPr>
        <w:t xml:space="preserve">Intermediate Outcome </w:t>
      </w:r>
      <w:r w:rsidR="000018A5">
        <w:rPr>
          <w:lang w:eastAsia="en-AU"/>
        </w:rPr>
        <w:t>1</w:t>
      </w:r>
      <w:r w:rsidRPr="00C918BF">
        <w:rPr>
          <w:lang w:eastAsia="en-AU"/>
        </w:rPr>
        <w:t>) Improve Te-Kiribati language, literacy and numeracy skills of children in Years 1-4</w:t>
      </w:r>
      <w:bookmarkEnd w:id="36"/>
    </w:p>
    <w:p w14:paraId="460EDE9F" w14:textId="2FB536C5" w:rsidR="006C528A" w:rsidRPr="0060082A" w:rsidRDefault="006C528A" w:rsidP="0060082A">
      <w:pPr>
        <w:rPr>
          <w:rFonts w:asciiTheme="majorHAnsi" w:hAnsiTheme="majorHAnsi" w:cstheme="majorHAnsi"/>
        </w:rPr>
      </w:pPr>
      <w:r w:rsidRPr="0060082A">
        <w:rPr>
          <w:rFonts w:asciiTheme="majorHAnsi" w:hAnsiTheme="majorHAnsi" w:cstheme="majorHAnsi"/>
        </w:rPr>
        <w:t>All Year 1-4 (11,321 children)</w:t>
      </w:r>
      <w:r w:rsidRPr="0060082A">
        <w:rPr>
          <w:rStyle w:val="FootnoteReference"/>
          <w:rFonts w:asciiTheme="majorHAnsi" w:hAnsiTheme="majorHAnsi" w:cstheme="majorHAnsi"/>
          <w:b/>
        </w:rPr>
        <w:footnoteReference w:id="10"/>
      </w:r>
      <w:r w:rsidR="006E6B10" w:rsidRPr="0060082A">
        <w:rPr>
          <w:rFonts w:asciiTheme="majorHAnsi" w:hAnsiTheme="majorHAnsi" w:cstheme="majorHAnsi"/>
        </w:rPr>
        <w:t xml:space="preserve"> </w:t>
      </w:r>
      <w:r w:rsidRPr="0060082A">
        <w:rPr>
          <w:rFonts w:asciiTheme="majorHAnsi" w:hAnsiTheme="majorHAnsi" w:cstheme="majorHAnsi"/>
        </w:rPr>
        <w:t xml:space="preserve">have access to new curriculum and learning resources. </w:t>
      </w:r>
      <w:r w:rsidR="001F4804" w:rsidRPr="0060082A">
        <w:rPr>
          <w:rFonts w:asciiTheme="majorHAnsi" w:hAnsiTheme="majorHAnsi" w:cstheme="majorHAnsi"/>
        </w:rPr>
        <w:t>C</w:t>
      </w:r>
      <w:r w:rsidR="005A3E94" w:rsidRPr="0060082A">
        <w:rPr>
          <w:rFonts w:asciiTheme="majorHAnsi" w:hAnsiTheme="majorHAnsi" w:cstheme="majorHAnsi"/>
        </w:rPr>
        <w:t>ase studies and surveys conducted in 2015 showed</w:t>
      </w:r>
      <w:r w:rsidRPr="0060082A">
        <w:rPr>
          <w:rFonts w:asciiTheme="majorHAnsi" w:hAnsiTheme="majorHAnsi" w:cstheme="majorHAnsi"/>
        </w:rPr>
        <w:t xml:space="preserve"> their engagement with the curriculum has improved.</w:t>
      </w:r>
    </w:p>
    <w:p w14:paraId="437F5ADE" w14:textId="7AF7307D" w:rsidR="006C528A" w:rsidRPr="0060082A" w:rsidRDefault="006C528A" w:rsidP="0060082A">
      <w:pPr>
        <w:rPr>
          <w:rFonts w:asciiTheme="majorHAnsi" w:hAnsiTheme="majorHAnsi" w:cstheme="majorHAnsi"/>
        </w:rPr>
      </w:pPr>
      <w:r w:rsidRPr="0060082A">
        <w:rPr>
          <w:rFonts w:asciiTheme="majorHAnsi" w:hAnsiTheme="majorHAnsi" w:cstheme="majorHAnsi"/>
        </w:rPr>
        <w:t xml:space="preserve">The KEIP Phase </w:t>
      </w:r>
      <w:r w:rsidR="000A49FE">
        <w:rPr>
          <w:rFonts w:asciiTheme="majorHAnsi" w:hAnsiTheme="majorHAnsi" w:cstheme="majorHAnsi"/>
        </w:rPr>
        <w:t>2</w:t>
      </w:r>
      <w:r w:rsidRPr="0060082A">
        <w:rPr>
          <w:rFonts w:asciiTheme="majorHAnsi" w:hAnsiTheme="majorHAnsi" w:cstheme="majorHAnsi"/>
        </w:rPr>
        <w:t xml:space="preserve"> support aligns with international research findings that show a child’s first language is the optimal language for literacy and </w:t>
      </w:r>
      <w:r w:rsidR="001F4804" w:rsidRPr="0060082A">
        <w:rPr>
          <w:rFonts w:asciiTheme="majorHAnsi" w:hAnsiTheme="majorHAnsi" w:cstheme="majorHAnsi"/>
        </w:rPr>
        <w:t xml:space="preserve">for </w:t>
      </w:r>
      <w:r w:rsidRPr="0060082A">
        <w:rPr>
          <w:rFonts w:asciiTheme="majorHAnsi" w:hAnsiTheme="majorHAnsi" w:cstheme="majorHAnsi"/>
        </w:rPr>
        <w:t>learning throughout primary school. The new school curriculum guided by the NCAF, promotes the use of Te-Kiribati and English languages for transmission of knowledge, values and culture.</w:t>
      </w:r>
    </w:p>
    <w:p w14:paraId="07CDE014" w14:textId="483F78CD" w:rsidR="006C528A" w:rsidRPr="0060082A" w:rsidRDefault="006C528A" w:rsidP="0060082A">
      <w:pPr>
        <w:rPr>
          <w:rFonts w:asciiTheme="majorHAnsi" w:hAnsiTheme="majorHAnsi" w:cstheme="majorHAnsi"/>
        </w:rPr>
      </w:pPr>
      <w:r w:rsidRPr="0060082A">
        <w:rPr>
          <w:rFonts w:asciiTheme="majorHAnsi" w:hAnsiTheme="majorHAnsi" w:cstheme="majorHAnsi"/>
        </w:rPr>
        <w:t>Language development is the critical first step in literacy, and</w:t>
      </w:r>
      <w:r w:rsidR="001F4804" w:rsidRPr="0060082A">
        <w:rPr>
          <w:rFonts w:asciiTheme="majorHAnsi" w:hAnsiTheme="majorHAnsi" w:cstheme="majorHAnsi"/>
        </w:rPr>
        <w:t xml:space="preserve"> a</w:t>
      </w:r>
      <w:r w:rsidR="006E6B10" w:rsidRPr="0060082A">
        <w:rPr>
          <w:rFonts w:asciiTheme="majorHAnsi" w:hAnsiTheme="majorHAnsi" w:cstheme="majorHAnsi"/>
        </w:rPr>
        <w:t xml:space="preserve"> </w:t>
      </w:r>
      <w:r w:rsidRPr="0060082A">
        <w:rPr>
          <w:rFonts w:asciiTheme="majorHAnsi" w:hAnsiTheme="majorHAnsi" w:cstheme="majorHAnsi"/>
        </w:rPr>
        <w:t xml:space="preserve">basis for learning to read and write. It supports children to communicate and express themselves, as well as their ability in thinking and problem solving. Children with better reading, writing and numeracy skills have </w:t>
      </w:r>
      <w:r w:rsidR="001F4804" w:rsidRPr="0060082A">
        <w:rPr>
          <w:rFonts w:asciiTheme="majorHAnsi" w:hAnsiTheme="majorHAnsi" w:cstheme="majorHAnsi"/>
        </w:rPr>
        <w:t xml:space="preserve">increased </w:t>
      </w:r>
      <w:r w:rsidRPr="0060082A">
        <w:rPr>
          <w:rFonts w:asciiTheme="majorHAnsi" w:hAnsiTheme="majorHAnsi" w:cstheme="majorHAnsi"/>
        </w:rPr>
        <w:t xml:space="preserve">opportunity to </w:t>
      </w:r>
      <w:r w:rsidR="001F4804" w:rsidRPr="0060082A">
        <w:rPr>
          <w:rFonts w:asciiTheme="majorHAnsi" w:hAnsiTheme="majorHAnsi" w:cstheme="majorHAnsi"/>
        </w:rPr>
        <w:t>progress in school or in employment</w:t>
      </w:r>
      <w:r w:rsidRPr="0060082A">
        <w:rPr>
          <w:rFonts w:asciiTheme="majorHAnsi" w:hAnsiTheme="majorHAnsi" w:cstheme="majorHAnsi"/>
        </w:rPr>
        <w:t xml:space="preserve">. </w:t>
      </w:r>
    </w:p>
    <w:p w14:paraId="001A0230" w14:textId="0567FDFE" w:rsidR="006C528A" w:rsidRPr="0060082A" w:rsidRDefault="006C528A" w:rsidP="0060082A">
      <w:r w:rsidRPr="0060082A">
        <w:t>While children’s engagement</w:t>
      </w:r>
      <w:r w:rsidR="006E6B10" w:rsidRPr="0060082A">
        <w:t xml:space="preserve"> </w:t>
      </w:r>
      <w:r w:rsidRPr="0060082A">
        <w:t xml:space="preserve">with their school and the new curriculum seems to have improved, educational outcomes at the student level under KEIP </w:t>
      </w:r>
      <w:r w:rsidR="000A49FE">
        <w:t>2</w:t>
      </w:r>
      <w:r w:rsidRPr="0060082A">
        <w:t xml:space="preserve"> will only be available from future testing such as Year 4 STAKI results. Students in Year 4 </w:t>
      </w:r>
      <w:r w:rsidR="00EA1897" w:rsidRPr="0060082A">
        <w:t xml:space="preserve">in 2015 </w:t>
      </w:r>
      <w:r w:rsidRPr="0060082A">
        <w:t xml:space="preserve">started primary school in 2012 (2012 cohort) and they have been exposed to between 2-3 years of the new curriculum and have also been exposed to between </w:t>
      </w:r>
      <w:r w:rsidRPr="0060082A">
        <w:lastRenderedPageBreak/>
        <w:t xml:space="preserve">1-2 years of the other school and teacher-level improvements (in-service training and English language training) that have been supported under KEIP </w:t>
      </w:r>
      <w:r w:rsidR="000A49FE">
        <w:t>2</w:t>
      </w:r>
      <w:r w:rsidRPr="0060082A">
        <w:t>.</w:t>
      </w:r>
    </w:p>
    <w:p w14:paraId="60756EFC" w14:textId="0187B957" w:rsidR="007D6ED4" w:rsidRDefault="006C528A">
      <w:pPr>
        <w:spacing w:after="60"/>
      </w:pPr>
      <w:r w:rsidRPr="00C918BF">
        <w:t>A</w:t>
      </w:r>
      <w:r w:rsidR="001F4804" w:rsidRPr="00C918BF">
        <w:t xml:space="preserve">n early </w:t>
      </w:r>
      <w:r w:rsidR="007E03CA" w:rsidRPr="00C918BF">
        <w:t>sign of</w:t>
      </w:r>
      <w:r w:rsidR="00E42168" w:rsidRPr="00C918BF">
        <w:t xml:space="preserve"> some</w:t>
      </w:r>
      <w:r w:rsidRPr="00C918BF">
        <w:t xml:space="preserve"> improvement can be observed with this cohort using the 2015 STAKI results</w:t>
      </w:r>
      <w:r w:rsidR="001F4804" w:rsidRPr="00C918BF">
        <w:t>,</w:t>
      </w:r>
      <w:r w:rsidRPr="00C918BF">
        <w:t xml:space="preserve"> with 78% achieving </w:t>
      </w:r>
      <w:r w:rsidR="000D187F" w:rsidRPr="00C918BF">
        <w:t xml:space="preserve">at or </w:t>
      </w:r>
      <w:r w:rsidRPr="00C918BF">
        <w:t>better than the benchmark in numeracy skills</w:t>
      </w:r>
      <w:r w:rsidR="003B1DEF" w:rsidRPr="00C918BF">
        <w:t xml:space="preserve"> </w:t>
      </w:r>
      <w:r w:rsidR="003B1DEF" w:rsidRPr="00C918BF">
        <w:rPr>
          <w:spacing w:val="-2"/>
        </w:rPr>
        <w:t>compared with only 26% in 2013.</w:t>
      </w:r>
      <w:r w:rsidR="003B1DEF" w:rsidRPr="00C918BF">
        <w:rPr>
          <w:rFonts w:ascii="Arial Narrow" w:eastAsia="Times New Roman" w:hAnsi="Arial Narrow" w:cs="Arial"/>
          <w:spacing w:val="-2"/>
          <w:lang w:eastAsia="en-AU"/>
        </w:rPr>
        <w:t xml:space="preserve"> </w:t>
      </w:r>
      <w:r w:rsidR="003B1DEF" w:rsidRPr="00C918BF">
        <w:t xml:space="preserve">The proportion of students meeting the expected standard in writing </w:t>
      </w:r>
      <w:r w:rsidR="00A65D75" w:rsidRPr="00C918BF">
        <w:t xml:space="preserve">Te-Kiribati </w:t>
      </w:r>
      <w:r w:rsidR="00546539" w:rsidRPr="00C918BF">
        <w:t xml:space="preserve">using the recent PILNA results </w:t>
      </w:r>
      <w:r w:rsidR="003B1DEF" w:rsidRPr="00C918BF">
        <w:t>has risen to 68% from 54% in 2013.</w:t>
      </w:r>
      <w:r w:rsidR="003257D9">
        <w:t xml:space="preserve"> However, overall the standard achieved for Te-Kiribati literacy did</w:t>
      </w:r>
      <w:r w:rsidR="00366F11">
        <w:t xml:space="preserve"> not</w:t>
      </w:r>
      <w:r w:rsidR="003257D9">
        <w:t xml:space="preserve"> change significantly</w:t>
      </w:r>
      <w:r w:rsidR="00366F11">
        <w:t xml:space="preserve"> and will be monitored with MoE staff, along with other STAKI outcomes in literacy and numeracy</w:t>
      </w:r>
      <w:r w:rsidR="003257D9">
        <w:t xml:space="preserve">. A more complete picture </w:t>
      </w:r>
      <w:r w:rsidR="008026D1">
        <w:t xml:space="preserve">of student outcomes </w:t>
      </w:r>
      <w:r w:rsidR="003257D9">
        <w:t>will be available on release of the 2015 PILNA results, expected in mid-2016.</w:t>
      </w:r>
      <w:r w:rsidR="00546539" w:rsidRPr="00C918BF">
        <w:t xml:space="preserve"> </w:t>
      </w:r>
    </w:p>
    <w:p w14:paraId="291C2038" w14:textId="691E48E0" w:rsidR="006C528A" w:rsidRPr="00C918BF" w:rsidRDefault="006C528A">
      <w:pPr>
        <w:spacing w:after="60"/>
      </w:pPr>
      <w:r w:rsidRPr="00D860CA">
        <w:t xml:space="preserve">These </w:t>
      </w:r>
      <w:r w:rsidR="00366F11">
        <w:t xml:space="preserve">STAKI </w:t>
      </w:r>
      <w:r w:rsidRPr="00D860CA">
        <w:t xml:space="preserve">results only capture a small part of the KEIP Phase </w:t>
      </w:r>
      <w:r w:rsidR="000A49FE">
        <w:t>2</w:t>
      </w:r>
      <w:r w:rsidRPr="00D860CA">
        <w:t xml:space="preserve"> effort, with greater educational improvement more likely for cohorts </w:t>
      </w:r>
      <w:r w:rsidR="00366F11">
        <w:t xml:space="preserve">commencing </w:t>
      </w:r>
      <w:r w:rsidRPr="00D860CA">
        <w:t>from 2013 and 2014</w:t>
      </w:r>
      <w:r w:rsidR="00366F11">
        <w:t xml:space="preserve">. These </w:t>
      </w:r>
      <w:r w:rsidRPr="00D860CA">
        <w:t xml:space="preserve">students will have been exposed to more of the KEIP Phase </w:t>
      </w:r>
      <w:r w:rsidR="000A49FE">
        <w:t>2</w:t>
      </w:r>
      <w:r w:rsidRPr="00D860CA">
        <w:t xml:space="preserve"> support and </w:t>
      </w:r>
      <w:r w:rsidR="009C226E" w:rsidRPr="00D860CA">
        <w:t xml:space="preserve">curriculum and teaching and </w:t>
      </w:r>
      <w:r w:rsidR="009C226E" w:rsidRPr="00C918BF">
        <w:t xml:space="preserve">learning </w:t>
      </w:r>
      <w:r w:rsidRPr="00C918BF">
        <w:t>interventions for longer</w:t>
      </w:r>
      <w:r w:rsidR="00366F11">
        <w:t xml:space="preserve"> and as they progress through the primary grades, will provide a more representative view of the changes in teaching and learning, together with the assessment outcomes</w:t>
      </w:r>
      <w:r w:rsidR="001D196C">
        <w:t>.</w:t>
      </w:r>
    </w:p>
    <w:p w14:paraId="370CDAE0" w14:textId="49DEB9A7" w:rsidR="006C528A" w:rsidRPr="006671BF" w:rsidRDefault="006C528A" w:rsidP="00CD6138">
      <w:pPr>
        <w:pStyle w:val="Heading3"/>
        <w:ind w:left="0" w:firstLine="0"/>
        <w:rPr>
          <w:lang w:eastAsia="en-AU"/>
        </w:rPr>
      </w:pPr>
      <w:bookmarkStart w:id="37" w:name="_Toc461615687"/>
      <w:r w:rsidRPr="006671BF">
        <w:rPr>
          <w:lang w:eastAsia="en-AU"/>
        </w:rPr>
        <w:t xml:space="preserve">Intermediate Outcome </w:t>
      </w:r>
      <w:r w:rsidR="000A49FE">
        <w:rPr>
          <w:lang w:eastAsia="en-AU"/>
        </w:rPr>
        <w:t>2</w:t>
      </w:r>
      <w:r w:rsidRPr="006671BF">
        <w:rPr>
          <w:lang w:eastAsia="en-AU"/>
        </w:rPr>
        <w:t>) Improve the management, funding and inclusiveness of the education system</w:t>
      </w:r>
      <w:bookmarkEnd w:id="37"/>
    </w:p>
    <w:p w14:paraId="033589F6" w14:textId="0C68EFF9" w:rsidR="006C528A" w:rsidRPr="0060082A" w:rsidRDefault="006C528A" w:rsidP="0060082A">
      <w:pPr>
        <w:rPr>
          <w:rFonts w:asciiTheme="majorHAnsi" w:hAnsiTheme="majorHAnsi" w:cstheme="majorHAnsi"/>
        </w:rPr>
      </w:pPr>
      <w:r w:rsidRPr="0060082A">
        <w:rPr>
          <w:rFonts w:asciiTheme="majorHAnsi" w:hAnsiTheme="majorHAnsi" w:cstheme="majorHAnsi"/>
        </w:rPr>
        <w:t xml:space="preserve">During KEIP Phase </w:t>
      </w:r>
      <w:r w:rsidR="000A49FE">
        <w:rPr>
          <w:rFonts w:asciiTheme="majorHAnsi" w:hAnsiTheme="majorHAnsi" w:cstheme="majorHAnsi"/>
        </w:rPr>
        <w:t>1</w:t>
      </w:r>
      <w:r w:rsidRPr="0060082A">
        <w:rPr>
          <w:rFonts w:asciiTheme="majorHAnsi" w:hAnsiTheme="majorHAnsi" w:cstheme="majorHAnsi"/>
        </w:rPr>
        <w:t xml:space="preserve">, MoE had begun the process of decentralisation of </w:t>
      </w:r>
      <w:r w:rsidR="00EA135C" w:rsidRPr="0060082A">
        <w:rPr>
          <w:rFonts w:asciiTheme="majorHAnsi" w:hAnsiTheme="majorHAnsi" w:cstheme="majorHAnsi"/>
        </w:rPr>
        <w:t xml:space="preserve">some </w:t>
      </w:r>
      <w:r w:rsidRPr="0060082A">
        <w:rPr>
          <w:rFonts w:asciiTheme="majorHAnsi" w:hAnsiTheme="majorHAnsi" w:cstheme="majorHAnsi"/>
        </w:rPr>
        <w:t xml:space="preserve">functions to the school and the island level. While KEIP Phase </w:t>
      </w:r>
      <w:r w:rsidR="000A49FE">
        <w:rPr>
          <w:rFonts w:asciiTheme="majorHAnsi" w:hAnsiTheme="majorHAnsi" w:cstheme="majorHAnsi"/>
        </w:rPr>
        <w:t>1</w:t>
      </w:r>
      <w:r w:rsidRPr="0060082A">
        <w:rPr>
          <w:rFonts w:asciiTheme="majorHAnsi" w:hAnsiTheme="majorHAnsi" w:cstheme="majorHAnsi"/>
        </w:rPr>
        <w:t xml:space="preserve"> established some basic building blocks, there was still initial resistance to islands and schools taking additional management and reporting responsibilities. There was also </w:t>
      </w:r>
      <w:r w:rsidR="00E42168" w:rsidRPr="0060082A">
        <w:rPr>
          <w:rFonts w:asciiTheme="majorHAnsi" w:hAnsiTheme="majorHAnsi" w:cstheme="majorHAnsi"/>
        </w:rPr>
        <w:t>a change in</w:t>
      </w:r>
      <w:r w:rsidRPr="0060082A">
        <w:rPr>
          <w:rFonts w:asciiTheme="majorHAnsi" w:hAnsiTheme="majorHAnsi" w:cstheme="majorHAnsi"/>
        </w:rPr>
        <w:t xml:space="preserve"> MoE senior management. </w:t>
      </w:r>
      <w:r w:rsidR="00EA135C" w:rsidRPr="0060082A">
        <w:rPr>
          <w:rFonts w:asciiTheme="majorHAnsi" w:hAnsiTheme="majorHAnsi" w:cstheme="majorHAnsi"/>
        </w:rPr>
        <w:t xml:space="preserve">This </w:t>
      </w:r>
      <w:r w:rsidRPr="0060082A">
        <w:rPr>
          <w:rFonts w:asciiTheme="majorHAnsi" w:hAnsiTheme="majorHAnsi" w:cstheme="majorHAnsi"/>
        </w:rPr>
        <w:t>combined with a MoE budget not adequately aligned to the resource requirements to achieve the ESSP goals.</w:t>
      </w:r>
    </w:p>
    <w:p w14:paraId="37FA59E4" w14:textId="34990006" w:rsidR="006C528A" w:rsidRPr="0060082A" w:rsidRDefault="006C528A" w:rsidP="0060082A">
      <w:pPr>
        <w:rPr>
          <w:rFonts w:asciiTheme="majorHAnsi" w:hAnsiTheme="majorHAnsi" w:cstheme="majorHAnsi"/>
        </w:rPr>
      </w:pPr>
      <w:r w:rsidRPr="0060082A">
        <w:rPr>
          <w:rFonts w:asciiTheme="majorHAnsi" w:hAnsiTheme="majorHAnsi" w:cstheme="majorHAnsi"/>
        </w:rPr>
        <w:t xml:space="preserve">A temporary pushback against significant change of decentralised management was </w:t>
      </w:r>
      <w:r w:rsidR="00C32532" w:rsidRPr="0060082A">
        <w:rPr>
          <w:rFonts w:asciiTheme="majorHAnsi" w:hAnsiTheme="majorHAnsi" w:cstheme="majorHAnsi"/>
        </w:rPr>
        <w:t>understandable</w:t>
      </w:r>
      <w:r w:rsidRPr="0060082A">
        <w:rPr>
          <w:rFonts w:asciiTheme="majorHAnsi" w:hAnsiTheme="majorHAnsi" w:cstheme="majorHAnsi"/>
        </w:rPr>
        <w:t xml:space="preserve"> and the reform process slowed against planned KEIP Phase </w:t>
      </w:r>
      <w:r w:rsidR="000A49FE">
        <w:rPr>
          <w:rFonts w:asciiTheme="majorHAnsi" w:hAnsiTheme="majorHAnsi" w:cstheme="majorHAnsi"/>
        </w:rPr>
        <w:t>2</w:t>
      </w:r>
      <w:r w:rsidRPr="0060082A">
        <w:rPr>
          <w:rFonts w:asciiTheme="majorHAnsi" w:hAnsiTheme="majorHAnsi" w:cstheme="majorHAnsi"/>
        </w:rPr>
        <w:t xml:space="preserve"> progress. Through the collective effort of partners</w:t>
      </w:r>
      <w:r w:rsidR="00E42168" w:rsidRPr="0060082A">
        <w:rPr>
          <w:rFonts w:asciiTheme="majorHAnsi" w:hAnsiTheme="majorHAnsi" w:cstheme="majorHAnsi"/>
        </w:rPr>
        <w:t xml:space="preserve"> (DFAT, the MoE E</w:t>
      </w:r>
      <w:r w:rsidRPr="0060082A">
        <w:rPr>
          <w:rFonts w:asciiTheme="majorHAnsi" w:hAnsiTheme="majorHAnsi" w:cstheme="majorHAnsi"/>
        </w:rPr>
        <w:t>xecutive</w:t>
      </w:r>
      <w:r w:rsidR="00E42168" w:rsidRPr="0060082A">
        <w:rPr>
          <w:rFonts w:asciiTheme="majorHAnsi" w:hAnsiTheme="majorHAnsi" w:cstheme="majorHAnsi"/>
        </w:rPr>
        <w:t xml:space="preserve">, </w:t>
      </w:r>
      <w:r w:rsidRPr="0060082A">
        <w:rPr>
          <w:rFonts w:asciiTheme="majorHAnsi" w:hAnsiTheme="majorHAnsi" w:cstheme="majorHAnsi"/>
        </w:rPr>
        <w:t>KEF leadership</w:t>
      </w:r>
      <w:r w:rsidR="00E42168" w:rsidRPr="0060082A">
        <w:rPr>
          <w:rFonts w:asciiTheme="majorHAnsi" w:hAnsiTheme="majorHAnsi" w:cstheme="majorHAnsi"/>
        </w:rPr>
        <w:t xml:space="preserve">) </w:t>
      </w:r>
      <w:r w:rsidRPr="0060082A">
        <w:rPr>
          <w:rFonts w:asciiTheme="majorHAnsi" w:hAnsiTheme="majorHAnsi" w:cstheme="majorHAnsi"/>
        </w:rPr>
        <w:t>collaborative dialogue became a vehicle to identify needs, share values and demonstrate evidence based practices to support the reform process. By 2014</w:t>
      </w:r>
      <w:r w:rsidR="00E42168" w:rsidRPr="0060082A">
        <w:rPr>
          <w:rFonts w:asciiTheme="majorHAnsi" w:hAnsiTheme="majorHAnsi" w:cstheme="majorHAnsi"/>
        </w:rPr>
        <w:t>,</w:t>
      </w:r>
      <w:r w:rsidRPr="0060082A">
        <w:rPr>
          <w:rFonts w:asciiTheme="majorHAnsi" w:hAnsiTheme="majorHAnsi" w:cstheme="majorHAnsi"/>
        </w:rPr>
        <w:t xml:space="preserve"> positive leadership and ownership had developed for the reform and </w:t>
      </w:r>
      <w:r w:rsidR="00E42168" w:rsidRPr="0060082A">
        <w:rPr>
          <w:rFonts w:asciiTheme="majorHAnsi" w:hAnsiTheme="majorHAnsi" w:cstheme="majorHAnsi"/>
        </w:rPr>
        <w:t xml:space="preserve">for </w:t>
      </w:r>
      <w:r w:rsidRPr="0060082A">
        <w:rPr>
          <w:rFonts w:asciiTheme="majorHAnsi" w:hAnsiTheme="majorHAnsi" w:cstheme="majorHAnsi"/>
        </w:rPr>
        <w:t xml:space="preserve">organisational change within the Ministry. This open discussion, regular communication and review of progress and options have continued through KEIP Phase </w:t>
      </w:r>
      <w:r w:rsidR="000A49FE">
        <w:rPr>
          <w:rFonts w:asciiTheme="majorHAnsi" w:hAnsiTheme="majorHAnsi" w:cstheme="majorHAnsi"/>
        </w:rPr>
        <w:t>2</w:t>
      </w:r>
      <w:r w:rsidRPr="0060082A">
        <w:rPr>
          <w:rFonts w:asciiTheme="majorHAnsi" w:hAnsiTheme="majorHAnsi" w:cstheme="majorHAnsi"/>
        </w:rPr>
        <w:t xml:space="preserve"> and will </w:t>
      </w:r>
      <w:r w:rsidR="00A11CBD" w:rsidRPr="0060082A">
        <w:rPr>
          <w:rFonts w:asciiTheme="majorHAnsi" w:hAnsiTheme="majorHAnsi" w:cstheme="majorHAnsi"/>
        </w:rPr>
        <w:t>remain for</w:t>
      </w:r>
      <w:r w:rsidRPr="0060082A">
        <w:rPr>
          <w:rFonts w:asciiTheme="majorHAnsi" w:hAnsiTheme="majorHAnsi" w:cstheme="majorHAnsi"/>
        </w:rPr>
        <w:t xml:space="preserve"> Phase </w:t>
      </w:r>
      <w:r w:rsidR="000A49FE">
        <w:rPr>
          <w:rFonts w:asciiTheme="majorHAnsi" w:hAnsiTheme="majorHAnsi" w:cstheme="majorHAnsi"/>
        </w:rPr>
        <w:t>3</w:t>
      </w:r>
      <w:r w:rsidRPr="0060082A">
        <w:rPr>
          <w:rFonts w:asciiTheme="majorHAnsi" w:hAnsiTheme="majorHAnsi" w:cstheme="majorHAnsi"/>
        </w:rPr>
        <w:t>.</w:t>
      </w:r>
    </w:p>
    <w:p w14:paraId="1A574A29" w14:textId="70B02C3B" w:rsidR="006C528A" w:rsidRPr="0060082A" w:rsidRDefault="00DE1CB5" w:rsidP="0060082A">
      <w:pPr>
        <w:rPr>
          <w:rFonts w:asciiTheme="majorHAnsi" w:hAnsiTheme="majorHAnsi" w:cstheme="majorHAnsi"/>
        </w:rPr>
      </w:pPr>
      <w:r w:rsidRPr="0060082A">
        <w:rPr>
          <w:rFonts w:asciiTheme="majorHAnsi" w:hAnsiTheme="majorHAnsi" w:cstheme="majorHAnsi"/>
        </w:rPr>
        <w:t xml:space="preserve">In support of management development, a </w:t>
      </w:r>
      <w:r w:rsidR="00E42168" w:rsidRPr="0060082A">
        <w:rPr>
          <w:rFonts w:asciiTheme="majorHAnsi" w:hAnsiTheme="majorHAnsi" w:cstheme="majorHAnsi"/>
        </w:rPr>
        <w:t xml:space="preserve">MoE </w:t>
      </w:r>
      <w:r w:rsidRPr="0060082A">
        <w:rPr>
          <w:rFonts w:asciiTheme="majorHAnsi" w:hAnsiTheme="majorHAnsi" w:cstheme="majorHAnsi"/>
        </w:rPr>
        <w:t xml:space="preserve">Director of Education was recruited, a Policy, Planning and Development Unit (PPD) established and the School Improvement Unit (SIU) was strengthened to improve education service delivery. </w:t>
      </w:r>
      <w:r w:rsidR="006C528A" w:rsidRPr="0060082A">
        <w:rPr>
          <w:rFonts w:asciiTheme="majorHAnsi" w:hAnsiTheme="majorHAnsi" w:cstheme="majorHAnsi"/>
        </w:rPr>
        <w:t xml:space="preserve">A new KTC management structure was approved and implemented. The KTC Principal is supported by two Deputy Principals, 25 lecturers and administration staff. This increase in senior staff is a response to the leadership and management </w:t>
      </w:r>
      <w:r w:rsidR="00A11CBD" w:rsidRPr="0060082A">
        <w:rPr>
          <w:rFonts w:asciiTheme="majorHAnsi" w:hAnsiTheme="majorHAnsi" w:cstheme="majorHAnsi"/>
        </w:rPr>
        <w:t xml:space="preserve">skills </w:t>
      </w:r>
      <w:r w:rsidR="006C528A" w:rsidRPr="0060082A">
        <w:rPr>
          <w:rFonts w:asciiTheme="majorHAnsi" w:hAnsiTheme="majorHAnsi" w:cstheme="majorHAnsi"/>
        </w:rPr>
        <w:t>required to deliver MoE’s teacher professional development agenda, along with its pre-service commitments and TESOL program. A further recent development is the introduction and role of the IECs</w:t>
      </w:r>
      <w:r w:rsidR="00A11CBD" w:rsidRPr="0060082A">
        <w:rPr>
          <w:rFonts w:asciiTheme="majorHAnsi" w:hAnsiTheme="majorHAnsi" w:cstheme="majorHAnsi"/>
        </w:rPr>
        <w:t xml:space="preserve"> in supporting school leaders, teachers and community engagement at the school level</w:t>
      </w:r>
      <w:r w:rsidR="006C528A" w:rsidRPr="0060082A">
        <w:rPr>
          <w:rFonts w:asciiTheme="majorHAnsi" w:hAnsiTheme="majorHAnsi" w:cstheme="majorHAnsi"/>
        </w:rPr>
        <w:t>.</w:t>
      </w:r>
    </w:p>
    <w:p w14:paraId="21C4D892" w14:textId="1847637B" w:rsidR="006C528A" w:rsidRPr="0060082A" w:rsidRDefault="006C528A" w:rsidP="0060082A">
      <w:pPr>
        <w:rPr>
          <w:rFonts w:asciiTheme="majorHAnsi" w:hAnsiTheme="majorHAnsi" w:cstheme="majorHAnsi"/>
        </w:rPr>
      </w:pPr>
      <w:r w:rsidRPr="0060082A">
        <w:rPr>
          <w:rFonts w:asciiTheme="majorHAnsi" w:hAnsiTheme="majorHAnsi" w:cstheme="majorHAnsi"/>
        </w:rPr>
        <w:t xml:space="preserve">The MoE commitment to education reform remains high, </w:t>
      </w:r>
      <w:r w:rsidR="00A11CBD" w:rsidRPr="0060082A">
        <w:rPr>
          <w:rFonts w:asciiTheme="majorHAnsi" w:hAnsiTheme="majorHAnsi" w:cstheme="majorHAnsi"/>
        </w:rPr>
        <w:t>and</w:t>
      </w:r>
      <w:r w:rsidRPr="0060082A">
        <w:rPr>
          <w:rFonts w:asciiTheme="majorHAnsi" w:hAnsiTheme="majorHAnsi" w:cstheme="majorHAnsi"/>
        </w:rPr>
        <w:t xml:space="preserve"> achievement include</w:t>
      </w:r>
      <w:r w:rsidR="00A11CBD" w:rsidRPr="0060082A">
        <w:rPr>
          <w:rFonts w:asciiTheme="majorHAnsi" w:hAnsiTheme="majorHAnsi" w:cstheme="majorHAnsi"/>
        </w:rPr>
        <w:t>;</w:t>
      </w:r>
      <w:r w:rsidRPr="0060082A">
        <w:rPr>
          <w:rFonts w:asciiTheme="majorHAnsi" w:hAnsiTheme="majorHAnsi" w:cstheme="majorHAnsi"/>
        </w:rPr>
        <w:t xml:space="preserve"> organisational and process outcomes (PPD, SIU, IECs)</w:t>
      </w:r>
      <w:r w:rsidR="00A11CBD" w:rsidRPr="0060082A">
        <w:rPr>
          <w:rFonts w:asciiTheme="majorHAnsi" w:hAnsiTheme="majorHAnsi" w:cstheme="majorHAnsi"/>
        </w:rPr>
        <w:t>;</w:t>
      </w:r>
      <w:r w:rsidRPr="0060082A">
        <w:rPr>
          <w:rFonts w:asciiTheme="majorHAnsi" w:hAnsiTheme="majorHAnsi" w:cstheme="majorHAnsi"/>
        </w:rPr>
        <w:t xml:space="preserve"> new language policy, </w:t>
      </w:r>
      <w:r w:rsidR="00A11CBD" w:rsidRPr="0060082A">
        <w:rPr>
          <w:rFonts w:asciiTheme="majorHAnsi" w:hAnsiTheme="majorHAnsi" w:cstheme="majorHAnsi"/>
        </w:rPr>
        <w:t xml:space="preserve">new </w:t>
      </w:r>
      <w:r w:rsidRPr="0060082A">
        <w:rPr>
          <w:rFonts w:asciiTheme="majorHAnsi" w:hAnsiTheme="majorHAnsi" w:cstheme="majorHAnsi"/>
        </w:rPr>
        <w:t xml:space="preserve">curriculum and professional standards, </w:t>
      </w:r>
      <w:r w:rsidR="00A11CBD" w:rsidRPr="0060082A">
        <w:rPr>
          <w:rFonts w:asciiTheme="majorHAnsi" w:hAnsiTheme="majorHAnsi" w:cstheme="majorHAnsi"/>
        </w:rPr>
        <w:t xml:space="preserve">a </w:t>
      </w:r>
      <w:r w:rsidRPr="0060082A">
        <w:rPr>
          <w:rFonts w:asciiTheme="majorHAnsi" w:hAnsiTheme="majorHAnsi" w:cstheme="majorHAnsi"/>
        </w:rPr>
        <w:t>teacher development policy, the Inclusive Education Act</w:t>
      </w:r>
      <w:r w:rsidR="00A11CBD" w:rsidRPr="0060082A">
        <w:rPr>
          <w:rFonts w:asciiTheme="majorHAnsi" w:hAnsiTheme="majorHAnsi" w:cstheme="majorHAnsi"/>
        </w:rPr>
        <w:t>;</w:t>
      </w:r>
      <w:r w:rsidRPr="0060082A">
        <w:rPr>
          <w:rFonts w:asciiTheme="majorHAnsi" w:hAnsiTheme="majorHAnsi" w:cstheme="majorHAnsi"/>
        </w:rPr>
        <w:t xml:space="preserve"> and a strategy for the Elimination of Gender Based Violence in Schools - EGBVS, which operationalises Kiribati's new Family Peace Act at the school level. The production of the new curriculum and associated materials for every primary year is underway</w:t>
      </w:r>
      <w:r w:rsidR="00A11CBD" w:rsidRPr="0060082A">
        <w:rPr>
          <w:rFonts w:asciiTheme="majorHAnsi" w:hAnsiTheme="majorHAnsi" w:cstheme="majorHAnsi"/>
        </w:rPr>
        <w:t>. Working with</w:t>
      </w:r>
      <w:r w:rsidR="006E6B10" w:rsidRPr="0060082A">
        <w:rPr>
          <w:rFonts w:asciiTheme="majorHAnsi" w:hAnsiTheme="majorHAnsi" w:cstheme="majorHAnsi"/>
        </w:rPr>
        <w:t xml:space="preserve"> </w:t>
      </w:r>
      <w:r w:rsidRPr="0060082A">
        <w:rPr>
          <w:rFonts w:asciiTheme="majorHAnsi" w:hAnsiTheme="majorHAnsi" w:cstheme="majorHAnsi"/>
        </w:rPr>
        <w:t>the Year 1-5 primary teacher workforce for up-skilling in curriculum knowledge, methods and language has commenced.</w:t>
      </w:r>
    </w:p>
    <w:p w14:paraId="17B50C11" w14:textId="775E0246" w:rsidR="006C528A" w:rsidRPr="0060082A" w:rsidRDefault="006C528A" w:rsidP="0060082A">
      <w:pPr>
        <w:rPr>
          <w:rFonts w:asciiTheme="majorHAnsi" w:hAnsiTheme="majorHAnsi" w:cstheme="majorHAnsi"/>
        </w:rPr>
      </w:pPr>
      <w:r w:rsidRPr="0060082A">
        <w:rPr>
          <w:rFonts w:asciiTheme="majorHAnsi" w:hAnsiTheme="majorHAnsi" w:cstheme="majorHAnsi"/>
        </w:rPr>
        <w:t>During 2014, important policies were also finalised in support of the KDP’s principle of “Education for All’. The education reform framework has been secured by the Education Act which was passed by the National Parliament in early 2015. The emergence of the EPiK forum is evidence of the development of the education sector</w:t>
      </w:r>
      <w:r w:rsidR="00A11CBD" w:rsidRPr="0060082A">
        <w:rPr>
          <w:rFonts w:asciiTheme="majorHAnsi" w:hAnsiTheme="majorHAnsi" w:cstheme="majorHAnsi"/>
        </w:rPr>
        <w:t>, with its</w:t>
      </w:r>
      <w:r w:rsidR="006E6B10" w:rsidRPr="0060082A">
        <w:rPr>
          <w:rFonts w:asciiTheme="majorHAnsi" w:hAnsiTheme="majorHAnsi" w:cstheme="majorHAnsi"/>
        </w:rPr>
        <w:t xml:space="preserve"> </w:t>
      </w:r>
      <w:r w:rsidRPr="0060082A">
        <w:rPr>
          <w:rFonts w:asciiTheme="majorHAnsi" w:hAnsiTheme="majorHAnsi" w:cstheme="majorHAnsi"/>
        </w:rPr>
        <w:t>intended role i</w:t>
      </w:r>
      <w:r w:rsidR="00A11CBD" w:rsidRPr="0060082A">
        <w:rPr>
          <w:rFonts w:asciiTheme="majorHAnsi" w:hAnsiTheme="majorHAnsi" w:cstheme="majorHAnsi"/>
        </w:rPr>
        <w:t>n</w:t>
      </w:r>
      <w:r w:rsidRPr="0060082A">
        <w:rPr>
          <w:rFonts w:asciiTheme="majorHAnsi" w:hAnsiTheme="majorHAnsi" w:cstheme="majorHAnsi"/>
        </w:rPr>
        <w:t xml:space="preserve"> coordinating donor support around implementation of the ESSP</w:t>
      </w:r>
      <w:r w:rsidR="00A11CBD" w:rsidRPr="0060082A">
        <w:rPr>
          <w:rFonts w:asciiTheme="majorHAnsi" w:hAnsiTheme="majorHAnsi" w:cstheme="majorHAnsi"/>
        </w:rPr>
        <w:t>. D</w:t>
      </w:r>
      <w:r w:rsidRPr="0060082A">
        <w:rPr>
          <w:rFonts w:asciiTheme="majorHAnsi" w:hAnsiTheme="majorHAnsi" w:cstheme="majorHAnsi"/>
        </w:rPr>
        <w:t xml:space="preserve">uring KEIP Phase </w:t>
      </w:r>
      <w:r w:rsidR="000A49FE">
        <w:rPr>
          <w:rFonts w:asciiTheme="majorHAnsi" w:hAnsiTheme="majorHAnsi" w:cstheme="majorHAnsi"/>
        </w:rPr>
        <w:t>2</w:t>
      </w:r>
      <w:r w:rsidR="00A11CBD" w:rsidRPr="0060082A">
        <w:rPr>
          <w:rFonts w:asciiTheme="majorHAnsi" w:hAnsiTheme="majorHAnsi" w:cstheme="majorHAnsi"/>
        </w:rPr>
        <w:t xml:space="preserve">, the EPiK </w:t>
      </w:r>
      <w:r w:rsidRPr="0060082A">
        <w:rPr>
          <w:rFonts w:asciiTheme="majorHAnsi" w:hAnsiTheme="majorHAnsi" w:cstheme="majorHAnsi"/>
        </w:rPr>
        <w:t>made progress as a mechanism for donor dialogue and stakeholder cooperation.</w:t>
      </w:r>
    </w:p>
    <w:p w14:paraId="179CB667" w14:textId="4E6DD199" w:rsidR="006C528A" w:rsidRPr="0060082A" w:rsidRDefault="006C528A" w:rsidP="0060082A">
      <w:pPr>
        <w:rPr>
          <w:rFonts w:asciiTheme="majorHAnsi" w:hAnsiTheme="majorHAnsi" w:cstheme="majorHAnsi"/>
        </w:rPr>
      </w:pPr>
      <w:r w:rsidRPr="0060082A">
        <w:rPr>
          <w:rFonts w:asciiTheme="majorHAnsi" w:hAnsiTheme="majorHAnsi" w:cstheme="majorHAnsi"/>
        </w:rPr>
        <w:t>Strengthening evidence for</w:t>
      </w:r>
      <w:r w:rsidR="00A11CBD" w:rsidRPr="0060082A">
        <w:rPr>
          <w:rFonts w:asciiTheme="majorHAnsi" w:hAnsiTheme="majorHAnsi" w:cstheme="majorHAnsi"/>
        </w:rPr>
        <w:t xml:space="preserve"> MoE</w:t>
      </w:r>
      <w:r w:rsidRPr="0060082A">
        <w:rPr>
          <w:rFonts w:asciiTheme="majorHAnsi" w:hAnsiTheme="majorHAnsi" w:cstheme="majorHAnsi"/>
        </w:rPr>
        <w:t xml:space="preserve"> decision making and resource allocation is still under development. For the PPD, there is need for more coordinated leadership of MoE’s data and usage for MOE’s evidenced-based planning. The </w:t>
      </w:r>
      <w:r w:rsidR="004E1BF2" w:rsidRPr="0060082A">
        <w:rPr>
          <w:rFonts w:asciiTheme="majorHAnsi" w:hAnsiTheme="majorHAnsi" w:cstheme="majorHAnsi"/>
        </w:rPr>
        <w:t xml:space="preserve">Technology Support and Information Management Unit (TSIMU) </w:t>
      </w:r>
      <w:r w:rsidRPr="0060082A">
        <w:rPr>
          <w:rFonts w:asciiTheme="majorHAnsi" w:hAnsiTheme="majorHAnsi" w:cstheme="majorHAnsi"/>
        </w:rPr>
        <w:t>particularly requires development</w:t>
      </w:r>
      <w:r w:rsidR="00916DE6" w:rsidRPr="0060082A">
        <w:rPr>
          <w:rFonts w:asciiTheme="majorHAnsi" w:hAnsiTheme="majorHAnsi" w:cstheme="majorHAnsi"/>
        </w:rPr>
        <w:t xml:space="preserve"> </w:t>
      </w:r>
      <w:r w:rsidRPr="0060082A">
        <w:rPr>
          <w:rFonts w:asciiTheme="majorHAnsi" w:hAnsiTheme="majorHAnsi" w:cstheme="majorHAnsi"/>
        </w:rPr>
        <w:t>to support timely data analysis and dissemination.</w:t>
      </w:r>
    </w:p>
    <w:p w14:paraId="720E592B" w14:textId="5F1DAE88" w:rsidR="006C528A" w:rsidRPr="0060082A" w:rsidRDefault="006C528A" w:rsidP="0060082A">
      <w:pPr>
        <w:rPr>
          <w:rFonts w:asciiTheme="majorHAnsi" w:hAnsiTheme="majorHAnsi" w:cstheme="majorHAnsi"/>
        </w:rPr>
      </w:pPr>
      <w:r w:rsidRPr="0060082A">
        <w:rPr>
          <w:rFonts w:asciiTheme="majorHAnsi" w:hAnsiTheme="majorHAnsi" w:cstheme="majorHAnsi"/>
        </w:rPr>
        <w:lastRenderedPageBreak/>
        <w:t>Despite progress made</w:t>
      </w:r>
      <w:r w:rsidR="00A11CBD" w:rsidRPr="0060082A">
        <w:rPr>
          <w:rFonts w:asciiTheme="majorHAnsi" w:hAnsiTheme="majorHAnsi" w:cstheme="majorHAnsi"/>
        </w:rPr>
        <w:t>,</w:t>
      </w:r>
      <w:r w:rsidRPr="0060082A">
        <w:rPr>
          <w:rFonts w:asciiTheme="majorHAnsi" w:hAnsiTheme="majorHAnsi" w:cstheme="majorHAnsi"/>
        </w:rPr>
        <w:t xml:space="preserve"> the</w:t>
      </w:r>
      <w:r w:rsidR="006E6B10" w:rsidRPr="0060082A">
        <w:rPr>
          <w:rFonts w:asciiTheme="majorHAnsi" w:hAnsiTheme="majorHAnsi" w:cstheme="majorHAnsi"/>
        </w:rPr>
        <w:t xml:space="preserve"> </w:t>
      </w:r>
      <w:r w:rsidR="00A11CBD" w:rsidRPr="0060082A">
        <w:rPr>
          <w:rFonts w:asciiTheme="majorHAnsi" w:hAnsiTheme="majorHAnsi" w:cstheme="majorHAnsi"/>
        </w:rPr>
        <w:t xml:space="preserve">strengthening </w:t>
      </w:r>
      <w:r w:rsidRPr="0060082A">
        <w:rPr>
          <w:rFonts w:asciiTheme="majorHAnsi" w:hAnsiTheme="majorHAnsi" w:cstheme="majorHAnsi"/>
        </w:rPr>
        <w:t xml:space="preserve">of MoE </w:t>
      </w:r>
      <w:r w:rsidR="00A11CBD" w:rsidRPr="0060082A">
        <w:rPr>
          <w:rFonts w:asciiTheme="majorHAnsi" w:hAnsiTheme="majorHAnsi" w:cstheme="majorHAnsi"/>
        </w:rPr>
        <w:t xml:space="preserve">management </w:t>
      </w:r>
      <w:r w:rsidRPr="0060082A">
        <w:rPr>
          <w:rFonts w:asciiTheme="majorHAnsi" w:hAnsiTheme="majorHAnsi" w:cstheme="majorHAnsi"/>
        </w:rPr>
        <w:t>capacity is still a work in progress. The structural and p</w:t>
      </w:r>
      <w:r w:rsidR="00916DE6" w:rsidRPr="0060082A">
        <w:rPr>
          <w:rFonts w:asciiTheme="majorHAnsi" w:hAnsiTheme="majorHAnsi" w:cstheme="majorHAnsi"/>
        </w:rPr>
        <w:t xml:space="preserve">rocess reforms are new and </w:t>
      </w:r>
      <w:r w:rsidRPr="0060082A">
        <w:rPr>
          <w:rFonts w:asciiTheme="majorHAnsi" w:hAnsiTheme="majorHAnsi" w:cstheme="majorHAnsi"/>
        </w:rPr>
        <w:t>remain vulnerable, until such time as</w:t>
      </w:r>
      <w:r w:rsidR="00A11CBD" w:rsidRPr="0060082A">
        <w:rPr>
          <w:rFonts w:asciiTheme="majorHAnsi" w:hAnsiTheme="majorHAnsi" w:cstheme="majorHAnsi"/>
        </w:rPr>
        <w:t xml:space="preserve"> </w:t>
      </w:r>
      <w:r w:rsidRPr="0060082A">
        <w:rPr>
          <w:rFonts w:asciiTheme="majorHAnsi" w:hAnsiTheme="majorHAnsi" w:cstheme="majorHAnsi"/>
        </w:rPr>
        <w:t>change</w:t>
      </w:r>
      <w:r w:rsidR="00A11CBD" w:rsidRPr="0060082A">
        <w:rPr>
          <w:rFonts w:asciiTheme="majorHAnsi" w:hAnsiTheme="majorHAnsi" w:cstheme="majorHAnsi"/>
        </w:rPr>
        <w:t>d</w:t>
      </w:r>
      <w:r w:rsidRPr="0060082A">
        <w:rPr>
          <w:rFonts w:asciiTheme="majorHAnsi" w:hAnsiTheme="majorHAnsi" w:cstheme="majorHAnsi"/>
        </w:rPr>
        <w:t xml:space="preserve"> management process</w:t>
      </w:r>
      <w:r w:rsidR="00A11CBD" w:rsidRPr="0060082A">
        <w:rPr>
          <w:rFonts w:asciiTheme="majorHAnsi" w:hAnsiTheme="majorHAnsi" w:cstheme="majorHAnsi"/>
        </w:rPr>
        <w:t>es</w:t>
      </w:r>
      <w:r w:rsidRPr="0060082A">
        <w:rPr>
          <w:rFonts w:asciiTheme="majorHAnsi" w:hAnsiTheme="majorHAnsi" w:cstheme="majorHAnsi"/>
        </w:rPr>
        <w:t xml:space="preserve"> assist</w:t>
      </w:r>
      <w:r w:rsidR="00A11CBD" w:rsidRPr="0060082A">
        <w:rPr>
          <w:rFonts w:asciiTheme="majorHAnsi" w:hAnsiTheme="majorHAnsi" w:cstheme="majorHAnsi"/>
        </w:rPr>
        <w:t xml:space="preserve"> school leaders and teachers</w:t>
      </w:r>
      <w:r w:rsidRPr="0060082A">
        <w:rPr>
          <w:rFonts w:asciiTheme="majorHAnsi" w:hAnsiTheme="majorHAnsi" w:cstheme="majorHAnsi"/>
        </w:rPr>
        <w:t xml:space="preserve"> in the institutionalisation of recent reform. In MoE</w:t>
      </w:r>
      <w:r w:rsidR="00A11CBD" w:rsidRPr="0060082A">
        <w:rPr>
          <w:rFonts w:asciiTheme="majorHAnsi" w:hAnsiTheme="majorHAnsi" w:cstheme="majorHAnsi"/>
        </w:rPr>
        <w:t>, the</w:t>
      </w:r>
      <w:r w:rsidRPr="0060082A">
        <w:rPr>
          <w:rFonts w:asciiTheme="majorHAnsi" w:hAnsiTheme="majorHAnsi" w:cstheme="majorHAnsi"/>
        </w:rPr>
        <w:t xml:space="preserve"> budgeting and financial management, reporting and budget preparation remain inadequately aligned with ESSP, and divisional planning is not consistent with achievement of ESSP goals. The ESSP 2016-19 makes its first goal strengthening </w:t>
      </w:r>
      <w:r w:rsidR="00A11CBD" w:rsidRPr="0060082A">
        <w:rPr>
          <w:rFonts w:asciiTheme="majorHAnsi" w:hAnsiTheme="majorHAnsi" w:cstheme="majorHAnsi"/>
        </w:rPr>
        <w:t xml:space="preserve">the MoE </w:t>
      </w:r>
      <w:r w:rsidRPr="0060082A">
        <w:rPr>
          <w:rFonts w:asciiTheme="majorHAnsi" w:hAnsiTheme="majorHAnsi" w:cstheme="majorHAnsi"/>
        </w:rPr>
        <w:t>executive management capability to lead policy development and planning</w:t>
      </w:r>
      <w:r w:rsidR="00A11CBD" w:rsidRPr="0060082A">
        <w:rPr>
          <w:rFonts w:asciiTheme="majorHAnsi" w:hAnsiTheme="majorHAnsi" w:cstheme="majorHAnsi"/>
        </w:rPr>
        <w:t xml:space="preserve">, and as a result </w:t>
      </w:r>
      <w:r w:rsidRPr="0060082A">
        <w:rPr>
          <w:rFonts w:asciiTheme="majorHAnsi" w:hAnsiTheme="majorHAnsi" w:cstheme="majorHAnsi"/>
        </w:rPr>
        <w:t xml:space="preserve">KEIP Phase </w:t>
      </w:r>
      <w:r w:rsidR="000A49FE">
        <w:rPr>
          <w:rFonts w:asciiTheme="majorHAnsi" w:hAnsiTheme="majorHAnsi" w:cstheme="majorHAnsi"/>
        </w:rPr>
        <w:t>3</w:t>
      </w:r>
      <w:r w:rsidRPr="0060082A">
        <w:rPr>
          <w:rFonts w:asciiTheme="majorHAnsi" w:hAnsiTheme="majorHAnsi" w:cstheme="majorHAnsi"/>
        </w:rPr>
        <w:t xml:space="preserve"> will contribute directly to this goal.</w:t>
      </w:r>
    </w:p>
    <w:p w14:paraId="2B7FB8F7" w14:textId="034E3604" w:rsidR="007627F4" w:rsidRPr="00DD2CE2" w:rsidRDefault="00A96DAA" w:rsidP="00DD2CE2">
      <w:pPr>
        <w:pStyle w:val="Heading1"/>
      </w:pPr>
      <w:bookmarkStart w:id="38" w:name="_Toc453669679"/>
      <w:bookmarkStart w:id="39" w:name="_Toc461615688"/>
      <w:r w:rsidRPr="00DD2CE2">
        <w:t>2</w:t>
      </w:r>
      <w:r w:rsidRPr="00DD2CE2">
        <w:tab/>
      </w:r>
      <w:r w:rsidR="007627F4" w:rsidRPr="00DD2CE2">
        <w:t>Key Results and Activities</w:t>
      </w:r>
      <w:bookmarkEnd w:id="38"/>
      <w:bookmarkEnd w:id="39"/>
    </w:p>
    <w:p w14:paraId="5DE79666" w14:textId="10BD80C2" w:rsidR="007627F4" w:rsidRPr="0060082A" w:rsidRDefault="007627F4" w:rsidP="0060082A">
      <w:pPr>
        <w:rPr>
          <w:rFonts w:asciiTheme="majorHAnsi" w:hAnsiTheme="majorHAnsi" w:cstheme="majorHAnsi"/>
          <w:lang w:eastAsia="ko-KR"/>
        </w:rPr>
      </w:pPr>
      <w:r w:rsidRPr="0060082A">
        <w:rPr>
          <w:rFonts w:asciiTheme="majorHAnsi" w:hAnsiTheme="majorHAnsi" w:cstheme="majorHAnsi"/>
          <w:lang w:eastAsia="ko-KR"/>
        </w:rPr>
        <w:t xml:space="preserve">This section outlines progress towards end-of-program outcomes over the </w:t>
      </w:r>
      <w:r w:rsidR="00B93123" w:rsidRPr="0060082A">
        <w:rPr>
          <w:rFonts w:asciiTheme="majorHAnsi" w:hAnsiTheme="majorHAnsi" w:cstheme="majorHAnsi"/>
          <w:lang w:eastAsia="ko-KR"/>
        </w:rPr>
        <w:t xml:space="preserve">three </w:t>
      </w:r>
      <w:r w:rsidRPr="0060082A">
        <w:rPr>
          <w:rFonts w:asciiTheme="majorHAnsi" w:hAnsiTheme="majorHAnsi" w:cstheme="majorHAnsi"/>
          <w:lang w:eastAsia="ko-KR"/>
        </w:rPr>
        <w:t xml:space="preserve">years of the KEIP Phase </w:t>
      </w:r>
      <w:r w:rsidR="000A49FE">
        <w:rPr>
          <w:rFonts w:asciiTheme="majorHAnsi" w:hAnsiTheme="majorHAnsi" w:cstheme="majorHAnsi"/>
          <w:lang w:eastAsia="ko-KR"/>
        </w:rPr>
        <w:t>2</w:t>
      </w:r>
      <w:r w:rsidRPr="0060082A">
        <w:rPr>
          <w:rFonts w:asciiTheme="majorHAnsi" w:hAnsiTheme="majorHAnsi" w:cstheme="majorHAnsi"/>
          <w:lang w:eastAsia="ko-KR"/>
        </w:rPr>
        <w:t xml:space="preserve"> contract from</w:t>
      </w:r>
      <w:r w:rsidR="00180909" w:rsidRPr="0060082A">
        <w:rPr>
          <w:rFonts w:asciiTheme="majorHAnsi" w:hAnsiTheme="majorHAnsi" w:cstheme="majorHAnsi"/>
          <w:lang w:eastAsia="ko-KR"/>
        </w:rPr>
        <w:t xml:space="preserve"> </w:t>
      </w:r>
      <w:r w:rsidR="00B93123" w:rsidRPr="0060082A">
        <w:rPr>
          <w:rFonts w:asciiTheme="majorHAnsi" w:hAnsiTheme="majorHAnsi" w:cstheme="majorHAnsi"/>
          <w:b/>
          <w:lang w:eastAsia="ko-KR"/>
        </w:rPr>
        <w:t>March 2013</w:t>
      </w:r>
      <w:r w:rsidRPr="0060082A">
        <w:rPr>
          <w:rFonts w:asciiTheme="majorHAnsi" w:hAnsiTheme="majorHAnsi" w:cstheme="majorHAnsi"/>
          <w:b/>
          <w:lang w:eastAsia="ko-KR"/>
        </w:rPr>
        <w:t xml:space="preserve"> to </w:t>
      </w:r>
      <w:r w:rsidR="00B93123" w:rsidRPr="0060082A">
        <w:rPr>
          <w:rFonts w:asciiTheme="majorHAnsi" w:hAnsiTheme="majorHAnsi" w:cstheme="majorHAnsi"/>
          <w:b/>
          <w:lang w:eastAsia="ko-KR"/>
        </w:rPr>
        <w:t>March 2016</w:t>
      </w:r>
      <w:r w:rsidRPr="0060082A">
        <w:rPr>
          <w:rFonts w:asciiTheme="majorHAnsi" w:hAnsiTheme="majorHAnsi" w:cstheme="majorHAnsi"/>
          <w:lang w:eastAsia="ko-KR"/>
        </w:rPr>
        <w:t xml:space="preserve"> along with findings on the quality of education and capacity to manage the education systems; activities undertaken to address challenges and limitations </w:t>
      </w:r>
      <w:r w:rsidR="00C80D07" w:rsidRPr="0060082A">
        <w:rPr>
          <w:rFonts w:asciiTheme="majorHAnsi" w:hAnsiTheme="majorHAnsi" w:cstheme="majorHAnsi"/>
          <w:lang w:eastAsia="ko-KR"/>
        </w:rPr>
        <w:t>for the investment; a</w:t>
      </w:r>
      <w:r w:rsidR="00A11CBD" w:rsidRPr="0060082A">
        <w:rPr>
          <w:rFonts w:asciiTheme="majorHAnsi" w:hAnsiTheme="majorHAnsi" w:cstheme="majorHAnsi"/>
          <w:lang w:eastAsia="ko-KR"/>
        </w:rPr>
        <w:t xml:space="preserve">s well as </w:t>
      </w:r>
      <w:r w:rsidRPr="0060082A">
        <w:rPr>
          <w:rFonts w:asciiTheme="majorHAnsi" w:hAnsiTheme="majorHAnsi" w:cstheme="majorHAnsi"/>
          <w:lang w:eastAsia="ko-KR"/>
        </w:rPr>
        <w:t xml:space="preserve">considerations for </w:t>
      </w:r>
      <w:r w:rsidR="00A11CBD" w:rsidRPr="0060082A">
        <w:rPr>
          <w:rFonts w:asciiTheme="majorHAnsi" w:hAnsiTheme="majorHAnsi" w:cstheme="majorHAnsi"/>
          <w:lang w:eastAsia="ko-KR"/>
        </w:rPr>
        <w:t xml:space="preserve">the </w:t>
      </w:r>
      <w:r w:rsidRPr="0060082A">
        <w:rPr>
          <w:rFonts w:asciiTheme="majorHAnsi" w:hAnsiTheme="majorHAnsi" w:cstheme="majorHAnsi"/>
          <w:lang w:eastAsia="ko-KR"/>
        </w:rPr>
        <w:t xml:space="preserve">future </w:t>
      </w:r>
      <w:r w:rsidR="00C80D07" w:rsidRPr="0060082A">
        <w:rPr>
          <w:rFonts w:asciiTheme="majorHAnsi" w:hAnsiTheme="majorHAnsi" w:cstheme="majorHAnsi"/>
          <w:lang w:eastAsia="ko-KR"/>
        </w:rPr>
        <w:t xml:space="preserve">KEIP </w:t>
      </w:r>
      <w:r w:rsidR="00A11CBD" w:rsidRPr="0060082A">
        <w:rPr>
          <w:rFonts w:asciiTheme="majorHAnsi" w:hAnsiTheme="majorHAnsi" w:cstheme="majorHAnsi"/>
          <w:lang w:eastAsia="ko-KR"/>
        </w:rPr>
        <w:t xml:space="preserve">support </w:t>
      </w:r>
      <w:r w:rsidRPr="0060082A">
        <w:rPr>
          <w:rFonts w:asciiTheme="majorHAnsi" w:hAnsiTheme="majorHAnsi" w:cstheme="majorHAnsi"/>
          <w:lang w:eastAsia="ko-KR"/>
        </w:rPr>
        <w:t xml:space="preserve">work in Kiribati. </w:t>
      </w:r>
    </w:p>
    <w:p w14:paraId="1881A983" w14:textId="77777777" w:rsidR="007627F4" w:rsidRPr="00C918BF" w:rsidRDefault="00180909" w:rsidP="00D02244">
      <w:pPr>
        <w:pStyle w:val="Heading2"/>
        <w:rPr>
          <w:color w:val="auto"/>
          <w:spacing w:val="-2"/>
        </w:rPr>
      </w:pPr>
      <w:bookmarkStart w:id="40" w:name="_Toc453669680"/>
      <w:bookmarkStart w:id="41" w:name="_Toc461615689"/>
      <w:r w:rsidRPr="00C918BF">
        <w:rPr>
          <w:color w:val="auto"/>
          <w:spacing w:val="-2"/>
        </w:rPr>
        <w:t>2.1</w:t>
      </w:r>
      <w:r w:rsidR="007627F4" w:rsidRPr="00C918BF">
        <w:rPr>
          <w:color w:val="auto"/>
          <w:spacing w:val="-2"/>
        </w:rPr>
        <w:t xml:space="preserve"> </w:t>
      </w:r>
      <w:r w:rsidR="0039620C" w:rsidRPr="00C918BF">
        <w:rPr>
          <w:color w:val="auto"/>
          <w:spacing w:val="-2"/>
        </w:rPr>
        <w:tab/>
      </w:r>
      <w:r w:rsidR="007627F4" w:rsidRPr="00C918BF">
        <w:rPr>
          <w:color w:val="auto"/>
          <w:spacing w:val="-2"/>
        </w:rPr>
        <w:t>Intermediate Outcome 1: Improved classroom teaching and learning for all children in Years 1-4</w:t>
      </w:r>
      <w:bookmarkEnd w:id="40"/>
      <w:bookmarkEnd w:id="41"/>
    </w:p>
    <w:p w14:paraId="4150D3FE" w14:textId="510154CA" w:rsidR="00B97856" w:rsidRPr="0060082A" w:rsidRDefault="007627F4" w:rsidP="0060082A">
      <w:pPr>
        <w:rPr>
          <w:rFonts w:asciiTheme="majorHAnsi" w:hAnsiTheme="majorHAnsi" w:cstheme="majorHAnsi"/>
        </w:rPr>
      </w:pPr>
      <w:r w:rsidRPr="0060082A">
        <w:rPr>
          <w:rFonts w:asciiTheme="majorHAnsi" w:hAnsiTheme="majorHAnsi" w:cstheme="majorHAnsi"/>
        </w:rPr>
        <w:t xml:space="preserve">KEIP’s support in the key result areas has seen an increase in student attendance and </w:t>
      </w:r>
      <w:r w:rsidR="00A11CBD" w:rsidRPr="0060082A">
        <w:rPr>
          <w:rFonts w:asciiTheme="majorHAnsi" w:hAnsiTheme="majorHAnsi" w:cstheme="majorHAnsi"/>
        </w:rPr>
        <w:t xml:space="preserve">some </w:t>
      </w:r>
      <w:r w:rsidR="0036676E" w:rsidRPr="0060082A">
        <w:rPr>
          <w:rFonts w:asciiTheme="majorHAnsi" w:hAnsiTheme="majorHAnsi" w:cstheme="majorHAnsi"/>
        </w:rPr>
        <w:t xml:space="preserve">improvement in </w:t>
      </w:r>
      <w:r w:rsidRPr="0060082A">
        <w:rPr>
          <w:rFonts w:asciiTheme="majorHAnsi" w:hAnsiTheme="majorHAnsi" w:cstheme="majorHAnsi"/>
        </w:rPr>
        <w:t xml:space="preserve">skills in literacy and numeracy. </w:t>
      </w:r>
      <w:r w:rsidR="00B97856" w:rsidRPr="0060082A">
        <w:rPr>
          <w:rFonts w:asciiTheme="majorHAnsi" w:hAnsiTheme="majorHAnsi" w:cstheme="majorHAnsi"/>
        </w:rPr>
        <w:t xml:space="preserve">KEF </w:t>
      </w:r>
      <w:r w:rsidR="003964E1" w:rsidRPr="0060082A">
        <w:rPr>
          <w:rFonts w:asciiTheme="majorHAnsi" w:hAnsiTheme="majorHAnsi" w:cstheme="majorHAnsi"/>
        </w:rPr>
        <w:t xml:space="preserve">TA </w:t>
      </w:r>
      <w:r w:rsidR="000F32D9" w:rsidRPr="0060082A">
        <w:rPr>
          <w:rFonts w:asciiTheme="majorHAnsi" w:hAnsiTheme="majorHAnsi" w:cstheme="majorHAnsi"/>
        </w:rPr>
        <w:t xml:space="preserve">assisted </w:t>
      </w:r>
      <w:r w:rsidR="00B97856" w:rsidRPr="0060082A">
        <w:rPr>
          <w:rFonts w:asciiTheme="majorHAnsi" w:hAnsiTheme="majorHAnsi" w:cstheme="majorHAnsi"/>
        </w:rPr>
        <w:t xml:space="preserve">through support to KEIP Phase </w:t>
      </w:r>
      <w:r w:rsidR="000A49FE">
        <w:rPr>
          <w:rFonts w:asciiTheme="majorHAnsi" w:hAnsiTheme="majorHAnsi" w:cstheme="majorHAnsi"/>
        </w:rPr>
        <w:t>2</w:t>
      </w:r>
      <w:r w:rsidR="00B97856" w:rsidRPr="0060082A">
        <w:rPr>
          <w:rFonts w:asciiTheme="majorHAnsi" w:hAnsiTheme="majorHAnsi" w:cstheme="majorHAnsi"/>
        </w:rPr>
        <w:t xml:space="preserve"> in three key result areas: across curriculum development; through teacher professional development; and through support to an improved learning environment. </w:t>
      </w:r>
    </w:p>
    <w:p w14:paraId="54E1831A" w14:textId="77777777" w:rsidR="007627F4" w:rsidRPr="00C918BF" w:rsidRDefault="00B716FC" w:rsidP="00D02244">
      <w:pPr>
        <w:pStyle w:val="Heading3"/>
        <w:rPr>
          <w:color w:val="auto"/>
          <w:spacing w:val="-2"/>
          <w:lang w:eastAsia="ko-KR"/>
        </w:rPr>
      </w:pPr>
      <w:bookmarkStart w:id="42" w:name="_Toc453669681"/>
      <w:bookmarkStart w:id="43" w:name="_Toc461615690"/>
      <w:r w:rsidRPr="00C918BF">
        <w:rPr>
          <w:color w:val="auto"/>
          <w:spacing w:val="-2"/>
          <w:lang w:eastAsia="ko-KR"/>
        </w:rPr>
        <w:t>2.1</w:t>
      </w:r>
      <w:r w:rsidR="003A60A5" w:rsidRPr="00C918BF">
        <w:rPr>
          <w:color w:val="auto"/>
          <w:spacing w:val="-2"/>
          <w:lang w:eastAsia="ko-KR"/>
        </w:rPr>
        <w:t>.1</w:t>
      </w:r>
      <w:r w:rsidR="00DB3903" w:rsidRPr="00C918BF">
        <w:rPr>
          <w:color w:val="auto"/>
          <w:spacing w:val="-2"/>
          <w:lang w:eastAsia="ko-KR"/>
        </w:rPr>
        <w:tab/>
      </w:r>
      <w:r w:rsidR="007627F4" w:rsidRPr="00C918BF">
        <w:rPr>
          <w:color w:val="auto"/>
          <w:spacing w:val="-2"/>
          <w:lang w:eastAsia="ko-KR"/>
        </w:rPr>
        <w:t>Output 1.1: All children in Years 1-4 have access to the new curriculum and materials</w:t>
      </w:r>
      <w:bookmarkEnd w:id="42"/>
      <w:bookmarkEnd w:id="43"/>
    </w:p>
    <w:p w14:paraId="6A6F4F63" w14:textId="0251BAB7" w:rsidR="00117C65" w:rsidRPr="0060082A" w:rsidRDefault="00117C65" w:rsidP="0060082A">
      <w:pPr>
        <w:rPr>
          <w:rFonts w:asciiTheme="majorHAnsi" w:hAnsiTheme="majorHAnsi" w:cstheme="majorHAnsi"/>
        </w:rPr>
      </w:pPr>
      <w:r w:rsidRPr="0060082A">
        <w:rPr>
          <w:rFonts w:asciiTheme="majorHAnsi" w:hAnsiTheme="majorHAnsi" w:cstheme="majorHAnsi"/>
        </w:rPr>
        <w:t xml:space="preserve">The Kiribati development context and </w:t>
      </w:r>
      <w:r w:rsidR="0036676E" w:rsidRPr="0060082A">
        <w:rPr>
          <w:rFonts w:asciiTheme="majorHAnsi" w:hAnsiTheme="majorHAnsi" w:cstheme="majorHAnsi"/>
        </w:rPr>
        <w:t xml:space="preserve">unique </w:t>
      </w:r>
      <w:r w:rsidRPr="0060082A">
        <w:rPr>
          <w:rFonts w:asciiTheme="majorHAnsi" w:hAnsiTheme="majorHAnsi" w:cstheme="majorHAnsi"/>
        </w:rPr>
        <w:t xml:space="preserve">challenges presented by </w:t>
      </w:r>
      <w:r w:rsidR="00B33936" w:rsidRPr="0060082A">
        <w:rPr>
          <w:rFonts w:asciiTheme="majorHAnsi" w:hAnsiTheme="majorHAnsi" w:cstheme="majorHAnsi"/>
        </w:rPr>
        <w:t xml:space="preserve">the impact of </w:t>
      </w:r>
      <w:r w:rsidRPr="0060082A">
        <w:rPr>
          <w:rFonts w:asciiTheme="majorHAnsi" w:hAnsiTheme="majorHAnsi" w:cstheme="majorHAnsi"/>
        </w:rPr>
        <w:t>climate change</w:t>
      </w:r>
      <w:r w:rsidR="0036676E" w:rsidRPr="0060082A">
        <w:rPr>
          <w:rFonts w:asciiTheme="majorHAnsi" w:hAnsiTheme="majorHAnsi" w:cstheme="majorHAnsi"/>
        </w:rPr>
        <w:t xml:space="preserve"> </w:t>
      </w:r>
      <w:r w:rsidRPr="0060082A">
        <w:rPr>
          <w:rFonts w:asciiTheme="majorHAnsi" w:hAnsiTheme="majorHAnsi" w:cstheme="majorHAnsi"/>
        </w:rPr>
        <w:t xml:space="preserve">led the GoK to </w:t>
      </w:r>
      <w:r w:rsidR="00B33936" w:rsidRPr="0060082A">
        <w:rPr>
          <w:rFonts w:asciiTheme="majorHAnsi" w:hAnsiTheme="majorHAnsi" w:cstheme="majorHAnsi"/>
        </w:rPr>
        <w:t xml:space="preserve">focus on </w:t>
      </w:r>
      <w:r w:rsidRPr="0060082A">
        <w:rPr>
          <w:rFonts w:asciiTheme="majorHAnsi" w:hAnsiTheme="majorHAnsi" w:cstheme="majorHAnsi"/>
        </w:rPr>
        <w:t>provid</w:t>
      </w:r>
      <w:r w:rsidR="00B33936" w:rsidRPr="0060082A">
        <w:rPr>
          <w:rFonts w:asciiTheme="majorHAnsi" w:hAnsiTheme="majorHAnsi" w:cstheme="majorHAnsi"/>
        </w:rPr>
        <w:t>ing</w:t>
      </w:r>
      <w:r w:rsidRPr="0060082A">
        <w:rPr>
          <w:rFonts w:asciiTheme="majorHAnsi" w:hAnsiTheme="majorHAnsi" w:cstheme="majorHAnsi"/>
        </w:rPr>
        <w:t xml:space="preserve"> greater support to improve </w:t>
      </w:r>
      <w:r w:rsidR="00D70C8B" w:rsidRPr="0060082A">
        <w:rPr>
          <w:rFonts w:asciiTheme="majorHAnsi" w:hAnsiTheme="majorHAnsi" w:cstheme="majorHAnsi"/>
        </w:rPr>
        <w:t>e</w:t>
      </w:r>
      <w:r w:rsidRPr="0060082A">
        <w:rPr>
          <w:rFonts w:asciiTheme="majorHAnsi" w:hAnsiTheme="majorHAnsi" w:cstheme="majorHAnsi"/>
        </w:rPr>
        <w:t xml:space="preserve">ducation services. </w:t>
      </w:r>
      <w:r w:rsidR="003964E1" w:rsidRPr="0060082A">
        <w:rPr>
          <w:rFonts w:asciiTheme="majorHAnsi" w:hAnsiTheme="majorHAnsi" w:cstheme="majorHAnsi"/>
        </w:rPr>
        <w:t>W</w:t>
      </w:r>
      <w:r w:rsidRPr="0060082A">
        <w:rPr>
          <w:rFonts w:asciiTheme="majorHAnsi" w:hAnsiTheme="majorHAnsi" w:cstheme="majorHAnsi"/>
        </w:rPr>
        <w:t xml:space="preserve">ith donor </w:t>
      </w:r>
      <w:r w:rsidR="000F32D9" w:rsidRPr="0060082A">
        <w:rPr>
          <w:rFonts w:asciiTheme="majorHAnsi" w:hAnsiTheme="majorHAnsi" w:cstheme="majorHAnsi"/>
        </w:rPr>
        <w:t xml:space="preserve">support, </w:t>
      </w:r>
      <w:r w:rsidRPr="0060082A">
        <w:rPr>
          <w:rFonts w:asciiTheme="majorHAnsi" w:hAnsiTheme="majorHAnsi" w:cstheme="majorHAnsi"/>
        </w:rPr>
        <w:t xml:space="preserve">the </w:t>
      </w:r>
      <w:r w:rsidR="00B765AC" w:rsidRPr="0060082A">
        <w:rPr>
          <w:rFonts w:asciiTheme="majorHAnsi" w:hAnsiTheme="majorHAnsi" w:cstheme="majorHAnsi"/>
        </w:rPr>
        <w:t>MoE</w:t>
      </w:r>
      <w:r w:rsidRPr="0060082A">
        <w:rPr>
          <w:rFonts w:asciiTheme="majorHAnsi" w:hAnsiTheme="majorHAnsi" w:cstheme="majorHAnsi"/>
        </w:rPr>
        <w:t xml:space="preserve"> has revised its primary curricular content. The curriculum reform is aimed at improving </w:t>
      </w:r>
      <w:r w:rsidR="00530DD1" w:rsidRPr="0060082A">
        <w:rPr>
          <w:rFonts w:asciiTheme="majorHAnsi" w:hAnsiTheme="majorHAnsi" w:cstheme="majorHAnsi"/>
        </w:rPr>
        <w:t xml:space="preserve">basic education </w:t>
      </w:r>
      <w:r w:rsidRPr="0060082A">
        <w:rPr>
          <w:rFonts w:asciiTheme="majorHAnsi" w:hAnsiTheme="majorHAnsi" w:cstheme="majorHAnsi"/>
        </w:rPr>
        <w:t xml:space="preserve">learning outcomes </w:t>
      </w:r>
      <w:r w:rsidR="00530DD1" w:rsidRPr="0060082A">
        <w:rPr>
          <w:rFonts w:asciiTheme="majorHAnsi" w:hAnsiTheme="majorHAnsi" w:cstheme="majorHAnsi"/>
        </w:rPr>
        <w:t>and (ultimately) the opportunities and</w:t>
      </w:r>
      <w:r w:rsidR="003964E1" w:rsidRPr="0060082A">
        <w:rPr>
          <w:rFonts w:asciiTheme="majorHAnsi" w:hAnsiTheme="majorHAnsi" w:cstheme="majorHAnsi"/>
        </w:rPr>
        <w:t xml:space="preserve"> improved</w:t>
      </w:r>
      <w:r w:rsidR="00530DD1" w:rsidRPr="0060082A">
        <w:rPr>
          <w:rFonts w:asciiTheme="majorHAnsi" w:hAnsiTheme="majorHAnsi" w:cstheme="majorHAnsi"/>
        </w:rPr>
        <w:t xml:space="preserve"> life skills available to JSS graduates</w:t>
      </w:r>
      <w:r w:rsidRPr="0060082A">
        <w:rPr>
          <w:rFonts w:asciiTheme="majorHAnsi" w:hAnsiTheme="majorHAnsi" w:cstheme="majorHAnsi"/>
        </w:rPr>
        <w:t xml:space="preserve">. </w:t>
      </w:r>
      <w:r w:rsidR="006C528A" w:rsidRPr="0060082A">
        <w:rPr>
          <w:rFonts w:asciiTheme="majorHAnsi" w:hAnsiTheme="majorHAnsi" w:cstheme="majorHAnsi"/>
        </w:rPr>
        <w:t>This includes</w:t>
      </w:r>
      <w:r w:rsidR="006D2DD8" w:rsidRPr="0060082A">
        <w:rPr>
          <w:rFonts w:asciiTheme="majorHAnsi" w:hAnsiTheme="majorHAnsi" w:cstheme="majorHAnsi"/>
        </w:rPr>
        <w:t xml:space="preserve"> addressing</w:t>
      </w:r>
      <w:r w:rsidR="006C528A" w:rsidRPr="0060082A">
        <w:rPr>
          <w:rFonts w:asciiTheme="majorHAnsi" w:hAnsiTheme="majorHAnsi" w:cstheme="majorHAnsi"/>
        </w:rPr>
        <w:t xml:space="preserve"> differences in school achievement between schools. </w:t>
      </w:r>
      <w:r w:rsidRPr="0060082A">
        <w:rPr>
          <w:rFonts w:asciiTheme="majorHAnsi" w:hAnsiTheme="majorHAnsi" w:cstheme="majorHAnsi"/>
        </w:rPr>
        <w:t xml:space="preserve">Curriculum is fundamental to the teaching and learning processes and its various </w:t>
      </w:r>
      <w:r w:rsidR="003964E1" w:rsidRPr="0060082A">
        <w:rPr>
          <w:rFonts w:asciiTheme="majorHAnsi" w:hAnsiTheme="majorHAnsi" w:cstheme="majorHAnsi"/>
        </w:rPr>
        <w:t>elements</w:t>
      </w:r>
      <w:r w:rsidRPr="0060082A">
        <w:rPr>
          <w:rFonts w:asciiTheme="majorHAnsi" w:hAnsiTheme="majorHAnsi" w:cstheme="majorHAnsi"/>
        </w:rPr>
        <w:t xml:space="preserve"> have wide-ranging consequences on the quality of education</w:t>
      </w:r>
      <w:r w:rsidR="003964E1" w:rsidRPr="0060082A">
        <w:rPr>
          <w:rFonts w:asciiTheme="majorHAnsi" w:hAnsiTheme="majorHAnsi" w:cstheme="majorHAnsi"/>
        </w:rPr>
        <w:t>, in access and in the assessment</w:t>
      </w:r>
      <w:r w:rsidRPr="0060082A">
        <w:rPr>
          <w:rFonts w:asciiTheme="majorHAnsi" w:hAnsiTheme="majorHAnsi" w:cstheme="majorHAnsi"/>
        </w:rPr>
        <w:t xml:space="preserve">. </w:t>
      </w:r>
    </w:p>
    <w:p w14:paraId="461C2340" w14:textId="38B5077B" w:rsidR="00117C65" w:rsidRPr="0060082A" w:rsidRDefault="00117C65" w:rsidP="0060082A">
      <w:pPr>
        <w:rPr>
          <w:rFonts w:asciiTheme="majorHAnsi" w:hAnsiTheme="majorHAnsi" w:cstheme="majorHAnsi"/>
        </w:rPr>
      </w:pPr>
      <w:r w:rsidRPr="0060082A">
        <w:rPr>
          <w:rFonts w:asciiTheme="majorHAnsi" w:hAnsiTheme="majorHAnsi" w:cstheme="majorHAnsi"/>
        </w:rPr>
        <w:t xml:space="preserve">Australia’s investment through KEF has supported the </w:t>
      </w:r>
      <w:r w:rsidR="00B765AC" w:rsidRPr="0060082A">
        <w:rPr>
          <w:rFonts w:asciiTheme="majorHAnsi" w:hAnsiTheme="majorHAnsi" w:cstheme="majorHAnsi"/>
        </w:rPr>
        <w:t>MoE</w:t>
      </w:r>
      <w:r w:rsidR="003964E1" w:rsidRPr="0060082A">
        <w:rPr>
          <w:rFonts w:asciiTheme="majorHAnsi" w:hAnsiTheme="majorHAnsi" w:cstheme="majorHAnsi"/>
        </w:rPr>
        <w:t>’s</w:t>
      </w:r>
      <w:r w:rsidRPr="0060082A">
        <w:rPr>
          <w:rFonts w:asciiTheme="majorHAnsi" w:hAnsiTheme="majorHAnsi" w:cstheme="majorHAnsi"/>
        </w:rPr>
        <w:t xml:space="preserve"> Curriculum Development Resource Centre (CDRC) </w:t>
      </w:r>
      <w:r w:rsidR="003964E1" w:rsidRPr="0060082A">
        <w:rPr>
          <w:rFonts w:asciiTheme="majorHAnsi" w:hAnsiTheme="majorHAnsi" w:cstheme="majorHAnsi"/>
        </w:rPr>
        <w:t xml:space="preserve">staff </w:t>
      </w:r>
      <w:r w:rsidRPr="0060082A">
        <w:rPr>
          <w:rFonts w:asciiTheme="majorHAnsi" w:hAnsiTheme="majorHAnsi" w:cstheme="majorHAnsi"/>
        </w:rPr>
        <w:t xml:space="preserve">with technical expertise to enable </w:t>
      </w:r>
      <w:r w:rsidR="003964E1" w:rsidRPr="0060082A">
        <w:rPr>
          <w:rFonts w:asciiTheme="majorHAnsi" w:hAnsiTheme="majorHAnsi" w:cstheme="majorHAnsi"/>
        </w:rPr>
        <w:t xml:space="preserve">their </w:t>
      </w:r>
      <w:r w:rsidRPr="0060082A">
        <w:rPr>
          <w:rFonts w:asciiTheme="majorHAnsi" w:hAnsiTheme="majorHAnsi" w:cstheme="majorHAnsi"/>
        </w:rPr>
        <w:t xml:space="preserve">staff to </w:t>
      </w:r>
      <w:r w:rsidR="003964E1" w:rsidRPr="0060082A">
        <w:rPr>
          <w:rFonts w:asciiTheme="majorHAnsi" w:hAnsiTheme="majorHAnsi" w:cstheme="majorHAnsi"/>
        </w:rPr>
        <w:t xml:space="preserve">better </w:t>
      </w:r>
      <w:r w:rsidRPr="0060082A">
        <w:rPr>
          <w:rFonts w:asciiTheme="majorHAnsi" w:hAnsiTheme="majorHAnsi" w:cstheme="majorHAnsi"/>
        </w:rPr>
        <w:t xml:space="preserve">understand curriculum design, become familiar with macro and micro level planning and to establish a process for student assessment and evaluation of learning outcomes. This output resulted in 100% of primary schools implementing </w:t>
      </w:r>
      <w:r w:rsidR="00D70C8B" w:rsidRPr="0060082A">
        <w:rPr>
          <w:rFonts w:asciiTheme="majorHAnsi" w:hAnsiTheme="majorHAnsi" w:cstheme="majorHAnsi"/>
        </w:rPr>
        <w:t xml:space="preserve">the </w:t>
      </w:r>
      <w:r w:rsidRPr="0060082A">
        <w:rPr>
          <w:rFonts w:asciiTheme="majorHAnsi" w:hAnsiTheme="majorHAnsi" w:cstheme="majorHAnsi"/>
        </w:rPr>
        <w:t>new curriculum for Years 1</w:t>
      </w:r>
      <w:r w:rsidR="000F32D9" w:rsidRPr="0060082A">
        <w:rPr>
          <w:rFonts w:asciiTheme="majorHAnsi" w:hAnsiTheme="majorHAnsi" w:cstheme="majorHAnsi"/>
        </w:rPr>
        <w:t xml:space="preserve"> </w:t>
      </w:r>
      <w:r w:rsidRPr="0060082A">
        <w:rPr>
          <w:rFonts w:asciiTheme="majorHAnsi" w:hAnsiTheme="majorHAnsi" w:cstheme="majorHAnsi"/>
        </w:rPr>
        <w:t xml:space="preserve">- 4. The new curriculum </w:t>
      </w:r>
      <w:r w:rsidR="003964E1" w:rsidRPr="0060082A">
        <w:rPr>
          <w:rFonts w:asciiTheme="majorHAnsi" w:hAnsiTheme="majorHAnsi" w:cstheme="majorHAnsi"/>
        </w:rPr>
        <w:t xml:space="preserve">also </w:t>
      </w:r>
      <w:r w:rsidRPr="0060082A">
        <w:rPr>
          <w:rFonts w:asciiTheme="majorHAnsi" w:hAnsiTheme="majorHAnsi" w:cstheme="majorHAnsi"/>
        </w:rPr>
        <w:t xml:space="preserve">addresses gender and disability dimensions by promoting inclusivity, as well as integrating healthy living, </w:t>
      </w:r>
      <w:r w:rsidR="000F32D9" w:rsidRPr="0060082A">
        <w:rPr>
          <w:rFonts w:asciiTheme="majorHAnsi" w:hAnsiTheme="majorHAnsi" w:cstheme="majorHAnsi"/>
        </w:rPr>
        <w:t xml:space="preserve">with </w:t>
      </w:r>
      <w:r w:rsidRPr="0060082A">
        <w:rPr>
          <w:rFonts w:asciiTheme="majorHAnsi" w:hAnsiTheme="majorHAnsi" w:cstheme="majorHAnsi"/>
        </w:rPr>
        <w:t xml:space="preserve">early </w:t>
      </w:r>
      <w:r w:rsidR="000D0FF4" w:rsidRPr="0060082A">
        <w:rPr>
          <w:rFonts w:asciiTheme="majorHAnsi" w:hAnsiTheme="majorHAnsi" w:cstheme="majorHAnsi"/>
        </w:rPr>
        <w:t>years</w:t>
      </w:r>
      <w:r w:rsidRPr="0060082A">
        <w:rPr>
          <w:rFonts w:asciiTheme="majorHAnsi" w:hAnsiTheme="majorHAnsi" w:cstheme="majorHAnsi"/>
        </w:rPr>
        <w:t xml:space="preserve"> literacy and numeracy content in Te-Kiribati and </w:t>
      </w:r>
      <w:r w:rsidR="003964E1" w:rsidRPr="0060082A">
        <w:rPr>
          <w:rFonts w:asciiTheme="majorHAnsi" w:hAnsiTheme="majorHAnsi" w:cstheme="majorHAnsi"/>
        </w:rPr>
        <w:t xml:space="preserve">in </w:t>
      </w:r>
      <w:r w:rsidRPr="0060082A">
        <w:rPr>
          <w:rFonts w:asciiTheme="majorHAnsi" w:hAnsiTheme="majorHAnsi" w:cstheme="majorHAnsi"/>
        </w:rPr>
        <w:t xml:space="preserve">English. Through the adoption of a </w:t>
      </w:r>
      <w:r w:rsidR="00D97955" w:rsidRPr="0060082A">
        <w:rPr>
          <w:rFonts w:asciiTheme="majorHAnsi" w:hAnsiTheme="majorHAnsi" w:cstheme="majorHAnsi"/>
        </w:rPr>
        <w:t xml:space="preserve">more </w:t>
      </w:r>
      <w:r w:rsidRPr="0060082A">
        <w:rPr>
          <w:rFonts w:asciiTheme="majorHAnsi" w:hAnsiTheme="majorHAnsi" w:cstheme="majorHAnsi"/>
        </w:rPr>
        <w:t>learner-centred approach</w:t>
      </w:r>
      <w:r w:rsidR="00B33936" w:rsidRPr="0060082A">
        <w:rPr>
          <w:rFonts w:asciiTheme="majorHAnsi" w:hAnsiTheme="majorHAnsi" w:cstheme="majorHAnsi"/>
        </w:rPr>
        <w:t>,</w:t>
      </w:r>
      <w:r w:rsidRPr="0060082A">
        <w:rPr>
          <w:rFonts w:asciiTheme="majorHAnsi" w:hAnsiTheme="majorHAnsi" w:cstheme="majorHAnsi"/>
        </w:rPr>
        <w:t xml:space="preserve"> the new curriculum reform has </w:t>
      </w:r>
      <w:r w:rsidR="003964E1" w:rsidRPr="0060082A">
        <w:rPr>
          <w:rFonts w:asciiTheme="majorHAnsi" w:hAnsiTheme="majorHAnsi" w:cstheme="majorHAnsi"/>
        </w:rPr>
        <w:t xml:space="preserve">improved teaching practice, as </w:t>
      </w:r>
      <w:r w:rsidRPr="0060082A">
        <w:rPr>
          <w:rFonts w:asciiTheme="majorHAnsi" w:hAnsiTheme="majorHAnsi" w:cstheme="majorHAnsi"/>
        </w:rPr>
        <w:t>acknowledged locally by senior Ministry staff, school leaders and teachers.</w:t>
      </w:r>
    </w:p>
    <w:p w14:paraId="4081205F" w14:textId="205E603C" w:rsidR="00117C65" w:rsidRPr="0060082A" w:rsidRDefault="00DE1CB5" w:rsidP="0060082A">
      <w:pPr>
        <w:rPr>
          <w:rFonts w:asciiTheme="majorHAnsi" w:hAnsiTheme="majorHAnsi" w:cstheme="majorHAnsi"/>
        </w:rPr>
      </w:pPr>
      <w:r w:rsidRPr="0060082A">
        <w:rPr>
          <w:rFonts w:asciiTheme="majorHAnsi" w:hAnsiTheme="majorHAnsi" w:cstheme="majorHAnsi"/>
        </w:rPr>
        <w:t xml:space="preserve">The process commenced in 2011, when the Education Advisory Committee and GoK Cabinet endorsed the National Curriculum Assessment Framework (NCAF). </w:t>
      </w:r>
      <w:r w:rsidR="00117C65" w:rsidRPr="0060082A">
        <w:rPr>
          <w:rFonts w:asciiTheme="majorHAnsi" w:hAnsiTheme="majorHAnsi" w:cstheme="majorHAnsi"/>
        </w:rPr>
        <w:t>The NCAF is inclusive of gender and disability dimensions and was the first of its kind for Kiribati</w:t>
      </w:r>
      <w:r w:rsidR="00D70C8B" w:rsidRPr="0060082A">
        <w:rPr>
          <w:rFonts w:asciiTheme="majorHAnsi" w:hAnsiTheme="majorHAnsi" w:cstheme="majorHAnsi"/>
        </w:rPr>
        <w:t xml:space="preserve">, </w:t>
      </w:r>
      <w:r w:rsidR="00117C65" w:rsidRPr="0060082A">
        <w:rPr>
          <w:rFonts w:asciiTheme="majorHAnsi" w:hAnsiTheme="majorHAnsi" w:cstheme="majorHAnsi"/>
        </w:rPr>
        <w:t xml:space="preserve">a major step towards a coherent and relevant curriculum. Kiribati’s development partners </w:t>
      </w:r>
      <w:r w:rsidR="003964E1" w:rsidRPr="0060082A">
        <w:rPr>
          <w:rFonts w:asciiTheme="majorHAnsi" w:hAnsiTheme="majorHAnsi" w:cstheme="majorHAnsi"/>
        </w:rPr>
        <w:t>(</w:t>
      </w:r>
      <w:r w:rsidR="00117C65" w:rsidRPr="0060082A">
        <w:rPr>
          <w:rFonts w:asciiTheme="majorHAnsi" w:hAnsiTheme="majorHAnsi" w:cstheme="majorHAnsi"/>
        </w:rPr>
        <w:t xml:space="preserve">in particular, </w:t>
      </w:r>
      <w:r w:rsidR="00580763" w:rsidRPr="0060082A">
        <w:rPr>
          <w:rFonts w:asciiTheme="majorHAnsi" w:hAnsiTheme="majorHAnsi" w:cstheme="majorHAnsi"/>
        </w:rPr>
        <w:t>DFAT</w:t>
      </w:r>
      <w:r w:rsidR="00C603D3" w:rsidRPr="0060082A">
        <w:rPr>
          <w:rFonts w:asciiTheme="majorHAnsi" w:hAnsiTheme="majorHAnsi" w:cstheme="majorHAnsi"/>
        </w:rPr>
        <w:t>)</w:t>
      </w:r>
      <w:r w:rsidR="006E6B10" w:rsidRPr="0060082A">
        <w:rPr>
          <w:rFonts w:asciiTheme="majorHAnsi" w:hAnsiTheme="majorHAnsi" w:cstheme="majorHAnsi"/>
        </w:rPr>
        <w:t xml:space="preserve"> </w:t>
      </w:r>
      <w:r w:rsidR="00916DE6" w:rsidRPr="0060082A">
        <w:rPr>
          <w:rFonts w:asciiTheme="majorHAnsi" w:hAnsiTheme="majorHAnsi" w:cstheme="majorHAnsi"/>
        </w:rPr>
        <w:t xml:space="preserve">supported </w:t>
      </w:r>
      <w:r w:rsidR="00117C65" w:rsidRPr="0060082A">
        <w:rPr>
          <w:rFonts w:asciiTheme="majorHAnsi" w:hAnsiTheme="majorHAnsi" w:cstheme="majorHAnsi"/>
        </w:rPr>
        <w:t>preparation of the Framework.</w:t>
      </w:r>
      <w:r w:rsidR="00D70C8B" w:rsidRPr="0060082A">
        <w:rPr>
          <w:rFonts w:asciiTheme="majorHAnsi" w:hAnsiTheme="majorHAnsi" w:cstheme="majorHAnsi"/>
        </w:rPr>
        <w:t xml:space="preserve"> </w:t>
      </w:r>
      <w:r w:rsidR="00117C65" w:rsidRPr="0060082A">
        <w:rPr>
          <w:rFonts w:asciiTheme="majorHAnsi" w:hAnsiTheme="majorHAnsi" w:cstheme="majorHAnsi"/>
        </w:rPr>
        <w:t>With the approval of the NCAF and with support from KEF</w:t>
      </w:r>
      <w:r w:rsidR="003964E1" w:rsidRPr="0060082A">
        <w:rPr>
          <w:rFonts w:asciiTheme="majorHAnsi" w:hAnsiTheme="majorHAnsi" w:cstheme="majorHAnsi"/>
        </w:rPr>
        <w:t>,</w:t>
      </w:r>
      <w:r w:rsidR="00117C65" w:rsidRPr="0060082A">
        <w:rPr>
          <w:rFonts w:asciiTheme="majorHAnsi" w:hAnsiTheme="majorHAnsi" w:cstheme="majorHAnsi"/>
        </w:rPr>
        <w:t xml:space="preserve"> the CDRC developed a comprehensive rollout plan for development and implementation of the school curriculu</w:t>
      </w:r>
      <w:r w:rsidR="00D70C8B" w:rsidRPr="0060082A">
        <w:rPr>
          <w:rFonts w:asciiTheme="majorHAnsi" w:hAnsiTheme="majorHAnsi" w:cstheme="majorHAnsi"/>
        </w:rPr>
        <w:t xml:space="preserve">m for basic education. Over </w:t>
      </w:r>
      <w:r w:rsidR="00117C65" w:rsidRPr="0060082A">
        <w:rPr>
          <w:rFonts w:asciiTheme="majorHAnsi" w:hAnsiTheme="majorHAnsi" w:cstheme="majorHAnsi"/>
        </w:rPr>
        <w:t xml:space="preserve">four years (2012-2015) the CDRC </w:t>
      </w:r>
      <w:r w:rsidR="00D70C8B" w:rsidRPr="0060082A">
        <w:rPr>
          <w:rFonts w:asciiTheme="majorHAnsi" w:hAnsiTheme="majorHAnsi" w:cstheme="majorHAnsi"/>
        </w:rPr>
        <w:t>(</w:t>
      </w:r>
      <w:r w:rsidR="00117C65" w:rsidRPr="0060082A">
        <w:rPr>
          <w:rFonts w:asciiTheme="majorHAnsi" w:hAnsiTheme="majorHAnsi" w:cstheme="majorHAnsi"/>
        </w:rPr>
        <w:t>with con</w:t>
      </w:r>
      <w:r w:rsidR="00D97955" w:rsidRPr="0060082A">
        <w:rPr>
          <w:rFonts w:asciiTheme="majorHAnsi" w:hAnsiTheme="majorHAnsi" w:cstheme="majorHAnsi"/>
        </w:rPr>
        <w:t xml:space="preserve">tinuous </w:t>
      </w:r>
      <w:r w:rsidR="003964E1" w:rsidRPr="0060082A">
        <w:rPr>
          <w:rFonts w:asciiTheme="majorHAnsi" w:hAnsiTheme="majorHAnsi" w:cstheme="majorHAnsi"/>
        </w:rPr>
        <w:t>TA</w:t>
      </w:r>
      <w:r w:rsidR="006E6B10" w:rsidRPr="0060082A">
        <w:rPr>
          <w:rFonts w:asciiTheme="majorHAnsi" w:hAnsiTheme="majorHAnsi" w:cstheme="majorHAnsi"/>
        </w:rPr>
        <w:t xml:space="preserve"> </w:t>
      </w:r>
      <w:r w:rsidR="00117C65" w:rsidRPr="0060082A">
        <w:rPr>
          <w:rFonts w:asciiTheme="majorHAnsi" w:hAnsiTheme="majorHAnsi" w:cstheme="majorHAnsi"/>
        </w:rPr>
        <w:t>support</w:t>
      </w:r>
      <w:r w:rsidR="00D70C8B" w:rsidRPr="0060082A">
        <w:rPr>
          <w:rFonts w:asciiTheme="majorHAnsi" w:hAnsiTheme="majorHAnsi" w:cstheme="majorHAnsi"/>
        </w:rPr>
        <w:t xml:space="preserve">) </w:t>
      </w:r>
      <w:r w:rsidR="00117C65" w:rsidRPr="0060082A">
        <w:rPr>
          <w:rFonts w:asciiTheme="majorHAnsi" w:hAnsiTheme="majorHAnsi" w:cstheme="majorHAnsi"/>
        </w:rPr>
        <w:t>developed and produced a renewed curriculum and supporting resources for Years 1-</w:t>
      </w:r>
      <w:r w:rsidR="0057623D" w:rsidRPr="0060082A">
        <w:rPr>
          <w:rFonts w:asciiTheme="majorHAnsi" w:hAnsiTheme="majorHAnsi" w:cstheme="majorHAnsi"/>
        </w:rPr>
        <w:t>4</w:t>
      </w:r>
      <w:r w:rsidR="00B33936" w:rsidRPr="0060082A">
        <w:rPr>
          <w:rFonts w:asciiTheme="majorHAnsi" w:hAnsiTheme="majorHAnsi" w:cstheme="majorHAnsi"/>
        </w:rPr>
        <w:t>.</w:t>
      </w:r>
      <w:r w:rsidR="0057623D" w:rsidRPr="0060082A">
        <w:rPr>
          <w:rStyle w:val="FootnoteReference"/>
          <w:rFonts w:asciiTheme="majorHAnsi" w:hAnsiTheme="majorHAnsi" w:cstheme="majorHAnsi"/>
          <w:b/>
          <w:spacing w:val="-2"/>
        </w:rPr>
        <w:footnoteReference w:id="11"/>
      </w:r>
    </w:p>
    <w:p w14:paraId="34C3B959" w14:textId="103BD38C" w:rsidR="00117C65" w:rsidRPr="0060082A" w:rsidRDefault="00117C65" w:rsidP="0060082A">
      <w:pPr>
        <w:rPr>
          <w:rFonts w:asciiTheme="majorHAnsi" w:hAnsiTheme="majorHAnsi" w:cstheme="majorHAnsi"/>
        </w:rPr>
      </w:pPr>
      <w:r w:rsidRPr="0060082A">
        <w:rPr>
          <w:rFonts w:asciiTheme="majorHAnsi" w:hAnsiTheme="majorHAnsi" w:cstheme="majorHAnsi"/>
        </w:rPr>
        <w:t xml:space="preserve">The curriculum for Years 1-4 provides teachers with </w:t>
      </w:r>
      <w:r w:rsidR="000F32D9" w:rsidRPr="0060082A">
        <w:rPr>
          <w:rFonts w:asciiTheme="majorHAnsi" w:hAnsiTheme="majorHAnsi" w:cstheme="majorHAnsi"/>
        </w:rPr>
        <w:t xml:space="preserve">quality </w:t>
      </w:r>
      <w:r w:rsidRPr="0060082A">
        <w:rPr>
          <w:rFonts w:asciiTheme="majorHAnsi" w:hAnsiTheme="majorHAnsi" w:cstheme="majorHAnsi"/>
        </w:rPr>
        <w:t>curriculum materials.</w:t>
      </w:r>
      <w:r w:rsidR="00D70C8B" w:rsidRPr="0060082A">
        <w:rPr>
          <w:rFonts w:asciiTheme="majorHAnsi" w:hAnsiTheme="majorHAnsi" w:cstheme="majorHAnsi"/>
        </w:rPr>
        <w:t xml:space="preserve"> </w:t>
      </w:r>
      <w:r w:rsidRPr="0060082A">
        <w:rPr>
          <w:rFonts w:asciiTheme="majorHAnsi" w:hAnsiTheme="majorHAnsi" w:cstheme="majorHAnsi"/>
        </w:rPr>
        <w:t>The curriculum has been developed to provide students with the opportunity to be proficient and confident in communicating in Te</w:t>
      </w:r>
      <w:r w:rsidR="00B33936" w:rsidRPr="0060082A">
        <w:rPr>
          <w:rFonts w:asciiTheme="majorHAnsi" w:hAnsiTheme="majorHAnsi" w:cstheme="majorHAnsi"/>
        </w:rPr>
        <w:t>-</w:t>
      </w:r>
      <w:r w:rsidRPr="0060082A">
        <w:rPr>
          <w:rFonts w:asciiTheme="majorHAnsi" w:hAnsiTheme="majorHAnsi" w:cstheme="majorHAnsi"/>
        </w:rPr>
        <w:t>Kiribati and English in a variety of situations.</w:t>
      </w:r>
      <w:r w:rsidR="003964E1" w:rsidRPr="0060082A">
        <w:rPr>
          <w:rFonts w:asciiTheme="majorHAnsi" w:hAnsiTheme="majorHAnsi" w:cstheme="majorHAnsi"/>
        </w:rPr>
        <w:t xml:space="preserve"> The </w:t>
      </w:r>
      <w:r w:rsidRPr="0060082A">
        <w:rPr>
          <w:rFonts w:asciiTheme="majorHAnsi" w:hAnsiTheme="majorHAnsi" w:cstheme="majorHAnsi"/>
        </w:rPr>
        <w:t>new school curriculum promotes use of Te</w:t>
      </w:r>
      <w:r w:rsidR="00B33936" w:rsidRPr="0060082A">
        <w:rPr>
          <w:rFonts w:asciiTheme="majorHAnsi" w:hAnsiTheme="majorHAnsi" w:cstheme="majorHAnsi"/>
        </w:rPr>
        <w:t>-</w:t>
      </w:r>
      <w:r w:rsidRPr="0060082A">
        <w:rPr>
          <w:rFonts w:asciiTheme="majorHAnsi" w:hAnsiTheme="majorHAnsi" w:cstheme="majorHAnsi"/>
        </w:rPr>
        <w:t>Kiribati and English languages for transmission of knowledge, values and culture</w:t>
      </w:r>
      <w:r w:rsidR="00B33936" w:rsidRPr="0060082A">
        <w:rPr>
          <w:rFonts w:asciiTheme="majorHAnsi" w:hAnsiTheme="majorHAnsi" w:cstheme="majorHAnsi"/>
        </w:rPr>
        <w:t>.</w:t>
      </w:r>
      <w:r w:rsidR="00D97955" w:rsidRPr="0060082A">
        <w:rPr>
          <w:rStyle w:val="FootnoteReference"/>
          <w:rFonts w:asciiTheme="majorHAnsi" w:hAnsiTheme="majorHAnsi" w:cstheme="majorHAnsi"/>
          <w:b/>
          <w:spacing w:val="-2"/>
        </w:rPr>
        <w:footnoteReference w:id="12"/>
      </w:r>
    </w:p>
    <w:p w14:paraId="53AA6731" w14:textId="4153DBD7" w:rsidR="00117C65" w:rsidRPr="0060082A" w:rsidRDefault="00117C65" w:rsidP="0060082A">
      <w:pPr>
        <w:rPr>
          <w:rFonts w:asciiTheme="majorHAnsi" w:hAnsiTheme="majorHAnsi" w:cstheme="majorHAnsi"/>
        </w:rPr>
      </w:pPr>
      <w:r w:rsidRPr="0060082A">
        <w:rPr>
          <w:rFonts w:asciiTheme="majorHAnsi" w:hAnsiTheme="majorHAnsi" w:cstheme="majorHAnsi"/>
        </w:rPr>
        <w:lastRenderedPageBreak/>
        <w:t>The curriculum applies to all schools in Kiribati, both</w:t>
      </w:r>
      <w:r w:rsidR="00001C6D" w:rsidRPr="0060082A">
        <w:rPr>
          <w:rFonts w:asciiTheme="majorHAnsi" w:hAnsiTheme="majorHAnsi" w:cstheme="majorHAnsi"/>
        </w:rPr>
        <w:t xml:space="preserve"> government and private schools</w:t>
      </w:r>
      <w:r w:rsidRPr="0060082A">
        <w:rPr>
          <w:rFonts w:asciiTheme="majorHAnsi" w:hAnsiTheme="majorHAnsi" w:cstheme="majorHAnsi"/>
        </w:rPr>
        <w:t>,</w:t>
      </w:r>
      <w:r w:rsidR="00001C6D" w:rsidRPr="0060082A">
        <w:rPr>
          <w:rFonts w:asciiTheme="majorHAnsi" w:hAnsiTheme="majorHAnsi" w:cstheme="majorHAnsi"/>
        </w:rPr>
        <w:t xml:space="preserve"> including</w:t>
      </w:r>
      <w:r w:rsidRPr="0060082A">
        <w:rPr>
          <w:rFonts w:asciiTheme="majorHAnsi" w:hAnsiTheme="majorHAnsi" w:cstheme="majorHAnsi"/>
        </w:rPr>
        <w:t xml:space="preserve"> the School and Centre for Children with Special Needs (SCCSN), with efforts to have the school registered and teachers trained at KTC.</w:t>
      </w:r>
      <w:r w:rsidR="00D70C8B" w:rsidRPr="0060082A">
        <w:rPr>
          <w:rFonts w:asciiTheme="majorHAnsi" w:hAnsiTheme="majorHAnsi" w:cstheme="majorHAnsi"/>
        </w:rPr>
        <w:t xml:space="preserve"> </w:t>
      </w:r>
      <w:r w:rsidRPr="0060082A">
        <w:rPr>
          <w:rFonts w:asciiTheme="majorHAnsi" w:hAnsiTheme="majorHAnsi" w:cstheme="majorHAnsi"/>
        </w:rPr>
        <w:t xml:space="preserve">Difficulties with </w:t>
      </w:r>
      <w:r w:rsidR="00B33936" w:rsidRPr="0060082A">
        <w:rPr>
          <w:rFonts w:asciiTheme="majorHAnsi" w:hAnsiTheme="majorHAnsi" w:cstheme="majorHAnsi"/>
        </w:rPr>
        <w:t>MoE</w:t>
      </w:r>
      <w:r w:rsidR="003964E1" w:rsidRPr="0060082A">
        <w:rPr>
          <w:rFonts w:asciiTheme="majorHAnsi" w:hAnsiTheme="majorHAnsi" w:cstheme="majorHAnsi"/>
        </w:rPr>
        <w:t>’s</w:t>
      </w:r>
      <w:r w:rsidR="00B33936" w:rsidRPr="0060082A">
        <w:rPr>
          <w:rFonts w:asciiTheme="majorHAnsi" w:hAnsiTheme="majorHAnsi" w:cstheme="majorHAnsi"/>
        </w:rPr>
        <w:t xml:space="preserve"> </w:t>
      </w:r>
      <w:r w:rsidRPr="0060082A">
        <w:rPr>
          <w:rFonts w:asciiTheme="majorHAnsi" w:hAnsiTheme="majorHAnsi" w:cstheme="majorHAnsi"/>
        </w:rPr>
        <w:t xml:space="preserve">printing and distribution of curriculum materials and </w:t>
      </w:r>
      <w:r w:rsidR="00530DD1" w:rsidRPr="0060082A">
        <w:rPr>
          <w:rFonts w:asciiTheme="majorHAnsi" w:hAnsiTheme="majorHAnsi" w:cstheme="majorHAnsi"/>
        </w:rPr>
        <w:t xml:space="preserve">student learning </w:t>
      </w:r>
      <w:r w:rsidRPr="0060082A">
        <w:rPr>
          <w:rFonts w:asciiTheme="majorHAnsi" w:hAnsiTheme="majorHAnsi" w:cstheme="majorHAnsi"/>
        </w:rPr>
        <w:t xml:space="preserve">resources across the </w:t>
      </w:r>
      <w:r w:rsidR="00530DD1" w:rsidRPr="0060082A">
        <w:rPr>
          <w:rFonts w:asciiTheme="majorHAnsi" w:hAnsiTheme="majorHAnsi" w:cstheme="majorHAnsi"/>
        </w:rPr>
        <w:t>nation were</w:t>
      </w:r>
      <w:r w:rsidR="00612FB4" w:rsidRPr="0060082A">
        <w:rPr>
          <w:rFonts w:asciiTheme="majorHAnsi" w:hAnsiTheme="majorHAnsi" w:cstheme="majorHAnsi"/>
        </w:rPr>
        <w:t xml:space="preserve"> </w:t>
      </w:r>
      <w:r w:rsidRPr="0060082A">
        <w:rPr>
          <w:rFonts w:asciiTheme="majorHAnsi" w:hAnsiTheme="majorHAnsi" w:cstheme="majorHAnsi"/>
        </w:rPr>
        <w:t>addressed and</w:t>
      </w:r>
      <w:r w:rsidR="00612FB4" w:rsidRPr="0060082A">
        <w:rPr>
          <w:rFonts w:asciiTheme="majorHAnsi" w:hAnsiTheme="majorHAnsi" w:cstheme="majorHAnsi"/>
        </w:rPr>
        <w:t xml:space="preserve"> </w:t>
      </w:r>
      <w:r w:rsidR="00530DD1" w:rsidRPr="0060082A">
        <w:rPr>
          <w:rFonts w:asciiTheme="majorHAnsi" w:hAnsiTheme="majorHAnsi" w:cstheme="majorHAnsi"/>
        </w:rPr>
        <w:t xml:space="preserve">somewhat </w:t>
      </w:r>
      <w:r w:rsidRPr="0060082A">
        <w:rPr>
          <w:rFonts w:asciiTheme="majorHAnsi" w:hAnsiTheme="majorHAnsi" w:cstheme="majorHAnsi"/>
        </w:rPr>
        <w:t>improved.</w:t>
      </w:r>
      <w:r w:rsidR="00530DD1" w:rsidRPr="0060082A">
        <w:rPr>
          <w:rFonts w:asciiTheme="majorHAnsi" w:hAnsiTheme="majorHAnsi" w:cstheme="majorHAnsi"/>
        </w:rPr>
        <w:t xml:space="preserve"> </w:t>
      </w:r>
      <w:r w:rsidR="00916DE6" w:rsidRPr="0060082A">
        <w:rPr>
          <w:rFonts w:asciiTheme="majorHAnsi" w:hAnsiTheme="majorHAnsi" w:cstheme="majorHAnsi"/>
        </w:rPr>
        <w:t xml:space="preserve">With </w:t>
      </w:r>
      <w:r w:rsidR="00530DD1" w:rsidRPr="0060082A">
        <w:rPr>
          <w:rFonts w:asciiTheme="majorHAnsi" w:hAnsiTheme="majorHAnsi" w:cstheme="majorHAnsi"/>
        </w:rPr>
        <w:t xml:space="preserve">complex logistics and available delivery options available for supplying Kiribati schools, the </w:t>
      </w:r>
      <w:r w:rsidR="00F670E6" w:rsidRPr="0060082A">
        <w:rPr>
          <w:rFonts w:asciiTheme="majorHAnsi" w:hAnsiTheme="majorHAnsi" w:cstheme="majorHAnsi"/>
        </w:rPr>
        <w:t>on-going</w:t>
      </w:r>
      <w:r w:rsidR="00530DD1" w:rsidRPr="0060082A">
        <w:rPr>
          <w:rFonts w:asciiTheme="majorHAnsi" w:hAnsiTheme="majorHAnsi" w:cstheme="majorHAnsi"/>
        </w:rPr>
        <w:t xml:space="preserve"> provision of classroom materials will remain problematic and require concerted </w:t>
      </w:r>
      <w:r w:rsidR="00F670E6" w:rsidRPr="0060082A">
        <w:rPr>
          <w:rFonts w:asciiTheme="majorHAnsi" w:hAnsiTheme="majorHAnsi" w:cstheme="majorHAnsi"/>
        </w:rPr>
        <w:t xml:space="preserve">MoE planning and </w:t>
      </w:r>
      <w:r w:rsidR="00530DD1" w:rsidRPr="0060082A">
        <w:rPr>
          <w:rFonts w:asciiTheme="majorHAnsi" w:hAnsiTheme="majorHAnsi" w:cstheme="majorHAnsi"/>
        </w:rPr>
        <w:t>effort</w:t>
      </w:r>
      <w:r w:rsidR="00F670E6" w:rsidRPr="0060082A">
        <w:rPr>
          <w:rStyle w:val="FootnoteReference"/>
          <w:rFonts w:asciiTheme="majorHAnsi" w:hAnsiTheme="majorHAnsi" w:cstheme="majorHAnsi"/>
          <w:spacing w:val="-2"/>
        </w:rPr>
        <w:footnoteReference w:id="13"/>
      </w:r>
      <w:r w:rsidR="00530DD1" w:rsidRPr="0060082A">
        <w:rPr>
          <w:rFonts w:asciiTheme="majorHAnsi" w:hAnsiTheme="majorHAnsi" w:cstheme="majorHAnsi"/>
        </w:rPr>
        <w:t xml:space="preserve">. </w:t>
      </w:r>
    </w:p>
    <w:p w14:paraId="4B45B72A" w14:textId="519D4EDE" w:rsidR="00117C65" w:rsidRPr="0060082A" w:rsidRDefault="000F32D9" w:rsidP="0060082A">
      <w:pPr>
        <w:rPr>
          <w:rFonts w:asciiTheme="majorHAnsi" w:hAnsiTheme="majorHAnsi" w:cstheme="majorHAnsi"/>
        </w:rPr>
      </w:pPr>
      <w:r w:rsidRPr="0060082A">
        <w:rPr>
          <w:rFonts w:asciiTheme="majorHAnsi" w:hAnsiTheme="majorHAnsi" w:cstheme="majorHAnsi"/>
        </w:rPr>
        <w:t>A community consultation and a</w:t>
      </w:r>
      <w:r w:rsidR="00117C65" w:rsidRPr="0060082A">
        <w:rPr>
          <w:rFonts w:asciiTheme="majorHAnsi" w:hAnsiTheme="majorHAnsi" w:cstheme="majorHAnsi"/>
        </w:rPr>
        <w:t xml:space="preserve">dvocacy program </w:t>
      </w:r>
      <w:r w:rsidR="00B33936" w:rsidRPr="0060082A">
        <w:rPr>
          <w:rFonts w:asciiTheme="majorHAnsi" w:hAnsiTheme="majorHAnsi" w:cstheme="majorHAnsi"/>
        </w:rPr>
        <w:t xml:space="preserve">was rolled out </w:t>
      </w:r>
      <w:r w:rsidR="00117C65" w:rsidRPr="0060082A">
        <w:rPr>
          <w:rFonts w:asciiTheme="majorHAnsi" w:hAnsiTheme="majorHAnsi" w:cstheme="majorHAnsi"/>
        </w:rPr>
        <w:t>aimed at encouraging communit</w:t>
      </w:r>
      <w:r w:rsidR="0007474B" w:rsidRPr="0060082A">
        <w:rPr>
          <w:rFonts w:asciiTheme="majorHAnsi" w:hAnsiTheme="majorHAnsi" w:cstheme="majorHAnsi"/>
        </w:rPr>
        <w:t>ies</w:t>
      </w:r>
      <w:r w:rsidR="00117C65" w:rsidRPr="0060082A">
        <w:rPr>
          <w:rFonts w:asciiTheme="majorHAnsi" w:hAnsiTheme="majorHAnsi" w:cstheme="majorHAnsi"/>
        </w:rPr>
        <w:t xml:space="preserve"> to beco</w:t>
      </w:r>
      <w:r w:rsidR="0007474B" w:rsidRPr="0060082A">
        <w:rPr>
          <w:rFonts w:asciiTheme="majorHAnsi" w:hAnsiTheme="majorHAnsi" w:cstheme="majorHAnsi"/>
        </w:rPr>
        <w:t xml:space="preserve">me more engaged with schools </w:t>
      </w:r>
      <w:r w:rsidR="00117C65" w:rsidRPr="0060082A">
        <w:rPr>
          <w:rFonts w:asciiTheme="majorHAnsi" w:hAnsiTheme="majorHAnsi" w:cstheme="majorHAnsi"/>
        </w:rPr>
        <w:t xml:space="preserve">on quality and </w:t>
      </w:r>
      <w:r w:rsidRPr="0060082A">
        <w:rPr>
          <w:rFonts w:asciiTheme="majorHAnsi" w:hAnsiTheme="majorHAnsi" w:cstheme="majorHAnsi"/>
        </w:rPr>
        <w:t xml:space="preserve">the </w:t>
      </w:r>
      <w:r w:rsidR="00117C65" w:rsidRPr="0060082A">
        <w:rPr>
          <w:rFonts w:asciiTheme="majorHAnsi" w:hAnsiTheme="majorHAnsi" w:cstheme="majorHAnsi"/>
        </w:rPr>
        <w:t>Teacher Professional Development (TPD) program</w:t>
      </w:r>
      <w:r w:rsidRPr="0060082A">
        <w:rPr>
          <w:rFonts w:asciiTheme="majorHAnsi" w:hAnsiTheme="majorHAnsi" w:cstheme="majorHAnsi"/>
        </w:rPr>
        <w:t>. This f</w:t>
      </w:r>
      <w:r w:rsidR="00117C65" w:rsidRPr="0060082A">
        <w:rPr>
          <w:rFonts w:asciiTheme="majorHAnsi" w:hAnsiTheme="majorHAnsi" w:cstheme="majorHAnsi"/>
        </w:rPr>
        <w:t xml:space="preserve">ocused initially on literacy </w:t>
      </w:r>
      <w:r w:rsidR="00C37662" w:rsidRPr="0060082A">
        <w:rPr>
          <w:rFonts w:asciiTheme="majorHAnsi" w:hAnsiTheme="majorHAnsi" w:cstheme="majorHAnsi"/>
        </w:rPr>
        <w:t>and numeracy in the early years</w:t>
      </w:r>
      <w:r w:rsidR="00117C65" w:rsidRPr="0060082A">
        <w:rPr>
          <w:rFonts w:asciiTheme="majorHAnsi" w:hAnsiTheme="majorHAnsi" w:cstheme="majorHAnsi"/>
        </w:rPr>
        <w:t>.</w:t>
      </w:r>
      <w:r w:rsidR="00D70C8B" w:rsidRPr="0060082A">
        <w:rPr>
          <w:rFonts w:asciiTheme="majorHAnsi" w:hAnsiTheme="majorHAnsi" w:cstheme="majorHAnsi"/>
        </w:rPr>
        <w:t xml:space="preserve"> </w:t>
      </w:r>
      <w:r w:rsidR="00530DD1" w:rsidRPr="0060082A">
        <w:rPr>
          <w:rFonts w:asciiTheme="majorHAnsi" w:hAnsiTheme="majorHAnsi" w:cstheme="majorHAnsi"/>
        </w:rPr>
        <w:t>The</w:t>
      </w:r>
      <w:r w:rsidR="00612FB4" w:rsidRPr="0060082A">
        <w:rPr>
          <w:rFonts w:asciiTheme="majorHAnsi" w:hAnsiTheme="majorHAnsi" w:cstheme="majorHAnsi"/>
        </w:rPr>
        <w:t xml:space="preserve"> </w:t>
      </w:r>
      <w:r w:rsidR="00530DD1" w:rsidRPr="0060082A">
        <w:rPr>
          <w:rFonts w:asciiTheme="majorHAnsi" w:hAnsiTheme="majorHAnsi" w:cstheme="majorHAnsi"/>
        </w:rPr>
        <w:t xml:space="preserve">MoE also conducted community outreach on the </w:t>
      </w:r>
      <w:r w:rsidR="00366F11" w:rsidRPr="0060082A">
        <w:rPr>
          <w:rFonts w:asciiTheme="majorHAnsi" w:hAnsiTheme="majorHAnsi" w:cstheme="majorHAnsi"/>
        </w:rPr>
        <w:t xml:space="preserve">new </w:t>
      </w:r>
      <w:r w:rsidR="00530DD1" w:rsidRPr="0060082A">
        <w:rPr>
          <w:rFonts w:asciiTheme="majorHAnsi" w:hAnsiTheme="majorHAnsi" w:cstheme="majorHAnsi"/>
        </w:rPr>
        <w:t xml:space="preserve">English language </w:t>
      </w:r>
      <w:r w:rsidR="00366F11" w:rsidRPr="0060082A">
        <w:rPr>
          <w:rFonts w:asciiTheme="majorHAnsi" w:hAnsiTheme="majorHAnsi" w:cstheme="majorHAnsi"/>
        </w:rPr>
        <w:t xml:space="preserve">school delivery </w:t>
      </w:r>
      <w:r w:rsidR="00530DD1" w:rsidRPr="0060082A">
        <w:rPr>
          <w:rFonts w:asciiTheme="majorHAnsi" w:hAnsiTheme="majorHAnsi" w:cstheme="majorHAnsi"/>
        </w:rPr>
        <w:t xml:space="preserve">policy, including the MoE Secretary’s 2015 visits to </w:t>
      </w:r>
      <w:r w:rsidR="00366F11" w:rsidRPr="0060082A">
        <w:rPr>
          <w:rFonts w:asciiTheme="majorHAnsi" w:hAnsiTheme="majorHAnsi" w:cstheme="majorHAnsi"/>
        </w:rPr>
        <w:t xml:space="preserve">many </w:t>
      </w:r>
      <w:r w:rsidR="00530DD1" w:rsidRPr="0060082A">
        <w:rPr>
          <w:rFonts w:asciiTheme="majorHAnsi" w:hAnsiTheme="majorHAnsi" w:cstheme="majorHAnsi"/>
        </w:rPr>
        <w:t>communities explaining th</w:t>
      </w:r>
      <w:r w:rsidR="00366F11" w:rsidRPr="0060082A">
        <w:rPr>
          <w:rFonts w:asciiTheme="majorHAnsi" w:hAnsiTheme="majorHAnsi" w:cstheme="majorHAnsi"/>
        </w:rPr>
        <w:t>is</w:t>
      </w:r>
      <w:r w:rsidR="00530DD1" w:rsidRPr="0060082A">
        <w:rPr>
          <w:rFonts w:asciiTheme="majorHAnsi" w:hAnsiTheme="majorHAnsi" w:cstheme="majorHAnsi"/>
        </w:rPr>
        <w:t xml:space="preserve"> changed language policy</w:t>
      </w:r>
      <w:r w:rsidR="00366F11" w:rsidRPr="0060082A">
        <w:rPr>
          <w:rFonts w:asciiTheme="majorHAnsi" w:hAnsiTheme="majorHAnsi" w:cstheme="majorHAnsi"/>
        </w:rPr>
        <w:t xml:space="preserve">. This included how </w:t>
      </w:r>
      <w:r w:rsidR="00530DD1" w:rsidRPr="0060082A">
        <w:rPr>
          <w:rFonts w:asciiTheme="majorHAnsi" w:hAnsiTheme="majorHAnsi" w:cstheme="majorHAnsi"/>
        </w:rPr>
        <w:t>the</w:t>
      </w:r>
      <w:r w:rsidR="005D64E3" w:rsidRPr="0060082A">
        <w:rPr>
          <w:rFonts w:asciiTheme="majorHAnsi" w:hAnsiTheme="majorHAnsi" w:cstheme="majorHAnsi"/>
        </w:rPr>
        <w:t xml:space="preserve"> transition to delivering the</w:t>
      </w:r>
      <w:r w:rsidR="00530DD1" w:rsidRPr="0060082A">
        <w:rPr>
          <w:rFonts w:asciiTheme="majorHAnsi" w:hAnsiTheme="majorHAnsi" w:cstheme="majorHAnsi"/>
        </w:rPr>
        <w:t xml:space="preserve"> curriculum in English</w:t>
      </w:r>
      <w:r w:rsidR="005D64E3" w:rsidRPr="0060082A">
        <w:rPr>
          <w:rFonts w:asciiTheme="majorHAnsi" w:hAnsiTheme="majorHAnsi" w:cstheme="majorHAnsi"/>
        </w:rPr>
        <w:t xml:space="preserve"> starts</w:t>
      </w:r>
      <w:r w:rsidR="00530DD1" w:rsidRPr="0060082A">
        <w:rPr>
          <w:rFonts w:asciiTheme="majorHAnsi" w:hAnsiTheme="majorHAnsi" w:cstheme="majorHAnsi"/>
        </w:rPr>
        <w:t xml:space="preserve"> from Year 4. </w:t>
      </w:r>
      <w:r w:rsidR="00117C65" w:rsidRPr="0060082A">
        <w:rPr>
          <w:rFonts w:asciiTheme="majorHAnsi" w:hAnsiTheme="majorHAnsi" w:cstheme="majorHAnsi"/>
        </w:rPr>
        <w:t xml:space="preserve">A national conference </w:t>
      </w:r>
      <w:r w:rsidRPr="0060082A">
        <w:rPr>
          <w:rFonts w:asciiTheme="majorHAnsi" w:hAnsiTheme="majorHAnsi" w:cstheme="majorHAnsi"/>
        </w:rPr>
        <w:t xml:space="preserve">was held over 2 days in August 2013, and </w:t>
      </w:r>
      <w:r w:rsidR="00117C65" w:rsidRPr="0060082A">
        <w:rPr>
          <w:rFonts w:asciiTheme="majorHAnsi" w:hAnsiTheme="majorHAnsi" w:cstheme="majorHAnsi"/>
        </w:rPr>
        <w:t>familiaris</w:t>
      </w:r>
      <w:r w:rsidRPr="0060082A">
        <w:rPr>
          <w:rFonts w:asciiTheme="majorHAnsi" w:hAnsiTheme="majorHAnsi" w:cstheme="majorHAnsi"/>
        </w:rPr>
        <w:t xml:space="preserve">ed </w:t>
      </w:r>
      <w:r w:rsidR="00B33936" w:rsidRPr="0060082A">
        <w:rPr>
          <w:rFonts w:asciiTheme="majorHAnsi" w:hAnsiTheme="majorHAnsi" w:cstheme="majorHAnsi"/>
        </w:rPr>
        <w:t xml:space="preserve">approximately </w:t>
      </w:r>
      <w:r w:rsidR="00117C65" w:rsidRPr="0060082A">
        <w:rPr>
          <w:rFonts w:asciiTheme="majorHAnsi" w:hAnsiTheme="majorHAnsi" w:cstheme="majorHAnsi"/>
        </w:rPr>
        <w:t>100 community stakeholders and donors with the approach to language and literacy teaching and learning a</w:t>
      </w:r>
      <w:r w:rsidRPr="0060082A">
        <w:rPr>
          <w:rFonts w:asciiTheme="majorHAnsi" w:hAnsiTheme="majorHAnsi" w:cstheme="majorHAnsi"/>
        </w:rPr>
        <w:t>s part of the curriculum reform.</w:t>
      </w:r>
    </w:p>
    <w:p w14:paraId="4C90A378" w14:textId="09F521EC" w:rsidR="009C226E" w:rsidRPr="0060082A" w:rsidRDefault="00117C65" w:rsidP="0060082A">
      <w:pPr>
        <w:rPr>
          <w:rFonts w:asciiTheme="majorHAnsi" w:hAnsiTheme="majorHAnsi" w:cstheme="majorHAnsi"/>
        </w:rPr>
      </w:pPr>
      <w:r w:rsidRPr="0060082A">
        <w:rPr>
          <w:rFonts w:asciiTheme="majorHAnsi" w:hAnsiTheme="majorHAnsi" w:cstheme="majorHAnsi"/>
        </w:rPr>
        <w:t>The Rese</w:t>
      </w:r>
      <w:r w:rsidR="00C37662" w:rsidRPr="0060082A">
        <w:rPr>
          <w:rFonts w:asciiTheme="majorHAnsi" w:hAnsiTheme="majorHAnsi" w:cstheme="majorHAnsi"/>
        </w:rPr>
        <w:t xml:space="preserve">arch Synthesis </w:t>
      </w:r>
      <w:r w:rsidR="00612FB4" w:rsidRPr="0060082A">
        <w:rPr>
          <w:rFonts w:asciiTheme="majorHAnsi" w:hAnsiTheme="majorHAnsi" w:cstheme="majorHAnsi"/>
        </w:rPr>
        <w:t>Report indicates</w:t>
      </w:r>
      <w:r w:rsidR="006C528A" w:rsidRPr="0060082A">
        <w:rPr>
          <w:rFonts w:asciiTheme="majorHAnsi" w:hAnsiTheme="majorHAnsi" w:cstheme="majorHAnsi"/>
        </w:rPr>
        <w:t xml:space="preserve"> both school leaders (93%) and teachers (89%) were comfortable with the implementation of the new curriculum. All teachers (100%) in small islands reported on the new curriculum positively while in South Tarawa </w:t>
      </w:r>
      <w:r w:rsidR="006D2DD8" w:rsidRPr="0060082A">
        <w:rPr>
          <w:rFonts w:asciiTheme="majorHAnsi" w:hAnsiTheme="majorHAnsi" w:cstheme="majorHAnsi"/>
        </w:rPr>
        <w:t xml:space="preserve">most </w:t>
      </w:r>
      <w:r w:rsidR="006C528A" w:rsidRPr="0060082A">
        <w:rPr>
          <w:rFonts w:asciiTheme="majorHAnsi" w:hAnsiTheme="majorHAnsi" w:cstheme="majorHAnsi"/>
        </w:rPr>
        <w:t xml:space="preserve">teachers (84%) reported positively. From 159 respondents only two school leaders interviewed reported being uncomfortable with the implementation of the new curriculum and these were both from larger islands outside of South Tarawa. </w:t>
      </w:r>
    </w:p>
    <w:p w14:paraId="63DC0AEF" w14:textId="2843059B" w:rsidR="00620341" w:rsidRPr="0060082A" w:rsidRDefault="00117C65" w:rsidP="0060082A">
      <w:pPr>
        <w:rPr>
          <w:rFonts w:asciiTheme="majorHAnsi" w:hAnsiTheme="majorHAnsi" w:cstheme="majorHAnsi"/>
        </w:rPr>
      </w:pPr>
      <w:r w:rsidRPr="0060082A">
        <w:rPr>
          <w:rFonts w:asciiTheme="majorHAnsi" w:hAnsiTheme="majorHAnsi" w:cstheme="majorHAnsi"/>
        </w:rPr>
        <w:t xml:space="preserve">School leaders </w:t>
      </w:r>
      <w:r w:rsidR="00916DE6" w:rsidRPr="0060082A">
        <w:rPr>
          <w:rFonts w:asciiTheme="majorHAnsi" w:hAnsiTheme="majorHAnsi" w:cstheme="majorHAnsi"/>
        </w:rPr>
        <w:t xml:space="preserve">also </w:t>
      </w:r>
      <w:r w:rsidRPr="0060082A">
        <w:rPr>
          <w:rFonts w:asciiTheme="majorHAnsi" w:hAnsiTheme="majorHAnsi" w:cstheme="majorHAnsi"/>
        </w:rPr>
        <w:t xml:space="preserve">reported the new curriculum provided better guidance for lesson plans, </w:t>
      </w:r>
      <w:r w:rsidR="008026D1" w:rsidRPr="0060082A">
        <w:rPr>
          <w:rFonts w:asciiTheme="majorHAnsi" w:hAnsiTheme="majorHAnsi" w:cstheme="majorHAnsi"/>
        </w:rPr>
        <w:t xml:space="preserve">better </w:t>
      </w:r>
      <w:r w:rsidRPr="0060082A">
        <w:rPr>
          <w:rFonts w:asciiTheme="majorHAnsi" w:hAnsiTheme="majorHAnsi" w:cstheme="majorHAnsi"/>
        </w:rPr>
        <w:t>targeted the learning needs of students and that students were more interested in what was being taught.</w:t>
      </w:r>
      <w:r w:rsidR="00C37662" w:rsidRPr="0060082A">
        <w:rPr>
          <w:rFonts w:asciiTheme="majorHAnsi" w:hAnsiTheme="majorHAnsi" w:cstheme="majorHAnsi"/>
        </w:rPr>
        <w:t xml:space="preserve"> </w:t>
      </w:r>
      <w:r w:rsidR="006C528A" w:rsidRPr="0060082A">
        <w:rPr>
          <w:rFonts w:asciiTheme="majorHAnsi" w:hAnsiTheme="majorHAnsi" w:cstheme="majorHAnsi"/>
        </w:rPr>
        <w:t>T</w:t>
      </w:r>
      <w:r w:rsidR="000D0FF4" w:rsidRPr="0060082A">
        <w:rPr>
          <w:rFonts w:asciiTheme="majorHAnsi" w:hAnsiTheme="majorHAnsi" w:cstheme="majorHAnsi"/>
        </w:rPr>
        <w:t>eacher</w:t>
      </w:r>
      <w:r w:rsidR="006C528A" w:rsidRPr="0060082A">
        <w:rPr>
          <w:rFonts w:asciiTheme="majorHAnsi" w:hAnsiTheme="majorHAnsi" w:cstheme="majorHAnsi"/>
        </w:rPr>
        <w:t>s’</w:t>
      </w:r>
      <w:r w:rsidRPr="0060082A">
        <w:rPr>
          <w:rFonts w:asciiTheme="majorHAnsi" w:hAnsiTheme="majorHAnsi" w:cstheme="majorHAnsi"/>
        </w:rPr>
        <w:t xml:space="preserve"> views about the quality of the new curriculum show</w:t>
      </w:r>
      <w:r w:rsidR="000F32D9" w:rsidRPr="0060082A">
        <w:rPr>
          <w:rFonts w:asciiTheme="majorHAnsi" w:hAnsiTheme="majorHAnsi" w:cstheme="majorHAnsi"/>
        </w:rPr>
        <w:t>ed</w:t>
      </w:r>
      <w:r w:rsidRPr="0060082A">
        <w:rPr>
          <w:rFonts w:asciiTheme="majorHAnsi" w:hAnsiTheme="majorHAnsi" w:cstheme="majorHAnsi"/>
        </w:rPr>
        <w:t xml:space="preserve"> </w:t>
      </w:r>
      <w:r w:rsidR="000F32D9" w:rsidRPr="0060082A">
        <w:rPr>
          <w:rFonts w:asciiTheme="majorHAnsi" w:hAnsiTheme="majorHAnsi" w:cstheme="majorHAnsi"/>
        </w:rPr>
        <w:t xml:space="preserve">they </w:t>
      </w:r>
      <w:r w:rsidRPr="0060082A">
        <w:rPr>
          <w:rFonts w:asciiTheme="majorHAnsi" w:hAnsiTheme="majorHAnsi" w:cstheme="majorHAnsi"/>
        </w:rPr>
        <w:t xml:space="preserve">agreed curriculum topics were about the right length, targeted to </w:t>
      </w:r>
      <w:r w:rsidR="000D0FF4" w:rsidRPr="0060082A">
        <w:rPr>
          <w:rFonts w:asciiTheme="majorHAnsi" w:hAnsiTheme="majorHAnsi" w:cstheme="majorHAnsi"/>
        </w:rPr>
        <w:t>student</w:t>
      </w:r>
      <w:r w:rsidRPr="0060082A">
        <w:rPr>
          <w:rFonts w:asciiTheme="majorHAnsi" w:hAnsiTheme="majorHAnsi" w:cstheme="majorHAnsi"/>
        </w:rPr>
        <w:t xml:space="preserve"> interests, allow</w:t>
      </w:r>
      <w:r w:rsidR="000F32D9" w:rsidRPr="0060082A">
        <w:rPr>
          <w:rFonts w:asciiTheme="majorHAnsi" w:hAnsiTheme="majorHAnsi" w:cstheme="majorHAnsi"/>
        </w:rPr>
        <w:t>ed</w:t>
      </w:r>
      <w:r w:rsidRPr="0060082A">
        <w:rPr>
          <w:rFonts w:asciiTheme="majorHAnsi" w:hAnsiTheme="majorHAnsi" w:cstheme="majorHAnsi"/>
        </w:rPr>
        <w:t xml:space="preserve"> them to target learning needs of different students, allowed students to learn more concepts, and allowed students to </w:t>
      </w:r>
      <w:r w:rsidR="000F32D9" w:rsidRPr="0060082A">
        <w:rPr>
          <w:rFonts w:asciiTheme="majorHAnsi" w:hAnsiTheme="majorHAnsi" w:cstheme="majorHAnsi"/>
        </w:rPr>
        <w:t xml:space="preserve">better </w:t>
      </w:r>
      <w:r w:rsidRPr="0060082A">
        <w:rPr>
          <w:rFonts w:asciiTheme="majorHAnsi" w:hAnsiTheme="majorHAnsi" w:cstheme="majorHAnsi"/>
        </w:rPr>
        <w:t>demo</w:t>
      </w:r>
      <w:r w:rsidR="0007474B" w:rsidRPr="0060082A">
        <w:rPr>
          <w:rFonts w:asciiTheme="majorHAnsi" w:hAnsiTheme="majorHAnsi" w:cstheme="majorHAnsi"/>
        </w:rPr>
        <w:t>nstrate their ability</w:t>
      </w:r>
      <w:r w:rsidR="00C37662" w:rsidRPr="0060082A">
        <w:rPr>
          <w:rFonts w:asciiTheme="majorHAnsi" w:hAnsiTheme="majorHAnsi" w:cstheme="majorHAnsi"/>
        </w:rPr>
        <w:t xml:space="preserve">. </w:t>
      </w:r>
    </w:p>
    <w:p w14:paraId="0B9C5296" w14:textId="6DA0EE03" w:rsidR="00117C65" w:rsidRPr="0060082A" w:rsidRDefault="00C37662" w:rsidP="0060082A">
      <w:pPr>
        <w:rPr>
          <w:rFonts w:asciiTheme="majorHAnsi" w:hAnsiTheme="majorHAnsi" w:cstheme="majorHAnsi"/>
        </w:rPr>
      </w:pPr>
      <w:r w:rsidRPr="0060082A">
        <w:rPr>
          <w:rFonts w:asciiTheme="majorHAnsi" w:hAnsiTheme="majorHAnsi" w:cstheme="majorHAnsi"/>
        </w:rPr>
        <w:t>T</w:t>
      </w:r>
      <w:r w:rsidR="00117C65" w:rsidRPr="0060082A">
        <w:rPr>
          <w:rFonts w:asciiTheme="majorHAnsi" w:hAnsiTheme="majorHAnsi" w:cstheme="majorHAnsi"/>
        </w:rPr>
        <w:t xml:space="preserve">eachers also felt students were more interested and engaged in learning. </w:t>
      </w:r>
      <w:r w:rsidRPr="0060082A">
        <w:rPr>
          <w:rFonts w:asciiTheme="majorHAnsi" w:hAnsiTheme="majorHAnsi" w:cstheme="majorHAnsi"/>
        </w:rPr>
        <w:t xml:space="preserve">There appears to be </w:t>
      </w:r>
      <w:r w:rsidR="00117C65" w:rsidRPr="0060082A">
        <w:rPr>
          <w:rFonts w:asciiTheme="majorHAnsi" w:hAnsiTheme="majorHAnsi" w:cstheme="majorHAnsi"/>
        </w:rPr>
        <w:t>improved focus on stud</w:t>
      </w:r>
      <w:r w:rsidR="0007474B" w:rsidRPr="0060082A">
        <w:rPr>
          <w:rFonts w:asciiTheme="majorHAnsi" w:hAnsiTheme="majorHAnsi" w:cstheme="majorHAnsi"/>
        </w:rPr>
        <w:t>ent-centred learning</w:t>
      </w:r>
      <w:r w:rsidRPr="0060082A">
        <w:rPr>
          <w:rFonts w:asciiTheme="majorHAnsi" w:hAnsiTheme="majorHAnsi" w:cstheme="majorHAnsi"/>
        </w:rPr>
        <w:t xml:space="preserve">. </w:t>
      </w:r>
      <w:r w:rsidR="00D97955" w:rsidRPr="0060082A">
        <w:rPr>
          <w:rFonts w:asciiTheme="majorHAnsi" w:hAnsiTheme="majorHAnsi" w:cstheme="majorHAnsi"/>
        </w:rPr>
        <w:t xml:space="preserve">Supporting these observations, teachers noted </w:t>
      </w:r>
      <w:r w:rsidR="00117C65" w:rsidRPr="0060082A">
        <w:rPr>
          <w:rFonts w:asciiTheme="majorHAnsi" w:hAnsiTheme="majorHAnsi" w:cstheme="majorHAnsi"/>
        </w:rPr>
        <w:t>students:</w:t>
      </w:r>
    </w:p>
    <w:p w14:paraId="0718FD37" w14:textId="77777777" w:rsidR="00117C65" w:rsidRPr="00C918BF" w:rsidRDefault="00117C65" w:rsidP="00022721">
      <w:pPr>
        <w:pStyle w:val="BodyBullets"/>
        <w:spacing w:before="60" w:after="60" w:line="235" w:lineRule="auto"/>
        <w:rPr>
          <w:color w:val="auto"/>
        </w:rPr>
      </w:pPr>
      <w:r w:rsidRPr="00C918BF">
        <w:rPr>
          <w:color w:val="auto"/>
        </w:rPr>
        <w:t>could read in their own language by the end of Year 1</w:t>
      </w:r>
      <w:r w:rsidR="00C603A0" w:rsidRPr="00C918BF">
        <w:rPr>
          <w:color w:val="auto"/>
        </w:rPr>
        <w:t>;</w:t>
      </w:r>
    </w:p>
    <w:p w14:paraId="64B6EDB6" w14:textId="77777777" w:rsidR="00117C65" w:rsidRPr="00C918BF" w:rsidRDefault="00117C65" w:rsidP="00022721">
      <w:pPr>
        <w:pStyle w:val="BodyBullets"/>
        <w:spacing w:before="60" w:after="60" w:line="235" w:lineRule="auto"/>
        <w:rPr>
          <w:color w:val="auto"/>
        </w:rPr>
      </w:pPr>
      <w:r w:rsidRPr="00C918BF">
        <w:rPr>
          <w:color w:val="auto"/>
        </w:rPr>
        <w:t>were much more engaged in learning</w:t>
      </w:r>
      <w:r w:rsidR="00C603A0" w:rsidRPr="00C918BF">
        <w:rPr>
          <w:color w:val="auto"/>
        </w:rPr>
        <w:t>;</w:t>
      </w:r>
    </w:p>
    <w:p w14:paraId="58CA4AF0" w14:textId="77777777" w:rsidR="00117C65" w:rsidRPr="00C918BF" w:rsidRDefault="00117C65" w:rsidP="00022721">
      <w:pPr>
        <w:pStyle w:val="BodyBullets"/>
        <w:spacing w:before="60" w:after="60" w:line="235" w:lineRule="auto"/>
        <w:rPr>
          <w:color w:val="auto"/>
        </w:rPr>
      </w:pPr>
      <w:r w:rsidRPr="00C918BF">
        <w:rPr>
          <w:color w:val="auto"/>
        </w:rPr>
        <w:t>were more able to work independently; and</w:t>
      </w:r>
    </w:p>
    <w:p w14:paraId="63A9C1A3" w14:textId="77777777" w:rsidR="00117C65" w:rsidRPr="00C918BF" w:rsidRDefault="00117C65" w:rsidP="00022721">
      <w:pPr>
        <w:pStyle w:val="BodyBullets"/>
        <w:spacing w:before="60" w:after="60" w:line="235" w:lineRule="auto"/>
        <w:rPr>
          <w:color w:val="auto"/>
        </w:rPr>
      </w:pPr>
      <w:r w:rsidRPr="00C918BF">
        <w:rPr>
          <w:color w:val="auto"/>
        </w:rPr>
        <w:t xml:space="preserve">had confidence in presenting their work to their classmates. </w:t>
      </w:r>
    </w:p>
    <w:p w14:paraId="02766C00" w14:textId="1FFB83CE" w:rsidR="003C5989" w:rsidRPr="0060082A" w:rsidRDefault="003C5989" w:rsidP="0060082A">
      <w:pPr>
        <w:rPr>
          <w:rFonts w:asciiTheme="majorHAnsi" w:hAnsiTheme="majorHAnsi" w:cstheme="majorHAnsi"/>
        </w:rPr>
      </w:pPr>
      <w:r w:rsidRPr="0060082A">
        <w:rPr>
          <w:rFonts w:asciiTheme="majorHAnsi" w:hAnsiTheme="majorHAnsi" w:cstheme="majorHAnsi"/>
        </w:rPr>
        <w:t xml:space="preserve">In parallel with the new curriculum development, the KEF Assessment Adviser supported the Examination and Assessment Unit (EAU) to establish </w:t>
      </w:r>
      <w:r w:rsidR="00C603A0" w:rsidRPr="0060082A">
        <w:rPr>
          <w:rFonts w:asciiTheme="majorHAnsi" w:hAnsiTheme="majorHAnsi" w:cstheme="majorHAnsi"/>
        </w:rPr>
        <w:t xml:space="preserve">their </w:t>
      </w:r>
      <w:r w:rsidRPr="0060082A">
        <w:rPr>
          <w:rFonts w:asciiTheme="majorHAnsi" w:hAnsiTheme="majorHAnsi" w:cstheme="majorHAnsi"/>
        </w:rPr>
        <w:t xml:space="preserve">systems and processes for assessment, examinations, reporting and certification for the new standards-referenced national curriculum. </w:t>
      </w:r>
      <w:r w:rsidR="0003148F" w:rsidRPr="0060082A">
        <w:rPr>
          <w:rFonts w:asciiTheme="majorHAnsi" w:hAnsiTheme="majorHAnsi" w:cstheme="majorHAnsi"/>
        </w:rPr>
        <w:t>Considering the importance of assessment (and the flow into STAKI and PILNA) t</w:t>
      </w:r>
      <w:r w:rsidR="008026D1" w:rsidRPr="0060082A">
        <w:rPr>
          <w:rFonts w:asciiTheme="majorHAnsi" w:hAnsiTheme="majorHAnsi" w:cstheme="majorHAnsi"/>
        </w:rPr>
        <w:t>his</w:t>
      </w:r>
      <w:r w:rsidR="0003148F" w:rsidRPr="0060082A">
        <w:rPr>
          <w:rFonts w:asciiTheme="majorHAnsi" w:hAnsiTheme="majorHAnsi" w:cstheme="majorHAnsi"/>
        </w:rPr>
        <w:t xml:space="preserve"> will remain </w:t>
      </w:r>
      <w:r w:rsidR="008026D1" w:rsidRPr="0060082A">
        <w:rPr>
          <w:rFonts w:asciiTheme="majorHAnsi" w:hAnsiTheme="majorHAnsi" w:cstheme="majorHAnsi"/>
        </w:rPr>
        <w:t>an ongoing</w:t>
      </w:r>
      <w:r w:rsidR="0003148F" w:rsidRPr="0060082A">
        <w:rPr>
          <w:rFonts w:asciiTheme="majorHAnsi" w:hAnsiTheme="majorHAnsi" w:cstheme="majorHAnsi"/>
        </w:rPr>
        <w:t xml:space="preserve"> and important</w:t>
      </w:r>
      <w:r w:rsidR="008026D1" w:rsidRPr="0060082A">
        <w:rPr>
          <w:rFonts w:asciiTheme="majorHAnsi" w:hAnsiTheme="majorHAnsi" w:cstheme="majorHAnsi"/>
        </w:rPr>
        <w:t xml:space="preserve"> priority </w:t>
      </w:r>
      <w:r w:rsidR="0003148F" w:rsidRPr="0060082A">
        <w:rPr>
          <w:rFonts w:asciiTheme="majorHAnsi" w:hAnsiTheme="majorHAnsi" w:cstheme="majorHAnsi"/>
        </w:rPr>
        <w:t xml:space="preserve">for KEF </w:t>
      </w:r>
      <w:r w:rsidR="008026D1" w:rsidRPr="0060082A">
        <w:rPr>
          <w:rFonts w:asciiTheme="majorHAnsi" w:hAnsiTheme="majorHAnsi" w:cstheme="majorHAnsi"/>
        </w:rPr>
        <w:t xml:space="preserve">that will continue into KEIP Phase </w:t>
      </w:r>
      <w:r w:rsidR="000A49FE">
        <w:rPr>
          <w:rFonts w:asciiTheme="majorHAnsi" w:hAnsiTheme="majorHAnsi" w:cstheme="majorHAnsi"/>
        </w:rPr>
        <w:t>3</w:t>
      </w:r>
      <w:r w:rsidR="008026D1" w:rsidRPr="0060082A">
        <w:rPr>
          <w:rFonts w:asciiTheme="majorHAnsi" w:hAnsiTheme="majorHAnsi" w:cstheme="majorHAnsi"/>
        </w:rPr>
        <w:t>.</w:t>
      </w:r>
    </w:p>
    <w:p w14:paraId="1419F10D" w14:textId="77777777" w:rsidR="00117C65" w:rsidRPr="0060082A" w:rsidRDefault="003C5989" w:rsidP="0060082A">
      <w:pPr>
        <w:rPr>
          <w:rFonts w:asciiTheme="majorHAnsi" w:hAnsiTheme="majorHAnsi" w:cstheme="majorHAnsi"/>
        </w:rPr>
      </w:pPr>
      <w:r w:rsidRPr="0060082A">
        <w:rPr>
          <w:rFonts w:asciiTheme="majorHAnsi" w:hAnsiTheme="majorHAnsi" w:cstheme="majorHAnsi"/>
        </w:rPr>
        <w:t>A</w:t>
      </w:r>
      <w:r w:rsidR="000F32D9" w:rsidRPr="0060082A">
        <w:rPr>
          <w:rFonts w:asciiTheme="majorHAnsi" w:hAnsiTheme="majorHAnsi" w:cstheme="majorHAnsi"/>
        </w:rPr>
        <w:t>n</w:t>
      </w:r>
      <w:r w:rsidRPr="0060082A">
        <w:rPr>
          <w:rFonts w:asciiTheme="majorHAnsi" w:hAnsiTheme="majorHAnsi" w:cstheme="majorHAnsi"/>
        </w:rPr>
        <w:t xml:space="preserve"> Assessment and Examinations Framework was developed to guide the use of findings about student literacy and numeracy learning from current assessments (STAKI, the trial PILNA and international work on </w:t>
      </w:r>
      <w:r w:rsidR="001D0531" w:rsidRPr="0060082A">
        <w:rPr>
          <w:rFonts w:asciiTheme="majorHAnsi" w:hAnsiTheme="majorHAnsi" w:cstheme="majorHAnsi"/>
        </w:rPr>
        <w:t>Early Grade Reading Assessment - EGRA</w:t>
      </w:r>
      <w:r w:rsidRPr="0060082A">
        <w:rPr>
          <w:rFonts w:asciiTheme="majorHAnsi" w:hAnsiTheme="majorHAnsi" w:cstheme="majorHAnsi"/>
        </w:rPr>
        <w:t xml:space="preserve">) to inform school-based assessment advice, curriculum materials and teacher training programs for the early years 1-4. </w:t>
      </w:r>
      <w:r w:rsidR="00117C65" w:rsidRPr="0060082A">
        <w:rPr>
          <w:rFonts w:asciiTheme="majorHAnsi" w:hAnsiTheme="majorHAnsi" w:cstheme="majorHAnsi"/>
        </w:rPr>
        <w:t xml:space="preserve">Students in Year </w:t>
      </w:r>
      <w:r w:rsidR="0007474B" w:rsidRPr="0060082A">
        <w:rPr>
          <w:rFonts w:asciiTheme="majorHAnsi" w:hAnsiTheme="majorHAnsi" w:cstheme="majorHAnsi"/>
        </w:rPr>
        <w:t>4</w:t>
      </w:r>
      <w:r w:rsidR="00117C65" w:rsidRPr="0060082A">
        <w:rPr>
          <w:rFonts w:asciiTheme="majorHAnsi" w:hAnsiTheme="majorHAnsi" w:cstheme="majorHAnsi"/>
        </w:rPr>
        <w:t xml:space="preserve"> sat the PILNA in Te-Kiribati for the first time in 2015 having in the past sat tests in English only.</w:t>
      </w:r>
      <w:r w:rsidR="0007474B" w:rsidRPr="0060082A">
        <w:rPr>
          <w:rFonts w:asciiTheme="majorHAnsi" w:hAnsiTheme="majorHAnsi" w:cstheme="majorHAnsi"/>
        </w:rPr>
        <w:t xml:space="preserve"> </w:t>
      </w:r>
      <w:r w:rsidR="00117C65" w:rsidRPr="0060082A">
        <w:rPr>
          <w:rFonts w:asciiTheme="majorHAnsi" w:hAnsiTheme="majorHAnsi" w:cstheme="majorHAnsi"/>
        </w:rPr>
        <w:t>Recent (October 2015) Year 4 STAKI and PILNA tests have shown that, when compared to similar tests in 2013</w:t>
      </w:r>
      <w:r w:rsidR="00C37662" w:rsidRPr="0060082A">
        <w:rPr>
          <w:rFonts w:asciiTheme="majorHAnsi" w:hAnsiTheme="majorHAnsi" w:cstheme="majorHAnsi"/>
        </w:rPr>
        <w:t>, n</w:t>
      </w:r>
      <w:r w:rsidR="00117C65" w:rsidRPr="0060082A">
        <w:rPr>
          <w:rFonts w:asciiTheme="majorHAnsi" w:hAnsiTheme="majorHAnsi" w:cstheme="majorHAnsi"/>
        </w:rPr>
        <w:t>umeracy skills have improved</w:t>
      </w:r>
      <w:r w:rsidR="0007474B" w:rsidRPr="0060082A">
        <w:rPr>
          <w:rFonts w:asciiTheme="majorHAnsi" w:hAnsiTheme="majorHAnsi" w:cstheme="majorHAnsi"/>
        </w:rPr>
        <w:t xml:space="preserve">, as has </w:t>
      </w:r>
      <w:r w:rsidR="006C528A" w:rsidRPr="0060082A">
        <w:rPr>
          <w:rFonts w:asciiTheme="majorHAnsi" w:hAnsiTheme="majorHAnsi" w:cstheme="majorHAnsi"/>
        </w:rPr>
        <w:t xml:space="preserve">the test </w:t>
      </w:r>
      <w:r w:rsidR="0007474B" w:rsidRPr="0060082A">
        <w:rPr>
          <w:rFonts w:asciiTheme="majorHAnsi" w:hAnsiTheme="majorHAnsi" w:cstheme="majorHAnsi"/>
        </w:rPr>
        <w:t>attendance.</w:t>
      </w:r>
      <w:r w:rsidR="00B33936" w:rsidRPr="0060082A">
        <w:rPr>
          <w:rFonts w:asciiTheme="majorHAnsi" w:hAnsiTheme="majorHAnsi" w:cstheme="majorHAnsi"/>
        </w:rPr>
        <w:t xml:space="preserve"> The Assessment and Examinations Framework and the school-based assessment policy provides for assessment tools, content and examinations that are gender and disability sensitive.</w:t>
      </w:r>
    </w:p>
    <w:p w14:paraId="42414A47" w14:textId="7E6A29F5" w:rsidR="00117C65" w:rsidRPr="0060082A" w:rsidRDefault="0007474B" w:rsidP="0060082A">
      <w:pPr>
        <w:rPr>
          <w:rFonts w:asciiTheme="majorHAnsi" w:hAnsiTheme="majorHAnsi" w:cstheme="majorHAnsi"/>
        </w:rPr>
      </w:pPr>
      <w:r w:rsidRPr="0060082A">
        <w:rPr>
          <w:rFonts w:asciiTheme="majorHAnsi" w:hAnsiTheme="majorHAnsi" w:cstheme="majorHAnsi"/>
        </w:rPr>
        <w:t>D</w:t>
      </w:r>
      <w:r w:rsidR="00117C65" w:rsidRPr="0060082A">
        <w:rPr>
          <w:rFonts w:asciiTheme="majorHAnsi" w:hAnsiTheme="majorHAnsi" w:cstheme="majorHAnsi"/>
        </w:rPr>
        <w:t xml:space="preserve">uring KEIP </w:t>
      </w:r>
      <w:r w:rsidRPr="0060082A">
        <w:rPr>
          <w:rFonts w:asciiTheme="majorHAnsi" w:hAnsiTheme="majorHAnsi" w:cstheme="majorHAnsi"/>
        </w:rPr>
        <w:t xml:space="preserve">Phase </w:t>
      </w:r>
      <w:r w:rsidR="000A49FE">
        <w:rPr>
          <w:rFonts w:asciiTheme="majorHAnsi" w:hAnsiTheme="majorHAnsi" w:cstheme="majorHAnsi"/>
        </w:rPr>
        <w:t>3</w:t>
      </w:r>
      <w:r w:rsidRPr="0060082A">
        <w:rPr>
          <w:rFonts w:asciiTheme="majorHAnsi" w:hAnsiTheme="majorHAnsi" w:cstheme="majorHAnsi"/>
        </w:rPr>
        <w:t xml:space="preserve">, support </w:t>
      </w:r>
      <w:r w:rsidR="00C603A0" w:rsidRPr="0060082A">
        <w:rPr>
          <w:rFonts w:asciiTheme="majorHAnsi" w:hAnsiTheme="majorHAnsi" w:cstheme="majorHAnsi"/>
        </w:rPr>
        <w:t xml:space="preserve">to MoE </w:t>
      </w:r>
      <w:r w:rsidR="00117C65" w:rsidRPr="0060082A">
        <w:rPr>
          <w:rFonts w:asciiTheme="majorHAnsi" w:hAnsiTheme="majorHAnsi" w:cstheme="majorHAnsi"/>
        </w:rPr>
        <w:t xml:space="preserve">will continue to </w:t>
      </w:r>
      <w:r w:rsidR="00291796" w:rsidRPr="0060082A">
        <w:rPr>
          <w:rFonts w:asciiTheme="majorHAnsi" w:hAnsiTheme="majorHAnsi" w:cstheme="majorHAnsi"/>
        </w:rPr>
        <w:t xml:space="preserve">promote </w:t>
      </w:r>
      <w:r w:rsidR="000F32D9" w:rsidRPr="0060082A">
        <w:rPr>
          <w:rFonts w:asciiTheme="majorHAnsi" w:hAnsiTheme="majorHAnsi" w:cstheme="majorHAnsi"/>
        </w:rPr>
        <w:t>a strong</w:t>
      </w:r>
      <w:r w:rsidR="00117C65" w:rsidRPr="0060082A">
        <w:rPr>
          <w:rFonts w:asciiTheme="majorHAnsi" w:hAnsiTheme="majorHAnsi" w:cstheme="majorHAnsi"/>
        </w:rPr>
        <w:t xml:space="preserve"> link between curriculum and </w:t>
      </w:r>
      <w:r w:rsidR="008026D1" w:rsidRPr="0060082A">
        <w:rPr>
          <w:rFonts w:asciiTheme="majorHAnsi" w:hAnsiTheme="majorHAnsi" w:cstheme="majorHAnsi"/>
        </w:rPr>
        <w:t xml:space="preserve">the </w:t>
      </w:r>
      <w:r w:rsidR="00117C65" w:rsidRPr="0060082A">
        <w:rPr>
          <w:rFonts w:asciiTheme="majorHAnsi" w:hAnsiTheme="majorHAnsi" w:cstheme="majorHAnsi"/>
        </w:rPr>
        <w:t>quality of teaching and learning.</w:t>
      </w:r>
      <w:r w:rsidRPr="0060082A">
        <w:rPr>
          <w:rFonts w:asciiTheme="majorHAnsi" w:hAnsiTheme="majorHAnsi" w:cstheme="majorHAnsi"/>
        </w:rPr>
        <w:t xml:space="preserve"> M</w:t>
      </w:r>
      <w:r w:rsidR="00117C65" w:rsidRPr="0060082A">
        <w:rPr>
          <w:rFonts w:asciiTheme="majorHAnsi" w:hAnsiTheme="majorHAnsi" w:cstheme="majorHAnsi"/>
        </w:rPr>
        <w:t>ulti grade teachers will also be given greater support to broaden</w:t>
      </w:r>
      <w:r w:rsidR="00C603A0" w:rsidRPr="0060082A">
        <w:rPr>
          <w:rFonts w:asciiTheme="majorHAnsi" w:hAnsiTheme="majorHAnsi" w:cstheme="majorHAnsi"/>
        </w:rPr>
        <w:t xml:space="preserve"> their</w:t>
      </w:r>
      <w:r w:rsidR="00117C65" w:rsidRPr="0060082A">
        <w:rPr>
          <w:rFonts w:asciiTheme="majorHAnsi" w:hAnsiTheme="majorHAnsi" w:cstheme="majorHAnsi"/>
        </w:rPr>
        <w:t xml:space="preserve"> skills </w:t>
      </w:r>
      <w:r w:rsidRPr="0060082A">
        <w:rPr>
          <w:rFonts w:asciiTheme="majorHAnsi" w:hAnsiTheme="majorHAnsi" w:cstheme="majorHAnsi"/>
        </w:rPr>
        <w:t xml:space="preserve">and </w:t>
      </w:r>
      <w:r w:rsidR="00117C65" w:rsidRPr="0060082A">
        <w:rPr>
          <w:rFonts w:asciiTheme="majorHAnsi" w:hAnsiTheme="majorHAnsi" w:cstheme="majorHAnsi"/>
        </w:rPr>
        <w:t xml:space="preserve">enable them to </w:t>
      </w:r>
      <w:r w:rsidR="00C603A0" w:rsidRPr="0060082A">
        <w:rPr>
          <w:rFonts w:asciiTheme="majorHAnsi" w:hAnsiTheme="majorHAnsi" w:cstheme="majorHAnsi"/>
        </w:rPr>
        <w:t xml:space="preserve">better </w:t>
      </w:r>
      <w:r w:rsidR="00117C65" w:rsidRPr="0060082A">
        <w:rPr>
          <w:rFonts w:asciiTheme="majorHAnsi" w:hAnsiTheme="majorHAnsi" w:cstheme="majorHAnsi"/>
        </w:rPr>
        <w:t xml:space="preserve">establish appropriate classroom strategies </w:t>
      </w:r>
      <w:r w:rsidRPr="0060082A">
        <w:rPr>
          <w:rFonts w:asciiTheme="majorHAnsi" w:hAnsiTheme="majorHAnsi" w:cstheme="majorHAnsi"/>
        </w:rPr>
        <w:t xml:space="preserve">and </w:t>
      </w:r>
      <w:r w:rsidR="00117C65" w:rsidRPr="0060082A">
        <w:rPr>
          <w:rFonts w:asciiTheme="majorHAnsi" w:hAnsiTheme="majorHAnsi" w:cstheme="majorHAnsi"/>
        </w:rPr>
        <w:t>become familiar with developing work plans for managing both multi-grade and mono</w:t>
      </w:r>
      <w:r w:rsidRPr="0060082A">
        <w:rPr>
          <w:rFonts w:asciiTheme="majorHAnsi" w:hAnsiTheme="majorHAnsi" w:cstheme="majorHAnsi"/>
        </w:rPr>
        <w:t>-</w:t>
      </w:r>
      <w:r w:rsidR="00117C65" w:rsidRPr="0060082A">
        <w:rPr>
          <w:rFonts w:asciiTheme="majorHAnsi" w:hAnsiTheme="majorHAnsi" w:cstheme="majorHAnsi"/>
        </w:rPr>
        <w:t xml:space="preserve">grade classrooms. </w:t>
      </w:r>
      <w:r w:rsidR="00620341" w:rsidRPr="0060082A">
        <w:rPr>
          <w:rFonts w:asciiTheme="majorHAnsi" w:hAnsiTheme="majorHAnsi" w:cstheme="majorHAnsi"/>
        </w:rPr>
        <w:t xml:space="preserve">More attention will </w:t>
      </w:r>
      <w:r w:rsidR="00620341" w:rsidRPr="0060082A">
        <w:rPr>
          <w:rFonts w:asciiTheme="majorHAnsi" w:hAnsiTheme="majorHAnsi" w:cstheme="majorHAnsi"/>
        </w:rPr>
        <w:lastRenderedPageBreak/>
        <w:t xml:space="preserve">also be paid to supporting assessment in the classroom to </w:t>
      </w:r>
      <w:r w:rsidR="00291796" w:rsidRPr="0060082A">
        <w:rPr>
          <w:rFonts w:asciiTheme="majorHAnsi" w:hAnsiTheme="majorHAnsi" w:cstheme="majorHAnsi"/>
        </w:rPr>
        <w:t xml:space="preserve">promote </w:t>
      </w:r>
      <w:r w:rsidR="00BC0293" w:rsidRPr="0060082A">
        <w:rPr>
          <w:rFonts w:asciiTheme="majorHAnsi" w:hAnsiTheme="majorHAnsi" w:cstheme="majorHAnsi"/>
        </w:rPr>
        <w:t xml:space="preserve">greater individualised attention to student’s needs, </w:t>
      </w:r>
      <w:r w:rsidR="00C603A0" w:rsidRPr="0060082A">
        <w:rPr>
          <w:rFonts w:asciiTheme="majorHAnsi" w:hAnsiTheme="majorHAnsi" w:cstheme="majorHAnsi"/>
        </w:rPr>
        <w:t xml:space="preserve">as well as </w:t>
      </w:r>
      <w:r w:rsidR="00BC0293" w:rsidRPr="0060082A">
        <w:rPr>
          <w:rFonts w:asciiTheme="majorHAnsi" w:hAnsiTheme="majorHAnsi" w:cstheme="majorHAnsi"/>
        </w:rPr>
        <w:t>strengthen teaching and</w:t>
      </w:r>
      <w:r w:rsidR="00C603A0" w:rsidRPr="0060082A">
        <w:rPr>
          <w:rFonts w:asciiTheme="majorHAnsi" w:hAnsiTheme="majorHAnsi" w:cstheme="majorHAnsi"/>
        </w:rPr>
        <w:t xml:space="preserve"> the</w:t>
      </w:r>
      <w:r w:rsidR="00BC0293" w:rsidRPr="0060082A">
        <w:rPr>
          <w:rFonts w:asciiTheme="majorHAnsi" w:hAnsiTheme="majorHAnsi" w:cstheme="majorHAnsi"/>
        </w:rPr>
        <w:t xml:space="preserve"> </w:t>
      </w:r>
      <w:r w:rsidR="008026D1" w:rsidRPr="0060082A">
        <w:rPr>
          <w:rFonts w:asciiTheme="majorHAnsi" w:hAnsiTheme="majorHAnsi" w:cstheme="majorHAnsi"/>
        </w:rPr>
        <w:t xml:space="preserve">opportunity to provide </w:t>
      </w:r>
      <w:r w:rsidR="00BC0293" w:rsidRPr="0060082A">
        <w:rPr>
          <w:rFonts w:asciiTheme="majorHAnsi" w:hAnsiTheme="majorHAnsi" w:cstheme="majorHAnsi"/>
        </w:rPr>
        <w:t>feedback to parents.</w:t>
      </w:r>
    </w:p>
    <w:p w14:paraId="5DCB6C5E" w14:textId="77777777" w:rsidR="007627F4" w:rsidRPr="00C918BF" w:rsidRDefault="00B716FC" w:rsidP="00022721">
      <w:pPr>
        <w:pStyle w:val="Heading3"/>
        <w:spacing w:line="235" w:lineRule="auto"/>
        <w:rPr>
          <w:color w:val="auto"/>
          <w:lang w:eastAsia="ko-KR"/>
        </w:rPr>
      </w:pPr>
      <w:bookmarkStart w:id="44" w:name="_Toc453669682"/>
      <w:bookmarkStart w:id="45" w:name="_Toc461615691"/>
      <w:r w:rsidRPr="00C918BF">
        <w:rPr>
          <w:color w:val="auto"/>
          <w:lang w:eastAsia="ko-KR"/>
        </w:rPr>
        <w:t>2.1</w:t>
      </w:r>
      <w:r w:rsidR="007627F4" w:rsidRPr="00C918BF">
        <w:rPr>
          <w:color w:val="auto"/>
          <w:lang w:eastAsia="ko-KR"/>
        </w:rPr>
        <w:t xml:space="preserve">.2 </w:t>
      </w:r>
      <w:r w:rsidR="008E4FBA" w:rsidRPr="00C918BF">
        <w:rPr>
          <w:color w:val="auto"/>
          <w:lang w:eastAsia="ko-KR"/>
        </w:rPr>
        <w:tab/>
      </w:r>
      <w:r w:rsidR="007627F4" w:rsidRPr="00C918BF">
        <w:rPr>
          <w:color w:val="auto"/>
          <w:lang w:eastAsia="ko-KR"/>
        </w:rPr>
        <w:t>Output 1.2: All teachers of single and multi-grade classes in Years 1-4 have capacity to develop children’s Te-Kiribati language, literacy and numeracy skills</w:t>
      </w:r>
      <w:bookmarkEnd w:id="44"/>
      <w:bookmarkEnd w:id="45"/>
    </w:p>
    <w:p w14:paraId="60094589" w14:textId="2F3B7CA8" w:rsidR="00D158E6" w:rsidRPr="0060082A" w:rsidRDefault="00366F11" w:rsidP="0060082A">
      <w:pPr>
        <w:rPr>
          <w:rFonts w:asciiTheme="majorHAnsi" w:hAnsiTheme="majorHAnsi" w:cstheme="majorHAnsi"/>
        </w:rPr>
      </w:pPr>
      <w:r w:rsidRPr="0060082A">
        <w:rPr>
          <w:rFonts w:asciiTheme="majorHAnsi" w:hAnsiTheme="majorHAnsi" w:cstheme="majorHAnsi"/>
        </w:rPr>
        <w:t xml:space="preserve">One of the key areas for teacher professional development was a focus on their English language capacity and the capacity to teach in English and also teach their students English. This change in the MoE language of delivery policy was a major undertaking and takes time to initiate and then maintain English language proficiency. </w:t>
      </w:r>
      <w:r w:rsidR="00D158E6" w:rsidRPr="0060082A">
        <w:rPr>
          <w:rFonts w:asciiTheme="majorHAnsi" w:hAnsiTheme="majorHAnsi" w:cstheme="majorHAnsi"/>
        </w:rPr>
        <w:t>In line with the Language in Education Policy (2012), the transition from Te-Kiribati to English as the main language of instruction start</w:t>
      </w:r>
      <w:r w:rsidR="0007474B" w:rsidRPr="0060082A">
        <w:rPr>
          <w:rFonts w:asciiTheme="majorHAnsi" w:hAnsiTheme="majorHAnsi" w:cstheme="majorHAnsi"/>
        </w:rPr>
        <w:t>ed</w:t>
      </w:r>
      <w:r w:rsidR="00D158E6" w:rsidRPr="0060082A">
        <w:rPr>
          <w:rFonts w:asciiTheme="majorHAnsi" w:hAnsiTheme="majorHAnsi" w:cstheme="majorHAnsi"/>
        </w:rPr>
        <w:t xml:space="preserve"> in Years 3 and 4 (2014 and 2015 respectively). The National Curriculum and Assessment Framework (NCAF), Language Policy states by Year 5, 60% of instruction should be in English. An essential factor in the success of bridging from Te-Kiribati to English is the teacher’s confidence and competence in using English </w:t>
      </w:r>
      <w:r w:rsidR="0007474B" w:rsidRPr="0060082A">
        <w:rPr>
          <w:rFonts w:asciiTheme="majorHAnsi" w:hAnsiTheme="majorHAnsi" w:cstheme="majorHAnsi"/>
        </w:rPr>
        <w:t xml:space="preserve">and to </w:t>
      </w:r>
      <w:r w:rsidR="00D158E6" w:rsidRPr="0060082A">
        <w:rPr>
          <w:rFonts w:asciiTheme="majorHAnsi" w:hAnsiTheme="majorHAnsi" w:cstheme="majorHAnsi"/>
        </w:rPr>
        <w:t>support students to</w:t>
      </w:r>
      <w:r w:rsidR="0007474B" w:rsidRPr="0060082A">
        <w:rPr>
          <w:rFonts w:asciiTheme="majorHAnsi" w:hAnsiTheme="majorHAnsi" w:cstheme="majorHAnsi"/>
        </w:rPr>
        <w:t xml:space="preserve"> </w:t>
      </w:r>
      <w:r w:rsidR="00D158E6" w:rsidRPr="0060082A">
        <w:rPr>
          <w:rFonts w:asciiTheme="majorHAnsi" w:hAnsiTheme="majorHAnsi" w:cstheme="majorHAnsi"/>
        </w:rPr>
        <w:t xml:space="preserve">express themselves and </w:t>
      </w:r>
      <w:r w:rsidR="00FE523E" w:rsidRPr="0060082A">
        <w:rPr>
          <w:rFonts w:asciiTheme="majorHAnsi" w:hAnsiTheme="majorHAnsi" w:cstheme="majorHAnsi"/>
        </w:rPr>
        <w:t xml:space="preserve">better </w:t>
      </w:r>
      <w:r w:rsidR="00D158E6" w:rsidRPr="0060082A">
        <w:rPr>
          <w:rFonts w:asciiTheme="majorHAnsi" w:hAnsiTheme="majorHAnsi" w:cstheme="majorHAnsi"/>
        </w:rPr>
        <w:t xml:space="preserve">understand </w:t>
      </w:r>
      <w:r w:rsidR="00C603A0" w:rsidRPr="0060082A">
        <w:rPr>
          <w:rFonts w:asciiTheme="majorHAnsi" w:hAnsiTheme="majorHAnsi" w:cstheme="majorHAnsi"/>
        </w:rPr>
        <w:t xml:space="preserve">content and concepts </w:t>
      </w:r>
      <w:r w:rsidR="00D158E6" w:rsidRPr="0060082A">
        <w:rPr>
          <w:rFonts w:asciiTheme="majorHAnsi" w:hAnsiTheme="majorHAnsi" w:cstheme="majorHAnsi"/>
        </w:rPr>
        <w:t>in English</w:t>
      </w:r>
      <w:r w:rsidR="00E27EBB" w:rsidRPr="0060082A">
        <w:rPr>
          <w:rFonts w:asciiTheme="majorHAnsi" w:hAnsiTheme="majorHAnsi" w:cstheme="majorHAnsi"/>
        </w:rPr>
        <w:t>.</w:t>
      </w:r>
    </w:p>
    <w:p w14:paraId="5EBD8E7B" w14:textId="49D8A75F" w:rsidR="00180909" w:rsidRPr="0060082A" w:rsidRDefault="00D158E6" w:rsidP="0060082A">
      <w:pPr>
        <w:rPr>
          <w:rFonts w:asciiTheme="majorHAnsi" w:hAnsiTheme="majorHAnsi" w:cstheme="majorHAnsi"/>
        </w:rPr>
      </w:pPr>
      <w:r w:rsidRPr="0060082A">
        <w:rPr>
          <w:rFonts w:asciiTheme="majorHAnsi" w:hAnsiTheme="majorHAnsi" w:cstheme="majorHAnsi"/>
        </w:rPr>
        <w:t xml:space="preserve">The key strategies </w:t>
      </w:r>
      <w:r w:rsidR="00D06A82" w:rsidRPr="0060082A">
        <w:rPr>
          <w:rFonts w:asciiTheme="majorHAnsi" w:hAnsiTheme="majorHAnsi" w:cstheme="majorHAnsi"/>
        </w:rPr>
        <w:t xml:space="preserve">involved </w:t>
      </w:r>
      <w:r w:rsidRPr="0060082A">
        <w:rPr>
          <w:rFonts w:asciiTheme="majorHAnsi" w:hAnsiTheme="majorHAnsi" w:cstheme="majorHAnsi"/>
        </w:rPr>
        <w:t xml:space="preserve">skilling teachers to deliver the curriculum in English; and developing and sustaining their own English language proficiency. </w:t>
      </w:r>
      <w:r w:rsidR="00D06A82" w:rsidRPr="0060082A">
        <w:rPr>
          <w:rFonts w:asciiTheme="majorHAnsi" w:hAnsiTheme="majorHAnsi" w:cstheme="majorHAnsi"/>
        </w:rPr>
        <w:t>T</w:t>
      </w:r>
      <w:r w:rsidRPr="0060082A">
        <w:rPr>
          <w:rFonts w:asciiTheme="majorHAnsi" w:hAnsiTheme="majorHAnsi" w:cstheme="majorHAnsi"/>
        </w:rPr>
        <w:t xml:space="preserve">he Kiribati English Language Program (KELP) commenced in March 2011 </w:t>
      </w:r>
      <w:r w:rsidR="00FA39C8" w:rsidRPr="0060082A">
        <w:rPr>
          <w:rFonts w:asciiTheme="majorHAnsi" w:hAnsiTheme="majorHAnsi" w:cstheme="majorHAnsi"/>
        </w:rPr>
        <w:t xml:space="preserve">during KEIP Phase </w:t>
      </w:r>
      <w:r w:rsidR="000A49FE">
        <w:rPr>
          <w:rFonts w:asciiTheme="majorHAnsi" w:hAnsiTheme="majorHAnsi" w:cstheme="majorHAnsi"/>
        </w:rPr>
        <w:t>1</w:t>
      </w:r>
      <w:r w:rsidRPr="0060082A">
        <w:rPr>
          <w:rFonts w:asciiTheme="majorHAnsi" w:hAnsiTheme="majorHAnsi" w:cstheme="majorHAnsi"/>
        </w:rPr>
        <w:t xml:space="preserve">. </w:t>
      </w:r>
      <w:r w:rsidR="00A65D75" w:rsidRPr="0060082A">
        <w:rPr>
          <w:rFonts w:asciiTheme="majorHAnsi" w:hAnsiTheme="majorHAnsi" w:cstheme="majorHAnsi"/>
        </w:rPr>
        <w:t>The target was for all teachers participating in the training to reach an ISLPR 3 in all macro skills.</w:t>
      </w:r>
      <w:r w:rsidR="00BC4B6D" w:rsidRPr="0060082A">
        <w:rPr>
          <w:rFonts w:asciiTheme="majorHAnsi" w:hAnsiTheme="majorHAnsi" w:cstheme="majorHAnsi"/>
        </w:rPr>
        <w:t xml:space="preserve"> </w:t>
      </w:r>
      <w:r w:rsidRPr="0060082A">
        <w:rPr>
          <w:rFonts w:asciiTheme="majorHAnsi" w:hAnsiTheme="majorHAnsi" w:cstheme="majorHAnsi"/>
        </w:rPr>
        <w:t>By the end of Term 1</w:t>
      </w:r>
      <w:r w:rsidR="00F5719E" w:rsidRPr="0060082A">
        <w:rPr>
          <w:rFonts w:asciiTheme="majorHAnsi" w:hAnsiTheme="majorHAnsi" w:cstheme="majorHAnsi"/>
        </w:rPr>
        <w:t xml:space="preserve"> 2014</w:t>
      </w:r>
      <w:r w:rsidRPr="0060082A">
        <w:rPr>
          <w:rFonts w:asciiTheme="majorHAnsi" w:hAnsiTheme="majorHAnsi" w:cstheme="majorHAnsi"/>
        </w:rPr>
        <w:t xml:space="preserve"> (May 2014), 591 teachers </w:t>
      </w:r>
      <w:r w:rsidR="00335AF3" w:rsidRPr="0060082A">
        <w:rPr>
          <w:rFonts w:asciiTheme="majorHAnsi" w:hAnsiTheme="majorHAnsi" w:cstheme="majorHAnsi"/>
        </w:rPr>
        <w:t xml:space="preserve">across grades 1-6 </w:t>
      </w:r>
      <w:r w:rsidRPr="0060082A">
        <w:rPr>
          <w:rFonts w:asciiTheme="majorHAnsi" w:hAnsiTheme="majorHAnsi" w:cstheme="majorHAnsi"/>
        </w:rPr>
        <w:t>had received KELP training with 73% achieving standard level</w:t>
      </w:r>
      <w:r w:rsidR="009C226E" w:rsidRPr="0060082A">
        <w:rPr>
          <w:rFonts w:asciiTheme="majorHAnsi" w:hAnsiTheme="majorHAnsi" w:cstheme="majorHAnsi"/>
        </w:rPr>
        <w:t xml:space="preserve"> </w:t>
      </w:r>
      <w:r w:rsidRPr="0060082A">
        <w:rPr>
          <w:rFonts w:asciiTheme="majorHAnsi" w:hAnsiTheme="majorHAnsi" w:cstheme="majorHAnsi"/>
        </w:rPr>
        <w:t>KELT 6</w:t>
      </w:r>
      <w:r w:rsidR="00A65D75" w:rsidRPr="0060082A">
        <w:rPr>
          <w:rFonts w:asciiTheme="majorHAnsi" w:hAnsiTheme="majorHAnsi" w:cstheme="majorHAnsi"/>
        </w:rPr>
        <w:t>.</w:t>
      </w:r>
      <w:r w:rsidR="00BC4B6D" w:rsidRPr="0060082A">
        <w:rPr>
          <w:rFonts w:asciiTheme="majorHAnsi" w:hAnsiTheme="majorHAnsi" w:cstheme="majorHAnsi"/>
        </w:rPr>
        <w:t xml:space="preserve"> </w:t>
      </w:r>
      <w:r w:rsidRPr="0060082A">
        <w:rPr>
          <w:rFonts w:asciiTheme="majorHAnsi" w:hAnsiTheme="majorHAnsi" w:cstheme="majorHAnsi"/>
        </w:rPr>
        <w:t>KELT Level 6.0 is roughly equivalent to ISLPR 3</w:t>
      </w:r>
      <w:r w:rsidRPr="0060082A">
        <w:rPr>
          <w:rFonts w:asciiTheme="majorHAnsi" w:hAnsiTheme="majorHAnsi" w:cstheme="majorHAnsi"/>
          <w:vertAlign w:val="superscript"/>
        </w:rPr>
        <w:footnoteReference w:id="14"/>
      </w:r>
      <w:r w:rsidR="00D70C8B" w:rsidRPr="0060082A">
        <w:rPr>
          <w:rFonts w:asciiTheme="majorHAnsi" w:hAnsiTheme="majorHAnsi" w:cstheme="majorHAnsi"/>
        </w:rPr>
        <w:t xml:space="preserve"> </w:t>
      </w:r>
      <w:r w:rsidRPr="0060082A">
        <w:rPr>
          <w:rFonts w:asciiTheme="majorHAnsi" w:hAnsiTheme="majorHAnsi" w:cstheme="majorHAnsi"/>
        </w:rPr>
        <w:t>in all macro skills – listening, speaking, reading and writing</w:t>
      </w:r>
      <w:r w:rsidRPr="0060082A">
        <w:rPr>
          <w:rFonts w:asciiTheme="majorHAnsi" w:eastAsia="Times New Roman" w:hAnsiTheme="majorHAnsi" w:cstheme="majorHAnsi"/>
          <w:spacing w:val="2"/>
          <w:lang w:eastAsia="en-AU"/>
        </w:rPr>
        <w:t>.</w:t>
      </w:r>
      <w:r w:rsidR="00180909" w:rsidRPr="0060082A">
        <w:rPr>
          <w:rFonts w:asciiTheme="majorHAnsi" w:hAnsiTheme="majorHAnsi" w:cstheme="majorHAnsi"/>
        </w:rPr>
        <w:t xml:space="preserve"> </w:t>
      </w:r>
    </w:p>
    <w:p w14:paraId="290FEC3C" w14:textId="17865084" w:rsidR="00335AF3" w:rsidRPr="00C918BF" w:rsidRDefault="00335AF3" w:rsidP="009C226E">
      <w:pPr>
        <w:autoSpaceDE w:val="0"/>
        <w:autoSpaceDN w:val="0"/>
        <w:adjustRightInd w:val="0"/>
        <w:spacing w:after="120"/>
        <w:ind w:right="-448"/>
        <w:rPr>
          <w:rFonts w:ascii="Arial" w:hAnsi="Arial" w:cs="Arial"/>
        </w:rPr>
      </w:pPr>
      <w:r w:rsidRPr="00C918BF">
        <w:rPr>
          <w:rFonts w:ascii="Arial" w:hAnsi="Arial" w:cs="Arial"/>
        </w:rPr>
        <w:t>On the whole, KELP was relatively successful in achieving results</w:t>
      </w:r>
      <w:r w:rsidR="00C603A0" w:rsidRPr="00C918BF">
        <w:rPr>
          <w:rFonts w:ascii="Arial" w:hAnsi="Arial" w:cs="Arial"/>
        </w:rPr>
        <w:t>. H</w:t>
      </w:r>
      <w:r w:rsidRPr="00C918BF">
        <w:rPr>
          <w:rFonts w:ascii="Arial" w:hAnsi="Arial" w:cs="Arial"/>
        </w:rPr>
        <w:t xml:space="preserve">owever, prior to the KEIP Independent </w:t>
      </w:r>
      <w:r w:rsidR="008B3069" w:rsidRPr="00C918BF">
        <w:rPr>
          <w:rFonts w:ascii="Arial" w:hAnsi="Arial" w:cs="Arial"/>
        </w:rPr>
        <w:t xml:space="preserve">Evaluation </w:t>
      </w:r>
      <w:r w:rsidRPr="00C918BF">
        <w:rPr>
          <w:rFonts w:ascii="Arial" w:hAnsi="Arial" w:cs="Arial"/>
        </w:rPr>
        <w:t>(</w:t>
      </w:r>
      <w:r w:rsidR="001C49F4" w:rsidRPr="00C918BF">
        <w:rPr>
          <w:rFonts w:ascii="Arial" w:hAnsi="Arial" w:cs="Arial"/>
        </w:rPr>
        <w:t xml:space="preserve">September </w:t>
      </w:r>
      <w:r w:rsidRPr="00C918BF">
        <w:rPr>
          <w:rFonts w:ascii="Arial" w:hAnsi="Arial" w:cs="Arial"/>
        </w:rPr>
        <w:t xml:space="preserve">2014), which suggested a review of KELP, the Ministry suspended the </w:t>
      </w:r>
      <w:r w:rsidR="00C603A0" w:rsidRPr="00C918BF">
        <w:rPr>
          <w:rFonts w:ascii="Arial" w:hAnsi="Arial" w:cs="Arial"/>
        </w:rPr>
        <w:t xml:space="preserve">KELP </w:t>
      </w:r>
      <w:r w:rsidRPr="00C918BF">
        <w:rPr>
          <w:rFonts w:ascii="Arial" w:hAnsi="Arial" w:cs="Arial"/>
        </w:rPr>
        <w:t xml:space="preserve">program. The Ministry found the program’s mode of delivery too taxing administratively and financially. The engagement and deployment of relief teachers (to replace those teachers undertaking training over a three-month period), </w:t>
      </w:r>
      <w:r w:rsidR="00C603D3" w:rsidRPr="00C918BF">
        <w:rPr>
          <w:rFonts w:ascii="Arial" w:hAnsi="Arial" w:cs="Arial"/>
        </w:rPr>
        <w:t>caused MoE</w:t>
      </w:r>
      <w:r w:rsidR="006E6B10" w:rsidRPr="00C918BF">
        <w:rPr>
          <w:rFonts w:ascii="Arial" w:hAnsi="Arial" w:cs="Arial"/>
        </w:rPr>
        <w:t xml:space="preserve"> </w:t>
      </w:r>
      <w:r w:rsidRPr="00C918BF">
        <w:rPr>
          <w:rFonts w:ascii="Arial" w:hAnsi="Arial" w:cs="Arial"/>
        </w:rPr>
        <w:t>a sizeable financial deficit and cumbersome administrative burden.</w:t>
      </w:r>
    </w:p>
    <w:p w14:paraId="0EA532F1" w14:textId="1BB9153A" w:rsidR="005C1926" w:rsidRPr="00C918BF" w:rsidRDefault="00335AF3" w:rsidP="009C226E">
      <w:pPr>
        <w:autoSpaceDE w:val="0"/>
        <w:autoSpaceDN w:val="0"/>
        <w:adjustRightInd w:val="0"/>
        <w:spacing w:after="120"/>
        <w:ind w:right="-448"/>
        <w:rPr>
          <w:rFonts w:ascii="Arial" w:hAnsi="Arial" w:cs="Arial"/>
        </w:rPr>
      </w:pPr>
      <w:r w:rsidRPr="00C918BF">
        <w:rPr>
          <w:rFonts w:ascii="Arial" w:hAnsi="Arial" w:cs="Arial"/>
        </w:rPr>
        <w:t xml:space="preserve">The Independent </w:t>
      </w:r>
      <w:r w:rsidR="008B3069" w:rsidRPr="00C918BF">
        <w:rPr>
          <w:rFonts w:ascii="Arial" w:hAnsi="Arial" w:cs="Arial"/>
        </w:rPr>
        <w:t xml:space="preserve">Evaluation </w:t>
      </w:r>
      <w:r w:rsidRPr="00C918BF">
        <w:rPr>
          <w:rFonts w:ascii="Arial" w:hAnsi="Arial" w:cs="Arial"/>
        </w:rPr>
        <w:t xml:space="preserve">recommended finding a more appropriate and effective training model for equipping teachers (Grade 4 –JSS) with the knowledge and skills </w:t>
      </w:r>
      <w:r w:rsidR="00C603A0" w:rsidRPr="00C918BF">
        <w:rPr>
          <w:rFonts w:ascii="Arial" w:hAnsi="Arial" w:cs="Arial"/>
        </w:rPr>
        <w:t xml:space="preserve">in order </w:t>
      </w:r>
      <w:r w:rsidRPr="00C918BF">
        <w:rPr>
          <w:rFonts w:ascii="Arial" w:hAnsi="Arial" w:cs="Arial"/>
        </w:rPr>
        <w:t>to deliver the curriculum in English.</w:t>
      </w:r>
      <w:r w:rsidR="009C226E" w:rsidRPr="00C918BF">
        <w:rPr>
          <w:rFonts w:ascii="Arial" w:hAnsi="Arial" w:cs="Arial"/>
        </w:rPr>
        <w:t xml:space="preserve"> </w:t>
      </w:r>
      <w:r w:rsidR="005C1926" w:rsidRPr="00C918BF">
        <w:rPr>
          <w:rFonts w:ascii="Arial" w:hAnsi="Arial" w:cs="Arial"/>
        </w:rPr>
        <w:t>The</w:t>
      </w:r>
      <w:r w:rsidR="006E6B10" w:rsidRPr="00C918BF">
        <w:rPr>
          <w:rFonts w:ascii="Arial" w:hAnsi="Arial" w:cs="Arial"/>
        </w:rPr>
        <w:t xml:space="preserve"> </w:t>
      </w:r>
      <w:r w:rsidR="005C1926" w:rsidRPr="00C918BF">
        <w:rPr>
          <w:rFonts w:ascii="Arial" w:hAnsi="Arial" w:cs="Arial"/>
        </w:rPr>
        <w:t xml:space="preserve">suggestions were </w:t>
      </w:r>
      <w:r w:rsidR="0026224E" w:rsidRPr="00C918BF">
        <w:rPr>
          <w:rFonts w:ascii="Arial" w:hAnsi="Arial" w:cs="Arial"/>
        </w:rPr>
        <w:t>acted upon</w:t>
      </w:r>
      <w:r w:rsidR="00C603A0" w:rsidRPr="00C918BF">
        <w:rPr>
          <w:rFonts w:ascii="Arial" w:hAnsi="Arial" w:cs="Arial"/>
        </w:rPr>
        <w:t>. D</w:t>
      </w:r>
      <w:r w:rsidR="005C1926" w:rsidRPr="00C918BF">
        <w:rPr>
          <w:rFonts w:ascii="Arial" w:hAnsi="Arial" w:cs="Arial"/>
        </w:rPr>
        <w:t>uring August 2014 members of the MoE KELP Review Team</w:t>
      </w:r>
      <w:r w:rsidR="00C603A0" w:rsidRPr="00C918BF">
        <w:rPr>
          <w:rFonts w:ascii="Arial" w:hAnsi="Arial" w:cs="Arial"/>
        </w:rPr>
        <w:t xml:space="preserve"> (</w:t>
      </w:r>
      <w:r w:rsidR="005C1926" w:rsidRPr="00C918BF">
        <w:rPr>
          <w:rFonts w:ascii="Arial" w:hAnsi="Arial" w:cs="Arial"/>
        </w:rPr>
        <w:t>comprising members from MoE and KTC executive management team and KELP personnel</w:t>
      </w:r>
      <w:r w:rsidR="00C603A0" w:rsidRPr="00C918BF">
        <w:rPr>
          <w:rFonts w:ascii="Arial" w:hAnsi="Arial" w:cs="Arial"/>
        </w:rPr>
        <w:t>),</w:t>
      </w:r>
      <w:r w:rsidR="005C1926" w:rsidRPr="00C918BF">
        <w:rPr>
          <w:rFonts w:ascii="Arial" w:hAnsi="Arial" w:cs="Arial"/>
        </w:rPr>
        <w:t xml:space="preserve"> review</w:t>
      </w:r>
      <w:r w:rsidR="0026224E" w:rsidRPr="00C918BF">
        <w:rPr>
          <w:rFonts w:ascii="Arial" w:hAnsi="Arial" w:cs="Arial"/>
        </w:rPr>
        <w:t>ed</w:t>
      </w:r>
      <w:r w:rsidR="005C1926" w:rsidRPr="00C918BF">
        <w:rPr>
          <w:rFonts w:ascii="Arial" w:hAnsi="Arial" w:cs="Arial"/>
        </w:rPr>
        <w:t xml:space="preserve"> the KTC TESOL certificate course and the KELP curriculum. The importance of building on early processes was acknowledged and discussion centred on a model that would limit cost to the MoE, be sustainable, provide on-going language training to support curriculum reforms and language policy, and address the balance between teachers’ own level of proficiency and the skills required in TESOL.</w:t>
      </w:r>
    </w:p>
    <w:p w14:paraId="729FFF98" w14:textId="7F2B437F" w:rsidR="005C1926" w:rsidRPr="00C918BF" w:rsidRDefault="00C603A0" w:rsidP="009C226E">
      <w:pPr>
        <w:autoSpaceDE w:val="0"/>
        <w:autoSpaceDN w:val="0"/>
        <w:adjustRightInd w:val="0"/>
        <w:spacing w:after="120"/>
        <w:ind w:right="-448"/>
        <w:rPr>
          <w:rFonts w:ascii="Arial" w:hAnsi="Arial" w:cs="Arial"/>
        </w:rPr>
      </w:pPr>
      <w:r w:rsidRPr="00C918BF">
        <w:rPr>
          <w:rFonts w:ascii="Arial" w:hAnsi="Arial" w:cs="Arial"/>
        </w:rPr>
        <w:t>T</w:t>
      </w:r>
      <w:r w:rsidR="005C1926" w:rsidRPr="00C918BF">
        <w:rPr>
          <w:rFonts w:ascii="Arial" w:hAnsi="Arial" w:cs="Arial"/>
        </w:rPr>
        <w:t xml:space="preserve">he review was a situation analysis, </w:t>
      </w:r>
      <w:r w:rsidR="0026224E" w:rsidRPr="00C918BF">
        <w:rPr>
          <w:rFonts w:ascii="Arial" w:hAnsi="Arial" w:cs="Arial"/>
        </w:rPr>
        <w:t xml:space="preserve">involving </w:t>
      </w:r>
      <w:r w:rsidR="005C1926" w:rsidRPr="00C918BF">
        <w:rPr>
          <w:rFonts w:ascii="Arial" w:hAnsi="Arial" w:cs="Arial"/>
        </w:rPr>
        <w:t>achievements and lessons learnt under LEPP and KELP, through interviews with the stakeholders and a review of key documents, particularly base line study reports, training materials, consideration of utilising the University of the South Pacific (USP)</w:t>
      </w:r>
      <w:r w:rsidR="005C1926" w:rsidRPr="00B255D2">
        <w:rPr>
          <w:vertAlign w:val="superscript"/>
        </w:rPr>
        <w:footnoteReference w:id="15"/>
      </w:r>
      <w:r w:rsidR="005C1926" w:rsidRPr="00C918BF">
        <w:rPr>
          <w:rFonts w:ascii="Arial" w:hAnsi="Arial" w:cs="Arial"/>
        </w:rPr>
        <w:t>, desk research</w:t>
      </w:r>
      <w:r w:rsidR="005C1926" w:rsidRPr="00B255D2">
        <w:rPr>
          <w:vertAlign w:val="superscript"/>
        </w:rPr>
        <w:footnoteReference w:id="16"/>
      </w:r>
      <w:r w:rsidR="005C1926" w:rsidRPr="00C918BF">
        <w:rPr>
          <w:rFonts w:ascii="Arial" w:hAnsi="Arial" w:cs="Arial"/>
        </w:rPr>
        <w:t xml:space="preserve"> and discussion with, KEF ESL literacy Adviser, IALF Bali and Kiribati Institute of Technology (KIT) and ISLPR Director. KIT and Kiribati Maritime College both provi</w:t>
      </w:r>
      <w:r w:rsidR="005C1926" w:rsidRPr="00D860CA">
        <w:rPr>
          <w:rFonts w:ascii="Arial" w:hAnsi="Arial" w:cs="Arial"/>
        </w:rPr>
        <w:t>de English language programs structured to meet student’s medium and long-term goals for improving English Language proficiency using the ISLPR assessment process</w:t>
      </w:r>
      <w:r w:rsidR="00916DE6" w:rsidRPr="00D860CA">
        <w:rPr>
          <w:rFonts w:ascii="Arial" w:hAnsi="Arial" w:cs="Arial"/>
        </w:rPr>
        <w:t>, w</w:t>
      </w:r>
      <w:r w:rsidRPr="00C918BF">
        <w:rPr>
          <w:rFonts w:ascii="Arial" w:hAnsi="Arial" w:cs="Arial"/>
        </w:rPr>
        <w:t>ith p</w:t>
      </w:r>
      <w:r w:rsidR="005C1926" w:rsidRPr="00C918BF">
        <w:rPr>
          <w:rFonts w:ascii="Arial" w:hAnsi="Arial" w:cs="Arial"/>
        </w:rPr>
        <w:t xml:space="preserve">roficiency seen as the ability to carry out practical language tasks in real-life situations and the form of the language used in carrying out such tasks. </w:t>
      </w:r>
    </w:p>
    <w:p w14:paraId="7F1D6553" w14:textId="40277074" w:rsidR="00335AF3" w:rsidRPr="00C918BF" w:rsidRDefault="005C1926" w:rsidP="009C226E">
      <w:pPr>
        <w:autoSpaceDE w:val="0"/>
        <w:autoSpaceDN w:val="0"/>
        <w:adjustRightInd w:val="0"/>
        <w:spacing w:after="120"/>
        <w:ind w:right="-448"/>
        <w:rPr>
          <w:rFonts w:ascii="Arial" w:hAnsi="Arial" w:cs="Arial"/>
        </w:rPr>
      </w:pPr>
      <w:r w:rsidRPr="00C918BF">
        <w:rPr>
          <w:rFonts w:ascii="Arial" w:hAnsi="Arial" w:cs="Arial"/>
        </w:rPr>
        <w:t>Ministry officers, KTC staff and technical advisers associated with the transition to English in Grade 4-5,</w:t>
      </w:r>
      <w:r w:rsidR="004E1BF2">
        <w:rPr>
          <w:rFonts w:ascii="Arial" w:hAnsi="Arial" w:cs="Arial"/>
        </w:rPr>
        <w:t xml:space="preserve"> </w:t>
      </w:r>
      <w:r w:rsidRPr="00C918BF">
        <w:rPr>
          <w:rFonts w:ascii="Arial" w:hAnsi="Arial" w:cs="Arial"/>
        </w:rPr>
        <w:t xml:space="preserve">agreed that improved English language skills and TESOL skills are both necessary </w:t>
      </w:r>
      <w:r w:rsidR="004E1BF2">
        <w:rPr>
          <w:rFonts w:ascii="Arial" w:hAnsi="Arial" w:cs="Arial"/>
        </w:rPr>
        <w:t xml:space="preserve">for </w:t>
      </w:r>
      <w:r w:rsidRPr="00C918BF">
        <w:rPr>
          <w:rFonts w:ascii="Arial" w:hAnsi="Arial" w:cs="Arial"/>
        </w:rPr>
        <w:t xml:space="preserve"> consistency in transferring students’ literacy skills in Te-Kiribati to English</w:t>
      </w:r>
    </w:p>
    <w:p w14:paraId="25C50BC7" w14:textId="5D5B8E3E" w:rsidR="00F42169" w:rsidRPr="00C918BF" w:rsidRDefault="00F42169" w:rsidP="009C226E">
      <w:pPr>
        <w:autoSpaceDE w:val="0"/>
        <w:autoSpaceDN w:val="0"/>
        <w:adjustRightInd w:val="0"/>
        <w:spacing w:after="120"/>
        <w:ind w:right="-448"/>
        <w:rPr>
          <w:rFonts w:ascii="Arial" w:hAnsi="Arial" w:cs="Arial"/>
        </w:rPr>
      </w:pPr>
      <w:r w:rsidRPr="00C918BF">
        <w:rPr>
          <w:rFonts w:ascii="Arial" w:hAnsi="Arial" w:cs="Arial"/>
        </w:rPr>
        <w:lastRenderedPageBreak/>
        <w:t>The</w:t>
      </w:r>
      <w:r w:rsidR="008B3069" w:rsidRPr="00C918BF">
        <w:rPr>
          <w:rFonts w:ascii="Arial" w:hAnsi="Arial" w:cs="Arial"/>
        </w:rPr>
        <w:t xml:space="preserve"> </w:t>
      </w:r>
      <w:r w:rsidRPr="00C918BF">
        <w:rPr>
          <w:rFonts w:ascii="Arial" w:hAnsi="Arial" w:cs="Arial"/>
        </w:rPr>
        <w:t xml:space="preserve">KTC TESOL Program </w:t>
      </w:r>
      <w:r w:rsidR="00C603A0" w:rsidRPr="00C918BF">
        <w:rPr>
          <w:rFonts w:ascii="Arial" w:hAnsi="Arial" w:cs="Arial"/>
        </w:rPr>
        <w:t xml:space="preserve">was </w:t>
      </w:r>
      <w:r w:rsidR="00C92F03">
        <w:rPr>
          <w:rFonts w:ascii="Arial" w:hAnsi="Arial" w:cs="Arial"/>
        </w:rPr>
        <w:t xml:space="preserve">designed </w:t>
      </w:r>
      <w:r w:rsidRPr="00C918BF">
        <w:rPr>
          <w:rFonts w:ascii="Arial" w:hAnsi="Arial" w:cs="Arial"/>
        </w:rPr>
        <w:t xml:space="preserve">to provide </w:t>
      </w:r>
      <w:r w:rsidR="003C3AF4">
        <w:rPr>
          <w:rFonts w:ascii="Arial" w:hAnsi="Arial" w:cs="Arial"/>
        </w:rPr>
        <w:t xml:space="preserve">teachers with </w:t>
      </w:r>
      <w:r w:rsidRPr="00C918BF">
        <w:rPr>
          <w:rFonts w:ascii="Arial" w:hAnsi="Arial" w:cs="Arial"/>
        </w:rPr>
        <w:t xml:space="preserve">five English language training cycles over an eighteen month period via a decentralised mode of delivery. Each cycle </w:t>
      </w:r>
      <w:r w:rsidR="00C603A0" w:rsidRPr="00C918BF">
        <w:rPr>
          <w:rFonts w:ascii="Arial" w:hAnsi="Arial" w:cs="Arial"/>
        </w:rPr>
        <w:t>comprised</w:t>
      </w:r>
      <w:r w:rsidR="006E6B10" w:rsidRPr="00C918BF">
        <w:rPr>
          <w:rFonts w:ascii="Arial" w:hAnsi="Arial" w:cs="Arial"/>
        </w:rPr>
        <w:t xml:space="preserve"> </w:t>
      </w:r>
      <w:r w:rsidRPr="00C918BF">
        <w:rPr>
          <w:rFonts w:ascii="Arial" w:hAnsi="Arial" w:cs="Arial"/>
        </w:rPr>
        <w:t>twenty two-hour sessions of targeted English language content us</w:t>
      </w:r>
      <w:r w:rsidR="00440193">
        <w:rPr>
          <w:rFonts w:ascii="Arial" w:hAnsi="Arial" w:cs="Arial"/>
        </w:rPr>
        <w:t>ed</w:t>
      </w:r>
      <w:r w:rsidRPr="00C918BF">
        <w:rPr>
          <w:rFonts w:ascii="Arial" w:hAnsi="Arial" w:cs="Arial"/>
        </w:rPr>
        <w:t xml:space="preserve"> the approach to teaching English as a second language (TESOL) work</w:t>
      </w:r>
      <w:r w:rsidR="00A06603">
        <w:rPr>
          <w:rFonts w:ascii="Arial" w:hAnsi="Arial" w:cs="Arial"/>
        </w:rPr>
        <w:t xml:space="preserve">ed </w:t>
      </w:r>
      <w:r w:rsidRPr="00C918BF">
        <w:rPr>
          <w:rFonts w:ascii="Arial" w:hAnsi="Arial" w:cs="Arial"/>
        </w:rPr>
        <w:t>with the new curriculum</w:t>
      </w:r>
      <w:r w:rsidR="00C603A0" w:rsidRPr="00C918BF">
        <w:rPr>
          <w:rFonts w:ascii="Arial" w:hAnsi="Arial" w:cs="Arial"/>
        </w:rPr>
        <w:t>, as well as</w:t>
      </w:r>
      <w:r w:rsidR="006E6B10" w:rsidRPr="00C918BF">
        <w:rPr>
          <w:rFonts w:ascii="Arial" w:hAnsi="Arial" w:cs="Arial"/>
        </w:rPr>
        <w:t xml:space="preserve"> </w:t>
      </w:r>
      <w:r w:rsidRPr="00C918BF">
        <w:rPr>
          <w:rFonts w:ascii="Arial" w:hAnsi="Arial" w:cs="Arial"/>
        </w:rPr>
        <w:t>a focus on the method and practice (pedagogy) of teaching, and learning English as a Second Language (ESL).</w:t>
      </w:r>
      <w:r w:rsidR="004B4DBB" w:rsidRPr="00C918BF">
        <w:rPr>
          <w:rFonts w:ascii="Arial" w:hAnsi="Arial" w:cs="Arial"/>
        </w:rPr>
        <w:t xml:space="preserve"> For teachers to be awarded the Certificate in Training (TESOL) they </w:t>
      </w:r>
      <w:r w:rsidR="00C603A0" w:rsidRPr="00C918BF">
        <w:rPr>
          <w:rFonts w:ascii="Arial" w:hAnsi="Arial" w:cs="Arial"/>
        </w:rPr>
        <w:t>needed</w:t>
      </w:r>
      <w:r w:rsidR="006E6B10" w:rsidRPr="00C918BF">
        <w:rPr>
          <w:rFonts w:ascii="Arial" w:hAnsi="Arial" w:cs="Arial"/>
        </w:rPr>
        <w:t xml:space="preserve"> </w:t>
      </w:r>
      <w:r w:rsidR="00C603A0" w:rsidRPr="00C918BF">
        <w:rPr>
          <w:rFonts w:ascii="Arial" w:hAnsi="Arial" w:cs="Arial"/>
        </w:rPr>
        <w:t>to</w:t>
      </w:r>
      <w:r w:rsidR="004B4DBB" w:rsidRPr="00C918BF">
        <w:rPr>
          <w:rFonts w:ascii="Arial" w:hAnsi="Arial" w:cs="Arial"/>
        </w:rPr>
        <w:t xml:space="preserve"> achieve a minimum ISLPR score of 4+</w:t>
      </w:r>
      <w:r w:rsidR="004B4DBB" w:rsidRPr="00C918BF">
        <w:footnoteReference w:id="17"/>
      </w:r>
      <w:r w:rsidR="004B4DBB" w:rsidRPr="00C918BF">
        <w:rPr>
          <w:rFonts w:ascii="Arial" w:hAnsi="Arial" w:cs="Arial"/>
        </w:rPr>
        <w:t xml:space="preserve"> on each of the four macro skills (Speaking, Listening, Reading and Writing). ISLPR 4 is the level in all macro skills required to teach in Australian schools</w:t>
      </w:r>
    </w:p>
    <w:p w14:paraId="1361970E" w14:textId="77777777" w:rsidR="00D158E6" w:rsidRPr="00820811" w:rsidRDefault="00D158E6" w:rsidP="0060082A">
      <w:pPr>
        <w:rPr>
          <w:rFonts w:asciiTheme="majorHAnsi" w:hAnsiTheme="majorHAnsi" w:cstheme="majorHAnsi"/>
          <w:spacing w:val="2"/>
        </w:rPr>
      </w:pPr>
      <w:r w:rsidRPr="00820811">
        <w:rPr>
          <w:rFonts w:asciiTheme="majorHAnsi" w:hAnsiTheme="majorHAnsi" w:cstheme="majorHAnsi"/>
          <w:spacing w:val="2"/>
        </w:rPr>
        <w:t>KTC TESO</w:t>
      </w:r>
      <w:r w:rsidR="003A1B77" w:rsidRPr="00820811">
        <w:rPr>
          <w:rFonts w:asciiTheme="majorHAnsi" w:hAnsiTheme="majorHAnsi" w:cstheme="majorHAnsi"/>
          <w:spacing w:val="2"/>
        </w:rPr>
        <w:t>L</w:t>
      </w:r>
      <w:r w:rsidR="003C5989" w:rsidRPr="00820811">
        <w:rPr>
          <w:rFonts w:asciiTheme="majorHAnsi" w:hAnsiTheme="majorHAnsi" w:cstheme="majorHAnsi"/>
          <w:spacing w:val="2"/>
        </w:rPr>
        <w:t>, trialled in 2015,</w:t>
      </w:r>
      <w:r w:rsidRPr="00820811">
        <w:rPr>
          <w:rFonts w:asciiTheme="majorHAnsi" w:hAnsiTheme="majorHAnsi" w:cstheme="majorHAnsi"/>
          <w:spacing w:val="2"/>
        </w:rPr>
        <w:t xml:space="preserve"> focused on Year 4 teaching cohorts based in South Tarawa. The TESOL cycles have been delivered to </w:t>
      </w:r>
      <w:r w:rsidR="00F5719E" w:rsidRPr="00820811">
        <w:rPr>
          <w:rFonts w:asciiTheme="majorHAnsi" w:hAnsiTheme="majorHAnsi" w:cstheme="majorHAnsi"/>
          <w:spacing w:val="2"/>
        </w:rPr>
        <w:t>the</w:t>
      </w:r>
      <w:r w:rsidRPr="00820811">
        <w:rPr>
          <w:rFonts w:asciiTheme="majorHAnsi" w:hAnsiTheme="majorHAnsi" w:cstheme="majorHAnsi"/>
          <w:spacing w:val="2"/>
        </w:rPr>
        <w:t xml:space="preserve"> cohorts on alternate months throughout the year</w:t>
      </w:r>
      <w:r w:rsidR="00D06A82" w:rsidRPr="00820811">
        <w:rPr>
          <w:rFonts w:asciiTheme="majorHAnsi" w:hAnsiTheme="majorHAnsi" w:cstheme="majorHAnsi"/>
          <w:spacing w:val="2"/>
        </w:rPr>
        <w:t xml:space="preserve">. </w:t>
      </w:r>
      <w:r w:rsidR="003C5989" w:rsidRPr="00820811">
        <w:rPr>
          <w:rFonts w:asciiTheme="majorHAnsi" w:hAnsiTheme="majorHAnsi" w:cstheme="majorHAnsi"/>
          <w:spacing w:val="2"/>
        </w:rPr>
        <w:t>After school hours, t</w:t>
      </w:r>
      <w:r w:rsidRPr="00820811">
        <w:rPr>
          <w:rFonts w:asciiTheme="majorHAnsi" w:hAnsiTheme="majorHAnsi" w:cstheme="majorHAnsi"/>
          <w:spacing w:val="2"/>
        </w:rPr>
        <w:t xml:space="preserve">hese teachers learned how to use stories (new curriculum readers) in their classes, practice techniques with their peers in the safe and supportive environment, and during the week before the next component of the course, they tried out these techniques in their own classes with a coach/lecturer </w:t>
      </w:r>
      <w:r w:rsidR="00D06A82" w:rsidRPr="00820811">
        <w:rPr>
          <w:rFonts w:asciiTheme="majorHAnsi" w:hAnsiTheme="majorHAnsi" w:cstheme="majorHAnsi"/>
          <w:spacing w:val="2"/>
        </w:rPr>
        <w:t>to provide</w:t>
      </w:r>
      <w:r w:rsidRPr="00820811">
        <w:rPr>
          <w:rFonts w:asciiTheme="majorHAnsi" w:hAnsiTheme="majorHAnsi" w:cstheme="majorHAnsi"/>
          <w:spacing w:val="2"/>
        </w:rPr>
        <w:t xml:space="preserve"> feedback.</w:t>
      </w:r>
      <w:r w:rsidR="00D70C8B" w:rsidRPr="00820811">
        <w:rPr>
          <w:rFonts w:asciiTheme="majorHAnsi" w:hAnsiTheme="majorHAnsi" w:cstheme="majorHAnsi"/>
          <w:spacing w:val="2"/>
        </w:rPr>
        <w:t xml:space="preserve"> </w:t>
      </w:r>
    </w:p>
    <w:p w14:paraId="1665E491" w14:textId="2B279A0E" w:rsidR="003C3AF4" w:rsidRPr="0060082A" w:rsidRDefault="00F42169" w:rsidP="0060082A">
      <w:pPr>
        <w:rPr>
          <w:rFonts w:asciiTheme="majorHAnsi" w:hAnsiTheme="majorHAnsi" w:cstheme="majorHAnsi"/>
        </w:rPr>
      </w:pPr>
      <w:r w:rsidRPr="0060082A">
        <w:rPr>
          <w:rFonts w:asciiTheme="majorHAnsi" w:hAnsiTheme="majorHAnsi" w:cstheme="majorHAnsi"/>
        </w:rPr>
        <w:t xml:space="preserve">The fifth TESOL cycle </w:t>
      </w:r>
      <w:r w:rsidR="00C603A0" w:rsidRPr="0060082A">
        <w:rPr>
          <w:rFonts w:asciiTheme="majorHAnsi" w:hAnsiTheme="majorHAnsi" w:cstheme="majorHAnsi"/>
        </w:rPr>
        <w:t xml:space="preserve">was </w:t>
      </w:r>
      <w:r w:rsidRPr="0060082A">
        <w:rPr>
          <w:rFonts w:asciiTheme="majorHAnsi" w:hAnsiTheme="majorHAnsi" w:cstheme="majorHAnsi"/>
        </w:rPr>
        <w:t xml:space="preserve">completed March 2016. </w:t>
      </w:r>
      <w:r w:rsidR="00C70DE3" w:rsidRPr="0060082A">
        <w:rPr>
          <w:rFonts w:asciiTheme="majorHAnsi" w:hAnsiTheme="majorHAnsi" w:cstheme="majorHAnsi"/>
        </w:rPr>
        <w:t xml:space="preserve">The “Year 4” teachers who participated in this KTC TESOL trial were tested in February 2015 pre- course. A post-course test assessment </w:t>
      </w:r>
      <w:r w:rsidR="00C603A0" w:rsidRPr="0060082A">
        <w:rPr>
          <w:rFonts w:asciiTheme="majorHAnsi" w:hAnsiTheme="majorHAnsi" w:cstheme="majorHAnsi"/>
        </w:rPr>
        <w:t xml:space="preserve">was </w:t>
      </w:r>
      <w:r w:rsidR="00C70DE3" w:rsidRPr="0060082A">
        <w:rPr>
          <w:rFonts w:asciiTheme="majorHAnsi" w:hAnsiTheme="majorHAnsi" w:cstheme="majorHAnsi"/>
        </w:rPr>
        <w:t>undertaken in May 2016</w:t>
      </w:r>
      <w:r w:rsidR="0013555F" w:rsidRPr="0060082A">
        <w:rPr>
          <w:rFonts w:asciiTheme="majorHAnsi" w:hAnsiTheme="majorHAnsi" w:cstheme="majorHAnsi"/>
        </w:rPr>
        <w:t>, enabling an analysis of the change in proficiency that has occurred between the two test occasions.</w:t>
      </w:r>
      <w:r w:rsidR="00BC4B6D" w:rsidRPr="0060082A">
        <w:rPr>
          <w:rFonts w:asciiTheme="majorHAnsi" w:hAnsiTheme="majorHAnsi" w:cstheme="majorHAnsi"/>
        </w:rPr>
        <w:t xml:space="preserve"> </w:t>
      </w:r>
      <w:r w:rsidR="00025D4F" w:rsidRPr="0060082A">
        <w:rPr>
          <w:rFonts w:asciiTheme="majorHAnsi" w:hAnsiTheme="majorHAnsi" w:cstheme="majorHAnsi"/>
        </w:rPr>
        <w:t>W</w:t>
      </w:r>
      <w:r w:rsidR="0013555F" w:rsidRPr="0060082A">
        <w:rPr>
          <w:rFonts w:asciiTheme="majorHAnsi" w:hAnsiTheme="majorHAnsi" w:cstheme="majorHAnsi"/>
        </w:rPr>
        <w:t xml:space="preserve">hile some progress had been made, the great majority of course participants (Year 4 teachers) </w:t>
      </w:r>
      <w:r w:rsidR="003C3AF4" w:rsidRPr="0060082A">
        <w:rPr>
          <w:rFonts w:asciiTheme="majorHAnsi" w:hAnsiTheme="majorHAnsi" w:cstheme="majorHAnsi"/>
        </w:rPr>
        <w:t xml:space="preserve">did not achieve the required standard. </w:t>
      </w:r>
    </w:p>
    <w:p w14:paraId="00CC065C" w14:textId="1C31CCE0" w:rsidR="003C3AF4" w:rsidRPr="0060082A" w:rsidRDefault="00C92F03" w:rsidP="0060082A">
      <w:pPr>
        <w:rPr>
          <w:rFonts w:asciiTheme="majorHAnsi" w:hAnsiTheme="majorHAnsi" w:cstheme="majorHAnsi"/>
        </w:rPr>
      </w:pPr>
      <w:r w:rsidRPr="0060082A">
        <w:rPr>
          <w:rFonts w:asciiTheme="majorHAnsi" w:hAnsiTheme="majorHAnsi" w:cstheme="majorHAnsi"/>
        </w:rPr>
        <w:t>In summary, w</w:t>
      </w:r>
      <w:r w:rsidR="003C3AF4" w:rsidRPr="0060082A">
        <w:rPr>
          <w:rFonts w:asciiTheme="majorHAnsi" w:hAnsiTheme="majorHAnsi" w:cstheme="majorHAnsi"/>
        </w:rPr>
        <w:t xml:space="preserve">hen looking at the macro skill results of the language testing for the 43 teachers who completed the </w:t>
      </w:r>
      <w:r w:rsidRPr="0060082A">
        <w:rPr>
          <w:rFonts w:asciiTheme="majorHAnsi" w:hAnsiTheme="majorHAnsi" w:cstheme="majorHAnsi"/>
        </w:rPr>
        <w:t xml:space="preserve">TESOL </w:t>
      </w:r>
      <w:r w:rsidR="003C3AF4" w:rsidRPr="0060082A">
        <w:rPr>
          <w:rFonts w:asciiTheme="majorHAnsi" w:hAnsiTheme="majorHAnsi" w:cstheme="majorHAnsi"/>
        </w:rPr>
        <w:t xml:space="preserve">program, only 11.6% (5 teachers) achieved the targeted short term goal in level 3 </w:t>
      </w:r>
      <w:r w:rsidRPr="0060082A">
        <w:rPr>
          <w:rFonts w:asciiTheme="majorHAnsi" w:hAnsiTheme="majorHAnsi" w:cstheme="majorHAnsi"/>
        </w:rPr>
        <w:t xml:space="preserve">for </w:t>
      </w:r>
      <w:r w:rsidR="003C3AF4" w:rsidRPr="0060082A">
        <w:rPr>
          <w:rFonts w:asciiTheme="majorHAnsi" w:hAnsiTheme="majorHAnsi" w:cstheme="majorHAnsi"/>
        </w:rPr>
        <w:t xml:space="preserve">all </w:t>
      </w:r>
      <w:r w:rsidRPr="0060082A">
        <w:rPr>
          <w:rFonts w:asciiTheme="majorHAnsi" w:hAnsiTheme="majorHAnsi" w:cstheme="majorHAnsi"/>
        </w:rPr>
        <w:t xml:space="preserve">of the </w:t>
      </w:r>
      <w:r w:rsidR="003C3AF4" w:rsidRPr="0060082A">
        <w:rPr>
          <w:rFonts w:asciiTheme="majorHAnsi" w:hAnsiTheme="majorHAnsi" w:cstheme="majorHAnsi"/>
        </w:rPr>
        <w:t>macro skills.</w:t>
      </w:r>
      <w:r w:rsidR="00A82C90" w:rsidRPr="0060082A">
        <w:rPr>
          <w:rFonts w:asciiTheme="majorHAnsi" w:hAnsiTheme="majorHAnsi" w:cstheme="majorHAnsi"/>
        </w:rPr>
        <w:t xml:space="preserve"> </w:t>
      </w:r>
    </w:p>
    <w:p w14:paraId="21ECABAF" w14:textId="1E53C499" w:rsidR="00F42169" w:rsidRPr="0060082A" w:rsidRDefault="003C3AF4" w:rsidP="0060082A">
      <w:pPr>
        <w:rPr>
          <w:rFonts w:asciiTheme="majorHAnsi" w:hAnsiTheme="majorHAnsi" w:cstheme="majorHAnsi"/>
        </w:rPr>
      </w:pPr>
      <w:r w:rsidRPr="0060082A">
        <w:rPr>
          <w:rFonts w:asciiTheme="majorHAnsi" w:hAnsiTheme="majorHAnsi" w:cstheme="majorHAnsi"/>
        </w:rPr>
        <w:t xml:space="preserve">The acquisition of English language is a central part of </w:t>
      </w:r>
      <w:r w:rsidR="00C92F03" w:rsidRPr="0060082A">
        <w:rPr>
          <w:rFonts w:asciiTheme="majorHAnsi" w:hAnsiTheme="majorHAnsi" w:cstheme="majorHAnsi"/>
        </w:rPr>
        <w:t xml:space="preserve">GoK and </w:t>
      </w:r>
      <w:r w:rsidRPr="0060082A">
        <w:rPr>
          <w:rFonts w:asciiTheme="majorHAnsi" w:hAnsiTheme="majorHAnsi" w:cstheme="majorHAnsi"/>
        </w:rPr>
        <w:t xml:space="preserve">MoE policy in delivering the curriculum from Year 4. It is likely that there will need to be additional changes in </w:t>
      </w:r>
      <w:r w:rsidR="00C92F03" w:rsidRPr="0060082A">
        <w:rPr>
          <w:rFonts w:asciiTheme="majorHAnsi" w:hAnsiTheme="majorHAnsi" w:cstheme="majorHAnsi"/>
        </w:rPr>
        <w:t xml:space="preserve">teacher employment </w:t>
      </w:r>
      <w:r w:rsidRPr="0060082A">
        <w:rPr>
          <w:rFonts w:asciiTheme="majorHAnsi" w:hAnsiTheme="majorHAnsi" w:cstheme="majorHAnsi"/>
        </w:rPr>
        <w:t xml:space="preserve">policies and in expectations, so that teachers are working within a clearer framework. For example, can a teacher registration structure require </w:t>
      </w:r>
      <w:r w:rsidR="00C92F03" w:rsidRPr="0060082A">
        <w:rPr>
          <w:rFonts w:asciiTheme="majorHAnsi" w:hAnsiTheme="majorHAnsi" w:cstheme="majorHAnsi"/>
        </w:rPr>
        <w:t xml:space="preserve">the </w:t>
      </w:r>
      <w:r w:rsidRPr="0060082A">
        <w:rPr>
          <w:rFonts w:asciiTheme="majorHAnsi" w:hAnsiTheme="majorHAnsi" w:cstheme="majorHAnsi"/>
        </w:rPr>
        <w:t xml:space="preserve">maintenance of a level of English proficiency? And is English encouraged for use in the schools, by the </w:t>
      </w:r>
      <w:r w:rsidR="00C92F03" w:rsidRPr="0060082A">
        <w:rPr>
          <w:rFonts w:asciiTheme="majorHAnsi" w:hAnsiTheme="majorHAnsi" w:cstheme="majorHAnsi"/>
        </w:rPr>
        <w:t xml:space="preserve">MoE </w:t>
      </w:r>
      <w:r w:rsidRPr="0060082A">
        <w:rPr>
          <w:rFonts w:asciiTheme="majorHAnsi" w:hAnsiTheme="majorHAnsi" w:cstheme="majorHAnsi"/>
        </w:rPr>
        <w:t xml:space="preserve">Principles, school leaders and </w:t>
      </w:r>
      <w:r w:rsidR="00C92F03" w:rsidRPr="0060082A">
        <w:rPr>
          <w:rFonts w:asciiTheme="majorHAnsi" w:hAnsiTheme="majorHAnsi" w:cstheme="majorHAnsi"/>
        </w:rPr>
        <w:t xml:space="preserve">the </w:t>
      </w:r>
      <w:r w:rsidRPr="0060082A">
        <w:rPr>
          <w:rFonts w:asciiTheme="majorHAnsi" w:hAnsiTheme="majorHAnsi" w:cstheme="majorHAnsi"/>
        </w:rPr>
        <w:t>IECs? To address this constraint and limited progress in teacher language capacity,</w:t>
      </w:r>
      <w:r w:rsidR="00025D4F" w:rsidRPr="0060082A">
        <w:rPr>
          <w:rFonts w:asciiTheme="majorHAnsi" w:hAnsiTheme="majorHAnsi" w:cstheme="majorHAnsi"/>
        </w:rPr>
        <w:t xml:space="preserve"> there will be further engagement with MoE in identifying </w:t>
      </w:r>
      <w:r w:rsidRPr="0060082A">
        <w:rPr>
          <w:rFonts w:asciiTheme="majorHAnsi" w:hAnsiTheme="majorHAnsi" w:cstheme="majorHAnsi"/>
        </w:rPr>
        <w:t xml:space="preserve">those </w:t>
      </w:r>
      <w:r w:rsidR="00025D4F" w:rsidRPr="0060082A">
        <w:rPr>
          <w:rFonts w:asciiTheme="majorHAnsi" w:hAnsiTheme="majorHAnsi" w:cstheme="majorHAnsi"/>
        </w:rPr>
        <w:t xml:space="preserve">policies and incentives that can </w:t>
      </w:r>
      <w:r w:rsidR="00C92F03" w:rsidRPr="0060082A">
        <w:rPr>
          <w:rFonts w:asciiTheme="majorHAnsi" w:hAnsiTheme="majorHAnsi" w:cstheme="majorHAnsi"/>
        </w:rPr>
        <w:t xml:space="preserve">better </w:t>
      </w:r>
      <w:r w:rsidR="00025D4F" w:rsidRPr="0060082A">
        <w:rPr>
          <w:rFonts w:asciiTheme="majorHAnsi" w:hAnsiTheme="majorHAnsi" w:cstheme="majorHAnsi"/>
        </w:rPr>
        <w:t xml:space="preserve">encourage teachers to maintain a commitment of </w:t>
      </w:r>
      <w:r w:rsidR="00C92F03" w:rsidRPr="0060082A">
        <w:rPr>
          <w:rFonts w:asciiTheme="majorHAnsi" w:hAnsiTheme="majorHAnsi" w:cstheme="majorHAnsi"/>
        </w:rPr>
        <w:t xml:space="preserve">English </w:t>
      </w:r>
      <w:r w:rsidR="00025D4F" w:rsidRPr="0060082A">
        <w:rPr>
          <w:rFonts w:asciiTheme="majorHAnsi" w:hAnsiTheme="majorHAnsi" w:cstheme="majorHAnsi"/>
        </w:rPr>
        <w:t>language mastery</w:t>
      </w:r>
      <w:r w:rsidR="00C92F03" w:rsidRPr="0060082A">
        <w:rPr>
          <w:rFonts w:asciiTheme="majorHAnsi" w:hAnsiTheme="majorHAnsi" w:cstheme="majorHAnsi"/>
        </w:rPr>
        <w:t xml:space="preserve">, </w:t>
      </w:r>
      <w:r w:rsidR="00025D4F" w:rsidRPr="0060082A">
        <w:rPr>
          <w:rFonts w:asciiTheme="majorHAnsi" w:hAnsiTheme="majorHAnsi" w:cstheme="majorHAnsi"/>
        </w:rPr>
        <w:t>retention</w:t>
      </w:r>
      <w:r w:rsidR="00C92F03" w:rsidRPr="0060082A">
        <w:rPr>
          <w:rFonts w:asciiTheme="majorHAnsi" w:hAnsiTheme="majorHAnsi" w:cstheme="majorHAnsi"/>
        </w:rPr>
        <w:t xml:space="preserve"> and teaching</w:t>
      </w:r>
      <w:r w:rsidR="00025D4F" w:rsidRPr="0060082A">
        <w:rPr>
          <w:rFonts w:asciiTheme="majorHAnsi" w:hAnsiTheme="majorHAnsi" w:cstheme="majorHAnsi"/>
        </w:rPr>
        <w:t>.</w:t>
      </w:r>
    </w:p>
    <w:p w14:paraId="35EA2CEC" w14:textId="0077B0C8" w:rsidR="00620341" w:rsidRPr="0060082A" w:rsidRDefault="00C92F03" w:rsidP="0060082A">
      <w:pPr>
        <w:rPr>
          <w:rFonts w:asciiTheme="majorHAnsi" w:hAnsiTheme="majorHAnsi" w:cstheme="majorHAnsi"/>
        </w:rPr>
      </w:pPr>
      <w:r w:rsidRPr="0060082A">
        <w:rPr>
          <w:rFonts w:asciiTheme="majorHAnsi" w:hAnsiTheme="majorHAnsi" w:cstheme="majorHAnsi"/>
        </w:rPr>
        <w:t>The policy to deliver the primary curriculum from Year 4 in English is a national one</w:t>
      </w:r>
      <w:r w:rsidR="004E1BF2" w:rsidRPr="0060082A">
        <w:rPr>
          <w:rFonts w:asciiTheme="majorHAnsi" w:hAnsiTheme="majorHAnsi" w:cstheme="majorHAnsi"/>
        </w:rPr>
        <w:t xml:space="preserve"> </w:t>
      </w:r>
      <w:r w:rsidRPr="0060082A">
        <w:rPr>
          <w:rFonts w:asciiTheme="majorHAnsi" w:hAnsiTheme="majorHAnsi" w:cstheme="majorHAnsi"/>
        </w:rPr>
        <w:t xml:space="preserve">implemented by the MoE. </w:t>
      </w:r>
      <w:r w:rsidR="0026224E" w:rsidRPr="0060082A">
        <w:rPr>
          <w:rFonts w:asciiTheme="majorHAnsi" w:hAnsiTheme="majorHAnsi" w:cstheme="majorHAnsi"/>
        </w:rPr>
        <w:t xml:space="preserve">In KEIP Phase </w:t>
      </w:r>
      <w:r w:rsidR="000A49FE">
        <w:rPr>
          <w:rFonts w:asciiTheme="majorHAnsi" w:hAnsiTheme="majorHAnsi" w:cstheme="majorHAnsi"/>
        </w:rPr>
        <w:t>3</w:t>
      </w:r>
      <w:r w:rsidR="0026224E" w:rsidRPr="0060082A">
        <w:rPr>
          <w:rFonts w:asciiTheme="majorHAnsi" w:hAnsiTheme="majorHAnsi" w:cstheme="majorHAnsi"/>
        </w:rPr>
        <w:t xml:space="preserve">, it is intended that the </w:t>
      </w:r>
      <w:r w:rsidR="005557FC" w:rsidRPr="0060082A">
        <w:rPr>
          <w:rFonts w:asciiTheme="majorHAnsi" w:hAnsiTheme="majorHAnsi" w:cstheme="majorHAnsi"/>
        </w:rPr>
        <w:t xml:space="preserve">English language program, including the outcomes and language standards achieved to date, will be reviewed and </w:t>
      </w:r>
      <w:r w:rsidRPr="0060082A">
        <w:rPr>
          <w:rFonts w:asciiTheme="majorHAnsi" w:hAnsiTheme="majorHAnsi" w:cstheme="majorHAnsi"/>
        </w:rPr>
        <w:t xml:space="preserve">the constraints and results </w:t>
      </w:r>
      <w:r w:rsidR="005557FC" w:rsidRPr="0060082A">
        <w:rPr>
          <w:rFonts w:asciiTheme="majorHAnsi" w:hAnsiTheme="majorHAnsi" w:cstheme="majorHAnsi"/>
        </w:rPr>
        <w:t>discussed with MoE, in order that there</w:t>
      </w:r>
      <w:r w:rsidRPr="0060082A">
        <w:rPr>
          <w:rFonts w:asciiTheme="majorHAnsi" w:hAnsiTheme="majorHAnsi" w:cstheme="majorHAnsi"/>
        </w:rPr>
        <w:t xml:space="preserve"> can be </w:t>
      </w:r>
      <w:r w:rsidR="005557FC" w:rsidRPr="0060082A">
        <w:rPr>
          <w:rFonts w:asciiTheme="majorHAnsi" w:hAnsiTheme="majorHAnsi" w:cstheme="majorHAnsi"/>
        </w:rPr>
        <w:t>a clear</w:t>
      </w:r>
      <w:r w:rsidRPr="0060082A">
        <w:rPr>
          <w:rFonts w:asciiTheme="majorHAnsi" w:hAnsiTheme="majorHAnsi" w:cstheme="majorHAnsi"/>
        </w:rPr>
        <w:t>, coordinated</w:t>
      </w:r>
      <w:r w:rsidR="005557FC" w:rsidRPr="0060082A">
        <w:rPr>
          <w:rFonts w:asciiTheme="majorHAnsi" w:hAnsiTheme="majorHAnsi" w:cstheme="majorHAnsi"/>
        </w:rPr>
        <w:t xml:space="preserve"> commitment to improving language capacity and usage from the Ministry and from the individual teachers. This may take the form of MoE policy change or teacher standards so that full engagement of teachers and their schools on English language acquisition and usage is promoted and encouraged.</w:t>
      </w:r>
    </w:p>
    <w:p w14:paraId="504E4F77" w14:textId="0AC5AB7F" w:rsidR="00440193" w:rsidRPr="0060082A" w:rsidRDefault="00440193" w:rsidP="0060082A">
      <w:pPr>
        <w:rPr>
          <w:rFonts w:asciiTheme="majorHAnsi" w:hAnsiTheme="majorHAnsi" w:cstheme="majorHAnsi"/>
        </w:rPr>
      </w:pPr>
      <w:r w:rsidRPr="0060082A">
        <w:rPr>
          <w:rFonts w:asciiTheme="majorHAnsi" w:hAnsiTheme="majorHAnsi" w:cstheme="majorHAnsi"/>
        </w:rPr>
        <w:t>In addition to the focus on English language development</w:t>
      </w:r>
      <w:r w:rsidR="00C92F03" w:rsidRPr="0060082A">
        <w:rPr>
          <w:rFonts w:asciiTheme="majorHAnsi" w:hAnsiTheme="majorHAnsi" w:cstheme="majorHAnsi"/>
        </w:rPr>
        <w:t xml:space="preserve"> and usage</w:t>
      </w:r>
      <w:r w:rsidR="00D6066D" w:rsidRPr="0060082A">
        <w:rPr>
          <w:rFonts w:asciiTheme="majorHAnsi" w:hAnsiTheme="majorHAnsi" w:cstheme="majorHAnsi"/>
        </w:rPr>
        <w:t xml:space="preserve"> for teachers</w:t>
      </w:r>
      <w:r w:rsidRPr="0060082A">
        <w:rPr>
          <w:rFonts w:asciiTheme="majorHAnsi" w:hAnsiTheme="majorHAnsi" w:cstheme="majorHAnsi"/>
        </w:rPr>
        <w:t>, a broad program of teach</w:t>
      </w:r>
      <w:r w:rsidR="00D6066D" w:rsidRPr="0060082A">
        <w:rPr>
          <w:rFonts w:asciiTheme="majorHAnsi" w:hAnsiTheme="majorHAnsi" w:cstheme="majorHAnsi"/>
        </w:rPr>
        <w:t>er</w:t>
      </w:r>
      <w:r w:rsidRPr="0060082A">
        <w:rPr>
          <w:rFonts w:asciiTheme="majorHAnsi" w:hAnsiTheme="majorHAnsi" w:cstheme="majorHAnsi"/>
        </w:rPr>
        <w:t xml:space="preserve"> PD and </w:t>
      </w:r>
      <w:r w:rsidR="00D6066D" w:rsidRPr="0060082A">
        <w:rPr>
          <w:rFonts w:asciiTheme="majorHAnsi" w:hAnsiTheme="majorHAnsi" w:cstheme="majorHAnsi"/>
        </w:rPr>
        <w:t xml:space="preserve">of </w:t>
      </w:r>
      <w:r w:rsidRPr="0060082A">
        <w:rPr>
          <w:rFonts w:asciiTheme="majorHAnsi" w:hAnsiTheme="majorHAnsi" w:cstheme="majorHAnsi"/>
        </w:rPr>
        <w:t>leadership training was conducted</w:t>
      </w:r>
      <w:r w:rsidR="00D6066D" w:rsidRPr="0060082A">
        <w:rPr>
          <w:rFonts w:asciiTheme="majorHAnsi" w:hAnsiTheme="majorHAnsi" w:cstheme="majorHAnsi"/>
        </w:rPr>
        <w:t>, as part of working across the MoE to support capacity development</w:t>
      </w:r>
      <w:r w:rsidR="002F1CE7" w:rsidRPr="0060082A">
        <w:rPr>
          <w:rFonts w:asciiTheme="majorHAnsi" w:hAnsiTheme="majorHAnsi" w:cstheme="majorHAnsi"/>
        </w:rPr>
        <w:t xml:space="preserve"> particularly the rollout of the new curriculum</w:t>
      </w:r>
      <w:r w:rsidRPr="0060082A">
        <w:rPr>
          <w:rFonts w:asciiTheme="majorHAnsi" w:hAnsiTheme="majorHAnsi" w:cstheme="majorHAnsi"/>
        </w:rPr>
        <w:t xml:space="preserve">. </w:t>
      </w:r>
      <w:r w:rsidR="00D6066D" w:rsidRPr="0060082A">
        <w:rPr>
          <w:rFonts w:asciiTheme="majorHAnsi" w:hAnsiTheme="majorHAnsi" w:cstheme="majorHAnsi"/>
        </w:rPr>
        <w:t xml:space="preserve">As has been outlined in the regular reporting during Phase </w:t>
      </w:r>
      <w:r w:rsidR="000A49FE">
        <w:rPr>
          <w:rFonts w:asciiTheme="majorHAnsi" w:hAnsiTheme="majorHAnsi" w:cstheme="majorHAnsi"/>
        </w:rPr>
        <w:t>2</w:t>
      </w:r>
      <w:r w:rsidR="00D6066D" w:rsidRPr="0060082A">
        <w:rPr>
          <w:rFonts w:asciiTheme="majorHAnsi" w:hAnsiTheme="majorHAnsi" w:cstheme="majorHAnsi"/>
        </w:rPr>
        <w:t xml:space="preserve">, </w:t>
      </w:r>
      <w:r w:rsidRPr="0060082A">
        <w:rPr>
          <w:rFonts w:asciiTheme="majorHAnsi" w:hAnsiTheme="majorHAnsi" w:cstheme="majorHAnsi"/>
        </w:rPr>
        <w:t xml:space="preserve">KEF </w:t>
      </w:r>
      <w:r w:rsidR="00D6066D" w:rsidRPr="0060082A">
        <w:rPr>
          <w:rFonts w:asciiTheme="majorHAnsi" w:hAnsiTheme="majorHAnsi" w:cstheme="majorHAnsi"/>
        </w:rPr>
        <w:t xml:space="preserve">TA and funding </w:t>
      </w:r>
      <w:r w:rsidRPr="0060082A">
        <w:rPr>
          <w:rFonts w:asciiTheme="majorHAnsi" w:hAnsiTheme="majorHAnsi" w:cstheme="majorHAnsi"/>
        </w:rPr>
        <w:t xml:space="preserve">supported a large number of workshops and </w:t>
      </w:r>
      <w:r w:rsidR="00D6066D" w:rsidRPr="0060082A">
        <w:rPr>
          <w:rFonts w:asciiTheme="majorHAnsi" w:hAnsiTheme="majorHAnsi" w:cstheme="majorHAnsi"/>
        </w:rPr>
        <w:t xml:space="preserve">MoE staff development and </w:t>
      </w:r>
      <w:r w:rsidRPr="0060082A">
        <w:rPr>
          <w:rFonts w:asciiTheme="majorHAnsi" w:hAnsiTheme="majorHAnsi" w:cstheme="majorHAnsi"/>
        </w:rPr>
        <w:t>training opportunities</w:t>
      </w:r>
      <w:r w:rsidR="00D6066D" w:rsidRPr="0060082A">
        <w:rPr>
          <w:rFonts w:asciiTheme="majorHAnsi" w:hAnsiTheme="majorHAnsi" w:cstheme="majorHAnsi"/>
        </w:rPr>
        <w:t xml:space="preserve">. These </w:t>
      </w:r>
      <w:r w:rsidR="000B2567" w:rsidRPr="0060082A">
        <w:rPr>
          <w:rFonts w:asciiTheme="majorHAnsi" w:hAnsiTheme="majorHAnsi" w:cstheme="majorHAnsi"/>
        </w:rPr>
        <w:t>activities</w:t>
      </w:r>
      <w:r w:rsidRPr="0060082A">
        <w:rPr>
          <w:rFonts w:asciiTheme="majorHAnsi" w:hAnsiTheme="majorHAnsi" w:cstheme="majorHAnsi"/>
        </w:rPr>
        <w:t xml:space="preserve"> included </w:t>
      </w:r>
      <w:r w:rsidR="00D6066D" w:rsidRPr="0060082A">
        <w:rPr>
          <w:rFonts w:asciiTheme="majorHAnsi" w:hAnsiTheme="majorHAnsi" w:cstheme="majorHAnsi"/>
        </w:rPr>
        <w:t>assistance to MoE through</w:t>
      </w:r>
      <w:r w:rsidRPr="0060082A">
        <w:rPr>
          <w:rFonts w:asciiTheme="majorHAnsi" w:hAnsiTheme="majorHAnsi" w:cstheme="majorHAnsi"/>
        </w:rPr>
        <w:t>:</w:t>
      </w:r>
    </w:p>
    <w:p w14:paraId="55CDA3E3" w14:textId="6B1123C9" w:rsidR="00440193" w:rsidRPr="0060082A" w:rsidRDefault="00440193" w:rsidP="0060082A">
      <w:pPr>
        <w:rPr>
          <w:rFonts w:asciiTheme="majorHAnsi" w:hAnsiTheme="majorHAnsi" w:cstheme="majorHAnsi"/>
        </w:rPr>
      </w:pPr>
      <w:r w:rsidRPr="0060082A">
        <w:rPr>
          <w:rFonts w:asciiTheme="majorHAnsi" w:hAnsiTheme="majorHAnsi" w:cstheme="majorHAnsi"/>
        </w:rPr>
        <w:t xml:space="preserve">Curriculum review for </w:t>
      </w:r>
      <w:r w:rsidR="00D6066D" w:rsidRPr="0060082A">
        <w:rPr>
          <w:rFonts w:asciiTheme="majorHAnsi" w:hAnsiTheme="majorHAnsi" w:cstheme="majorHAnsi"/>
        </w:rPr>
        <w:t xml:space="preserve">the </w:t>
      </w:r>
      <w:r w:rsidRPr="0060082A">
        <w:rPr>
          <w:rFonts w:asciiTheme="majorHAnsi" w:hAnsiTheme="majorHAnsi" w:cstheme="majorHAnsi"/>
        </w:rPr>
        <w:t xml:space="preserve">Years 1-5, including </w:t>
      </w:r>
      <w:r w:rsidR="00D6066D" w:rsidRPr="0060082A">
        <w:rPr>
          <w:rFonts w:asciiTheme="majorHAnsi" w:hAnsiTheme="majorHAnsi" w:cstheme="majorHAnsi"/>
        </w:rPr>
        <w:t xml:space="preserve">assistance provided </w:t>
      </w:r>
      <w:r w:rsidRPr="0060082A">
        <w:rPr>
          <w:rFonts w:asciiTheme="majorHAnsi" w:hAnsiTheme="majorHAnsi" w:cstheme="majorHAnsi"/>
        </w:rPr>
        <w:t xml:space="preserve">for the drafting and validation of the </w:t>
      </w:r>
      <w:r w:rsidR="00D6066D" w:rsidRPr="0060082A">
        <w:rPr>
          <w:rFonts w:asciiTheme="majorHAnsi" w:hAnsiTheme="majorHAnsi" w:cstheme="majorHAnsi"/>
        </w:rPr>
        <w:t xml:space="preserve">new </w:t>
      </w:r>
      <w:r w:rsidRPr="0060082A">
        <w:rPr>
          <w:rFonts w:asciiTheme="majorHAnsi" w:hAnsiTheme="majorHAnsi" w:cstheme="majorHAnsi"/>
        </w:rPr>
        <w:t xml:space="preserve">curriculum; the teacher guides and learning resources for the classroom; the text books and provision of </w:t>
      </w:r>
      <w:r w:rsidR="00D6066D" w:rsidRPr="0060082A">
        <w:rPr>
          <w:rFonts w:asciiTheme="majorHAnsi" w:hAnsiTheme="majorHAnsi" w:cstheme="majorHAnsi"/>
        </w:rPr>
        <w:t xml:space="preserve">new </w:t>
      </w:r>
      <w:r w:rsidRPr="0060082A">
        <w:rPr>
          <w:rFonts w:asciiTheme="majorHAnsi" w:hAnsiTheme="majorHAnsi" w:cstheme="majorHAnsi"/>
        </w:rPr>
        <w:t>learning materials, and the integration of the curriculum</w:t>
      </w:r>
      <w:r w:rsidR="00D6066D" w:rsidRPr="0060082A">
        <w:rPr>
          <w:rFonts w:asciiTheme="majorHAnsi" w:hAnsiTheme="majorHAnsi" w:cstheme="majorHAnsi"/>
        </w:rPr>
        <w:t xml:space="preserve"> content</w:t>
      </w:r>
      <w:r w:rsidRPr="0060082A">
        <w:rPr>
          <w:rFonts w:asciiTheme="majorHAnsi" w:hAnsiTheme="majorHAnsi" w:cstheme="majorHAnsi"/>
        </w:rPr>
        <w:t xml:space="preserve"> to reduce any duplication </w:t>
      </w:r>
      <w:r w:rsidR="00D6066D" w:rsidRPr="0060082A">
        <w:rPr>
          <w:rFonts w:asciiTheme="majorHAnsi" w:hAnsiTheme="majorHAnsi" w:cstheme="majorHAnsi"/>
        </w:rPr>
        <w:t xml:space="preserve">of teaching effort </w:t>
      </w:r>
      <w:r w:rsidRPr="0060082A">
        <w:rPr>
          <w:rFonts w:asciiTheme="majorHAnsi" w:hAnsiTheme="majorHAnsi" w:cstheme="majorHAnsi"/>
        </w:rPr>
        <w:t>across the subject areas;</w:t>
      </w:r>
    </w:p>
    <w:p w14:paraId="00A4F9E7" w14:textId="3E0CEE18" w:rsidR="00923745" w:rsidRPr="0060082A" w:rsidRDefault="00923745" w:rsidP="0060082A">
      <w:pPr>
        <w:rPr>
          <w:rFonts w:asciiTheme="majorHAnsi" w:hAnsiTheme="majorHAnsi" w:cstheme="majorHAnsi"/>
        </w:rPr>
      </w:pPr>
      <w:r w:rsidRPr="0060082A">
        <w:rPr>
          <w:rFonts w:asciiTheme="majorHAnsi" w:hAnsiTheme="majorHAnsi" w:cstheme="majorHAnsi"/>
        </w:rPr>
        <w:t xml:space="preserve">In-service </w:t>
      </w:r>
      <w:r w:rsidR="00D6066D" w:rsidRPr="0060082A">
        <w:rPr>
          <w:rFonts w:asciiTheme="majorHAnsi" w:hAnsiTheme="majorHAnsi" w:cstheme="majorHAnsi"/>
        </w:rPr>
        <w:t>p</w:t>
      </w:r>
      <w:r w:rsidRPr="0060082A">
        <w:rPr>
          <w:rFonts w:asciiTheme="majorHAnsi" w:hAnsiTheme="majorHAnsi" w:cstheme="majorHAnsi"/>
        </w:rPr>
        <w:t xml:space="preserve">edagogy and methodology updates </w:t>
      </w:r>
      <w:r w:rsidR="00D6066D" w:rsidRPr="0060082A">
        <w:rPr>
          <w:rFonts w:asciiTheme="majorHAnsi" w:hAnsiTheme="majorHAnsi" w:cstheme="majorHAnsi"/>
        </w:rPr>
        <w:t xml:space="preserve">and mentoring </w:t>
      </w:r>
      <w:r w:rsidRPr="0060082A">
        <w:rPr>
          <w:rFonts w:asciiTheme="majorHAnsi" w:hAnsiTheme="majorHAnsi" w:cstheme="majorHAnsi"/>
        </w:rPr>
        <w:t xml:space="preserve">for teachers </w:t>
      </w:r>
      <w:r w:rsidR="00D6066D" w:rsidRPr="0060082A">
        <w:rPr>
          <w:rFonts w:asciiTheme="majorHAnsi" w:hAnsiTheme="majorHAnsi" w:cstheme="majorHAnsi"/>
        </w:rPr>
        <w:t xml:space="preserve">who were </w:t>
      </w:r>
      <w:r w:rsidRPr="0060082A">
        <w:rPr>
          <w:rFonts w:asciiTheme="majorHAnsi" w:hAnsiTheme="majorHAnsi" w:cstheme="majorHAnsi"/>
        </w:rPr>
        <w:t>delivering the new curriculum</w:t>
      </w:r>
      <w:r w:rsidR="00D6066D" w:rsidRPr="0060082A">
        <w:rPr>
          <w:rFonts w:asciiTheme="majorHAnsi" w:hAnsiTheme="majorHAnsi" w:cstheme="majorHAnsi"/>
        </w:rPr>
        <w:t xml:space="preserve"> for the first time. The support </w:t>
      </w:r>
      <w:r w:rsidRPr="0060082A">
        <w:rPr>
          <w:rFonts w:asciiTheme="majorHAnsi" w:hAnsiTheme="majorHAnsi" w:cstheme="majorHAnsi"/>
        </w:rPr>
        <w:t>involv</w:t>
      </w:r>
      <w:r w:rsidR="00D6066D" w:rsidRPr="0060082A">
        <w:rPr>
          <w:rFonts w:asciiTheme="majorHAnsi" w:hAnsiTheme="majorHAnsi" w:cstheme="majorHAnsi"/>
        </w:rPr>
        <w:t>ed</w:t>
      </w:r>
      <w:r w:rsidRPr="0060082A">
        <w:rPr>
          <w:rFonts w:asciiTheme="majorHAnsi" w:hAnsiTheme="majorHAnsi" w:cstheme="majorHAnsi"/>
        </w:rPr>
        <w:t xml:space="preserve"> workshops and </w:t>
      </w:r>
      <w:r w:rsidR="00D6066D" w:rsidRPr="0060082A">
        <w:rPr>
          <w:rFonts w:asciiTheme="majorHAnsi" w:hAnsiTheme="majorHAnsi" w:cstheme="majorHAnsi"/>
        </w:rPr>
        <w:t xml:space="preserve">staff </w:t>
      </w:r>
      <w:r w:rsidRPr="0060082A">
        <w:rPr>
          <w:rFonts w:asciiTheme="majorHAnsi" w:hAnsiTheme="majorHAnsi" w:cstheme="majorHAnsi"/>
        </w:rPr>
        <w:t xml:space="preserve">training at KTC and </w:t>
      </w:r>
      <w:r w:rsidR="000B2567" w:rsidRPr="0060082A">
        <w:rPr>
          <w:rFonts w:asciiTheme="majorHAnsi" w:hAnsiTheme="majorHAnsi" w:cstheme="majorHAnsi"/>
        </w:rPr>
        <w:t>outer island visits, working with the island based coaches</w:t>
      </w:r>
      <w:r w:rsidR="00D6066D" w:rsidRPr="0060082A">
        <w:rPr>
          <w:rFonts w:asciiTheme="majorHAnsi" w:hAnsiTheme="majorHAnsi" w:cstheme="majorHAnsi"/>
        </w:rPr>
        <w:t xml:space="preserve"> to strengthen delivery </w:t>
      </w:r>
      <w:r w:rsidRPr="0060082A">
        <w:rPr>
          <w:rFonts w:asciiTheme="majorHAnsi" w:hAnsiTheme="majorHAnsi" w:cstheme="majorHAnsi"/>
        </w:rPr>
        <w:t xml:space="preserve">at the school level. The PD of teachers is an important element of the reform and included a focus on those </w:t>
      </w:r>
      <w:r w:rsidR="00D6066D" w:rsidRPr="0060082A">
        <w:rPr>
          <w:rFonts w:asciiTheme="majorHAnsi" w:hAnsiTheme="majorHAnsi" w:cstheme="majorHAnsi"/>
        </w:rPr>
        <w:t xml:space="preserve">teachers actually </w:t>
      </w:r>
      <w:r w:rsidRPr="0060082A">
        <w:rPr>
          <w:rFonts w:asciiTheme="majorHAnsi" w:hAnsiTheme="majorHAnsi" w:cstheme="majorHAnsi"/>
        </w:rPr>
        <w:t xml:space="preserve">introducing the new curriculum and materials. As the </w:t>
      </w:r>
      <w:r w:rsidR="00D6066D" w:rsidRPr="0060082A">
        <w:rPr>
          <w:rFonts w:asciiTheme="majorHAnsi" w:hAnsiTheme="majorHAnsi" w:cstheme="majorHAnsi"/>
        </w:rPr>
        <w:t xml:space="preserve">new </w:t>
      </w:r>
      <w:r w:rsidRPr="0060082A">
        <w:rPr>
          <w:rFonts w:asciiTheme="majorHAnsi" w:hAnsiTheme="majorHAnsi" w:cstheme="majorHAnsi"/>
        </w:rPr>
        <w:t xml:space="preserve">curriculum was progressively introduced, ongoing training and consolidation on content, delivery and assessment methods were </w:t>
      </w:r>
      <w:r w:rsidR="00D6066D" w:rsidRPr="0060082A">
        <w:rPr>
          <w:rFonts w:asciiTheme="majorHAnsi" w:hAnsiTheme="majorHAnsi" w:cstheme="majorHAnsi"/>
        </w:rPr>
        <w:t xml:space="preserve">provided to </w:t>
      </w:r>
      <w:r w:rsidR="000B2567" w:rsidRPr="0060082A">
        <w:rPr>
          <w:rFonts w:asciiTheme="majorHAnsi" w:hAnsiTheme="majorHAnsi" w:cstheme="majorHAnsi"/>
        </w:rPr>
        <w:t>strengthen</w:t>
      </w:r>
      <w:r w:rsidR="00D6066D" w:rsidRPr="0060082A">
        <w:rPr>
          <w:rFonts w:asciiTheme="majorHAnsi" w:hAnsiTheme="majorHAnsi" w:cstheme="majorHAnsi"/>
        </w:rPr>
        <w:t xml:space="preserve"> the approach and provide teachers with </w:t>
      </w:r>
      <w:r w:rsidR="00F64520" w:rsidRPr="0060082A">
        <w:rPr>
          <w:rFonts w:asciiTheme="majorHAnsi" w:hAnsiTheme="majorHAnsi" w:cstheme="majorHAnsi"/>
        </w:rPr>
        <w:t>the confidence and skills required</w:t>
      </w:r>
      <w:r w:rsidRPr="0060082A">
        <w:rPr>
          <w:rFonts w:asciiTheme="majorHAnsi" w:hAnsiTheme="majorHAnsi" w:cstheme="majorHAnsi"/>
        </w:rPr>
        <w:t>;</w:t>
      </w:r>
    </w:p>
    <w:p w14:paraId="28CB3A5D" w14:textId="3673DDD7" w:rsidR="00923745" w:rsidRPr="00820811" w:rsidRDefault="00923745" w:rsidP="0060082A">
      <w:pPr>
        <w:rPr>
          <w:rFonts w:asciiTheme="majorHAnsi" w:hAnsiTheme="majorHAnsi" w:cstheme="majorHAnsi"/>
          <w:spacing w:val="2"/>
        </w:rPr>
      </w:pPr>
      <w:r w:rsidRPr="00820811">
        <w:rPr>
          <w:rFonts w:asciiTheme="majorHAnsi" w:hAnsiTheme="majorHAnsi" w:cstheme="majorHAnsi"/>
          <w:spacing w:val="2"/>
        </w:rPr>
        <w:lastRenderedPageBreak/>
        <w:t>Training of teacher trainer</w:t>
      </w:r>
      <w:r w:rsidR="000B2567" w:rsidRPr="00820811">
        <w:rPr>
          <w:rFonts w:asciiTheme="majorHAnsi" w:hAnsiTheme="majorHAnsi" w:cstheme="majorHAnsi"/>
          <w:spacing w:val="2"/>
        </w:rPr>
        <w:t xml:space="preserve">s at KTC, included </w:t>
      </w:r>
      <w:r w:rsidRPr="00820811">
        <w:rPr>
          <w:rFonts w:asciiTheme="majorHAnsi" w:hAnsiTheme="majorHAnsi" w:cstheme="majorHAnsi"/>
          <w:spacing w:val="2"/>
        </w:rPr>
        <w:t xml:space="preserve">English Language and </w:t>
      </w:r>
      <w:r w:rsidR="000B2567" w:rsidRPr="00820811">
        <w:rPr>
          <w:rFonts w:asciiTheme="majorHAnsi" w:hAnsiTheme="majorHAnsi" w:cstheme="majorHAnsi"/>
          <w:spacing w:val="2"/>
        </w:rPr>
        <w:t>applied linguistics and a review of</w:t>
      </w:r>
      <w:r w:rsidRPr="00820811">
        <w:rPr>
          <w:rFonts w:asciiTheme="majorHAnsi" w:hAnsiTheme="majorHAnsi" w:cstheme="majorHAnsi"/>
          <w:spacing w:val="2"/>
        </w:rPr>
        <w:t xml:space="preserve"> the </w:t>
      </w:r>
      <w:r w:rsidR="000B2567" w:rsidRPr="00820811">
        <w:rPr>
          <w:rFonts w:asciiTheme="majorHAnsi" w:hAnsiTheme="majorHAnsi" w:cstheme="majorHAnsi"/>
          <w:spacing w:val="2"/>
        </w:rPr>
        <w:t>content of</w:t>
      </w:r>
      <w:r w:rsidR="00F64520" w:rsidRPr="00820811">
        <w:rPr>
          <w:rFonts w:asciiTheme="majorHAnsi" w:hAnsiTheme="majorHAnsi" w:cstheme="majorHAnsi"/>
          <w:spacing w:val="2"/>
        </w:rPr>
        <w:t xml:space="preserve"> </w:t>
      </w:r>
      <w:r w:rsidRPr="00820811">
        <w:rPr>
          <w:rFonts w:asciiTheme="majorHAnsi" w:hAnsiTheme="majorHAnsi" w:cstheme="majorHAnsi"/>
          <w:spacing w:val="2"/>
        </w:rPr>
        <w:t>pre-service and in-service PD programs</w:t>
      </w:r>
      <w:r w:rsidR="00F64520" w:rsidRPr="00820811">
        <w:rPr>
          <w:rFonts w:asciiTheme="majorHAnsi" w:hAnsiTheme="majorHAnsi" w:cstheme="majorHAnsi"/>
          <w:spacing w:val="2"/>
        </w:rPr>
        <w:t>. The ongoing development of teachers, as well as the preparation of new professionals entering the service, are also foundations for ongoing sustainability and quality improvement as the reforms work their way through the year levels across the complete system</w:t>
      </w:r>
      <w:r w:rsidRPr="00820811">
        <w:rPr>
          <w:rFonts w:asciiTheme="majorHAnsi" w:hAnsiTheme="majorHAnsi" w:cstheme="majorHAnsi"/>
          <w:spacing w:val="2"/>
        </w:rPr>
        <w:t>;</w:t>
      </w:r>
    </w:p>
    <w:p w14:paraId="6194F2ED" w14:textId="4D5B19D6" w:rsidR="00923745" w:rsidRPr="0060082A" w:rsidRDefault="00923745" w:rsidP="0060082A">
      <w:pPr>
        <w:rPr>
          <w:rFonts w:asciiTheme="majorHAnsi" w:hAnsiTheme="majorHAnsi" w:cstheme="majorHAnsi"/>
        </w:rPr>
      </w:pPr>
      <w:r w:rsidRPr="0060082A">
        <w:rPr>
          <w:rFonts w:asciiTheme="majorHAnsi" w:hAnsiTheme="majorHAnsi" w:cstheme="majorHAnsi"/>
        </w:rPr>
        <w:t xml:space="preserve">Targeted support </w:t>
      </w:r>
      <w:r w:rsidR="000B2567" w:rsidRPr="0060082A">
        <w:rPr>
          <w:rFonts w:asciiTheme="majorHAnsi" w:hAnsiTheme="majorHAnsi" w:cstheme="majorHAnsi"/>
        </w:rPr>
        <w:t xml:space="preserve">was provided </w:t>
      </w:r>
      <w:r w:rsidRPr="0060082A">
        <w:rPr>
          <w:rFonts w:asciiTheme="majorHAnsi" w:hAnsiTheme="majorHAnsi" w:cstheme="majorHAnsi"/>
        </w:rPr>
        <w:t xml:space="preserve">to </w:t>
      </w:r>
      <w:r w:rsidR="0003148F" w:rsidRPr="0060082A">
        <w:rPr>
          <w:rFonts w:asciiTheme="majorHAnsi" w:hAnsiTheme="majorHAnsi" w:cstheme="majorHAnsi"/>
        </w:rPr>
        <w:t xml:space="preserve">the </w:t>
      </w:r>
      <w:r w:rsidRPr="0060082A">
        <w:rPr>
          <w:rFonts w:asciiTheme="majorHAnsi" w:hAnsiTheme="majorHAnsi" w:cstheme="majorHAnsi"/>
        </w:rPr>
        <w:t xml:space="preserve">school leaders and principles, in management, leadership and </w:t>
      </w:r>
      <w:r w:rsidR="0003148F" w:rsidRPr="0060082A">
        <w:rPr>
          <w:rFonts w:asciiTheme="majorHAnsi" w:hAnsiTheme="majorHAnsi" w:cstheme="majorHAnsi"/>
        </w:rPr>
        <w:t xml:space="preserve">school level </w:t>
      </w:r>
      <w:r w:rsidRPr="0060082A">
        <w:rPr>
          <w:rFonts w:asciiTheme="majorHAnsi" w:hAnsiTheme="majorHAnsi" w:cstheme="majorHAnsi"/>
        </w:rPr>
        <w:t>reporting</w:t>
      </w:r>
      <w:r w:rsidR="000B2567" w:rsidRPr="0060082A">
        <w:rPr>
          <w:rFonts w:asciiTheme="majorHAnsi" w:hAnsiTheme="majorHAnsi" w:cstheme="majorHAnsi"/>
        </w:rPr>
        <w:t>. W</w:t>
      </w:r>
      <w:r w:rsidRPr="0060082A">
        <w:rPr>
          <w:rFonts w:asciiTheme="majorHAnsi" w:hAnsiTheme="majorHAnsi" w:cstheme="majorHAnsi"/>
        </w:rPr>
        <w:t xml:space="preserve">orkshops and mentoring were delivered at </w:t>
      </w:r>
      <w:r w:rsidR="0003148F" w:rsidRPr="0060082A">
        <w:rPr>
          <w:rFonts w:asciiTheme="majorHAnsi" w:hAnsiTheme="majorHAnsi" w:cstheme="majorHAnsi"/>
        </w:rPr>
        <w:t xml:space="preserve">both </w:t>
      </w:r>
      <w:r w:rsidRPr="0060082A">
        <w:rPr>
          <w:rFonts w:asciiTheme="majorHAnsi" w:hAnsiTheme="majorHAnsi" w:cstheme="majorHAnsi"/>
        </w:rPr>
        <w:t xml:space="preserve">central and at school levels, and </w:t>
      </w:r>
      <w:r w:rsidR="0003148F" w:rsidRPr="0060082A">
        <w:rPr>
          <w:rFonts w:asciiTheme="majorHAnsi" w:hAnsiTheme="majorHAnsi" w:cstheme="majorHAnsi"/>
        </w:rPr>
        <w:t xml:space="preserve">the KEF TA </w:t>
      </w:r>
      <w:r w:rsidRPr="0060082A">
        <w:rPr>
          <w:rFonts w:asciiTheme="majorHAnsi" w:hAnsiTheme="majorHAnsi" w:cstheme="majorHAnsi"/>
        </w:rPr>
        <w:t xml:space="preserve">focused on </w:t>
      </w:r>
      <w:r w:rsidR="0003148F" w:rsidRPr="0060082A">
        <w:rPr>
          <w:rFonts w:asciiTheme="majorHAnsi" w:hAnsiTheme="majorHAnsi" w:cstheme="majorHAnsi"/>
        </w:rPr>
        <w:t xml:space="preserve">how to best </w:t>
      </w:r>
      <w:r w:rsidRPr="0060082A">
        <w:rPr>
          <w:rFonts w:asciiTheme="majorHAnsi" w:hAnsiTheme="majorHAnsi" w:cstheme="majorHAnsi"/>
        </w:rPr>
        <w:t xml:space="preserve">strengthen the teaching and learning environment, as well as </w:t>
      </w:r>
      <w:r w:rsidR="0003148F" w:rsidRPr="0060082A">
        <w:rPr>
          <w:rFonts w:asciiTheme="majorHAnsi" w:hAnsiTheme="majorHAnsi" w:cstheme="majorHAnsi"/>
        </w:rPr>
        <w:t xml:space="preserve">promoting more </w:t>
      </w:r>
      <w:r w:rsidRPr="0060082A">
        <w:rPr>
          <w:rFonts w:asciiTheme="majorHAnsi" w:hAnsiTheme="majorHAnsi" w:cstheme="majorHAnsi"/>
        </w:rPr>
        <w:t>engagement with the local communities to promote their support to education</w:t>
      </w:r>
      <w:r w:rsidR="000B2567" w:rsidRPr="0060082A">
        <w:rPr>
          <w:rFonts w:asciiTheme="majorHAnsi" w:hAnsiTheme="majorHAnsi" w:cstheme="majorHAnsi"/>
        </w:rPr>
        <w:t xml:space="preserve"> and encourage inclusive education</w:t>
      </w:r>
      <w:r w:rsidR="0003148F" w:rsidRPr="0060082A">
        <w:rPr>
          <w:rFonts w:asciiTheme="majorHAnsi" w:hAnsiTheme="majorHAnsi" w:cstheme="majorHAnsi"/>
        </w:rPr>
        <w:t>. As part of the leadership development, KEF actively supported MoE in the development of</w:t>
      </w:r>
      <w:r w:rsidR="000B2567" w:rsidRPr="0060082A">
        <w:rPr>
          <w:rFonts w:asciiTheme="majorHAnsi" w:hAnsiTheme="majorHAnsi" w:cstheme="majorHAnsi"/>
        </w:rPr>
        <w:t xml:space="preserve"> 13</w:t>
      </w:r>
      <w:r w:rsidR="0003148F" w:rsidRPr="0060082A">
        <w:rPr>
          <w:rFonts w:asciiTheme="majorHAnsi" w:hAnsiTheme="majorHAnsi" w:cstheme="majorHAnsi"/>
        </w:rPr>
        <w:t xml:space="preserve"> Island Education Coordinator (IEC) roles and duty statements, so that these important positions educational leadership could be recruited and then mobilised</w:t>
      </w:r>
      <w:r w:rsidRPr="0060082A">
        <w:rPr>
          <w:rFonts w:asciiTheme="majorHAnsi" w:hAnsiTheme="majorHAnsi" w:cstheme="majorHAnsi"/>
        </w:rPr>
        <w:t>;</w:t>
      </w:r>
    </w:p>
    <w:p w14:paraId="28EDE27F" w14:textId="5A71197D" w:rsidR="00923745" w:rsidRPr="0060082A" w:rsidRDefault="00923745" w:rsidP="0060082A">
      <w:pPr>
        <w:rPr>
          <w:rFonts w:asciiTheme="majorHAnsi" w:hAnsiTheme="majorHAnsi" w:cstheme="majorHAnsi"/>
        </w:rPr>
      </w:pPr>
      <w:r w:rsidRPr="0060082A">
        <w:rPr>
          <w:rFonts w:asciiTheme="majorHAnsi" w:hAnsiTheme="majorHAnsi" w:cstheme="majorHAnsi"/>
        </w:rPr>
        <w:t xml:space="preserve">Support </w:t>
      </w:r>
      <w:r w:rsidR="000B2567" w:rsidRPr="0060082A">
        <w:rPr>
          <w:rFonts w:asciiTheme="majorHAnsi" w:hAnsiTheme="majorHAnsi" w:cstheme="majorHAnsi"/>
        </w:rPr>
        <w:t xml:space="preserve">was </w:t>
      </w:r>
      <w:r w:rsidR="0003148F" w:rsidRPr="0060082A">
        <w:rPr>
          <w:rFonts w:asciiTheme="majorHAnsi" w:hAnsiTheme="majorHAnsi" w:cstheme="majorHAnsi"/>
        </w:rPr>
        <w:t xml:space="preserve">provided </w:t>
      </w:r>
      <w:r w:rsidRPr="0060082A">
        <w:rPr>
          <w:rFonts w:asciiTheme="majorHAnsi" w:hAnsiTheme="majorHAnsi" w:cstheme="majorHAnsi"/>
        </w:rPr>
        <w:t xml:space="preserve">to MoE staff and </w:t>
      </w:r>
      <w:r w:rsidR="0003148F" w:rsidRPr="0060082A">
        <w:rPr>
          <w:rFonts w:asciiTheme="majorHAnsi" w:hAnsiTheme="majorHAnsi" w:cstheme="majorHAnsi"/>
        </w:rPr>
        <w:t xml:space="preserve">their </w:t>
      </w:r>
      <w:r w:rsidRPr="0060082A">
        <w:rPr>
          <w:rFonts w:asciiTheme="majorHAnsi" w:hAnsiTheme="majorHAnsi" w:cstheme="majorHAnsi"/>
        </w:rPr>
        <w:t xml:space="preserve">agencies, </w:t>
      </w:r>
      <w:r w:rsidR="000B2567" w:rsidRPr="0060082A">
        <w:rPr>
          <w:rFonts w:asciiTheme="majorHAnsi" w:hAnsiTheme="majorHAnsi" w:cstheme="majorHAnsi"/>
        </w:rPr>
        <w:t xml:space="preserve">including </w:t>
      </w:r>
      <w:r w:rsidRPr="0060082A">
        <w:rPr>
          <w:rFonts w:asciiTheme="majorHAnsi" w:hAnsiTheme="majorHAnsi" w:cstheme="majorHAnsi"/>
        </w:rPr>
        <w:t xml:space="preserve">in the development and delivery of </w:t>
      </w:r>
      <w:r w:rsidR="0003148F" w:rsidRPr="0060082A">
        <w:rPr>
          <w:rFonts w:asciiTheme="majorHAnsi" w:hAnsiTheme="majorHAnsi" w:cstheme="majorHAnsi"/>
        </w:rPr>
        <w:t xml:space="preserve">the </w:t>
      </w:r>
      <w:r w:rsidRPr="0060082A">
        <w:rPr>
          <w:rFonts w:asciiTheme="majorHAnsi" w:hAnsiTheme="majorHAnsi" w:cstheme="majorHAnsi"/>
        </w:rPr>
        <w:t xml:space="preserve">core services and </w:t>
      </w:r>
      <w:r w:rsidR="0003148F" w:rsidRPr="0060082A">
        <w:rPr>
          <w:rFonts w:asciiTheme="majorHAnsi" w:hAnsiTheme="majorHAnsi" w:cstheme="majorHAnsi"/>
        </w:rPr>
        <w:t xml:space="preserve">educational </w:t>
      </w:r>
      <w:r w:rsidRPr="0060082A">
        <w:rPr>
          <w:rFonts w:asciiTheme="majorHAnsi" w:hAnsiTheme="majorHAnsi" w:cstheme="majorHAnsi"/>
        </w:rPr>
        <w:t>management</w:t>
      </w:r>
      <w:r w:rsidR="0003148F" w:rsidRPr="0060082A">
        <w:rPr>
          <w:rFonts w:asciiTheme="majorHAnsi" w:hAnsiTheme="majorHAnsi" w:cstheme="majorHAnsi"/>
        </w:rPr>
        <w:t xml:space="preserve"> capability. This covered the many MoE c</w:t>
      </w:r>
      <w:r w:rsidRPr="0060082A">
        <w:rPr>
          <w:rFonts w:asciiTheme="majorHAnsi" w:hAnsiTheme="majorHAnsi" w:cstheme="majorHAnsi"/>
        </w:rPr>
        <w:t xml:space="preserve">entral agency functions, including </w:t>
      </w:r>
      <w:r w:rsidR="0003148F" w:rsidRPr="0060082A">
        <w:rPr>
          <w:rFonts w:asciiTheme="majorHAnsi" w:hAnsiTheme="majorHAnsi" w:cstheme="majorHAnsi"/>
        </w:rPr>
        <w:t xml:space="preserve">MoE </w:t>
      </w:r>
      <w:r w:rsidRPr="0060082A">
        <w:rPr>
          <w:rFonts w:asciiTheme="majorHAnsi" w:hAnsiTheme="majorHAnsi" w:cstheme="majorHAnsi"/>
        </w:rPr>
        <w:t>staff in</w:t>
      </w:r>
      <w:r w:rsidR="0003148F" w:rsidRPr="0060082A">
        <w:rPr>
          <w:rFonts w:asciiTheme="majorHAnsi" w:hAnsiTheme="majorHAnsi" w:cstheme="majorHAnsi"/>
        </w:rPr>
        <w:t>volved in forward</w:t>
      </w:r>
      <w:r w:rsidRPr="0060082A">
        <w:rPr>
          <w:rFonts w:asciiTheme="majorHAnsi" w:hAnsiTheme="majorHAnsi" w:cstheme="majorHAnsi"/>
        </w:rPr>
        <w:t xml:space="preserve"> planning</w:t>
      </w:r>
      <w:r w:rsidR="0003148F" w:rsidRPr="0060082A">
        <w:rPr>
          <w:rFonts w:asciiTheme="majorHAnsi" w:hAnsiTheme="majorHAnsi" w:cstheme="majorHAnsi"/>
        </w:rPr>
        <w:t xml:space="preserve"> and HRD; staff involved in the new and existing school </w:t>
      </w:r>
      <w:r w:rsidRPr="0060082A">
        <w:rPr>
          <w:rFonts w:asciiTheme="majorHAnsi" w:hAnsiTheme="majorHAnsi" w:cstheme="majorHAnsi"/>
        </w:rPr>
        <w:t>infrastructure</w:t>
      </w:r>
      <w:r w:rsidR="0003148F" w:rsidRPr="0060082A">
        <w:rPr>
          <w:rFonts w:asciiTheme="majorHAnsi" w:hAnsiTheme="majorHAnsi" w:cstheme="majorHAnsi"/>
        </w:rPr>
        <w:t xml:space="preserve">; leadership involved in monitoring and supporting </w:t>
      </w:r>
      <w:r w:rsidR="007D1824" w:rsidRPr="0060082A">
        <w:rPr>
          <w:rFonts w:asciiTheme="majorHAnsi" w:hAnsiTheme="majorHAnsi" w:cstheme="majorHAnsi"/>
        </w:rPr>
        <w:t>school improvement</w:t>
      </w:r>
      <w:r w:rsidR="0003148F" w:rsidRPr="0060082A">
        <w:rPr>
          <w:rFonts w:asciiTheme="majorHAnsi" w:hAnsiTheme="majorHAnsi" w:cstheme="majorHAnsi"/>
        </w:rPr>
        <w:t xml:space="preserve">; MoE staff engaged in school and student level </w:t>
      </w:r>
      <w:r w:rsidR="007D1824" w:rsidRPr="0060082A">
        <w:rPr>
          <w:rFonts w:asciiTheme="majorHAnsi" w:hAnsiTheme="majorHAnsi" w:cstheme="majorHAnsi"/>
        </w:rPr>
        <w:t>reporting and monitoring</w:t>
      </w:r>
      <w:r w:rsidR="0003148F" w:rsidRPr="0060082A">
        <w:rPr>
          <w:rFonts w:asciiTheme="majorHAnsi" w:hAnsiTheme="majorHAnsi" w:cstheme="majorHAnsi"/>
        </w:rPr>
        <w:t xml:space="preserve"> (including Kiribati education management information systems (KEMIS) and in the M&amp;E of MoE progress and outcomes; and those MoE staff involved in student </w:t>
      </w:r>
      <w:r w:rsidR="007D1824" w:rsidRPr="0060082A">
        <w:rPr>
          <w:rFonts w:asciiTheme="majorHAnsi" w:hAnsiTheme="majorHAnsi" w:cstheme="majorHAnsi"/>
        </w:rPr>
        <w:t>assessment and evaluation</w:t>
      </w:r>
      <w:r w:rsidR="00B01DC1" w:rsidRPr="0060082A">
        <w:rPr>
          <w:rFonts w:asciiTheme="majorHAnsi" w:hAnsiTheme="majorHAnsi" w:cstheme="majorHAnsi"/>
        </w:rPr>
        <w:t>.</w:t>
      </w:r>
      <w:r w:rsidR="007D1824" w:rsidRPr="0060082A">
        <w:rPr>
          <w:rFonts w:asciiTheme="majorHAnsi" w:hAnsiTheme="majorHAnsi" w:cstheme="majorHAnsi"/>
        </w:rPr>
        <w:t xml:space="preserve"> </w:t>
      </w:r>
    </w:p>
    <w:p w14:paraId="457FFC8F" w14:textId="250214A9" w:rsidR="00440193" w:rsidRPr="0060082A" w:rsidRDefault="0003148F" w:rsidP="0060082A">
      <w:pPr>
        <w:rPr>
          <w:rFonts w:asciiTheme="majorHAnsi" w:hAnsiTheme="majorHAnsi" w:cstheme="majorHAnsi"/>
        </w:rPr>
      </w:pPr>
      <w:r w:rsidRPr="0060082A">
        <w:rPr>
          <w:rFonts w:asciiTheme="majorHAnsi" w:hAnsiTheme="majorHAnsi" w:cstheme="majorHAnsi"/>
        </w:rPr>
        <w:t xml:space="preserve">The ongoing need for teacher PD, as well as support for MoE central functions, school leadership and in research and M&amp;E, will continue during KEIP Phase </w:t>
      </w:r>
      <w:r w:rsidR="000A49FE">
        <w:rPr>
          <w:rFonts w:asciiTheme="majorHAnsi" w:hAnsiTheme="majorHAnsi" w:cstheme="majorHAnsi"/>
        </w:rPr>
        <w:t>3</w:t>
      </w:r>
      <w:r w:rsidRPr="0060082A">
        <w:rPr>
          <w:rFonts w:asciiTheme="majorHAnsi" w:hAnsiTheme="majorHAnsi" w:cstheme="majorHAnsi"/>
        </w:rPr>
        <w:t>, in line with the reform implementation and the need to consolidate capacity and practice.</w:t>
      </w:r>
    </w:p>
    <w:p w14:paraId="73CA3C90" w14:textId="77777777" w:rsidR="007627F4" w:rsidRPr="00C918BF" w:rsidRDefault="007627F4" w:rsidP="00022721">
      <w:pPr>
        <w:pStyle w:val="Heading3"/>
        <w:spacing w:line="235" w:lineRule="auto"/>
        <w:rPr>
          <w:color w:val="auto"/>
          <w:lang w:eastAsia="ko-KR"/>
        </w:rPr>
      </w:pPr>
      <w:bookmarkStart w:id="46" w:name="_Toc453669683"/>
      <w:bookmarkStart w:id="47" w:name="_Toc461615692"/>
      <w:r w:rsidRPr="00C918BF">
        <w:rPr>
          <w:color w:val="auto"/>
          <w:lang w:eastAsia="ko-KR"/>
        </w:rPr>
        <w:t>2.</w:t>
      </w:r>
      <w:r w:rsidR="00B716FC" w:rsidRPr="00C918BF">
        <w:rPr>
          <w:color w:val="auto"/>
          <w:lang w:eastAsia="ko-KR"/>
        </w:rPr>
        <w:t>1</w:t>
      </w:r>
      <w:r w:rsidRPr="00C918BF">
        <w:rPr>
          <w:color w:val="auto"/>
          <w:lang w:eastAsia="ko-KR"/>
        </w:rPr>
        <w:t xml:space="preserve">.3 </w:t>
      </w:r>
      <w:r w:rsidR="00E66AD0" w:rsidRPr="00C918BF">
        <w:rPr>
          <w:color w:val="auto"/>
          <w:lang w:eastAsia="ko-KR"/>
        </w:rPr>
        <w:tab/>
      </w:r>
      <w:r w:rsidRPr="00C918BF">
        <w:rPr>
          <w:color w:val="auto"/>
          <w:lang w:eastAsia="ko-KR"/>
        </w:rPr>
        <w:t>Output 1.3: More children are learning in rehabilitated classrooms</w:t>
      </w:r>
      <w:bookmarkEnd w:id="46"/>
      <w:bookmarkEnd w:id="47"/>
    </w:p>
    <w:p w14:paraId="3082508E" w14:textId="5BDF4DF1" w:rsidR="005A7345" w:rsidRPr="0060082A" w:rsidRDefault="005A7345" w:rsidP="0060082A">
      <w:pPr>
        <w:rPr>
          <w:rFonts w:asciiTheme="majorHAnsi" w:hAnsiTheme="majorHAnsi" w:cstheme="majorHAnsi"/>
        </w:rPr>
      </w:pPr>
      <w:r w:rsidRPr="0060082A">
        <w:rPr>
          <w:rFonts w:asciiTheme="majorHAnsi" w:hAnsiTheme="majorHAnsi" w:cstheme="majorHAnsi"/>
        </w:rPr>
        <w:t xml:space="preserve">The infrastructure component presented a number of challenges at the commencement of Phase </w:t>
      </w:r>
      <w:r w:rsidR="000A49FE">
        <w:rPr>
          <w:rFonts w:asciiTheme="majorHAnsi" w:hAnsiTheme="majorHAnsi" w:cstheme="majorHAnsi"/>
        </w:rPr>
        <w:t>2</w:t>
      </w:r>
      <w:r w:rsidRPr="0060082A">
        <w:rPr>
          <w:rFonts w:asciiTheme="majorHAnsi" w:hAnsiTheme="majorHAnsi" w:cstheme="majorHAnsi"/>
        </w:rPr>
        <w:t xml:space="preserve">. This included confirmation of the priority </w:t>
      </w:r>
      <w:r w:rsidR="008A7386" w:rsidRPr="0060082A">
        <w:rPr>
          <w:rFonts w:asciiTheme="majorHAnsi" w:hAnsiTheme="majorHAnsi" w:cstheme="majorHAnsi"/>
        </w:rPr>
        <w:t xml:space="preserve">order </w:t>
      </w:r>
      <w:r w:rsidRPr="0060082A">
        <w:rPr>
          <w:rFonts w:asciiTheme="majorHAnsi" w:hAnsiTheme="majorHAnsi" w:cstheme="majorHAnsi"/>
        </w:rPr>
        <w:t xml:space="preserve">for those Primary schools to be redeveloped, as well as the form and construction methods to be applied. The process followed, the various constraints encountered and lessons learned for infrastructure are included in Section </w:t>
      </w:r>
      <w:r w:rsidR="005D64E3" w:rsidRPr="0060082A">
        <w:rPr>
          <w:rFonts w:asciiTheme="majorHAnsi" w:hAnsiTheme="majorHAnsi" w:cstheme="majorHAnsi"/>
        </w:rPr>
        <w:t xml:space="preserve">7 </w:t>
      </w:r>
      <w:r w:rsidRPr="0060082A">
        <w:rPr>
          <w:rFonts w:asciiTheme="majorHAnsi" w:hAnsiTheme="majorHAnsi" w:cstheme="majorHAnsi"/>
        </w:rPr>
        <w:t>of this report.</w:t>
      </w:r>
    </w:p>
    <w:p w14:paraId="12593553" w14:textId="4612AB4A" w:rsidR="00756DA4" w:rsidRPr="0060082A" w:rsidRDefault="00117C65" w:rsidP="0060082A">
      <w:pPr>
        <w:rPr>
          <w:rFonts w:asciiTheme="majorHAnsi" w:hAnsiTheme="majorHAnsi" w:cstheme="majorHAnsi"/>
        </w:rPr>
      </w:pPr>
      <w:r w:rsidRPr="0060082A">
        <w:rPr>
          <w:rFonts w:asciiTheme="majorHAnsi" w:hAnsiTheme="majorHAnsi" w:cstheme="majorHAnsi"/>
        </w:rPr>
        <w:t>Early</w:t>
      </w:r>
      <w:r w:rsidR="0022644D" w:rsidRPr="0060082A">
        <w:rPr>
          <w:rFonts w:asciiTheme="majorHAnsi" w:hAnsiTheme="majorHAnsi" w:cstheme="majorHAnsi"/>
        </w:rPr>
        <w:t xml:space="preserve"> in</w:t>
      </w:r>
      <w:r w:rsidRPr="0060082A">
        <w:rPr>
          <w:rFonts w:asciiTheme="majorHAnsi" w:hAnsiTheme="majorHAnsi" w:cstheme="majorHAnsi"/>
        </w:rPr>
        <w:t xml:space="preserve"> 2014, </w:t>
      </w:r>
      <w:r w:rsidR="005A7345" w:rsidRPr="0060082A">
        <w:rPr>
          <w:rFonts w:asciiTheme="majorHAnsi" w:hAnsiTheme="majorHAnsi" w:cstheme="majorHAnsi"/>
        </w:rPr>
        <w:t xml:space="preserve">after much debate and trialling of options, the </w:t>
      </w:r>
      <w:r w:rsidR="00B765AC" w:rsidRPr="0060082A">
        <w:rPr>
          <w:rFonts w:asciiTheme="majorHAnsi" w:hAnsiTheme="majorHAnsi" w:cstheme="majorHAnsi"/>
        </w:rPr>
        <w:t>MoE</w:t>
      </w:r>
      <w:r w:rsidRPr="0060082A">
        <w:rPr>
          <w:rFonts w:asciiTheme="majorHAnsi" w:hAnsiTheme="majorHAnsi" w:cstheme="majorHAnsi"/>
        </w:rPr>
        <w:t xml:space="preserve"> and DFAT approved the use of Kitset construction for rehabilitation on South Tarawa.</w:t>
      </w:r>
      <w:r w:rsidR="00D70C8B" w:rsidRPr="0060082A">
        <w:rPr>
          <w:rFonts w:asciiTheme="majorHAnsi" w:hAnsiTheme="majorHAnsi" w:cstheme="majorHAnsi"/>
        </w:rPr>
        <w:t xml:space="preserve"> </w:t>
      </w:r>
      <w:r w:rsidRPr="0060082A">
        <w:rPr>
          <w:rFonts w:asciiTheme="majorHAnsi" w:hAnsiTheme="majorHAnsi" w:cstheme="majorHAnsi"/>
        </w:rPr>
        <w:t xml:space="preserve">A new prototype building was designed by the FMU Infrastructure team in conjunction with </w:t>
      </w:r>
      <w:r w:rsidR="008A7386" w:rsidRPr="0060082A">
        <w:rPr>
          <w:rFonts w:asciiTheme="majorHAnsi" w:hAnsiTheme="majorHAnsi" w:cstheme="majorHAnsi"/>
        </w:rPr>
        <w:t>architects Alexander and Lloyd</w:t>
      </w:r>
      <w:r w:rsidRPr="0060082A">
        <w:rPr>
          <w:rFonts w:asciiTheme="majorHAnsi" w:hAnsiTheme="majorHAnsi" w:cstheme="majorHAnsi"/>
        </w:rPr>
        <w:t xml:space="preserve"> to meet all National Infrastructure Standard (NIS) requirements. </w:t>
      </w:r>
      <w:r w:rsidR="00920565" w:rsidRPr="0060082A">
        <w:rPr>
          <w:rFonts w:asciiTheme="majorHAnsi" w:hAnsiTheme="majorHAnsi" w:cstheme="majorHAnsi"/>
        </w:rPr>
        <w:t>K</w:t>
      </w:r>
      <w:r w:rsidRPr="0060082A">
        <w:rPr>
          <w:rFonts w:asciiTheme="majorHAnsi" w:hAnsiTheme="majorHAnsi" w:cstheme="majorHAnsi"/>
        </w:rPr>
        <w:t>itset schools are now manufactured entirely in Kiribati.</w:t>
      </w:r>
      <w:r w:rsidR="00C66FBB" w:rsidRPr="0060082A">
        <w:rPr>
          <w:rFonts w:asciiTheme="majorHAnsi" w:hAnsiTheme="majorHAnsi" w:cstheme="majorHAnsi"/>
        </w:rPr>
        <w:t xml:space="preserve"> This form of</w:t>
      </w:r>
      <w:r w:rsidRPr="0060082A">
        <w:rPr>
          <w:rFonts w:asciiTheme="majorHAnsi" w:hAnsiTheme="majorHAnsi" w:cstheme="majorHAnsi"/>
        </w:rPr>
        <w:t xml:space="preserve"> construction enabled a seamless</w:t>
      </w:r>
      <w:r w:rsidR="00C66FBB" w:rsidRPr="0060082A">
        <w:rPr>
          <w:rFonts w:asciiTheme="majorHAnsi" w:hAnsiTheme="majorHAnsi" w:cstheme="majorHAnsi"/>
        </w:rPr>
        <w:t xml:space="preserve">, </w:t>
      </w:r>
      <w:r w:rsidRPr="0060082A">
        <w:rPr>
          <w:rFonts w:asciiTheme="majorHAnsi" w:hAnsiTheme="majorHAnsi" w:cstheme="majorHAnsi"/>
        </w:rPr>
        <w:t xml:space="preserve">steady approach during 2015, with four schools completed on South Tarawa. </w:t>
      </w:r>
      <w:r w:rsidR="003B463A" w:rsidRPr="0060082A">
        <w:rPr>
          <w:rFonts w:asciiTheme="majorHAnsi" w:hAnsiTheme="majorHAnsi" w:cstheme="majorHAnsi"/>
        </w:rPr>
        <w:t>All kitset building materials and forms of construction were selected on the basis of whole-of-life-cycle optimising ease of building, sustainable products and a reduced building envelop.</w:t>
      </w:r>
    </w:p>
    <w:p w14:paraId="035F6D8C" w14:textId="77777777" w:rsidR="003B463A" w:rsidRPr="0060082A" w:rsidRDefault="003B463A" w:rsidP="0060082A">
      <w:pPr>
        <w:rPr>
          <w:rFonts w:asciiTheme="majorHAnsi" w:hAnsiTheme="majorHAnsi" w:cstheme="majorHAnsi"/>
        </w:rPr>
      </w:pPr>
      <w:r w:rsidRPr="0060082A">
        <w:rPr>
          <w:rFonts w:asciiTheme="majorHAnsi" w:hAnsiTheme="majorHAnsi" w:cstheme="majorHAnsi"/>
        </w:rPr>
        <w:t xml:space="preserve">The last quarter for 2015 saw three schools constructed simultaneously, demonstrating the efficiencies the kitset design provides. Toilets blocks and rainwater tanks and stands are installed at all refurbished schools. The inclusion of </w:t>
      </w:r>
      <w:r w:rsidR="00210DD5" w:rsidRPr="0060082A">
        <w:rPr>
          <w:rFonts w:asciiTheme="majorHAnsi" w:hAnsiTheme="majorHAnsi" w:cstheme="majorHAnsi"/>
          <w:shd w:val="clear" w:color="auto" w:fill="FFFFFF"/>
        </w:rPr>
        <w:t>Water and Sanitation</w:t>
      </w:r>
      <w:r w:rsidR="00210DD5" w:rsidRPr="0060082A">
        <w:rPr>
          <w:rFonts w:asciiTheme="majorHAnsi" w:hAnsiTheme="majorHAnsi" w:cstheme="majorHAnsi"/>
        </w:rPr>
        <w:t xml:space="preserve"> (</w:t>
      </w:r>
      <w:r w:rsidRPr="0060082A">
        <w:rPr>
          <w:rFonts w:asciiTheme="majorHAnsi" w:hAnsiTheme="majorHAnsi" w:cstheme="majorHAnsi"/>
        </w:rPr>
        <w:t>WATSAN</w:t>
      </w:r>
      <w:r w:rsidR="00210DD5" w:rsidRPr="0060082A">
        <w:rPr>
          <w:rFonts w:asciiTheme="majorHAnsi" w:hAnsiTheme="majorHAnsi" w:cstheme="majorHAnsi"/>
        </w:rPr>
        <w:t>)</w:t>
      </w:r>
      <w:r w:rsidRPr="0060082A">
        <w:rPr>
          <w:rFonts w:asciiTheme="majorHAnsi" w:hAnsiTheme="majorHAnsi" w:cstheme="majorHAnsi"/>
        </w:rPr>
        <w:t xml:space="preserve"> facilities also improves the school environment, especially for girls. The UNICEF Water, Sanitation and Hygiene (WASH) Programme to address water and sanitation has been held at 12 schools. </w:t>
      </w:r>
    </w:p>
    <w:p w14:paraId="486EA165" w14:textId="77777777" w:rsidR="00680AEC" w:rsidRPr="0060082A" w:rsidRDefault="00916DE6" w:rsidP="0060082A">
      <w:pPr>
        <w:rPr>
          <w:rFonts w:asciiTheme="majorHAnsi" w:hAnsiTheme="majorHAnsi" w:cstheme="majorHAnsi"/>
        </w:rPr>
      </w:pPr>
      <w:r w:rsidRPr="0060082A">
        <w:rPr>
          <w:rFonts w:asciiTheme="majorHAnsi" w:hAnsiTheme="majorHAnsi" w:cstheme="majorHAnsi"/>
        </w:rPr>
        <w:t xml:space="preserve">In some cases, due to severe overcrowding and limited school area, a two level KitSet school building </w:t>
      </w:r>
      <w:r w:rsidR="008A7386" w:rsidRPr="0060082A">
        <w:rPr>
          <w:rFonts w:asciiTheme="majorHAnsi" w:hAnsiTheme="majorHAnsi" w:cstheme="majorHAnsi"/>
        </w:rPr>
        <w:t>design has been used</w:t>
      </w:r>
      <w:r w:rsidRPr="0060082A">
        <w:rPr>
          <w:rFonts w:asciiTheme="majorHAnsi" w:hAnsiTheme="majorHAnsi" w:cstheme="majorHAnsi"/>
        </w:rPr>
        <w:t>. In these cases, the lower level classrooms in the two storey kitset are in keeping with the NIS and are 48m</w:t>
      </w:r>
      <w:r w:rsidRPr="0060082A">
        <w:rPr>
          <w:rFonts w:asciiTheme="majorHAnsi" w:hAnsiTheme="majorHAnsi" w:cstheme="majorHAnsi"/>
          <w:vertAlign w:val="superscript"/>
        </w:rPr>
        <w:t>2</w:t>
      </w:r>
      <w:r w:rsidRPr="0060082A">
        <w:rPr>
          <w:rFonts w:asciiTheme="majorHAnsi" w:hAnsiTheme="majorHAnsi" w:cstheme="majorHAnsi"/>
        </w:rPr>
        <w:t xml:space="preserve">, large enough for all curricular activities, accommodating one child using mobility aids and a wheelchair, with access to some or all of the space, depending on the layout. </w:t>
      </w:r>
      <w:r w:rsidR="00C66FBB" w:rsidRPr="0060082A">
        <w:rPr>
          <w:rFonts w:asciiTheme="majorHAnsi" w:hAnsiTheme="majorHAnsi" w:cstheme="majorHAnsi"/>
        </w:rPr>
        <w:t>The foot print of the new</w:t>
      </w:r>
      <w:r w:rsidR="003B463A" w:rsidRPr="0060082A">
        <w:rPr>
          <w:rFonts w:asciiTheme="majorHAnsi" w:hAnsiTheme="majorHAnsi" w:cstheme="majorHAnsi"/>
        </w:rPr>
        <w:t xml:space="preserve"> kitset</w:t>
      </w:r>
      <w:r w:rsidR="00C66FBB" w:rsidRPr="0060082A">
        <w:rPr>
          <w:rFonts w:asciiTheme="majorHAnsi" w:hAnsiTheme="majorHAnsi" w:cstheme="majorHAnsi"/>
        </w:rPr>
        <w:t xml:space="preserve"> two storey solution (as completed at </w:t>
      </w:r>
      <w:r w:rsidR="00F5719E" w:rsidRPr="0060082A">
        <w:rPr>
          <w:rFonts w:asciiTheme="majorHAnsi" w:hAnsiTheme="majorHAnsi" w:cstheme="majorHAnsi"/>
        </w:rPr>
        <w:t>Rurubao Primary School</w:t>
      </w:r>
      <w:r w:rsidR="00C66FBB" w:rsidRPr="0060082A">
        <w:rPr>
          <w:rFonts w:asciiTheme="majorHAnsi" w:hAnsiTheme="majorHAnsi" w:cstheme="majorHAnsi"/>
        </w:rPr>
        <w:t xml:space="preserve">) offers benefits in compactness, better land use, durability and low maintenance. </w:t>
      </w:r>
    </w:p>
    <w:p w14:paraId="7EFA56C4" w14:textId="57327F73" w:rsidR="009F0544" w:rsidRPr="0060082A" w:rsidRDefault="002676FC" w:rsidP="0060082A">
      <w:pPr>
        <w:rPr>
          <w:rFonts w:asciiTheme="majorHAnsi" w:hAnsiTheme="majorHAnsi" w:cstheme="majorHAnsi"/>
        </w:rPr>
      </w:pPr>
      <w:r w:rsidRPr="0060082A">
        <w:rPr>
          <w:rFonts w:asciiTheme="majorHAnsi" w:hAnsiTheme="majorHAnsi" w:cstheme="majorHAnsi"/>
        </w:rPr>
        <w:t>An accessible environment helps children with a disability take part in school activities alongside their peers. The kitset provides a</w:t>
      </w:r>
      <w:r w:rsidR="00C66FBB" w:rsidRPr="0060082A">
        <w:rPr>
          <w:rFonts w:asciiTheme="majorHAnsi" w:hAnsiTheme="majorHAnsi" w:cstheme="majorHAnsi"/>
        </w:rPr>
        <w:t>n access ramp</w:t>
      </w:r>
      <w:r w:rsidR="00025D4F" w:rsidRPr="0060082A">
        <w:rPr>
          <w:rFonts w:asciiTheme="majorHAnsi" w:hAnsiTheme="majorHAnsi" w:cstheme="majorHAnsi"/>
        </w:rPr>
        <w:t xml:space="preserve"> that is</w:t>
      </w:r>
      <w:r w:rsidR="00C66FBB" w:rsidRPr="0060082A">
        <w:rPr>
          <w:rFonts w:asciiTheme="majorHAnsi" w:hAnsiTheme="majorHAnsi" w:cstheme="majorHAnsi"/>
        </w:rPr>
        <w:t xml:space="preserve"> </w:t>
      </w:r>
      <w:r w:rsidR="001735D6" w:rsidRPr="0060082A">
        <w:rPr>
          <w:rFonts w:asciiTheme="majorHAnsi" w:hAnsiTheme="majorHAnsi" w:cstheme="majorHAnsi"/>
        </w:rPr>
        <w:t>broad enough for children/people using wheel chairs or sticks to have</w:t>
      </w:r>
      <w:r w:rsidR="00C66FBB" w:rsidRPr="0060082A">
        <w:rPr>
          <w:rFonts w:asciiTheme="majorHAnsi" w:hAnsiTheme="majorHAnsi" w:cstheme="majorHAnsi"/>
        </w:rPr>
        <w:t xml:space="preserve"> </w:t>
      </w:r>
      <w:r w:rsidR="001735D6" w:rsidRPr="0060082A">
        <w:rPr>
          <w:rFonts w:asciiTheme="majorHAnsi" w:hAnsiTheme="majorHAnsi" w:cstheme="majorHAnsi"/>
        </w:rPr>
        <w:t xml:space="preserve">safe </w:t>
      </w:r>
      <w:r w:rsidR="00C66FBB" w:rsidRPr="0060082A">
        <w:rPr>
          <w:rFonts w:asciiTheme="majorHAnsi" w:hAnsiTheme="majorHAnsi" w:cstheme="majorHAnsi"/>
        </w:rPr>
        <w:t xml:space="preserve">accessibility to </w:t>
      </w:r>
      <w:r w:rsidR="00025D4F" w:rsidRPr="0060082A">
        <w:rPr>
          <w:rFonts w:asciiTheme="majorHAnsi" w:hAnsiTheme="majorHAnsi" w:cstheme="majorHAnsi"/>
        </w:rPr>
        <w:t>single storey classrooms.</w:t>
      </w:r>
      <w:r w:rsidR="006E6B10" w:rsidRPr="0060082A">
        <w:rPr>
          <w:rFonts w:asciiTheme="majorHAnsi" w:hAnsiTheme="majorHAnsi" w:cstheme="majorHAnsi"/>
        </w:rPr>
        <w:t xml:space="preserve"> </w:t>
      </w:r>
      <w:r w:rsidRPr="0060082A">
        <w:rPr>
          <w:rFonts w:asciiTheme="majorHAnsi" w:hAnsiTheme="majorHAnsi" w:cstheme="majorHAnsi"/>
        </w:rPr>
        <w:t>The NIS</w:t>
      </w:r>
      <w:r w:rsidR="00E3672A" w:rsidRPr="0060082A">
        <w:rPr>
          <w:rFonts w:asciiTheme="majorHAnsi" w:hAnsiTheme="majorHAnsi" w:cstheme="majorHAnsi"/>
        </w:rPr>
        <w:t xml:space="preserve"> states that at least 50%</w:t>
      </w:r>
      <w:r w:rsidRPr="0060082A">
        <w:rPr>
          <w:rFonts w:asciiTheme="majorHAnsi" w:hAnsiTheme="majorHAnsi" w:cstheme="majorHAnsi"/>
        </w:rPr>
        <w:t xml:space="preserve"> of available classrooms must be accessible to children/people with a disability.</w:t>
      </w:r>
      <w:r w:rsidR="00BC4B6D" w:rsidRPr="0060082A">
        <w:rPr>
          <w:rFonts w:asciiTheme="majorHAnsi" w:hAnsiTheme="majorHAnsi" w:cstheme="majorHAnsi"/>
        </w:rPr>
        <w:t xml:space="preserve"> </w:t>
      </w:r>
      <w:r w:rsidR="00025D4F" w:rsidRPr="0060082A">
        <w:rPr>
          <w:rFonts w:asciiTheme="majorHAnsi" w:hAnsiTheme="majorHAnsi" w:cstheme="majorHAnsi"/>
        </w:rPr>
        <w:t>For any t</w:t>
      </w:r>
      <w:r w:rsidR="009F0544" w:rsidRPr="0060082A">
        <w:rPr>
          <w:rFonts w:asciiTheme="majorHAnsi" w:hAnsiTheme="majorHAnsi" w:cstheme="majorHAnsi"/>
        </w:rPr>
        <w:t xml:space="preserve">wo storey </w:t>
      </w:r>
      <w:r w:rsidR="00FB0C1D" w:rsidRPr="0060082A">
        <w:rPr>
          <w:rFonts w:asciiTheme="majorHAnsi" w:hAnsiTheme="majorHAnsi" w:cstheme="majorHAnsi"/>
        </w:rPr>
        <w:t>k</w:t>
      </w:r>
      <w:r w:rsidR="009F0544" w:rsidRPr="0060082A">
        <w:rPr>
          <w:rFonts w:asciiTheme="majorHAnsi" w:hAnsiTheme="majorHAnsi" w:cstheme="majorHAnsi"/>
        </w:rPr>
        <w:t>itset classrooms</w:t>
      </w:r>
      <w:r w:rsidR="00025D4F" w:rsidRPr="0060082A">
        <w:rPr>
          <w:rFonts w:asciiTheme="majorHAnsi" w:hAnsiTheme="majorHAnsi" w:cstheme="majorHAnsi"/>
        </w:rPr>
        <w:t>, they will provide</w:t>
      </w:r>
      <w:r w:rsidR="006E6B10" w:rsidRPr="0060082A">
        <w:rPr>
          <w:rFonts w:asciiTheme="majorHAnsi" w:hAnsiTheme="majorHAnsi" w:cstheme="majorHAnsi"/>
        </w:rPr>
        <w:t xml:space="preserve"> </w:t>
      </w:r>
      <w:r w:rsidR="00E3672A" w:rsidRPr="0060082A">
        <w:rPr>
          <w:rFonts w:asciiTheme="majorHAnsi" w:hAnsiTheme="majorHAnsi" w:cstheme="majorHAnsi"/>
        </w:rPr>
        <w:t>four</w:t>
      </w:r>
      <w:r w:rsidR="008A7386" w:rsidRPr="0060082A">
        <w:rPr>
          <w:rFonts w:asciiTheme="majorHAnsi" w:hAnsiTheme="majorHAnsi" w:cstheme="majorHAnsi"/>
        </w:rPr>
        <w:t xml:space="preserve"> accessible</w:t>
      </w:r>
      <w:r w:rsidR="00E3672A" w:rsidRPr="0060082A">
        <w:rPr>
          <w:rFonts w:asciiTheme="majorHAnsi" w:hAnsiTheme="majorHAnsi" w:cstheme="majorHAnsi"/>
        </w:rPr>
        <w:t xml:space="preserve"> lower level classrooms and </w:t>
      </w:r>
      <w:r w:rsidR="00C603D3" w:rsidRPr="0060082A">
        <w:rPr>
          <w:rFonts w:asciiTheme="majorHAnsi" w:hAnsiTheme="majorHAnsi" w:cstheme="majorHAnsi"/>
        </w:rPr>
        <w:t>an</w:t>
      </w:r>
      <w:r w:rsidR="00025D4F" w:rsidRPr="0060082A">
        <w:rPr>
          <w:rFonts w:asciiTheme="majorHAnsi" w:hAnsiTheme="majorHAnsi" w:cstheme="majorHAnsi"/>
        </w:rPr>
        <w:t xml:space="preserve"> additional </w:t>
      </w:r>
      <w:r w:rsidR="00E3672A" w:rsidRPr="0060082A">
        <w:rPr>
          <w:rFonts w:asciiTheme="majorHAnsi" w:hAnsiTheme="majorHAnsi" w:cstheme="majorHAnsi"/>
        </w:rPr>
        <w:t>four upper level classrooms</w:t>
      </w:r>
      <w:r w:rsidR="00025D4F" w:rsidRPr="0060082A">
        <w:rPr>
          <w:rFonts w:asciiTheme="majorHAnsi" w:hAnsiTheme="majorHAnsi" w:cstheme="majorHAnsi"/>
        </w:rPr>
        <w:t xml:space="preserve">. This form of building </w:t>
      </w:r>
      <w:r w:rsidR="00001C6D" w:rsidRPr="0060082A">
        <w:rPr>
          <w:rFonts w:asciiTheme="majorHAnsi" w:hAnsiTheme="majorHAnsi" w:cstheme="majorHAnsi"/>
        </w:rPr>
        <w:t xml:space="preserve">will </w:t>
      </w:r>
      <w:r w:rsidR="00025D4F" w:rsidRPr="0060082A">
        <w:rPr>
          <w:rFonts w:asciiTheme="majorHAnsi" w:hAnsiTheme="majorHAnsi" w:cstheme="majorHAnsi"/>
        </w:rPr>
        <w:t xml:space="preserve">only </w:t>
      </w:r>
      <w:r w:rsidR="00001C6D" w:rsidRPr="0060082A">
        <w:rPr>
          <w:rFonts w:asciiTheme="majorHAnsi" w:hAnsiTheme="majorHAnsi" w:cstheme="majorHAnsi"/>
        </w:rPr>
        <w:t xml:space="preserve">be considered for </w:t>
      </w:r>
      <w:r w:rsidR="00025D4F" w:rsidRPr="0060082A">
        <w:rPr>
          <w:rFonts w:asciiTheme="majorHAnsi" w:hAnsiTheme="majorHAnsi" w:cstheme="majorHAnsi"/>
        </w:rPr>
        <w:t xml:space="preserve">a </w:t>
      </w:r>
      <w:r w:rsidR="00001C6D" w:rsidRPr="0060082A">
        <w:rPr>
          <w:rFonts w:asciiTheme="majorHAnsi" w:hAnsiTheme="majorHAnsi" w:cstheme="majorHAnsi"/>
        </w:rPr>
        <w:t>school refurbishment</w:t>
      </w:r>
      <w:r w:rsidR="00025D4F" w:rsidRPr="0060082A">
        <w:rPr>
          <w:rFonts w:asciiTheme="majorHAnsi" w:hAnsiTheme="majorHAnsi" w:cstheme="majorHAnsi"/>
        </w:rPr>
        <w:t xml:space="preserve"> in cases where</w:t>
      </w:r>
      <w:r w:rsidR="006E6B10" w:rsidRPr="0060082A">
        <w:rPr>
          <w:rFonts w:asciiTheme="majorHAnsi" w:hAnsiTheme="majorHAnsi" w:cstheme="majorHAnsi"/>
        </w:rPr>
        <w:t xml:space="preserve"> </w:t>
      </w:r>
      <w:r w:rsidR="00001C6D" w:rsidRPr="0060082A">
        <w:rPr>
          <w:rFonts w:asciiTheme="majorHAnsi" w:hAnsiTheme="majorHAnsi" w:cstheme="majorHAnsi"/>
        </w:rPr>
        <w:t>over-crowding is evident and there is</w:t>
      </w:r>
      <w:r w:rsidR="009F0544" w:rsidRPr="0060082A">
        <w:rPr>
          <w:rFonts w:asciiTheme="majorHAnsi" w:hAnsiTheme="majorHAnsi" w:cstheme="majorHAnsi"/>
        </w:rPr>
        <w:t xml:space="preserve"> limited playground space.</w:t>
      </w:r>
    </w:p>
    <w:p w14:paraId="64DFA545" w14:textId="0102C09F" w:rsidR="003B463A" w:rsidRPr="0060082A" w:rsidRDefault="007E03CA" w:rsidP="0060082A">
      <w:pPr>
        <w:rPr>
          <w:rFonts w:asciiTheme="majorHAnsi" w:hAnsiTheme="majorHAnsi" w:cstheme="majorHAnsi"/>
        </w:rPr>
      </w:pPr>
      <w:r w:rsidRPr="0060082A">
        <w:rPr>
          <w:rFonts w:asciiTheme="majorHAnsi" w:hAnsiTheme="majorHAnsi" w:cstheme="majorHAnsi"/>
        </w:rPr>
        <w:t xml:space="preserve">The process of completing 7 </w:t>
      </w:r>
      <w:r w:rsidR="008A7386" w:rsidRPr="0060082A">
        <w:rPr>
          <w:rFonts w:asciiTheme="majorHAnsi" w:hAnsiTheme="majorHAnsi" w:cstheme="majorHAnsi"/>
        </w:rPr>
        <w:t>schools in the remote Line Islands</w:t>
      </w:r>
      <w:r w:rsidRPr="0060082A">
        <w:rPr>
          <w:rFonts w:asciiTheme="majorHAnsi" w:hAnsiTheme="majorHAnsi" w:cstheme="majorHAnsi"/>
        </w:rPr>
        <w:t xml:space="preserve"> was more complicated due to significant logistical constraints in material supply, as well as inadequate building supervision managed by the </w:t>
      </w:r>
      <w:r w:rsidRPr="0060082A">
        <w:rPr>
          <w:rFonts w:asciiTheme="majorHAnsi" w:hAnsiTheme="majorHAnsi" w:cstheme="majorHAnsi"/>
        </w:rPr>
        <w:lastRenderedPageBreak/>
        <w:t xml:space="preserve">Ministry of Public Works. </w:t>
      </w:r>
      <w:r w:rsidR="00266D29" w:rsidRPr="0060082A">
        <w:rPr>
          <w:rFonts w:asciiTheme="majorHAnsi" w:hAnsiTheme="majorHAnsi" w:cstheme="majorHAnsi"/>
        </w:rPr>
        <w:t>After some delays, a</w:t>
      </w:r>
      <w:r w:rsidR="003B463A" w:rsidRPr="0060082A">
        <w:rPr>
          <w:rFonts w:asciiTheme="majorHAnsi" w:hAnsiTheme="majorHAnsi" w:cstheme="majorHAnsi"/>
        </w:rPr>
        <w:t>ll 7 schools were completed, some with minor defects</w:t>
      </w:r>
      <w:r w:rsidR="005A7345" w:rsidRPr="0060082A">
        <w:rPr>
          <w:rFonts w:asciiTheme="majorHAnsi" w:hAnsiTheme="majorHAnsi" w:cstheme="majorHAnsi"/>
        </w:rPr>
        <w:t xml:space="preserve"> identified before handover. The </w:t>
      </w:r>
      <w:r w:rsidR="008A7386" w:rsidRPr="0060082A">
        <w:rPr>
          <w:rFonts w:asciiTheme="majorHAnsi" w:hAnsiTheme="majorHAnsi" w:cstheme="majorHAnsi"/>
        </w:rPr>
        <w:t>Ministry of Line and Phoenix Islands Development has</w:t>
      </w:r>
      <w:r w:rsidR="005A7345" w:rsidRPr="0060082A">
        <w:rPr>
          <w:rFonts w:asciiTheme="majorHAnsi" w:hAnsiTheme="majorHAnsi" w:cstheme="majorHAnsi"/>
        </w:rPr>
        <w:t xml:space="preserve"> committed to completing these minor defects, based on their </w:t>
      </w:r>
      <w:r w:rsidR="00E23F48" w:rsidRPr="0060082A">
        <w:rPr>
          <w:rFonts w:asciiTheme="majorHAnsi" w:hAnsiTheme="majorHAnsi" w:cstheme="majorHAnsi"/>
        </w:rPr>
        <w:t>agreement</w:t>
      </w:r>
      <w:r w:rsidR="005A7345" w:rsidRPr="0060082A">
        <w:rPr>
          <w:rFonts w:asciiTheme="majorHAnsi" w:hAnsiTheme="majorHAnsi" w:cstheme="majorHAnsi"/>
        </w:rPr>
        <w:t xml:space="preserve"> that the minor defects and </w:t>
      </w:r>
      <w:r w:rsidR="00E23F48" w:rsidRPr="0060082A">
        <w:rPr>
          <w:rFonts w:asciiTheme="majorHAnsi" w:hAnsiTheme="majorHAnsi" w:cstheme="majorHAnsi"/>
        </w:rPr>
        <w:t xml:space="preserve">materials required to fully complete the schools is their responsibility The schools </w:t>
      </w:r>
      <w:r w:rsidR="003B463A" w:rsidRPr="0060082A">
        <w:rPr>
          <w:rFonts w:asciiTheme="majorHAnsi" w:hAnsiTheme="majorHAnsi" w:cstheme="majorHAnsi"/>
        </w:rPr>
        <w:t>were occupied in 2016.</w:t>
      </w:r>
    </w:p>
    <w:p w14:paraId="72D442DF" w14:textId="61A44E5B" w:rsidR="00FE523E" w:rsidRPr="0060082A" w:rsidRDefault="00C66FBB" w:rsidP="0060082A">
      <w:pPr>
        <w:rPr>
          <w:rFonts w:asciiTheme="majorHAnsi" w:hAnsiTheme="majorHAnsi" w:cstheme="majorHAnsi"/>
        </w:rPr>
      </w:pPr>
      <w:r w:rsidRPr="0060082A">
        <w:rPr>
          <w:rFonts w:asciiTheme="majorHAnsi" w:hAnsiTheme="majorHAnsi" w:cstheme="majorHAnsi"/>
        </w:rPr>
        <w:t>P</w:t>
      </w:r>
      <w:r w:rsidR="00117C65" w:rsidRPr="0060082A">
        <w:rPr>
          <w:rFonts w:asciiTheme="majorHAnsi" w:hAnsiTheme="majorHAnsi" w:cstheme="majorHAnsi"/>
        </w:rPr>
        <w:t xml:space="preserve">arent and children’s engagement in Kiribati with newly refurbished schools </w:t>
      </w:r>
      <w:r w:rsidR="004E1BF2" w:rsidRPr="0060082A">
        <w:rPr>
          <w:rFonts w:asciiTheme="majorHAnsi" w:hAnsiTheme="majorHAnsi" w:cstheme="majorHAnsi"/>
        </w:rPr>
        <w:t xml:space="preserve">is </w:t>
      </w:r>
      <w:r w:rsidR="00117C65" w:rsidRPr="0060082A">
        <w:rPr>
          <w:rFonts w:asciiTheme="majorHAnsi" w:hAnsiTheme="majorHAnsi" w:cstheme="majorHAnsi"/>
        </w:rPr>
        <w:t xml:space="preserve">positive, as illustrated by the increase in enrolment at </w:t>
      </w:r>
      <w:r w:rsidR="00FB0C1D" w:rsidRPr="0060082A">
        <w:rPr>
          <w:rFonts w:asciiTheme="majorHAnsi" w:hAnsiTheme="majorHAnsi" w:cstheme="majorHAnsi"/>
        </w:rPr>
        <w:t xml:space="preserve">refurbished </w:t>
      </w:r>
      <w:r w:rsidRPr="0060082A">
        <w:rPr>
          <w:rFonts w:asciiTheme="majorHAnsi" w:hAnsiTheme="majorHAnsi" w:cstheme="majorHAnsi"/>
        </w:rPr>
        <w:t xml:space="preserve">schools. </w:t>
      </w:r>
      <w:r w:rsidR="003A1B77" w:rsidRPr="0060082A">
        <w:rPr>
          <w:rFonts w:asciiTheme="majorHAnsi" w:hAnsiTheme="majorHAnsi" w:cstheme="majorHAnsi"/>
        </w:rPr>
        <w:t>The i</w:t>
      </w:r>
      <w:r w:rsidR="00117C65" w:rsidRPr="0060082A">
        <w:rPr>
          <w:rFonts w:asciiTheme="majorHAnsi" w:hAnsiTheme="majorHAnsi" w:cstheme="majorHAnsi"/>
        </w:rPr>
        <w:t xml:space="preserve">ndicators </w:t>
      </w:r>
      <w:r w:rsidR="0022644D" w:rsidRPr="0060082A">
        <w:rPr>
          <w:rFonts w:asciiTheme="majorHAnsi" w:hAnsiTheme="majorHAnsi" w:cstheme="majorHAnsi"/>
        </w:rPr>
        <w:t xml:space="preserve">of </w:t>
      </w:r>
      <w:r w:rsidR="00117C65" w:rsidRPr="0060082A">
        <w:rPr>
          <w:rFonts w:asciiTheme="majorHAnsi" w:hAnsiTheme="majorHAnsi" w:cstheme="majorHAnsi"/>
        </w:rPr>
        <w:t xml:space="preserve">the positive impact </w:t>
      </w:r>
      <w:r w:rsidR="00FB0C1D" w:rsidRPr="0060082A">
        <w:rPr>
          <w:rFonts w:asciiTheme="majorHAnsi" w:hAnsiTheme="majorHAnsi" w:cstheme="majorHAnsi"/>
        </w:rPr>
        <w:t xml:space="preserve">of </w:t>
      </w:r>
      <w:r w:rsidR="00117C65" w:rsidRPr="0060082A">
        <w:rPr>
          <w:rFonts w:asciiTheme="majorHAnsi" w:hAnsiTheme="majorHAnsi" w:cstheme="majorHAnsi"/>
        </w:rPr>
        <w:t xml:space="preserve">Australia’s investment in school rehabilitation </w:t>
      </w:r>
      <w:r w:rsidRPr="0060082A">
        <w:rPr>
          <w:rFonts w:asciiTheme="majorHAnsi" w:hAnsiTheme="majorHAnsi" w:cstheme="majorHAnsi"/>
        </w:rPr>
        <w:t>include</w:t>
      </w:r>
      <w:r w:rsidR="00FE523E" w:rsidRPr="0060082A">
        <w:rPr>
          <w:rFonts w:asciiTheme="majorHAnsi" w:hAnsiTheme="majorHAnsi" w:cstheme="majorHAnsi"/>
        </w:rPr>
        <w:t>:</w:t>
      </w:r>
    </w:p>
    <w:p w14:paraId="54165A0C" w14:textId="77777777" w:rsidR="00FE523E" w:rsidRPr="00C918BF" w:rsidRDefault="00117C65" w:rsidP="00022721">
      <w:pPr>
        <w:pStyle w:val="BodyBullets"/>
        <w:spacing w:before="60" w:after="60"/>
        <w:rPr>
          <w:color w:val="auto"/>
        </w:rPr>
      </w:pPr>
      <w:r w:rsidRPr="00C918BF">
        <w:rPr>
          <w:color w:val="auto"/>
        </w:rPr>
        <w:t>parent perceptions of new schools providing improved quality of teacher/student interaction</w:t>
      </w:r>
      <w:r w:rsidR="00FE523E" w:rsidRPr="00C918BF">
        <w:rPr>
          <w:color w:val="auto"/>
        </w:rPr>
        <w:t>;</w:t>
      </w:r>
    </w:p>
    <w:p w14:paraId="78897412" w14:textId="77777777" w:rsidR="00FE523E" w:rsidRPr="00C918BF" w:rsidRDefault="00117C65" w:rsidP="00022721">
      <w:pPr>
        <w:pStyle w:val="BodyBullets"/>
        <w:spacing w:before="60" w:after="60"/>
        <w:rPr>
          <w:color w:val="auto"/>
        </w:rPr>
      </w:pPr>
      <w:r w:rsidRPr="00C918BF">
        <w:rPr>
          <w:color w:val="auto"/>
        </w:rPr>
        <w:t>school community sense of belonging and inclusion, teachers and students self-esteem and self-confidence associated with personal wellbeing</w:t>
      </w:r>
      <w:r w:rsidR="00C66FBB" w:rsidRPr="00C918BF">
        <w:rPr>
          <w:color w:val="auto"/>
        </w:rPr>
        <w:t xml:space="preserve">, </w:t>
      </w:r>
      <w:r w:rsidRPr="00C918BF">
        <w:rPr>
          <w:color w:val="auto"/>
        </w:rPr>
        <w:t>physical comfort, health</w:t>
      </w:r>
      <w:r w:rsidR="00FE523E" w:rsidRPr="00C918BF">
        <w:rPr>
          <w:color w:val="auto"/>
        </w:rPr>
        <w:t>;</w:t>
      </w:r>
    </w:p>
    <w:p w14:paraId="4C36BE17" w14:textId="77777777" w:rsidR="00FE523E" w:rsidRPr="00C918BF" w:rsidRDefault="00FE523E" w:rsidP="00022721">
      <w:pPr>
        <w:pStyle w:val="BodyBullets"/>
        <w:spacing w:before="60" w:after="60"/>
        <w:rPr>
          <w:color w:val="auto"/>
        </w:rPr>
      </w:pPr>
      <w:r w:rsidRPr="00C918BF">
        <w:rPr>
          <w:color w:val="auto"/>
        </w:rPr>
        <w:t>a</w:t>
      </w:r>
      <w:r w:rsidR="00117C65" w:rsidRPr="00C918BF">
        <w:rPr>
          <w:color w:val="auto"/>
        </w:rPr>
        <w:t xml:space="preserve"> sense of safety with school grounds fenced; and </w:t>
      </w:r>
    </w:p>
    <w:p w14:paraId="6B275364" w14:textId="77777777" w:rsidR="00117C65" w:rsidRPr="00C918BF" w:rsidRDefault="00117C65" w:rsidP="00022721">
      <w:pPr>
        <w:pStyle w:val="BodyBullets"/>
        <w:spacing w:before="60" w:after="60"/>
        <w:rPr>
          <w:color w:val="auto"/>
        </w:rPr>
      </w:pPr>
      <w:r w:rsidRPr="00C918BF">
        <w:rPr>
          <w:color w:val="auto"/>
        </w:rPr>
        <w:t>behavioural changes related to retention, vandalism, and absenteeism.</w:t>
      </w:r>
    </w:p>
    <w:p w14:paraId="31179E89" w14:textId="0C0CDBD9" w:rsidR="00117C65" w:rsidRPr="0060082A" w:rsidRDefault="00117C65" w:rsidP="00820811">
      <w:pPr>
        <w:spacing w:before="240"/>
        <w:rPr>
          <w:rFonts w:asciiTheme="majorHAnsi" w:hAnsiTheme="majorHAnsi" w:cstheme="majorHAnsi"/>
        </w:rPr>
      </w:pPr>
      <w:r w:rsidRPr="0060082A">
        <w:rPr>
          <w:rFonts w:asciiTheme="majorHAnsi" w:hAnsiTheme="majorHAnsi" w:cstheme="majorHAnsi"/>
        </w:rPr>
        <w:t xml:space="preserve">KEIP Phase </w:t>
      </w:r>
      <w:r w:rsidR="000A49FE">
        <w:rPr>
          <w:rFonts w:asciiTheme="majorHAnsi" w:hAnsiTheme="majorHAnsi" w:cstheme="majorHAnsi"/>
        </w:rPr>
        <w:t>3</w:t>
      </w:r>
      <w:r w:rsidRPr="0060082A">
        <w:rPr>
          <w:rFonts w:asciiTheme="majorHAnsi" w:hAnsiTheme="majorHAnsi" w:cstheme="majorHAnsi"/>
        </w:rPr>
        <w:t xml:space="preserve"> will also maintain </w:t>
      </w:r>
      <w:r w:rsidR="00827105" w:rsidRPr="0060082A">
        <w:rPr>
          <w:rFonts w:asciiTheme="majorHAnsi" w:hAnsiTheme="majorHAnsi" w:cstheme="majorHAnsi"/>
        </w:rPr>
        <w:t xml:space="preserve">its </w:t>
      </w:r>
      <w:r w:rsidRPr="0060082A">
        <w:rPr>
          <w:rFonts w:asciiTheme="majorHAnsi" w:hAnsiTheme="majorHAnsi" w:cstheme="majorHAnsi"/>
        </w:rPr>
        <w:t xml:space="preserve">support to the </w:t>
      </w:r>
      <w:r w:rsidR="0022644D" w:rsidRPr="0060082A">
        <w:rPr>
          <w:rFonts w:asciiTheme="majorHAnsi" w:hAnsiTheme="majorHAnsi" w:cstheme="majorHAnsi"/>
        </w:rPr>
        <w:t>Mo</w:t>
      </w:r>
      <w:r w:rsidR="00B765AC" w:rsidRPr="0060082A">
        <w:rPr>
          <w:rFonts w:asciiTheme="majorHAnsi" w:hAnsiTheme="majorHAnsi" w:cstheme="majorHAnsi"/>
        </w:rPr>
        <w:t>E</w:t>
      </w:r>
      <w:r w:rsidR="00827105" w:rsidRPr="0060082A">
        <w:rPr>
          <w:rFonts w:asciiTheme="majorHAnsi" w:hAnsiTheme="majorHAnsi" w:cstheme="majorHAnsi"/>
        </w:rPr>
        <w:t xml:space="preserve"> </w:t>
      </w:r>
      <w:r w:rsidRPr="0060082A">
        <w:rPr>
          <w:rFonts w:asciiTheme="majorHAnsi" w:hAnsiTheme="majorHAnsi" w:cstheme="majorHAnsi"/>
        </w:rPr>
        <w:t>Facilities Management Unit to assess and address the rehabilitation needs across all schools.</w:t>
      </w:r>
    </w:p>
    <w:p w14:paraId="7229A98F" w14:textId="77777777" w:rsidR="007627F4" w:rsidRPr="00C918BF" w:rsidRDefault="007627F4" w:rsidP="00D02244">
      <w:pPr>
        <w:pStyle w:val="Heading2"/>
        <w:rPr>
          <w:color w:val="auto"/>
        </w:rPr>
      </w:pPr>
      <w:bookmarkStart w:id="48" w:name="_Toc453669684"/>
      <w:bookmarkStart w:id="49" w:name="_Toc461615693"/>
      <w:r w:rsidRPr="00C918BF">
        <w:rPr>
          <w:color w:val="auto"/>
        </w:rPr>
        <w:t>2.</w:t>
      </w:r>
      <w:r w:rsidR="00B716FC" w:rsidRPr="00C918BF">
        <w:rPr>
          <w:color w:val="auto"/>
        </w:rPr>
        <w:t>2</w:t>
      </w:r>
      <w:r w:rsidRPr="00C918BF">
        <w:rPr>
          <w:color w:val="auto"/>
        </w:rPr>
        <w:t xml:space="preserve"> </w:t>
      </w:r>
      <w:r w:rsidR="00B716FC" w:rsidRPr="00C918BF">
        <w:rPr>
          <w:color w:val="auto"/>
        </w:rPr>
        <w:tab/>
      </w:r>
      <w:r w:rsidRPr="00C918BF">
        <w:rPr>
          <w:color w:val="auto"/>
        </w:rPr>
        <w:t>Intermediate Outcome 2: Improved governance and management of the education system</w:t>
      </w:r>
      <w:bookmarkEnd w:id="48"/>
      <w:bookmarkEnd w:id="49"/>
    </w:p>
    <w:p w14:paraId="435AD134" w14:textId="0C0417B3" w:rsidR="00CA155B" w:rsidRPr="0060082A" w:rsidRDefault="00A329F3" w:rsidP="0060082A">
      <w:pPr>
        <w:rPr>
          <w:rFonts w:asciiTheme="majorHAnsi" w:hAnsiTheme="majorHAnsi" w:cstheme="majorHAnsi"/>
        </w:rPr>
      </w:pPr>
      <w:r w:rsidRPr="0060082A">
        <w:rPr>
          <w:rFonts w:asciiTheme="majorHAnsi" w:hAnsiTheme="majorHAnsi" w:cstheme="majorHAnsi"/>
        </w:rPr>
        <w:t xml:space="preserve">Australia’s investment has </w:t>
      </w:r>
      <w:r w:rsidR="00CA155B" w:rsidRPr="0060082A">
        <w:rPr>
          <w:rFonts w:asciiTheme="majorHAnsi" w:hAnsiTheme="majorHAnsi" w:cstheme="majorHAnsi"/>
        </w:rPr>
        <w:t xml:space="preserve">had a positive influence on governance and educational management. </w:t>
      </w:r>
      <w:r w:rsidRPr="0060082A">
        <w:rPr>
          <w:rFonts w:asciiTheme="majorHAnsi" w:hAnsiTheme="majorHAnsi" w:cstheme="majorHAnsi"/>
        </w:rPr>
        <w:t xml:space="preserve">KEIP </w:t>
      </w:r>
      <w:r w:rsidR="00CA155B" w:rsidRPr="0060082A">
        <w:rPr>
          <w:rFonts w:asciiTheme="majorHAnsi" w:hAnsiTheme="majorHAnsi" w:cstheme="majorHAnsi"/>
        </w:rPr>
        <w:t xml:space="preserve">Phase </w:t>
      </w:r>
      <w:r w:rsidR="000A49FE">
        <w:rPr>
          <w:rFonts w:asciiTheme="majorHAnsi" w:hAnsiTheme="majorHAnsi" w:cstheme="majorHAnsi"/>
        </w:rPr>
        <w:t>1</w:t>
      </w:r>
      <w:r w:rsidRPr="0060082A">
        <w:rPr>
          <w:rFonts w:asciiTheme="majorHAnsi" w:hAnsiTheme="majorHAnsi" w:cstheme="majorHAnsi"/>
        </w:rPr>
        <w:t xml:space="preserve"> established the building blocks and KEIP </w:t>
      </w:r>
      <w:r w:rsidR="00CA155B" w:rsidRPr="0060082A">
        <w:rPr>
          <w:rFonts w:asciiTheme="majorHAnsi" w:hAnsiTheme="majorHAnsi" w:cstheme="majorHAnsi"/>
        </w:rPr>
        <w:t xml:space="preserve">Phase </w:t>
      </w:r>
      <w:r w:rsidR="000A49FE">
        <w:rPr>
          <w:rFonts w:asciiTheme="majorHAnsi" w:hAnsiTheme="majorHAnsi" w:cstheme="majorHAnsi"/>
        </w:rPr>
        <w:t>2</w:t>
      </w:r>
      <w:r w:rsidRPr="0060082A">
        <w:rPr>
          <w:rFonts w:asciiTheme="majorHAnsi" w:hAnsiTheme="majorHAnsi" w:cstheme="majorHAnsi"/>
        </w:rPr>
        <w:t xml:space="preserve"> provided the foundations of a strengthened education system.</w:t>
      </w:r>
      <w:r w:rsidR="00D70C8B" w:rsidRPr="0060082A">
        <w:rPr>
          <w:rFonts w:asciiTheme="majorHAnsi" w:hAnsiTheme="majorHAnsi" w:cstheme="majorHAnsi"/>
        </w:rPr>
        <w:t xml:space="preserve"> </w:t>
      </w:r>
      <w:r w:rsidRPr="0060082A">
        <w:rPr>
          <w:rFonts w:asciiTheme="majorHAnsi" w:hAnsiTheme="majorHAnsi" w:cstheme="majorHAnsi"/>
        </w:rPr>
        <w:t xml:space="preserve">Key to strengthening the system was the establishment of the Ministry Executive Management Team (EMT). The EMT is comprised of the Secretary, the Deputy Secretary, the Director of Education and the Director of Policy and Planning. </w:t>
      </w:r>
      <w:r w:rsidR="00CA155B" w:rsidRPr="0060082A">
        <w:rPr>
          <w:rFonts w:asciiTheme="majorHAnsi" w:hAnsiTheme="majorHAnsi" w:cstheme="majorHAnsi"/>
        </w:rPr>
        <w:t>With the establishment of the EMT there has been an increased interest across the Ministry in the use of data for planning driven by demands for deeper analysis around education sector strategic priorities.</w:t>
      </w:r>
    </w:p>
    <w:p w14:paraId="0E189448" w14:textId="2BEB91E7" w:rsidR="00A329F3" w:rsidRPr="0060082A" w:rsidRDefault="00A329F3" w:rsidP="0060082A">
      <w:pPr>
        <w:rPr>
          <w:rFonts w:asciiTheme="majorHAnsi" w:hAnsiTheme="majorHAnsi" w:cstheme="majorHAnsi"/>
        </w:rPr>
      </w:pPr>
      <w:r w:rsidRPr="0060082A">
        <w:rPr>
          <w:rFonts w:asciiTheme="majorHAnsi" w:hAnsiTheme="majorHAnsi" w:cstheme="majorHAnsi"/>
        </w:rPr>
        <w:t>Improved governance, management and planning are</w:t>
      </w:r>
      <w:r w:rsidR="00025D4F" w:rsidRPr="0060082A">
        <w:rPr>
          <w:rFonts w:asciiTheme="majorHAnsi" w:hAnsiTheme="majorHAnsi" w:cstheme="majorHAnsi"/>
        </w:rPr>
        <w:t xml:space="preserve"> indicated through</w:t>
      </w:r>
      <w:r w:rsidR="006E6B10" w:rsidRPr="0060082A">
        <w:rPr>
          <w:rFonts w:asciiTheme="majorHAnsi" w:hAnsiTheme="majorHAnsi" w:cstheme="majorHAnsi"/>
        </w:rPr>
        <w:t xml:space="preserve"> </w:t>
      </w:r>
      <w:r w:rsidR="00266D29" w:rsidRPr="0060082A">
        <w:rPr>
          <w:rFonts w:asciiTheme="majorHAnsi" w:hAnsiTheme="majorHAnsi" w:cstheme="majorHAnsi"/>
        </w:rPr>
        <w:t xml:space="preserve">the </w:t>
      </w:r>
      <w:r w:rsidRPr="0060082A">
        <w:rPr>
          <w:rFonts w:asciiTheme="majorHAnsi" w:hAnsiTheme="majorHAnsi" w:cstheme="majorHAnsi"/>
        </w:rPr>
        <w:t xml:space="preserve">improved performance of the </w:t>
      </w:r>
      <w:r w:rsidR="007D1824" w:rsidRPr="0060082A">
        <w:rPr>
          <w:rFonts w:asciiTheme="majorHAnsi" w:hAnsiTheme="majorHAnsi" w:cstheme="majorHAnsi"/>
        </w:rPr>
        <w:t xml:space="preserve">MoE as an </w:t>
      </w:r>
      <w:r w:rsidRPr="0060082A">
        <w:rPr>
          <w:rFonts w:asciiTheme="majorHAnsi" w:hAnsiTheme="majorHAnsi" w:cstheme="majorHAnsi"/>
        </w:rPr>
        <w:t>organi</w:t>
      </w:r>
      <w:r w:rsidR="0022644D" w:rsidRPr="0060082A">
        <w:rPr>
          <w:rFonts w:asciiTheme="majorHAnsi" w:hAnsiTheme="majorHAnsi" w:cstheme="majorHAnsi"/>
        </w:rPr>
        <w:t>s</w:t>
      </w:r>
      <w:r w:rsidRPr="0060082A">
        <w:rPr>
          <w:rFonts w:asciiTheme="majorHAnsi" w:hAnsiTheme="majorHAnsi" w:cstheme="majorHAnsi"/>
        </w:rPr>
        <w:t>ation</w:t>
      </w:r>
      <w:r w:rsidR="00827105" w:rsidRPr="0060082A">
        <w:rPr>
          <w:rFonts w:asciiTheme="majorHAnsi" w:hAnsiTheme="majorHAnsi" w:cstheme="majorHAnsi"/>
        </w:rPr>
        <w:t xml:space="preserve">. </w:t>
      </w:r>
      <w:r w:rsidR="00182A8A" w:rsidRPr="0060082A">
        <w:rPr>
          <w:rFonts w:asciiTheme="majorHAnsi" w:hAnsiTheme="majorHAnsi" w:cstheme="majorHAnsi"/>
        </w:rPr>
        <w:t xml:space="preserve">This </w:t>
      </w:r>
      <w:r w:rsidR="007D1824" w:rsidRPr="0060082A">
        <w:rPr>
          <w:rFonts w:asciiTheme="majorHAnsi" w:hAnsiTheme="majorHAnsi" w:cstheme="majorHAnsi"/>
        </w:rPr>
        <w:t xml:space="preserve">improvement in setting direction </w:t>
      </w:r>
      <w:r w:rsidR="00182A8A" w:rsidRPr="0060082A">
        <w:rPr>
          <w:rFonts w:asciiTheme="majorHAnsi" w:hAnsiTheme="majorHAnsi" w:cstheme="majorHAnsi"/>
        </w:rPr>
        <w:t>has included the promulgation of t</w:t>
      </w:r>
      <w:r w:rsidR="00CA155B" w:rsidRPr="0060082A">
        <w:rPr>
          <w:rFonts w:asciiTheme="majorHAnsi" w:hAnsiTheme="majorHAnsi" w:cstheme="majorHAnsi"/>
        </w:rPr>
        <w:t>h</w:t>
      </w:r>
      <w:r w:rsidR="003C5989" w:rsidRPr="0060082A">
        <w:rPr>
          <w:rFonts w:asciiTheme="majorHAnsi" w:hAnsiTheme="majorHAnsi" w:cstheme="majorHAnsi"/>
        </w:rPr>
        <w:t xml:space="preserve">ree </w:t>
      </w:r>
      <w:r w:rsidR="00994C8F" w:rsidRPr="0060082A">
        <w:rPr>
          <w:rFonts w:asciiTheme="majorHAnsi" w:hAnsiTheme="majorHAnsi" w:cstheme="majorHAnsi"/>
        </w:rPr>
        <w:t xml:space="preserve">MoE </w:t>
      </w:r>
      <w:r w:rsidR="00CA155B" w:rsidRPr="0060082A">
        <w:rPr>
          <w:rFonts w:asciiTheme="majorHAnsi" w:hAnsiTheme="majorHAnsi" w:cstheme="majorHAnsi"/>
        </w:rPr>
        <w:t xml:space="preserve">governance and management </w:t>
      </w:r>
      <w:r w:rsidRPr="0060082A">
        <w:rPr>
          <w:rFonts w:asciiTheme="majorHAnsi" w:hAnsiTheme="majorHAnsi" w:cstheme="majorHAnsi"/>
        </w:rPr>
        <w:t>policies</w:t>
      </w:r>
      <w:r w:rsidR="008F4410" w:rsidRPr="0060082A">
        <w:rPr>
          <w:rFonts w:asciiTheme="majorHAnsi" w:hAnsiTheme="majorHAnsi" w:cstheme="majorHAnsi"/>
        </w:rPr>
        <w:t>,</w:t>
      </w:r>
      <w:r w:rsidRPr="0060082A">
        <w:rPr>
          <w:rFonts w:asciiTheme="majorHAnsi" w:hAnsiTheme="majorHAnsi" w:cstheme="majorHAnsi"/>
        </w:rPr>
        <w:t xml:space="preserve"> </w:t>
      </w:r>
      <w:r w:rsidR="00182A8A" w:rsidRPr="0060082A">
        <w:rPr>
          <w:rFonts w:asciiTheme="majorHAnsi" w:hAnsiTheme="majorHAnsi" w:cstheme="majorHAnsi"/>
        </w:rPr>
        <w:t>strengthening the</w:t>
      </w:r>
      <w:r w:rsidR="00994C8F" w:rsidRPr="0060082A">
        <w:rPr>
          <w:rFonts w:asciiTheme="majorHAnsi" w:hAnsiTheme="majorHAnsi" w:cstheme="majorHAnsi"/>
        </w:rPr>
        <w:t xml:space="preserve"> </w:t>
      </w:r>
      <w:r w:rsidRPr="0060082A">
        <w:rPr>
          <w:rFonts w:asciiTheme="majorHAnsi" w:hAnsiTheme="majorHAnsi" w:cstheme="majorHAnsi"/>
        </w:rPr>
        <w:t xml:space="preserve">coordination of EPIK, </w:t>
      </w:r>
      <w:r w:rsidR="00994C8F" w:rsidRPr="0060082A">
        <w:rPr>
          <w:rFonts w:asciiTheme="majorHAnsi" w:hAnsiTheme="majorHAnsi" w:cstheme="majorHAnsi"/>
        </w:rPr>
        <w:t xml:space="preserve">and </w:t>
      </w:r>
      <w:r w:rsidR="00182A8A" w:rsidRPr="0060082A">
        <w:rPr>
          <w:rFonts w:asciiTheme="majorHAnsi" w:hAnsiTheme="majorHAnsi" w:cstheme="majorHAnsi"/>
        </w:rPr>
        <w:t xml:space="preserve">improving </w:t>
      </w:r>
      <w:r w:rsidRPr="0060082A">
        <w:rPr>
          <w:rFonts w:asciiTheme="majorHAnsi" w:hAnsiTheme="majorHAnsi" w:cstheme="majorHAnsi"/>
        </w:rPr>
        <w:t xml:space="preserve">ESSP </w:t>
      </w:r>
      <w:r w:rsidR="008F4410" w:rsidRPr="0060082A">
        <w:rPr>
          <w:rFonts w:asciiTheme="majorHAnsi" w:hAnsiTheme="majorHAnsi" w:cstheme="majorHAnsi"/>
        </w:rPr>
        <w:t>review</w:t>
      </w:r>
      <w:r w:rsidR="00994C8F" w:rsidRPr="0060082A">
        <w:rPr>
          <w:rFonts w:asciiTheme="majorHAnsi" w:hAnsiTheme="majorHAnsi" w:cstheme="majorHAnsi"/>
        </w:rPr>
        <w:t xml:space="preserve"> and </w:t>
      </w:r>
      <w:r w:rsidRPr="0060082A">
        <w:rPr>
          <w:rFonts w:asciiTheme="majorHAnsi" w:hAnsiTheme="majorHAnsi" w:cstheme="majorHAnsi"/>
        </w:rPr>
        <w:t>planning process</w:t>
      </w:r>
      <w:r w:rsidR="008F4410" w:rsidRPr="0060082A">
        <w:rPr>
          <w:rFonts w:asciiTheme="majorHAnsi" w:hAnsiTheme="majorHAnsi" w:cstheme="majorHAnsi"/>
        </w:rPr>
        <w:t>es</w:t>
      </w:r>
      <w:r w:rsidR="00CA155B" w:rsidRPr="0060082A">
        <w:rPr>
          <w:rFonts w:asciiTheme="majorHAnsi" w:hAnsiTheme="majorHAnsi" w:cstheme="majorHAnsi"/>
        </w:rPr>
        <w:t xml:space="preserve">. </w:t>
      </w:r>
      <w:r w:rsidR="007D1824" w:rsidRPr="0060082A">
        <w:rPr>
          <w:rFonts w:asciiTheme="majorHAnsi" w:hAnsiTheme="majorHAnsi" w:cstheme="majorHAnsi"/>
        </w:rPr>
        <w:t>Of note, t</w:t>
      </w:r>
      <w:r w:rsidRPr="0060082A">
        <w:rPr>
          <w:rFonts w:asciiTheme="majorHAnsi" w:hAnsiTheme="majorHAnsi" w:cstheme="majorHAnsi"/>
        </w:rPr>
        <w:t xml:space="preserve">he </w:t>
      </w:r>
      <w:r w:rsidR="00B765AC" w:rsidRPr="0060082A">
        <w:rPr>
          <w:rFonts w:asciiTheme="majorHAnsi" w:hAnsiTheme="majorHAnsi" w:cstheme="majorHAnsi"/>
        </w:rPr>
        <w:t>MoE</w:t>
      </w:r>
      <w:r w:rsidRPr="0060082A">
        <w:rPr>
          <w:rFonts w:asciiTheme="majorHAnsi" w:hAnsiTheme="majorHAnsi" w:cstheme="majorHAnsi"/>
        </w:rPr>
        <w:t xml:space="preserve"> organised a very successful Education Summit </w:t>
      </w:r>
      <w:r w:rsidR="00CA155B" w:rsidRPr="0060082A">
        <w:rPr>
          <w:rFonts w:asciiTheme="majorHAnsi" w:hAnsiTheme="majorHAnsi" w:cstheme="majorHAnsi"/>
        </w:rPr>
        <w:t xml:space="preserve">in </w:t>
      </w:r>
      <w:r w:rsidRPr="0060082A">
        <w:rPr>
          <w:rFonts w:asciiTheme="majorHAnsi" w:hAnsiTheme="majorHAnsi" w:cstheme="majorHAnsi"/>
        </w:rPr>
        <w:t>April 2015 to review sector wide performance</w:t>
      </w:r>
      <w:r w:rsidR="00916DE6" w:rsidRPr="0060082A">
        <w:rPr>
          <w:rFonts w:asciiTheme="majorHAnsi" w:hAnsiTheme="majorHAnsi" w:cstheme="majorHAnsi"/>
        </w:rPr>
        <w:t xml:space="preserve"> and promote </w:t>
      </w:r>
      <w:r w:rsidR="00994C8F" w:rsidRPr="0060082A">
        <w:rPr>
          <w:rFonts w:asciiTheme="majorHAnsi" w:hAnsiTheme="majorHAnsi" w:cstheme="majorHAnsi"/>
        </w:rPr>
        <w:t xml:space="preserve">draft </w:t>
      </w:r>
      <w:r w:rsidR="00CA155B" w:rsidRPr="0060082A">
        <w:rPr>
          <w:rFonts w:asciiTheme="majorHAnsi" w:hAnsiTheme="majorHAnsi" w:cstheme="majorHAnsi"/>
        </w:rPr>
        <w:t xml:space="preserve">ESSP </w:t>
      </w:r>
      <w:r w:rsidR="008F4410" w:rsidRPr="0060082A">
        <w:rPr>
          <w:rFonts w:asciiTheme="majorHAnsi" w:hAnsiTheme="majorHAnsi" w:cstheme="majorHAnsi"/>
        </w:rPr>
        <w:t xml:space="preserve">2016-19 </w:t>
      </w:r>
      <w:r w:rsidR="00CA155B" w:rsidRPr="0060082A">
        <w:rPr>
          <w:rFonts w:asciiTheme="majorHAnsi" w:hAnsiTheme="majorHAnsi" w:cstheme="majorHAnsi"/>
        </w:rPr>
        <w:t>goals</w:t>
      </w:r>
      <w:r w:rsidR="00994C8F" w:rsidRPr="0060082A">
        <w:rPr>
          <w:rFonts w:asciiTheme="majorHAnsi" w:hAnsiTheme="majorHAnsi" w:cstheme="majorHAnsi"/>
        </w:rPr>
        <w:t xml:space="preserve"> and priorities</w:t>
      </w:r>
      <w:r w:rsidR="00CA155B" w:rsidRPr="0060082A">
        <w:rPr>
          <w:rFonts w:asciiTheme="majorHAnsi" w:hAnsiTheme="majorHAnsi" w:cstheme="majorHAnsi"/>
        </w:rPr>
        <w:t xml:space="preserve">, </w:t>
      </w:r>
      <w:r w:rsidRPr="0060082A">
        <w:rPr>
          <w:rFonts w:asciiTheme="majorHAnsi" w:hAnsiTheme="majorHAnsi" w:cstheme="majorHAnsi"/>
        </w:rPr>
        <w:t xml:space="preserve">with over 250 </w:t>
      </w:r>
      <w:r w:rsidR="00FB0C1D" w:rsidRPr="0060082A">
        <w:rPr>
          <w:rFonts w:asciiTheme="majorHAnsi" w:hAnsiTheme="majorHAnsi" w:cstheme="majorHAnsi"/>
        </w:rPr>
        <w:t xml:space="preserve">people </w:t>
      </w:r>
      <w:r w:rsidR="00025D4F" w:rsidRPr="0060082A">
        <w:rPr>
          <w:rFonts w:asciiTheme="majorHAnsi" w:hAnsiTheme="majorHAnsi" w:cstheme="majorHAnsi"/>
        </w:rPr>
        <w:t xml:space="preserve">actively </w:t>
      </w:r>
      <w:r w:rsidRPr="0060082A">
        <w:rPr>
          <w:rFonts w:asciiTheme="majorHAnsi" w:hAnsiTheme="majorHAnsi" w:cstheme="majorHAnsi"/>
        </w:rPr>
        <w:t>participating</w:t>
      </w:r>
      <w:r w:rsidR="00025D4F" w:rsidRPr="0060082A">
        <w:rPr>
          <w:rFonts w:asciiTheme="majorHAnsi" w:hAnsiTheme="majorHAnsi" w:cstheme="majorHAnsi"/>
        </w:rPr>
        <w:t xml:space="preserve"> from across Kiribati</w:t>
      </w:r>
      <w:r w:rsidRPr="0060082A">
        <w:rPr>
          <w:rFonts w:asciiTheme="majorHAnsi" w:hAnsiTheme="majorHAnsi" w:cstheme="majorHAnsi"/>
        </w:rPr>
        <w:t>.</w:t>
      </w:r>
      <w:r w:rsidR="00D70C8B" w:rsidRPr="0060082A">
        <w:rPr>
          <w:rFonts w:asciiTheme="majorHAnsi" w:hAnsiTheme="majorHAnsi" w:cstheme="majorHAnsi"/>
        </w:rPr>
        <w:t xml:space="preserve"> </w:t>
      </w:r>
      <w:r w:rsidR="007D1824" w:rsidRPr="0060082A">
        <w:rPr>
          <w:rFonts w:asciiTheme="majorHAnsi" w:hAnsiTheme="majorHAnsi" w:cstheme="majorHAnsi"/>
        </w:rPr>
        <w:t xml:space="preserve">This Education Summit provided stakeholders with the opportunity to comment on the ESSP and to better understand the Ministries direction and strategies. There were positive and sustained discussions from many Island, school and MoE delegates that provided validation of the ESSP goals. </w:t>
      </w:r>
    </w:p>
    <w:p w14:paraId="5FFD4035" w14:textId="47DC7967" w:rsidR="002D56C7" w:rsidRPr="0060082A" w:rsidRDefault="00025D4F" w:rsidP="0060082A">
      <w:pPr>
        <w:rPr>
          <w:rFonts w:asciiTheme="majorHAnsi" w:hAnsiTheme="majorHAnsi" w:cstheme="majorHAnsi"/>
        </w:rPr>
      </w:pPr>
      <w:r w:rsidRPr="0060082A">
        <w:rPr>
          <w:rFonts w:asciiTheme="majorHAnsi" w:hAnsiTheme="majorHAnsi" w:cstheme="majorHAnsi"/>
        </w:rPr>
        <w:t xml:space="preserve">To assist in </w:t>
      </w:r>
      <w:r w:rsidR="00A329F3" w:rsidRPr="0060082A">
        <w:rPr>
          <w:rFonts w:asciiTheme="majorHAnsi" w:hAnsiTheme="majorHAnsi" w:cstheme="majorHAnsi"/>
        </w:rPr>
        <w:t>build</w:t>
      </w:r>
      <w:r w:rsidRPr="0060082A">
        <w:rPr>
          <w:rFonts w:asciiTheme="majorHAnsi" w:hAnsiTheme="majorHAnsi" w:cstheme="majorHAnsi"/>
        </w:rPr>
        <w:t>ing</w:t>
      </w:r>
      <w:r w:rsidR="00A329F3" w:rsidRPr="0060082A">
        <w:rPr>
          <w:rFonts w:asciiTheme="majorHAnsi" w:hAnsiTheme="majorHAnsi" w:cstheme="majorHAnsi"/>
        </w:rPr>
        <w:t xml:space="preserve"> a better understanding </w:t>
      </w:r>
      <w:r w:rsidR="007D1824" w:rsidRPr="0060082A">
        <w:rPr>
          <w:rFonts w:asciiTheme="majorHAnsi" w:hAnsiTheme="majorHAnsi" w:cstheme="majorHAnsi"/>
        </w:rPr>
        <w:t xml:space="preserve">within MoE and schools </w:t>
      </w:r>
      <w:r w:rsidR="00A329F3" w:rsidRPr="0060082A">
        <w:rPr>
          <w:rFonts w:asciiTheme="majorHAnsi" w:hAnsiTheme="majorHAnsi" w:cstheme="majorHAnsi"/>
        </w:rPr>
        <w:t>of the use of education statistics for policy and planning, KEF provided a series of capacit</w:t>
      </w:r>
      <w:r w:rsidR="0022644D" w:rsidRPr="0060082A">
        <w:rPr>
          <w:rFonts w:asciiTheme="majorHAnsi" w:hAnsiTheme="majorHAnsi" w:cstheme="majorHAnsi"/>
        </w:rPr>
        <w:t>y development activities cent</w:t>
      </w:r>
      <w:r w:rsidR="00A329F3" w:rsidRPr="0060082A">
        <w:rPr>
          <w:rFonts w:asciiTheme="majorHAnsi" w:hAnsiTheme="majorHAnsi" w:cstheme="majorHAnsi"/>
        </w:rPr>
        <w:t xml:space="preserve">red on data collected and stored in KEMIS, particularly the 2015 school survey to aid interpretation and analysis. </w:t>
      </w:r>
    </w:p>
    <w:p w14:paraId="119517FC" w14:textId="140DE182" w:rsidR="00CA155B" w:rsidRPr="0060082A" w:rsidRDefault="00A329F3" w:rsidP="0060082A">
      <w:pPr>
        <w:rPr>
          <w:rFonts w:asciiTheme="majorHAnsi" w:hAnsiTheme="majorHAnsi" w:cstheme="majorHAnsi"/>
          <w:spacing w:val="2"/>
        </w:rPr>
      </w:pPr>
      <w:r w:rsidRPr="0060082A">
        <w:rPr>
          <w:rFonts w:asciiTheme="majorHAnsi" w:hAnsiTheme="majorHAnsi" w:cstheme="majorHAnsi"/>
          <w:spacing w:val="2"/>
        </w:rPr>
        <w:t>The KEIP research in 2015 suggests</w:t>
      </w:r>
      <w:r w:rsidR="006E1FA2" w:rsidRPr="0060082A">
        <w:rPr>
          <w:rFonts w:asciiTheme="majorHAnsi" w:hAnsiTheme="majorHAnsi" w:cstheme="majorHAnsi"/>
          <w:spacing w:val="2"/>
        </w:rPr>
        <w:t xml:space="preserve"> only</w:t>
      </w:r>
      <w:r w:rsidRPr="0060082A">
        <w:rPr>
          <w:rFonts w:asciiTheme="majorHAnsi" w:hAnsiTheme="majorHAnsi" w:cstheme="majorHAnsi"/>
          <w:spacing w:val="2"/>
        </w:rPr>
        <w:t xml:space="preserve"> 2.1</w:t>
      </w:r>
      <w:r w:rsidR="00CA155B" w:rsidRPr="0060082A">
        <w:rPr>
          <w:rFonts w:asciiTheme="majorHAnsi" w:hAnsiTheme="majorHAnsi" w:cstheme="majorHAnsi"/>
          <w:spacing w:val="2"/>
        </w:rPr>
        <w:t>%</w:t>
      </w:r>
      <w:r w:rsidRPr="0060082A">
        <w:rPr>
          <w:rFonts w:asciiTheme="majorHAnsi" w:hAnsiTheme="majorHAnsi" w:cstheme="majorHAnsi"/>
          <w:spacing w:val="2"/>
        </w:rPr>
        <w:t xml:space="preserve"> of school-aged children are not enrolled, </w:t>
      </w:r>
      <w:r w:rsidR="00CA155B" w:rsidRPr="0060082A">
        <w:rPr>
          <w:rFonts w:asciiTheme="majorHAnsi" w:hAnsiTheme="majorHAnsi" w:cstheme="majorHAnsi"/>
          <w:spacing w:val="2"/>
        </w:rPr>
        <w:t xml:space="preserve">with </w:t>
      </w:r>
      <w:r w:rsidRPr="0060082A">
        <w:rPr>
          <w:rFonts w:asciiTheme="majorHAnsi" w:hAnsiTheme="majorHAnsi" w:cstheme="majorHAnsi"/>
          <w:spacing w:val="2"/>
        </w:rPr>
        <w:t>the majority of teachers and school leaders believ</w:t>
      </w:r>
      <w:r w:rsidR="00CA155B" w:rsidRPr="0060082A">
        <w:rPr>
          <w:rFonts w:asciiTheme="majorHAnsi" w:hAnsiTheme="majorHAnsi" w:cstheme="majorHAnsi"/>
          <w:spacing w:val="2"/>
        </w:rPr>
        <w:t xml:space="preserve">ing </w:t>
      </w:r>
      <w:r w:rsidRPr="0060082A">
        <w:rPr>
          <w:rFonts w:asciiTheme="majorHAnsi" w:hAnsiTheme="majorHAnsi" w:cstheme="majorHAnsi"/>
          <w:spacing w:val="2"/>
        </w:rPr>
        <w:t>enrolment and attendance improved since the start of KEIP</w:t>
      </w:r>
      <w:r w:rsidR="003A1B77" w:rsidRPr="0060082A">
        <w:rPr>
          <w:rFonts w:asciiTheme="majorHAnsi" w:hAnsiTheme="majorHAnsi" w:cstheme="majorHAnsi"/>
          <w:spacing w:val="2"/>
        </w:rPr>
        <w:t xml:space="preserve">, with </w:t>
      </w:r>
      <w:r w:rsidRPr="0060082A">
        <w:rPr>
          <w:rFonts w:asciiTheme="majorHAnsi" w:hAnsiTheme="majorHAnsi" w:cstheme="majorHAnsi"/>
          <w:spacing w:val="2"/>
        </w:rPr>
        <w:t>enrolment rates continu</w:t>
      </w:r>
      <w:r w:rsidR="003A1B77" w:rsidRPr="0060082A">
        <w:rPr>
          <w:rFonts w:asciiTheme="majorHAnsi" w:hAnsiTheme="majorHAnsi" w:cstheme="majorHAnsi"/>
          <w:spacing w:val="2"/>
        </w:rPr>
        <w:t xml:space="preserve">ing </w:t>
      </w:r>
      <w:r w:rsidRPr="0060082A">
        <w:rPr>
          <w:rFonts w:asciiTheme="majorHAnsi" w:hAnsiTheme="majorHAnsi" w:cstheme="majorHAnsi"/>
          <w:spacing w:val="2"/>
        </w:rPr>
        <w:t xml:space="preserve">to improve during Phase </w:t>
      </w:r>
      <w:r w:rsidR="000A49FE">
        <w:rPr>
          <w:rFonts w:asciiTheme="majorHAnsi" w:hAnsiTheme="majorHAnsi" w:cstheme="majorHAnsi"/>
          <w:spacing w:val="2"/>
        </w:rPr>
        <w:t>2</w:t>
      </w:r>
      <w:r w:rsidRPr="0060082A">
        <w:rPr>
          <w:rFonts w:asciiTheme="majorHAnsi" w:hAnsiTheme="majorHAnsi" w:cstheme="majorHAnsi"/>
          <w:spacing w:val="2"/>
        </w:rPr>
        <w:t>.</w:t>
      </w:r>
      <w:r w:rsidR="00D70C8B" w:rsidRPr="0060082A">
        <w:rPr>
          <w:rFonts w:asciiTheme="majorHAnsi" w:hAnsiTheme="majorHAnsi" w:cstheme="majorHAnsi"/>
          <w:spacing w:val="2"/>
        </w:rPr>
        <w:t xml:space="preserve"> </w:t>
      </w:r>
      <w:r w:rsidRPr="0060082A">
        <w:rPr>
          <w:rFonts w:asciiTheme="majorHAnsi" w:hAnsiTheme="majorHAnsi" w:cstheme="majorHAnsi"/>
          <w:spacing w:val="2"/>
        </w:rPr>
        <w:t>Encouraged by these results</w:t>
      </w:r>
      <w:r w:rsidR="003A1B77" w:rsidRPr="0060082A">
        <w:rPr>
          <w:rFonts w:asciiTheme="majorHAnsi" w:hAnsiTheme="majorHAnsi" w:cstheme="majorHAnsi"/>
          <w:spacing w:val="2"/>
        </w:rPr>
        <w:t>,</w:t>
      </w:r>
      <w:r w:rsidRPr="0060082A">
        <w:rPr>
          <w:rFonts w:asciiTheme="majorHAnsi" w:hAnsiTheme="majorHAnsi" w:cstheme="majorHAnsi"/>
          <w:spacing w:val="2"/>
        </w:rPr>
        <w:t xml:space="preserve"> there is a stronger sense of leadership across</w:t>
      </w:r>
      <w:r w:rsidR="00CA155B" w:rsidRPr="0060082A">
        <w:rPr>
          <w:rFonts w:asciiTheme="majorHAnsi" w:hAnsiTheme="majorHAnsi" w:cstheme="majorHAnsi"/>
          <w:spacing w:val="2"/>
        </w:rPr>
        <w:t xml:space="preserve"> </w:t>
      </w:r>
      <w:r w:rsidR="00B765AC" w:rsidRPr="0060082A">
        <w:rPr>
          <w:rFonts w:asciiTheme="majorHAnsi" w:hAnsiTheme="majorHAnsi" w:cstheme="majorHAnsi"/>
          <w:spacing w:val="2"/>
        </w:rPr>
        <w:t>M</w:t>
      </w:r>
      <w:r w:rsidR="00810B16" w:rsidRPr="0060082A">
        <w:rPr>
          <w:rFonts w:asciiTheme="majorHAnsi" w:hAnsiTheme="majorHAnsi" w:cstheme="majorHAnsi"/>
          <w:spacing w:val="2"/>
        </w:rPr>
        <w:t>o</w:t>
      </w:r>
      <w:r w:rsidR="00B765AC" w:rsidRPr="0060082A">
        <w:rPr>
          <w:rFonts w:asciiTheme="majorHAnsi" w:hAnsiTheme="majorHAnsi" w:cstheme="majorHAnsi"/>
          <w:spacing w:val="2"/>
        </w:rPr>
        <w:t>E</w:t>
      </w:r>
      <w:r w:rsidR="003A1B77" w:rsidRPr="0060082A">
        <w:rPr>
          <w:rFonts w:asciiTheme="majorHAnsi" w:hAnsiTheme="majorHAnsi" w:cstheme="majorHAnsi"/>
          <w:spacing w:val="2"/>
        </w:rPr>
        <w:t xml:space="preserve"> and </w:t>
      </w:r>
      <w:r w:rsidRPr="0060082A">
        <w:rPr>
          <w:rFonts w:asciiTheme="majorHAnsi" w:hAnsiTheme="majorHAnsi" w:cstheme="majorHAnsi"/>
          <w:spacing w:val="2"/>
        </w:rPr>
        <w:t xml:space="preserve">determination for </w:t>
      </w:r>
      <w:r w:rsidR="003A1B77" w:rsidRPr="0060082A">
        <w:rPr>
          <w:rFonts w:asciiTheme="majorHAnsi" w:hAnsiTheme="majorHAnsi" w:cstheme="majorHAnsi"/>
          <w:spacing w:val="2"/>
        </w:rPr>
        <w:t xml:space="preserve">improved decision making, </w:t>
      </w:r>
      <w:r w:rsidRPr="0060082A">
        <w:rPr>
          <w:rFonts w:asciiTheme="majorHAnsi" w:hAnsiTheme="majorHAnsi" w:cstheme="majorHAnsi"/>
          <w:spacing w:val="2"/>
        </w:rPr>
        <w:t xml:space="preserve">enabling </w:t>
      </w:r>
      <w:r w:rsidR="007E03CA" w:rsidRPr="0060082A">
        <w:rPr>
          <w:rFonts w:asciiTheme="majorHAnsi" w:hAnsiTheme="majorHAnsi" w:cstheme="majorHAnsi"/>
          <w:spacing w:val="2"/>
        </w:rPr>
        <w:t>movement towards</w:t>
      </w:r>
      <w:r w:rsidRPr="0060082A">
        <w:rPr>
          <w:rFonts w:asciiTheme="majorHAnsi" w:hAnsiTheme="majorHAnsi" w:cstheme="majorHAnsi"/>
          <w:spacing w:val="2"/>
        </w:rPr>
        <w:t xml:space="preserve"> school management </w:t>
      </w:r>
      <w:r w:rsidR="00CA155B" w:rsidRPr="0060082A">
        <w:rPr>
          <w:rFonts w:asciiTheme="majorHAnsi" w:hAnsiTheme="majorHAnsi" w:cstheme="majorHAnsi"/>
          <w:spacing w:val="2"/>
        </w:rPr>
        <w:t xml:space="preserve">and </w:t>
      </w:r>
      <w:r w:rsidRPr="0060082A">
        <w:rPr>
          <w:rFonts w:asciiTheme="majorHAnsi" w:hAnsiTheme="majorHAnsi" w:cstheme="majorHAnsi"/>
          <w:spacing w:val="2"/>
        </w:rPr>
        <w:t>decentral</w:t>
      </w:r>
      <w:r w:rsidR="00916DE6" w:rsidRPr="0060082A">
        <w:rPr>
          <w:rFonts w:asciiTheme="majorHAnsi" w:hAnsiTheme="majorHAnsi" w:cstheme="majorHAnsi"/>
          <w:spacing w:val="2"/>
        </w:rPr>
        <w:t>ization of many functions to</w:t>
      </w:r>
      <w:r w:rsidRPr="0060082A">
        <w:rPr>
          <w:rFonts w:asciiTheme="majorHAnsi" w:hAnsiTheme="majorHAnsi" w:cstheme="majorHAnsi"/>
          <w:spacing w:val="2"/>
        </w:rPr>
        <w:t xml:space="preserve"> school and Island level. </w:t>
      </w:r>
    </w:p>
    <w:p w14:paraId="1FC5D326" w14:textId="7390E388" w:rsidR="00A329F3" w:rsidRPr="0060082A" w:rsidRDefault="00C9113F" w:rsidP="0060082A">
      <w:pPr>
        <w:rPr>
          <w:rFonts w:asciiTheme="majorHAnsi" w:hAnsiTheme="majorHAnsi" w:cstheme="majorHAnsi"/>
        </w:rPr>
      </w:pPr>
      <w:r w:rsidRPr="0060082A">
        <w:rPr>
          <w:rFonts w:asciiTheme="majorHAnsi" w:hAnsiTheme="majorHAnsi" w:cstheme="majorHAnsi"/>
        </w:rPr>
        <w:t xml:space="preserve">The </w:t>
      </w:r>
      <w:r w:rsidR="00B765AC" w:rsidRPr="0060082A">
        <w:rPr>
          <w:rFonts w:asciiTheme="majorHAnsi" w:hAnsiTheme="majorHAnsi" w:cstheme="majorHAnsi"/>
        </w:rPr>
        <w:t>MoE</w:t>
      </w:r>
      <w:r w:rsidRPr="0060082A">
        <w:rPr>
          <w:rFonts w:asciiTheme="majorHAnsi" w:hAnsiTheme="majorHAnsi" w:cstheme="majorHAnsi"/>
        </w:rPr>
        <w:t xml:space="preserve"> during KEIP Phase </w:t>
      </w:r>
      <w:r w:rsidR="000A49FE">
        <w:rPr>
          <w:rFonts w:asciiTheme="majorHAnsi" w:hAnsiTheme="majorHAnsi" w:cstheme="majorHAnsi"/>
        </w:rPr>
        <w:t>2</w:t>
      </w:r>
      <w:r w:rsidRPr="0060082A">
        <w:rPr>
          <w:rFonts w:asciiTheme="majorHAnsi" w:hAnsiTheme="majorHAnsi" w:cstheme="majorHAnsi"/>
        </w:rPr>
        <w:t xml:space="preserve"> trialled a broader approach to community engagement, building on the community consultation process</w:t>
      </w:r>
      <w:r w:rsidR="00025D4F" w:rsidRPr="0060082A">
        <w:rPr>
          <w:rFonts w:asciiTheme="majorHAnsi" w:hAnsiTheme="majorHAnsi" w:cstheme="majorHAnsi"/>
        </w:rPr>
        <w:t xml:space="preserve"> initially</w:t>
      </w:r>
      <w:r w:rsidRPr="0060082A">
        <w:rPr>
          <w:rFonts w:asciiTheme="majorHAnsi" w:hAnsiTheme="majorHAnsi" w:cstheme="majorHAnsi"/>
        </w:rPr>
        <w:t xml:space="preserve"> founded to support infrastructure rehabilitation. The broader approach </w:t>
      </w:r>
      <w:r w:rsidR="00025D4F" w:rsidRPr="0060082A">
        <w:rPr>
          <w:rFonts w:asciiTheme="majorHAnsi" w:hAnsiTheme="majorHAnsi" w:cstheme="majorHAnsi"/>
        </w:rPr>
        <w:t xml:space="preserve">is part of a </w:t>
      </w:r>
      <w:r w:rsidRPr="0060082A">
        <w:rPr>
          <w:rFonts w:asciiTheme="majorHAnsi" w:hAnsiTheme="majorHAnsi" w:cstheme="majorHAnsi"/>
        </w:rPr>
        <w:t>move towards ‘whole school improvement’</w:t>
      </w:r>
      <w:r w:rsidR="003A1B77" w:rsidRPr="0060082A">
        <w:rPr>
          <w:rFonts w:asciiTheme="majorHAnsi" w:hAnsiTheme="majorHAnsi" w:cstheme="majorHAnsi"/>
        </w:rPr>
        <w:t>,</w:t>
      </w:r>
      <w:r w:rsidRPr="0060082A">
        <w:rPr>
          <w:rFonts w:asciiTheme="majorHAnsi" w:hAnsiTheme="majorHAnsi" w:cstheme="majorHAnsi"/>
        </w:rPr>
        <w:t xml:space="preserve"> by linking the infrastructure development with both community engagement and </w:t>
      </w:r>
      <w:r w:rsidR="00025D4F" w:rsidRPr="0060082A">
        <w:rPr>
          <w:rFonts w:asciiTheme="majorHAnsi" w:hAnsiTheme="majorHAnsi" w:cstheme="majorHAnsi"/>
        </w:rPr>
        <w:t xml:space="preserve">with </w:t>
      </w:r>
      <w:r w:rsidRPr="0060082A">
        <w:rPr>
          <w:rFonts w:asciiTheme="majorHAnsi" w:hAnsiTheme="majorHAnsi" w:cstheme="majorHAnsi"/>
        </w:rPr>
        <w:t>school improvement planning.</w:t>
      </w:r>
      <w:r w:rsidR="003A1B77" w:rsidRPr="0060082A">
        <w:rPr>
          <w:rFonts w:asciiTheme="majorHAnsi" w:hAnsiTheme="majorHAnsi" w:cstheme="majorHAnsi"/>
        </w:rPr>
        <w:t xml:space="preserve"> </w:t>
      </w:r>
      <w:r w:rsidR="00A329F3" w:rsidRPr="0060082A">
        <w:rPr>
          <w:rFonts w:asciiTheme="majorHAnsi" w:hAnsiTheme="majorHAnsi" w:cstheme="majorHAnsi"/>
        </w:rPr>
        <w:t xml:space="preserve">The guiding principle is the value of enabling schools, communities and families to work together collaboratively </w:t>
      </w:r>
      <w:r w:rsidR="004E104B" w:rsidRPr="0060082A">
        <w:rPr>
          <w:rFonts w:asciiTheme="majorHAnsi" w:hAnsiTheme="majorHAnsi" w:cstheme="majorHAnsi"/>
        </w:rPr>
        <w:t xml:space="preserve">so </w:t>
      </w:r>
      <w:r w:rsidR="00612FB4" w:rsidRPr="0060082A">
        <w:rPr>
          <w:rFonts w:asciiTheme="majorHAnsi" w:hAnsiTheme="majorHAnsi" w:cstheme="majorHAnsi"/>
        </w:rPr>
        <w:t>that children</w:t>
      </w:r>
      <w:r w:rsidR="00A329F3" w:rsidRPr="0060082A">
        <w:rPr>
          <w:rFonts w:asciiTheme="majorHAnsi" w:hAnsiTheme="majorHAnsi" w:cstheme="majorHAnsi"/>
        </w:rPr>
        <w:t xml:space="preserve"> and youth </w:t>
      </w:r>
      <w:r w:rsidR="004E104B" w:rsidRPr="0060082A">
        <w:rPr>
          <w:rFonts w:asciiTheme="majorHAnsi" w:hAnsiTheme="majorHAnsi" w:cstheme="majorHAnsi"/>
        </w:rPr>
        <w:t xml:space="preserve">can </w:t>
      </w:r>
      <w:r w:rsidR="00A329F3" w:rsidRPr="0060082A">
        <w:rPr>
          <w:rFonts w:asciiTheme="majorHAnsi" w:hAnsiTheme="majorHAnsi" w:cstheme="majorHAnsi"/>
        </w:rPr>
        <w:t>receive high-quality support and services in a caring learning environment.</w:t>
      </w:r>
      <w:r w:rsidR="00D70C8B" w:rsidRPr="0060082A">
        <w:rPr>
          <w:rFonts w:asciiTheme="majorHAnsi" w:hAnsiTheme="majorHAnsi" w:cstheme="majorHAnsi"/>
        </w:rPr>
        <w:t xml:space="preserve"> </w:t>
      </w:r>
      <w:r w:rsidR="00A329F3" w:rsidRPr="0060082A">
        <w:rPr>
          <w:rFonts w:asciiTheme="majorHAnsi" w:hAnsiTheme="majorHAnsi" w:cstheme="majorHAnsi"/>
        </w:rPr>
        <w:t>This is particular</w:t>
      </w:r>
      <w:r w:rsidR="00FB0C1D" w:rsidRPr="0060082A">
        <w:rPr>
          <w:rFonts w:asciiTheme="majorHAnsi" w:hAnsiTheme="majorHAnsi" w:cstheme="majorHAnsi"/>
        </w:rPr>
        <w:t>ly</w:t>
      </w:r>
      <w:r w:rsidR="00A329F3" w:rsidRPr="0060082A">
        <w:rPr>
          <w:rFonts w:asciiTheme="majorHAnsi" w:hAnsiTheme="majorHAnsi" w:cstheme="majorHAnsi"/>
        </w:rPr>
        <w:t xml:space="preserve"> relevant in Kiribati</w:t>
      </w:r>
      <w:r w:rsidR="003A1B77" w:rsidRPr="0060082A">
        <w:rPr>
          <w:rFonts w:asciiTheme="majorHAnsi" w:hAnsiTheme="majorHAnsi" w:cstheme="majorHAnsi"/>
        </w:rPr>
        <w:t>,</w:t>
      </w:r>
      <w:r w:rsidR="00A329F3" w:rsidRPr="0060082A">
        <w:rPr>
          <w:rFonts w:asciiTheme="majorHAnsi" w:hAnsiTheme="majorHAnsi" w:cstheme="majorHAnsi"/>
        </w:rPr>
        <w:t xml:space="preserve"> where contemporary Kiribat</w:t>
      </w:r>
      <w:r w:rsidR="00810B16" w:rsidRPr="0060082A">
        <w:rPr>
          <w:rFonts w:asciiTheme="majorHAnsi" w:hAnsiTheme="majorHAnsi" w:cstheme="majorHAnsi"/>
        </w:rPr>
        <w:t>i culture is cent</w:t>
      </w:r>
      <w:r w:rsidR="00A329F3" w:rsidRPr="0060082A">
        <w:rPr>
          <w:rFonts w:asciiTheme="majorHAnsi" w:hAnsiTheme="majorHAnsi" w:cstheme="majorHAnsi"/>
        </w:rPr>
        <w:t>red on family, the church and the sea; and in appreciating that in its relative isolation </w:t>
      </w:r>
      <w:hyperlink r:id="rId22" w:tooltip="Kiribati" w:history="1">
        <w:r w:rsidR="00A329F3" w:rsidRPr="0060082A">
          <w:rPr>
            <w:rFonts w:asciiTheme="majorHAnsi" w:hAnsiTheme="majorHAnsi" w:cstheme="majorHAnsi"/>
          </w:rPr>
          <w:t>Kiribati</w:t>
        </w:r>
      </w:hyperlink>
      <w:r w:rsidR="00A329F3" w:rsidRPr="0060082A">
        <w:rPr>
          <w:rFonts w:asciiTheme="majorHAnsi" w:hAnsiTheme="majorHAnsi" w:cstheme="majorHAnsi"/>
        </w:rPr>
        <w:t xml:space="preserve"> has allowed </w:t>
      </w:r>
      <w:r w:rsidR="003A1B77" w:rsidRPr="0060082A">
        <w:rPr>
          <w:rFonts w:asciiTheme="majorHAnsi" w:hAnsiTheme="majorHAnsi" w:cstheme="majorHAnsi"/>
        </w:rPr>
        <w:t xml:space="preserve">for its </w:t>
      </w:r>
      <w:r w:rsidR="00A329F3" w:rsidRPr="0060082A">
        <w:rPr>
          <w:rFonts w:asciiTheme="majorHAnsi" w:hAnsiTheme="majorHAnsi" w:cstheme="majorHAnsi"/>
        </w:rPr>
        <w:t>"</w:t>
      </w:r>
      <w:hyperlink r:id="rId23" w:tooltip="Traditional values" w:history="1">
        <w:r w:rsidR="00A329F3" w:rsidRPr="0060082A">
          <w:rPr>
            <w:rFonts w:asciiTheme="majorHAnsi" w:hAnsiTheme="majorHAnsi" w:cstheme="majorHAnsi"/>
          </w:rPr>
          <w:t>traditional values</w:t>
        </w:r>
      </w:hyperlink>
      <w:r w:rsidR="00A329F3" w:rsidRPr="0060082A">
        <w:rPr>
          <w:rFonts w:asciiTheme="majorHAnsi" w:hAnsiTheme="majorHAnsi" w:cstheme="majorHAnsi"/>
        </w:rPr>
        <w:t>" and skills to be maintained.</w:t>
      </w:r>
    </w:p>
    <w:p w14:paraId="03421FEA" w14:textId="7BF26B31" w:rsidR="00A329F3" w:rsidRPr="0060082A" w:rsidRDefault="00A329F3" w:rsidP="0060082A">
      <w:pPr>
        <w:rPr>
          <w:rFonts w:asciiTheme="majorHAnsi" w:hAnsiTheme="majorHAnsi" w:cstheme="majorHAnsi"/>
        </w:rPr>
      </w:pPr>
      <w:r w:rsidRPr="0060082A">
        <w:rPr>
          <w:rFonts w:asciiTheme="majorHAnsi" w:hAnsiTheme="majorHAnsi" w:cstheme="majorHAnsi"/>
        </w:rPr>
        <w:t>With KEIP support</w:t>
      </w:r>
      <w:r w:rsidR="003A1B77" w:rsidRPr="0060082A">
        <w:rPr>
          <w:rFonts w:asciiTheme="majorHAnsi" w:hAnsiTheme="majorHAnsi" w:cstheme="majorHAnsi"/>
        </w:rPr>
        <w:t>,</w:t>
      </w:r>
      <w:r w:rsidRPr="0060082A">
        <w:rPr>
          <w:rFonts w:asciiTheme="majorHAnsi" w:hAnsiTheme="majorHAnsi" w:cstheme="majorHAnsi"/>
        </w:rPr>
        <w:t xml:space="preserve"> the </w:t>
      </w:r>
      <w:r w:rsidR="00810B16" w:rsidRPr="0060082A">
        <w:rPr>
          <w:rFonts w:asciiTheme="majorHAnsi" w:hAnsiTheme="majorHAnsi" w:cstheme="majorHAnsi"/>
        </w:rPr>
        <w:t>Mo</w:t>
      </w:r>
      <w:r w:rsidR="00B765AC" w:rsidRPr="0060082A">
        <w:rPr>
          <w:rFonts w:asciiTheme="majorHAnsi" w:hAnsiTheme="majorHAnsi" w:cstheme="majorHAnsi"/>
        </w:rPr>
        <w:t>E</w:t>
      </w:r>
      <w:r w:rsidR="00C9113F" w:rsidRPr="0060082A">
        <w:rPr>
          <w:rFonts w:asciiTheme="majorHAnsi" w:hAnsiTheme="majorHAnsi" w:cstheme="majorHAnsi"/>
        </w:rPr>
        <w:t xml:space="preserve"> </w:t>
      </w:r>
      <w:r w:rsidRPr="0060082A">
        <w:rPr>
          <w:rFonts w:asciiTheme="majorHAnsi" w:hAnsiTheme="majorHAnsi" w:cstheme="majorHAnsi"/>
        </w:rPr>
        <w:t>developed a communication and advocacy strategy that reflect</w:t>
      </w:r>
      <w:r w:rsidR="003A1B77" w:rsidRPr="0060082A">
        <w:rPr>
          <w:rFonts w:asciiTheme="majorHAnsi" w:hAnsiTheme="majorHAnsi" w:cstheme="majorHAnsi"/>
        </w:rPr>
        <w:t>ed</w:t>
      </w:r>
      <w:r w:rsidRPr="0060082A">
        <w:rPr>
          <w:rFonts w:asciiTheme="majorHAnsi" w:hAnsiTheme="majorHAnsi" w:cstheme="majorHAnsi"/>
        </w:rPr>
        <w:t xml:space="preserve"> the Ministry’s theme that education is everyone’s business. The Ministry recogni</w:t>
      </w:r>
      <w:r w:rsidR="00810B16" w:rsidRPr="0060082A">
        <w:rPr>
          <w:rFonts w:asciiTheme="majorHAnsi" w:hAnsiTheme="majorHAnsi" w:cstheme="majorHAnsi"/>
        </w:rPr>
        <w:t>s</w:t>
      </w:r>
      <w:r w:rsidRPr="0060082A">
        <w:rPr>
          <w:rFonts w:asciiTheme="majorHAnsi" w:hAnsiTheme="majorHAnsi" w:cstheme="majorHAnsi"/>
        </w:rPr>
        <w:t xml:space="preserve">es to effect positive </w:t>
      </w:r>
      <w:r w:rsidRPr="0060082A">
        <w:rPr>
          <w:rFonts w:asciiTheme="majorHAnsi" w:hAnsiTheme="majorHAnsi" w:cstheme="majorHAnsi"/>
        </w:rPr>
        <w:lastRenderedPageBreak/>
        <w:t>attitudinal changes, a consistent multi-pronged</w:t>
      </w:r>
      <w:r w:rsidR="003A1B77" w:rsidRPr="0060082A">
        <w:rPr>
          <w:rFonts w:asciiTheme="majorHAnsi" w:hAnsiTheme="majorHAnsi" w:cstheme="majorHAnsi"/>
        </w:rPr>
        <w:t xml:space="preserve"> </w:t>
      </w:r>
      <w:r w:rsidRPr="0060082A">
        <w:rPr>
          <w:rFonts w:asciiTheme="majorHAnsi" w:hAnsiTheme="majorHAnsi" w:cstheme="majorHAnsi"/>
        </w:rPr>
        <w:t xml:space="preserve">/ multi- sectoral approach will be sustained during KEIP </w:t>
      </w:r>
      <w:r w:rsidR="00C9113F" w:rsidRPr="0060082A">
        <w:rPr>
          <w:rFonts w:asciiTheme="majorHAnsi" w:hAnsiTheme="majorHAnsi" w:cstheme="majorHAnsi"/>
        </w:rPr>
        <w:t xml:space="preserve">Phase </w:t>
      </w:r>
      <w:r w:rsidR="000A49FE">
        <w:rPr>
          <w:rFonts w:asciiTheme="majorHAnsi" w:hAnsiTheme="majorHAnsi" w:cstheme="majorHAnsi"/>
        </w:rPr>
        <w:t>3</w:t>
      </w:r>
      <w:r w:rsidR="003A1B77" w:rsidRPr="0060082A">
        <w:rPr>
          <w:rFonts w:asciiTheme="majorHAnsi" w:hAnsiTheme="majorHAnsi" w:cstheme="majorHAnsi"/>
        </w:rPr>
        <w:t>. T</w:t>
      </w:r>
      <w:r w:rsidRPr="0060082A">
        <w:rPr>
          <w:rFonts w:asciiTheme="majorHAnsi" w:hAnsiTheme="majorHAnsi" w:cstheme="majorHAnsi"/>
        </w:rPr>
        <w:t>he</w:t>
      </w:r>
      <w:r w:rsidR="003C5989" w:rsidRPr="0060082A">
        <w:rPr>
          <w:rFonts w:asciiTheme="majorHAnsi" w:hAnsiTheme="majorHAnsi" w:cstheme="majorHAnsi"/>
        </w:rPr>
        <w:t xml:space="preserve"> newly appointed</w:t>
      </w:r>
      <w:r w:rsidRPr="0060082A">
        <w:rPr>
          <w:rFonts w:asciiTheme="majorHAnsi" w:hAnsiTheme="majorHAnsi" w:cstheme="majorHAnsi"/>
        </w:rPr>
        <w:t xml:space="preserve"> </w:t>
      </w:r>
      <w:r w:rsidR="0062302B" w:rsidRPr="0060082A">
        <w:rPr>
          <w:rFonts w:asciiTheme="majorHAnsi" w:hAnsiTheme="majorHAnsi" w:cstheme="majorHAnsi"/>
        </w:rPr>
        <w:t>IECs</w:t>
      </w:r>
      <w:r w:rsidRPr="0060082A">
        <w:rPr>
          <w:rFonts w:asciiTheme="majorHAnsi" w:hAnsiTheme="majorHAnsi" w:cstheme="majorHAnsi"/>
        </w:rPr>
        <w:t xml:space="preserve"> have a</w:t>
      </w:r>
      <w:r w:rsidR="004158BD" w:rsidRPr="0060082A">
        <w:rPr>
          <w:rFonts w:asciiTheme="majorHAnsi" w:hAnsiTheme="majorHAnsi" w:cstheme="majorHAnsi"/>
        </w:rPr>
        <w:t>n important</w:t>
      </w:r>
      <w:r w:rsidR="006E6B10" w:rsidRPr="0060082A">
        <w:rPr>
          <w:rFonts w:asciiTheme="majorHAnsi" w:hAnsiTheme="majorHAnsi" w:cstheme="majorHAnsi"/>
        </w:rPr>
        <w:t xml:space="preserve"> </w:t>
      </w:r>
      <w:r w:rsidRPr="0060082A">
        <w:rPr>
          <w:rFonts w:asciiTheme="majorHAnsi" w:hAnsiTheme="majorHAnsi" w:cstheme="majorHAnsi"/>
        </w:rPr>
        <w:t>role to sustain school community participation</w:t>
      </w:r>
      <w:r w:rsidR="004158BD" w:rsidRPr="0060082A">
        <w:rPr>
          <w:rFonts w:asciiTheme="majorHAnsi" w:hAnsiTheme="majorHAnsi" w:cstheme="majorHAnsi"/>
        </w:rPr>
        <w:t>, work with school leaders</w:t>
      </w:r>
      <w:r w:rsidRPr="0060082A">
        <w:rPr>
          <w:rFonts w:asciiTheme="majorHAnsi" w:hAnsiTheme="majorHAnsi" w:cstheme="majorHAnsi"/>
        </w:rPr>
        <w:t xml:space="preserve"> and to</w:t>
      </w:r>
      <w:r w:rsidR="004158BD" w:rsidRPr="0060082A">
        <w:rPr>
          <w:rFonts w:asciiTheme="majorHAnsi" w:hAnsiTheme="majorHAnsi" w:cstheme="majorHAnsi"/>
        </w:rPr>
        <w:t xml:space="preserve"> assist teachers</w:t>
      </w:r>
      <w:r w:rsidRPr="0060082A">
        <w:rPr>
          <w:rFonts w:asciiTheme="majorHAnsi" w:hAnsiTheme="majorHAnsi" w:cstheme="majorHAnsi"/>
        </w:rPr>
        <w:t xml:space="preserve"> improve children’s learning.</w:t>
      </w:r>
    </w:p>
    <w:p w14:paraId="1ACF15F3" w14:textId="1E072FE3" w:rsidR="00A329F3" w:rsidRPr="0060082A" w:rsidRDefault="00A329F3" w:rsidP="0060082A">
      <w:pPr>
        <w:rPr>
          <w:rFonts w:asciiTheme="majorHAnsi" w:hAnsiTheme="majorHAnsi" w:cstheme="majorHAnsi"/>
        </w:rPr>
      </w:pPr>
      <w:r w:rsidRPr="0060082A">
        <w:rPr>
          <w:rFonts w:asciiTheme="majorHAnsi" w:hAnsiTheme="majorHAnsi" w:cstheme="majorHAnsi"/>
        </w:rPr>
        <w:t xml:space="preserve">The </w:t>
      </w:r>
      <w:r w:rsidR="00C9113F" w:rsidRPr="0060082A">
        <w:rPr>
          <w:rFonts w:asciiTheme="majorHAnsi" w:hAnsiTheme="majorHAnsi" w:cstheme="majorHAnsi"/>
        </w:rPr>
        <w:t xml:space="preserve">table </w:t>
      </w:r>
      <w:r w:rsidRPr="0060082A">
        <w:rPr>
          <w:rFonts w:asciiTheme="majorHAnsi" w:hAnsiTheme="majorHAnsi" w:cstheme="majorHAnsi"/>
        </w:rPr>
        <w:t>below</w:t>
      </w:r>
      <w:r w:rsidR="00BC0293" w:rsidRPr="0060082A">
        <w:rPr>
          <w:rFonts w:asciiTheme="majorHAnsi" w:hAnsiTheme="majorHAnsi" w:cstheme="majorHAnsi"/>
        </w:rPr>
        <w:t>,</w:t>
      </w:r>
      <w:r w:rsidRPr="0060082A">
        <w:rPr>
          <w:rFonts w:asciiTheme="majorHAnsi" w:hAnsiTheme="majorHAnsi" w:cstheme="majorHAnsi"/>
        </w:rPr>
        <w:t xml:space="preserve"> </w:t>
      </w:r>
      <w:r w:rsidR="00BC0293" w:rsidRPr="0060082A">
        <w:rPr>
          <w:rFonts w:asciiTheme="majorHAnsi" w:hAnsiTheme="majorHAnsi" w:cstheme="majorHAnsi"/>
        </w:rPr>
        <w:t xml:space="preserve">from KEIP Phase </w:t>
      </w:r>
      <w:r w:rsidR="000A49FE">
        <w:rPr>
          <w:rFonts w:asciiTheme="majorHAnsi" w:hAnsiTheme="majorHAnsi" w:cstheme="majorHAnsi"/>
        </w:rPr>
        <w:t>2</w:t>
      </w:r>
      <w:r w:rsidR="00BC0293" w:rsidRPr="0060082A">
        <w:rPr>
          <w:rFonts w:asciiTheme="majorHAnsi" w:hAnsiTheme="majorHAnsi" w:cstheme="majorHAnsi"/>
        </w:rPr>
        <w:t xml:space="preserve"> surveys, </w:t>
      </w:r>
      <w:r w:rsidRPr="0060082A">
        <w:rPr>
          <w:rFonts w:asciiTheme="majorHAnsi" w:hAnsiTheme="majorHAnsi" w:cstheme="majorHAnsi"/>
        </w:rPr>
        <w:t xml:space="preserve">illustrates progress towards school development and learning outcomes through effective community partnerships and improved capacity of </w:t>
      </w:r>
      <w:r w:rsidR="00B765AC" w:rsidRPr="0060082A">
        <w:rPr>
          <w:rFonts w:asciiTheme="majorHAnsi" w:hAnsiTheme="majorHAnsi" w:cstheme="majorHAnsi"/>
        </w:rPr>
        <w:t>MoE</w:t>
      </w:r>
      <w:r w:rsidRPr="0060082A">
        <w:rPr>
          <w:rFonts w:asciiTheme="majorHAnsi" w:hAnsiTheme="majorHAnsi" w:cstheme="majorHAnsi"/>
        </w:rPr>
        <w:t xml:space="preserve"> to plan and monitor. Further detail is provided in the following section. </w:t>
      </w:r>
    </w:p>
    <w:p w14:paraId="1589B8C4" w14:textId="14C4DF53" w:rsidR="00A329F3" w:rsidRPr="0060082A" w:rsidRDefault="00FB0C1D" w:rsidP="0060082A">
      <w:pPr>
        <w:rPr>
          <w:rFonts w:asciiTheme="majorHAnsi" w:hAnsiTheme="majorHAnsi" w:cstheme="majorHAnsi"/>
          <w:b/>
        </w:rPr>
      </w:pPr>
      <w:r w:rsidRPr="0060082A">
        <w:rPr>
          <w:rFonts w:asciiTheme="majorHAnsi" w:hAnsiTheme="majorHAnsi" w:cstheme="majorHAnsi"/>
          <w:b/>
        </w:rPr>
        <w:t xml:space="preserve">Table </w:t>
      </w:r>
      <w:r w:rsidR="00892B10" w:rsidRPr="0060082A">
        <w:rPr>
          <w:rFonts w:asciiTheme="majorHAnsi" w:hAnsiTheme="majorHAnsi" w:cstheme="majorHAnsi"/>
          <w:b/>
        </w:rPr>
        <w:t>1</w:t>
      </w:r>
      <w:r w:rsidRPr="0060082A">
        <w:rPr>
          <w:rFonts w:asciiTheme="majorHAnsi" w:hAnsiTheme="majorHAnsi" w:cstheme="majorHAnsi"/>
          <w:b/>
        </w:rPr>
        <w:t xml:space="preserve">: </w:t>
      </w:r>
      <w:r w:rsidR="006D6332" w:rsidRPr="0060082A">
        <w:rPr>
          <w:rFonts w:asciiTheme="majorHAnsi" w:hAnsiTheme="majorHAnsi" w:cstheme="majorHAnsi"/>
          <w:b/>
        </w:rPr>
        <w:t>T</w:t>
      </w:r>
      <w:r w:rsidR="00A329F3" w:rsidRPr="0060082A">
        <w:rPr>
          <w:rFonts w:asciiTheme="majorHAnsi" w:hAnsiTheme="majorHAnsi" w:cstheme="majorHAnsi"/>
          <w:b/>
        </w:rPr>
        <w:t>eachers</w:t>
      </w:r>
      <w:r w:rsidR="006D6332" w:rsidRPr="0060082A">
        <w:rPr>
          <w:rFonts w:asciiTheme="majorHAnsi" w:hAnsiTheme="majorHAnsi" w:cstheme="majorHAnsi"/>
          <w:b/>
        </w:rPr>
        <w:t xml:space="preserve">’ views on </w:t>
      </w:r>
      <w:r w:rsidR="00A329F3" w:rsidRPr="0060082A">
        <w:rPr>
          <w:rFonts w:asciiTheme="majorHAnsi" w:hAnsiTheme="majorHAnsi" w:cstheme="majorHAnsi"/>
          <w:b/>
        </w:rPr>
        <w:t xml:space="preserve">community </w:t>
      </w:r>
      <w:r w:rsidR="00C9113F" w:rsidRPr="0060082A">
        <w:rPr>
          <w:rFonts w:asciiTheme="majorHAnsi" w:hAnsiTheme="majorHAnsi" w:cstheme="majorHAnsi"/>
          <w:b/>
        </w:rPr>
        <w:t>support</w:t>
      </w:r>
      <w:r w:rsidR="006D6332" w:rsidRPr="0060082A">
        <w:rPr>
          <w:rFonts w:asciiTheme="majorHAnsi" w:hAnsiTheme="majorHAnsi" w:cstheme="majorHAnsi"/>
          <w:b/>
        </w:rPr>
        <w:t xml:space="preserve"> for </w:t>
      </w:r>
      <w:r w:rsidR="00A329F3" w:rsidRPr="0060082A">
        <w:rPr>
          <w:rFonts w:asciiTheme="majorHAnsi" w:hAnsiTheme="majorHAnsi" w:cstheme="majorHAnsi"/>
          <w:b/>
        </w:rPr>
        <w:t xml:space="preserve">education improvement </w:t>
      </w:r>
      <w:r w:rsidR="00C9113F" w:rsidRPr="0060082A">
        <w:rPr>
          <w:rFonts w:asciiTheme="majorHAnsi" w:hAnsiTheme="majorHAnsi" w:cstheme="majorHAnsi"/>
          <w:b/>
        </w:rPr>
        <w:t>(</w:t>
      </w:r>
      <w:r w:rsidR="00A329F3" w:rsidRPr="0060082A">
        <w:rPr>
          <w:rFonts w:asciiTheme="majorHAnsi" w:hAnsiTheme="majorHAnsi" w:cstheme="majorHAnsi"/>
          <w:b/>
        </w:rPr>
        <w:t>by island type</w:t>
      </w:r>
      <w:r w:rsidR="00C9113F" w:rsidRPr="0060082A">
        <w:rPr>
          <w:rFonts w:asciiTheme="majorHAnsi" w:hAnsiTheme="majorHAnsi" w:cstheme="majorHAnsi"/>
          <w:b/>
        </w:rPr>
        <w:t>)</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DE1CB" w:themeFill="text2" w:themeFillTint="33"/>
        <w:tblLook w:val="04A0" w:firstRow="1" w:lastRow="0" w:firstColumn="1" w:lastColumn="0" w:noHBand="0" w:noVBand="1"/>
      </w:tblPr>
      <w:tblGrid>
        <w:gridCol w:w="2008"/>
        <w:gridCol w:w="1867"/>
        <w:gridCol w:w="1718"/>
        <w:gridCol w:w="2007"/>
        <w:gridCol w:w="1914"/>
      </w:tblGrid>
      <w:tr w:rsidR="00807215" w:rsidRPr="00C918BF" w14:paraId="73AEA903" w14:textId="77777777" w:rsidTr="00F86BDB">
        <w:trPr>
          <w:trHeight w:val="315"/>
        </w:trPr>
        <w:tc>
          <w:tcPr>
            <w:tcW w:w="1055" w:type="pct"/>
            <w:shd w:val="clear" w:color="auto" w:fill="A25EA6"/>
            <w:noWrap/>
            <w:vAlign w:val="center"/>
            <w:hideMark/>
          </w:tcPr>
          <w:p w14:paraId="5F81E522" w14:textId="77777777" w:rsidR="00A329F3" w:rsidRPr="00C918BF" w:rsidRDefault="00A329F3" w:rsidP="00820811">
            <w:pPr>
              <w:spacing w:before="40" w:after="40"/>
              <w:jc w:val="center"/>
              <w:rPr>
                <w:rFonts w:asciiTheme="majorHAnsi" w:eastAsia="Times New Roman" w:hAnsiTheme="majorHAnsi" w:cstheme="majorHAnsi"/>
                <w:b/>
                <w:bCs/>
                <w:color w:val="FFFFFF" w:themeColor="background1"/>
                <w:lang w:eastAsia="en-AU"/>
              </w:rPr>
            </w:pPr>
          </w:p>
        </w:tc>
        <w:tc>
          <w:tcPr>
            <w:tcW w:w="981" w:type="pct"/>
            <w:shd w:val="clear" w:color="auto" w:fill="A25EA6"/>
            <w:noWrap/>
            <w:vAlign w:val="center"/>
            <w:hideMark/>
          </w:tcPr>
          <w:p w14:paraId="15403075" w14:textId="77777777" w:rsidR="00A329F3" w:rsidRPr="00D860CA" w:rsidRDefault="00A329F3" w:rsidP="00820811">
            <w:pPr>
              <w:spacing w:before="40" w:after="40"/>
              <w:jc w:val="center"/>
              <w:rPr>
                <w:rFonts w:asciiTheme="majorHAnsi" w:eastAsia="Times New Roman" w:hAnsiTheme="majorHAnsi" w:cstheme="majorHAnsi"/>
                <w:b/>
                <w:color w:val="FFFFFF" w:themeColor="background1"/>
                <w:lang w:eastAsia="en-AU"/>
              </w:rPr>
            </w:pPr>
            <w:r w:rsidRPr="00D860CA">
              <w:rPr>
                <w:rFonts w:asciiTheme="majorHAnsi" w:eastAsia="Times New Roman" w:hAnsiTheme="majorHAnsi" w:cstheme="majorHAnsi"/>
                <w:b/>
                <w:color w:val="FFFFFF" w:themeColor="background1"/>
                <w:lang w:eastAsia="en-AU"/>
              </w:rPr>
              <w:t>Much Better</w:t>
            </w:r>
          </w:p>
        </w:tc>
        <w:tc>
          <w:tcPr>
            <w:tcW w:w="903" w:type="pct"/>
            <w:shd w:val="clear" w:color="auto" w:fill="A25EA6"/>
            <w:noWrap/>
            <w:vAlign w:val="center"/>
            <w:hideMark/>
          </w:tcPr>
          <w:p w14:paraId="5A8FA995" w14:textId="77777777" w:rsidR="00A329F3" w:rsidRPr="00D860CA" w:rsidRDefault="00A329F3" w:rsidP="00820811">
            <w:pPr>
              <w:spacing w:before="40" w:after="40"/>
              <w:jc w:val="center"/>
              <w:rPr>
                <w:rFonts w:asciiTheme="majorHAnsi" w:eastAsia="Times New Roman" w:hAnsiTheme="majorHAnsi" w:cstheme="majorHAnsi"/>
                <w:b/>
                <w:color w:val="FFFFFF" w:themeColor="background1"/>
                <w:lang w:eastAsia="en-AU"/>
              </w:rPr>
            </w:pPr>
            <w:r w:rsidRPr="00D860CA">
              <w:rPr>
                <w:rFonts w:asciiTheme="majorHAnsi" w:eastAsia="Times New Roman" w:hAnsiTheme="majorHAnsi" w:cstheme="majorHAnsi"/>
                <w:b/>
                <w:color w:val="FFFFFF" w:themeColor="background1"/>
                <w:lang w:eastAsia="en-AU"/>
              </w:rPr>
              <w:t>Better</w:t>
            </w:r>
          </w:p>
        </w:tc>
        <w:tc>
          <w:tcPr>
            <w:tcW w:w="1055" w:type="pct"/>
            <w:shd w:val="clear" w:color="auto" w:fill="A25EA6"/>
            <w:noWrap/>
            <w:vAlign w:val="center"/>
            <w:hideMark/>
          </w:tcPr>
          <w:p w14:paraId="546991FE" w14:textId="77777777" w:rsidR="00A329F3" w:rsidRPr="00C918BF" w:rsidRDefault="00A329F3" w:rsidP="00820811">
            <w:pPr>
              <w:spacing w:before="40" w:after="40"/>
              <w:jc w:val="center"/>
              <w:rPr>
                <w:rFonts w:asciiTheme="majorHAnsi" w:eastAsia="Times New Roman" w:hAnsiTheme="majorHAnsi" w:cstheme="majorHAnsi"/>
                <w:b/>
                <w:color w:val="FFFFFF" w:themeColor="background1"/>
                <w:lang w:eastAsia="en-AU"/>
              </w:rPr>
            </w:pPr>
            <w:r w:rsidRPr="00C918BF">
              <w:rPr>
                <w:rFonts w:asciiTheme="majorHAnsi" w:eastAsia="Times New Roman" w:hAnsiTheme="majorHAnsi" w:cstheme="majorHAnsi"/>
                <w:b/>
                <w:color w:val="FFFFFF" w:themeColor="background1"/>
                <w:lang w:eastAsia="en-AU"/>
              </w:rPr>
              <w:t>Slightly Better</w:t>
            </w:r>
          </w:p>
        </w:tc>
        <w:tc>
          <w:tcPr>
            <w:tcW w:w="1006" w:type="pct"/>
            <w:shd w:val="clear" w:color="auto" w:fill="A25EA6"/>
            <w:noWrap/>
            <w:vAlign w:val="center"/>
            <w:hideMark/>
          </w:tcPr>
          <w:p w14:paraId="7112A772" w14:textId="77777777" w:rsidR="00A329F3" w:rsidRPr="00C918BF" w:rsidRDefault="00A329F3" w:rsidP="00820811">
            <w:pPr>
              <w:spacing w:before="40" w:after="40"/>
              <w:jc w:val="center"/>
              <w:rPr>
                <w:rFonts w:asciiTheme="majorHAnsi" w:eastAsia="Times New Roman" w:hAnsiTheme="majorHAnsi" w:cstheme="majorHAnsi"/>
                <w:b/>
                <w:color w:val="FFFFFF" w:themeColor="background1"/>
                <w:lang w:eastAsia="en-AU"/>
              </w:rPr>
            </w:pPr>
            <w:r w:rsidRPr="00C918BF">
              <w:rPr>
                <w:rFonts w:asciiTheme="majorHAnsi" w:eastAsia="Times New Roman" w:hAnsiTheme="majorHAnsi" w:cstheme="majorHAnsi"/>
                <w:b/>
                <w:color w:val="FFFFFF" w:themeColor="background1"/>
                <w:lang w:eastAsia="en-AU"/>
              </w:rPr>
              <w:t>Same as Before</w:t>
            </w:r>
          </w:p>
        </w:tc>
      </w:tr>
      <w:tr w:rsidR="00807215" w:rsidRPr="00C918BF" w14:paraId="02929E65" w14:textId="77777777" w:rsidTr="00F86BDB">
        <w:trPr>
          <w:trHeight w:val="315"/>
        </w:trPr>
        <w:tc>
          <w:tcPr>
            <w:tcW w:w="1055" w:type="pct"/>
            <w:shd w:val="clear" w:color="auto" w:fill="F0F4F6" w:themeFill="accent5" w:themeFillTint="33"/>
            <w:noWrap/>
            <w:vAlign w:val="center"/>
            <w:hideMark/>
          </w:tcPr>
          <w:p w14:paraId="0E96C7D0" w14:textId="77777777" w:rsidR="00A329F3" w:rsidRPr="00C918BF" w:rsidRDefault="00A329F3" w:rsidP="00820811">
            <w:pPr>
              <w:spacing w:before="40" w:after="40"/>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 xml:space="preserve">Large island </w:t>
            </w:r>
          </w:p>
        </w:tc>
        <w:tc>
          <w:tcPr>
            <w:tcW w:w="981" w:type="pct"/>
            <w:shd w:val="clear" w:color="auto" w:fill="F0F4F6" w:themeFill="accent5" w:themeFillTint="33"/>
            <w:noWrap/>
            <w:vAlign w:val="center"/>
            <w:hideMark/>
          </w:tcPr>
          <w:p w14:paraId="497C2372"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29</w:t>
            </w:r>
          </w:p>
        </w:tc>
        <w:tc>
          <w:tcPr>
            <w:tcW w:w="903" w:type="pct"/>
            <w:shd w:val="clear" w:color="auto" w:fill="F0F4F6" w:themeFill="accent5" w:themeFillTint="33"/>
            <w:noWrap/>
            <w:vAlign w:val="center"/>
            <w:hideMark/>
          </w:tcPr>
          <w:p w14:paraId="3A689EB0"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32</w:t>
            </w:r>
          </w:p>
        </w:tc>
        <w:tc>
          <w:tcPr>
            <w:tcW w:w="1055" w:type="pct"/>
            <w:shd w:val="clear" w:color="auto" w:fill="F0F4F6" w:themeFill="accent5" w:themeFillTint="33"/>
            <w:noWrap/>
            <w:vAlign w:val="center"/>
            <w:hideMark/>
          </w:tcPr>
          <w:p w14:paraId="5A9C8A59"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4</w:t>
            </w:r>
          </w:p>
        </w:tc>
        <w:tc>
          <w:tcPr>
            <w:tcW w:w="1006" w:type="pct"/>
            <w:shd w:val="clear" w:color="auto" w:fill="F0F4F6" w:themeFill="accent5" w:themeFillTint="33"/>
            <w:noWrap/>
            <w:vAlign w:val="center"/>
            <w:hideMark/>
          </w:tcPr>
          <w:p w14:paraId="42744BF4"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14</w:t>
            </w:r>
          </w:p>
        </w:tc>
      </w:tr>
      <w:tr w:rsidR="00807215" w:rsidRPr="00C918BF" w14:paraId="73459CA5" w14:textId="77777777" w:rsidTr="00F86BDB">
        <w:trPr>
          <w:trHeight w:val="315"/>
        </w:trPr>
        <w:tc>
          <w:tcPr>
            <w:tcW w:w="1055" w:type="pct"/>
            <w:shd w:val="clear" w:color="auto" w:fill="F0F4F6" w:themeFill="accent5" w:themeFillTint="33"/>
            <w:noWrap/>
            <w:vAlign w:val="center"/>
            <w:hideMark/>
          </w:tcPr>
          <w:p w14:paraId="4DD3387F" w14:textId="77777777" w:rsidR="00A329F3" w:rsidRPr="00C918BF" w:rsidRDefault="00A329F3" w:rsidP="00820811">
            <w:pPr>
              <w:spacing w:before="40" w:after="40"/>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 xml:space="preserve">Small island </w:t>
            </w:r>
          </w:p>
        </w:tc>
        <w:tc>
          <w:tcPr>
            <w:tcW w:w="981" w:type="pct"/>
            <w:shd w:val="clear" w:color="auto" w:fill="F0F4F6" w:themeFill="accent5" w:themeFillTint="33"/>
            <w:noWrap/>
            <w:vAlign w:val="center"/>
            <w:hideMark/>
          </w:tcPr>
          <w:p w14:paraId="3B2B35A2"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13</w:t>
            </w:r>
          </w:p>
        </w:tc>
        <w:tc>
          <w:tcPr>
            <w:tcW w:w="903" w:type="pct"/>
            <w:shd w:val="clear" w:color="auto" w:fill="F0F4F6" w:themeFill="accent5" w:themeFillTint="33"/>
            <w:noWrap/>
            <w:vAlign w:val="center"/>
            <w:hideMark/>
          </w:tcPr>
          <w:p w14:paraId="03B55C00"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8</w:t>
            </w:r>
          </w:p>
        </w:tc>
        <w:tc>
          <w:tcPr>
            <w:tcW w:w="1055" w:type="pct"/>
            <w:shd w:val="clear" w:color="auto" w:fill="F0F4F6" w:themeFill="accent5" w:themeFillTint="33"/>
            <w:noWrap/>
            <w:vAlign w:val="center"/>
            <w:hideMark/>
          </w:tcPr>
          <w:p w14:paraId="5F971ECD"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3</w:t>
            </w:r>
          </w:p>
        </w:tc>
        <w:tc>
          <w:tcPr>
            <w:tcW w:w="1006" w:type="pct"/>
            <w:shd w:val="clear" w:color="auto" w:fill="F0F4F6" w:themeFill="accent5" w:themeFillTint="33"/>
            <w:noWrap/>
            <w:vAlign w:val="center"/>
            <w:hideMark/>
          </w:tcPr>
          <w:p w14:paraId="43857E28"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4</w:t>
            </w:r>
          </w:p>
        </w:tc>
      </w:tr>
      <w:tr w:rsidR="00807215" w:rsidRPr="00C918BF" w14:paraId="716B4356" w14:textId="77777777" w:rsidTr="00F86BDB">
        <w:trPr>
          <w:trHeight w:val="315"/>
        </w:trPr>
        <w:tc>
          <w:tcPr>
            <w:tcW w:w="1055" w:type="pct"/>
            <w:shd w:val="clear" w:color="auto" w:fill="F0F4F6" w:themeFill="accent5" w:themeFillTint="33"/>
            <w:noWrap/>
            <w:vAlign w:val="center"/>
            <w:hideMark/>
          </w:tcPr>
          <w:p w14:paraId="50975728" w14:textId="77777777" w:rsidR="00A329F3" w:rsidRPr="00C918BF" w:rsidRDefault="00A329F3" w:rsidP="00820811">
            <w:pPr>
              <w:spacing w:before="40" w:after="40"/>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 xml:space="preserve">South Tarawa </w:t>
            </w:r>
          </w:p>
        </w:tc>
        <w:tc>
          <w:tcPr>
            <w:tcW w:w="981" w:type="pct"/>
            <w:shd w:val="clear" w:color="auto" w:fill="F0F4F6" w:themeFill="accent5" w:themeFillTint="33"/>
            <w:noWrap/>
            <w:vAlign w:val="center"/>
            <w:hideMark/>
          </w:tcPr>
          <w:p w14:paraId="58F7850D"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27</w:t>
            </w:r>
          </w:p>
        </w:tc>
        <w:tc>
          <w:tcPr>
            <w:tcW w:w="903" w:type="pct"/>
            <w:shd w:val="clear" w:color="auto" w:fill="F0F4F6" w:themeFill="accent5" w:themeFillTint="33"/>
            <w:noWrap/>
            <w:vAlign w:val="center"/>
            <w:hideMark/>
          </w:tcPr>
          <w:p w14:paraId="2AB836AA"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56</w:t>
            </w:r>
          </w:p>
        </w:tc>
        <w:tc>
          <w:tcPr>
            <w:tcW w:w="1055" w:type="pct"/>
            <w:shd w:val="clear" w:color="auto" w:fill="F0F4F6" w:themeFill="accent5" w:themeFillTint="33"/>
            <w:noWrap/>
            <w:vAlign w:val="center"/>
            <w:hideMark/>
          </w:tcPr>
          <w:p w14:paraId="7815E3A8"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15</w:t>
            </w:r>
          </w:p>
        </w:tc>
        <w:tc>
          <w:tcPr>
            <w:tcW w:w="1006" w:type="pct"/>
            <w:shd w:val="clear" w:color="auto" w:fill="F0F4F6" w:themeFill="accent5" w:themeFillTint="33"/>
            <w:noWrap/>
            <w:vAlign w:val="center"/>
            <w:hideMark/>
          </w:tcPr>
          <w:p w14:paraId="7ACBA44E" w14:textId="77777777" w:rsidR="00A329F3" w:rsidRPr="00C918BF" w:rsidRDefault="00A329F3" w:rsidP="00820811">
            <w:pPr>
              <w:spacing w:before="40" w:after="40"/>
              <w:jc w:val="right"/>
              <w:rPr>
                <w:rFonts w:asciiTheme="majorHAnsi" w:eastAsia="Times New Roman" w:hAnsiTheme="majorHAnsi" w:cstheme="majorHAnsi"/>
                <w:lang w:eastAsia="en-AU"/>
              </w:rPr>
            </w:pPr>
            <w:r w:rsidRPr="00C918BF">
              <w:rPr>
                <w:rFonts w:asciiTheme="majorHAnsi" w:eastAsia="Times New Roman" w:hAnsiTheme="majorHAnsi" w:cstheme="majorHAnsi"/>
                <w:lang w:eastAsia="en-AU"/>
              </w:rPr>
              <w:t>4</w:t>
            </w:r>
          </w:p>
        </w:tc>
      </w:tr>
      <w:tr w:rsidR="00807215" w:rsidRPr="00C918BF" w14:paraId="1869F187" w14:textId="77777777" w:rsidTr="00F86BDB">
        <w:trPr>
          <w:trHeight w:val="315"/>
        </w:trPr>
        <w:tc>
          <w:tcPr>
            <w:tcW w:w="1055" w:type="pct"/>
            <w:shd w:val="clear" w:color="auto" w:fill="E2EAEE" w:themeFill="accent5" w:themeFillTint="66"/>
            <w:noWrap/>
            <w:vAlign w:val="center"/>
            <w:hideMark/>
          </w:tcPr>
          <w:p w14:paraId="3B0335F3" w14:textId="77777777" w:rsidR="00A329F3" w:rsidRPr="00C918BF" w:rsidRDefault="00A329F3" w:rsidP="00820811">
            <w:pPr>
              <w:spacing w:before="40" w:after="40"/>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 xml:space="preserve">Total </w:t>
            </w:r>
          </w:p>
        </w:tc>
        <w:tc>
          <w:tcPr>
            <w:tcW w:w="981" w:type="pct"/>
            <w:shd w:val="clear" w:color="auto" w:fill="E2EAEE" w:themeFill="accent5" w:themeFillTint="66"/>
            <w:noWrap/>
            <w:vAlign w:val="center"/>
            <w:hideMark/>
          </w:tcPr>
          <w:p w14:paraId="053980ED" w14:textId="77777777" w:rsidR="00A329F3" w:rsidRPr="00C918BF" w:rsidRDefault="00A329F3" w:rsidP="00820811">
            <w:pPr>
              <w:spacing w:before="40" w:after="40"/>
              <w:jc w:val="right"/>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69</w:t>
            </w:r>
          </w:p>
        </w:tc>
        <w:tc>
          <w:tcPr>
            <w:tcW w:w="903" w:type="pct"/>
            <w:shd w:val="clear" w:color="auto" w:fill="E2EAEE" w:themeFill="accent5" w:themeFillTint="66"/>
            <w:noWrap/>
            <w:vAlign w:val="center"/>
            <w:hideMark/>
          </w:tcPr>
          <w:p w14:paraId="0A13A8D1" w14:textId="77777777" w:rsidR="00A329F3" w:rsidRPr="00C918BF" w:rsidRDefault="00A329F3" w:rsidP="00820811">
            <w:pPr>
              <w:spacing w:before="40" w:after="40"/>
              <w:jc w:val="right"/>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96</w:t>
            </w:r>
          </w:p>
        </w:tc>
        <w:tc>
          <w:tcPr>
            <w:tcW w:w="1055" w:type="pct"/>
            <w:shd w:val="clear" w:color="auto" w:fill="E2EAEE" w:themeFill="accent5" w:themeFillTint="66"/>
            <w:noWrap/>
            <w:vAlign w:val="center"/>
            <w:hideMark/>
          </w:tcPr>
          <w:p w14:paraId="2F400D8D" w14:textId="77777777" w:rsidR="00A329F3" w:rsidRPr="00C918BF" w:rsidRDefault="00A329F3" w:rsidP="00820811">
            <w:pPr>
              <w:spacing w:before="40" w:after="40"/>
              <w:jc w:val="right"/>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22</w:t>
            </w:r>
          </w:p>
        </w:tc>
        <w:tc>
          <w:tcPr>
            <w:tcW w:w="1006" w:type="pct"/>
            <w:shd w:val="clear" w:color="auto" w:fill="E2EAEE" w:themeFill="accent5" w:themeFillTint="66"/>
            <w:noWrap/>
            <w:vAlign w:val="center"/>
            <w:hideMark/>
          </w:tcPr>
          <w:p w14:paraId="4754B9D5" w14:textId="77777777" w:rsidR="00A329F3" w:rsidRPr="00C918BF" w:rsidRDefault="00A329F3" w:rsidP="00820811">
            <w:pPr>
              <w:spacing w:before="40" w:after="40"/>
              <w:jc w:val="right"/>
              <w:rPr>
                <w:rFonts w:asciiTheme="majorHAnsi" w:eastAsia="Times New Roman" w:hAnsiTheme="majorHAnsi" w:cstheme="majorHAnsi"/>
                <w:b/>
                <w:lang w:eastAsia="en-AU"/>
              </w:rPr>
            </w:pPr>
            <w:r w:rsidRPr="00C918BF">
              <w:rPr>
                <w:rFonts w:asciiTheme="majorHAnsi" w:eastAsia="Times New Roman" w:hAnsiTheme="majorHAnsi" w:cstheme="majorHAnsi"/>
                <w:b/>
                <w:lang w:eastAsia="en-AU"/>
              </w:rPr>
              <w:t>22</w:t>
            </w:r>
          </w:p>
        </w:tc>
      </w:tr>
    </w:tbl>
    <w:p w14:paraId="33639705" w14:textId="2926422A" w:rsidR="007627F4" w:rsidRPr="00C918BF" w:rsidRDefault="00B716FC" w:rsidP="00725067">
      <w:pPr>
        <w:pStyle w:val="Heading3"/>
        <w:spacing w:line="204" w:lineRule="auto"/>
        <w:rPr>
          <w:color w:val="auto"/>
          <w:lang w:eastAsia="ko-KR"/>
        </w:rPr>
      </w:pPr>
      <w:bookmarkStart w:id="50" w:name="_Toc453669685"/>
      <w:bookmarkStart w:id="51" w:name="_Toc461615694"/>
      <w:r w:rsidRPr="00C918BF">
        <w:rPr>
          <w:color w:val="auto"/>
          <w:lang w:eastAsia="ko-KR"/>
        </w:rPr>
        <w:t>2.2</w:t>
      </w:r>
      <w:r w:rsidR="007627F4" w:rsidRPr="00C918BF">
        <w:rPr>
          <w:color w:val="auto"/>
          <w:lang w:eastAsia="ko-KR"/>
        </w:rPr>
        <w:t xml:space="preserve">.1 </w:t>
      </w:r>
      <w:r w:rsidR="00E212F9" w:rsidRPr="00C918BF">
        <w:rPr>
          <w:color w:val="auto"/>
          <w:lang w:eastAsia="ko-KR"/>
        </w:rPr>
        <w:tab/>
      </w:r>
      <w:r w:rsidR="007627F4" w:rsidRPr="00C918BF">
        <w:rPr>
          <w:color w:val="auto"/>
          <w:lang w:eastAsia="ko-KR"/>
        </w:rPr>
        <w:t>Output 2.1: More schools have effective partnerships with their communities to deliver quality education</w:t>
      </w:r>
      <w:bookmarkEnd w:id="50"/>
      <w:bookmarkEnd w:id="51"/>
    </w:p>
    <w:p w14:paraId="0EA55F87" w14:textId="5FB82E0B" w:rsidR="00C9113F" w:rsidRPr="0060082A" w:rsidRDefault="00C9113F" w:rsidP="0060082A">
      <w:pPr>
        <w:rPr>
          <w:rFonts w:asciiTheme="majorHAnsi" w:hAnsiTheme="majorHAnsi" w:cstheme="majorHAnsi"/>
        </w:rPr>
      </w:pPr>
      <w:r w:rsidRPr="0060082A">
        <w:rPr>
          <w:rFonts w:asciiTheme="majorHAnsi" w:hAnsiTheme="majorHAnsi" w:cstheme="majorHAnsi"/>
        </w:rPr>
        <w:t xml:space="preserve">KEF supports </w:t>
      </w:r>
      <w:r w:rsidR="00B765AC" w:rsidRPr="0060082A">
        <w:rPr>
          <w:rFonts w:asciiTheme="majorHAnsi" w:hAnsiTheme="majorHAnsi" w:cstheme="majorHAnsi"/>
        </w:rPr>
        <w:t>MoE</w:t>
      </w:r>
      <w:r w:rsidRPr="0060082A">
        <w:rPr>
          <w:rFonts w:asciiTheme="majorHAnsi" w:hAnsiTheme="majorHAnsi" w:cstheme="majorHAnsi"/>
        </w:rPr>
        <w:t xml:space="preserve">’s </w:t>
      </w:r>
      <w:r w:rsidR="00C603D3" w:rsidRPr="0060082A">
        <w:rPr>
          <w:rFonts w:asciiTheme="majorHAnsi" w:hAnsiTheme="majorHAnsi" w:cstheme="majorHAnsi"/>
        </w:rPr>
        <w:t>on-going</w:t>
      </w:r>
      <w:r w:rsidRPr="0060082A">
        <w:rPr>
          <w:rFonts w:asciiTheme="majorHAnsi" w:hAnsiTheme="majorHAnsi" w:cstheme="majorHAnsi"/>
        </w:rPr>
        <w:t xml:space="preserve"> advocacy campaigns through radio broadcasting, community consultation and </w:t>
      </w:r>
      <w:r w:rsidR="003A1B77" w:rsidRPr="0060082A">
        <w:rPr>
          <w:rFonts w:asciiTheme="majorHAnsi" w:hAnsiTheme="majorHAnsi" w:cstheme="majorHAnsi"/>
        </w:rPr>
        <w:t>a</w:t>
      </w:r>
      <w:r w:rsidRPr="0060082A">
        <w:rPr>
          <w:rFonts w:asciiTheme="majorHAnsi" w:hAnsiTheme="majorHAnsi" w:cstheme="majorHAnsi"/>
        </w:rPr>
        <w:t xml:space="preserve">ccess and </w:t>
      </w:r>
      <w:r w:rsidR="003A1B77" w:rsidRPr="0060082A">
        <w:rPr>
          <w:rFonts w:asciiTheme="majorHAnsi" w:hAnsiTheme="majorHAnsi" w:cstheme="majorHAnsi"/>
        </w:rPr>
        <w:t>p</w:t>
      </w:r>
      <w:r w:rsidRPr="0060082A">
        <w:rPr>
          <w:rFonts w:asciiTheme="majorHAnsi" w:hAnsiTheme="majorHAnsi" w:cstheme="majorHAnsi"/>
        </w:rPr>
        <w:t>articipation activities on the importance of education (highlighting policies), and roles of stakeholder</w:t>
      </w:r>
      <w:r w:rsidR="002D56C7" w:rsidRPr="0060082A">
        <w:rPr>
          <w:rFonts w:asciiTheme="majorHAnsi" w:hAnsiTheme="majorHAnsi" w:cstheme="majorHAnsi"/>
        </w:rPr>
        <w:t xml:space="preserve"> in </w:t>
      </w:r>
      <w:r w:rsidRPr="0060082A">
        <w:rPr>
          <w:rFonts w:asciiTheme="majorHAnsi" w:hAnsiTheme="majorHAnsi" w:cstheme="majorHAnsi"/>
        </w:rPr>
        <w:t>support</w:t>
      </w:r>
      <w:r w:rsidR="002D56C7" w:rsidRPr="0060082A">
        <w:rPr>
          <w:rFonts w:asciiTheme="majorHAnsi" w:hAnsiTheme="majorHAnsi" w:cstheme="majorHAnsi"/>
        </w:rPr>
        <w:t>ing</w:t>
      </w:r>
      <w:r w:rsidRPr="0060082A">
        <w:rPr>
          <w:rFonts w:asciiTheme="majorHAnsi" w:hAnsiTheme="majorHAnsi" w:cstheme="majorHAnsi"/>
        </w:rPr>
        <w:t xml:space="preserve"> children’s education. This has gradually</w:t>
      </w:r>
      <w:r w:rsidR="00787D4F" w:rsidRPr="0060082A">
        <w:rPr>
          <w:rFonts w:asciiTheme="majorHAnsi" w:hAnsiTheme="majorHAnsi" w:cstheme="majorHAnsi"/>
        </w:rPr>
        <w:t xml:space="preserve"> engendered more positive community attitudes</w:t>
      </w:r>
      <w:r w:rsidR="00612FB4" w:rsidRPr="0060082A">
        <w:rPr>
          <w:rFonts w:asciiTheme="majorHAnsi" w:hAnsiTheme="majorHAnsi" w:cstheme="majorHAnsi"/>
        </w:rPr>
        <w:t xml:space="preserve"> </w:t>
      </w:r>
      <w:r w:rsidRPr="0060082A">
        <w:rPr>
          <w:rFonts w:asciiTheme="majorHAnsi" w:hAnsiTheme="majorHAnsi" w:cstheme="majorHAnsi"/>
        </w:rPr>
        <w:t xml:space="preserve">their children’s education. KEIP Phase </w:t>
      </w:r>
      <w:r w:rsidR="000A49FE">
        <w:rPr>
          <w:rFonts w:asciiTheme="majorHAnsi" w:hAnsiTheme="majorHAnsi" w:cstheme="majorHAnsi"/>
        </w:rPr>
        <w:t>2</w:t>
      </w:r>
      <w:r w:rsidRPr="0060082A">
        <w:rPr>
          <w:rFonts w:asciiTheme="majorHAnsi" w:hAnsiTheme="majorHAnsi" w:cstheme="majorHAnsi"/>
        </w:rPr>
        <w:t xml:space="preserve"> findings indicate that School Committees and </w:t>
      </w:r>
      <w:r w:rsidR="00FB0C1D" w:rsidRPr="0060082A">
        <w:rPr>
          <w:rFonts w:asciiTheme="majorHAnsi" w:hAnsiTheme="majorHAnsi" w:cstheme="majorHAnsi"/>
        </w:rPr>
        <w:t>School Improvement Plan (</w:t>
      </w:r>
      <w:r w:rsidRPr="0060082A">
        <w:rPr>
          <w:rFonts w:asciiTheme="majorHAnsi" w:hAnsiTheme="majorHAnsi" w:cstheme="majorHAnsi"/>
        </w:rPr>
        <w:t>SIP</w:t>
      </w:r>
      <w:r w:rsidR="00FB0C1D" w:rsidRPr="0060082A">
        <w:rPr>
          <w:rFonts w:asciiTheme="majorHAnsi" w:hAnsiTheme="majorHAnsi" w:cstheme="majorHAnsi"/>
        </w:rPr>
        <w:t>)</w:t>
      </w:r>
      <w:r w:rsidRPr="0060082A">
        <w:rPr>
          <w:rFonts w:asciiTheme="majorHAnsi" w:hAnsiTheme="majorHAnsi" w:cstheme="majorHAnsi"/>
        </w:rPr>
        <w:t xml:space="preserve"> Committees provide</w:t>
      </w:r>
      <w:r w:rsidR="004158BD" w:rsidRPr="0060082A">
        <w:rPr>
          <w:rFonts w:asciiTheme="majorHAnsi" w:hAnsiTheme="majorHAnsi" w:cstheme="majorHAnsi"/>
        </w:rPr>
        <w:t xml:space="preserve"> an</w:t>
      </w:r>
      <w:r w:rsidRPr="0060082A">
        <w:rPr>
          <w:rFonts w:asciiTheme="majorHAnsi" w:hAnsiTheme="majorHAnsi" w:cstheme="majorHAnsi"/>
        </w:rPr>
        <w:t xml:space="preserve"> impetus for community enga</w:t>
      </w:r>
      <w:r w:rsidR="002D56C7" w:rsidRPr="0060082A">
        <w:rPr>
          <w:rFonts w:asciiTheme="majorHAnsi" w:hAnsiTheme="majorHAnsi" w:cstheme="majorHAnsi"/>
        </w:rPr>
        <w:t xml:space="preserve">gement and are associated with </w:t>
      </w:r>
      <w:r w:rsidRPr="0060082A">
        <w:rPr>
          <w:rFonts w:asciiTheme="majorHAnsi" w:hAnsiTheme="majorHAnsi" w:cstheme="majorHAnsi"/>
        </w:rPr>
        <w:t>examples of positive change, particularly in school maintenance and school attendance.</w:t>
      </w:r>
    </w:p>
    <w:p w14:paraId="794E872B" w14:textId="55D961BC" w:rsidR="00CB6C29" w:rsidRPr="0060082A" w:rsidRDefault="00B716FC" w:rsidP="0060082A">
      <w:pPr>
        <w:rPr>
          <w:rFonts w:asciiTheme="majorHAnsi" w:hAnsiTheme="majorHAnsi" w:cstheme="majorHAnsi"/>
        </w:rPr>
      </w:pPr>
      <w:r w:rsidRPr="0060082A">
        <w:rPr>
          <w:rFonts w:asciiTheme="majorHAnsi" w:hAnsiTheme="majorHAnsi" w:cstheme="majorHAnsi"/>
        </w:rPr>
        <w:t>C</w:t>
      </w:r>
      <w:r w:rsidR="00A329F3" w:rsidRPr="0060082A">
        <w:rPr>
          <w:rFonts w:asciiTheme="majorHAnsi" w:hAnsiTheme="majorHAnsi" w:cstheme="majorHAnsi"/>
        </w:rPr>
        <w:t>ommunity involvement at Bareaumai Primary School</w:t>
      </w:r>
      <w:r w:rsidR="00FB0C1D" w:rsidRPr="0060082A">
        <w:rPr>
          <w:rFonts w:asciiTheme="majorHAnsi" w:hAnsiTheme="majorHAnsi" w:cstheme="majorHAnsi"/>
        </w:rPr>
        <w:t>,</w:t>
      </w:r>
      <w:r w:rsidR="00A329F3" w:rsidRPr="0060082A">
        <w:rPr>
          <w:rFonts w:asciiTheme="majorHAnsi" w:hAnsiTheme="majorHAnsi" w:cstheme="majorHAnsi"/>
        </w:rPr>
        <w:t xml:space="preserve"> whic</w:t>
      </w:r>
      <w:r w:rsidRPr="0060082A">
        <w:rPr>
          <w:rFonts w:asciiTheme="majorHAnsi" w:hAnsiTheme="majorHAnsi" w:cstheme="majorHAnsi"/>
        </w:rPr>
        <w:t>h serves three villages at the</w:t>
      </w:r>
      <w:r w:rsidR="00A329F3" w:rsidRPr="0060082A">
        <w:rPr>
          <w:rFonts w:asciiTheme="majorHAnsi" w:hAnsiTheme="majorHAnsi" w:cstheme="majorHAnsi"/>
        </w:rPr>
        <w:t xml:space="preserve"> end of South </w:t>
      </w:r>
      <w:r w:rsidR="00580763" w:rsidRPr="0060082A">
        <w:rPr>
          <w:rFonts w:asciiTheme="majorHAnsi" w:hAnsiTheme="majorHAnsi" w:cstheme="majorHAnsi"/>
        </w:rPr>
        <w:t>Tarawa,</w:t>
      </w:r>
      <w:r w:rsidR="00A329F3" w:rsidRPr="0060082A">
        <w:rPr>
          <w:rFonts w:asciiTheme="majorHAnsi" w:hAnsiTheme="majorHAnsi" w:cstheme="majorHAnsi"/>
        </w:rPr>
        <w:t xml:space="preserve"> is a good example. Following the building of kitset classrooms, renovating existing ones and improving</w:t>
      </w:r>
      <w:r w:rsidR="00CB6C29" w:rsidRPr="0060082A">
        <w:rPr>
          <w:rFonts w:asciiTheme="majorHAnsi" w:hAnsiTheme="majorHAnsi" w:cstheme="majorHAnsi"/>
        </w:rPr>
        <w:t xml:space="preserve"> the </w:t>
      </w:r>
      <w:r w:rsidR="00A329F3" w:rsidRPr="0060082A">
        <w:rPr>
          <w:rFonts w:asciiTheme="majorHAnsi" w:hAnsiTheme="majorHAnsi" w:cstheme="majorHAnsi"/>
        </w:rPr>
        <w:t>school grounds</w:t>
      </w:r>
      <w:r w:rsidR="00CB6C29" w:rsidRPr="0060082A">
        <w:rPr>
          <w:rFonts w:asciiTheme="majorHAnsi" w:hAnsiTheme="majorHAnsi" w:cstheme="majorHAnsi"/>
        </w:rPr>
        <w:t>,</w:t>
      </w:r>
      <w:r w:rsidR="00A329F3" w:rsidRPr="0060082A">
        <w:rPr>
          <w:rFonts w:asciiTheme="majorHAnsi" w:hAnsiTheme="majorHAnsi" w:cstheme="majorHAnsi"/>
        </w:rPr>
        <w:t xml:space="preserve"> there was an increase in student enrolment and greater community participation with rebuilding teachers housing, attending strategic planning sessions,</w:t>
      </w:r>
      <w:r w:rsidR="004158BD" w:rsidRPr="0060082A">
        <w:rPr>
          <w:rFonts w:asciiTheme="majorHAnsi" w:hAnsiTheme="majorHAnsi" w:cstheme="majorHAnsi"/>
        </w:rPr>
        <w:t xml:space="preserve"> improved</w:t>
      </w:r>
      <w:r w:rsidR="00A329F3" w:rsidRPr="0060082A">
        <w:rPr>
          <w:rFonts w:asciiTheme="majorHAnsi" w:hAnsiTheme="majorHAnsi" w:cstheme="majorHAnsi"/>
        </w:rPr>
        <w:t xml:space="preserve"> </w:t>
      </w:r>
      <w:r w:rsidR="00810B16" w:rsidRPr="0060082A">
        <w:rPr>
          <w:rFonts w:asciiTheme="majorHAnsi" w:hAnsiTheme="majorHAnsi" w:cstheme="majorHAnsi"/>
        </w:rPr>
        <w:t xml:space="preserve">security </w:t>
      </w:r>
      <w:r w:rsidR="00A329F3" w:rsidRPr="0060082A">
        <w:rPr>
          <w:rFonts w:asciiTheme="majorHAnsi" w:hAnsiTheme="majorHAnsi" w:cstheme="majorHAnsi"/>
        </w:rPr>
        <w:t xml:space="preserve">and supporting </w:t>
      </w:r>
      <w:r w:rsidR="00810B16" w:rsidRPr="0060082A">
        <w:rPr>
          <w:rFonts w:asciiTheme="majorHAnsi" w:hAnsiTheme="majorHAnsi" w:cstheme="majorHAnsi"/>
        </w:rPr>
        <w:t>students’</w:t>
      </w:r>
      <w:r w:rsidR="00A329F3" w:rsidRPr="0060082A">
        <w:rPr>
          <w:rFonts w:asciiTheme="majorHAnsi" w:hAnsiTheme="majorHAnsi" w:cstheme="majorHAnsi"/>
        </w:rPr>
        <w:t xml:space="preserve"> attendance.</w:t>
      </w:r>
    </w:p>
    <w:p w14:paraId="54A4879D" w14:textId="77777777" w:rsidR="00CB6C29" w:rsidRPr="0060082A" w:rsidRDefault="00A329F3" w:rsidP="0060082A">
      <w:pPr>
        <w:rPr>
          <w:rFonts w:asciiTheme="majorHAnsi" w:hAnsiTheme="majorHAnsi" w:cstheme="majorHAnsi"/>
        </w:rPr>
      </w:pPr>
      <w:r w:rsidRPr="0060082A">
        <w:rPr>
          <w:rFonts w:asciiTheme="majorHAnsi" w:hAnsiTheme="majorHAnsi" w:cstheme="majorHAnsi"/>
        </w:rPr>
        <w:t xml:space="preserve">Student enrolment increased from 330 (in 2014) to 441 (January 2015). Thirteen new enrolments were older children returning to school. </w:t>
      </w:r>
      <w:r w:rsidR="00B716FC" w:rsidRPr="0060082A">
        <w:rPr>
          <w:rFonts w:asciiTheme="majorHAnsi" w:hAnsiTheme="majorHAnsi" w:cstheme="majorHAnsi"/>
        </w:rPr>
        <w:t xml:space="preserve">A </w:t>
      </w:r>
      <w:r w:rsidRPr="0060082A">
        <w:rPr>
          <w:rFonts w:asciiTheme="majorHAnsi" w:hAnsiTheme="majorHAnsi" w:cstheme="majorHAnsi"/>
        </w:rPr>
        <w:t xml:space="preserve">challenge for teachers was creating conducive conditions </w:t>
      </w:r>
      <w:r w:rsidR="004158BD" w:rsidRPr="0060082A">
        <w:rPr>
          <w:rFonts w:asciiTheme="majorHAnsi" w:hAnsiTheme="majorHAnsi" w:cstheme="majorHAnsi"/>
        </w:rPr>
        <w:t xml:space="preserve">and classroom practice </w:t>
      </w:r>
      <w:r w:rsidRPr="0060082A">
        <w:rPr>
          <w:rFonts w:asciiTheme="majorHAnsi" w:hAnsiTheme="majorHAnsi" w:cstheme="majorHAnsi"/>
        </w:rPr>
        <w:t xml:space="preserve">so these </w:t>
      </w:r>
      <w:r w:rsidR="00CB6C29" w:rsidRPr="0060082A">
        <w:rPr>
          <w:rFonts w:asciiTheme="majorHAnsi" w:hAnsiTheme="majorHAnsi" w:cstheme="majorHAnsi"/>
        </w:rPr>
        <w:t xml:space="preserve">older </w:t>
      </w:r>
      <w:r w:rsidRPr="0060082A">
        <w:rPr>
          <w:rFonts w:asciiTheme="majorHAnsi" w:hAnsiTheme="majorHAnsi" w:cstheme="majorHAnsi"/>
        </w:rPr>
        <w:t>children stayed at school</w:t>
      </w:r>
      <w:r w:rsidR="0062302B" w:rsidRPr="0060082A">
        <w:rPr>
          <w:rFonts w:asciiTheme="majorHAnsi" w:hAnsiTheme="majorHAnsi" w:cstheme="majorHAnsi"/>
        </w:rPr>
        <w:t>.</w:t>
      </w:r>
      <w:r w:rsidR="00810B16" w:rsidRPr="0060082A">
        <w:rPr>
          <w:rStyle w:val="FootnoteReference"/>
          <w:rFonts w:asciiTheme="majorHAnsi" w:hAnsiTheme="majorHAnsi" w:cstheme="majorHAnsi"/>
        </w:rPr>
        <w:footnoteReference w:id="18"/>
      </w:r>
      <w:r w:rsidRPr="0060082A">
        <w:rPr>
          <w:rFonts w:asciiTheme="majorHAnsi" w:hAnsiTheme="majorHAnsi" w:cstheme="majorHAnsi"/>
        </w:rPr>
        <w:t xml:space="preserve"> </w:t>
      </w:r>
    </w:p>
    <w:p w14:paraId="46F369C7" w14:textId="0E49B177" w:rsidR="00A329F3" w:rsidRPr="0060082A" w:rsidRDefault="00A329F3" w:rsidP="0060082A">
      <w:pPr>
        <w:rPr>
          <w:rFonts w:asciiTheme="majorHAnsi" w:hAnsiTheme="majorHAnsi" w:cstheme="majorHAnsi"/>
          <w:lang w:val="en-US"/>
        </w:rPr>
      </w:pPr>
      <w:r w:rsidRPr="0060082A">
        <w:rPr>
          <w:rFonts w:asciiTheme="majorHAnsi" w:hAnsiTheme="majorHAnsi" w:cstheme="majorHAnsi"/>
        </w:rPr>
        <w:t>Through KEF, additional support was provided to the Principal and teachers to develop alternative classroom strategies and establish an approach for remedial support.</w:t>
      </w:r>
      <w:r w:rsidR="00D70C8B" w:rsidRPr="0060082A">
        <w:rPr>
          <w:rFonts w:asciiTheme="majorHAnsi" w:hAnsiTheme="majorHAnsi" w:cstheme="majorHAnsi"/>
        </w:rPr>
        <w:t xml:space="preserve"> </w:t>
      </w:r>
      <w:r w:rsidR="00CB6C29" w:rsidRPr="0060082A">
        <w:rPr>
          <w:rFonts w:asciiTheme="majorHAnsi" w:hAnsiTheme="majorHAnsi" w:cstheme="majorHAnsi"/>
        </w:rPr>
        <w:t>On</w:t>
      </w:r>
      <w:r w:rsidR="004158BD" w:rsidRPr="0060082A">
        <w:rPr>
          <w:rFonts w:asciiTheme="majorHAnsi" w:hAnsiTheme="majorHAnsi" w:cstheme="majorHAnsi"/>
        </w:rPr>
        <w:t>-</w:t>
      </w:r>
      <w:r w:rsidR="00CB6C29" w:rsidRPr="0060082A">
        <w:rPr>
          <w:rFonts w:asciiTheme="majorHAnsi" w:hAnsiTheme="majorHAnsi" w:cstheme="majorHAnsi"/>
        </w:rPr>
        <w:t xml:space="preserve">going </w:t>
      </w:r>
      <w:r w:rsidRPr="0060082A">
        <w:rPr>
          <w:rFonts w:asciiTheme="majorHAnsi" w:hAnsiTheme="majorHAnsi" w:cstheme="majorHAnsi"/>
        </w:rPr>
        <w:t xml:space="preserve">work during KEIP </w:t>
      </w:r>
      <w:r w:rsidR="00CB6C29" w:rsidRPr="0060082A">
        <w:rPr>
          <w:rFonts w:asciiTheme="majorHAnsi" w:hAnsiTheme="majorHAnsi" w:cstheme="majorHAnsi"/>
        </w:rPr>
        <w:t xml:space="preserve">Phase </w:t>
      </w:r>
      <w:r w:rsidR="000A49FE">
        <w:rPr>
          <w:rFonts w:asciiTheme="majorHAnsi" w:hAnsiTheme="majorHAnsi" w:cstheme="majorHAnsi"/>
        </w:rPr>
        <w:t>3</w:t>
      </w:r>
      <w:r w:rsidRPr="0060082A">
        <w:rPr>
          <w:rFonts w:asciiTheme="majorHAnsi" w:hAnsiTheme="majorHAnsi" w:cstheme="majorHAnsi"/>
        </w:rPr>
        <w:t xml:space="preserve"> </w:t>
      </w:r>
      <w:r w:rsidR="00CB6C29" w:rsidRPr="0060082A">
        <w:rPr>
          <w:rFonts w:asciiTheme="majorHAnsi" w:hAnsiTheme="majorHAnsi" w:cstheme="majorHAnsi"/>
        </w:rPr>
        <w:t>will be undertaken in</w:t>
      </w:r>
      <w:r w:rsidRPr="0060082A">
        <w:rPr>
          <w:rFonts w:asciiTheme="majorHAnsi" w:hAnsiTheme="majorHAnsi" w:cstheme="majorHAnsi"/>
        </w:rPr>
        <w:t xml:space="preserve"> understanding the interventions necessary to keep children in school.</w:t>
      </w:r>
      <w:r w:rsidR="00D70C8B" w:rsidRPr="0060082A">
        <w:rPr>
          <w:rFonts w:asciiTheme="majorHAnsi" w:hAnsiTheme="majorHAnsi" w:cstheme="majorHAnsi"/>
        </w:rPr>
        <w:t xml:space="preserve"> </w:t>
      </w:r>
      <w:r w:rsidRPr="0060082A">
        <w:rPr>
          <w:rFonts w:asciiTheme="majorHAnsi" w:hAnsiTheme="majorHAnsi" w:cstheme="majorHAnsi"/>
        </w:rPr>
        <w:t>Research suggests</w:t>
      </w:r>
      <w:r w:rsidR="00CB6C29" w:rsidRPr="0060082A">
        <w:rPr>
          <w:rFonts w:asciiTheme="majorHAnsi" w:hAnsiTheme="majorHAnsi" w:cstheme="majorHAnsi"/>
        </w:rPr>
        <w:t xml:space="preserve"> these</w:t>
      </w:r>
      <w:r w:rsidRPr="0060082A">
        <w:rPr>
          <w:rFonts w:asciiTheme="majorHAnsi" w:hAnsiTheme="majorHAnsi" w:cstheme="majorHAnsi"/>
        </w:rPr>
        <w:t xml:space="preserve"> interventions generally fall into three categories: School support (e.g. </w:t>
      </w:r>
      <w:r w:rsidR="00CB6C29" w:rsidRPr="0060082A">
        <w:rPr>
          <w:rFonts w:asciiTheme="majorHAnsi" w:hAnsiTheme="majorHAnsi" w:cstheme="majorHAnsi"/>
        </w:rPr>
        <w:t xml:space="preserve">providing </w:t>
      </w:r>
      <w:r w:rsidRPr="0060082A">
        <w:rPr>
          <w:rFonts w:asciiTheme="majorHAnsi" w:hAnsiTheme="majorHAnsi" w:cstheme="majorHAnsi"/>
        </w:rPr>
        <w:t xml:space="preserve">remedial and after school support), targeted problem-solving (e.g. conflict resolution, helping students overcome barriers to </w:t>
      </w:r>
      <w:r w:rsidR="00CB6C29" w:rsidRPr="0060082A">
        <w:rPr>
          <w:rFonts w:asciiTheme="majorHAnsi" w:hAnsiTheme="majorHAnsi" w:cstheme="majorHAnsi"/>
        </w:rPr>
        <w:t xml:space="preserve">their </w:t>
      </w:r>
      <w:r w:rsidRPr="0060082A">
        <w:rPr>
          <w:rFonts w:asciiTheme="majorHAnsi" w:hAnsiTheme="majorHAnsi" w:cstheme="majorHAnsi"/>
        </w:rPr>
        <w:t>waking up and getting to school on time), and helping older students explore recreational or community service opportunities.</w:t>
      </w:r>
      <w:r w:rsidRPr="0060082A">
        <w:rPr>
          <w:rStyle w:val="FootnoteReference"/>
          <w:rFonts w:asciiTheme="majorHAnsi" w:eastAsia="Calibri" w:hAnsiTheme="majorHAnsi" w:cstheme="majorHAnsi"/>
          <w:spacing w:val="-2"/>
        </w:rPr>
        <w:footnoteReference w:id="19"/>
      </w:r>
    </w:p>
    <w:p w14:paraId="032DC5AC" w14:textId="49CDEDB5" w:rsidR="00A329F3" w:rsidRPr="0060082A" w:rsidRDefault="00C603D3" w:rsidP="0060082A">
      <w:pPr>
        <w:rPr>
          <w:rFonts w:asciiTheme="majorHAnsi" w:hAnsiTheme="majorHAnsi" w:cstheme="majorHAnsi"/>
        </w:rPr>
      </w:pPr>
      <w:r w:rsidRPr="0060082A">
        <w:rPr>
          <w:rFonts w:asciiTheme="majorHAnsi" w:hAnsiTheme="majorHAnsi" w:cstheme="majorHAnsi"/>
        </w:rPr>
        <w:t xml:space="preserve">Parent education interventions, developed by MoE with KEF, continue in the Bareaumai Primary School catchment area. </w:t>
      </w:r>
      <w:r w:rsidR="00A329F3" w:rsidRPr="0060082A">
        <w:rPr>
          <w:rFonts w:asciiTheme="majorHAnsi" w:hAnsiTheme="majorHAnsi" w:cstheme="majorHAnsi"/>
        </w:rPr>
        <w:t>Bareaumai Primary School has become a</w:t>
      </w:r>
      <w:r w:rsidR="004158BD" w:rsidRPr="0060082A">
        <w:rPr>
          <w:rFonts w:asciiTheme="majorHAnsi" w:hAnsiTheme="majorHAnsi" w:cstheme="majorHAnsi"/>
        </w:rPr>
        <w:t>n example of</w:t>
      </w:r>
      <w:r w:rsidR="006E6B10" w:rsidRPr="0060082A">
        <w:rPr>
          <w:rFonts w:asciiTheme="majorHAnsi" w:hAnsiTheme="majorHAnsi" w:cstheme="majorHAnsi"/>
        </w:rPr>
        <w:t xml:space="preserve"> </w:t>
      </w:r>
      <w:r w:rsidR="00A329F3" w:rsidRPr="0060082A">
        <w:rPr>
          <w:rFonts w:asciiTheme="majorHAnsi" w:hAnsiTheme="majorHAnsi" w:cstheme="majorHAnsi"/>
        </w:rPr>
        <w:t>inclusive</w:t>
      </w:r>
      <w:r w:rsidR="00CB6C29" w:rsidRPr="0060082A">
        <w:rPr>
          <w:rFonts w:asciiTheme="majorHAnsi" w:hAnsiTheme="majorHAnsi" w:cstheme="majorHAnsi"/>
        </w:rPr>
        <w:t xml:space="preserve">, </w:t>
      </w:r>
      <w:r w:rsidR="00A329F3" w:rsidRPr="0060082A">
        <w:rPr>
          <w:rFonts w:asciiTheme="majorHAnsi" w:hAnsiTheme="majorHAnsi" w:cstheme="majorHAnsi"/>
        </w:rPr>
        <w:t>quality education.</w:t>
      </w:r>
      <w:r w:rsidR="00D70C8B" w:rsidRPr="0060082A">
        <w:rPr>
          <w:rFonts w:asciiTheme="majorHAnsi" w:hAnsiTheme="majorHAnsi" w:cstheme="majorHAnsi"/>
        </w:rPr>
        <w:t xml:space="preserve"> </w:t>
      </w:r>
      <w:r w:rsidR="00A329F3" w:rsidRPr="0060082A">
        <w:rPr>
          <w:rFonts w:asciiTheme="majorHAnsi" w:hAnsiTheme="majorHAnsi" w:cstheme="majorHAnsi"/>
        </w:rPr>
        <w:t>Th</w:t>
      </w:r>
      <w:r w:rsidR="00CB6C29" w:rsidRPr="0060082A">
        <w:rPr>
          <w:rFonts w:asciiTheme="majorHAnsi" w:hAnsiTheme="majorHAnsi" w:cstheme="majorHAnsi"/>
        </w:rPr>
        <w:t>is</w:t>
      </w:r>
      <w:r w:rsidR="00A329F3" w:rsidRPr="0060082A">
        <w:rPr>
          <w:rFonts w:asciiTheme="majorHAnsi" w:hAnsiTheme="majorHAnsi" w:cstheme="majorHAnsi"/>
        </w:rPr>
        <w:t xml:space="preserve"> broader approach to community participation is now being replicated to </w:t>
      </w:r>
      <w:r w:rsidR="004158BD" w:rsidRPr="0060082A">
        <w:rPr>
          <w:rFonts w:asciiTheme="majorHAnsi" w:hAnsiTheme="majorHAnsi" w:cstheme="majorHAnsi"/>
        </w:rPr>
        <w:t xml:space="preserve">strengthen </w:t>
      </w:r>
      <w:r w:rsidR="00A329F3" w:rsidRPr="0060082A">
        <w:rPr>
          <w:rFonts w:asciiTheme="majorHAnsi" w:hAnsiTheme="majorHAnsi" w:cstheme="majorHAnsi"/>
        </w:rPr>
        <w:t>community engagement with the families living in the vicinity of other recently refurbished primary schools including St John Bosco, Rurubao and Dai Nippon.</w:t>
      </w:r>
    </w:p>
    <w:p w14:paraId="0E050AD0" w14:textId="77777777" w:rsidR="007627F4" w:rsidRPr="00C918BF" w:rsidRDefault="00B716FC" w:rsidP="00725067">
      <w:pPr>
        <w:pStyle w:val="Heading3"/>
        <w:spacing w:line="204" w:lineRule="auto"/>
        <w:rPr>
          <w:rFonts w:ascii="Arial" w:hAnsi="Arial"/>
          <w:color w:val="auto"/>
          <w:spacing w:val="-2"/>
          <w:lang w:eastAsia="ko-KR"/>
        </w:rPr>
      </w:pPr>
      <w:bookmarkStart w:id="52" w:name="_Toc453669686"/>
      <w:bookmarkStart w:id="53" w:name="_Toc461615695"/>
      <w:r w:rsidRPr="00C918BF">
        <w:rPr>
          <w:rFonts w:ascii="Arial" w:hAnsi="Arial"/>
          <w:color w:val="auto"/>
          <w:spacing w:val="-2"/>
          <w:lang w:eastAsia="ko-KR"/>
        </w:rPr>
        <w:t>2.2</w:t>
      </w:r>
      <w:r w:rsidR="007627F4" w:rsidRPr="00C918BF">
        <w:rPr>
          <w:rFonts w:ascii="Arial" w:hAnsi="Arial"/>
          <w:color w:val="auto"/>
          <w:spacing w:val="-2"/>
          <w:lang w:eastAsia="ko-KR"/>
        </w:rPr>
        <w:t xml:space="preserve">.2 </w:t>
      </w:r>
      <w:r w:rsidR="00E212F9" w:rsidRPr="00C918BF">
        <w:rPr>
          <w:rFonts w:ascii="Arial" w:hAnsi="Arial"/>
          <w:color w:val="auto"/>
          <w:spacing w:val="-2"/>
          <w:lang w:eastAsia="ko-KR"/>
        </w:rPr>
        <w:tab/>
      </w:r>
      <w:r w:rsidR="007627F4" w:rsidRPr="00C918BF">
        <w:rPr>
          <w:rFonts w:ascii="Arial" w:hAnsi="Arial"/>
          <w:color w:val="auto"/>
          <w:spacing w:val="-2"/>
          <w:lang w:eastAsia="ko-KR"/>
        </w:rPr>
        <w:t xml:space="preserve">Output 2.2: </w:t>
      </w:r>
      <w:r w:rsidR="00B765AC" w:rsidRPr="00C918BF">
        <w:rPr>
          <w:rFonts w:ascii="Arial" w:hAnsi="Arial"/>
          <w:color w:val="auto"/>
          <w:spacing w:val="-2"/>
          <w:lang w:eastAsia="ko-KR"/>
        </w:rPr>
        <w:t>MoE</w:t>
      </w:r>
      <w:r w:rsidR="007627F4" w:rsidRPr="00C918BF">
        <w:rPr>
          <w:rFonts w:ascii="Arial" w:hAnsi="Arial"/>
          <w:color w:val="auto"/>
          <w:spacing w:val="-2"/>
          <w:lang w:eastAsia="ko-KR"/>
        </w:rPr>
        <w:t xml:space="preserve"> has greater capacity to plan and monitor the delivery of quality education services</w:t>
      </w:r>
      <w:bookmarkEnd w:id="52"/>
      <w:bookmarkEnd w:id="53"/>
    </w:p>
    <w:p w14:paraId="727C914C" w14:textId="3C29C8D2" w:rsidR="00F169E3" w:rsidRPr="0060082A" w:rsidRDefault="00A329F3" w:rsidP="0060082A">
      <w:pPr>
        <w:rPr>
          <w:rFonts w:asciiTheme="majorHAnsi" w:hAnsiTheme="majorHAnsi" w:cstheme="majorHAnsi"/>
        </w:rPr>
      </w:pPr>
      <w:r w:rsidRPr="0060082A">
        <w:rPr>
          <w:rFonts w:asciiTheme="majorHAnsi" w:hAnsiTheme="majorHAnsi" w:cstheme="majorHAnsi"/>
        </w:rPr>
        <w:t xml:space="preserve">The </w:t>
      </w:r>
      <w:r w:rsidR="00B765AC" w:rsidRPr="0060082A">
        <w:rPr>
          <w:rFonts w:asciiTheme="majorHAnsi" w:hAnsiTheme="majorHAnsi" w:cstheme="majorHAnsi"/>
        </w:rPr>
        <w:t>MoE</w:t>
      </w:r>
      <w:r w:rsidRPr="0060082A">
        <w:rPr>
          <w:rFonts w:asciiTheme="majorHAnsi" w:hAnsiTheme="majorHAnsi" w:cstheme="majorHAnsi"/>
        </w:rPr>
        <w:t xml:space="preserve"> organises, leads and manages 120 schools </w:t>
      </w:r>
      <w:r w:rsidR="00CB6C29" w:rsidRPr="0060082A">
        <w:rPr>
          <w:rFonts w:asciiTheme="majorHAnsi" w:hAnsiTheme="majorHAnsi" w:cstheme="majorHAnsi"/>
        </w:rPr>
        <w:t>(</w:t>
      </w:r>
      <w:r w:rsidR="004158BD" w:rsidRPr="0060082A">
        <w:rPr>
          <w:rFonts w:asciiTheme="majorHAnsi" w:hAnsiTheme="majorHAnsi" w:cstheme="majorHAnsi"/>
        </w:rPr>
        <w:t xml:space="preserve">comprising </w:t>
      </w:r>
      <w:r w:rsidRPr="0060082A">
        <w:rPr>
          <w:rFonts w:asciiTheme="majorHAnsi" w:hAnsiTheme="majorHAnsi" w:cstheme="majorHAnsi"/>
        </w:rPr>
        <w:t>94 primary schools</w:t>
      </w:r>
      <w:r w:rsidR="00F169E3" w:rsidRPr="0060082A">
        <w:rPr>
          <w:rFonts w:asciiTheme="majorHAnsi" w:hAnsiTheme="majorHAnsi" w:cstheme="majorHAnsi"/>
        </w:rPr>
        <w:t xml:space="preserve"> excluding the Special </w:t>
      </w:r>
      <w:r w:rsidR="00DE1CB5" w:rsidRPr="0060082A">
        <w:rPr>
          <w:rFonts w:asciiTheme="majorHAnsi" w:hAnsiTheme="majorHAnsi" w:cstheme="majorHAnsi"/>
        </w:rPr>
        <w:t>School,</w:t>
      </w:r>
      <w:r w:rsidRPr="0060082A">
        <w:rPr>
          <w:rFonts w:asciiTheme="majorHAnsi" w:hAnsiTheme="majorHAnsi" w:cstheme="majorHAnsi"/>
        </w:rPr>
        <w:t xml:space="preserve"> 23 </w:t>
      </w:r>
      <w:r w:rsidR="0062302B" w:rsidRPr="0060082A">
        <w:rPr>
          <w:rFonts w:asciiTheme="majorHAnsi" w:hAnsiTheme="majorHAnsi" w:cstheme="majorHAnsi"/>
        </w:rPr>
        <w:t>j</w:t>
      </w:r>
      <w:r w:rsidRPr="0060082A">
        <w:rPr>
          <w:rFonts w:asciiTheme="majorHAnsi" w:hAnsiTheme="majorHAnsi" w:cstheme="majorHAnsi"/>
        </w:rPr>
        <w:t xml:space="preserve">unior </w:t>
      </w:r>
      <w:r w:rsidR="0062302B" w:rsidRPr="0060082A">
        <w:rPr>
          <w:rFonts w:asciiTheme="majorHAnsi" w:hAnsiTheme="majorHAnsi" w:cstheme="majorHAnsi"/>
        </w:rPr>
        <w:t>s</w:t>
      </w:r>
      <w:r w:rsidRPr="0060082A">
        <w:rPr>
          <w:rFonts w:asciiTheme="majorHAnsi" w:hAnsiTheme="majorHAnsi" w:cstheme="majorHAnsi"/>
        </w:rPr>
        <w:t xml:space="preserve">econdary schools, 3 </w:t>
      </w:r>
      <w:r w:rsidR="0062302B" w:rsidRPr="0060082A">
        <w:rPr>
          <w:rFonts w:asciiTheme="majorHAnsi" w:hAnsiTheme="majorHAnsi" w:cstheme="majorHAnsi"/>
        </w:rPr>
        <w:t>s</w:t>
      </w:r>
      <w:r w:rsidRPr="0060082A">
        <w:rPr>
          <w:rFonts w:asciiTheme="majorHAnsi" w:hAnsiTheme="majorHAnsi" w:cstheme="majorHAnsi"/>
        </w:rPr>
        <w:t xml:space="preserve">enior </w:t>
      </w:r>
      <w:r w:rsidR="0062302B" w:rsidRPr="0060082A">
        <w:rPr>
          <w:rFonts w:asciiTheme="majorHAnsi" w:hAnsiTheme="majorHAnsi" w:cstheme="majorHAnsi"/>
        </w:rPr>
        <w:t>s</w:t>
      </w:r>
      <w:r w:rsidRPr="0060082A">
        <w:rPr>
          <w:rFonts w:asciiTheme="majorHAnsi" w:hAnsiTheme="majorHAnsi" w:cstheme="majorHAnsi"/>
        </w:rPr>
        <w:t>econdary schools</w:t>
      </w:r>
      <w:r w:rsidR="00001C6D" w:rsidRPr="0060082A">
        <w:rPr>
          <w:rFonts w:asciiTheme="majorHAnsi" w:hAnsiTheme="majorHAnsi" w:cstheme="majorHAnsi"/>
        </w:rPr>
        <w:t xml:space="preserve">). </w:t>
      </w:r>
      <w:r w:rsidR="004158BD" w:rsidRPr="0060082A">
        <w:rPr>
          <w:rFonts w:asciiTheme="majorHAnsi" w:hAnsiTheme="majorHAnsi" w:cstheme="majorHAnsi"/>
        </w:rPr>
        <w:t>I</w:t>
      </w:r>
      <w:r w:rsidR="00001C6D" w:rsidRPr="0060082A">
        <w:rPr>
          <w:rFonts w:asciiTheme="majorHAnsi" w:hAnsiTheme="majorHAnsi" w:cstheme="majorHAnsi"/>
        </w:rPr>
        <w:t>n 2015</w:t>
      </w:r>
      <w:r w:rsidR="004158BD" w:rsidRPr="0060082A">
        <w:rPr>
          <w:rFonts w:asciiTheme="majorHAnsi" w:hAnsiTheme="majorHAnsi" w:cstheme="majorHAnsi"/>
        </w:rPr>
        <w:t>,</w:t>
      </w:r>
      <w:r w:rsidRPr="0060082A">
        <w:rPr>
          <w:rFonts w:asciiTheme="majorHAnsi" w:hAnsiTheme="majorHAnsi" w:cstheme="majorHAnsi"/>
        </w:rPr>
        <w:t xml:space="preserve"> </w:t>
      </w:r>
      <w:r w:rsidR="00F169E3" w:rsidRPr="0060082A">
        <w:rPr>
          <w:rFonts w:asciiTheme="majorHAnsi" w:hAnsiTheme="majorHAnsi" w:cstheme="majorHAnsi"/>
        </w:rPr>
        <w:t>with a slight increase in budgetary support</w:t>
      </w:r>
      <w:r w:rsidR="004158BD" w:rsidRPr="0060082A">
        <w:rPr>
          <w:rFonts w:asciiTheme="majorHAnsi" w:hAnsiTheme="majorHAnsi" w:cstheme="majorHAnsi"/>
        </w:rPr>
        <w:t>,</w:t>
      </w:r>
      <w:r w:rsidR="00F169E3" w:rsidRPr="0060082A">
        <w:rPr>
          <w:rFonts w:asciiTheme="majorHAnsi" w:hAnsiTheme="majorHAnsi" w:cstheme="majorHAnsi"/>
        </w:rPr>
        <w:t xml:space="preserve"> </w:t>
      </w:r>
      <w:r w:rsidRPr="0060082A">
        <w:rPr>
          <w:rFonts w:asciiTheme="majorHAnsi" w:hAnsiTheme="majorHAnsi" w:cstheme="majorHAnsi"/>
        </w:rPr>
        <w:t xml:space="preserve">the </w:t>
      </w:r>
      <w:r w:rsidR="00B765AC" w:rsidRPr="0060082A">
        <w:rPr>
          <w:rFonts w:asciiTheme="majorHAnsi" w:hAnsiTheme="majorHAnsi" w:cstheme="majorHAnsi"/>
        </w:rPr>
        <w:t>MoE</w:t>
      </w:r>
      <w:r w:rsidR="00F169E3" w:rsidRPr="0060082A">
        <w:rPr>
          <w:rFonts w:asciiTheme="majorHAnsi" w:hAnsiTheme="majorHAnsi" w:cstheme="majorHAnsi"/>
        </w:rPr>
        <w:t xml:space="preserve"> was mandated </w:t>
      </w:r>
      <w:r w:rsidR="004158BD" w:rsidRPr="0060082A">
        <w:rPr>
          <w:rFonts w:asciiTheme="majorHAnsi" w:hAnsiTheme="majorHAnsi" w:cstheme="majorHAnsi"/>
        </w:rPr>
        <w:t>to contribute to</w:t>
      </w:r>
      <w:r w:rsidR="00F169E3" w:rsidRPr="0060082A">
        <w:rPr>
          <w:rFonts w:asciiTheme="majorHAnsi" w:hAnsiTheme="majorHAnsi" w:cstheme="majorHAnsi"/>
        </w:rPr>
        <w:t xml:space="preserve"> the salaries of teachers at the</w:t>
      </w:r>
      <w:r w:rsidRPr="0060082A">
        <w:rPr>
          <w:rFonts w:asciiTheme="majorHAnsi" w:hAnsiTheme="majorHAnsi" w:cstheme="majorHAnsi"/>
        </w:rPr>
        <w:t xml:space="preserve"> School for </w:t>
      </w:r>
      <w:r w:rsidRPr="0060082A">
        <w:rPr>
          <w:rFonts w:asciiTheme="majorHAnsi" w:hAnsiTheme="majorHAnsi" w:cstheme="majorHAnsi"/>
        </w:rPr>
        <w:lastRenderedPageBreak/>
        <w:t xml:space="preserve">Children </w:t>
      </w:r>
      <w:r w:rsidR="00F169E3" w:rsidRPr="0060082A">
        <w:rPr>
          <w:rFonts w:asciiTheme="majorHAnsi" w:hAnsiTheme="majorHAnsi" w:cstheme="majorHAnsi"/>
        </w:rPr>
        <w:t>with Special Needs</w:t>
      </w:r>
      <w:r w:rsidR="004158BD" w:rsidRPr="0060082A">
        <w:rPr>
          <w:rFonts w:asciiTheme="majorHAnsi" w:hAnsiTheme="majorHAnsi" w:cstheme="majorHAnsi"/>
        </w:rPr>
        <w:t>. T</w:t>
      </w:r>
      <w:r w:rsidR="00F169E3" w:rsidRPr="0060082A">
        <w:rPr>
          <w:rFonts w:asciiTheme="majorHAnsi" w:hAnsiTheme="majorHAnsi" w:cstheme="majorHAnsi"/>
        </w:rPr>
        <w:t>he governance of the School remains under an elected Board</w:t>
      </w:r>
      <w:r w:rsidR="004158BD" w:rsidRPr="0060082A">
        <w:rPr>
          <w:rFonts w:asciiTheme="majorHAnsi" w:hAnsiTheme="majorHAnsi" w:cstheme="majorHAnsi"/>
        </w:rPr>
        <w:t>,</w:t>
      </w:r>
      <w:r w:rsidR="00F169E3" w:rsidRPr="0060082A">
        <w:rPr>
          <w:rFonts w:asciiTheme="majorHAnsi" w:hAnsiTheme="majorHAnsi" w:cstheme="majorHAnsi"/>
        </w:rPr>
        <w:t xml:space="preserve"> which employs the </w:t>
      </w:r>
      <w:r w:rsidR="00240A04" w:rsidRPr="0060082A">
        <w:rPr>
          <w:rFonts w:asciiTheme="majorHAnsi" w:hAnsiTheme="majorHAnsi" w:cstheme="majorHAnsi"/>
        </w:rPr>
        <w:t>m</w:t>
      </w:r>
      <w:r w:rsidR="00F169E3" w:rsidRPr="0060082A">
        <w:rPr>
          <w:rFonts w:asciiTheme="majorHAnsi" w:hAnsiTheme="majorHAnsi" w:cstheme="majorHAnsi"/>
        </w:rPr>
        <w:t>anagement and teaching staff</w:t>
      </w:r>
      <w:r w:rsidRPr="0060082A">
        <w:rPr>
          <w:rFonts w:asciiTheme="majorHAnsi" w:hAnsiTheme="majorHAnsi" w:cstheme="majorHAnsi"/>
        </w:rPr>
        <w:t>. Similarly, the M</w:t>
      </w:r>
      <w:r w:rsidR="004158BD" w:rsidRPr="0060082A">
        <w:rPr>
          <w:rFonts w:asciiTheme="majorHAnsi" w:hAnsiTheme="majorHAnsi" w:cstheme="majorHAnsi"/>
        </w:rPr>
        <w:t xml:space="preserve">oE </w:t>
      </w:r>
      <w:r w:rsidR="00AE1AC2" w:rsidRPr="0060082A">
        <w:rPr>
          <w:rFonts w:asciiTheme="majorHAnsi" w:hAnsiTheme="majorHAnsi" w:cstheme="majorHAnsi"/>
        </w:rPr>
        <w:t>h</w:t>
      </w:r>
      <w:r w:rsidRPr="0060082A">
        <w:rPr>
          <w:rFonts w:asciiTheme="majorHAnsi" w:hAnsiTheme="majorHAnsi" w:cstheme="majorHAnsi"/>
        </w:rPr>
        <w:t>as been given oversight responsibility for Early Childhood Care and Education (ECCE)</w:t>
      </w:r>
      <w:r w:rsidR="004158BD" w:rsidRPr="0060082A">
        <w:rPr>
          <w:rFonts w:asciiTheme="majorHAnsi" w:hAnsiTheme="majorHAnsi" w:cstheme="majorHAnsi"/>
        </w:rPr>
        <w:t>, although</w:t>
      </w:r>
      <w:r w:rsidRPr="0060082A">
        <w:rPr>
          <w:rFonts w:asciiTheme="majorHAnsi" w:hAnsiTheme="majorHAnsi" w:cstheme="majorHAnsi"/>
        </w:rPr>
        <w:t xml:space="preserve"> without </w:t>
      </w:r>
      <w:r w:rsidR="004158BD" w:rsidRPr="0060082A">
        <w:rPr>
          <w:rFonts w:asciiTheme="majorHAnsi" w:hAnsiTheme="majorHAnsi" w:cstheme="majorHAnsi"/>
        </w:rPr>
        <w:t xml:space="preserve">any </w:t>
      </w:r>
      <w:r w:rsidRPr="0060082A">
        <w:rPr>
          <w:rFonts w:asciiTheme="majorHAnsi" w:hAnsiTheme="majorHAnsi" w:cstheme="majorHAnsi"/>
        </w:rPr>
        <w:t>additional budgetary assistance.</w:t>
      </w:r>
      <w:r w:rsidR="00001C6D" w:rsidRPr="0060082A">
        <w:rPr>
          <w:rFonts w:asciiTheme="majorHAnsi" w:hAnsiTheme="majorHAnsi" w:cstheme="majorHAnsi"/>
        </w:rPr>
        <w:t xml:space="preserve"> </w:t>
      </w:r>
    </w:p>
    <w:p w14:paraId="2FDF093F" w14:textId="2886E700" w:rsidR="00CB6C29" w:rsidRPr="0060082A" w:rsidRDefault="00240A04" w:rsidP="0060082A">
      <w:pPr>
        <w:rPr>
          <w:rFonts w:asciiTheme="majorHAnsi" w:hAnsiTheme="majorHAnsi" w:cstheme="majorHAnsi"/>
        </w:rPr>
      </w:pPr>
      <w:r w:rsidRPr="0060082A">
        <w:rPr>
          <w:rFonts w:asciiTheme="majorHAnsi" w:hAnsiTheme="majorHAnsi" w:cstheme="majorHAnsi"/>
        </w:rPr>
        <w:t>T</w:t>
      </w:r>
      <w:r w:rsidR="00A329F3" w:rsidRPr="0060082A">
        <w:rPr>
          <w:rFonts w:asciiTheme="majorHAnsi" w:hAnsiTheme="majorHAnsi" w:cstheme="majorHAnsi"/>
        </w:rPr>
        <w:t>here is a functioning E</w:t>
      </w:r>
      <w:r w:rsidR="00334F1D" w:rsidRPr="0060082A">
        <w:rPr>
          <w:rFonts w:asciiTheme="majorHAnsi" w:hAnsiTheme="majorHAnsi" w:cstheme="majorHAnsi"/>
        </w:rPr>
        <w:t>MT t</w:t>
      </w:r>
      <w:r w:rsidR="00A329F3" w:rsidRPr="0060082A">
        <w:rPr>
          <w:rFonts w:asciiTheme="majorHAnsi" w:hAnsiTheme="majorHAnsi" w:cstheme="majorHAnsi"/>
        </w:rPr>
        <w:t>hat meets monthly to review a financial management report.</w:t>
      </w:r>
      <w:r w:rsidR="00D70C8B" w:rsidRPr="0060082A">
        <w:rPr>
          <w:rFonts w:asciiTheme="majorHAnsi" w:hAnsiTheme="majorHAnsi" w:cstheme="majorHAnsi"/>
        </w:rPr>
        <w:t xml:space="preserve"> </w:t>
      </w:r>
      <w:r w:rsidR="00A329F3" w:rsidRPr="0060082A">
        <w:rPr>
          <w:rFonts w:asciiTheme="majorHAnsi" w:hAnsiTheme="majorHAnsi" w:cstheme="majorHAnsi"/>
        </w:rPr>
        <w:t>More than 80% of the</w:t>
      </w:r>
      <w:r w:rsidR="00CB6C29" w:rsidRPr="0060082A">
        <w:rPr>
          <w:rFonts w:asciiTheme="majorHAnsi" w:hAnsiTheme="majorHAnsi" w:cstheme="majorHAnsi"/>
        </w:rPr>
        <w:t xml:space="preserve"> </w:t>
      </w:r>
      <w:r w:rsidR="00B765AC" w:rsidRPr="0060082A">
        <w:rPr>
          <w:rFonts w:asciiTheme="majorHAnsi" w:hAnsiTheme="majorHAnsi" w:cstheme="majorHAnsi"/>
        </w:rPr>
        <w:t>M</w:t>
      </w:r>
      <w:r w:rsidR="00334F1D" w:rsidRPr="0060082A">
        <w:rPr>
          <w:rFonts w:asciiTheme="majorHAnsi" w:hAnsiTheme="majorHAnsi" w:cstheme="majorHAnsi"/>
        </w:rPr>
        <w:t>o</w:t>
      </w:r>
      <w:r w:rsidR="00B765AC" w:rsidRPr="0060082A">
        <w:rPr>
          <w:rFonts w:asciiTheme="majorHAnsi" w:hAnsiTheme="majorHAnsi" w:cstheme="majorHAnsi"/>
        </w:rPr>
        <w:t>E</w:t>
      </w:r>
      <w:r w:rsidR="00A329F3" w:rsidRPr="0060082A">
        <w:rPr>
          <w:rFonts w:asciiTheme="majorHAnsi" w:hAnsiTheme="majorHAnsi" w:cstheme="majorHAnsi"/>
        </w:rPr>
        <w:t xml:space="preserve"> budget is taken up by salaries, emoluments and utilities, leaving little for vital activities such as support for in-servicing of teachers in new curriculum and new pedagogies.</w:t>
      </w:r>
      <w:r w:rsidR="00D70C8B" w:rsidRPr="0060082A">
        <w:rPr>
          <w:rFonts w:asciiTheme="majorHAnsi" w:hAnsiTheme="majorHAnsi" w:cstheme="majorHAnsi"/>
        </w:rPr>
        <w:t xml:space="preserve"> </w:t>
      </w:r>
    </w:p>
    <w:p w14:paraId="1A727A73" w14:textId="6E14C040" w:rsidR="00A329F3" w:rsidRPr="0060082A" w:rsidRDefault="00A329F3" w:rsidP="0060082A">
      <w:pPr>
        <w:rPr>
          <w:rFonts w:asciiTheme="majorHAnsi" w:hAnsiTheme="majorHAnsi" w:cstheme="majorHAnsi"/>
        </w:rPr>
      </w:pPr>
      <w:r w:rsidRPr="0060082A">
        <w:rPr>
          <w:rFonts w:asciiTheme="majorHAnsi" w:hAnsiTheme="majorHAnsi" w:cstheme="majorHAnsi"/>
        </w:rPr>
        <w:t>Throughout 2014</w:t>
      </w:r>
      <w:r w:rsidR="003A1B77" w:rsidRPr="0060082A">
        <w:rPr>
          <w:rFonts w:asciiTheme="majorHAnsi" w:hAnsiTheme="majorHAnsi" w:cstheme="majorHAnsi"/>
        </w:rPr>
        <w:t>,</w:t>
      </w:r>
      <w:r w:rsidRPr="0060082A">
        <w:rPr>
          <w:rFonts w:asciiTheme="majorHAnsi" w:hAnsiTheme="majorHAnsi" w:cstheme="majorHAnsi"/>
        </w:rPr>
        <w:t xml:space="preserve"> KEF leadership encouraged the EMT to keep in mind the integral relationship between revenue and expenditure</w:t>
      </w:r>
      <w:r w:rsidR="00CB6C29" w:rsidRPr="0060082A">
        <w:rPr>
          <w:rFonts w:asciiTheme="majorHAnsi" w:hAnsiTheme="majorHAnsi" w:cstheme="majorHAnsi"/>
        </w:rPr>
        <w:t xml:space="preserve"> - </w:t>
      </w:r>
      <w:r w:rsidRPr="0060082A">
        <w:rPr>
          <w:rFonts w:asciiTheme="majorHAnsi" w:hAnsiTheme="majorHAnsi" w:cstheme="majorHAnsi"/>
        </w:rPr>
        <w:t xml:space="preserve">the money collected directly or indirectly, and </w:t>
      </w:r>
      <w:r w:rsidR="00CB6C29" w:rsidRPr="0060082A">
        <w:rPr>
          <w:rFonts w:asciiTheme="majorHAnsi" w:hAnsiTheme="majorHAnsi" w:cstheme="majorHAnsi"/>
        </w:rPr>
        <w:t>using all of</w:t>
      </w:r>
      <w:r w:rsidRPr="0060082A">
        <w:rPr>
          <w:rFonts w:asciiTheme="majorHAnsi" w:hAnsiTheme="majorHAnsi" w:cstheme="majorHAnsi"/>
        </w:rPr>
        <w:t xml:space="preserve"> that money in a manner that r</w:t>
      </w:r>
      <w:r w:rsidR="00CB6C29" w:rsidRPr="0060082A">
        <w:rPr>
          <w:rFonts w:asciiTheme="majorHAnsi" w:hAnsiTheme="majorHAnsi" w:cstheme="majorHAnsi"/>
        </w:rPr>
        <w:t>eflect</w:t>
      </w:r>
      <w:r w:rsidR="001D417F" w:rsidRPr="0060082A">
        <w:rPr>
          <w:rFonts w:asciiTheme="majorHAnsi" w:hAnsiTheme="majorHAnsi" w:cstheme="majorHAnsi"/>
        </w:rPr>
        <w:t>s</w:t>
      </w:r>
      <w:r w:rsidR="00CB6C29" w:rsidRPr="0060082A">
        <w:rPr>
          <w:rFonts w:asciiTheme="majorHAnsi" w:hAnsiTheme="majorHAnsi" w:cstheme="majorHAnsi"/>
        </w:rPr>
        <w:t xml:space="preserve"> </w:t>
      </w:r>
      <w:r w:rsidRPr="0060082A">
        <w:rPr>
          <w:rFonts w:asciiTheme="majorHAnsi" w:hAnsiTheme="majorHAnsi" w:cstheme="majorHAnsi"/>
        </w:rPr>
        <w:t>priorities aligned to achieving ESSP goals.</w:t>
      </w:r>
      <w:r w:rsidR="00D70C8B" w:rsidRPr="0060082A">
        <w:rPr>
          <w:rFonts w:asciiTheme="majorHAnsi" w:hAnsiTheme="majorHAnsi" w:cstheme="majorHAnsi"/>
        </w:rPr>
        <w:t xml:space="preserve"> </w:t>
      </w:r>
      <w:r w:rsidR="00CB6C29" w:rsidRPr="0060082A">
        <w:rPr>
          <w:rFonts w:asciiTheme="majorHAnsi" w:hAnsiTheme="majorHAnsi" w:cstheme="majorHAnsi"/>
        </w:rPr>
        <w:t xml:space="preserve">In recent times, the </w:t>
      </w:r>
      <w:r w:rsidR="00B765AC" w:rsidRPr="0060082A">
        <w:rPr>
          <w:rFonts w:asciiTheme="majorHAnsi" w:hAnsiTheme="majorHAnsi" w:cstheme="majorHAnsi"/>
        </w:rPr>
        <w:t>M</w:t>
      </w:r>
      <w:r w:rsidR="00334F1D" w:rsidRPr="0060082A">
        <w:rPr>
          <w:rFonts w:asciiTheme="majorHAnsi" w:hAnsiTheme="majorHAnsi" w:cstheme="majorHAnsi"/>
        </w:rPr>
        <w:t>o</w:t>
      </w:r>
      <w:r w:rsidR="00B765AC" w:rsidRPr="0060082A">
        <w:rPr>
          <w:rFonts w:asciiTheme="majorHAnsi" w:hAnsiTheme="majorHAnsi" w:cstheme="majorHAnsi"/>
        </w:rPr>
        <w:t>E</w:t>
      </w:r>
      <w:r w:rsidR="00CB6C29" w:rsidRPr="0060082A">
        <w:rPr>
          <w:rFonts w:asciiTheme="majorHAnsi" w:hAnsiTheme="majorHAnsi" w:cstheme="majorHAnsi"/>
        </w:rPr>
        <w:t xml:space="preserve"> appears </w:t>
      </w:r>
      <w:r w:rsidRPr="0060082A">
        <w:rPr>
          <w:rFonts w:asciiTheme="majorHAnsi" w:hAnsiTheme="majorHAnsi" w:cstheme="majorHAnsi"/>
        </w:rPr>
        <w:t xml:space="preserve">to be </w:t>
      </w:r>
      <w:r w:rsidR="00CB6C29" w:rsidRPr="0060082A">
        <w:rPr>
          <w:rFonts w:asciiTheme="majorHAnsi" w:hAnsiTheme="majorHAnsi" w:cstheme="majorHAnsi"/>
        </w:rPr>
        <w:t xml:space="preserve">better understanding </w:t>
      </w:r>
      <w:r w:rsidRPr="0060082A">
        <w:rPr>
          <w:rFonts w:asciiTheme="majorHAnsi" w:hAnsiTheme="majorHAnsi" w:cstheme="majorHAnsi"/>
        </w:rPr>
        <w:t>the budget</w:t>
      </w:r>
      <w:r w:rsidR="003A1B77" w:rsidRPr="0060082A">
        <w:rPr>
          <w:rFonts w:asciiTheme="majorHAnsi" w:hAnsiTheme="majorHAnsi" w:cstheme="majorHAnsi"/>
        </w:rPr>
        <w:t>-</w:t>
      </w:r>
      <w:r w:rsidRPr="0060082A">
        <w:rPr>
          <w:rFonts w:asciiTheme="majorHAnsi" w:hAnsiTheme="majorHAnsi" w:cstheme="majorHAnsi"/>
        </w:rPr>
        <w:t>to</w:t>
      </w:r>
      <w:r w:rsidR="003A1B77" w:rsidRPr="0060082A">
        <w:rPr>
          <w:rFonts w:asciiTheme="majorHAnsi" w:hAnsiTheme="majorHAnsi" w:cstheme="majorHAnsi"/>
        </w:rPr>
        <w:t>-</w:t>
      </w:r>
      <w:r w:rsidRPr="0060082A">
        <w:rPr>
          <w:rFonts w:asciiTheme="majorHAnsi" w:hAnsiTheme="majorHAnsi" w:cstheme="majorHAnsi"/>
        </w:rPr>
        <w:t>resource functions</w:t>
      </w:r>
      <w:r w:rsidR="00CB6C29" w:rsidRPr="0060082A">
        <w:rPr>
          <w:rFonts w:asciiTheme="majorHAnsi" w:hAnsiTheme="majorHAnsi" w:cstheme="majorHAnsi"/>
        </w:rPr>
        <w:t>,</w:t>
      </w:r>
      <w:r w:rsidRPr="0060082A">
        <w:rPr>
          <w:rFonts w:asciiTheme="majorHAnsi" w:hAnsiTheme="majorHAnsi" w:cstheme="majorHAnsi"/>
        </w:rPr>
        <w:t xml:space="preserve"> such as building maintenance, supporting the delivery </w:t>
      </w:r>
      <w:r w:rsidR="00916DE6" w:rsidRPr="0060082A">
        <w:rPr>
          <w:rFonts w:asciiTheme="majorHAnsi" w:hAnsiTheme="majorHAnsi" w:cstheme="majorHAnsi"/>
        </w:rPr>
        <w:t xml:space="preserve">of resources to schools with </w:t>
      </w:r>
      <w:r w:rsidRPr="0060082A">
        <w:rPr>
          <w:rFonts w:asciiTheme="majorHAnsi" w:hAnsiTheme="majorHAnsi" w:cstheme="majorHAnsi"/>
        </w:rPr>
        <w:t>improved and monitored process</w:t>
      </w:r>
      <w:r w:rsidR="00916DE6" w:rsidRPr="0060082A">
        <w:rPr>
          <w:rFonts w:asciiTheme="majorHAnsi" w:hAnsiTheme="majorHAnsi" w:cstheme="majorHAnsi"/>
        </w:rPr>
        <w:t>es</w:t>
      </w:r>
      <w:r w:rsidRPr="0060082A">
        <w:rPr>
          <w:rFonts w:asciiTheme="majorHAnsi" w:hAnsiTheme="majorHAnsi" w:cstheme="majorHAnsi"/>
        </w:rPr>
        <w:t xml:space="preserve"> and with the procurement of computers for administration staff. This strategic budget resourcing significantly reduced the </w:t>
      </w:r>
      <w:r w:rsidR="00FA0E80" w:rsidRPr="0060082A">
        <w:rPr>
          <w:rFonts w:asciiTheme="majorHAnsi" w:hAnsiTheme="majorHAnsi" w:cstheme="majorHAnsi"/>
        </w:rPr>
        <w:t xml:space="preserve">unspent MoE </w:t>
      </w:r>
      <w:r w:rsidRPr="0060082A">
        <w:rPr>
          <w:rFonts w:asciiTheme="majorHAnsi" w:hAnsiTheme="majorHAnsi" w:cstheme="majorHAnsi"/>
        </w:rPr>
        <w:t xml:space="preserve">funds returned to the </w:t>
      </w:r>
      <w:r w:rsidR="00FA0E80" w:rsidRPr="0060082A">
        <w:rPr>
          <w:rFonts w:asciiTheme="majorHAnsi" w:hAnsiTheme="majorHAnsi" w:cstheme="majorHAnsi"/>
        </w:rPr>
        <w:t xml:space="preserve">central </w:t>
      </w:r>
      <w:r w:rsidRPr="0060082A">
        <w:rPr>
          <w:rFonts w:asciiTheme="majorHAnsi" w:hAnsiTheme="majorHAnsi" w:cstheme="majorHAnsi"/>
        </w:rPr>
        <w:t>Ministry of Finance at the end of the 2014 and 2015 financial years.</w:t>
      </w:r>
      <w:r w:rsidR="00D70C8B" w:rsidRPr="0060082A">
        <w:rPr>
          <w:rFonts w:asciiTheme="majorHAnsi" w:hAnsiTheme="majorHAnsi" w:cstheme="majorHAnsi"/>
        </w:rPr>
        <w:t xml:space="preserve"> </w:t>
      </w:r>
    </w:p>
    <w:p w14:paraId="34D048F9" w14:textId="1AA3DC5B" w:rsidR="00BF4884" w:rsidRPr="0060082A" w:rsidRDefault="00CB6C29" w:rsidP="0060082A">
      <w:pPr>
        <w:rPr>
          <w:rFonts w:asciiTheme="majorHAnsi" w:hAnsiTheme="majorHAnsi" w:cstheme="majorHAnsi"/>
          <w:spacing w:val="-2"/>
        </w:rPr>
      </w:pPr>
      <w:r w:rsidRPr="0060082A">
        <w:rPr>
          <w:rFonts w:asciiTheme="majorHAnsi" w:hAnsiTheme="majorHAnsi" w:cstheme="majorHAnsi"/>
          <w:spacing w:val="-2"/>
        </w:rPr>
        <w:t xml:space="preserve">There are </w:t>
      </w:r>
      <w:r w:rsidR="00916DE6" w:rsidRPr="0060082A">
        <w:rPr>
          <w:rFonts w:asciiTheme="majorHAnsi" w:hAnsiTheme="majorHAnsi" w:cstheme="majorHAnsi"/>
          <w:spacing w:val="-2"/>
        </w:rPr>
        <w:t xml:space="preserve">early </w:t>
      </w:r>
      <w:r w:rsidR="00A329F3" w:rsidRPr="0060082A">
        <w:rPr>
          <w:rFonts w:asciiTheme="majorHAnsi" w:hAnsiTheme="majorHAnsi" w:cstheme="majorHAnsi"/>
          <w:spacing w:val="-2"/>
        </w:rPr>
        <w:t xml:space="preserve">signs the </w:t>
      </w:r>
      <w:r w:rsidR="00B765AC" w:rsidRPr="0060082A">
        <w:rPr>
          <w:rFonts w:asciiTheme="majorHAnsi" w:hAnsiTheme="majorHAnsi" w:cstheme="majorHAnsi"/>
          <w:spacing w:val="-2"/>
        </w:rPr>
        <w:t>MoE</w:t>
      </w:r>
      <w:r w:rsidR="00A329F3" w:rsidRPr="0060082A">
        <w:rPr>
          <w:rFonts w:asciiTheme="majorHAnsi" w:hAnsiTheme="majorHAnsi" w:cstheme="majorHAnsi"/>
          <w:spacing w:val="-2"/>
        </w:rPr>
        <w:t xml:space="preserve"> </w:t>
      </w:r>
      <w:r w:rsidR="00FA0E80" w:rsidRPr="0060082A">
        <w:rPr>
          <w:rFonts w:asciiTheme="majorHAnsi" w:hAnsiTheme="majorHAnsi" w:cstheme="majorHAnsi"/>
          <w:spacing w:val="-2"/>
        </w:rPr>
        <w:t>has an</w:t>
      </w:r>
      <w:r w:rsidR="00A329F3" w:rsidRPr="0060082A">
        <w:rPr>
          <w:rFonts w:asciiTheme="majorHAnsi" w:hAnsiTheme="majorHAnsi" w:cstheme="majorHAnsi"/>
          <w:spacing w:val="-2"/>
        </w:rPr>
        <w:t xml:space="preserve"> </w:t>
      </w:r>
      <w:r w:rsidRPr="0060082A">
        <w:rPr>
          <w:rFonts w:asciiTheme="majorHAnsi" w:hAnsiTheme="majorHAnsi" w:cstheme="majorHAnsi"/>
          <w:spacing w:val="-2"/>
        </w:rPr>
        <w:t>increased</w:t>
      </w:r>
      <w:r w:rsidR="00A329F3" w:rsidRPr="0060082A">
        <w:rPr>
          <w:rFonts w:asciiTheme="majorHAnsi" w:hAnsiTheme="majorHAnsi" w:cstheme="majorHAnsi"/>
          <w:spacing w:val="-2"/>
        </w:rPr>
        <w:t xml:space="preserve"> capacity to plan and monitor progress. The </w:t>
      </w:r>
      <w:r w:rsidR="00B765AC" w:rsidRPr="0060082A">
        <w:rPr>
          <w:rFonts w:asciiTheme="majorHAnsi" w:hAnsiTheme="majorHAnsi" w:cstheme="majorHAnsi"/>
          <w:spacing w:val="-2"/>
        </w:rPr>
        <w:t>MoE</w:t>
      </w:r>
      <w:r w:rsidR="00A329F3" w:rsidRPr="0060082A">
        <w:rPr>
          <w:rFonts w:asciiTheme="majorHAnsi" w:hAnsiTheme="majorHAnsi" w:cstheme="majorHAnsi"/>
          <w:spacing w:val="-2"/>
        </w:rPr>
        <w:t xml:space="preserve"> EMT has driven much of the process required to draft the 2016-2019 ESSP. Since January 2015 the </w:t>
      </w:r>
      <w:r w:rsidR="00FA0E80" w:rsidRPr="0060082A">
        <w:rPr>
          <w:rFonts w:asciiTheme="majorHAnsi" w:hAnsiTheme="majorHAnsi" w:cstheme="majorHAnsi"/>
          <w:spacing w:val="-2"/>
        </w:rPr>
        <w:t xml:space="preserve">MoE </w:t>
      </w:r>
      <w:r w:rsidR="0062302B" w:rsidRPr="0060082A">
        <w:rPr>
          <w:rFonts w:asciiTheme="majorHAnsi" w:hAnsiTheme="majorHAnsi" w:cstheme="majorHAnsi"/>
          <w:spacing w:val="-2"/>
        </w:rPr>
        <w:t>e</w:t>
      </w:r>
      <w:r w:rsidR="00A329F3" w:rsidRPr="0060082A">
        <w:rPr>
          <w:rFonts w:asciiTheme="majorHAnsi" w:hAnsiTheme="majorHAnsi" w:cstheme="majorHAnsi"/>
          <w:spacing w:val="-2"/>
        </w:rPr>
        <w:t xml:space="preserve">xecutive team has shown interest in </w:t>
      </w:r>
      <w:r w:rsidR="00BF4884" w:rsidRPr="0060082A">
        <w:rPr>
          <w:rFonts w:asciiTheme="majorHAnsi" w:hAnsiTheme="majorHAnsi" w:cstheme="majorHAnsi"/>
          <w:spacing w:val="-2"/>
        </w:rPr>
        <w:t>leading the development process, with the</w:t>
      </w:r>
      <w:r w:rsidR="00A329F3" w:rsidRPr="0060082A">
        <w:rPr>
          <w:rFonts w:asciiTheme="majorHAnsi" w:hAnsiTheme="majorHAnsi" w:cstheme="majorHAnsi"/>
          <w:spacing w:val="-2"/>
        </w:rPr>
        <w:t xml:space="preserve"> senior management team open and comfortable in expressing views and sharing information with the KEIP Phase </w:t>
      </w:r>
      <w:r w:rsidR="000A49FE" w:rsidRPr="0060082A">
        <w:rPr>
          <w:rFonts w:asciiTheme="majorHAnsi" w:hAnsiTheme="majorHAnsi" w:cstheme="majorHAnsi"/>
          <w:spacing w:val="-2"/>
        </w:rPr>
        <w:t>3</w:t>
      </w:r>
      <w:r w:rsidR="00A329F3" w:rsidRPr="0060082A">
        <w:rPr>
          <w:rFonts w:asciiTheme="majorHAnsi" w:hAnsiTheme="majorHAnsi" w:cstheme="majorHAnsi"/>
          <w:spacing w:val="-2"/>
        </w:rPr>
        <w:t xml:space="preserve"> design team.</w:t>
      </w:r>
      <w:r w:rsidR="00D70C8B" w:rsidRPr="0060082A">
        <w:rPr>
          <w:rFonts w:asciiTheme="majorHAnsi" w:hAnsiTheme="majorHAnsi" w:cstheme="majorHAnsi"/>
          <w:spacing w:val="-2"/>
        </w:rPr>
        <w:t xml:space="preserve"> </w:t>
      </w:r>
    </w:p>
    <w:p w14:paraId="358C3EF7" w14:textId="77777777" w:rsidR="006F6B8C" w:rsidRPr="0060082A" w:rsidRDefault="00BF4884" w:rsidP="0060082A">
      <w:pPr>
        <w:rPr>
          <w:rFonts w:asciiTheme="majorHAnsi" w:hAnsiTheme="majorHAnsi" w:cstheme="majorHAnsi"/>
        </w:rPr>
      </w:pPr>
      <w:r w:rsidRPr="0060082A">
        <w:rPr>
          <w:rFonts w:asciiTheme="majorHAnsi" w:hAnsiTheme="majorHAnsi" w:cstheme="majorHAnsi"/>
        </w:rPr>
        <w:t>D</w:t>
      </w:r>
      <w:r w:rsidR="00A329F3" w:rsidRPr="0060082A">
        <w:rPr>
          <w:rFonts w:asciiTheme="majorHAnsi" w:hAnsiTheme="majorHAnsi" w:cstheme="majorHAnsi"/>
        </w:rPr>
        <w:t>evelopment of the 2016-20</w:t>
      </w:r>
      <w:r w:rsidR="00334F1D" w:rsidRPr="0060082A">
        <w:rPr>
          <w:rFonts w:asciiTheme="majorHAnsi" w:hAnsiTheme="majorHAnsi" w:cstheme="majorHAnsi"/>
        </w:rPr>
        <w:t>19 ESSP has been supported by a</w:t>
      </w:r>
      <w:r w:rsidR="00A329F3" w:rsidRPr="0060082A">
        <w:rPr>
          <w:rFonts w:asciiTheme="majorHAnsi" w:hAnsiTheme="majorHAnsi" w:cstheme="majorHAnsi"/>
        </w:rPr>
        <w:t xml:space="preserve"> grant</w:t>
      </w:r>
      <w:r w:rsidR="00334F1D" w:rsidRPr="0060082A">
        <w:rPr>
          <w:rFonts w:asciiTheme="majorHAnsi" w:hAnsiTheme="majorHAnsi" w:cstheme="majorHAnsi"/>
        </w:rPr>
        <w:t xml:space="preserve"> from </w:t>
      </w:r>
      <w:r w:rsidR="006F6B8C" w:rsidRPr="0060082A">
        <w:rPr>
          <w:rFonts w:asciiTheme="majorHAnsi" w:hAnsiTheme="majorHAnsi" w:cstheme="majorHAnsi"/>
        </w:rPr>
        <w:t xml:space="preserve">the Global Partnership for Education </w:t>
      </w:r>
      <w:r w:rsidR="00334F1D" w:rsidRPr="0060082A">
        <w:rPr>
          <w:rFonts w:asciiTheme="majorHAnsi" w:hAnsiTheme="majorHAnsi" w:cstheme="majorHAnsi"/>
        </w:rPr>
        <w:t>to MoE</w:t>
      </w:r>
      <w:r w:rsidR="006F6B8C" w:rsidRPr="0060082A">
        <w:rPr>
          <w:rFonts w:asciiTheme="majorHAnsi" w:hAnsiTheme="majorHAnsi" w:cstheme="majorHAnsi"/>
        </w:rPr>
        <w:t xml:space="preserve"> (with DFAT support </w:t>
      </w:r>
      <w:r w:rsidR="002903C8" w:rsidRPr="0060082A">
        <w:rPr>
          <w:rFonts w:asciiTheme="majorHAnsi" w:hAnsiTheme="majorHAnsi" w:cstheme="majorHAnsi"/>
        </w:rPr>
        <w:t>for</w:t>
      </w:r>
      <w:r w:rsidR="006F6B8C" w:rsidRPr="0060082A">
        <w:rPr>
          <w:rFonts w:asciiTheme="majorHAnsi" w:hAnsiTheme="majorHAnsi" w:cstheme="majorHAnsi"/>
        </w:rPr>
        <w:t xml:space="preserve"> coordination)</w:t>
      </w:r>
      <w:r w:rsidRPr="0060082A">
        <w:rPr>
          <w:rFonts w:asciiTheme="majorHAnsi" w:hAnsiTheme="majorHAnsi" w:cstheme="majorHAnsi"/>
        </w:rPr>
        <w:t xml:space="preserve">, which provided </w:t>
      </w:r>
      <w:r w:rsidR="00A329F3" w:rsidRPr="0060082A">
        <w:rPr>
          <w:rFonts w:asciiTheme="majorHAnsi" w:hAnsiTheme="majorHAnsi" w:cstheme="majorHAnsi"/>
        </w:rPr>
        <w:t xml:space="preserve">additional technical assistance and institutional strengthening. </w:t>
      </w:r>
    </w:p>
    <w:p w14:paraId="39808EC1" w14:textId="692D7E07" w:rsidR="0083074E" w:rsidRPr="0060082A" w:rsidRDefault="003C5989" w:rsidP="0060082A">
      <w:pPr>
        <w:rPr>
          <w:rFonts w:asciiTheme="majorHAnsi" w:hAnsiTheme="majorHAnsi" w:cstheme="majorHAnsi"/>
        </w:rPr>
      </w:pPr>
      <w:r w:rsidRPr="0060082A">
        <w:rPr>
          <w:rFonts w:asciiTheme="majorHAnsi" w:hAnsiTheme="majorHAnsi" w:cstheme="majorHAnsi"/>
        </w:rPr>
        <w:t xml:space="preserve">KEF support has </w:t>
      </w:r>
      <w:r w:rsidR="00FA0E80" w:rsidRPr="0060082A">
        <w:rPr>
          <w:rFonts w:asciiTheme="majorHAnsi" w:hAnsiTheme="majorHAnsi" w:cstheme="majorHAnsi"/>
        </w:rPr>
        <w:t xml:space="preserve">also </w:t>
      </w:r>
      <w:r w:rsidRPr="0060082A">
        <w:rPr>
          <w:rFonts w:asciiTheme="majorHAnsi" w:hAnsiTheme="majorHAnsi" w:cstheme="majorHAnsi"/>
        </w:rPr>
        <w:t xml:space="preserve">encouraged an improved approach to MoE financial management to align allocation </w:t>
      </w:r>
      <w:r w:rsidR="00BF4884" w:rsidRPr="0060082A">
        <w:rPr>
          <w:rFonts w:asciiTheme="majorHAnsi" w:hAnsiTheme="majorHAnsi" w:cstheme="majorHAnsi"/>
        </w:rPr>
        <w:t>and expenditure with the ESSP</w:t>
      </w:r>
      <w:r w:rsidR="0062302B" w:rsidRPr="0060082A">
        <w:rPr>
          <w:rFonts w:asciiTheme="majorHAnsi" w:hAnsiTheme="majorHAnsi" w:cstheme="majorHAnsi"/>
        </w:rPr>
        <w:t>,</w:t>
      </w:r>
      <w:r w:rsidR="00BF4884" w:rsidRPr="0060082A">
        <w:rPr>
          <w:rFonts w:asciiTheme="majorHAnsi" w:hAnsiTheme="majorHAnsi" w:cstheme="majorHAnsi"/>
        </w:rPr>
        <w:t xml:space="preserve"> and to improve budget execution and financial/budget monitoring and reporting. </w:t>
      </w:r>
      <w:r w:rsidRPr="0060082A">
        <w:rPr>
          <w:rFonts w:asciiTheme="majorHAnsi" w:hAnsiTheme="majorHAnsi" w:cstheme="majorHAnsi"/>
        </w:rPr>
        <w:t xml:space="preserve">There will be further strengthening of this important management capacity in KEIP Phase </w:t>
      </w:r>
      <w:r w:rsidR="000A49FE">
        <w:rPr>
          <w:rFonts w:asciiTheme="majorHAnsi" w:hAnsiTheme="majorHAnsi" w:cstheme="majorHAnsi"/>
        </w:rPr>
        <w:t>3</w:t>
      </w:r>
      <w:r w:rsidRPr="0060082A">
        <w:rPr>
          <w:rFonts w:asciiTheme="majorHAnsi" w:hAnsiTheme="majorHAnsi" w:cstheme="majorHAnsi"/>
        </w:rPr>
        <w:t xml:space="preserve">. </w:t>
      </w:r>
    </w:p>
    <w:p w14:paraId="2E67058C" w14:textId="1148C44A" w:rsidR="006671BF" w:rsidRPr="00820811" w:rsidRDefault="00BF4884" w:rsidP="0060082A">
      <w:pPr>
        <w:rPr>
          <w:rFonts w:asciiTheme="majorHAnsi" w:hAnsiTheme="majorHAnsi" w:cstheme="majorHAnsi"/>
          <w:spacing w:val="2"/>
        </w:rPr>
      </w:pPr>
      <w:r w:rsidRPr="00820811">
        <w:rPr>
          <w:rFonts w:asciiTheme="majorHAnsi" w:hAnsiTheme="majorHAnsi" w:cstheme="majorHAnsi"/>
          <w:spacing w:val="2"/>
        </w:rPr>
        <w:t>D</w:t>
      </w:r>
      <w:r w:rsidR="00A329F3" w:rsidRPr="00820811">
        <w:rPr>
          <w:rFonts w:asciiTheme="majorHAnsi" w:hAnsiTheme="majorHAnsi" w:cstheme="majorHAnsi"/>
          <w:spacing w:val="2"/>
        </w:rPr>
        <w:t xml:space="preserve">uring 2015 the FMU successfully planned and carried out maintenance work on the six outer Island schools built with DFAT funds during KEIP Phase </w:t>
      </w:r>
      <w:r w:rsidR="000A49FE" w:rsidRPr="00820811">
        <w:rPr>
          <w:rFonts w:asciiTheme="majorHAnsi" w:hAnsiTheme="majorHAnsi" w:cstheme="majorHAnsi"/>
          <w:spacing w:val="2"/>
        </w:rPr>
        <w:t>1</w:t>
      </w:r>
      <w:r w:rsidR="00A329F3" w:rsidRPr="00820811">
        <w:rPr>
          <w:rFonts w:asciiTheme="majorHAnsi" w:hAnsiTheme="majorHAnsi" w:cstheme="majorHAnsi"/>
          <w:spacing w:val="2"/>
        </w:rPr>
        <w:t xml:space="preserve">. Other maintenance works </w:t>
      </w:r>
      <w:r w:rsidR="0062302B" w:rsidRPr="00820811">
        <w:rPr>
          <w:rFonts w:asciiTheme="majorHAnsi" w:hAnsiTheme="majorHAnsi" w:cstheme="majorHAnsi"/>
          <w:spacing w:val="2"/>
        </w:rPr>
        <w:t>–</w:t>
      </w:r>
      <w:r w:rsidRPr="00820811">
        <w:rPr>
          <w:rFonts w:asciiTheme="majorHAnsi" w:hAnsiTheme="majorHAnsi" w:cstheme="majorHAnsi"/>
          <w:spacing w:val="2"/>
        </w:rPr>
        <w:t xml:space="preserve"> </w:t>
      </w:r>
      <w:r w:rsidR="00A329F3" w:rsidRPr="00820811">
        <w:rPr>
          <w:rFonts w:asciiTheme="majorHAnsi" w:hAnsiTheme="majorHAnsi" w:cstheme="majorHAnsi"/>
          <w:spacing w:val="2"/>
        </w:rPr>
        <w:t xml:space="preserve">funded by Taiwan </w:t>
      </w:r>
      <w:r w:rsidR="0062302B" w:rsidRPr="00820811">
        <w:rPr>
          <w:rFonts w:asciiTheme="majorHAnsi" w:hAnsiTheme="majorHAnsi" w:cstheme="majorHAnsi"/>
          <w:spacing w:val="2"/>
        </w:rPr>
        <w:t>–</w:t>
      </w:r>
      <w:r w:rsidRPr="00820811">
        <w:rPr>
          <w:rFonts w:asciiTheme="majorHAnsi" w:hAnsiTheme="majorHAnsi" w:cstheme="majorHAnsi"/>
          <w:spacing w:val="2"/>
        </w:rPr>
        <w:t xml:space="preserve"> </w:t>
      </w:r>
      <w:r w:rsidR="00A329F3" w:rsidRPr="00820811">
        <w:rPr>
          <w:rFonts w:asciiTheme="majorHAnsi" w:hAnsiTheme="majorHAnsi" w:cstheme="majorHAnsi"/>
          <w:spacing w:val="2"/>
        </w:rPr>
        <w:t xml:space="preserve">have been carried out </w:t>
      </w:r>
      <w:r w:rsidR="0021539C" w:rsidRPr="00820811">
        <w:rPr>
          <w:rFonts w:asciiTheme="majorHAnsi" w:hAnsiTheme="majorHAnsi" w:cstheme="majorHAnsi"/>
          <w:spacing w:val="2"/>
        </w:rPr>
        <w:t>on junior secondary schools (</w:t>
      </w:r>
      <w:r w:rsidR="00A329F3" w:rsidRPr="00820811">
        <w:rPr>
          <w:rFonts w:asciiTheme="majorHAnsi" w:hAnsiTheme="majorHAnsi" w:cstheme="majorHAnsi"/>
          <w:spacing w:val="2"/>
        </w:rPr>
        <w:t>JSS</w:t>
      </w:r>
      <w:r w:rsidR="0021539C" w:rsidRPr="00820811">
        <w:rPr>
          <w:rFonts w:asciiTheme="majorHAnsi" w:hAnsiTheme="majorHAnsi" w:cstheme="majorHAnsi"/>
          <w:spacing w:val="2"/>
        </w:rPr>
        <w:t>)</w:t>
      </w:r>
      <w:r w:rsidR="00A329F3" w:rsidRPr="00820811">
        <w:rPr>
          <w:rFonts w:asciiTheme="majorHAnsi" w:hAnsiTheme="majorHAnsi" w:cstheme="majorHAnsi"/>
          <w:spacing w:val="2"/>
        </w:rPr>
        <w:t xml:space="preserve"> </w:t>
      </w:r>
      <w:r w:rsidR="0021539C" w:rsidRPr="00820811">
        <w:rPr>
          <w:rFonts w:asciiTheme="majorHAnsi" w:hAnsiTheme="majorHAnsi" w:cstheme="majorHAnsi"/>
          <w:spacing w:val="2"/>
        </w:rPr>
        <w:t>buildings</w:t>
      </w:r>
      <w:r w:rsidR="00A329F3" w:rsidRPr="00820811">
        <w:rPr>
          <w:rFonts w:asciiTheme="majorHAnsi" w:hAnsiTheme="majorHAnsi" w:cstheme="majorHAnsi"/>
          <w:spacing w:val="2"/>
        </w:rPr>
        <w:t xml:space="preserve"> and Taiwan has committed $1 million towards additional maintenance on JSS building</w:t>
      </w:r>
      <w:r w:rsidRPr="00820811">
        <w:rPr>
          <w:rFonts w:asciiTheme="majorHAnsi" w:hAnsiTheme="majorHAnsi" w:cstheme="majorHAnsi"/>
          <w:spacing w:val="2"/>
        </w:rPr>
        <w:t xml:space="preserve">s in </w:t>
      </w:r>
      <w:r w:rsidR="00A329F3" w:rsidRPr="00820811">
        <w:rPr>
          <w:rFonts w:asciiTheme="majorHAnsi" w:hAnsiTheme="majorHAnsi" w:cstheme="majorHAnsi"/>
          <w:spacing w:val="2"/>
        </w:rPr>
        <w:t>2016. The maintenance work funded by Taiwan complements the rehabilitation</w:t>
      </w:r>
      <w:r w:rsidRPr="00820811">
        <w:rPr>
          <w:rFonts w:asciiTheme="majorHAnsi" w:hAnsiTheme="majorHAnsi" w:cstheme="majorHAnsi"/>
          <w:spacing w:val="2"/>
        </w:rPr>
        <w:t xml:space="preserve"> of schools funded by DFAT,</w:t>
      </w:r>
      <w:r w:rsidR="00A329F3" w:rsidRPr="00820811">
        <w:rPr>
          <w:rFonts w:asciiTheme="majorHAnsi" w:hAnsiTheme="majorHAnsi" w:cstheme="majorHAnsi"/>
          <w:spacing w:val="2"/>
        </w:rPr>
        <w:t xml:space="preserve"> illustrating </w:t>
      </w:r>
      <w:r w:rsidR="00B765AC" w:rsidRPr="00820811">
        <w:rPr>
          <w:rFonts w:asciiTheme="majorHAnsi" w:hAnsiTheme="majorHAnsi" w:cstheme="majorHAnsi"/>
          <w:spacing w:val="2"/>
        </w:rPr>
        <w:t>MoE</w:t>
      </w:r>
      <w:r w:rsidR="00A329F3" w:rsidRPr="00820811">
        <w:rPr>
          <w:rFonts w:asciiTheme="majorHAnsi" w:hAnsiTheme="majorHAnsi" w:cstheme="majorHAnsi"/>
          <w:spacing w:val="2"/>
        </w:rPr>
        <w:t xml:space="preserve"> capacity to coordinate donor investment.</w:t>
      </w:r>
    </w:p>
    <w:p w14:paraId="2FF729D2" w14:textId="33F330B4" w:rsidR="007627F4" w:rsidRPr="00DD2CE2" w:rsidRDefault="003A60A5" w:rsidP="00DD2CE2">
      <w:pPr>
        <w:pStyle w:val="Heading1"/>
      </w:pPr>
      <w:bookmarkStart w:id="54" w:name="_Toc453669687"/>
      <w:bookmarkStart w:id="55" w:name="_Toc461615696"/>
      <w:r w:rsidRPr="00DD2CE2">
        <w:t>3</w:t>
      </w:r>
      <w:r w:rsidRPr="00DD2CE2">
        <w:tab/>
      </w:r>
      <w:r w:rsidR="007627F4" w:rsidRPr="00DD2CE2">
        <w:t>Resources</w:t>
      </w:r>
      <w:bookmarkEnd w:id="54"/>
      <w:bookmarkEnd w:id="55"/>
    </w:p>
    <w:p w14:paraId="380C1B7B" w14:textId="44715505" w:rsidR="0002167C" w:rsidRPr="0060082A" w:rsidRDefault="00B24E2B" w:rsidP="0060082A">
      <w:pPr>
        <w:rPr>
          <w:rFonts w:asciiTheme="majorHAnsi" w:hAnsiTheme="majorHAnsi" w:cstheme="majorHAnsi"/>
        </w:rPr>
      </w:pPr>
      <w:r w:rsidRPr="0060082A">
        <w:rPr>
          <w:rFonts w:asciiTheme="majorHAnsi" w:hAnsiTheme="majorHAnsi" w:cstheme="majorHAnsi"/>
        </w:rPr>
        <w:t xml:space="preserve">The KEF is the mechanism through which the bulk of DFAT’s investment in KEIP is operationalised to support </w:t>
      </w:r>
      <w:r w:rsidR="0002167C" w:rsidRPr="0060082A">
        <w:rPr>
          <w:rFonts w:asciiTheme="majorHAnsi" w:hAnsiTheme="majorHAnsi" w:cstheme="majorHAnsi"/>
        </w:rPr>
        <w:t xml:space="preserve">the </w:t>
      </w:r>
      <w:r w:rsidRPr="0060082A">
        <w:rPr>
          <w:rFonts w:asciiTheme="majorHAnsi" w:hAnsiTheme="majorHAnsi" w:cstheme="majorHAnsi"/>
        </w:rPr>
        <w:t xml:space="preserve">MoE’s implementation of the strategies and goals of the ESSP. </w:t>
      </w:r>
    </w:p>
    <w:p w14:paraId="43870E62" w14:textId="77777777" w:rsidR="0002167C" w:rsidRPr="0060082A" w:rsidRDefault="00B24E2B" w:rsidP="0060082A">
      <w:pPr>
        <w:rPr>
          <w:rFonts w:asciiTheme="majorHAnsi" w:hAnsiTheme="majorHAnsi" w:cstheme="majorHAnsi"/>
        </w:rPr>
      </w:pPr>
      <w:r w:rsidRPr="0060082A">
        <w:rPr>
          <w:rFonts w:asciiTheme="majorHAnsi" w:hAnsiTheme="majorHAnsi" w:cstheme="majorHAnsi"/>
        </w:rPr>
        <w:t xml:space="preserve">The KEF is led by a long term international Team Leader and </w:t>
      </w:r>
      <w:r w:rsidR="0002167C" w:rsidRPr="0060082A">
        <w:rPr>
          <w:rFonts w:asciiTheme="majorHAnsi" w:hAnsiTheme="majorHAnsi" w:cstheme="majorHAnsi"/>
        </w:rPr>
        <w:t xml:space="preserve">is located within the MOE, enabling </w:t>
      </w:r>
      <w:r w:rsidR="00FA0E80" w:rsidRPr="0060082A">
        <w:rPr>
          <w:rFonts w:asciiTheme="majorHAnsi" w:hAnsiTheme="majorHAnsi" w:cstheme="majorHAnsi"/>
        </w:rPr>
        <w:t xml:space="preserve">close and </w:t>
      </w:r>
      <w:r w:rsidR="0002167C" w:rsidRPr="0060082A">
        <w:rPr>
          <w:rFonts w:asciiTheme="majorHAnsi" w:hAnsiTheme="majorHAnsi" w:cstheme="majorHAnsi"/>
        </w:rPr>
        <w:t>on</w:t>
      </w:r>
      <w:r w:rsidR="00FA0E80" w:rsidRPr="0060082A">
        <w:rPr>
          <w:rFonts w:asciiTheme="majorHAnsi" w:hAnsiTheme="majorHAnsi" w:cstheme="majorHAnsi"/>
        </w:rPr>
        <w:t>-</w:t>
      </w:r>
      <w:r w:rsidR="0002167C" w:rsidRPr="0060082A">
        <w:rPr>
          <w:rFonts w:asciiTheme="majorHAnsi" w:hAnsiTheme="majorHAnsi" w:cstheme="majorHAnsi"/>
        </w:rPr>
        <w:t>going e</w:t>
      </w:r>
      <w:r w:rsidR="00BC0293" w:rsidRPr="0060082A">
        <w:rPr>
          <w:rFonts w:asciiTheme="majorHAnsi" w:hAnsiTheme="majorHAnsi" w:cstheme="majorHAnsi"/>
        </w:rPr>
        <w:t>ngagement and discussion with Mo</w:t>
      </w:r>
      <w:r w:rsidR="0002167C" w:rsidRPr="0060082A">
        <w:rPr>
          <w:rFonts w:asciiTheme="majorHAnsi" w:hAnsiTheme="majorHAnsi" w:cstheme="majorHAnsi"/>
        </w:rPr>
        <w:t xml:space="preserve">E leadership and managers. The KEF office is </w:t>
      </w:r>
      <w:r w:rsidRPr="0060082A">
        <w:rPr>
          <w:rFonts w:asciiTheme="majorHAnsi" w:hAnsiTheme="majorHAnsi" w:cstheme="majorHAnsi"/>
        </w:rPr>
        <w:t xml:space="preserve">staffed by a core team of locally engaged personnel. </w:t>
      </w:r>
    </w:p>
    <w:p w14:paraId="2F3F9121" w14:textId="7A268115" w:rsidR="00B24E2B" w:rsidRPr="0060082A" w:rsidRDefault="00B24E2B" w:rsidP="0060082A">
      <w:pPr>
        <w:rPr>
          <w:rFonts w:asciiTheme="majorHAnsi" w:hAnsiTheme="majorHAnsi" w:cstheme="majorHAnsi"/>
        </w:rPr>
      </w:pPr>
      <w:r w:rsidRPr="0060082A">
        <w:rPr>
          <w:rFonts w:asciiTheme="majorHAnsi" w:hAnsiTheme="majorHAnsi" w:cstheme="majorHAnsi"/>
        </w:rPr>
        <w:t xml:space="preserve">Targeted short term Technical Adviser inputs are </w:t>
      </w:r>
      <w:r w:rsidR="00695FE7" w:rsidRPr="0060082A">
        <w:rPr>
          <w:rFonts w:asciiTheme="majorHAnsi" w:hAnsiTheme="majorHAnsi" w:cstheme="majorHAnsi"/>
        </w:rPr>
        <w:t xml:space="preserve">directed </w:t>
      </w:r>
      <w:r w:rsidR="0002167C" w:rsidRPr="0060082A">
        <w:rPr>
          <w:rFonts w:asciiTheme="majorHAnsi" w:hAnsiTheme="majorHAnsi" w:cstheme="majorHAnsi"/>
        </w:rPr>
        <w:t xml:space="preserve">at the key specialist areas of KEF support to </w:t>
      </w:r>
      <w:r w:rsidR="00695FE7" w:rsidRPr="0060082A">
        <w:rPr>
          <w:rFonts w:asciiTheme="majorHAnsi" w:hAnsiTheme="majorHAnsi" w:cstheme="majorHAnsi"/>
        </w:rPr>
        <w:t xml:space="preserve">MoE </w:t>
      </w:r>
      <w:r w:rsidR="0002167C" w:rsidRPr="0060082A">
        <w:rPr>
          <w:rFonts w:asciiTheme="majorHAnsi" w:hAnsiTheme="majorHAnsi" w:cstheme="majorHAnsi"/>
        </w:rPr>
        <w:t xml:space="preserve">and are </w:t>
      </w:r>
      <w:r w:rsidRPr="0060082A">
        <w:rPr>
          <w:rFonts w:asciiTheme="majorHAnsi" w:hAnsiTheme="majorHAnsi" w:cstheme="majorHAnsi"/>
        </w:rPr>
        <w:t>largely provided in-country</w:t>
      </w:r>
      <w:r w:rsidR="0002167C" w:rsidRPr="0060082A">
        <w:rPr>
          <w:rFonts w:asciiTheme="majorHAnsi" w:hAnsiTheme="majorHAnsi" w:cstheme="majorHAnsi"/>
        </w:rPr>
        <w:t>. S</w:t>
      </w:r>
      <w:r w:rsidRPr="0060082A">
        <w:rPr>
          <w:rFonts w:asciiTheme="majorHAnsi" w:hAnsiTheme="majorHAnsi" w:cstheme="majorHAnsi"/>
        </w:rPr>
        <w:t xml:space="preserve">ome </w:t>
      </w:r>
      <w:r w:rsidR="0062302B" w:rsidRPr="0060082A">
        <w:rPr>
          <w:rFonts w:asciiTheme="majorHAnsi" w:hAnsiTheme="majorHAnsi" w:cstheme="majorHAnsi"/>
        </w:rPr>
        <w:t xml:space="preserve">advisers </w:t>
      </w:r>
      <w:r w:rsidRPr="0060082A">
        <w:rPr>
          <w:rFonts w:asciiTheme="majorHAnsi" w:hAnsiTheme="majorHAnsi" w:cstheme="majorHAnsi"/>
        </w:rPr>
        <w:t>al</w:t>
      </w:r>
      <w:r w:rsidR="0002167C" w:rsidRPr="0060082A">
        <w:rPr>
          <w:rFonts w:asciiTheme="majorHAnsi" w:hAnsiTheme="majorHAnsi" w:cstheme="majorHAnsi"/>
        </w:rPr>
        <w:t>so provided</w:t>
      </w:r>
      <w:r w:rsidRPr="0060082A">
        <w:rPr>
          <w:rFonts w:asciiTheme="majorHAnsi" w:hAnsiTheme="majorHAnsi" w:cstheme="majorHAnsi"/>
        </w:rPr>
        <w:t xml:space="preserve"> </w:t>
      </w:r>
      <w:r w:rsidR="00C603D3" w:rsidRPr="0060082A">
        <w:rPr>
          <w:rFonts w:asciiTheme="majorHAnsi" w:hAnsiTheme="majorHAnsi" w:cstheme="majorHAnsi"/>
        </w:rPr>
        <w:t>on-going</w:t>
      </w:r>
      <w:r w:rsidRPr="0060082A">
        <w:rPr>
          <w:rFonts w:asciiTheme="majorHAnsi" w:hAnsiTheme="majorHAnsi" w:cstheme="majorHAnsi"/>
        </w:rPr>
        <w:t xml:space="preserve"> remote support to program activities</w:t>
      </w:r>
      <w:r w:rsidR="0002167C" w:rsidRPr="0060082A">
        <w:rPr>
          <w:rFonts w:asciiTheme="majorHAnsi" w:hAnsiTheme="majorHAnsi" w:cstheme="majorHAnsi"/>
        </w:rPr>
        <w:t xml:space="preserve"> as was appropriate and approved</w:t>
      </w:r>
      <w:r w:rsidRPr="0060082A">
        <w:rPr>
          <w:rFonts w:asciiTheme="majorHAnsi" w:hAnsiTheme="majorHAnsi" w:cstheme="majorHAnsi"/>
        </w:rPr>
        <w:t>.</w:t>
      </w:r>
    </w:p>
    <w:p w14:paraId="34AF7C6D" w14:textId="77777777" w:rsidR="00CD3B9F" w:rsidRPr="00C918BF" w:rsidRDefault="00CD3B9F" w:rsidP="00CD6138">
      <w:pPr>
        <w:pStyle w:val="Heading3"/>
      </w:pPr>
      <w:bookmarkStart w:id="56" w:name="_Toc461615697"/>
      <w:r w:rsidRPr="00C918BF">
        <w:t>Overall expenditure</w:t>
      </w:r>
      <w:bookmarkEnd w:id="56"/>
    </w:p>
    <w:p w14:paraId="4B45287B" w14:textId="4E838FB0" w:rsidR="00D62856" w:rsidRPr="0060082A" w:rsidRDefault="0002167C" w:rsidP="0060082A">
      <w:pPr>
        <w:rPr>
          <w:rFonts w:asciiTheme="majorHAnsi" w:hAnsiTheme="majorHAnsi" w:cstheme="majorHAnsi"/>
        </w:rPr>
      </w:pPr>
      <w:r w:rsidRPr="0060082A">
        <w:rPr>
          <w:rFonts w:asciiTheme="majorHAnsi" w:hAnsiTheme="majorHAnsi" w:cstheme="majorHAnsi"/>
        </w:rPr>
        <w:t>The o</w:t>
      </w:r>
      <w:r w:rsidR="00B24E2B" w:rsidRPr="0060082A">
        <w:rPr>
          <w:rFonts w:asciiTheme="majorHAnsi" w:hAnsiTheme="majorHAnsi" w:cstheme="majorHAnsi"/>
        </w:rPr>
        <w:t xml:space="preserve">verall spending for the reporting period March 2013 to March 2016 for KEIP Phase </w:t>
      </w:r>
      <w:r w:rsidR="000A49FE">
        <w:rPr>
          <w:rFonts w:asciiTheme="majorHAnsi" w:hAnsiTheme="majorHAnsi" w:cstheme="majorHAnsi"/>
        </w:rPr>
        <w:t>2</w:t>
      </w:r>
      <w:r w:rsidR="00B24E2B" w:rsidRPr="0060082A">
        <w:rPr>
          <w:rFonts w:asciiTheme="majorHAnsi" w:hAnsiTheme="majorHAnsi" w:cstheme="majorHAnsi"/>
        </w:rPr>
        <w:t xml:space="preserve"> was </w:t>
      </w:r>
      <w:r w:rsidR="00B24E2B" w:rsidRPr="0060082A">
        <w:rPr>
          <w:rFonts w:asciiTheme="majorHAnsi" w:hAnsiTheme="majorHAnsi" w:cstheme="majorHAnsi"/>
          <w:b/>
        </w:rPr>
        <w:t>AUD</w:t>
      </w:r>
      <w:r w:rsidR="00B24E2B" w:rsidRPr="0060082A">
        <w:rPr>
          <w:rFonts w:asciiTheme="majorHAnsi" w:hAnsiTheme="majorHAnsi" w:cstheme="majorHAnsi"/>
        </w:rPr>
        <w:t xml:space="preserve"> </w:t>
      </w:r>
      <w:r w:rsidR="00C761BB" w:rsidRPr="0060082A">
        <w:rPr>
          <w:rFonts w:asciiTheme="majorHAnsi" w:hAnsiTheme="majorHAnsi" w:cstheme="majorHAnsi"/>
          <w:b/>
        </w:rPr>
        <w:t>22,063,291</w:t>
      </w:r>
      <w:r w:rsidR="00B24E2B" w:rsidRPr="0060082A">
        <w:rPr>
          <w:rFonts w:asciiTheme="majorHAnsi" w:hAnsiTheme="majorHAnsi" w:cstheme="majorHAnsi"/>
        </w:rPr>
        <w:t>.</w:t>
      </w:r>
      <w:r w:rsidR="00612FB4" w:rsidRPr="0060082A">
        <w:rPr>
          <w:rFonts w:asciiTheme="majorHAnsi" w:hAnsiTheme="majorHAnsi" w:cstheme="majorHAnsi"/>
        </w:rPr>
        <w:t xml:space="preserve"> </w:t>
      </w:r>
      <w:r w:rsidR="00733085" w:rsidRPr="0060082A">
        <w:rPr>
          <w:rFonts w:asciiTheme="majorHAnsi" w:hAnsiTheme="majorHAnsi" w:cstheme="majorHAnsi"/>
        </w:rPr>
        <w:t xml:space="preserve">Based on the KEIP Phase </w:t>
      </w:r>
      <w:r w:rsidR="000A49FE">
        <w:rPr>
          <w:rFonts w:asciiTheme="majorHAnsi" w:hAnsiTheme="majorHAnsi" w:cstheme="majorHAnsi"/>
        </w:rPr>
        <w:t>3</w:t>
      </w:r>
      <w:r w:rsidR="00733085" w:rsidRPr="0060082A">
        <w:rPr>
          <w:rFonts w:asciiTheme="majorHAnsi" w:hAnsiTheme="majorHAnsi" w:cstheme="majorHAnsi"/>
        </w:rPr>
        <w:t xml:space="preserve"> design the commencement of Phase </w:t>
      </w:r>
      <w:r w:rsidR="000A49FE">
        <w:rPr>
          <w:rFonts w:asciiTheme="majorHAnsi" w:hAnsiTheme="majorHAnsi" w:cstheme="majorHAnsi"/>
        </w:rPr>
        <w:t>3</w:t>
      </w:r>
      <w:r w:rsidR="00733085" w:rsidRPr="0060082A">
        <w:rPr>
          <w:rFonts w:asciiTheme="majorHAnsi" w:hAnsiTheme="majorHAnsi" w:cstheme="majorHAnsi"/>
        </w:rPr>
        <w:t xml:space="preserve"> was scheduled for January 1</w:t>
      </w:r>
      <w:r w:rsidR="00733085" w:rsidRPr="0060082A">
        <w:rPr>
          <w:rFonts w:asciiTheme="majorHAnsi" w:hAnsiTheme="majorHAnsi" w:cstheme="majorHAnsi"/>
          <w:vertAlign w:val="superscript"/>
        </w:rPr>
        <w:t>st</w:t>
      </w:r>
      <w:r w:rsidR="00733085" w:rsidRPr="0060082A">
        <w:rPr>
          <w:rFonts w:asciiTheme="majorHAnsi" w:hAnsiTheme="majorHAnsi" w:cstheme="majorHAnsi"/>
        </w:rPr>
        <w:t xml:space="preserve"> 2016. However, there were delays in finalising the 2015-2019 ESSP and the Phase </w:t>
      </w:r>
      <w:r w:rsidR="00837957">
        <w:rPr>
          <w:rFonts w:asciiTheme="majorHAnsi" w:hAnsiTheme="majorHAnsi" w:cstheme="majorHAnsi"/>
        </w:rPr>
        <w:t>3</w:t>
      </w:r>
      <w:r w:rsidR="00733085" w:rsidRPr="0060082A">
        <w:rPr>
          <w:rFonts w:asciiTheme="majorHAnsi" w:hAnsiTheme="majorHAnsi" w:cstheme="majorHAnsi"/>
        </w:rPr>
        <w:t xml:space="preserve"> Investment Design Document (IDD), which would have made a commencement at the beginning of 2016 difficult to achieve. </w:t>
      </w:r>
    </w:p>
    <w:p w14:paraId="372ECA14" w14:textId="63B0C6E5" w:rsidR="00D9555E" w:rsidRPr="0060082A" w:rsidRDefault="00733085" w:rsidP="0060082A">
      <w:pPr>
        <w:rPr>
          <w:rFonts w:asciiTheme="majorHAnsi" w:hAnsiTheme="majorHAnsi" w:cstheme="majorHAnsi"/>
        </w:rPr>
      </w:pPr>
      <w:r w:rsidRPr="0060082A">
        <w:rPr>
          <w:rFonts w:asciiTheme="majorHAnsi" w:hAnsiTheme="majorHAnsi" w:cstheme="majorHAnsi"/>
        </w:rPr>
        <w:t xml:space="preserve">To </w:t>
      </w:r>
      <w:r w:rsidR="004E104B" w:rsidRPr="0060082A">
        <w:rPr>
          <w:rFonts w:asciiTheme="majorHAnsi" w:hAnsiTheme="majorHAnsi" w:cstheme="majorHAnsi"/>
        </w:rPr>
        <w:t xml:space="preserve">better enable </w:t>
      </w:r>
      <w:r w:rsidRPr="0060082A">
        <w:rPr>
          <w:rFonts w:asciiTheme="majorHAnsi" w:hAnsiTheme="majorHAnsi" w:cstheme="majorHAnsi"/>
        </w:rPr>
        <w:t xml:space="preserve">a smooth transition and enable all parties to effectively plan for the completion of KEIP Phase </w:t>
      </w:r>
      <w:r w:rsidR="000A49FE">
        <w:rPr>
          <w:rFonts w:asciiTheme="majorHAnsi" w:hAnsiTheme="majorHAnsi" w:cstheme="majorHAnsi"/>
        </w:rPr>
        <w:t>2</w:t>
      </w:r>
      <w:r w:rsidRPr="0060082A">
        <w:rPr>
          <w:rFonts w:asciiTheme="majorHAnsi" w:hAnsiTheme="majorHAnsi" w:cstheme="majorHAnsi"/>
        </w:rPr>
        <w:t xml:space="preserve"> and the commencement of Phase </w:t>
      </w:r>
      <w:r w:rsidR="00837957">
        <w:rPr>
          <w:rFonts w:asciiTheme="majorHAnsi" w:hAnsiTheme="majorHAnsi" w:cstheme="majorHAnsi"/>
        </w:rPr>
        <w:t>3</w:t>
      </w:r>
      <w:r w:rsidRPr="0060082A">
        <w:rPr>
          <w:rFonts w:asciiTheme="majorHAnsi" w:hAnsiTheme="majorHAnsi" w:cstheme="majorHAnsi"/>
        </w:rPr>
        <w:t xml:space="preserve"> (with the associated contracting and recruitment processes) a no-cost extension of KEIP Phase </w:t>
      </w:r>
      <w:r w:rsidR="000A49FE">
        <w:rPr>
          <w:rFonts w:asciiTheme="majorHAnsi" w:hAnsiTheme="majorHAnsi" w:cstheme="majorHAnsi"/>
        </w:rPr>
        <w:t>2</w:t>
      </w:r>
      <w:r w:rsidRPr="0060082A">
        <w:rPr>
          <w:rFonts w:asciiTheme="majorHAnsi" w:hAnsiTheme="majorHAnsi" w:cstheme="majorHAnsi"/>
        </w:rPr>
        <w:t xml:space="preserve"> for a period of three months was entered into.</w:t>
      </w:r>
      <w:r w:rsidR="00612FB4" w:rsidRPr="0060082A">
        <w:rPr>
          <w:rFonts w:asciiTheme="majorHAnsi" w:hAnsiTheme="majorHAnsi" w:cstheme="majorHAnsi"/>
        </w:rPr>
        <w:t xml:space="preserve"> </w:t>
      </w:r>
      <w:r w:rsidRPr="0060082A">
        <w:rPr>
          <w:rFonts w:asciiTheme="majorHAnsi" w:hAnsiTheme="majorHAnsi" w:cstheme="majorHAnsi"/>
        </w:rPr>
        <w:t xml:space="preserve">The commencement of KEIP Phase </w:t>
      </w:r>
      <w:r w:rsidR="00837957">
        <w:rPr>
          <w:rFonts w:asciiTheme="majorHAnsi" w:hAnsiTheme="majorHAnsi" w:cstheme="majorHAnsi"/>
        </w:rPr>
        <w:t>3</w:t>
      </w:r>
      <w:r w:rsidRPr="0060082A">
        <w:rPr>
          <w:rFonts w:asciiTheme="majorHAnsi" w:hAnsiTheme="majorHAnsi" w:cstheme="majorHAnsi"/>
        </w:rPr>
        <w:t xml:space="preserve"> was initiated on 1</w:t>
      </w:r>
      <w:r w:rsidRPr="0060082A">
        <w:rPr>
          <w:rFonts w:asciiTheme="majorHAnsi" w:hAnsiTheme="majorHAnsi" w:cstheme="majorHAnsi"/>
          <w:vertAlign w:val="superscript"/>
        </w:rPr>
        <w:t>st</w:t>
      </w:r>
      <w:r w:rsidRPr="0060082A">
        <w:rPr>
          <w:rFonts w:asciiTheme="majorHAnsi" w:hAnsiTheme="majorHAnsi" w:cstheme="majorHAnsi"/>
        </w:rPr>
        <w:t xml:space="preserve"> April 2016, by which time all planning, systems and staffing adjustments were in place.</w:t>
      </w:r>
    </w:p>
    <w:p w14:paraId="190B417A" w14:textId="0FCB35F5" w:rsidR="00D9555E" w:rsidRPr="002F6667" w:rsidRDefault="00075C17" w:rsidP="0060082A">
      <w:pPr>
        <w:rPr>
          <w:rFonts w:asciiTheme="majorHAnsi" w:hAnsiTheme="majorHAnsi" w:cstheme="majorHAnsi"/>
          <w:spacing w:val="2"/>
        </w:rPr>
      </w:pPr>
      <w:r w:rsidRPr="002F6667">
        <w:rPr>
          <w:rFonts w:asciiTheme="majorHAnsi" w:hAnsiTheme="majorHAnsi" w:cstheme="majorHAnsi"/>
          <w:spacing w:val="2"/>
        </w:rPr>
        <w:lastRenderedPageBreak/>
        <w:t>Annex 3</w:t>
      </w:r>
      <w:r w:rsidR="00B24E2B" w:rsidRPr="002F6667">
        <w:rPr>
          <w:rFonts w:asciiTheme="majorHAnsi" w:hAnsiTheme="majorHAnsi" w:cstheme="majorHAnsi"/>
          <w:spacing w:val="2"/>
        </w:rPr>
        <w:t xml:space="preserve"> provides details of KEIP Phase </w:t>
      </w:r>
      <w:r w:rsidR="000A49FE" w:rsidRPr="002F6667">
        <w:rPr>
          <w:rFonts w:asciiTheme="majorHAnsi" w:hAnsiTheme="majorHAnsi" w:cstheme="majorHAnsi"/>
          <w:spacing w:val="2"/>
        </w:rPr>
        <w:t>2</w:t>
      </w:r>
      <w:r w:rsidR="00B24E2B" w:rsidRPr="002F6667">
        <w:rPr>
          <w:rFonts w:asciiTheme="majorHAnsi" w:hAnsiTheme="majorHAnsi" w:cstheme="majorHAnsi"/>
          <w:spacing w:val="2"/>
        </w:rPr>
        <w:t xml:space="preserve"> </w:t>
      </w:r>
      <w:r w:rsidR="00916DE6" w:rsidRPr="002F6667">
        <w:rPr>
          <w:rFonts w:asciiTheme="majorHAnsi" w:hAnsiTheme="majorHAnsi" w:cstheme="majorHAnsi"/>
          <w:spacing w:val="2"/>
        </w:rPr>
        <w:t>Breakdown of Program Activity Costs by Strategy to 31 March 2016</w:t>
      </w:r>
      <w:r w:rsidR="00B24E2B" w:rsidRPr="002F6667">
        <w:rPr>
          <w:rFonts w:asciiTheme="majorHAnsi" w:hAnsiTheme="majorHAnsi" w:cstheme="majorHAnsi"/>
          <w:spacing w:val="2"/>
        </w:rPr>
        <w:t xml:space="preserve">. </w:t>
      </w:r>
    </w:p>
    <w:p w14:paraId="5FDBA17C" w14:textId="01E1A7AA" w:rsidR="00CD3B9F" w:rsidRPr="0060082A" w:rsidRDefault="00CD3B9F" w:rsidP="0060082A">
      <w:pPr>
        <w:rPr>
          <w:rFonts w:asciiTheme="majorHAnsi" w:hAnsiTheme="majorHAnsi" w:cstheme="majorHAnsi"/>
        </w:rPr>
      </w:pPr>
      <w:r w:rsidRPr="0060082A">
        <w:rPr>
          <w:rFonts w:asciiTheme="majorHAnsi" w:hAnsiTheme="majorHAnsi" w:cstheme="majorHAnsi"/>
        </w:rPr>
        <w:t xml:space="preserve">The following chart indicates the </w:t>
      </w:r>
      <w:r w:rsidR="0002167C" w:rsidRPr="0060082A">
        <w:rPr>
          <w:rFonts w:asciiTheme="majorHAnsi" w:hAnsiTheme="majorHAnsi" w:cstheme="majorHAnsi"/>
        </w:rPr>
        <w:t xml:space="preserve">percentage of KEIP Phase </w:t>
      </w:r>
      <w:r w:rsidR="000A49FE">
        <w:rPr>
          <w:rFonts w:asciiTheme="majorHAnsi" w:hAnsiTheme="majorHAnsi" w:cstheme="majorHAnsi"/>
        </w:rPr>
        <w:t>2</w:t>
      </w:r>
      <w:r w:rsidR="0002167C" w:rsidRPr="0060082A">
        <w:rPr>
          <w:rFonts w:asciiTheme="majorHAnsi" w:hAnsiTheme="majorHAnsi" w:cstheme="majorHAnsi"/>
        </w:rPr>
        <w:t xml:space="preserve"> </w:t>
      </w:r>
      <w:r w:rsidRPr="0060082A">
        <w:rPr>
          <w:rFonts w:asciiTheme="majorHAnsi" w:hAnsiTheme="majorHAnsi" w:cstheme="majorHAnsi"/>
        </w:rPr>
        <w:t xml:space="preserve">expenditure against </w:t>
      </w:r>
      <w:r w:rsidR="0002167C" w:rsidRPr="0060082A">
        <w:rPr>
          <w:rFonts w:asciiTheme="majorHAnsi" w:hAnsiTheme="majorHAnsi" w:cstheme="majorHAnsi"/>
        </w:rPr>
        <w:t xml:space="preserve">the </w:t>
      </w:r>
      <w:r w:rsidRPr="0060082A">
        <w:rPr>
          <w:rFonts w:asciiTheme="majorHAnsi" w:hAnsiTheme="majorHAnsi" w:cstheme="majorHAnsi"/>
        </w:rPr>
        <w:t>major activities and costs</w:t>
      </w:r>
      <w:r w:rsidR="00075C17" w:rsidRPr="0060082A">
        <w:rPr>
          <w:rFonts w:asciiTheme="majorHAnsi" w:hAnsiTheme="majorHAnsi" w:cstheme="majorHAnsi"/>
        </w:rPr>
        <w:t xml:space="preserve"> for the total expenditure of AUD 22,063,291</w:t>
      </w:r>
      <w:r w:rsidR="0062302B" w:rsidRPr="0060082A">
        <w:rPr>
          <w:rFonts w:asciiTheme="majorHAnsi" w:hAnsiTheme="majorHAnsi" w:cstheme="majorHAnsi"/>
        </w:rPr>
        <w:t>.</w:t>
      </w:r>
    </w:p>
    <w:p w14:paraId="07CF0CC8" w14:textId="48E9C5F3" w:rsidR="00CD3B9F" w:rsidRPr="0060082A" w:rsidRDefault="00CD3B9F" w:rsidP="0060082A">
      <w:pPr>
        <w:rPr>
          <w:rFonts w:asciiTheme="majorHAnsi" w:hAnsiTheme="majorHAnsi" w:cstheme="majorHAnsi"/>
          <w:b/>
        </w:rPr>
      </w:pPr>
      <w:r w:rsidRPr="0060082A">
        <w:rPr>
          <w:rFonts w:asciiTheme="majorHAnsi" w:hAnsiTheme="majorHAnsi" w:cstheme="majorHAnsi"/>
          <w:b/>
        </w:rPr>
        <w:t xml:space="preserve">Figure </w:t>
      </w:r>
      <w:r w:rsidR="003A60A5" w:rsidRPr="0060082A">
        <w:rPr>
          <w:rFonts w:asciiTheme="majorHAnsi" w:hAnsiTheme="majorHAnsi" w:cstheme="majorHAnsi"/>
          <w:b/>
        </w:rPr>
        <w:t>1</w:t>
      </w:r>
      <w:r w:rsidRPr="0060082A">
        <w:rPr>
          <w:rFonts w:asciiTheme="majorHAnsi" w:hAnsiTheme="majorHAnsi" w:cstheme="majorHAnsi"/>
          <w:b/>
        </w:rPr>
        <w:t xml:space="preserve">: KEIP Phase </w:t>
      </w:r>
      <w:r w:rsidR="000A49FE" w:rsidRPr="0060082A">
        <w:rPr>
          <w:rFonts w:asciiTheme="majorHAnsi" w:hAnsiTheme="majorHAnsi" w:cstheme="majorHAnsi"/>
          <w:b/>
        </w:rPr>
        <w:t>2</w:t>
      </w:r>
      <w:r w:rsidRPr="0060082A">
        <w:rPr>
          <w:rFonts w:asciiTheme="majorHAnsi" w:hAnsiTheme="majorHAnsi" w:cstheme="majorHAnsi"/>
          <w:b/>
        </w:rPr>
        <w:t xml:space="preserve"> Expenditure breakdown.</w:t>
      </w:r>
    </w:p>
    <w:p w14:paraId="10E0290F" w14:textId="61F8965C" w:rsidR="00A610DB" w:rsidRPr="0060082A" w:rsidRDefault="00A82C90" w:rsidP="0060082A">
      <w:pPr>
        <w:rPr>
          <w:rFonts w:asciiTheme="majorHAnsi" w:hAnsiTheme="majorHAnsi" w:cstheme="majorHAnsi"/>
        </w:rPr>
      </w:pPr>
      <w:r w:rsidRPr="0060082A">
        <w:rPr>
          <w:rFonts w:asciiTheme="majorHAnsi" w:hAnsiTheme="majorHAnsi" w:cstheme="majorHAnsi"/>
          <w:noProof/>
          <w:lang w:eastAsia="en-AU"/>
        </w:rPr>
        <w:drawing>
          <wp:inline distT="0" distB="0" distL="0" distR="0" wp14:anchorId="18AD3F89" wp14:editId="2E80DE87">
            <wp:extent cx="5734050" cy="3349830"/>
            <wp:effectExtent l="19050" t="19050" r="19050" b="22225"/>
            <wp:docPr id="5" name="Picture 5" descr="Operational Costs: 1%&#10;Adviser Support Costs: 4%&#10;Procurement Fees: 5%&#10;Long Term Personnel: 7%&#10;Milestones: 8%&#10;Fixed Management Fees: 13%&#10;Short Term Personnel: 13%&#10;Program Activity Costs: 49%" title="Figure 1: KEIP Phase 2 Expenditure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IP Phase II Expenditure Breakdown Donut Chart.jpg"/>
                    <pic:cNvPicPr/>
                  </pic:nvPicPr>
                  <pic:blipFill rotWithShape="1">
                    <a:blip r:embed="rId24" cstate="print">
                      <a:extLst>
                        <a:ext uri="{28A0092B-C50C-407E-A947-70E740481C1C}">
                          <a14:useLocalDpi xmlns:a14="http://schemas.microsoft.com/office/drawing/2010/main" val="0"/>
                        </a:ext>
                      </a:extLst>
                    </a:blip>
                    <a:srcRect t="-1" b="-3512"/>
                    <a:stretch/>
                  </pic:blipFill>
                  <pic:spPr bwMode="auto">
                    <a:xfrm>
                      <a:off x="0" y="0"/>
                      <a:ext cx="5736149" cy="335105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D3A112F" w14:textId="2CB7CEA7" w:rsidR="00A629A7" w:rsidRDefault="00B24E2B" w:rsidP="0060082A">
      <w:pPr>
        <w:rPr>
          <w:rFonts w:ascii="Arial" w:hAnsi="Arial" w:cs="Arial (TT)"/>
          <w:lang w:val="en-GB"/>
        </w:rPr>
      </w:pPr>
      <w:r w:rsidRPr="0060082A">
        <w:rPr>
          <w:rFonts w:asciiTheme="majorHAnsi" w:hAnsiTheme="majorHAnsi" w:cstheme="majorHAnsi"/>
        </w:rPr>
        <w:t>Program activity spending represent</w:t>
      </w:r>
      <w:r w:rsidR="0002167C" w:rsidRPr="0060082A">
        <w:rPr>
          <w:rFonts w:asciiTheme="majorHAnsi" w:hAnsiTheme="majorHAnsi" w:cstheme="majorHAnsi"/>
        </w:rPr>
        <w:t>ed</w:t>
      </w:r>
      <w:r w:rsidRPr="0060082A">
        <w:rPr>
          <w:rFonts w:asciiTheme="majorHAnsi" w:hAnsiTheme="majorHAnsi" w:cstheme="majorHAnsi"/>
        </w:rPr>
        <w:t xml:space="preserve"> AUD 10,879,951 of total program expenditure, with </w:t>
      </w:r>
      <w:r w:rsidR="0002167C" w:rsidRPr="0060082A">
        <w:rPr>
          <w:rFonts w:asciiTheme="majorHAnsi" w:hAnsiTheme="majorHAnsi" w:cstheme="majorHAnsi"/>
        </w:rPr>
        <w:t xml:space="preserve">the </w:t>
      </w:r>
      <w:r w:rsidRPr="0060082A">
        <w:rPr>
          <w:rFonts w:asciiTheme="majorHAnsi" w:hAnsiTheme="majorHAnsi" w:cstheme="majorHAnsi"/>
        </w:rPr>
        <w:t xml:space="preserve">support </w:t>
      </w:r>
      <w:r w:rsidR="0002167C" w:rsidRPr="0060082A">
        <w:rPr>
          <w:rFonts w:asciiTheme="majorHAnsi" w:hAnsiTheme="majorHAnsi" w:cstheme="majorHAnsi"/>
        </w:rPr>
        <w:t xml:space="preserve">provided </w:t>
      </w:r>
      <w:r w:rsidRPr="0060082A">
        <w:rPr>
          <w:rFonts w:asciiTheme="majorHAnsi" w:hAnsiTheme="majorHAnsi" w:cstheme="majorHAnsi"/>
        </w:rPr>
        <w:t xml:space="preserve">to </w:t>
      </w:r>
      <w:r w:rsidR="0002167C" w:rsidRPr="0060082A">
        <w:rPr>
          <w:rFonts w:asciiTheme="majorHAnsi" w:hAnsiTheme="majorHAnsi" w:cstheme="majorHAnsi"/>
        </w:rPr>
        <w:t xml:space="preserve">the </w:t>
      </w:r>
      <w:r w:rsidRPr="0060082A">
        <w:rPr>
          <w:rFonts w:asciiTheme="majorHAnsi" w:hAnsiTheme="majorHAnsi" w:cstheme="majorHAnsi"/>
        </w:rPr>
        <w:t>rehabilitation of school infrastructure comprising AUD 6,849,372</w:t>
      </w:r>
      <w:r w:rsidR="00C46E35" w:rsidRPr="0060082A">
        <w:rPr>
          <w:rFonts w:asciiTheme="majorHAnsi" w:hAnsiTheme="majorHAnsi" w:cstheme="majorHAnsi"/>
        </w:rPr>
        <w:t xml:space="preserve"> of this total</w:t>
      </w:r>
      <w:r w:rsidRPr="0060082A">
        <w:rPr>
          <w:rFonts w:asciiTheme="majorHAnsi" w:hAnsiTheme="majorHAnsi" w:cstheme="majorHAnsi"/>
        </w:rPr>
        <w:t xml:space="preserve">. Over the lifetime of KEIP Phase </w:t>
      </w:r>
      <w:r w:rsidR="000A49FE">
        <w:rPr>
          <w:rFonts w:asciiTheme="majorHAnsi" w:hAnsiTheme="majorHAnsi" w:cstheme="majorHAnsi"/>
        </w:rPr>
        <w:t>2</w:t>
      </w:r>
      <w:r w:rsidR="006C7CB2" w:rsidRPr="0060082A">
        <w:rPr>
          <w:rFonts w:asciiTheme="majorHAnsi" w:hAnsiTheme="majorHAnsi" w:cstheme="majorHAnsi"/>
        </w:rPr>
        <w:t>,</w:t>
      </w:r>
      <w:r w:rsidRPr="0060082A">
        <w:rPr>
          <w:rFonts w:asciiTheme="majorHAnsi" w:hAnsiTheme="majorHAnsi" w:cstheme="majorHAnsi"/>
        </w:rPr>
        <w:t xml:space="preserve"> program activity expenditure represente</w:t>
      </w:r>
      <w:r w:rsidR="00075C17" w:rsidRPr="0060082A">
        <w:rPr>
          <w:rFonts w:asciiTheme="majorHAnsi" w:hAnsiTheme="majorHAnsi" w:cstheme="majorHAnsi"/>
        </w:rPr>
        <w:t>d 49</w:t>
      </w:r>
      <w:r w:rsidRPr="0060082A">
        <w:rPr>
          <w:rFonts w:asciiTheme="majorHAnsi" w:hAnsiTheme="majorHAnsi" w:cstheme="majorHAnsi"/>
        </w:rPr>
        <w:t xml:space="preserve">% of total program spending. </w:t>
      </w:r>
    </w:p>
    <w:p w14:paraId="54DC8B03" w14:textId="77777777" w:rsidR="00CD3B9F" w:rsidRPr="0060082A" w:rsidRDefault="00CD3B9F" w:rsidP="00CD6138">
      <w:pPr>
        <w:pStyle w:val="Heading3"/>
      </w:pPr>
      <w:bookmarkStart w:id="57" w:name="_Toc461615698"/>
      <w:r w:rsidRPr="0060082A">
        <w:t>KEF Staffing</w:t>
      </w:r>
      <w:bookmarkEnd w:id="57"/>
    </w:p>
    <w:p w14:paraId="2BCDC616" w14:textId="5BD75B98" w:rsidR="000459F8" w:rsidRPr="0060082A" w:rsidRDefault="0002167C" w:rsidP="0060082A">
      <w:pPr>
        <w:rPr>
          <w:rFonts w:asciiTheme="majorHAnsi" w:hAnsiTheme="majorHAnsi" w:cstheme="majorHAnsi"/>
        </w:rPr>
      </w:pPr>
      <w:r w:rsidRPr="0060082A">
        <w:rPr>
          <w:rFonts w:asciiTheme="majorHAnsi" w:hAnsiTheme="majorHAnsi" w:cstheme="majorHAnsi"/>
        </w:rPr>
        <w:t xml:space="preserve">Program staffing has been responsive to changing strategic and operational requirements as they emerged during implementation of KEIP Phase </w:t>
      </w:r>
      <w:r w:rsidR="000A49FE">
        <w:rPr>
          <w:rFonts w:asciiTheme="majorHAnsi" w:hAnsiTheme="majorHAnsi" w:cstheme="majorHAnsi"/>
        </w:rPr>
        <w:t>2</w:t>
      </w:r>
      <w:r w:rsidRPr="0060082A">
        <w:rPr>
          <w:rFonts w:asciiTheme="majorHAnsi" w:hAnsiTheme="majorHAnsi" w:cstheme="majorHAnsi"/>
        </w:rPr>
        <w:t xml:space="preserve">. </w:t>
      </w:r>
      <w:r w:rsidR="007B3BF9" w:rsidRPr="0060082A">
        <w:rPr>
          <w:rFonts w:asciiTheme="majorHAnsi" w:hAnsiTheme="majorHAnsi" w:cstheme="majorHAnsi"/>
        </w:rPr>
        <w:t xml:space="preserve">Balancing the number of long and short term </w:t>
      </w:r>
      <w:r w:rsidR="00FA0E80" w:rsidRPr="0060082A">
        <w:rPr>
          <w:rFonts w:asciiTheme="majorHAnsi" w:hAnsiTheme="majorHAnsi" w:cstheme="majorHAnsi"/>
        </w:rPr>
        <w:t>TA</w:t>
      </w:r>
      <w:r w:rsidR="007B3BF9" w:rsidRPr="0060082A">
        <w:rPr>
          <w:rFonts w:asciiTheme="majorHAnsi" w:hAnsiTheme="majorHAnsi" w:cstheme="majorHAnsi"/>
        </w:rPr>
        <w:t xml:space="preserve">, as well as the calibre and number of local staff, </w:t>
      </w:r>
      <w:r w:rsidR="00D8659B" w:rsidRPr="0060082A">
        <w:rPr>
          <w:rFonts w:asciiTheme="majorHAnsi" w:hAnsiTheme="majorHAnsi" w:cstheme="majorHAnsi"/>
        </w:rPr>
        <w:t>has been</w:t>
      </w:r>
      <w:r w:rsidR="007B3BF9" w:rsidRPr="0060082A">
        <w:rPr>
          <w:rFonts w:asciiTheme="majorHAnsi" w:hAnsiTheme="majorHAnsi" w:cstheme="majorHAnsi"/>
        </w:rPr>
        <w:t xml:space="preserve"> an </w:t>
      </w:r>
      <w:r w:rsidR="00963E2D" w:rsidRPr="0060082A">
        <w:rPr>
          <w:rFonts w:asciiTheme="majorHAnsi" w:hAnsiTheme="majorHAnsi" w:cstheme="majorHAnsi"/>
        </w:rPr>
        <w:t>on-going</w:t>
      </w:r>
      <w:r w:rsidR="007B3BF9" w:rsidRPr="0060082A">
        <w:rPr>
          <w:rFonts w:asciiTheme="majorHAnsi" w:hAnsiTheme="majorHAnsi" w:cstheme="majorHAnsi"/>
        </w:rPr>
        <w:t xml:space="preserve"> </w:t>
      </w:r>
      <w:r w:rsidR="00D8659B" w:rsidRPr="0060082A">
        <w:rPr>
          <w:rFonts w:asciiTheme="majorHAnsi" w:hAnsiTheme="majorHAnsi" w:cstheme="majorHAnsi"/>
        </w:rPr>
        <w:t xml:space="preserve">challenge. </w:t>
      </w:r>
      <w:r w:rsidRPr="0060082A">
        <w:rPr>
          <w:rFonts w:asciiTheme="majorHAnsi" w:hAnsiTheme="majorHAnsi" w:cstheme="majorHAnsi"/>
        </w:rPr>
        <w:t>Changes to priorities and specialist areas were discussed and agreed with MoE and DFAT</w:t>
      </w:r>
      <w:r w:rsidR="00916DE6" w:rsidRPr="0060082A">
        <w:rPr>
          <w:rFonts w:asciiTheme="majorHAnsi" w:hAnsiTheme="majorHAnsi" w:cstheme="majorHAnsi"/>
        </w:rPr>
        <w:t xml:space="preserve"> before any changes made to </w:t>
      </w:r>
      <w:r w:rsidRPr="0060082A">
        <w:rPr>
          <w:rFonts w:asciiTheme="majorHAnsi" w:hAnsiTheme="majorHAnsi" w:cstheme="majorHAnsi"/>
        </w:rPr>
        <w:t xml:space="preserve">Annual Planning and implementation. Additional TA priorities and roles </w:t>
      </w:r>
      <w:r w:rsidR="000459F8" w:rsidRPr="0060082A">
        <w:rPr>
          <w:rFonts w:asciiTheme="majorHAnsi" w:hAnsiTheme="majorHAnsi" w:cstheme="majorHAnsi"/>
        </w:rPr>
        <w:t>emerged</w:t>
      </w:r>
      <w:r w:rsidR="00916DE6" w:rsidRPr="0060082A">
        <w:rPr>
          <w:rFonts w:asciiTheme="majorHAnsi" w:hAnsiTheme="majorHAnsi" w:cstheme="majorHAnsi"/>
        </w:rPr>
        <w:t xml:space="preserve"> through KEIP Phase </w:t>
      </w:r>
      <w:r w:rsidR="000A49FE">
        <w:rPr>
          <w:rFonts w:asciiTheme="majorHAnsi" w:hAnsiTheme="majorHAnsi" w:cstheme="majorHAnsi"/>
        </w:rPr>
        <w:t>2</w:t>
      </w:r>
      <w:r w:rsidR="00916DE6" w:rsidRPr="0060082A">
        <w:rPr>
          <w:rFonts w:asciiTheme="majorHAnsi" w:hAnsiTheme="majorHAnsi" w:cstheme="majorHAnsi"/>
        </w:rPr>
        <w:t>, with</w:t>
      </w:r>
      <w:r w:rsidR="000459F8" w:rsidRPr="0060082A">
        <w:rPr>
          <w:rFonts w:asciiTheme="majorHAnsi" w:hAnsiTheme="majorHAnsi" w:cstheme="majorHAnsi"/>
        </w:rPr>
        <w:t xml:space="preserve"> Terms of R</w:t>
      </w:r>
      <w:r w:rsidRPr="0060082A">
        <w:rPr>
          <w:rFonts w:asciiTheme="majorHAnsi" w:hAnsiTheme="majorHAnsi" w:cstheme="majorHAnsi"/>
        </w:rPr>
        <w:t xml:space="preserve">eference for </w:t>
      </w:r>
      <w:r w:rsidR="000459F8" w:rsidRPr="0060082A">
        <w:rPr>
          <w:rFonts w:asciiTheme="majorHAnsi" w:hAnsiTheme="majorHAnsi" w:cstheme="majorHAnsi"/>
        </w:rPr>
        <w:t xml:space="preserve">some </w:t>
      </w:r>
      <w:r w:rsidRPr="0060082A">
        <w:rPr>
          <w:rFonts w:asciiTheme="majorHAnsi" w:hAnsiTheme="majorHAnsi" w:cstheme="majorHAnsi"/>
        </w:rPr>
        <w:t>roles updated to support activities in line with</w:t>
      </w:r>
      <w:r w:rsidR="000459F8" w:rsidRPr="0060082A">
        <w:rPr>
          <w:rFonts w:asciiTheme="majorHAnsi" w:hAnsiTheme="majorHAnsi" w:cstheme="majorHAnsi"/>
        </w:rPr>
        <w:t xml:space="preserve"> ESSP and MoE </w:t>
      </w:r>
      <w:r w:rsidRPr="0060082A">
        <w:rPr>
          <w:rFonts w:asciiTheme="majorHAnsi" w:hAnsiTheme="majorHAnsi" w:cstheme="majorHAnsi"/>
        </w:rPr>
        <w:t xml:space="preserve">priorities. </w:t>
      </w:r>
    </w:p>
    <w:p w14:paraId="10350539" w14:textId="6FE1B214" w:rsidR="0002167C" w:rsidRPr="0060082A" w:rsidRDefault="000459F8" w:rsidP="0060082A">
      <w:pPr>
        <w:rPr>
          <w:rFonts w:asciiTheme="majorHAnsi" w:hAnsiTheme="majorHAnsi" w:cstheme="majorHAnsi"/>
        </w:rPr>
      </w:pPr>
      <w:r w:rsidRPr="0060082A">
        <w:rPr>
          <w:rFonts w:asciiTheme="majorHAnsi" w:hAnsiTheme="majorHAnsi" w:cstheme="majorHAnsi"/>
        </w:rPr>
        <w:t xml:space="preserve">The </w:t>
      </w:r>
      <w:r w:rsidR="0002167C" w:rsidRPr="0060082A">
        <w:rPr>
          <w:rFonts w:asciiTheme="majorHAnsi" w:hAnsiTheme="majorHAnsi" w:cstheme="majorHAnsi"/>
        </w:rPr>
        <w:t xml:space="preserve">KEF staffing is structured to provide efficiencies to the greatest extent possible and not to duplicate </w:t>
      </w:r>
      <w:r w:rsidRPr="0060082A">
        <w:rPr>
          <w:rFonts w:asciiTheme="majorHAnsi" w:hAnsiTheme="majorHAnsi" w:cstheme="majorHAnsi"/>
        </w:rPr>
        <w:t xml:space="preserve">or set up any parallel system to </w:t>
      </w:r>
      <w:r w:rsidR="0002167C" w:rsidRPr="0060082A">
        <w:rPr>
          <w:rFonts w:asciiTheme="majorHAnsi" w:hAnsiTheme="majorHAnsi" w:cstheme="majorHAnsi"/>
        </w:rPr>
        <w:t>Ministry in-line functions</w:t>
      </w:r>
      <w:r w:rsidRPr="0060082A">
        <w:rPr>
          <w:rFonts w:asciiTheme="majorHAnsi" w:hAnsiTheme="majorHAnsi" w:cstheme="majorHAnsi"/>
        </w:rPr>
        <w:t>.</w:t>
      </w:r>
      <w:r w:rsidR="00916DE6" w:rsidRPr="0060082A">
        <w:rPr>
          <w:rFonts w:asciiTheme="majorHAnsi" w:hAnsiTheme="majorHAnsi" w:cstheme="majorHAnsi"/>
        </w:rPr>
        <w:t xml:space="preserve"> Care has </w:t>
      </w:r>
      <w:r w:rsidRPr="0060082A">
        <w:rPr>
          <w:rFonts w:asciiTheme="majorHAnsi" w:hAnsiTheme="majorHAnsi" w:cstheme="majorHAnsi"/>
        </w:rPr>
        <w:t xml:space="preserve">been taken not to </w:t>
      </w:r>
      <w:r w:rsidR="0002167C" w:rsidRPr="0060082A">
        <w:rPr>
          <w:rFonts w:asciiTheme="majorHAnsi" w:hAnsiTheme="majorHAnsi" w:cstheme="majorHAnsi"/>
        </w:rPr>
        <w:t xml:space="preserve">over-burden the absorptive capacity of </w:t>
      </w:r>
      <w:r w:rsidR="006C16F5" w:rsidRPr="0060082A">
        <w:rPr>
          <w:rFonts w:asciiTheme="majorHAnsi" w:hAnsiTheme="majorHAnsi" w:cstheme="majorHAnsi"/>
        </w:rPr>
        <w:t xml:space="preserve">MoE </w:t>
      </w:r>
      <w:r w:rsidRPr="0060082A">
        <w:rPr>
          <w:rFonts w:asciiTheme="majorHAnsi" w:hAnsiTheme="majorHAnsi" w:cstheme="majorHAnsi"/>
        </w:rPr>
        <w:t xml:space="preserve">staff and </w:t>
      </w:r>
      <w:r w:rsidR="0002167C" w:rsidRPr="0060082A">
        <w:rPr>
          <w:rFonts w:asciiTheme="majorHAnsi" w:hAnsiTheme="majorHAnsi" w:cstheme="majorHAnsi"/>
        </w:rPr>
        <w:t>units</w:t>
      </w:r>
      <w:r w:rsidR="007B3BF9" w:rsidRPr="0060082A">
        <w:rPr>
          <w:rFonts w:asciiTheme="majorHAnsi" w:hAnsiTheme="majorHAnsi" w:cstheme="majorHAnsi"/>
        </w:rPr>
        <w:t>, whi</w:t>
      </w:r>
      <w:r w:rsidR="006C16F5" w:rsidRPr="0060082A">
        <w:rPr>
          <w:rFonts w:asciiTheme="majorHAnsi" w:hAnsiTheme="majorHAnsi" w:cstheme="majorHAnsi"/>
        </w:rPr>
        <w:t xml:space="preserve">ch can easily occur through competing priorities for </w:t>
      </w:r>
      <w:r w:rsidR="007B3BF9" w:rsidRPr="0060082A">
        <w:rPr>
          <w:rFonts w:asciiTheme="majorHAnsi" w:hAnsiTheme="majorHAnsi" w:cstheme="majorHAnsi"/>
        </w:rPr>
        <w:t xml:space="preserve">MoE </w:t>
      </w:r>
      <w:r w:rsidR="00240A04" w:rsidRPr="0060082A">
        <w:rPr>
          <w:rFonts w:asciiTheme="majorHAnsi" w:hAnsiTheme="majorHAnsi" w:cstheme="majorHAnsi"/>
        </w:rPr>
        <w:t>e</w:t>
      </w:r>
      <w:r w:rsidR="007B3BF9" w:rsidRPr="0060082A">
        <w:rPr>
          <w:rFonts w:asciiTheme="majorHAnsi" w:hAnsiTheme="majorHAnsi" w:cstheme="majorHAnsi"/>
        </w:rPr>
        <w:t>xecutive staff time</w:t>
      </w:r>
      <w:r w:rsidR="0002167C" w:rsidRPr="0060082A">
        <w:rPr>
          <w:rFonts w:asciiTheme="majorHAnsi" w:hAnsiTheme="majorHAnsi" w:cstheme="majorHAnsi"/>
        </w:rPr>
        <w:t>.</w:t>
      </w:r>
      <w:r w:rsidR="00022721" w:rsidRPr="0060082A">
        <w:rPr>
          <w:rFonts w:asciiTheme="majorHAnsi" w:hAnsiTheme="majorHAnsi" w:cstheme="majorHAnsi"/>
        </w:rPr>
        <w:t xml:space="preserve"> </w:t>
      </w:r>
    </w:p>
    <w:p w14:paraId="5D161D45" w14:textId="6013422A" w:rsidR="00B24E2B" w:rsidRPr="00820811" w:rsidRDefault="00B24E2B" w:rsidP="0060082A">
      <w:pPr>
        <w:rPr>
          <w:rFonts w:asciiTheme="majorHAnsi" w:hAnsiTheme="majorHAnsi" w:cstheme="majorHAnsi"/>
          <w:spacing w:val="2"/>
        </w:rPr>
      </w:pPr>
      <w:r w:rsidRPr="00820811">
        <w:rPr>
          <w:rFonts w:asciiTheme="majorHAnsi" w:hAnsiTheme="majorHAnsi" w:cstheme="majorHAnsi"/>
          <w:spacing w:val="2"/>
        </w:rPr>
        <w:t xml:space="preserve">The recruitment of </w:t>
      </w:r>
      <w:r w:rsidR="000459F8" w:rsidRPr="00820811">
        <w:rPr>
          <w:rFonts w:asciiTheme="majorHAnsi" w:hAnsiTheme="majorHAnsi" w:cstheme="majorHAnsi"/>
          <w:spacing w:val="2"/>
        </w:rPr>
        <w:t xml:space="preserve">KEF </w:t>
      </w:r>
      <w:r w:rsidRPr="00820811">
        <w:rPr>
          <w:rFonts w:asciiTheme="majorHAnsi" w:hAnsiTheme="majorHAnsi" w:cstheme="majorHAnsi"/>
          <w:spacing w:val="2"/>
        </w:rPr>
        <w:t xml:space="preserve">personnel is managed using the </w:t>
      </w:r>
      <w:r w:rsidR="008733D1" w:rsidRPr="00820811">
        <w:rPr>
          <w:rFonts w:asciiTheme="majorHAnsi" w:hAnsiTheme="majorHAnsi" w:cstheme="majorHAnsi"/>
          <w:spacing w:val="2"/>
        </w:rPr>
        <w:t>MC’s</w:t>
      </w:r>
      <w:r w:rsidRPr="00820811">
        <w:rPr>
          <w:rFonts w:asciiTheme="majorHAnsi" w:hAnsiTheme="majorHAnsi" w:cstheme="majorHAnsi"/>
          <w:spacing w:val="2"/>
        </w:rPr>
        <w:t xml:space="preserve"> HR systems</w:t>
      </w:r>
      <w:r w:rsidR="00240A04" w:rsidRPr="00820811">
        <w:rPr>
          <w:rFonts w:asciiTheme="majorHAnsi" w:hAnsiTheme="majorHAnsi" w:cstheme="majorHAnsi"/>
          <w:spacing w:val="2"/>
        </w:rPr>
        <w:t xml:space="preserve">. Recruitment </w:t>
      </w:r>
      <w:r w:rsidR="007B3BF9" w:rsidRPr="00820811">
        <w:rPr>
          <w:rFonts w:asciiTheme="majorHAnsi" w:hAnsiTheme="majorHAnsi" w:cstheme="majorHAnsi"/>
          <w:spacing w:val="2"/>
        </w:rPr>
        <w:t xml:space="preserve">focussed on attracting </w:t>
      </w:r>
      <w:r w:rsidR="00240A04" w:rsidRPr="00820811">
        <w:rPr>
          <w:rFonts w:asciiTheme="majorHAnsi" w:hAnsiTheme="majorHAnsi" w:cstheme="majorHAnsi"/>
          <w:spacing w:val="2"/>
        </w:rPr>
        <w:t xml:space="preserve">committed </w:t>
      </w:r>
      <w:r w:rsidR="007B3BF9" w:rsidRPr="00820811">
        <w:rPr>
          <w:rFonts w:asciiTheme="majorHAnsi" w:hAnsiTheme="majorHAnsi" w:cstheme="majorHAnsi"/>
          <w:spacing w:val="2"/>
        </w:rPr>
        <w:t xml:space="preserve">people </w:t>
      </w:r>
      <w:r w:rsidR="003B5F97">
        <w:rPr>
          <w:rFonts w:asciiTheme="majorHAnsi" w:hAnsiTheme="majorHAnsi" w:cstheme="majorHAnsi"/>
          <w:spacing w:val="2"/>
        </w:rPr>
        <w:t>who</w:t>
      </w:r>
      <w:r w:rsidR="007B3BF9" w:rsidRPr="00820811">
        <w:rPr>
          <w:rFonts w:asciiTheme="majorHAnsi" w:hAnsiTheme="majorHAnsi" w:cstheme="majorHAnsi"/>
          <w:spacing w:val="2"/>
        </w:rPr>
        <w:t xml:space="preserve"> are fully briefed and understand</w:t>
      </w:r>
      <w:r w:rsidR="00240A04" w:rsidRPr="00820811">
        <w:rPr>
          <w:rFonts w:asciiTheme="majorHAnsi" w:hAnsiTheme="majorHAnsi" w:cstheme="majorHAnsi"/>
          <w:spacing w:val="2"/>
        </w:rPr>
        <w:t xml:space="preserve"> </w:t>
      </w:r>
      <w:r w:rsidR="007B3BF9" w:rsidRPr="00820811">
        <w:rPr>
          <w:rFonts w:asciiTheme="majorHAnsi" w:hAnsiTheme="majorHAnsi" w:cstheme="majorHAnsi"/>
          <w:spacing w:val="2"/>
        </w:rPr>
        <w:t xml:space="preserve">the context </w:t>
      </w:r>
      <w:r w:rsidR="00240A04" w:rsidRPr="00820811">
        <w:rPr>
          <w:rFonts w:asciiTheme="majorHAnsi" w:hAnsiTheme="majorHAnsi" w:cstheme="majorHAnsi"/>
          <w:spacing w:val="2"/>
        </w:rPr>
        <w:t xml:space="preserve">of </w:t>
      </w:r>
      <w:r w:rsidR="007B3BF9" w:rsidRPr="00820811">
        <w:rPr>
          <w:rFonts w:asciiTheme="majorHAnsi" w:hAnsiTheme="majorHAnsi" w:cstheme="majorHAnsi"/>
          <w:spacing w:val="2"/>
        </w:rPr>
        <w:t>working in Kiribati.</w:t>
      </w:r>
      <w:r w:rsidR="000459F8" w:rsidRPr="00820811">
        <w:rPr>
          <w:rFonts w:asciiTheme="majorHAnsi" w:hAnsiTheme="majorHAnsi" w:cstheme="majorHAnsi"/>
          <w:spacing w:val="2"/>
        </w:rPr>
        <w:t xml:space="preserve"> </w:t>
      </w:r>
      <w:r w:rsidR="007B3BF9" w:rsidRPr="00820811">
        <w:rPr>
          <w:rFonts w:asciiTheme="majorHAnsi" w:hAnsiTheme="majorHAnsi" w:cstheme="majorHAnsi"/>
          <w:spacing w:val="2"/>
        </w:rPr>
        <w:t>The recruitment process and contracting of well qualified</w:t>
      </w:r>
      <w:r w:rsidR="006E6B10" w:rsidRPr="00820811">
        <w:rPr>
          <w:rFonts w:asciiTheme="majorHAnsi" w:hAnsiTheme="majorHAnsi" w:cstheme="majorHAnsi"/>
          <w:spacing w:val="2"/>
        </w:rPr>
        <w:t xml:space="preserve"> </w:t>
      </w:r>
      <w:r w:rsidR="000459F8" w:rsidRPr="00820811">
        <w:rPr>
          <w:rFonts w:asciiTheme="majorHAnsi" w:hAnsiTheme="majorHAnsi" w:cstheme="majorHAnsi"/>
          <w:spacing w:val="2"/>
        </w:rPr>
        <w:t xml:space="preserve">specialists </w:t>
      </w:r>
      <w:r w:rsidR="007B3BF9" w:rsidRPr="00820811">
        <w:rPr>
          <w:rFonts w:asciiTheme="majorHAnsi" w:hAnsiTheme="majorHAnsi" w:cstheme="majorHAnsi"/>
          <w:spacing w:val="2"/>
        </w:rPr>
        <w:t>support</w:t>
      </w:r>
      <w:r w:rsidR="00240A04" w:rsidRPr="00820811">
        <w:rPr>
          <w:rFonts w:asciiTheme="majorHAnsi" w:hAnsiTheme="majorHAnsi" w:cstheme="majorHAnsi"/>
          <w:spacing w:val="2"/>
        </w:rPr>
        <w:t>s</w:t>
      </w:r>
      <w:r w:rsidR="007B3BF9" w:rsidRPr="00820811">
        <w:rPr>
          <w:rFonts w:asciiTheme="majorHAnsi" w:hAnsiTheme="majorHAnsi" w:cstheme="majorHAnsi"/>
          <w:spacing w:val="2"/>
        </w:rPr>
        <w:t xml:space="preserve"> the MoE</w:t>
      </w:r>
      <w:r w:rsidR="00612FB4" w:rsidRPr="00820811">
        <w:rPr>
          <w:rFonts w:asciiTheme="majorHAnsi" w:hAnsiTheme="majorHAnsi" w:cstheme="majorHAnsi"/>
          <w:spacing w:val="2"/>
        </w:rPr>
        <w:t xml:space="preserve"> </w:t>
      </w:r>
      <w:r w:rsidR="007B3BF9" w:rsidRPr="00820811">
        <w:rPr>
          <w:rFonts w:asciiTheme="majorHAnsi" w:hAnsiTheme="majorHAnsi" w:cstheme="majorHAnsi"/>
          <w:spacing w:val="2"/>
        </w:rPr>
        <w:t>as it addresses and implements</w:t>
      </w:r>
      <w:r w:rsidR="000459F8" w:rsidRPr="00820811">
        <w:rPr>
          <w:rFonts w:asciiTheme="majorHAnsi" w:hAnsiTheme="majorHAnsi" w:cstheme="majorHAnsi"/>
          <w:spacing w:val="2"/>
        </w:rPr>
        <w:t xml:space="preserve"> the various reform priorities and technical </w:t>
      </w:r>
      <w:r w:rsidR="007B3BF9" w:rsidRPr="00820811">
        <w:rPr>
          <w:rFonts w:asciiTheme="majorHAnsi" w:hAnsiTheme="majorHAnsi" w:cstheme="majorHAnsi"/>
          <w:spacing w:val="2"/>
        </w:rPr>
        <w:t xml:space="preserve">or pedagogical </w:t>
      </w:r>
      <w:r w:rsidR="000459F8" w:rsidRPr="00820811">
        <w:rPr>
          <w:rFonts w:asciiTheme="majorHAnsi" w:hAnsiTheme="majorHAnsi" w:cstheme="majorHAnsi"/>
          <w:spacing w:val="2"/>
        </w:rPr>
        <w:t>areas</w:t>
      </w:r>
      <w:r w:rsidR="007B3BF9" w:rsidRPr="00820811">
        <w:rPr>
          <w:rFonts w:asciiTheme="majorHAnsi" w:hAnsiTheme="majorHAnsi" w:cstheme="majorHAnsi"/>
          <w:spacing w:val="2"/>
        </w:rPr>
        <w:t xml:space="preserve"> across the basic education system</w:t>
      </w:r>
      <w:r w:rsidR="000459F8" w:rsidRPr="00820811">
        <w:rPr>
          <w:rFonts w:asciiTheme="majorHAnsi" w:hAnsiTheme="majorHAnsi" w:cstheme="majorHAnsi"/>
          <w:spacing w:val="2"/>
        </w:rPr>
        <w:t>.</w:t>
      </w:r>
      <w:r w:rsidR="00022721" w:rsidRPr="00820811">
        <w:rPr>
          <w:rFonts w:asciiTheme="majorHAnsi" w:hAnsiTheme="majorHAnsi" w:cstheme="majorHAnsi"/>
          <w:spacing w:val="2"/>
        </w:rPr>
        <w:t xml:space="preserve"> </w:t>
      </w:r>
    </w:p>
    <w:p w14:paraId="346DB76F" w14:textId="658590B6" w:rsidR="000459F8" w:rsidRPr="0060082A" w:rsidRDefault="00B24E2B" w:rsidP="0060082A">
      <w:pPr>
        <w:rPr>
          <w:rFonts w:asciiTheme="majorHAnsi" w:hAnsiTheme="majorHAnsi" w:cstheme="majorHAnsi"/>
        </w:rPr>
      </w:pPr>
      <w:r w:rsidRPr="0060082A">
        <w:rPr>
          <w:rFonts w:asciiTheme="majorHAnsi" w:hAnsiTheme="majorHAnsi" w:cstheme="majorHAnsi"/>
        </w:rPr>
        <w:t xml:space="preserve">The combined long and short term personnel expenditure over KEIP Phase </w:t>
      </w:r>
      <w:r w:rsidR="000A49FE">
        <w:rPr>
          <w:rFonts w:asciiTheme="majorHAnsi" w:hAnsiTheme="majorHAnsi" w:cstheme="majorHAnsi"/>
        </w:rPr>
        <w:t>2</w:t>
      </w:r>
      <w:r w:rsidRPr="0060082A">
        <w:rPr>
          <w:rFonts w:asciiTheme="majorHAnsi" w:hAnsiTheme="majorHAnsi" w:cstheme="majorHAnsi"/>
        </w:rPr>
        <w:t xml:space="preserve"> was AUD 4,273,532. </w:t>
      </w:r>
    </w:p>
    <w:p w14:paraId="7022EF38" w14:textId="500D8BAE" w:rsidR="00B24E2B" w:rsidRPr="0060082A" w:rsidRDefault="00B24E2B" w:rsidP="0060082A">
      <w:pPr>
        <w:rPr>
          <w:rFonts w:asciiTheme="majorHAnsi" w:hAnsiTheme="majorHAnsi" w:cstheme="majorHAnsi"/>
        </w:rPr>
      </w:pPr>
      <w:r w:rsidRPr="0060082A">
        <w:rPr>
          <w:rFonts w:asciiTheme="majorHAnsi" w:hAnsiTheme="majorHAnsi" w:cstheme="majorHAnsi"/>
        </w:rPr>
        <w:t xml:space="preserve">Considering the size of the KEF office in Tarawa, </w:t>
      </w:r>
      <w:r w:rsidR="000459F8" w:rsidRPr="0060082A">
        <w:rPr>
          <w:rFonts w:asciiTheme="majorHAnsi" w:hAnsiTheme="majorHAnsi" w:cstheme="majorHAnsi"/>
        </w:rPr>
        <w:t xml:space="preserve">the </w:t>
      </w:r>
      <w:r w:rsidRPr="0060082A">
        <w:rPr>
          <w:rFonts w:asciiTheme="majorHAnsi" w:hAnsiTheme="majorHAnsi" w:cstheme="majorHAnsi"/>
        </w:rPr>
        <w:t xml:space="preserve">required program support levels and the cost of </w:t>
      </w:r>
      <w:r w:rsidR="000459F8" w:rsidRPr="0060082A">
        <w:rPr>
          <w:rFonts w:asciiTheme="majorHAnsi" w:hAnsiTheme="majorHAnsi" w:cstheme="majorHAnsi"/>
        </w:rPr>
        <w:t xml:space="preserve">utilities and </w:t>
      </w:r>
      <w:r w:rsidRPr="0060082A">
        <w:rPr>
          <w:rFonts w:asciiTheme="majorHAnsi" w:hAnsiTheme="majorHAnsi" w:cstheme="majorHAnsi"/>
        </w:rPr>
        <w:t xml:space="preserve">services in Kiribati, the overall Phase </w:t>
      </w:r>
      <w:r w:rsidR="000A49FE">
        <w:rPr>
          <w:rFonts w:asciiTheme="majorHAnsi" w:hAnsiTheme="majorHAnsi" w:cstheme="majorHAnsi"/>
        </w:rPr>
        <w:t>2</w:t>
      </w:r>
      <w:r w:rsidRPr="0060082A">
        <w:rPr>
          <w:rFonts w:asciiTheme="majorHAnsi" w:hAnsiTheme="majorHAnsi" w:cstheme="majorHAnsi"/>
        </w:rPr>
        <w:t xml:space="preserve"> expenditure of AUD 269,967 for operational costs represents </w:t>
      </w:r>
      <w:r w:rsidR="00FA0E80" w:rsidRPr="0060082A">
        <w:rPr>
          <w:rFonts w:asciiTheme="majorHAnsi" w:hAnsiTheme="majorHAnsi" w:cstheme="majorHAnsi"/>
        </w:rPr>
        <w:t xml:space="preserve">the </w:t>
      </w:r>
      <w:r w:rsidRPr="0060082A">
        <w:rPr>
          <w:rFonts w:asciiTheme="majorHAnsi" w:hAnsiTheme="majorHAnsi" w:cstheme="majorHAnsi"/>
        </w:rPr>
        <w:t>efficient use of funding.</w:t>
      </w:r>
    </w:p>
    <w:p w14:paraId="1519D27A" w14:textId="77777777" w:rsidR="00820811" w:rsidRDefault="00820811">
      <w:pPr>
        <w:spacing w:line="276" w:lineRule="auto"/>
        <w:rPr>
          <w:rFonts w:asciiTheme="majorHAnsi" w:hAnsiTheme="majorHAnsi" w:cstheme="majorHAnsi"/>
          <w:b/>
          <w:color w:val="000000" w:themeColor="text1"/>
          <w:spacing w:val="2"/>
          <w:szCs w:val="32"/>
        </w:rPr>
      </w:pPr>
      <w:r>
        <w:br w:type="page"/>
      </w:r>
    </w:p>
    <w:p w14:paraId="074025A4" w14:textId="227F9F95" w:rsidR="00CD3B9F" w:rsidRPr="00C918BF" w:rsidRDefault="00CD3B9F" w:rsidP="00CD6138">
      <w:pPr>
        <w:pStyle w:val="Heading3"/>
      </w:pPr>
      <w:bookmarkStart w:id="58" w:name="_Toc461615699"/>
      <w:r w:rsidRPr="00C918BF">
        <w:lastRenderedPageBreak/>
        <w:t>Budget Support and use of M</w:t>
      </w:r>
      <w:r w:rsidR="00BC0293" w:rsidRPr="00C918BF">
        <w:t>o</w:t>
      </w:r>
      <w:r w:rsidRPr="00C918BF">
        <w:t>E systems</w:t>
      </w:r>
      <w:bookmarkEnd w:id="58"/>
    </w:p>
    <w:p w14:paraId="42F0C671" w14:textId="4E9960C8" w:rsidR="00B24E2B" w:rsidRPr="0060082A" w:rsidRDefault="00B24E2B" w:rsidP="0060082A">
      <w:pPr>
        <w:rPr>
          <w:rFonts w:asciiTheme="majorHAnsi" w:hAnsiTheme="majorHAnsi" w:cstheme="majorHAnsi"/>
        </w:rPr>
      </w:pPr>
      <w:r w:rsidRPr="0060082A">
        <w:rPr>
          <w:rFonts w:asciiTheme="majorHAnsi" w:hAnsiTheme="majorHAnsi" w:cstheme="majorHAnsi"/>
        </w:rPr>
        <w:t xml:space="preserve">At the commencement of </w:t>
      </w:r>
      <w:r w:rsidR="000459F8" w:rsidRPr="0060082A">
        <w:rPr>
          <w:rFonts w:asciiTheme="majorHAnsi" w:hAnsiTheme="majorHAnsi" w:cstheme="majorHAnsi"/>
        </w:rPr>
        <w:t xml:space="preserve">KEIP Phase </w:t>
      </w:r>
      <w:r w:rsidR="000A49FE">
        <w:rPr>
          <w:rFonts w:asciiTheme="majorHAnsi" w:hAnsiTheme="majorHAnsi" w:cstheme="majorHAnsi"/>
        </w:rPr>
        <w:t>2</w:t>
      </w:r>
      <w:r w:rsidR="000459F8" w:rsidRPr="0060082A">
        <w:rPr>
          <w:rFonts w:asciiTheme="majorHAnsi" w:hAnsiTheme="majorHAnsi" w:cstheme="majorHAnsi"/>
        </w:rPr>
        <w:t xml:space="preserve">, </w:t>
      </w:r>
      <w:r w:rsidRPr="0060082A">
        <w:rPr>
          <w:rFonts w:asciiTheme="majorHAnsi" w:hAnsiTheme="majorHAnsi" w:cstheme="majorHAnsi"/>
        </w:rPr>
        <w:t xml:space="preserve">efforts were made to set up structures and processes for the provision of indirect budget support </w:t>
      </w:r>
      <w:r w:rsidR="000459F8" w:rsidRPr="0060082A">
        <w:rPr>
          <w:rFonts w:asciiTheme="majorHAnsi" w:hAnsiTheme="majorHAnsi" w:cstheme="majorHAnsi"/>
        </w:rPr>
        <w:t xml:space="preserve">– through the MoE </w:t>
      </w:r>
      <w:r w:rsidR="008733D1" w:rsidRPr="0060082A">
        <w:rPr>
          <w:rFonts w:asciiTheme="majorHAnsi" w:hAnsiTheme="majorHAnsi" w:cstheme="majorHAnsi"/>
        </w:rPr>
        <w:t>–</w:t>
      </w:r>
      <w:r w:rsidR="000459F8" w:rsidRPr="0060082A">
        <w:rPr>
          <w:rFonts w:asciiTheme="majorHAnsi" w:hAnsiTheme="majorHAnsi" w:cstheme="majorHAnsi"/>
        </w:rPr>
        <w:t xml:space="preserve"> </w:t>
      </w:r>
      <w:r w:rsidRPr="0060082A">
        <w:rPr>
          <w:rFonts w:asciiTheme="majorHAnsi" w:hAnsiTheme="majorHAnsi" w:cstheme="majorHAnsi"/>
        </w:rPr>
        <w:t xml:space="preserve">for program activity funding utilising </w:t>
      </w:r>
      <w:r w:rsidR="000459F8" w:rsidRPr="0060082A">
        <w:rPr>
          <w:rFonts w:asciiTheme="majorHAnsi" w:hAnsiTheme="majorHAnsi" w:cstheme="majorHAnsi"/>
        </w:rPr>
        <w:t xml:space="preserve">the </w:t>
      </w:r>
      <w:r w:rsidRPr="0060082A">
        <w:rPr>
          <w:rFonts w:asciiTheme="majorHAnsi" w:hAnsiTheme="majorHAnsi" w:cstheme="majorHAnsi"/>
        </w:rPr>
        <w:t xml:space="preserve">GoK No. 4 Account. </w:t>
      </w:r>
      <w:r w:rsidR="000459F8" w:rsidRPr="0060082A">
        <w:rPr>
          <w:rFonts w:asciiTheme="majorHAnsi" w:hAnsiTheme="majorHAnsi" w:cstheme="majorHAnsi"/>
        </w:rPr>
        <w:t>However, i</w:t>
      </w:r>
      <w:r w:rsidRPr="0060082A">
        <w:rPr>
          <w:rFonts w:asciiTheme="majorHAnsi" w:hAnsiTheme="majorHAnsi" w:cstheme="majorHAnsi"/>
        </w:rPr>
        <w:t xml:space="preserve">n practice, the GoK systems were unable to support </w:t>
      </w:r>
      <w:r w:rsidR="000459F8" w:rsidRPr="0060082A">
        <w:rPr>
          <w:rFonts w:asciiTheme="majorHAnsi" w:hAnsiTheme="majorHAnsi" w:cstheme="majorHAnsi"/>
        </w:rPr>
        <w:t xml:space="preserve">the </w:t>
      </w:r>
      <w:r w:rsidRPr="0060082A">
        <w:rPr>
          <w:rFonts w:asciiTheme="majorHAnsi" w:hAnsiTheme="majorHAnsi" w:cstheme="majorHAnsi"/>
        </w:rPr>
        <w:t>efficient and effective transferral and acquittal of funds for activities</w:t>
      </w:r>
      <w:r w:rsidR="000459F8" w:rsidRPr="0060082A">
        <w:rPr>
          <w:rFonts w:asciiTheme="majorHAnsi" w:hAnsiTheme="majorHAnsi" w:cstheme="majorHAnsi"/>
        </w:rPr>
        <w:t xml:space="preserve">. There were delays </w:t>
      </w:r>
      <w:r w:rsidR="00240A04" w:rsidRPr="0060082A">
        <w:rPr>
          <w:rFonts w:asciiTheme="majorHAnsi" w:hAnsiTheme="majorHAnsi" w:cstheme="majorHAnsi"/>
        </w:rPr>
        <w:t xml:space="preserve">also </w:t>
      </w:r>
      <w:r w:rsidR="000459F8" w:rsidRPr="0060082A">
        <w:rPr>
          <w:rFonts w:asciiTheme="majorHAnsi" w:hAnsiTheme="majorHAnsi" w:cstheme="majorHAnsi"/>
        </w:rPr>
        <w:t>in the payment of invoices for services delivered.</w:t>
      </w:r>
      <w:r w:rsidRPr="0060082A">
        <w:rPr>
          <w:rFonts w:asciiTheme="majorHAnsi" w:hAnsiTheme="majorHAnsi" w:cstheme="majorHAnsi"/>
        </w:rPr>
        <w:t xml:space="preserve"> </w:t>
      </w:r>
    </w:p>
    <w:p w14:paraId="29F9A9EE" w14:textId="7EFA2AA2" w:rsidR="000459F8" w:rsidRPr="0060082A" w:rsidRDefault="00B24E2B" w:rsidP="0060082A">
      <w:pPr>
        <w:rPr>
          <w:rFonts w:asciiTheme="majorHAnsi" w:eastAsia="Calibri" w:hAnsiTheme="majorHAnsi" w:cstheme="majorHAnsi"/>
        </w:rPr>
      </w:pPr>
      <w:r w:rsidRPr="0060082A">
        <w:rPr>
          <w:rFonts w:asciiTheme="majorHAnsi" w:hAnsiTheme="majorHAnsi" w:cstheme="majorHAnsi"/>
        </w:rPr>
        <w:t xml:space="preserve">MoE Activity Managers reported being unable to </w:t>
      </w:r>
      <w:r w:rsidR="000459F8" w:rsidRPr="0060082A">
        <w:rPr>
          <w:rFonts w:asciiTheme="majorHAnsi" w:hAnsiTheme="majorHAnsi" w:cstheme="majorHAnsi"/>
        </w:rPr>
        <w:t>access funds in a timely manner</w:t>
      </w:r>
      <w:r w:rsidR="00690CEF" w:rsidRPr="0060082A">
        <w:rPr>
          <w:rFonts w:asciiTheme="majorHAnsi" w:hAnsiTheme="majorHAnsi" w:cstheme="majorHAnsi"/>
        </w:rPr>
        <w:t>. This le</w:t>
      </w:r>
      <w:r w:rsidR="00240A04" w:rsidRPr="0060082A">
        <w:rPr>
          <w:rFonts w:asciiTheme="majorHAnsi" w:hAnsiTheme="majorHAnsi" w:cstheme="majorHAnsi"/>
        </w:rPr>
        <w:t xml:space="preserve">d </w:t>
      </w:r>
      <w:r w:rsidRPr="0060082A">
        <w:rPr>
          <w:rFonts w:asciiTheme="majorHAnsi" w:hAnsiTheme="majorHAnsi" w:cstheme="majorHAnsi"/>
        </w:rPr>
        <w:t xml:space="preserve">to delays in </w:t>
      </w:r>
      <w:r w:rsidR="000459F8" w:rsidRPr="0060082A">
        <w:rPr>
          <w:rFonts w:asciiTheme="majorHAnsi" w:hAnsiTheme="majorHAnsi" w:cstheme="majorHAnsi"/>
        </w:rPr>
        <w:t xml:space="preserve">implementing </w:t>
      </w:r>
      <w:r w:rsidRPr="0060082A">
        <w:rPr>
          <w:rFonts w:asciiTheme="majorHAnsi" w:hAnsiTheme="majorHAnsi" w:cstheme="majorHAnsi"/>
        </w:rPr>
        <w:t xml:space="preserve">activities and an inability to obtain up-to-date expenditure reporting </w:t>
      </w:r>
      <w:r w:rsidR="000459F8" w:rsidRPr="0060082A">
        <w:rPr>
          <w:rFonts w:asciiTheme="majorHAnsi" w:hAnsiTheme="majorHAnsi" w:cstheme="majorHAnsi"/>
        </w:rPr>
        <w:t xml:space="preserve">in order </w:t>
      </w:r>
      <w:r w:rsidRPr="0060082A">
        <w:rPr>
          <w:rFonts w:asciiTheme="majorHAnsi" w:hAnsiTheme="majorHAnsi" w:cstheme="majorHAnsi"/>
        </w:rPr>
        <w:t xml:space="preserve">to support </w:t>
      </w:r>
      <w:r w:rsidR="00FA0E80" w:rsidRPr="0060082A">
        <w:rPr>
          <w:rFonts w:asciiTheme="majorHAnsi" w:hAnsiTheme="majorHAnsi" w:cstheme="majorHAnsi"/>
        </w:rPr>
        <w:t xml:space="preserve">forward </w:t>
      </w:r>
      <w:r w:rsidRPr="0060082A">
        <w:rPr>
          <w:rFonts w:asciiTheme="majorHAnsi" w:hAnsiTheme="majorHAnsi" w:cstheme="majorHAnsi"/>
        </w:rPr>
        <w:t xml:space="preserve">planning, budgeting and reporting. </w:t>
      </w:r>
    </w:p>
    <w:p w14:paraId="0971EACF" w14:textId="25036150" w:rsidR="000459F8" w:rsidRPr="0060082A" w:rsidRDefault="0038699A" w:rsidP="0060082A">
      <w:pPr>
        <w:rPr>
          <w:rFonts w:asciiTheme="majorHAnsi" w:hAnsiTheme="majorHAnsi" w:cstheme="majorHAnsi"/>
        </w:rPr>
      </w:pPr>
      <w:r w:rsidRPr="0060082A">
        <w:rPr>
          <w:rFonts w:asciiTheme="majorHAnsi" w:hAnsiTheme="majorHAnsi" w:cstheme="majorHAnsi"/>
        </w:rPr>
        <w:t xml:space="preserve">The </w:t>
      </w:r>
      <w:r w:rsidR="005C6629" w:rsidRPr="0060082A">
        <w:rPr>
          <w:rFonts w:asciiTheme="majorHAnsi" w:hAnsiTheme="majorHAnsi" w:cstheme="majorHAnsi"/>
        </w:rPr>
        <w:t xml:space="preserve">DFAT-commissioned </w:t>
      </w:r>
      <w:r w:rsidRPr="0060082A">
        <w:rPr>
          <w:rFonts w:asciiTheme="majorHAnsi" w:hAnsiTheme="majorHAnsi" w:cstheme="majorHAnsi"/>
        </w:rPr>
        <w:t xml:space="preserve">March 2015 </w:t>
      </w:r>
      <w:r w:rsidR="005C6629" w:rsidRPr="0060082A">
        <w:rPr>
          <w:rFonts w:asciiTheme="majorHAnsi" w:hAnsiTheme="majorHAnsi" w:cstheme="majorHAnsi"/>
          <w:i/>
        </w:rPr>
        <w:t>A</w:t>
      </w:r>
      <w:r w:rsidRPr="0060082A">
        <w:rPr>
          <w:rFonts w:asciiTheme="majorHAnsi" w:hAnsiTheme="majorHAnsi" w:cstheme="majorHAnsi"/>
          <w:i/>
        </w:rPr>
        <w:t>ssessment of the Kiribati Education Sector Public Financial Management Systems</w:t>
      </w:r>
      <w:r w:rsidRPr="0060082A">
        <w:rPr>
          <w:rFonts w:asciiTheme="majorHAnsi" w:hAnsiTheme="majorHAnsi" w:cstheme="majorHAnsi"/>
        </w:rPr>
        <w:t xml:space="preserve"> considered “the residual risks of channelling DFAT funds through GoK and MoE downstream systems are not manageable in the short term”. This position may be reviewed in the future, following a strengthening of MoE financial systems</w:t>
      </w:r>
      <w:r w:rsidR="004A0684" w:rsidRPr="0060082A">
        <w:rPr>
          <w:rFonts w:asciiTheme="majorHAnsi" w:hAnsiTheme="majorHAnsi" w:cstheme="majorHAnsi"/>
        </w:rPr>
        <w:t xml:space="preserve">. </w:t>
      </w:r>
      <w:r w:rsidR="005C6629" w:rsidRPr="0060082A">
        <w:rPr>
          <w:rFonts w:asciiTheme="majorHAnsi" w:hAnsiTheme="majorHAnsi" w:cstheme="majorHAnsi"/>
        </w:rPr>
        <w:t>However, w</w:t>
      </w:r>
      <w:r w:rsidR="00B24E2B" w:rsidRPr="0060082A">
        <w:rPr>
          <w:rFonts w:asciiTheme="majorHAnsi" w:hAnsiTheme="majorHAnsi" w:cstheme="majorHAnsi"/>
        </w:rPr>
        <w:t>hile th</w:t>
      </w:r>
      <w:r w:rsidR="00CD3B9F" w:rsidRPr="0060082A">
        <w:rPr>
          <w:rFonts w:asciiTheme="majorHAnsi" w:hAnsiTheme="majorHAnsi" w:cstheme="majorHAnsi"/>
        </w:rPr>
        <w:t>e</w:t>
      </w:r>
      <w:r w:rsidR="00B24E2B" w:rsidRPr="0060082A">
        <w:rPr>
          <w:rFonts w:asciiTheme="majorHAnsi" w:hAnsiTheme="majorHAnsi" w:cstheme="majorHAnsi"/>
        </w:rPr>
        <w:t xml:space="preserve"> MoE </w:t>
      </w:r>
      <w:r w:rsidR="000459F8" w:rsidRPr="0060082A">
        <w:rPr>
          <w:rFonts w:asciiTheme="majorHAnsi" w:hAnsiTheme="majorHAnsi" w:cstheme="majorHAnsi"/>
        </w:rPr>
        <w:t xml:space="preserve">financial management and reporting </w:t>
      </w:r>
      <w:r w:rsidR="00B24E2B" w:rsidRPr="0060082A">
        <w:rPr>
          <w:rFonts w:asciiTheme="majorHAnsi" w:hAnsiTheme="majorHAnsi" w:cstheme="majorHAnsi"/>
        </w:rPr>
        <w:t>systems (as a subset of GoK systems) can be improved, th</w:t>
      </w:r>
      <w:r w:rsidR="000459F8" w:rsidRPr="0060082A">
        <w:rPr>
          <w:rFonts w:asciiTheme="majorHAnsi" w:hAnsiTheme="majorHAnsi" w:cstheme="majorHAnsi"/>
        </w:rPr>
        <w:t>is w</w:t>
      </w:r>
      <w:r w:rsidR="00B24E2B" w:rsidRPr="0060082A">
        <w:rPr>
          <w:rFonts w:asciiTheme="majorHAnsi" w:hAnsiTheme="majorHAnsi" w:cstheme="majorHAnsi"/>
        </w:rPr>
        <w:t xml:space="preserve">ill have limited benefit in the absence of </w:t>
      </w:r>
      <w:r w:rsidR="000459F8" w:rsidRPr="0060082A">
        <w:rPr>
          <w:rFonts w:asciiTheme="majorHAnsi" w:hAnsiTheme="majorHAnsi" w:cstheme="majorHAnsi"/>
        </w:rPr>
        <w:t xml:space="preserve">broader </w:t>
      </w:r>
      <w:r w:rsidR="00B24E2B" w:rsidRPr="0060082A">
        <w:rPr>
          <w:rFonts w:asciiTheme="majorHAnsi" w:hAnsiTheme="majorHAnsi" w:cstheme="majorHAnsi"/>
        </w:rPr>
        <w:t xml:space="preserve">improvement to </w:t>
      </w:r>
      <w:r w:rsidR="000459F8" w:rsidRPr="0060082A">
        <w:rPr>
          <w:rFonts w:asciiTheme="majorHAnsi" w:hAnsiTheme="majorHAnsi" w:cstheme="majorHAnsi"/>
        </w:rPr>
        <w:t xml:space="preserve">the </w:t>
      </w:r>
      <w:r w:rsidR="00B24E2B" w:rsidRPr="0060082A">
        <w:rPr>
          <w:rFonts w:asciiTheme="majorHAnsi" w:hAnsiTheme="majorHAnsi" w:cstheme="majorHAnsi"/>
        </w:rPr>
        <w:t xml:space="preserve">national </w:t>
      </w:r>
      <w:r w:rsidR="00CD3B9F" w:rsidRPr="0060082A">
        <w:rPr>
          <w:rFonts w:asciiTheme="majorHAnsi" w:hAnsiTheme="majorHAnsi" w:cstheme="majorHAnsi"/>
        </w:rPr>
        <w:t xml:space="preserve">government financial </w:t>
      </w:r>
      <w:r w:rsidR="00B24E2B" w:rsidRPr="0060082A">
        <w:rPr>
          <w:rFonts w:asciiTheme="majorHAnsi" w:hAnsiTheme="majorHAnsi" w:cstheme="majorHAnsi"/>
        </w:rPr>
        <w:t xml:space="preserve">systems. </w:t>
      </w:r>
    </w:p>
    <w:p w14:paraId="7249BAF9" w14:textId="77777777" w:rsidR="00B24E2B" w:rsidRPr="0060082A" w:rsidRDefault="00CD3B9F" w:rsidP="0060082A">
      <w:pPr>
        <w:rPr>
          <w:rFonts w:asciiTheme="majorHAnsi" w:hAnsiTheme="majorHAnsi" w:cstheme="majorHAnsi"/>
        </w:rPr>
      </w:pPr>
      <w:r w:rsidRPr="0060082A">
        <w:rPr>
          <w:rFonts w:asciiTheme="majorHAnsi" w:hAnsiTheme="majorHAnsi" w:cstheme="majorHAnsi"/>
        </w:rPr>
        <w:t xml:space="preserve">The </w:t>
      </w:r>
      <w:r w:rsidR="00B24E2B" w:rsidRPr="0060082A">
        <w:rPr>
          <w:rFonts w:asciiTheme="majorHAnsi" w:hAnsiTheme="majorHAnsi" w:cstheme="majorHAnsi"/>
        </w:rPr>
        <w:t>KEF, acting on the recommendation of the</w:t>
      </w:r>
      <w:r w:rsidRPr="0060082A">
        <w:rPr>
          <w:rFonts w:asciiTheme="majorHAnsi" w:hAnsiTheme="majorHAnsi" w:cstheme="majorHAnsi"/>
        </w:rPr>
        <w:t xml:space="preserve"> </w:t>
      </w:r>
      <w:r w:rsidR="00355A10" w:rsidRPr="0060082A">
        <w:rPr>
          <w:rFonts w:asciiTheme="majorHAnsi" w:hAnsiTheme="majorHAnsi" w:cstheme="majorHAnsi"/>
          <w:i/>
        </w:rPr>
        <w:t xml:space="preserve">March </w:t>
      </w:r>
      <w:r w:rsidR="000459F8" w:rsidRPr="0060082A">
        <w:rPr>
          <w:rFonts w:asciiTheme="majorHAnsi" w:hAnsiTheme="majorHAnsi" w:cstheme="majorHAnsi"/>
          <w:i/>
        </w:rPr>
        <w:t>2015 Assessment of the Education Sector Public Financial Management Systems</w:t>
      </w:r>
      <w:r w:rsidR="00B24E2B" w:rsidRPr="0060082A">
        <w:rPr>
          <w:rFonts w:asciiTheme="majorHAnsi" w:hAnsiTheme="majorHAnsi" w:cstheme="majorHAnsi"/>
        </w:rPr>
        <w:t xml:space="preserve">, </w:t>
      </w:r>
      <w:r w:rsidR="00A22D17" w:rsidRPr="0060082A">
        <w:rPr>
          <w:rFonts w:asciiTheme="majorHAnsi" w:hAnsiTheme="majorHAnsi" w:cstheme="majorHAnsi"/>
        </w:rPr>
        <w:t>no longer channels</w:t>
      </w:r>
      <w:r w:rsidR="00E72FBC" w:rsidRPr="0060082A">
        <w:rPr>
          <w:rFonts w:asciiTheme="majorHAnsi" w:hAnsiTheme="majorHAnsi" w:cstheme="majorHAnsi"/>
        </w:rPr>
        <w:t xml:space="preserve"> funds through </w:t>
      </w:r>
      <w:r w:rsidR="00B24E2B" w:rsidRPr="0060082A">
        <w:rPr>
          <w:rFonts w:asciiTheme="majorHAnsi" w:hAnsiTheme="majorHAnsi" w:cstheme="majorHAnsi"/>
        </w:rPr>
        <w:t>MoE systems</w:t>
      </w:r>
      <w:r w:rsidR="00E72FBC" w:rsidRPr="0060082A">
        <w:rPr>
          <w:rFonts w:asciiTheme="majorHAnsi" w:hAnsiTheme="majorHAnsi" w:cstheme="majorHAnsi"/>
        </w:rPr>
        <w:t>,</w:t>
      </w:r>
      <w:r w:rsidR="00B24E2B" w:rsidRPr="0060082A">
        <w:rPr>
          <w:rFonts w:asciiTheme="majorHAnsi" w:hAnsiTheme="majorHAnsi" w:cstheme="majorHAnsi"/>
        </w:rPr>
        <w:t xml:space="preserve"> </w:t>
      </w:r>
      <w:r w:rsidR="00E72FBC" w:rsidRPr="0060082A">
        <w:rPr>
          <w:rFonts w:asciiTheme="majorHAnsi" w:hAnsiTheme="majorHAnsi" w:cstheme="majorHAnsi"/>
        </w:rPr>
        <w:t>except for tranche payments (via Development Account No.4) to the Ministry of Line and Phoenix Islands Development for the administration of payments for local materials and labour for school infrastructure rehabilitation in the remote Line Islands</w:t>
      </w:r>
      <w:r w:rsidR="00B24E2B" w:rsidRPr="0060082A">
        <w:rPr>
          <w:rFonts w:asciiTheme="majorHAnsi" w:hAnsiTheme="majorHAnsi" w:cstheme="majorHAnsi"/>
        </w:rPr>
        <w:t xml:space="preserve">. </w:t>
      </w:r>
      <w:r w:rsidR="000459F8" w:rsidRPr="0060082A">
        <w:rPr>
          <w:rFonts w:asciiTheme="majorHAnsi" w:hAnsiTheme="majorHAnsi" w:cstheme="majorHAnsi"/>
        </w:rPr>
        <w:t xml:space="preserve">The remainder of KEF expenditure is managed through, and reported by, the </w:t>
      </w:r>
      <w:r w:rsidR="00695FE7" w:rsidRPr="0060082A">
        <w:rPr>
          <w:rFonts w:asciiTheme="majorHAnsi" w:hAnsiTheme="majorHAnsi" w:cstheme="majorHAnsi"/>
        </w:rPr>
        <w:t>M</w:t>
      </w:r>
      <w:r w:rsidR="000459F8" w:rsidRPr="0060082A">
        <w:rPr>
          <w:rFonts w:asciiTheme="majorHAnsi" w:hAnsiTheme="majorHAnsi" w:cstheme="majorHAnsi"/>
        </w:rPr>
        <w:t xml:space="preserve">anaging </w:t>
      </w:r>
      <w:r w:rsidR="00695FE7" w:rsidRPr="0060082A">
        <w:rPr>
          <w:rFonts w:asciiTheme="majorHAnsi" w:hAnsiTheme="majorHAnsi" w:cstheme="majorHAnsi"/>
        </w:rPr>
        <w:t>C</w:t>
      </w:r>
      <w:r w:rsidR="000459F8" w:rsidRPr="0060082A">
        <w:rPr>
          <w:rFonts w:asciiTheme="majorHAnsi" w:hAnsiTheme="majorHAnsi" w:cstheme="majorHAnsi"/>
        </w:rPr>
        <w:t>ontractor systems.</w:t>
      </w:r>
    </w:p>
    <w:p w14:paraId="1196D001" w14:textId="77777777" w:rsidR="00CD3B9F" w:rsidRPr="00C918BF" w:rsidRDefault="00CD3B9F" w:rsidP="00CD6138">
      <w:pPr>
        <w:pStyle w:val="Heading3"/>
      </w:pPr>
      <w:bookmarkStart w:id="59" w:name="_Toc461615700"/>
      <w:r w:rsidRPr="00C918BF">
        <w:t xml:space="preserve">Management aligned to DFAT Policies and </w:t>
      </w:r>
      <w:r w:rsidR="000459F8" w:rsidRPr="00C918BF">
        <w:t>Guidelines</w:t>
      </w:r>
      <w:bookmarkEnd w:id="59"/>
    </w:p>
    <w:p w14:paraId="61B67F6B" w14:textId="77777777" w:rsidR="00B24E2B" w:rsidRPr="0060082A" w:rsidRDefault="006D6088" w:rsidP="0060082A">
      <w:pPr>
        <w:rPr>
          <w:rFonts w:asciiTheme="majorHAnsi" w:hAnsiTheme="majorHAnsi" w:cstheme="majorHAnsi"/>
        </w:rPr>
      </w:pPr>
      <w:r w:rsidRPr="0060082A">
        <w:rPr>
          <w:rFonts w:asciiTheme="majorHAnsi" w:hAnsiTheme="majorHAnsi" w:cstheme="majorHAnsi"/>
        </w:rPr>
        <w:t xml:space="preserve">The support provided to MoE for the implementation of </w:t>
      </w:r>
      <w:r w:rsidR="00A22D17" w:rsidRPr="0060082A">
        <w:rPr>
          <w:rFonts w:asciiTheme="majorHAnsi" w:hAnsiTheme="majorHAnsi" w:cstheme="majorHAnsi"/>
        </w:rPr>
        <w:t xml:space="preserve">KEIP </w:t>
      </w:r>
      <w:r w:rsidRPr="0060082A">
        <w:rPr>
          <w:rFonts w:asciiTheme="majorHAnsi" w:hAnsiTheme="majorHAnsi" w:cstheme="majorHAnsi"/>
        </w:rPr>
        <w:t xml:space="preserve">aligns with DFAT and the managing contractor policies and requirements. </w:t>
      </w:r>
      <w:r w:rsidR="00EF6191" w:rsidRPr="0060082A">
        <w:rPr>
          <w:rFonts w:asciiTheme="majorHAnsi" w:hAnsiTheme="majorHAnsi" w:cstheme="majorHAnsi"/>
        </w:rPr>
        <w:t>In summary form, this includes</w:t>
      </w:r>
      <w:r w:rsidRPr="0060082A">
        <w:rPr>
          <w:rFonts w:asciiTheme="majorHAnsi" w:hAnsiTheme="majorHAnsi" w:cstheme="majorHAnsi"/>
        </w:rPr>
        <w:t>:</w:t>
      </w:r>
    </w:p>
    <w:p w14:paraId="31430988" w14:textId="77777777" w:rsidR="006D6088" w:rsidRPr="0060082A" w:rsidRDefault="006D6088" w:rsidP="0060082A">
      <w:pPr>
        <w:rPr>
          <w:rFonts w:asciiTheme="majorHAnsi" w:hAnsiTheme="majorHAnsi" w:cstheme="majorHAnsi"/>
        </w:rPr>
      </w:pPr>
      <w:r w:rsidRPr="0060082A">
        <w:rPr>
          <w:rFonts w:asciiTheme="majorHAnsi" w:hAnsiTheme="majorHAnsi" w:cstheme="majorHAnsi"/>
          <w:b/>
        </w:rPr>
        <w:t>W</w:t>
      </w:r>
      <w:r w:rsidR="00EF6191" w:rsidRPr="0060082A">
        <w:rPr>
          <w:rFonts w:asciiTheme="majorHAnsi" w:hAnsiTheme="majorHAnsi" w:cstheme="majorHAnsi"/>
          <w:b/>
        </w:rPr>
        <w:t>ork Health and Safety:</w:t>
      </w:r>
      <w:r w:rsidR="00EF6191" w:rsidRPr="0060082A">
        <w:rPr>
          <w:rFonts w:asciiTheme="majorHAnsi" w:hAnsiTheme="majorHAnsi" w:cstheme="majorHAnsi"/>
        </w:rPr>
        <w:t xml:space="preserve"> including the security and environment in the KEF office</w:t>
      </w:r>
      <w:r w:rsidR="00FA0E80" w:rsidRPr="0060082A">
        <w:rPr>
          <w:rFonts w:asciiTheme="majorHAnsi" w:hAnsiTheme="majorHAnsi" w:cstheme="majorHAnsi"/>
        </w:rPr>
        <w:t>;</w:t>
      </w:r>
      <w:r w:rsidRPr="0060082A">
        <w:rPr>
          <w:rFonts w:asciiTheme="majorHAnsi" w:hAnsiTheme="majorHAnsi" w:cstheme="majorHAnsi"/>
        </w:rPr>
        <w:t xml:space="preserve"> </w:t>
      </w:r>
    </w:p>
    <w:p w14:paraId="73D18231" w14:textId="77777777" w:rsidR="006D6088" w:rsidRPr="0060082A" w:rsidRDefault="006D6088" w:rsidP="0060082A">
      <w:pPr>
        <w:rPr>
          <w:rFonts w:asciiTheme="majorHAnsi" w:hAnsiTheme="majorHAnsi" w:cstheme="majorHAnsi"/>
        </w:rPr>
      </w:pPr>
      <w:r w:rsidRPr="0060082A">
        <w:rPr>
          <w:rFonts w:asciiTheme="majorHAnsi" w:hAnsiTheme="majorHAnsi" w:cstheme="majorHAnsi"/>
          <w:b/>
        </w:rPr>
        <w:t>Procurement</w:t>
      </w:r>
      <w:r w:rsidR="00EF6191" w:rsidRPr="0060082A">
        <w:rPr>
          <w:rFonts w:asciiTheme="majorHAnsi" w:hAnsiTheme="majorHAnsi" w:cstheme="majorHAnsi"/>
          <w:b/>
        </w:rPr>
        <w:t>:</w:t>
      </w:r>
      <w:r w:rsidR="00EF6191" w:rsidRPr="0060082A">
        <w:rPr>
          <w:rFonts w:asciiTheme="majorHAnsi" w:hAnsiTheme="majorHAnsi" w:cstheme="majorHAnsi"/>
        </w:rPr>
        <w:t xml:space="preserve"> which aligns with </w:t>
      </w:r>
      <w:r w:rsidR="005557FC" w:rsidRPr="0060082A">
        <w:rPr>
          <w:rFonts w:asciiTheme="majorHAnsi" w:hAnsiTheme="majorHAnsi" w:cstheme="majorHAnsi"/>
        </w:rPr>
        <w:t xml:space="preserve">the </w:t>
      </w:r>
      <w:r w:rsidR="00EF6191" w:rsidRPr="0060082A">
        <w:rPr>
          <w:rFonts w:asciiTheme="majorHAnsi" w:hAnsiTheme="majorHAnsi" w:cstheme="majorHAnsi"/>
        </w:rPr>
        <w:t>Commonwealth Procurement Rules</w:t>
      </w:r>
      <w:r w:rsidR="00FA0E80" w:rsidRPr="0060082A">
        <w:rPr>
          <w:rFonts w:asciiTheme="majorHAnsi" w:hAnsiTheme="majorHAnsi" w:cstheme="majorHAnsi"/>
        </w:rPr>
        <w:t>;</w:t>
      </w:r>
      <w:r w:rsidR="00EF6191" w:rsidRPr="0060082A">
        <w:rPr>
          <w:rFonts w:asciiTheme="majorHAnsi" w:hAnsiTheme="majorHAnsi" w:cstheme="majorHAnsi"/>
        </w:rPr>
        <w:t xml:space="preserve"> </w:t>
      </w:r>
    </w:p>
    <w:p w14:paraId="477C7F32" w14:textId="77777777" w:rsidR="006D6088" w:rsidRPr="0060082A" w:rsidRDefault="006D6088" w:rsidP="0060082A">
      <w:pPr>
        <w:rPr>
          <w:rFonts w:asciiTheme="majorHAnsi" w:hAnsiTheme="majorHAnsi" w:cstheme="majorHAnsi"/>
        </w:rPr>
      </w:pPr>
      <w:r w:rsidRPr="0060082A">
        <w:rPr>
          <w:rFonts w:asciiTheme="majorHAnsi" w:hAnsiTheme="majorHAnsi" w:cstheme="majorHAnsi"/>
          <w:b/>
        </w:rPr>
        <w:t>Fraud</w:t>
      </w:r>
      <w:r w:rsidR="00EF6191" w:rsidRPr="0060082A">
        <w:rPr>
          <w:rFonts w:asciiTheme="majorHAnsi" w:hAnsiTheme="majorHAnsi" w:cstheme="majorHAnsi"/>
          <w:b/>
        </w:rPr>
        <w:t>:</w:t>
      </w:r>
      <w:r w:rsidR="00EF6191" w:rsidRPr="0060082A">
        <w:rPr>
          <w:rFonts w:asciiTheme="majorHAnsi" w:hAnsiTheme="majorHAnsi" w:cstheme="majorHAnsi"/>
        </w:rPr>
        <w:t xml:space="preserve"> complying with DFAT and Coffey policies, including a zero tolerance approach</w:t>
      </w:r>
      <w:r w:rsidR="00FA0E80" w:rsidRPr="0060082A">
        <w:rPr>
          <w:rFonts w:asciiTheme="majorHAnsi" w:hAnsiTheme="majorHAnsi" w:cstheme="majorHAnsi"/>
        </w:rPr>
        <w:t>;</w:t>
      </w:r>
    </w:p>
    <w:p w14:paraId="0E288280" w14:textId="77777777" w:rsidR="00EF6191" w:rsidRPr="0060082A" w:rsidRDefault="006D6088" w:rsidP="0060082A">
      <w:pPr>
        <w:rPr>
          <w:rFonts w:asciiTheme="majorHAnsi" w:hAnsiTheme="majorHAnsi" w:cstheme="majorHAnsi"/>
        </w:rPr>
      </w:pPr>
      <w:r w:rsidRPr="0060082A">
        <w:rPr>
          <w:rFonts w:asciiTheme="majorHAnsi" w:hAnsiTheme="majorHAnsi" w:cstheme="majorHAnsi"/>
          <w:b/>
        </w:rPr>
        <w:t>Child Protection</w:t>
      </w:r>
      <w:r w:rsidR="00EF6191" w:rsidRPr="0060082A">
        <w:rPr>
          <w:rFonts w:asciiTheme="majorHAnsi" w:hAnsiTheme="majorHAnsi" w:cstheme="majorHAnsi"/>
          <w:b/>
        </w:rPr>
        <w:t>:</w:t>
      </w:r>
      <w:r w:rsidR="00EF6191" w:rsidRPr="0060082A">
        <w:rPr>
          <w:rFonts w:asciiTheme="majorHAnsi" w:hAnsiTheme="majorHAnsi" w:cstheme="majorHAnsi"/>
        </w:rPr>
        <w:t xml:space="preserve"> complying with DFAT and Coffey policies, including </w:t>
      </w:r>
      <w:r w:rsidR="00695FE7" w:rsidRPr="0060082A">
        <w:rPr>
          <w:rFonts w:asciiTheme="majorHAnsi" w:hAnsiTheme="majorHAnsi" w:cstheme="majorHAnsi"/>
        </w:rPr>
        <w:t>pre-employment police checks and on</w:t>
      </w:r>
      <w:r w:rsidR="00FA0E80" w:rsidRPr="0060082A">
        <w:rPr>
          <w:rFonts w:asciiTheme="majorHAnsi" w:hAnsiTheme="majorHAnsi" w:cstheme="majorHAnsi"/>
        </w:rPr>
        <w:t>-</w:t>
      </w:r>
      <w:r w:rsidR="00695FE7" w:rsidRPr="0060082A">
        <w:rPr>
          <w:rFonts w:asciiTheme="majorHAnsi" w:hAnsiTheme="majorHAnsi" w:cstheme="majorHAnsi"/>
        </w:rPr>
        <w:t>going training in child protection practices and approaches</w:t>
      </w:r>
      <w:r w:rsidR="00FA0E80" w:rsidRPr="0060082A">
        <w:rPr>
          <w:rFonts w:asciiTheme="majorHAnsi" w:hAnsiTheme="majorHAnsi" w:cstheme="majorHAnsi"/>
        </w:rPr>
        <w:t>;</w:t>
      </w:r>
    </w:p>
    <w:p w14:paraId="43231A1A" w14:textId="77777777" w:rsidR="006D6088" w:rsidRPr="0060082A" w:rsidRDefault="006D6088" w:rsidP="0060082A">
      <w:pPr>
        <w:rPr>
          <w:rFonts w:asciiTheme="majorHAnsi" w:hAnsiTheme="majorHAnsi" w:cstheme="majorHAnsi"/>
        </w:rPr>
      </w:pPr>
      <w:r w:rsidRPr="0060082A">
        <w:rPr>
          <w:rFonts w:asciiTheme="majorHAnsi" w:hAnsiTheme="majorHAnsi" w:cstheme="majorHAnsi"/>
          <w:b/>
        </w:rPr>
        <w:t>Environmental</w:t>
      </w:r>
      <w:r w:rsidR="008F3937" w:rsidRPr="0060082A">
        <w:rPr>
          <w:rFonts w:asciiTheme="majorHAnsi" w:hAnsiTheme="majorHAnsi" w:cstheme="majorHAnsi"/>
          <w:b/>
        </w:rPr>
        <w:t>:</w:t>
      </w:r>
      <w:r w:rsidR="00EF6191" w:rsidRPr="0060082A">
        <w:rPr>
          <w:rFonts w:asciiTheme="majorHAnsi" w:hAnsiTheme="majorHAnsi" w:cstheme="majorHAnsi"/>
        </w:rPr>
        <w:t xml:space="preserve"> compliance including for infrastructure, and through a focus on MoE capacity building</w:t>
      </w:r>
      <w:r w:rsidR="00FA0E80" w:rsidRPr="0060082A">
        <w:rPr>
          <w:rFonts w:asciiTheme="majorHAnsi" w:hAnsiTheme="majorHAnsi" w:cstheme="majorHAnsi"/>
        </w:rPr>
        <w:t>;</w:t>
      </w:r>
    </w:p>
    <w:p w14:paraId="34AD3ABA" w14:textId="69E694E8" w:rsidR="006D6088" w:rsidRPr="0060082A" w:rsidRDefault="00C603D3" w:rsidP="0060082A">
      <w:pPr>
        <w:rPr>
          <w:rFonts w:asciiTheme="majorHAnsi" w:hAnsiTheme="majorHAnsi" w:cstheme="majorHAnsi"/>
        </w:rPr>
      </w:pPr>
      <w:r w:rsidRPr="0060082A">
        <w:rPr>
          <w:rFonts w:asciiTheme="majorHAnsi" w:hAnsiTheme="majorHAnsi" w:cstheme="majorHAnsi"/>
          <w:b/>
        </w:rPr>
        <w:t>Sustainability:</w:t>
      </w:r>
      <w:r w:rsidRPr="0060082A">
        <w:rPr>
          <w:rFonts w:asciiTheme="majorHAnsi" w:hAnsiTheme="majorHAnsi" w:cstheme="majorHAnsi"/>
        </w:rPr>
        <w:t xml:space="preserve"> With alignment to the ESSP and MoE priorities, as well as </w:t>
      </w:r>
      <w:r w:rsidR="006C16F5" w:rsidRPr="0060082A">
        <w:rPr>
          <w:rFonts w:asciiTheme="majorHAnsi" w:hAnsiTheme="majorHAnsi" w:cstheme="majorHAnsi"/>
        </w:rPr>
        <w:t xml:space="preserve">with </w:t>
      </w:r>
      <w:r w:rsidRPr="0060082A">
        <w:rPr>
          <w:rFonts w:asciiTheme="majorHAnsi" w:hAnsiTheme="majorHAnsi" w:cstheme="majorHAnsi"/>
        </w:rPr>
        <w:t>DFAT expectations;</w:t>
      </w:r>
    </w:p>
    <w:p w14:paraId="74B2BEE5" w14:textId="77777777" w:rsidR="006D6088" w:rsidRPr="0060082A" w:rsidRDefault="006D6088" w:rsidP="0060082A">
      <w:pPr>
        <w:rPr>
          <w:rFonts w:asciiTheme="majorHAnsi" w:hAnsiTheme="majorHAnsi" w:cstheme="majorHAnsi"/>
        </w:rPr>
      </w:pPr>
      <w:r w:rsidRPr="0060082A">
        <w:rPr>
          <w:rFonts w:asciiTheme="majorHAnsi" w:hAnsiTheme="majorHAnsi" w:cstheme="majorHAnsi"/>
          <w:b/>
        </w:rPr>
        <w:t>Gender and Inclusion</w:t>
      </w:r>
      <w:r w:rsidR="00EF6191" w:rsidRPr="0060082A">
        <w:rPr>
          <w:rFonts w:asciiTheme="majorHAnsi" w:hAnsiTheme="majorHAnsi" w:cstheme="majorHAnsi"/>
          <w:b/>
        </w:rPr>
        <w:t>:</w:t>
      </w:r>
      <w:r w:rsidR="00D46C5A" w:rsidRPr="0060082A">
        <w:rPr>
          <w:rFonts w:asciiTheme="majorHAnsi" w:hAnsiTheme="majorHAnsi" w:cstheme="majorHAnsi"/>
        </w:rPr>
        <w:t xml:space="preserve"> through targeted support and promotion of inclusion and policy implementation</w:t>
      </w:r>
    </w:p>
    <w:p w14:paraId="0852426B" w14:textId="77777777" w:rsidR="006D6088" w:rsidRPr="0060082A" w:rsidRDefault="00EF6191" w:rsidP="0060082A">
      <w:pPr>
        <w:rPr>
          <w:rFonts w:asciiTheme="majorHAnsi" w:hAnsiTheme="majorHAnsi" w:cstheme="majorHAnsi"/>
        </w:rPr>
      </w:pPr>
      <w:r w:rsidRPr="0060082A">
        <w:rPr>
          <w:rFonts w:asciiTheme="majorHAnsi" w:hAnsiTheme="majorHAnsi" w:cstheme="majorHAnsi"/>
          <w:b/>
        </w:rPr>
        <w:t>Communication</w:t>
      </w:r>
      <w:r w:rsidR="00D46C5A" w:rsidRPr="0060082A">
        <w:rPr>
          <w:rFonts w:asciiTheme="majorHAnsi" w:hAnsiTheme="majorHAnsi" w:cstheme="majorHAnsi"/>
          <w:b/>
        </w:rPr>
        <w:t>,</w:t>
      </w:r>
      <w:r w:rsidRPr="0060082A">
        <w:rPr>
          <w:rFonts w:asciiTheme="majorHAnsi" w:hAnsiTheme="majorHAnsi" w:cstheme="majorHAnsi"/>
          <w:b/>
        </w:rPr>
        <w:t xml:space="preserve"> branding:</w:t>
      </w:r>
      <w:r w:rsidR="00D46C5A" w:rsidRPr="0060082A">
        <w:rPr>
          <w:rFonts w:asciiTheme="majorHAnsi" w:hAnsiTheme="majorHAnsi" w:cstheme="majorHAnsi"/>
        </w:rPr>
        <w:t xml:space="preserve"> ensuring DFAT, MoE and (where appropriate) NZ </w:t>
      </w:r>
      <w:r w:rsidR="00FA0E80" w:rsidRPr="0060082A">
        <w:rPr>
          <w:rFonts w:asciiTheme="majorHAnsi" w:hAnsiTheme="majorHAnsi" w:cstheme="majorHAnsi"/>
        </w:rPr>
        <w:t xml:space="preserve">Aid </w:t>
      </w:r>
      <w:r w:rsidR="00A22D17" w:rsidRPr="0060082A">
        <w:rPr>
          <w:rFonts w:asciiTheme="majorHAnsi" w:hAnsiTheme="majorHAnsi" w:cstheme="majorHAnsi"/>
        </w:rPr>
        <w:t xml:space="preserve">are </w:t>
      </w:r>
      <w:r w:rsidR="00D46C5A" w:rsidRPr="0060082A">
        <w:rPr>
          <w:rFonts w:asciiTheme="majorHAnsi" w:hAnsiTheme="majorHAnsi" w:cstheme="majorHAnsi"/>
        </w:rPr>
        <w:t>central to any promotion</w:t>
      </w:r>
      <w:r w:rsidR="00FA0E80" w:rsidRPr="0060082A">
        <w:rPr>
          <w:rFonts w:asciiTheme="majorHAnsi" w:hAnsiTheme="majorHAnsi" w:cstheme="majorHAnsi"/>
        </w:rPr>
        <w:t>; and</w:t>
      </w:r>
    </w:p>
    <w:p w14:paraId="377740FB" w14:textId="77777777" w:rsidR="007B3DA0" w:rsidRPr="0060082A" w:rsidRDefault="00EF6191" w:rsidP="0060082A">
      <w:pPr>
        <w:rPr>
          <w:rFonts w:asciiTheme="majorHAnsi" w:hAnsiTheme="majorHAnsi" w:cstheme="majorHAnsi"/>
        </w:rPr>
      </w:pPr>
      <w:r w:rsidRPr="0060082A">
        <w:rPr>
          <w:rFonts w:asciiTheme="majorHAnsi" w:hAnsiTheme="majorHAnsi" w:cstheme="majorHAnsi"/>
          <w:b/>
        </w:rPr>
        <w:t xml:space="preserve">Code of Conduct: </w:t>
      </w:r>
      <w:r w:rsidRPr="0060082A">
        <w:rPr>
          <w:rFonts w:asciiTheme="majorHAnsi" w:hAnsiTheme="majorHAnsi" w:cstheme="majorHAnsi"/>
        </w:rPr>
        <w:t>with clear expectations for all KEF staff in their conduct and relationships with MoE</w:t>
      </w:r>
      <w:r w:rsidR="008733D1" w:rsidRPr="0060082A">
        <w:rPr>
          <w:rFonts w:asciiTheme="majorHAnsi" w:hAnsiTheme="majorHAnsi" w:cstheme="majorHAnsi"/>
        </w:rPr>
        <w:t>.</w:t>
      </w:r>
    </w:p>
    <w:p w14:paraId="395ACAA9" w14:textId="0E236052" w:rsidR="003A60A5" w:rsidRPr="00DD2CE2" w:rsidRDefault="003A60A5" w:rsidP="00DD2CE2">
      <w:pPr>
        <w:pStyle w:val="Heading1"/>
      </w:pPr>
      <w:bookmarkStart w:id="60" w:name="_Toc453669688"/>
      <w:bookmarkStart w:id="61" w:name="_Toc461615701"/>
      <w:r w:rsidRPr="00DD2CE2">
        <w:t xml:space="preserve">4 </w:t>
      </w:r>
      <w:r w:rsidRPr="00DD2CE2">
        <w:tab/>
        <w:t>Gender, Disability and Social Inclusion</w:t>
      </w:r>
      <w:bookmarkEnd w:id="60"/>
      <w:bookmarkEnd w:id="61"/>
      <w:r w:rsidRPr="00DD2CE2">
        <w:t xml:space="preserve"> </w:t>
      </w:r>
    </w:p>
    <w:p w14:paraId="6B1D89B0" w14:textId="26C9ECA4" w:rsidR="00C20A3E" w:rsidRPr="0060082A" w:rsidRDefault="00C20A3E" w:rsidP="0060082A">
      <w:pPr>
        <w:rPr>
          <w:rFonts w:asciiTheme="majorHAnsi" w:hAnsiTheme="majorHAnsi" w:cstheme="majorHAnsi"/>
        </w:rPr>
      </w:pPr>
      <w:r w:rsidRPr="0060082A">
        <w:rPr>
          <w:rFonts w:asciiTheme="majorHAnsi" w:hAnsiTheme="majorHAnsi" w:cstheme="majorHAnsi"/>
        </w:rPr>
        <w:t>With KEIP support,</w:t>
      </w:r>
      <w:r w:rsidR="00353459" w:rsidRPr="0060082A">
        <w:rPr>
          <w:rFonts w:asciiTheme="majorHAnsi" w:hAnsiTheme="majorHAnsi" w:cstheme="majorHAnsi"/>
        </w:rPr>
        <w:t xml:space="preserve"> increased</w:t>
      </w:r>
      <w:r w:rsidR="00612FB4" w:rsidRPr="0060082A">
        <w:rPr>
          <w:rFonts w:asciiTheme="majorHAnsi" w:hAnsiTheme="majorHAnsi" w:cstheme="majorHAnsi"/>
        </w:rPr>
        <w:t xml:space="preserve"> </w:t>
      </w:r>
      <w:r w:rsidRPr="0060082A">
        <w:rPr>
          <w:rFonts w:asciiTheme="majorHAnsi" w:hAnsiTheme="majorHAnsi" w:cstheme="majorHAnsi"/>
        </w:rPr>
        <w:t xml:space="preserve">mainstreaming of gender, disability and social inclusiveness has </w:t>
      </w:r>
      <w:r w:rsidR="006C16F5" w:rsidRPr="0060082A">
        <w:rPr>
          <w:rFonts w:asciiTheme="majorHAnsi" w:hAnsiTheme="majorHAnsi" w:cstheme="majorHAnsi"/>
        </w:rPr>
        <w:t xml:space="preserve">started, </w:t>
      </w:r>
      <w:r w:rsidRPr="0060082A">
        <w:rPr>
          <w:rFonts w:asciiTheme="majorHAnsi" w:hAnsiTheme="majorHAnsi" w:cstheme="majorHAnsi"/>
        </w:rPr>
        <w:t xml:space="preserve">through </w:t>
      </w:r>
      <w:r w:rsidR="00353459" w:rsidRPr="0060082A">
        <w:rPr>
          <w:rFonts w:asciiTheme="majorHAnsi" w:hAnsiTheme="majorHAnsi" w:cstheme="majorHAnsi"/>
        </w:rPr>
        <w:t>being an integral part of</w:t>
      </w:r>
      <w:r w:rsidR="00612FB4" w:rsidRPr="0060082A">
        <w:rPr>
          <w:rFonts w:asciiTheme="majorHAnsi" w:hAnsiTheme="majorHAnsi" w:cstheme="majorHAnsi"/>
        </w:rPr>
        <w:t xml:space="preserve"> </w:t>
      </w:r>
      <w:r w:rsidRPr="0060082A">
        <w:rPr>
          <w:rFonts w:asciiTheme="majorHAnsi" w:hAnsiTheme="majorHAnsi" w:cstheme="majorHAnsi"/>
        </w:rPr>
        <w:t xml:space="preserve">the principles underpinning the Kiribati Education Act 2014. One of the challenges in supporting </w:t>
      </w:r>
      <w:r w:rsidR="00B765AC" w:rsidRPr="0060082A">
        <w:rPr>
          <w:rFonts w:asciiTheme="majorHAnsi" w:hAnsiTheme="majorHAnsi" w:cstheme="majorHAnsi"/>
        </w:rPr>
        <w:t>M</w:t>
      </w:r>
      <w:r w:rsidR="00BC0293" w:rsidRPr="0060082A">
        <w:rPr>
          <w:rFonts w:asciiTheme="majorHAnsi" w:hAnsiTheme="majorHAnsi" w:cstheme="majorHAnsi"/>
        </w:rPr>
        <w:t>o</w:t>
      </w:r>
      <w:r w:rsidR="00B765AC" w:rsidRPr="0060082A">
        <w:rPr>
          <w:rFonts w:asciiTheme="majorHAnsi" w:hAnsiTheme="majorHAnsi" w:cstheme="majorHAnsi"/>
        </w:rPr>
        <w:t>E</w:t>
      </w:r>
      <w:r w:rsidR="00BC0293" w:rsidRPr="0060082A">
        <w:rPr>
          <w:rFonts w:asciiTheme="majorHAnsi" w:hAnsiTheme="majorHAnsi" w:cstheme="majorHAnsi"/>
        </w:rPr>
        <w:t xml:space="preserve"> to integrate </w:t>
      </w:r>
      <w:r w:rsidRPr="0060082A">
        <w:rPr>
          <w:rFonts w:asciiTheme="majorHAnsi" w:hAnsiTheme="majorHAnsi" w:cstheme="majorHAnsi"/>
        </w:rPr>
        <w:t>gender, disability and social inclusion into service delivery and program activities is the need to change mind</w:t>
      </w:r>
      <w:r w:rsidR="00355A10" w:rsidRPr="0060082A">
        <w:rPr>
          <w:rFonts w:asciiTheme="majorHAnsi" w:hAnsiTheme="majorHAnsi" w:cstheme="majorHAnsi"/>
        </w:rPr>
        <w:t>-</w:t>
      </w:r>
      <w:r w:rsidRPr="0060082A">
        <w:rPr>
          <w:rFonts w:asciiTheme="majorHAnsi" w:hAnsiTheme="majorHAnsi" w:cstheme="majorHAnsi"/>
        </w:rPr>
        <w:t xml:space="preserve">sets and values, work practices and products from gender blind or neutral to gender sensitive, and from disability invisible to disability inclusive. </w:t>
      </w:r>
    </w:p>
    <w:p w14:paraId="67380C09" w14:textId="6DBCD693" w:rsidR="000634BE" w:rsidRPr="0060082A" w:rsidRDefault="000634BE" w:rsidP="0060082A">
      <w:pPr>
        <w:rPr>
          <w:rFonts w:asciiTheme="majorHAnsi" w:hAnsiTheme="majorHAnsi" w:cstheme="majorHAnsi"/>
        </w:rPr>
      </w:pPr>
      <w:r w:rsidRPr="0060082A">
        <w:rPr>
          <w:rFonts w:asciiTheme="majorHAnsi" w:hAnsiTheme="majorHAnsi" w:cstheme="majorHAnsi"/>
        </w:rPr>
        <w:t xml:space="preserve">During KEIP Phase </w:t>
      </w:r>
      <w:r w:rsidR="000A49FE">
        <w:rPr>
          <w:rFonts w:asciiTheme="majorHAnsi" w:hAnsiTheme="majorHAnsi" w:cstheme="majorHAnsi"/>
        </w:rPr>
        <w:t>2</w:t>
      </w:r>
      <w:r w:rsidRPr="0060082A">
        <w:rPr>
          <w:rFonts w:asciiTheme="majorHAnsi" w:hAnsiTheme="majorHAnsi" w:cstheme="majorHAnsi"/>
        </w:rPr>
        <w:t>, TA worked with the MoE to improve education outcomes for all students, including those located on the outer islands</w:t>
      </w:r>
      <w:r w:rsidR="002675A3" w:rsidRPr="0060082A">
        <w:rPr>
          <w:rFonts w:asciiTheme="majorHAnsi" w:hAnsiTheme="majorHAnsi" w:cstheme="majorHAnsi"/>
        </w:rPr>
        <w:t>.</w:t>
      </w:r>
      <w:r w:rsidRPr="0060082A">
        <w:rPr>
          <w:rFonts w:asciiTheme="majorHAnsi" w:hAnsiTheme="majorHAnsi" w:cstheme="majorHAnsi"/>
        </w:rPr>
        <w:t xml:space="preserve"> The STAKI results have shown weaker performance for those attending in the outer islands</w:t>
      </w:r>
      <w:r w:rsidR="002675A3" w:rsidRPr="0060082A">
        <w:rPr>
          <w:rFonts w:asciiTheme="majorHAnsi" w:hAnsiTheme="majorHAnsi" w:cstheme="majorHAnsi"/>
        </w:rPr>
        <w:t>.</w:t>
      </w:r>
      <w:r w:rsidRPr="0060082A">
        <w:rPr>
          <w:rFonts w:asciiTheme="majorHAnsi" w:hAnsiTheme="majorHAnsi" w:cstheme="majorHAnsi"/>
        </w:rPr>
        <w:t xml:space="preserve"> However, the KEIP Phase </w:t>
      </w:r>
      <w:r w:rsidR="000A49FE">
        <w:rPr>
          <w:rFonts w:asciiTheme="majorHAnsi" w:hAnsiTheme="majorHAnsi" w:cstheme="majorHAnsi"/>
        </w:rPr>
        <w:t>2</w:t>
      </w:r>
      <w:r w:rsidRPr="0060082A">
        <w:rPr>
          <w:rFonts w:asciiTheme="majorHAnsi" w:hAnsiTheme="majorHAnsi" w:cstheme="majorHAnsi"/>
        </w:rPr>
        <w:t xml:space="preserve"> supported reforms are reaching the outer islands, in the form of revised curriculum, TPD, improved infrastructure and school leader development. This priority of the GoK to focus on equity and quality across all islands will continue to be supported </w:t>
      </w:r>
      <w:r w:rsidRPr="0060082A">
        <w:rPr>
          <w:rFonts w:asciiTheme="majorHAnsi" w:hAnsiTheme="majorHAnsi" w:cstheme="majorHAnsi"/>
        </w:rPr>
        <w:lastRenderedPageBreak/>
        <w:t xml:space="preserve">through KEIP Phase </w:t>
      </w:r>
      <w:r w:rsidR="00837957">
        <w:rPr>
          <w:rFonts w:asciiTheme="majorHAnsi" w:hAnsiTheme="majorHAnsi" w:cstheme="majorHAnsi"/>
        </w:rPr>
        <w:t>3</w:t>
      </w:r>
      <w:r w:rsidR="005557FC" w:rsidRPr="0060082A">
        <w:rPr>
          <w:rFonts w:asciiTheme="majorHAnsi" w:hAnsiTheme="majorHAnsi" w:cstheme="majorHAnsi"/>
        </w:rPr>
        <w:t>, as will research (and options) into the disparity in achievements between girls and boys and how best to encourage boys to remain in, and succeed, in schools</w:t>
      </w:r>
      <w:r w:rsidRPr="0060082A">
        <w:rPr>
          <w:rFonts w:asciiTheme="majorHAnsi" w:hAnsiTheme="majorHAnsi" w:cstheme="majorHAnsi"/>
        </w:rPr>
        <w:t>.</w:t>
      </w:r>
      <w:r w:rsidR="005557FC" w:rsidRPr="0060082A">
        <w:rPr>
          <w:rFonts w:asciiTheme="majorHAnsi" w:hAnsiTheme="majorHAnsi" w:cstheme="majorHAnsi"/>
        </w:rPr>
        <w:t xml:space="preserve"> </w:t>
      </w:r>
    </w:p>
    <w:p w14:paraId="6C32B312" w14:textId="0080AC95" w:rsidR="00C20A3E" w:rsidRPr="0060082A" w:rsidRDefault="007E03CA" w:rsidP="0060082A">
      <w:pPr>
        <w:rPr>
          <w:rFonts w:asciiTheme="majorHAnsi" w:hAnsiTheme="majorHAnsi" w:cstheme="majorHAnsi"/>
        </w:rPr>
      </w:pPr>
      <w:r w:rsidRPr="0060082A">
        <w:rPr>
          <w:rFonts w:asciiTheme="majorHAnsi" w:hAnsiTheme="majorHAnsi" w:cstheme="majorHAnsi"/>
        </w:rPr>
        <w:t>An early</w:t>
      </w:r>
      <w:r w:rsidR="00C20A3E" w:rsidRPr="0060082A">
        <w:rPr>
          <w:rFonts w:asciiTheme="majorHAnsi" w:hAnsiTheme="majorHAnsi" w:cstheme="majorHAnsi"/>
        </w:rPr>
        <w:t xml:space="preserve"> success for KEIP </w:t>
      </w:r>
      <w:r w:rsidR="00334F1D" w:rsidRPr="0060082A">
        <w:rPr>
          <w:rFonts w:asciiTheme="majorHAnsi" w:hAnsiTheme="majorHAnsi" w:cstheme="majorHAnsi"/>
        </w:rPr>
        <w:t xml:space="preserve">Phase </w:t>
      </w:r>
      <w:r w:rsidR="000A49FE">
        <w:rPr>
          <w:rFonts w:asciiTheme="majorHAnsi" w:hAnsiTheme="majorHAnsi" w:cstheme="majorHAnsi"/>
        </w:rPr>
        <w:t>2</w:t>
      </w:r>
      <w:r w:rsidR="00334F1D" w:rsidRPr="0060082A">
        <w:rPr>
          <w:rFonts w:asciiTheme="majorHAnsi" w:hAnsiTheme="majorHAnsi" w:cstheme="majorHAnsi"/>
        </w:rPr>
        <w:t xml:space="preserve"> </w:t>
      </w:r>
      <w:r w:rsidR="00C20A3E" w:rsidRPr="0060082A">
        <w:rPr>
          <w:rFonts w:asciiTheme="majorHAnsi" w:hAnsiTheme="majorHAnsi" w:cstheme="majorHAnsi"/>
        </w:rPr>
        <w:t xml:space="preserve">was to provide support to the </w:t>
      </w:r>
      <w:r w:rsidR="00B765AC" w:rsidRPr="0060082A">
        <w:rPr>
          <w:rFonts w:asciiTheme="majorHAnsi" w:hAnsiTheme="majorHAnsi" w:cstheme="majorHAnsi"/>
        </w:rPr>
        <w:t>MoE</w:t>
      </w:r>
      <w:r w:rsidR="00C20A3E" w:rsidRPr="0060082A">
        <w:rPr>
          <w:rFonts w:asciiTheme="majorHAnsi" w:hAnsiTheme="majorHAnsi" w:cstheme="majorHAnsi"/>
        </w:rPr>
        <w:t xml:space="preserve"> so </w:t>
      </w:r>
      <w:r w:rsidR="006C16F5" w:rsidRPr="0060082A">
        <w:rPr>
          <w:rFonts w:asciiTheme="majorHAnsi" w:hAnsiTheme="majorHAnsi" w:cstheme="majorHAnsi"/>
        </w:rPr>
        <w:t xml:space="preserve">that </w:t>
      </w:r>
      <w:r w:rsidR="00C20A3E" w:rsidRPr="0060082A">
        <w:rPr>
          <w:rFonts w:asciiTheme="majorHAnsi" w:hAnsiTheme="majorHAnsi" w:cstheme="majorHAnsi"/>
        </w:rPr>
        <w:t xml:space="preserve">inclusiveness was embedded from the start of the ESSP rollout. Gender, disability and social inclusion mainstreaming is now clearly integrated into the </w:t>
      </w:r>
      <w:r w:rsidR="00B765AC" w:rsidRPr="0060082A">
        <w:rPr>
          <w:rFonts w:asciiTheme="majorHAnsi" w:hAnsiTheme="majorHAnsi" w:cstheme="majorHAnsi"/>
        </w:rPr>
        <w:t>MoE</w:t>
      </w:r>
      <w:r w:rsidR="00C20A3E" w:rsidRPr="0060082A">
        <w:rPr>
          <w:rFonts w:asciiTheme="majorHAnsi" w:hAnsiTheme="majorHAnsi" w:cstheme="majorHAnsi"/>
        </w:rPr>
        <w:t>’s reform agenda.</w:t>
      </w:r>
      <w:r w:rsidR="00353459" w:rsidRPr="0060082A">
        <w:rPr>
          <w:rFonts w:asciiTheme="majorHAnsi" w:hAnsiTheme="majorHAnsi" w:cstheme="majorHAnsi"/>
        </w:rPr>
        <w:t xml:space="preserve"> Activities and approaches included:</w:t>
      </w:r>
    </w:p>
    <w:p w14:paraId="700CB8C4" w14:textId="77777777" w:rsidR="00353459" w:rsidRPr="00C918BF" w:rsidRDefault="00353459" w:rsidP="006671BF">
      <w:pPr>
        <w:pStyle w:val="BodyBullets"/>
      </w:pPr>
      <w:r w:rsidRPr="00C918BF">
        <w:t>A key strategy during the community consultation team (CCT) island visits has been that the CCT comprise a balance of both male and female team members. Paying attention to the venue for consultations proved effective with more women actively participating when discussions are held in church mwaneabas rather than traditional village mwaneabas.</w:t>
      </w:r>
    </w:p>
    <w:p w14:paraId="33192187" w14:textId="77777777" w:rsidR="00353459" w:rsidRPr="00C918BF" w:rsidRDefault="00353459" w:rsidP="006671BF">
      <w:pPr>
        <w:pStyle w:val="BodyBullets"/>
      </w:pPr>
      <w:r w:rsidRPr="00C918BF">
        <w:t xml:space="preserve">KEF and MoE staff with KEF assistance have actively initiated and participated in gender and disability awareness raising events such as Black Thursdays, White Ribbon Day, International Women’s Day and International Day of People with Disability. </w:t>
      </w:r>
    </w:p>
    <w:p w14:paraId="6628084A" w14:textId="77777777" w:rsidR="00353459" w:rsidRPr="00C918BF" w:rsidRDefault="00353459" w:rsidP="006671BF">
      <w:pPr>
        <w:pStyle w:val="BodyBullets"/>
      </w:pPr>
      <w:r w:rsidRPr="00C918BF">
        <w:t xml:space="preserve">The KEF Gender and Social Inclusion Coordinator worked closely with the Ministry of Women, Youth and Social Affairs and MoE to support the establishment and facilitate the MoE’s Eliminating Sexual and Gender Based Violence in Education Committee (ESGBVE Committee). </w:t>
      </w:r>
    </w:p>
    <w:p w14:paraId="28D2ED54" w14:textId="77777777" w:rsidR="00353459" w:rsidRPr="00C918BF" w:rsidRDefault="00353459" w:rsidP="006671BF">
      <w:pPr>
        <w:pStyle w:val="BodyBullets"/>
      </w:pPr>
      <w:r w:rsidRPr="00C918BF">
        <w:t xml:space="preserve">The gender focal point role for the MoE was explicitly embedded into the new job description for the Director for Policy, Planning and Development for the first time in 2014. </w:t>
      </w:r>
    </w:p>
    <w:p w14:paraId="3EE77F51" w14:textId="63698840" w:rsidR="00C20A3E" w:rsidRPr="0060082A" w:rsidRDefault="00C20A3E" w:rsidP="0060082A">
      <w:pPr>
        <w:rPr>
          <w:rFonts w:asciiTheme="majorHAnsi" w:hAnsiTheme="majorHAnsi" w:cstheme="majorHAnsi"/>
        </w:rPr>
      </w:pPr>
      <w:r w:rsidRPr="0060082A">
        <w:rPr>
          <w:rFonts w:asciiTheme="majorHAnsi" w:hAnsiTheme="majorHAnsi" w:cstheme="majorHAnsi"/>
        </w:rPr>
        <w:t xml:space="preserve">The KEIP funded team has provided </w:t>
      </w:r>
      <w:r w:rsidR="00C603D3" w:rsidRPr="0060082A">
        <w:rPr>
          <w:rFonts w:asciiTheme="majorHAnsi" w:hAnsiTheme="majorHAnsi" w:cstheme="majorHAnsi"/>
        </w:rPr>
        <w:t>on-going</w:t>
      </w:r>
      <w:r w:rsidRPr="0060082A">
        <w:rPr>
          <w:rFonts w:asciiTheme="majorHAnsi" w:hAnsiTheme="majorHAnsi" w:cstheme="majorHAnsi"/>
        </w:rPr>
        <w:t xml:space="preserve"> support to </w:t>
      </w:r>
      <w:r w:rsidR="00BC0293" w:rsidRPr="0060082A">
        <w:rPr>
          <w:rFonts w:asciiTheme="majorHAnsi" w:hAnsiTheme="majorHAnsi" w:cstheme="majorHAnsi"/>
        </w:rPr>
        <w:t>Mo</w:t>
      </w:r>
      <w:r w:rsidR="00B765AC" w:rsidRPr="0060082A">
        <w:rPr>
          <w:rFonts w:asciiTheme="majorHAnsi" w:hAnsiTheme="majorHAnsi" w:cstheme="majorHAnsi"/>
        </w:rPr>
        <w:t>E</w:t>
      </w:r>
      <w:r w:rsidRPr="0060082A">
        <w:rPr>
          <w:rFonts w:asciiTheme="majorHAnsi" w:hAnsiTheme="majorHAnsi" w:cstheme="majorHAnsi"/>
        </w:rPr>
        <w:t xml:space="preserve"> executive staff (and as appropriate support at the curriculum, professional development, infrastructure, in policy and at the school level) towards the achievement of the following KEIP Phase </w:t>
      </w:r>
      <w:r w:rsidR="000A49FE">
        <w:rPr>
          <w:rFonts w:asciiTheme="majorHAnsi" w:hAnsiTheme="majorHAnsi" w:cstheme="majorHAnsi"/>
        </w:rPr>
        <w:t>2</w:t>
      </w:r>
      <w:r w:rsidRPr="0060082A">
        <w:rPr>
          <w:rFonts w:asciiTheme="majorHAnsi" w:hAnsiTheme="majorHAnsi" w:cstheme="majorHAnsi"/>
        </w:rPr>
        <w:t xml:space="preserve"> outcomes:</w:t>
      </w:r>
    </w:p>
    <w:p w14:paraId="520C0B0F" w14:textId="5BE63F58" w:rsidR="00C20A3E" w:rsidRPr="00C918BF" w:rsidRDefault="00C20A3E" w:rsidP="006671BF">
      <w:pPr>
        <w:pStyle w:val="BodyBullets"/>
      </w:pPr>
      <w:r w:rsidRPr="00C918BF">
        <w:t>The development and cabinet endorsement of the Inaugural Kiribati Inclusive Education Policy that was implemented in 2015</w:t>
      </w:r>
      <w:r w:rsidR="00353459" w:rsidRPr="00C918BF">
        <w:t xml:space="preserve">.The Inclusive Education Policy is available in both English and </w:t>
      </w:r>
      <w:r w:rsidR="00BF132F" w:rsidRPr="00C918BF">
        <w:t>Te</w:t>
      </w:r>
      <w:r w:rsidR="00353459" w:rsidRPr="00C918BF">
        <w:t xml:space="preserve">-Kiribati as well as a range of accessible formats including braille, large font and audio. </w:t>
      </w:r>
    </w:p>
    <w:p w14:paraId="331126FA" w14:textId="2B18F9C6" w:rsidR="00C20A3E" w:rsidRPr="00C918BF" w:rsidRDefault="00C20A3E" w:rsidP="008F3937">
      <w:pPr>
        <w:pStyle w:val="BodyBullets"/>
        <w:rPr>
          <w:color w:val="auto"/>
        </w:rPr>
      </w:pPr>
      <w:r w:rsidRPr="00C918BF">
        <w:rPr>
          <w:color w:val="auto"/>
        </w:rPr>
        <w:t xml:space="preserve">Support to the explicit integration by </w:t>
      </w:r>
      <w:r w:rsidR="00B765AC" w:rsidRPr="00C918BF">
        <w:rPr>
          <w:color w:val="auto"/>
        </w:rPr>
        <w:t>MoE</w:t>
      </w:r>
      <w:r w:rsidRPr="00C918BF">
        <w:rPr>
          <w:color w:val="auto"/>
        </w:rPr>
        <w:t xml:space="preserve"> of inclusive education as one of seven goals in the Education Sector Strategic Plan 2016-2019;</w:t>
      </w:r>
    </w:p>
    <w:p w14:paraId="34110735" w14:textId="36890142" w:rsidR="000362D9" w:rsidRPr="00C918BF" w:rsidRDefault="000362D9" w:rsidP="008F3937">
      <w:pPr>
        <w:pStyle w:val="BodyBullets"/>
        <w:rPr>
          <w:color w:val="auto"/>
        </w:rPr>
      </w:pPr>
      <w:r w:rsidRPr="00C918BF">
        <w:rPr>
          <w:color w:val="auto"/>
        </w:rPr>
        <w:t xml:space="preserve">Identification that the lower number of boys that attend and completion basic education is of concern, and that the community liaison and curriculum revisions must each address this as a priority, especially into </w:t>
      </w:r>
      <w:r w:rsidR="00FA0E80" w:rsidRPr="00C918BF">
        <w:rPr>
          <w:color w:val="auto"/>
        </w:rPr>
        <w:t xml:space="preserve">senior Primary and leading into </w:t>
      </w:r>
      <w:r w:rsidRPr="00C918BF">
        <w:rPr>
          <w:color w:val="auto"/>
        </w:rPr>
        <w:t xml:space="preserve">the JSS during KEIP Phase </w:t>
      </w:r>
      <w:r w:rsidR="00837957">
        <w:rPr>
          <w:color w:val="auto"/>
        </w:rPr>
        <w:t>3</w:t>
      </w:r>
      <w:r w:rsidRPr="00C918BF">
        <w:rPr>
          <w:color w:val="auto"/>
        </w:rPr>
        <w:t xml:space="preserve">. </w:t>
      </w:r>
    </w:p>
    <w:p w14:paraId="0C4E538D" w14:textId="77777777" w:rsidR="00353459" w:rsidRPr="00C918BF" w:rsidRDefault="00353459" w:rsidP="00353459">
      <w:pPr>
        <w:pStyle w:val="BodyBullets"/>
        <w:rPr>
          <w:color w:val="auto"/>
        </w:rPr>
      </w:pPr>
      <w:r w:rsidRPr="00C918BF">
        <w:rPr>
          <w:color w:val="auto"/>
        </w:rPr>
        <w:t>The MoE Inclusive Education Working Group (IEWG), with support through KEF, fostered research informed policy development. Two research studies have been undertaken with the oversight of IEWG which includes: operational research in the area of disability inclusion conducted by CBN-Nossal in partnership with the local Disabled People’s Organisation, Te Toa Matoa</w:t>
      </w:r>
    </w:p>
    <w:p w14:paraId="33E7ECCA" w14:textId="77777777" w:rsidR="00C20A3E" w:rsidRPr="00C918BF" w:rsidRDefault="008733D1" w:rsidP="008F3937">
      <w:pPr>
        <w:pStyle w:val="BodyBullets"/>
        <w:rPr>
          <w:color w:val="auto"/>
        </w:rPr>
      </w:pPr>
      <w:r w:rsidRPr="00C918BF">
        <w:rPr>
          <w:color w:val="auto"/>
        </w:rPr>
        <w:t>S</w:t>
      </w:r>
      <w:r w:rsidR="00C20A3E" w:rsidRPr="00C918BF">
        <w:rPr>
          <w:color w:val="auto"/>
        </w:rPr>
        <w:t xml:space="preserve">upport for the delivery of Inclusive Practice Showcase Workshops as an opportunity for different divisions and work groups within the </w:t>
      </w:r>
      <w:r w:rsidR="00B765AC" w:rsidRPr="00C918BF">
        <w:rPr>
          <w:color w:val="auto"/>
        </w:rPr>
        <w:t>MoE</w:t>
      </w:r>
      <w:r w:rsidR="00C20A3E" w:rsidRPr="00C918BF">
        <w:rPr>
          <w:color w:val="auto"/>
        </w:rPr>
        <w:t>, as well as key stakeholders to present their efforts, achievements, challenges and future plans to their peers as well as donors;</w:t>
      </w:r>
    </w:p>
    <w:p w14:paraId="6373CD6F" w14:textId="77777777" w:rsidR="00C20A3E" w:rsidRPr="00C918BF" w:rsidRDefault="008733D1" w:rsidP="008F3937">
      <w:pPr>
        <w:pStyle w:val="BodyBullets"/>
        <w:rPr>
          <w:color w:val="auto"/>
        </w:rPr>
      </w:pPr>
      <w:r w:rsidRPr="00C918BF">
        <w:rPr>
          <w:color w:val="auto"/>
        </w:rPr>
        <w:t>S</w:t>
      </w:r>
      <w:r w:rsidR="00C20A3E" w:rsidRPr="00C918BF">
        <w:rPr>
          <w:color w:val="auto"/>
        </w:rPr>
        <w:t xml:space="preserve">upport for inclusive curriculum development, through targeted capacity building </w:t>
      </w:r>
      <w:r w:rsidR="000362D9" w:rsidRPr="00C918BF">
        <w:rPr>
          <w:color w:val="auto"/>
        </w:rPr>
        <w:t xml:space="preserve">within the MoE </w:t>
      </w:r>
      <w:r w:rsidR="00C20A3E" w:rsidRPr="00C918BF">
        <w:rPr>
          <w:color w:val="auto"/>
        </w:rPr>
        <w:t xml:space="preserve">and </w:t>
      </w:r>
      <w:r w:rsidR="000362D9" w:rsidRPr="00C918BF">
        <w:rPr>
          <w:color w:val="auto"/>
        </w:rPr>
        <w:t xml:space="preserve">inputs to inclusive learning </w:t>
      </w:r>
      <w:r w:rsidR="00C20A3E" w:rsidRPr="00C918BF">
        <w:rPr>
          <w:color w:val="auto"/>
        </w:rPr>
        <w:t>materials development;</w:t>
      </w:r>
    </w:p>
    <w:p w14:paraId="6C9D032C" w14:textId="77777777" w:rsidR="00C20A3E" w:rsidRPr="00C918BF" w:rsidRDefault="008733D1" w:rsidP="008F3937">
      <w:pPr>
        <w:pStyle w:val="BodyBullets"/>
        <w:rPr>
          <w:color w:val="auto"/>
        </w:rPr>
      </w:pPr>
      <w:r w:rsidRPr="00C918BF">
        <w:rPr>
          <w:color w:val="auto"/>
        </w:rPr>
        <w:t>I</w:t>
      </w:r>
      <w:r w:rsidR="00C20A3E" w:rsidRPr="00C918BF">
        <w:rPr>
          <w:color w:val="auto"/>
        </w:rPr>
        <w:t>nclusion of gender and disability considerations in assessment processes, school leadership, teachers professional development, and in peer review processes;</w:t>
      </w:r>
    </w:p>
    <w:p w14:paraId="5E8FA5BF" w14:textId="77777777" w:rsidR="00C20A3E" w:rsidRPr="00C918BF" w:rsidRDefault="008733D1" w:rsidP="008F3937">
      <w:pPr>
        <w:pStyle w:val="BodyBullets"/>
        <w:rPr>
          <w:color w:val="auto"/>
        </w:rPr>
      </w:pPr>
      <w:r w:rsidRPr="00C918BF">
        <w:rPr>
          <w:color w:val="auto"/>
        </w:rPr>
        <w:t>S</w:t>
      </w:r>
      <w:r w:rsidR="00C20A3E" w:rsidRPr="00C918BF">
        <w:rPr>
          <w:color w:val="auto"/>
        </w:rPr>
        <w:t xml:space="preserve">upport for providing disability specific training for staff at the School and Centre for Children with Special Needs and support to </w:t>
      </w:r>
      <w:r w:rsidRPr="00C918BF">
        <w:rPr>
          <w:color w:val="auto"/>
        </w:rPr>
        <w:t xml:space="preserve">MoE </w:t>
      </w:r>
      <w:r w:rsidR="00C20A3E" w:rsidRPr="00C918BF">
        <w:rPr>
          <w:color w:val="auto"/>
        </w:rPr>
        <w:t>on how these lessons can best be disseminated across the mainstream basic education;</w:t>
      </w:r>
    </w:p>
    <w:p w14:paraId="47D6667B" w14:textId="77777777" w:rsidR="00C20A3E" w:rsidRPr="00C918BF" w:rsidRDefault="008733D1" w:rsidP="008F3937">
      <w:pPr>
        <w:pStyle w:val="BodyBullets"/>
        <w:rPr>
          <w:color w:val="auto"/>
        </w:rPr>
      </w:pPr>
      <w:r w:rsidRPr="00C918BF">
        <w:rPr>
          <w:color w:val="auto"/>
        </w:rPr>
        <w:t>A</w:t>
      </w:r>
      <w:r w:rsidR="00C20A3E" w:rsidRPr="00C918BF">
        <w:rPr>
          <w:color w:val="auto"/>
        </w:rPr>
        <w:t xml:space="preserve">ll new and refurbished </w:t>
      </w:r>
      <w:r w:rsidR="00353459" w:rsidRPr="00C918BF">
        <w:rPr>
          <w:color w:val="auto"/>
        </w:rPr>
        <w:t xml:space="preserve">single storey </w:t>
      </w:r>
      <w:r w:rsidR="00C20A3E" w:rsidRPr="00C918BF">
        <w:rPr>
          <w:color w:val="auto"/>
        </w:rPr>
        <w:t>infrastructure and classrooms have met the Australia</w:t>
      </w:r>
      <w:r w:rsidR="001F3961" w:rsidRPr="00C918BF">
        <w:rPr>
          <w:color w:val="auto"/>
        </w:rPr>
        <w:t>n</w:t>
      </w:r>
      <w:r w:rsidR="00C20A3E" w:rsidRPr="00C918BF">
        <w:rPr>
          <w:color w:val="auto"/>
        </w:rPr>
        <w:t xml:space="preserve"> </w:t>
      </w:r>
      <w:r w:rsidRPr="00C918BF">
        <w:rPr>
          <w:color w:val="auto"/>
        </w:rPr>
        <w:t>a</w:t>
      </w:r>
      <w:r w:rsidR="00C20A3E" w:rsidRPr="00C918BF">
        <w:rPr>
          <w:color w:val="auto"/>
        </w:rPr>
        <w:t xml:space="preserve">id </w:t>
      </w:r>
      <w:r w:rsidR="00580763" w:rsidRPr="00C918BF">
        <w:rPr>
          <w:color w:val="auto"/>
        </w:rPr>
        <w:t>program standards</w:t>
      </w:r>
      <w:r w:rsidR="00C20A3E" w:rsidRPr="00C918BF">
        <w:rPr>
          <w:color w:val="auto"/>
        </w:rPr>
        <w:t xml:space="preserve"> for accessibility, including the provision of ramps, wider doors, grab rails and appropriate wash hand basin heights</w:t>
      </w:r>
      <w:r w:rsidR="00353459" w:rsidRPr="00C918BF">
        <w:rPr>
          <w:color w:val="auto"/>
        </w:rPr>
        <w:t xml:space="preserve">. Where two level school buildings are </w:t>
      </w:r>
      <w:r w:rsidR="00963E2D" w:rsidRPr="00C918BF">
        <w:rPr>
          <w:color w:val="auto"/>
        </w:rPr>
        <w:t xml:space="preserve">requested and </w:t>
      </w:r>
      <w:r w:rsidR="00353459" w:rsidRPr="00C918BF">
        <w:rPr>
          <w:color w:val="auto"/>
        </w:rPr>
        <w:t>con</w:t>
      </w:r>
      <w:r w:rsidR="00963E2D" w:rsidRPr="00C918BF">
        <w:rPr>
          <w:color w:val="auto"/>
        </w:rPr>
        <w:t>structed</w:t>
      </w:r>
      <w:r w:rsidR="00353459" w:rsidRPr="00C918BF">
        <w:rPr>
          <w:color w:val="auto"/>
        </w:rPr>
        <w:t xml:space="preserve"> (for those schools where </w:t>
      </w:r>
      <w:r w:rsidR="00963E2D" w:rsidRPr="00C918BF">
        <w:rPr>
          <w:color w:val="auto"/>
        </w:rPr>
        <w:t xml:space="preserve">school </w:t>
      </w:r>
      <w:r w:rsidR="00353459" w:rsidRPr="00C918BF">
        <w:rPr>
          <w:color w:val="auto"/>
        </w:rPr>
        <w:t xml:space="preserve">land is at a premium and there are </w:t>
      </w:r>
      <w:r w:rsidR="00963E2D" w:rsidRPr="00C918BF">
        <w:rPr>
          <w:color w:val="auto"/>
        </w:rPr>
        <w:t xml:space="preserve">many </w:t>
      </w:r>
      <w:r w:rsidR="00353459" w:rsidRPr="00C918BF">
        <w:rPr>
          <w:color w:val="auto"/>
        </w:rPr>
        <w:t>more students than can be accommodated in single level buildings) the ground level</w:t>
      </w:r>
      <w:r w:rsidR="00FA0E80" w:rsidRPr="00C918BF">
        <w:rPr>
          <w:color w:val="auto"/>
        </w:rPr>
        <w:t xml:space="preserve"> classrooms are all </w:t>
      </w:r>
      <w:r w:rsidR="00353459" w:rsidRPr="00C918BF">
        <w:rPr>
          <w:color w:val="auto"/>
        </w:rPr>
        <w:t>accessible</w:t>
      </w:r>
      <w:r w:rsidR="00963E2D" w:rsidRPr="00C918BF">
        <w:rPr>
          <w:color w:val="auto"/>
        </w:rPr>
        <w:t xml:space="preserve"> to students with disability. In those locations where two storey school construction has been requested and approved, there will remain </w:t>
      </w:r>
      <w:r w:rsidR="00FA0E80" w:rsidRPr="00C918BF">
        <w:rPr>
          <w:color w:val="auto"/>
        </w:rPr>
        <w:t xml:space="preserve">the </w:t>
      </w:r>
      <w:r w:rsidR="00963E2D" w:rsidRPr="00C918BF">
        <w:rPr>
          <w:color w:val="auto"/>
        </w:rPr>
        <w:t xml:space="preserve">need to </w:t>
      </w:r>
      <w:r w:rsidR="005557FC" w:rsidRPr="00C918BF">
        <w:rPr>
          <w:color w:val="auto"/>
        </w:rPr>
        <w:t xml:space="preserve">hold </w:t>
      </w:r>
      <w:r w:rsidR="00963E2D" w:rsidRPr="00C918BF">
        <w:rPr>
          <w:color w:val="auto"/>
        </w:rPr>
        <w:t xml:space="preserve">discussions with school leadership on how best to accommodate and mainstream students with disabilities in the </w:t>
      </w:r>
      <w:r w:rsidR="00FA0E80" w:rsidRPr="00C918BF">
        <w:rPr>
          <w:color w:val="auto"/>
        </w:rPr>
        <w:t xml:space="preserve">two level </w:t>
      </w:r>
      <w:r w:rsidR="00963E2D" w:rsidRPr="00C918BF">
        <w:rPr>
          <w:color w:val="auto"/>
        </w:rPr>
        <w:t>school and classrooms</w:t>
      </w:r>
      <w:r w:rsidR="00C20A3E" w:rsidRPr="00C918BF">
        <w:rPr>
          <w:color w:val="auto"/>
        </w:rPr>
        <w:t>;</w:t>
      </w:r>
    </w:p>
    <w:p w14:paraId="07264B36" w14:textId="09558F65" w:rsidR="00C20A3E" w:rsidRPr="00C918BF" w:rsidRDefault="000362D9" w:rsidP="008F3937">
      <w:pPr>
        <w:pStyle w:val="BodyBullets"/>
        <w:rPr>
          <w:color w:val="auto"/>
        </w:rPr>
      </w:pPr>
      <w:r w:rsidRPr="00C918BF">
        <w:rPr>
          <w:color w:val="auto"/>
        </w:rPr>
        <w:lastRenderedPageBreak/>
        <w:t xml:space="preserve">Through the KEIP Phase </w:t>
      </w:r>
      <w:r w:rsidR="000A49FE">
        <w:rPr>
          <w:color w:val="auto"/>
        </w:rPr>
        <w:t>2</w:t>
      </w:r>
      <w:r w:rsidRPr="00C918BF">
        <w:rPr>
          <w:color w:val="auto"/>
        </w:rPr>
        <w:t xml:space="preserve"> contracting of school infrastructure and the use of the KitSet approach, there have been i</w:t>
      </w:r>
      <w:r w:rsidR="00C20A3E" w:rsidRPr="00C918BF">
        <w:rPr>
          <w:color w:val="auto"/>
        </w:rPr>
        <w:t>ncreased opportunities and employment for female workers in what are usually male orientated trade and manufacturing roles</w:t>
      </w:r>
      <w:r w:rsidRPr="00C918BF">
        <w:rPr>
          <w:color w:val="auto"/>
        </w:rPr>
        <w:t xml:space="preserve">. </w:t>
      </w:r>
      <w:r w:rsidR="00963E2D" w:rsidRPr="00C918BF">
        <w:rPr>
          <w:color w:val="auto"/>
        </w:rPr>
        <w:t>I-Kiribati women are owners and employees of the local company that has managed</w:t>
      </w:r>
      <w:r w:rsidR="006E6B10" w:rsidRPr="00C918BF">
        <w:rPr>
          <w:color w:val="auto"/>
        </w:rPr>
        <w:t xml:space="preserve"> </w:t>
      </w:r>
      <w:r w:rsidR="00963E2D" w:rsidRPr="00C918BF">
        <w:rPr>
          <w:color w:val="auto"/>
        </w:rPr>
        <w:t xml:space="preserve">the manufacture and assembly of KitSet school buildings for KEIP Phase </w:t>
      </w:r>
      <w:r w:rsidR="000A49FE">
        <w:rPr>
          <w:color w:val="auto"/>
        </w:rPr>
        <w:t>2</w:t>
      </w:r>
      <w:r w:rsidR="00963E2D" w:rsidRPr="00C918BF">
        <w:rPr>
          <w:color w:val="auto"/>
        </w:rPr>
        <w:t xml:space="preserve"> support to the MoE infrastructure program</w:t>
      </w:r>
      <w:r w:rsidR="00C20A3E" w:rsidRPr="00C918BF">
        <w:rPr>
          <w:color w:val="auto"/>
        </w:rPr>
        <w:t>;</w:t>
      </w:r>
    </w:p>
    <w:p w14:paraId="632017E1" w14:textId="2A30F9FF" w:rsidR="00C20A3E" w:rsidRPr="00C918BF" w:rsidRDefault="008733D1" w:rsidP="008F3937">
      <w:pPr>
        <w:pStyle w:val="BodyBullets"/>
        <w:rPr>
          <w:color w:val="auto"/>
        </w:rPr>
      </w:pPr>
      <w:r w:rsidRPr="00C918BF">
        <w:rPr>
          <w:color w:val="auto"/>
        </w:rPr>
        <w:t>P</w:t>
      </w:r>
      <w:r w:rsidR="00C20A3E" w:rsidRPr="00C918BF">
        <w:rPr>
          <w:color w:val="auto"/>
        </w:rPr>
        <w:t xml:space="preserve">rovision of separate boys and girls toilet facilities that are provided in the school infrastructure program, built </w:t>
      </w:r>
      <w:r w:rsidR="00EE0B01" w:rsidRPr="00C918BF">
        <w:rPr>
          <w:color w:val="auto"/>
        </w:rPr>
        <w:t xml:space="preserve">to </w:t>
      </w:r>
      <w:r w:rsidR="004E104B" w:rsidRPr="00C918BF">
        <w:rPr>
          <w:color w:val="auto"/>
        </w:rPr>
        <w:t>provide increased</w:t>
      </w:r>
      <w:r w:rsidR="006E6B10" w:rsidRPr="00C918BF">
        <w:rPr>
          <w:color w:val="auto"/>
        </w:rPr>
        <w:t xml:space="preserve"> </w:t>
      </w:r>
      <w:r w:rsidR="00C20A3E" w:rsidRPr="00C918BF">
        <w:rPr>
          <w:color w:val="auto"/>
        </w:rPr>
        <w:t>privacy and increase the hygiene levels and attendance at school, particularly for girls;</w:t>
      </w:r>
    </w:p>
    <w:p w14:paraId="13F44D9A" w14:textId="77777777" w:rsidR="00C20A3E" w:rsidRPr="00C918BF" w:rsidRDefault="008733D1" w:rsidP="008F3937">
      <w:pPr>
        <w:pStyle w:val="BodyBullets"/>
        <w:rPr>
          <w:color w:val="auto"/>
        </w:rPr>
      </w:pPr>
      <w:r w:rsidRPr="00D860CA">
        <w:rPr>
          <w:color w:val="auto"/>
        </w:rPr>
        <w:t>E</w:t>
      </w:r>
      <w:r w:rsidR="00C20A3E" w:rsidRPr="00D860CA">
        <w:rPr>
          <w:color w:val="auto"/>
        </w:rPr>
        <w:t>nhanced school-community partnerships, which included tailored inclusive communication strategies and messages</w:t>
      </w:r>
      <w:r w:rsidR="00C20A3E" w:rsidRPr="00C918BF">
        <w:rPr>
          <w:color w:val="auto"/>
        </w:rPr>
        <w:t xml:space="preserve"> and products on inclusive practice; and</w:t>
      </w:r>
    </w:p>
    <w:p w14:paraId="1E51D361" w14:textId="77777777" w:rsidR="00C20A3E" w:rsidRPr="00C918BF" w:rsidRDefault="008733D1" w:rsidP="008F3937">
      <w:pPr>
        <w:pStyle w:val="BodyBullets"/>
        <w:rPr>
          <w:color w:val="auto"/>
        </w:rPr>
      </w:pPr>
      <w:r w:rsidRPr="00C918BF">
        <w:rPr>
          <w:color w:val="auto"/>
        </w:rPr>
        <w:t>S</w:t>
      </w:r>
      <w:r w:rsidR="00C20A3E" w:rsidRPr="00C918BF">
        <w:rPr>
          <w:color w:val="auto"/>
        </w:rPr>
        <w:t xml:space="preserve">upport to the </w:t>
      </w:r>
      <w:r w:rsidR="00B765AC" w:rsidRPr="00C918BF">
        <w:rPr>
          <w:color w:val="auto"/>
        </w:rPr>
        <w:t>MoE</w:t>
      </w:r>
      <w:r w:rsidR="00C20A3E" w:rsidRPr="00C918BF">
        <w:rPr>
          <w:color w:val="auto"/>
        </w:rPr>
        <w:t xml:space="preserve"> Inclusive Education Working Group, which has undertaken operational research on disability inclusion, conducted applied research on student absenteeism, and the implementation of three applied research trials resulting in students living with a disability re-attending or attending school for the first time.</w:t>
      </w:r>
    </w:p>
    <w:p w14:paraId="44270030" w14:textId="5B35240D" w:rsidR="00C20A3E" w:rsidRPr="0060082A" w:rsidRDefault="00C20A3E" w:rsidP="0060082A">
      <w:pPr>
        <w:rPr>
          <w:rFonts w:asciiTheme="majorHAnsi" w:hAnsiTheme="majorHAnsi" w:cstheme="majorHAnsi"/>
        </w:rPr>
      </w:pPr>
      <w:r w:rsidRPr="0060082A">
        <w:rPr>
          <w:rFonts w:asciiTheme="majorHAnsi" w:hAnsiTheme="majorHAnsi" w:cstheme="majorHAnsi"/>
        </w:rPr>
        <w:t>Additional information on gender,</w:t>
      </w:r>
      <w:r w:rsidR="00580763" w:rsidRPr="0060082A">
        <w:rPr>
          <w:rFonts w:asciiTheme="majorHAnsi" w:hAnsiTheme="majorHAnsi" w:cstheme="majorHAnsi"/>
        </w:rPr>
        <w:t xml:space="preserve"> disability and social inclusion</w:t>
      </w:r>
      <w:r w:rsidRPr="0060082A">
        <w:rPr>
          <w:rFonts w:asciiTheme="majorHAnsi" w:hAnsiTheme="majorHAnsi" w:cstheme="majorHAnsi"/>
        </w:rPr>
        <w:t xml:space="preserve"> and the activities that supported these </w:t>
      </w:r>
      <w:r w:rsidR="008733D1" w:rsidRPr="0060082A">
        <w:rPr>
          <w:rFonts w:asciiTheme="majorHAnsi" w:hAnsiTheme="majorHAnsi" w:cstheme="majorHAnsi"/>
        </w:rPr>
        <w:t xml:space="preserve">MoE </w:t>
      </w:r>
      <w:r w:rsidR="00804F62" w:rsidRPr="0060082A">
        <w:rPr>
          <w:rFonts w:asciiTheme="majorHAnsi" w:hAnsiTheme="majorHAnsi" w:cstheme="majorHAnsi"/>
        </w:rPr>
        <w:t xml:space="preserve">and inclusion </w:t>
      </w:r>
      <w:r w:rsidR="00580763" w:rsidRPr="0060082A">
        <w:rPr>
          <w:rFonts w:asciiTheme="majorHAnsi" w:hAnsiTheme="majorHAnsi" w:cstheme="majorHAnsi"/>
        </w:rPr>
        <w:t>achievements</w:t>
      </w:r>
      <w:r w:rsidRPr="0060082A">
        <w:rPr>
          <w:rFonts w:asciiTheme="majorHAnsi" w:hAnsiTheme="majorHAnsi" w:cstheme="majorHAnsi"/>
        </w:rPr>
        <w:t xml:space="preserve"> are included in Annex </w:t>
      </w:r>
      <w:r w:rsidR="006C16F5" w:rsidRPr="0060082A">
        <w:rPr>
          <w:rFonts w:asciiTheme="majorHAnsi" w:hAnsiTheme="majorHAnsi" w:cstheme="majorHAnsi"/>
        </w:rPr>
        <w:t>2</w:t>
      </w:r>
      <w:r w:rsidR="00804F62" w:rsidRPr="0060082A">
        <w:rPr>
          <w:rFonts w:asciiTheme="majorHAnsi" w:hAnsiTheme="majorHAnsi" w:cstheme="majorHAnsi"/>
        </w:rPr>
        <w:t>: Gender</w:t>
      </w:r>
      <w:r w:rsidR="00580763" w:rsidRPr="0060082A">
        <w:rPr>
          <w:rFonts w:asciiTheme="majorHAnsi" w:hAnsiTheme="majorHAnsi" w:cstheme="majorHAnsi"/>
        </w:rPr>
        <w:t>, Disability and Social Inclusion Strategy Report</w:t>
      </w:r>
      <w:r w:rsidR="00804F62" w:rsidRPr="0060082A">
        <w:rPr>
          <w:rFonts w:asciiTheme="majorHAnsi" w:hAnsiTheme="majorHAnsi" w:cstheme="majorHAnsi"/>
        </w:rPr>
        <w:t>.</w:t>
      </w:r>
    </w:p>
    <w:p w14:paraId="3789A103" w14:textId="4F91F6BC" w:rsidR="00BF4884" w:rsidRPr="00DD2CE2" w:rsidRDefault="003A60A5" w:rsidP="00DD2CE2">
      <w:pPr>
        <w:pStyle w:val="Heading1"/>
      </w:pPr>
      <w:bookmarkStart w:id="62" w:name="_Toc453669689"/>
      <w:bookmarkStart w:id="63" w:name="_Toc461615702"/>
      <w:r w:rsidRPr="00DD2CE2">
        <w:t>5</w:t>
      </w:r>
      <w:r w:rsidRPr="00DD2CE2">
        <w:tab/>
      </w:r>
      <w:r w:rsidR="00BF4884" w:rsidRPr="00DD2CE2">
        <w:t>Innovation and Private Sector Engagement</w:t>
      </w:r>
      <w:bookmarkEnd w:id="62"/>
      <w:bookmarkEnd w:id="63"/>
    </w:p>
    <w:p w14:paraId="35F2B33A" w14:textId="326AC2B9" w:rsidR="00BF4884" w:rsidRPr="00C918BF" w:rsidRDefault="006B744E" w:rsidP="00D02244">
      <w:pPr>
        <w:pStyle w:val="Heading2"/>
        <w:rPr>
          <w:color w:val="auto"/>
        </w:rPr>
      </w:pPr>
      <w:bookmarkStart w:id="64" w:name="_Toc453669690"/>
      <w:bookmarkStart w:id="65" w:name="_Toc461615703"/>
      <w:r w:rsidRPr="00C918BF">
        <w:rPr>
          <w:color w:val="auto"/>
        </w:rPr>
        <w:t>5.1</w:t>
      </w:r>
      <w:r w:rsidRPr="00C918BF">
        <w:rPr>
          <w:color w:val="auto"/>
        </w:rPr>
        <w:tab/>
      </w:r>
      <w:r w:rsidR="00BF4884" w:rsidRPr="00C918BF">
        <w:rPr>
          <w:color w:val="auto"/>
        </w:rPr>
        <w:t xml:space="preserve">KEIP Phase </w:t>
      </w:r>
      <w:r w:rsidR="000A49FE">
        <w:rPr>
          <w:color w:val="auto"/>
        </w:rPr>
        <w:t>2</w:t>
      </w:r>
      <w:r w:rsidR="00BF4884" w:rsidRPr="00C918BF">
        <w:rPr>
          <w:color w:val="auto"/>
        </w:rPr>
        <w:t xml:space="preserve"> Innovation</w:t>
      </w:r>
      <w:bookmarkEnd w:id="64"/>
      <w:bookmarkEnd w:id="65"/>
    </w:p>
    <w:p w14:paraId="3AD28852" w14:textId="249EAC0A" w:rsidR="00BF4884" w:rsidRPr="0060082A" w:rsidRDefault="00BF4884" w:rsidP="0060082A">
      <w:pPr>
        <w:rPr>
          <w:rFonts w:asciiTheme="majorHAnsi" w:hAnsiTheme="majorHAnsi" w:cstheme="majorHAnsi"/>
        </w:rPr>
      </w:pPr>
      <w:r w:rsidRPr="0060082A">
        <w:rPr>
          <w:rFonts w:asciiTheme="majorHAnsi" w:hAnsiTheme="majorHAnsi" w:cstheme="majorHAnsi"/>
        </w:rPr>
        <w:t xml:space="preserve">The implementation of KEIP Phase </w:t>
      </w:r>
      <w:r w:rsidR="000A49FE">
        <w:rPr>
          <w:rFonts w:asciiTheme="majorHAnsi" w:hAnsiTheme="majorHAnsi" w:cstheme="majorHAnsi"/>
        </w:rPr>
        <w:t>2</w:t>
      </w:r>
      <w:r w:rsidRPr="0060082A">
        <w:rPr>
          <w:rFonts w:asciiTheme="majorHAnsi" w:hAnsiTheme="majorHAnsi" w:cstheme="majorHAnsi"/>
        </w:rPr>
        <w:t xml:space="preserve"> was achieved within its unique political economy, </w:t>
      </w:r>
      <w:r w:rsidR="007D0F99" w:rsidRPr="0060082A">
        <w:rPr>
          <w:rFonts w:asciiTheme="majorHAnsi" w:hAnsiTheme="majorHAnsi" w:cstheme="majorHAnsi"/>
        </w:rPr>
        <w:t>including</w:t>
      </w:r>
      <w:r w:rsidR="006E6B10" w:rsidRPr="0060082A">
        <w:rPr>
          <w:rFonts w:asciiTheme="majorHAnsi" w:hAnsiTheme="majorHAnsi" w:cstheme="majorHAnsi"/>
        </w:rPr>
        <w:t xml:space="preserve"> </w:t>
      </w:r>
      <w:r w:rsidRPr="0060082A">
        <w:rPr>
          <w:rFonts w:asciiTheme="majorHAnsi" w:hAnsiTheme="majorHAnsi" w:cstheme="majorHAnsi"/>
        </w:rPr>
        <w:t xml:space="preserve">strong relationships with Australia and the </w:t>
      </w:r>
      <w:r w:rsidR="007D0F99" w:rsidRPr="0060082A">
        <w:rPr>
          <w:rFonts w:asciiTheme="majorHAnsi" w:hAnsiTheme="majorHAnsi" w:cstheme="majorHAnsi"/>
        </w:rPr>
        <w:t xml:space="preserve">constraints of the </w:t>
      </w:r>
      <w:r w:rsidRPr="0060082A">
        <w:rPr>
          <w:rFonts w:asciiTheme="majorHAnsi" w:hAnsiTheme="majorHAnsi" w:cstheme="majorHAnsi"/>
        </w:rPr>
        <w:t xml:space="preserve">operating education environment. Across KEIP Phase </w:t>
      </w:r>
      <w:r w:rsidR="000A49FE">
        <w:rPr>
          <w:rFonts w:asciiTheme="majorHAnsi" w:hAnsiTheme="majorHAnsi" w:cstheme="majorHAnsi"/>
        </w:rPr>
        <w:t>2</w:t>
      </w:r>
      <w:r w:rsidRPr="0060082A">
        <w:rPr>
          <w:rFonts w:asciiTheme="majorHAnsi" w:hAnsiTheme="majorHAnsi" w:cstheme="majorHAnsi"/>
        </w:rPr>
        <w:t xml:space="preserve"> activities, approaches and methods were adapted to suit the </w:t>
      </w:r>
      <w:r w:rsidR="00B765AC" w:rsidRPr="0060082A">
        <w:rPr>
          <w:rFonts w:asciiTheme="majorHAnsi" w:hAnsiTheme="majorHAnsi" w:cstheme="majorHAnsi"/>
        </w:rPr>
        <w:t>M</w:t>
      </w:r>
      <w:r w:rsidR="00334F1D" w:rsidRPr="0060082A">
        <w:rPr>
          <w:rFonts w:asciiTheme="majorHAnsi" w:hAnsiTheme="majorHAnsi" w:cstheme="majorHAnsi"/>
        </w:rPr>
        <w:t>o</w:t>
      </w:r>
      <w:r w:rsidR="00B765AC" w:rsidRPr="0060082A">
        <w:rPr>
          <w:rFonts w:asciiTheme="majorHAnsi" w:hAnsiTheme="majorHAnsi" w:cstheme="majorHAnsi"/>
        </w:rPr>
        <w:t>E</w:t>
      </w:r>
      <w:r w:rsidRPr="0060082A">
        <w:rPr>
          <w:rFonts w:asciiTheme="majorHAnsi" w:hAnsiTheme="majorHAnsi" w:cstheme="majorHAnsi"/>
        </w:rPr>
        <w:t xml:space="preserve">’s leadership and educational context, so change management strategies in the various elements of basic education reform aligned to Kiribati priorities and education sector plans. </w:t>
      </w:r>
    </w:p>
    <w:p w14:paraId="39C479DF" w14:textId="763AD000" w:rsidR="00BF4884" w:rsidRPr="0060082A" w:rsidRDefault="006C16F5" w:rsidP="0060082A">
      <w:pPr>
        <w:rPr>
          <w:rFonts w:asciiTheme="majorHAnsi" w:hAnsiTheme="majorHAnsi" w:cstheme="majorHAnsi"/>
        </w:rPr>
      </w:pPr>
      <w:r w:rsidRPr="0060082A">
        <w:rPr>
          <w:rFonts w:asciiTheme="majorHAnsi" w:hAnsiTheme="majorHAnsi" w:cstheme="majorHAnsi"/>
        </w:rPr>
        <w:t xml:space="preserve">In </w:t>
      </w:r>
      <w:r w:rsidR="00BF4884" w:rsidRPr="0060082A">
        <w:rPr>
          <w:rFonts w:asciiTheme="majorHAnsi" w:hAnsiTheme="majorHAnsi" w:cstheme="majorHAnsi"/>
        </w:rPr>
        <w:t xml:space="preserve">the program there was innovation and trialling of new ways to achieve outcomes in ways that aligned to culture, society expectations, the </w:t>
      </w:r>
      <w:r w:rsidR="00B765AC" w:rsidRPr="0060082A">
        <w:rPr>
          <w:rFonts w:asciiTheme="majorHAnsi" w:hAnsiTheme="majorHAnsi" w:cstheme="majorHAnsi"/>
        </w:rPr>
        <w:t>M</w:t>
      </w:r>
      <w:r w:rsidR="00334F1D" w:rsidRPr="0060082A">
        <w:rPr>
          <w:rFonts w:asciiTheme="majorHAnsi" w:hAnsiTheme="majorHAnsi" w:cstheme="majorHAnsi"/>
        </w:rPr>
        <w:t>o</w:t>
      </w:r>
      <w:r w:rsidR="00B765AC" w:rsidRPr="0060082A">
        <w:rPr>
          <w:rFonts w:asciiTheme="majorHAnsi" w:hAnsiTheme="majorHAnsi" w:cstheme="majorHAnsi"/>
        </w:rPr>
        <w:t>E</w:t>
      </w:r>
      <w:r w:rsidR="00BF4884" w:rsidRPr="0060082A">
        <w:rPr>
          <w:rFonts w:asciiTheme="majorHAnsi" w:hAnsiTheme="majorHAnsi" w:cstheme="majorHAnsi"/>
        </w:rPr>
        <w:t xml:space="preserve"> role and responsibilities and the strong relationship between GoK and DFAT. The KEIP Phase </w:t>
      </w:r>
      <w:r w:rsidR="000A49FE">
        <w:rPr>
          <w:rFonts w:asciiTheme="majorHAnsi" w:hAnsiTheme="majorHAnsi" w:cstheme="majorHAnsi"/>
        </w:rPr>
        <w:t>2</w:t>
      </w:r>
      <w:r w:rsidR="00BF4884" w:rsidRPr="0060082A">
        <w:rPr>
          <w:rFonts w:asciiTheme="majorHAnsi" w:hAnsiTheme="majorHAnsi" w:cstheme="majorHAnsi"/>
        </w:rPr>
        <w:t xml:space="preserve"> inputs and approaches were respectful and adaptable, so that the change management efforts were effective and sustained through </w:t>
      </w:r>
      <w:r w:rsidR="00B765AC" w:rsidRPr="0060082A">
        <w:rPr>
          <w:rFonts w:asciiTheme="majorHAnsi" w:hAnsiTheme="majorHAnsi" w:cstheme="majorHAnsi"/>
        </w:rPr>
        <w:t>M</w:t>
      </w:r>
      <w:r w:rsidR="00334F1D" w:rsidRPr="0060082A">
        <w:rPr>
          <w:rFonts w:asciiTheme="majorHAnsi" w:hAnsiTheme="majorHAnsi" w:cstheme="majorHAnsi"/>
        </w:rPr>
        <w:t>o</w:t>
      </w:r>
      <w:r w:rsidR="00B765AC" w:rsidRPr="0060082A">
        <w:rPr>
          <w:rFonts w:asciiTheme="majorHAnsi" w:hAnsiTheme="majorHAnsi" w:cstheme="majorHAnsi"/>
        </w:rPr>
        <w:t>E</w:t>
      </w:r>
      <w:r w:rsidR="00BF4884" w:rsidRPr="0060082A">
        <w:rPr>
          <w:rFonts w:asciiTheme="majorHAnsi" w:hAnsiTheme="majorHAnsi" w:cstheme="majorHAnsi"/>
        </w:rPr>
        <w:t xml:space="preserve">. </w:t>
      </w:r>
    </w:p>
    <w:p w14:paraId="41842FD0" w14:textId="77777777" w:rsidR="00BF4884" w:rsidRPr="00C918BF" w:rsidRDefault="00BF4884" w:rsidP="00CD6138">
      <w:pPr>
        <w:pStyle w:val="Heading3"/>
      </w:pPr>
      <w:bookmarkStart w:id="66" w:name="_Toc461615704"/>
      <w:r w:rsidRPr="00C918BF">
        <w:t>An Innovative School Building and WASH design</w:t>
      </w:r>
      <w:bookmarkEnd w:id="66"/>
    </w:p>
    <w:p w14:paraId="072B0333" w14:textId="1455143E" w:rsidR="0093179B" w:rsidRPr="00C918BF" w:rsidRDefault="0093179B" w:rsidP="0093179B">
      <w:pPr>
        <w:spacing w:before="120" w:after="0"/>
        <w:rPr>
          <w:rFonts w:ascii="Arial" w:hAnsi="Arial" w:cs="Arial (TT)"/>
          <w:lang w:val="en-GB"/>
        </w:rPr>
      </w:pPr>
      <w:r w:rsidRPr="00C918BF">
        <w:rPr>
          <w:rFonts w:ascii="Arial" w:hAnsi="Arial" w:cs="Arial (TT)"/>
          <w:lang w:val="en-GB"/>
        </w:rPr>
        <w:t xml:space="preserve">The development of an innovative, cost effective and sustainable solution to school infrastructure has </w:t>
      </w:r>
      <w:r w:rsidR="00BE041A" w:rsidRPr="00C918BF">
        <w:rPr>
          <w:rFonts w:ascii="Arial" w:hAnsi="Arial" w:cs="Arial (TT)"/>
          <w:lang w:val="en-GB"/>
        </w:rPr>
        <w:t>taken several years,</w:t>
      </w:r>
      <w:r w:rsidRPr="00C918BF">
        <w:rPr>
          <w:rFonts w:ascii="Arial" w:hAnsi="Arial" w:cs="Arial (TT)"/>
          <w:lang w:val="en-GB"/>
        </w:rPr>
        <w:t xml:space="preserve"> to arrive at a suitable solution that meets all Government, Ministry and school expectation</w:t>
      </w:r>
      <w:r w:rsidR="007A2F05" w:rsidRPr="00C918BF">
        <w:rPr>
          <w:rFonts w:ascii="Arial" w:hAnsi="Arial" w:cs="Arial (TT)"/>
          <w:lang w:val="en-GB"/>
        </w:rPr>
        <w:t>s</w:t>
      </w:r>
      <w:r w:rsidRPr="00C918BF">
        <w:rPr>
          <w:rFonts w:ascii="Arial" w:hAnsi="Arial" w:cs="Arial (TT)"/>
          <w:lang w:val="en-GB"/>
        </w:rPr>
        <w:t>. KEIP Phase 1 involved upgrading six primary schools in the outer Gilbert Islands using construction and implementation strategies as a pilot project to determine ‘what works where’ in Kiribati. Whilst the finished buildings were high quality and cost competitive, the logistics of delivering pre-fabricated modules (containing a large proportion of void space) from overseas was expensive and the fast on-site erection resulted in less income for the island than alternative systems. For these reasons, the imported kitset system was not considered further.</w:t>
      </w:r>
      <w:r w:rsidR="00612FB4" w:rsidRPr="00C918BF">
        <w:rPr>
          <w:rFonts w:ascii="Arial" w:hAnsi="Arial" w:cs="Arial (TT)"/>
          <w:lang w:val="en-GB"/>
        </w:rPr>
        <w:t xml:space="preserve"> </w:t>
      </w:r>
    </w:p>
    <w:p w14:paraId="18267DB1" w14:textId="494A7E12" w:rsidR="0093179B" w:rsidRPr="00C918BF" w:rsidRDefault="0093179B" w:rsidP="0093179B">
      <w:pPr>
        <w:spacing w:before="120" w:after="0"/>
        <w:rPr>
          <w:rFonts w:ascii="Arial" w:hAnsi="Arial" w:cs="Arial (TT)"/>
          <w:lang w:val="en-GB"/>
        </w:rPr>
      </w:pPr>
      <w:r w:rsidRPr="00C918BF">
        <w:rPr>
          <w:rFonts w:ascii="Arial" w:hAnsi="Arial" w:cs="Arial (TT)"/>
          <w:lang w:val="en-GB"/>
        </w:rPr>
        <w:t>Given budget limitations and the limited capacity</w:t>
      </w:r>
      <w:r w:rsidR="009B0F91" w:rsidRPr="00C918BF">
        <w:rPr>
          <w:rFonts w:ascii="Arial" w:hAnsi="Arial" w:cs="Arial (TT)"/>
          <w:lang w:val="en-GB"/>
        </w:rPr>
        <w:t xml:space="preserve"> </w:t>
      </w:r>
      <w:r w:rsidRPr="00C918BF">
        <w:rPr>
          <w:rFonts w:ascii="Arial" w:hAnsi="Arial" w:cs="Arial (TT)"/>
          <w:lang w:val="en-GB"/>
        </w:rPr>
        <w:t xml:space="preserve">for outer islands to maintain permanent buildings, the KEIP Infrastructure Team recommended each outer island school to be upgraded with a single permanent admin block plus ‘modified’ traditional classrooms. The sustainable ‘modified’ traditional classroom concept was not developed further due to all new GoK buildings in the outer islands to be of permanent construction. </w:t>
      </w:r>
    </w:p>
    <w:p w14:paraId="17B0B1B1" w14:textId="441F0E2C" w:rsidR="0093179B" w:rsidRPr="00C918BF" w:rsidRDefault="0093179B" w:rsidP="0093179B">
      <w:pPr>
        <w:spacing w:before="120" w:after="0"/>
        <w:rPr>
          <w:rFonts w:ascii="Arial" w:hAnsi="Arial" w:cs="Arial (TT)"/>
          <w:lang w:val="en-GB"/>
        </w:rPr>
      </w:pPr>
      <w:r w:rsidRPr="00C918BF">
        <w:rPr>
          <w:rFonts w:ascii="Arial" w:hAnsi="Arial" w:cs="Arial (TT)"/>
          <w:lang w:val="en-GB"/>
        </w:rPr>
        <w:t>At the request of the</w:t>
      </w:r>
      <w:r w:rsidR="007A2F05" w:rsidRPr="00C918BF">
        <w:rPr>
          <w:rFonts w:ascii="Arial" w:hAnsi="Arial" w:cs="Arial (TT)"/>
          <w:lang w:val="en-GB"/>
        </w:rPr>
        <w:t xml:space="preserve"> then-</w:t>
      </w:r>
      <w:r w:rsidRPr="00C918BF">
        <w:rPr>
          <w:rFonts w:ascii="Arial" w:hAnsi="Arial" w:cs="Arial (TT)"/>
          <w:lang w:val="en-GB"/>
        </w:rPr>
        <w:t>Minister for Education, the KEIP Infrastructure Team designed a ‘semi-permanent’ double classroom block for the outer islands. The system comprise</w:t>
      </w:r>
      <w:r w:rsidR="006E1F14" w:rsidRPr="00C918BF">
        <w:rPr>
          <w:rFonts w:ascii="Arial" w:hAnsi="Arial" w:cs="Arial (TT)"/>
          <w:lang w:val="en-GB"/>
        </w:rPr>
        <w:t>d</w:t>
      </w:r>
      <w:r w:rsidRPr="00C918BF">
        <w:rPr>
          <w:rFonts w:ascii="Arial" w:hAnsi="Arial" w:cs="Arial (TT)"/>
          <w:lang w:val="en-GB"/>
        </w:rPr>
        <w:t xml:space="preserve"> a raised timber floor or concrete slab-on-ground; pre-fabricated timber wall, window and door panels; plywood lining and colorbond steel cladding; polycarbonate gable cladding (for natural lighting) and traditional leaf roof for insulation and to </w:t>
      </w:r>
      <w:r w:rsidR="004E104B" w:rsidRPr="00C918BF">
        <w:rPr>
          <w:rFonts w:ascii="Arial" w:hAnsi="Arial" w:cs="Arial (TT)"/>
          <w:lang w:val="en-GB"/>
        </w:rPr>
        <w:t xml:space="preserve">promote </w:t>
      </w:r>
      <w:r w:rsidRPr="00C918BF">
        <w:rPr>
          <w:rFonts w:ascii="Arial" w:hAnsi="Arial" w:cs="Arial (TT)"/>
          <w:lang w:val="en-GB"/>
        </w:rPr>
        <w:t xml:space="preserve">community involvement in the school through maintenance and replacement of traditional materials. The Minister presented this solution to </w:t>
      </w:r>
      <w:r w:rsidR="006E1F14" w:rsidRPr="00C918BF">
        <w:rPr>
          <w:rFonts w:ascii="Arial" w:hAnsi="Arial" w:cs="Arial (TT)"/>
          <w:lang w:val="en-GB"/>
        </w:rPr>
        <w:t xml:space="preserve">the </w:t>
      </w:r>
      <w:r w:rsidRPr="00C918BF">
        <w:rPr>
          <w:rFonts w:ascii="Arial" w:hAnsi="Arial" w:cs="Arial (TT)"/>
          <w:lang w:val="en-GB"/>
        </w:rPr>
        <w:t xml:space="preserve">Cabinet but the system was ruled unacceptable because it was not fully permanent. </w:t>
      </w:r>
    </w:p>
    <w:p w14:paraId="709D843A" w14:textId="77777777" w:rsidR="0093179B" w:rsidRPr="0060082A" w:rsidRDefault="009B0F91" w:rsidP="0060082A">
      <w:pPr>
        <w:rPr>
          <w:rFonts w:asciiTheme="majorHAnsi" w:hAnsiTheme="majorHAnsi" w:cstheme="majorHAnsi"/>
        </w:rPr>
      </w:pPr>
      <w:r w:rsidRPr="0060082A">
        <w:rPr>
          <w:rFonts w:asciiTheme="majorHAnsi" w:hAnsiTheme="majorHAnsi" w:cstheme="majorHAnsi"/>
        </w:rPr>
        <w:t>T</w:t>
      </w:r>
      <w:r w:rsidR="0093179B" w:rsidRPr="0060082A">
        <w:rPr>
          <w:rFonts w:asciiTheme="majorHAnsi" w:hAnsiTheme="majorHAnsi" w:cstheme="majorHAnsi"/>
        </w:rPr>
        <w:t xml:space="preserve">o fully satisfy GoK requirements for ‘permanent’ buildings, the KEIP Infrastructure Team further developed the kitset concept to include standard timber roof trusses, raking plywood ceilings and a colorbond steel roof. A promotional document titled ‘New Kitset Designs for Kiribati Primary Schools’ was </w:t>
      </w:r>
      <w:r w:rsidR="0093179B" w:rsidRPr="0060082A">
        <w:rPr>
          <w:rFonts w:asciiTheme="majorHAnsi" w:hAnsiTheme="majorHAnsi" w:cstheme="majorHAnsi"/>
        </w:rPr>
        <w:lastRenderedPageBreak/>
        <w:t xml:space="preserve">presented to Cabinet and endorsed as a suitable ‘permanent’ solution for Kiribati primary schools. Prototype buildings were constructed at Bareaumai primary school to test and fine-tune the concept. </w:t>
      </w:r>
    </w:p>
    <w:p w14:paraId="65E6965C" w14:textId="77777777" w:rsidR="006E1F14" w:rsidRPr="00C918BF" w:rsidRDefault="006E1F14" w:rsidP="0093179B">
      <w:pPr>
        <w:spacing w:before="120" w:after="0"/>
        <w:rPr>
          <w:rFonts w:ascii="Arial" w:hAnsi="Arial" w:cs="Arial (TT)"/>
          <w:noProof/>
          <w:lang w:eastAsia="en-AU"/>
        </w:rPr>
      </w:pPr>
      <w:r w:rsidRPr="00C918BF">
        <w:rPr>
          <w:rFonts w:ascii="Arial" w:hAnsi="Arial" w:cs="Arial (TT)"/>
          <w:noProof/>
          <w:lang w:eastAsia="en-AU"/>
        </w:rPr>
        <w:t xml:space="preserve">Following the successful pilot, a </w:t>
      </w:r>
      <w:r w:rsidR="0093179B" w:rsidRPr="00C918BF">
        <w:rPr>
          <w:rFonts w:ascii="Arial" w:hAnsi="Arial" w:cs="Arial (TT)"/>
          <w:noProof/>
          <w:lang w:eastAsia="en-AU"/>
        </w:rPr>
        <w:t xml:space="preserve">number of single storey buildings were installed at St John Bosco primary school in 2015 and a two storey 8 classroom kitset building - developed to address over-crowding issues – was completed in time for the 2016 school year at Rurubao primary school. Two similar buildings are almost complete at Dai Nippon primary school. </w:t>
      </w:r>
    </w:p>
    <w:p w14:paraId="5A2339D6" w14:textId="726EF838" w:rsidR="0093179B" w:rsidRPr="00C918BF" w:rsidRDefault="0093179B" w:rsidP="0093179B">
      <w:pPr>
        <w:spacing w:before="120" w:after="0"/>
        <w:rPr>
          <w:rFonts w:ascii="Arial" w:hAnsi="Arial" w:cs="Arial (TT)"/>
          <w:noProof/>
          <w:lang w:eastAsia="en-AU"/>
        </w:rPr>
      </w:pPr>
      <w:r w:rsidRPr="00C918BF">
        <w:rPr>
          <w:rFonts w:ascii="Arial" w:hAnsi="Arial" w:cs="Arial (TT)"/>
          <w:noProof/>
          <w:lang w:eastAsia="en-AU"/>
        </w:rPr>
        <w:t xml:space="preserve">The two storey building </w:t>
      </w:r>
      <w:r w:rsidR="006E1F14" w:rsidRPr="00C918BF">
        <w:rPr>
          <w:rFonts w:ascii="Arial" w:hAnsi="Arial" w:cs="Arial (TT)"/>
          <w:noProof/>
          <w:lang w:eastAsia="en-AU"/>
        </w:rPr>
        <w:t xml:space="preserve">concept </w:t>
      </w:r>
      <w:r w:rsidRPr="00C918BF">
        <w:rPr>
          <w:rFonts w:ascii="Arial" w:hAnsi="Arial" w:cs="Arial (TT)"/>
          <w:noProof/>
          <w:lang w:eastAsia="en-AU"/>
        </w:rPr>
        <w:t xml:space="preserve">has been successful </w:t>
      </w:r>
      <w:r w:rsidR="007D0F99" w:rsidRPr="00C918BF">
        <w:rPr>
          <w:rFonts w:ascii="Arial" w:hAnsi="Arial" w:cs="Arial (TT)"/>
          <w:noProof/>
          <w:lang w:eastAsia="en-AU"/>
        </w:rPr>
        <w:t xml:space="preserve">in those schools with </w:t>
      </w:r>
      <w:r w:rsidR="006C16F5" w:rsidRPr="00C918BF">
        <w:rPr>
          <w:rFonts w:ascii="Arial" w:hAnsi="Arial" w:cs="Arial (TT)"/>
          <w:noProof/>
          <w:lang w:eastAsia="en-AU"/>
        </w:rPr>
        <w:t xml:space="preserve">very </w:t>
      </w:r>
      <w:r w:rsidR="007D0F99" w:rsidRPr="00C918BF">
        <w:rPr>
          <w:rFonts w:ascii="Arial" w:hAnsi="Arial" w:cs="Arial (TT)"/>
          <w:noProof/>
          <w:lang w:eastAsia="en-AU"/>
        </w:rPr>
        <w:t xml:space="preserve">high student populations and </w:t>
      </w:r>
      <w:r w:rsidR="006C16F5" w:rsidRPr="00C918BF">
        <w:rPr>
          <w:rFonts w:ascii="Arial" w:hAnsi="Arial" w:cs="Arial (TT)"/>
          <w:noProof/>
          <w:lang w:eastAsia="en-AU"/>
        </w:rPr>
        <w:t xml:space="preserve">with </w:t>
      </w:r>
      <w:r w:rsidR="007D0F99" w:rsidRPr="00C918BF">
        <w:rPr>
          <w:rFonts w:ascii="Arial" w:hAnsi="Arial" w:cs="Arial (TT)"/>
          <w:noProof/>
          <w:lang w:eastAsia="en-AU"/>
        </w:rPr>
        <w:t xml:space="preserve">very limited land, so that the available space for building is at a premium. The planning for a two level KitSet classroom block </w:t>
      </w:r>
      <w:r w:rsidRPr="00C918BF">
        <w:rPr>
          <w:rFonts w:ascii="Arial" w:hAnsi="Arial" w:cs="Arial (TT)"/>
          <w:noProof/>
          <w:lang w:eastAsia="en-AU"/>
        </w:rPr>
        <w:t>has recently been extended to 10 classrooms</w:t>
      </w:r>
      <w:r w:rsidR="007D0F99" w:rsidRPr="00C918BF">
        <w:rPr>
          <w:rFonts w:ascii="Arial" w:hAnsi="Arial" w:cs="Arial (TT)"/>
          <w:noProof/>
          <w:lang w:eastAsia="en-AU"/>
        </w:rPr>
        <w:t>, in order</w:t>
      </w:r>
      <w:r w:rsidRPr="00C918BF">
        <w:rPr>
          <w:rFonts w:ascii="Arial" w:hAnsi="Arial" w:cs="Arial (TT)"/>
          <w:noProof/>
          <w:lang w:eastAsia="en-AU"/>
        </w:rPr>
        <w:t xml:space="preserve"> to address </w:t>
      </w:r>
      <w:r w:rsidR="007D0F99" w:rsidRPr="00C918BF">
        <w:rPr>
          <w:rFonts w:ascii="Arial" w:hAnsi="Arial" w:cs="Arial (TT)"/>
          <w:noProof/>
          <w:lang w:eastAsia="en-AU"/>
        </w:rPr>
        <w:t xml:space="preserve">the </w:t>
      </w:r>
      <w:r w:rsidRPr="00C918BF">
        <w:rPr>
          <w:rFonts w:ascii="Arial" w:hAnsi="Arial" w:cs="Arial (TT)"/>
          <w:noProof/>
          <w:lang w:eastAsia="en-AU"/>
        </w:rPr>
        <w:t xml:space="preserve">overcrowding issues at Temwanoku, Taken Bairiki, Tebanimaneka and War memorial primary schools. </w:t>
      </w:r>
    </w:p>
    <w:p w14:paraId="146EAE99" w14:textId="77777777" w:rsidR="00BF4884" w:rsidRPr="0060082A" w:rsidRDefault="00BF4884" w:rsidP="0060082A">
      <w:pPr>
        <w:rPr>
          <w:rFonts w:asciiTheme="majorHAnsi" w:hAnsiTheme="majorHAnsi" w:cstheme="majorHAnsi"/>
        </w:rPr>
      </w:pPr>
      <w:r w:rsidRPr="0060082A">
        <w:rPr>
          <w:rFonts w:asciiTheme="majorHAnsi" w:hAnsiTheme="majorHAnsi" w:cstheme="majorHAnsi"/>
        </w:rPr>
        <w:t xml:space="preserve">The improved WASH and water storage facilities </w:t>
      </w:r>
      <w:r w:rsidR="007D0F99" w:rsidRPr="0060082A">
        <w:rPr>
          <w:rFonts w:asciiTheme="majorHAnsi" w:hAnsiTheme="majorHAnsi" w:cstheme="majorHAnsi"/>
        </w:rPr>
        <w:t xml:space="preserve">at refurbished schools </w:t>
      </w:r>
      <w:r w:rsidRPr="0060082A">
        <w:rPr>
          <w:rFonts w:asciiTheme="majorHAnsi" w:hAnsiTheme="majorHAnsi" w:cstheme="majorHAnsi"/>
        </w:rPr>
        <w:t xml:space="preserve">are also important elements in improving hygiene and increasing water security through increased water storage. Two similar classroom buildings are almost complete at </w:t>
      </w:r>
      <w:r w:rsidRPr="0060082A">
        <w:rPr>
          <w:rFonts w:asciiTheme="majorHAnsi" w:hAnsiTheme="majorHAnsi" w:cstheme="majorHAnsi"/>
          <w:i/>
        </w:rPr>
        <w:t xml:space="preserve">Dai Nippon </w:t>
      </w:r>
      <w:r w:rsidR="00334F1D" w:rsidRPr="0060082A">
        <w:rPr>
          <w:rFonts w:asciiTheme="majorHAnsi" w:hAnsiTheme="majorHAnsi" w:cstheme="majorHAnsi"/>
          <w:i/>
        </w:rPr>
        <w:t>P</w:t>
      </w:r>
      <w:r w:rsidRPr="0060082A">
        <w:rPr>
          <w:rFonts w:asciiTheme="majorHAnsi" w:hAnsiTheme="majorHAnsi" w:cstheme="majorHAnsi"/>
          <w:i/>
        </w:rPr>
        <w:t xml:space="preserve">rimary </w:t>
      </w:r>
      <w:r w:rsidR="00334F1D" w:rsidRPr="0060082A">
        <w:rPr>
          <w:rFonts w:asciiTheme="majorHAnsi" w:hAnsiTheme="majorHAnsi" w:cstheme="majorHAnsi"/>
          <w:i/>
        </w:rPr>
        <w:t>S</w:t>
      </w:r>
      <w:r w:rsidRPr="0060082A">
        <w:rPr>
          <w:rFonts w:asciiTheme="majorHAnsi" w:hAnsiTheme="majorHAnsi" w:cstheme="majorHAnsi"/>
          <w:i/>
        </w:rPr>
        <w:t>chool.</w:t>
      </w:r>
      <w:r w:rsidRPr="0060082A">
        <w:rPr>
          <w:rFonts w:asciiTheme="majorHAnsi" w:hAnsiTheme="majorHAnsi" w:cstheme="majorHAnsi"/>
        </w:rPr>
        <w:t xml:space="preserve"> </w:t>
      </w:r>
    </w:p>
    <w:p w14:paraId="752CCD9D" w14:textId="51F0B783" w:rsidR="00BF4884" w:rsidRPr="0060082A" w:rsidRDefault="00BF4884" w:rsidP="0060082A">
      <w:pPr>
        <w:rPr>
          <w:rFonts w:asciiTheme="majorHAnsi" w:hAnsiTheme="majorHAnsi" w:cstheme="majorHAnsi"/>
          <w:b/>
        </w:rPr>
      </w:pPr>
      <w:r w:rsidRPr="0060082A">
        <w:rPr>
          <w:rFonts w:asciiTheme="majorHAnsi" w:hAnsiTheme="majorHAnsi" w:cstheme="majorHAnsi"/>
          <w:b/>
        </w:rPr>
        <w:t>Fig</w:t>
      </w:r>
      <w:r w:rsidR="00A629A7" w:rsidRPr="0060082A">
        <w:rPr>
          <w:rFonts w:asciiTheme="majorHAnsi" w:hAnsiTheme="majorHAnsi" w:cstheme="majorHAnsi"/>
          <w:b/>
        </w:rPr>
        <w:t>ure</w:t>
      </w:r>
      <w:r w:rsidRPr="0060082A">
        <w:rPr>
          <w:rFonts w:asciiTheme="majorHAnsi" w:hAnsiTheme="majorHAnsi" w:cstheme="majorHAnsi"/>
          <w:b/>
        </w:rPr>
        <w:t xml:space="preserve"> </w:t>
      </w:r>
      <w:r w:rsidR="003A60A5" w:rsidRPr="0060082A">
        <w:rPr>
          <w:rFonts w:asciiTheme="majorHAnsi" w:hAnsiTheme="majorHAnsi" w:cstheme="majorHAnsi"/>
          <w:b/>
        </w:rPr>
        <w:t>2</w:t>
      </w:r>
      <w:r w:rsidRPr="0060082A">
        <w:rPr>
          <w:rFonts w:asciiTheme="majorHAnsi" w:hAnsiTheme="majorHAnsi" w:cstheme="majorHAnsi"/>
          <w:b/>
        </w:rPr>
        <w:t>: External and internal view of the KitSet classrooms.</w:t>
      </w:r>
    </w:p>
    <w:p w14:paraId="52D8FC6A" w14:textId="1A7F64E0" w:rsidR="00BF4884" w:rsidRPr="00C918BF" w:rsidRDefault="00BF4884" w:rsidP="00BF4884">
      <w:pPr>
        <w:spacing w:after="120"/>
      </w:pPr>
      <w:r w:rsidRPr="00C918BF">
        <w:rPr>
          <w:rFonts w:ascii="Arial" w:hAnsi="Arial" w:cs="Arial (TT)"/>
          <w:noProof/>
          <w:lang w:eastAsia="en-AU"/>
        </w:rPr>
        <w:drawing>
          <wp:inline distT="0" distB="0" distL="0" distR="0" wp14:anchorId="71F1FEE4" wp14:editId="5B48F3B3">
            <wp:extent cx="2743959" cy="1676400"/>
            <wp:effectExtent l="0" t="0" r="0" b="0"/>
            <wp:docPr id="8" name="Picture 8" descr="Classroom buildings are almost complete at Dai Nippon Primary School. " title="Figure 2: External and internal view of the KitSet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37 (reduced).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746624" cy="1678028"/>
                    </a:xfrm>
                    <a:prstGeom prst="rect">
                      <a:avLst/>
                    </a:prstGeom>
                    <a:ln w="76200">
                      <a:noFill/>
                    </a:ln>
                    <a:extLst>
                      <a:ext uri="{53640926-AAD7-44D8-BBD7-CCE9431645EC}">
                        <a14:shadowObscured xmlns:a14="http://schemas.microsoft.com/office/drawing/2010/main"/>
                      </a:ext>
                    </a:extLst>
                  </pic:spPr>
                </pic:pic>
              </a:graphicData>
            </a:graphic>
          </wp:inline>
        </w:drawing>
      </w:r>
      <w:r w:rsidR="006671BF">
        <w:t xml:space="preserve">  </w:t>
      </w:r>
      <w:r w:rsidRPr="00C918BF">
        <w:rPr>
          <w:rFonts w:ascii="Arial" w:hAnsi="Arial" w:cs="Arial (TT)"/>
          <w:noProof/>
          <w:lang w:eastAsia="en-AU"/>
        </w:rPr>
        <w:drawing>
          <wp:inline distT="0" distB="0" distL="0" distR="0" wp14:anchorId="187E86AE" wp14:editId="18B9F657">
            <wp:extent cx="2669146" cy="1685925"/>
            <wp:effectExtent l="0" t="0" r="0" b="0"/>
            <wp:docPr id="9" name="Picture 9" descr="Classroom buildings are almost complete at Dai Nippon Primary School. " title="Figure 2: External and internal view of the KitSet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31 (reduced).jpg"/>
                    <pic:cNvPicPr/>
                  </pic:nvPicPr>
                  <pic:blipFill>
                    <a:blip r:embed="rId26" cstate="email">
                      <a:extLst>
                        <a:ext uri="{28A0092B-C50C-407E-A947-70E740481C1C}">
                          <a14:useLocalDpi xmlns:a14="http://schemas.microsoft.com/office/drawing/2010/main"/>
                        </a:ext>
                      </a:extLst>
                    </a:blip>
                    <a:stretch>
                      <a:fillRect/>
                    </a:stretch>
                  </pic:blipFill>
                  <pic:spPr>
                    <a:xfrm>
                      <a:off x="0" y="0"/>
                      <a:ext cx="2682912" cy="1694620"/>
                    </a:xfrm>
                    <a:prstGeom prst="rect">
                      <a:avLst/>
                    </a:prstGeom>
                    <a:ln w="76200">
                      <a:noFill/>
                    </a:ln>
                  </pic:spPr>
                </pic:pic>
              </a:graphicData>
            </a:graphic>
          </wp:inline>
        </w:drawing>
      </w:r>
    </w:p>
    <w:p w14:paraId="69585C6D" w14:textId="32D2D363" w:rsidR="00BF4884" w:rsidRPr="00D860CA" w:rsidRDefault="00BF4884" w:rsidP="00CD6138">
      <w:pPr>
        <w:pStyle w:val="Heading3"/>
      </w:pPr>
      <w:bookmarkStart w:id="67" w:name="_Toc461615705"/>
      <w:r w:rsidRPr="00D860CA">
        <w:t xml:space="preserve">Advantages of the Prefabricated </w:t>
      </w:r>
      <w:r w:rsidR="00240A04">
        <w:t xml:space="preserve">KitSet </w:t>
      </w:r>
      <w:r w:rsidRPr="00D860CA">
        <w:t>Design</w:t>
      </w:r>
      <w:bookmarkEnd w:id="67"/>
    </w:p>
    <w:p w14:paraId="7DDEAD57" w14:textId="77777777" w:rsidR="00BF4884" w:rsidRPr="00C918BF" w:rsidRDefault="00BF4884" w:rsidP="002F6667">
      <w:pPr>
        <w:pStyle w:val="BodyBullets"/>
        <w:spacing w:before="40" w:after="60" w:line="240" w:lineRule="atLeast"/>
        <w:rPr>
          <w:color w:val="auto"/>
          <w:lang w:val="en-GB"/>
        </w:rPr>
      </w:pPr>
      <w:r w:rsidRPr="00D860CA">
        <w:rPr>
          <w:color w:val="auto"/>
          <w:lang w:val="en-GB"/>
        </w:rPr>
        <w:t xml:space="preserve">Designed, fabricated, erected in Kiribati, being fully engineered, tested and endorsed by </w:t>
      </w:r>
      <w:r w:rsidR="00580763" w:rsidRPr="00C918BF">
        <w:rPr>
          <w:color w:val="auto"/>
          <w:lang w:val="en-GB"/>
        </w:rPr>
        <w:t>Ministry of Public Works and Utilities (</w:t>
      </w:r>
      <w:r w:rsidRPr="00C918BF">
        <w:rPr>
          <w:color w:val="auto"/>
          <w:lang w:val="en-GB"/>
        </w:rPr>
        <w:t>MPWU</w:t>
      </w:r>
      <w:r w:rsidR="00580763" w:rsidRPr="00C918BF">
        <w:rPr>
          <w:color w:val="auto"/>
          <w:lang w:val="en-GB"/>
        </w:rPr>
        <w:t>)</w:t>
      </w:r>
      <w:r w:rsidRPr="00C918BF">
        <w:rPr>
          <w:color w:val="auto"/>
          <w:lang w:val="en-GB"/>
        </w:rPr>
        <w:t>;</w:t>
      </w:r>
      <w:r w:rsidR="006907EC" w:rsidRPr="00C918BF">
        <w:rPr>
          <w:color w:val="auto"/>
          <w:lang w:val="en-GB"/>
        </w:rPr>
        <w:t xml:space="preserve"> </w:t>
      </w:r>
    </w:p>
    <w:p w14:paraId="62ACEA73"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 xml:space="preserve">Low maintenance, treated timber &amp; plywood, 316 grade </w:t>
      </w:r>
      <w:r w:rsidR="00334F1D" w:rsidRPr="00C918BF">
        <w:rPr>
          <w:color w:val="auto"/>
          <w:lang w:val="en-GB"/>
        </w:rPr>
        <w:t>stainless steel</w:t>
      </w:r>
      <w:r w:rsidRPr="00C918BF">
        <w:rPr>
          <w:color w:val="auto"/>
          <w:lang w:val="en-GB"/>
        </w:rPr>
        <w:t xml:space="preserve"> mesh, colorbond steel cladding;</w:t>
      </w:r>
    </w:p>
    <w:p w14:paraId="1EAB23C2" w14:textId="77777777" w:rsidR="009B0F91" w:rsidRPr="00C918BF" w:rsidRDefault="009B0F91" w:rsidP="002F6667">
      <w:pPr>
        <w:pStyle w:val="BodyBullets"/>
        <w:spacing w:before="40" w:after="60" w:line="240" w:lineRule="atLeast"/>
        <w:rPr>
          <w:color w:val="auto"/>
          <w:lang w:val="en-GB"/>
        </w:rPr>
      </w:pPr>
      <w:r w:rsidRPr="00C918BF">
        <w:rPr>
          <w:color w:val="auto"/>
          <w:lang w:val="en-GB"/>
        </w:rPr>
        <w:t xml:space="preserve">Cost effective, balancing the quality of materials; savings through assembly of the component parts in Kiribati; the relative ease and lower cost to transport and assemble the KitSets; the employment of local labour employed to assemble the buildings; the capacity of Kiribati contractors to complete the school buildings to a high level of quality; and the lower cost of maintenance over the life cycle. </w:t>
      </w:r>
    </w:p>
    <w:p w14:paraId="2687851F"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 xml:space="preserve">Suitable for </w:t>
      </w:r>
      <w:r w:rsidR="009B0F91" w:rsidRPr="00C918BF">
        <w:rPr>
          <w:color w:val="auto"/>
          <w:lang w:val="en-GB"/>
        </w:rPr>
        <w:t xml:space="preserve">both </w:t>
      </w:r>
      <w:r w:rsidRPr="00C918BF">
        <w:rPr>
          <w:color w:val="auto"/>
          <w:lang w:val="en-GB"/>
        </w:rPr>
        <w:t xml:space="preserve">Kiribati urban and rural schools, certified as ‘permanent’ by </w:t>
      </w:r>
      <w:r w:rsidR="009B0F91" w:rsidRPr="00C918BF">
        <w:rPr>
          <w:color w:val="auto"/>
          <w:lang w:val="en-GB"/>
        </w:rPr>
        <w:t xml:space="preserve">the </w:t>
      </w:r>
      <w:r w:rsidRPr="00C918BF">
        <w:rPr>
          <w:color w:val="auto"/>
          <w:lang w:val="en-GB"/>
        </w:rPr>
        <w:t>GoK;</w:t>
      </w:r>
      <w:r w:rsidR="006907EC" w:rsidRPr="00C918BF">
        <w:rPr>
          <w:color w:val="auto"/>
          <w:lang w:val="en-GB"/>
        </w:rPr>
        <w:t xml:space="preserve"> </w:t>
      </w:r>
    </w:p>
    <w:p w14:paraId="380AC037" w14:textId="6802D64D" w:rsidR="00BF4884" w:rsidRPr="00C918BF" w:rsidRDefault="00BF4884" w:rsidP="002F6667">
      <w:pPr>
        <w:pStyle w:val="BodyBullets"/>
        <w:spacing w:before="40" w:after="60" w:line="240" w:lineRule="atLeast"/>
        <w:rPr>
          <w:color w:val="auto"/>
          <w:lang w:val="en-GB"/>
        </w:rPr>
      </w:pPr>
      <w:r w:rsidRPr="00C918BF">
        <w:rPr>
          <w:color w:val="auto"/>
          <w:lang w:val="en-GB"/>
        </w:rPr>
        <w:t xml:space="preserve">Concrete filled plastic piers &amp; columns with </w:t>
      </w:r>
      <w:r w:rsidR="00334F1D" w:rsidRPr="00C918BF">
        <w:rPr>
          <w:color w:val="auto"/>
          <w:lang w:val="en-GB"/>
        </w:rPr>
        <w:t xml:space="preserve">stainless steel </w:t>
      </w:r>
      <w:r w:rsidRPr="00C918BF">
        <w:rPr>
          <w:color w:val="auto"/>
          <w:lang w:val="en-GB"/>
        </w:rPr>
        <w:t>strap reinforcing</w:t>
      </w:r>
      <w:r w:rsidR="006E1F14" w:rsidRPr="00C918BF">
        <w:rPr>
          <w:color w:val="auto"/>
          <w:lang w:val="en-GB"/>
        </w:rPr>
        <w:t>, so</w:t>
      </w:r>
      <w:r w:rsidR="00612FB4" w:rsidRPr="00C918BF">
        <w:rPr>
          <w:color w:val="auto"/>
          <w:lang w:val="en-GB"/>
        </w:rPr>
        <w:t xml:space="preserve"> </w:t>
      </w:r>
      <w:r w:rsidRPr="00C918BF">
        <w:rPr>
          <w:color w:val="auto"/>
          <w:lang w:val="en-GB"/>
        </w:rPr>
        <w:t xml:space="preserve">no concrete cancer; </w:t>
      </w:r>
    </w:p>
    <w:p w14:paraId="0F7CE28A"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 xml:space="preserve">Raised timber floors suitable for low-lying sites and </w:t>
      </w:r>
      <w:r w:rsidR="006E1F14" w:rsidRPr="00C918BF">
        <w:rPr>
          <w:color w:val="auto"/>
          <w:lang w:val="en-GB"/>
        </w:rPr>
        <w:t xml:space="preserve">those </w:t>
      </w:r>
      <w:r w:rsidRPr="00C918BF">
        <w:rPr>
          <w:color w:val="auto"/>
          <w:lang w:val="en-GB"/>
        </w:rPr>
        <w:t xml:space="preserve">areas vulnerable to flooding; </w:t>
      </w:r>
    </w:p>
    <w:p w14:paraId="450B7278"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Greater</w:t>
      </w:r>
      <w:r w:rsidR="00334F1D" w:rsidRPr="00C918BF">
        <w:rPr>
          <w:color w:val="auto"/>
          <w:lang w:val="en-GB"/>
        </w:rPr>
        <w:t xml:space="preserve"> quality assurance (</w:t>
      </w:r>
      <w:r w:rsidRPr="00C918BF">
        <w:rPr>
          <w:color w:val="auto"/>
          <w:lang w:val="en-GB"/>
        </w:rPr>
        <w:t>QA</w:t>
      </w:r>
      <w:r w:rsidR="00334F1D" w:rsidRPr="00C918BF">
        <w:rPr>
          <w:color w:val="auto"/>
          <w:lang w:val="en-GB"/>
        </w:rPr>
        <w:t>)</w:t>
      </w:r>
      <w:r w:rsidRPr="00C918BF">
        <w:rPr>
          <w:color w:val="auto"/>
          <w:lang w:val="en-GB"/>
        </w:rPr>
        <w:t xml:space="preserve"> with much work </w:t>
      </w:r>
      <w:r w:rsidR="006E1F14" w:rsidRPr="00C918BF">
        <w:rPr>
          <w:color w:val="auto"/>
          <w:lang w:val="en-GB"/>
        </w:rPr>
        <w:t xml:space="preserve">completed </w:t>
      </w:r>
      <w:r w:rsidRPr="00C918BF">
        <w:rPr>
          <w:color w:val="auto"/>
          <w:lang w:val="en-GB"/>
        </w:rPr>
        <w:t xml:space="preserve">in a </w:t>
      </w:r>
      <w:r w:rsidR="006E1F14" w:rsidRPr="00C918BF">
        <w:rPr>
          <w:color w:val="auto"/>
          <w:lang w:val="en-GB"/>
        </w:rPr>
        <w:t xml:space="preserve">Kiribati </w:t>
      </w:r>
      <w:r w:rsidRPr="00C918BF">
        <w:rPr>
          <w:color w:val="auto"/>
          <w:lang w:val="en-GB"/>
        </w:rPr>
        <w:t>factory under controlled conditions;</w:t>
      </w:r>
    </w:p>
    <w:p w14:paraId="6333311F" w14:textId="49D34BEF" w:rsidR="00BF4884" w:rsidRPr="00C918BF" w:rsidRDefault="00BF4884" w:rsidP="002F6667">
      <w:pPr>
        <w:pStyle w:val="BodyBullets"/>
        <w:spacing w:before="40" w:after="60" w:line="240" w:lineRule="atLeast"/>
        <w:rPr>
          <w:color w:val="auto"/>
          <w:lang w:val="en-GB"/>
        </w:rPr>
      </w:pPr>
      <w:r w:rsidRPr="00C918BF">
        <w:rPr>
          <w:color w:val="auto"/>
          <w:lang w:val="en-GB"/>
        </w:rPr>
        <w:t xml:space="preserve">Fewer </w:t>
      </w:r>
      <w:r w:rsidR="00240A04">
        <w:rPr>
          <w:color w:val="auto"/>
          <w:lang w:val="en-GB"/>
        </w:rPr>
        <w:t xml:space="preserve">time </w:t>
      </w:r>
      <w:r w:rsidRPr="00C918BF">
        <w:rPr>
          <w:color w:val="auto"/>
          <w:lang w:val="en-GB"/>
        </w:rPr>
        <w:t xml:space="preserve"> delays on site</w:t>
      </w:r>
      <w:r w:rsidR="00240A04">
        <w:rPr>
          <w:color w:val="auto"/>
          <w:lang w:val="en-GB"/>
        </w:rPr>
        <w:t xml:space="preserve"> due to inclement weather</w:t>
      </w:r>
      <w:r w:rsidR="006C16F5" w:rsidRPr="00C918BF">
        <w:rPr>
          <w:color w:val="auto"/>
          <w:lang w:val="en-GB"/>
        </w:rPr>
        <w:t xml:space="preserve">, through </w:t>
      </w:r>
      <w:r w:rsidRPr="00C918BF">
        <w:rPr>
          <w:color w:val="auto"/>
          <w:lang w:val="en-GB"/>
        </w:rPr>
        <w:t xml:space="preserve">pre-fabrication in factory, </w:t>
      </w:r>
      <w:r w:rsidR="006E1F14" w:rsidRPr="00C918BF">
        <w:rPr>
          <w:color w:val="auto"/>
          <w:lang w:val="en-GB"/>
        </w:rPr>
        <w:t xml:space="preserve">so that </w:t>
      </w:r>
      <w:r w:rsidRPr="00C918BF">
        <w:rPr>
          <w:color w:val="auto"/>
          <w:lang w:val="en-GB"/>
        </w:rPr>
        <w:t xml:space="preserve">assembly on-site is very fast; </w:t>
      </w:r>
    </w:p>
    <w:p w14:paraId="3DF04FB3" w14:textId="7EC3D0CA" w:rsidR="00BF4884" w:rsidRPr="00C918BF" w:rsidRDefault="00BF4884" w:rsidP="002F6667">
      <w:pPr>
        <w:pStyle w:val="BodyBullets"/>
        <w:spacing w:before="40" w:after="60" w:line="240" w:lineRule="atLeast"/>
        <w:rPr>
          <w:color w:val="auto"/>
          <w:lang w:val="en-GB"/>
        </w:rPr>
      </w:pPr>
      <w:r w:rsidRPr="00C918BF">
        <w:rPr>
          <w:color w:val="auto"/>
          <w:lang w:val="en-GB"/>
        </w:rPr>
        <w:t>Women business owners involved in the building</w:t>
      </w:r>
      <w:r w:rsidR="006E1F14" w:rsidRPr="00C918BF">
        <w:rPr>
          <w:color w:val="auto"/>
          <w:lang w:val="en-GB"/>
        </w:rPr>
        <w:t xml:space="preserve"> and component</w:t>
      </w:r>
      <w:r w:rsidR="00612FB4" w:rsidRPr="00C918BF">
        <w:rPr>
          <w:color w:val="auto"/>
          <w:lang w:val="en-GB"/>
        </w:rPr>
        <w:t xml:space="preserve"> </w:t>
      </w:r>
      <w:r w:rsidRPr="00C918BF">
        <w:rPr>
          <w:color w:val="auto"/>
          <w:lang w:val="en-GB"/>
        </w:rPr>
        <w:t xml:space="preserve">manufacturing work; </w:t>
      </w:r>
    </w:p>
    <w:p w14:paraId="472E4CE9"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 xml:space="preserve">Single storey buildings are 100% accessible, with ramp access to elevated timber floor; </w:t>
      </w:r>
    </w:p>
    <w:p w14:paraId="56495A0A" w14:textId="38B3C4EF" w:rsidR="00BF4884" w:rsidRPr="00C918BF" w:rsidRDefault="00BF4884" w:rsidP="002F6667">
      <w:pPr>
        <w:pStyle w:val="BodyBullets"/>
        <w:spacing w:before="40" w:after="60" w:line="240" w:lineRule="atLeast"/>
        <w:rPr>
          <w:color w:val="auto"/>
          <w:lang w:val="en-GB"/>
        </w:rPr>
      </w:pPr>
      <w:r w:rsidRPr="00C918BF">
        <w:rPr>
          <w:color w:val="auto"/>
          <w:lang w:val="en-GB"/>
        </w:rPr>
        <w:t>Less concrete</w:t>
      </w:r>
      <w:r w:rsidR="00C52773" w:rsidRPr="00C918BF">
        <w:rPr>
          <w:color w:val="auto"/>
          <w:lang w:val="en-GB"/>
        </w:rPr>
        <w:t xml:space="preserve"> used in the building structure</w:t>
      </w:r>
      <w:r w:rsidRPr="00C918BF">
        <w:rPr>
          <w:color w:val="auto"/>
          <w:lang w:val="en-GB"/>
        </w:rPr>
        <w:t xml:space="preserve">, so </w:t>
      </w:r>
      <w:r w:rsidR="00105322" w:rsidRPr="00C918BF">
        <w:rPr>
          <w:color w:val="auto"/>
          <w:lang w:val="en-GB"/>
        </w:rPr>
        <w:t xml:space="preserve">limiting </w:t>
      </w:r>
      <w:r w:rsidRPr="00C918BF">
        <w:rPr>
          <w:color w:val="auto"/>
          <w:lang w:val="en-GB"/>
        </w:rPr>
        <w:t>material taken from Kiribati beach</w:t>
      </w:r>
      <w:r w:rsidR="00C52773" w:rsidRPr="00C918BF">
        <w:rPr>
          <w:color w:val="auto"/>
          <w:lang w:val="en-GB"/>
        </w:rPr>
        <w:t>es</w:t>
      </w:r>
      <w:r w:rsidR="00105322" w:rsidRPr="00C918BF">
        <w:rPr>
          <w:color w:val="auto"/>
          <w:lang w:val="en-GB"/>
        </w:rPr>
        <w:t xml:space="preserve"> </w:t>
      </w:r>
      <w:r w:rsidR="007A2F05" w:rsidRPr="00C918BF">
        <w:rPr>
          <w:color w:val="auto"/>
          <w:lang w:val="en-GB"/>
        </w:rPr>
        <w:t>compared to</w:t>
      </w:r>
      <w:r w:rsidR="00C52773" w:rsidRPr="00C918BF">
        <w:rPr>
          <w:color w:val="auto"/>
          <w:lang w:val="en-GB"/>
        </w:rPr>
        <w:t xml:space="preserve"> local </w:t>
      </w:r>
      <w:r w:rsidR="00105322" w:rsidRPr="00C918BF">
        <w:rPr>
          <w:color w:val="auto"/>
          <w:lang w:val="en-GB"/>
        </w:rPr>
        <w:t>standard local building practice</w:t>
      </w:r>
      <w:r w:rsidRPr="00C918BF">
        <w:rPr>
          <w:color w:val="auto"/>
          <w:lang w:val="en-GB"/>
        </w:rPr>
        <w:t xml:space="preserve">; </w:t>
      </w:r>
    </w:p>
    <w:p w14:paraId="571011D7"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Additional water storage and (through raised floors) flooding security for local communities;</w:t>
      </w:r>
    </w:p>
    <w:p w14:paraId="1E8947A3"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Low energy, with excellent natural light and ventilation</w:t>
      </w:r>
      <w:r w:rsidR="006E1F14" w:rsidRPr="00C918BF">
        <w:rPr>
          <w:color w:val="auto"/>
          <w:lang w:val="en-GB"/>
        </w:rPr>
        <w:t xml:space="preserve"> for all classrooms</w:t>
      </w:r>
      <w:r w:rsidRPr="00C918BF">
        <w:rPr>
          <w:color w:val="auto"/>
          <w:lang w:val="en-GB"/>
        </w:rPr>
        <w:t>;</w:t>
      </w:r>
    </w:p>
    <w:p w14:paraId="138E0C96" w14:textId="77777777" w:rsidR="00BF4884" w:rsidRPr="00C918BF" w:rsidRDefault="00BF4884" w:rsidP="002F6667">
      <w:pPr>
        <w:pStyle w:val="BodyBullets"/>
        <w:spacing w:before="40" w:after="60" w:line="240" w:lineRule="atLeast"/>
        <w:rPr>
          <w:color w:val="auto"/>
          <w:lang w:val="en-GB"/>
        </w:rPr>
      </w:pPr>
      <w:r w:rsidRPr="00C918BF">
        <w:rPr>
          <w:color w:val="auto"/>
          <w:lang w:val="en-GB"/>
        </w:rPr>
        <w:t>Can be erected by smaller</w:t>
      </w:r>
      <w:r w:rsidR="006E1F14" w:rsidRPr="00C918BF">
        <w:rPr>
          <w:color w:val="auto"/>
          <w:lang w:val="en-GB"/>
        </w:rPr>
        <w:t xml:space="preserve"> Kiribati</w:t>
      </w:r>
      <w:r w:rsidRPr="00C918BF">
        <w:rPr>
          <w:color w:val="auto"/>
          <w:lang w:val="en-GB"/>
        </w:rPr>
        <w:t xml:space="preserve"> build</w:t>
      </w:r>
      <w:r w:rsidR="00D70702" w:rsidRPr="00C918BF">
        <w:rPr>
          <w:color w:val="auto"/>
          <w:lang w:val="en-GB"/>
        </w:rPr>
        <w:t>ing companies</w:t>
      </w:r>
      <w:r w:rsidRPr="00C918BF">
        <w:rPr>
          <w:color w:val="auto"/>
          <w:lang w:val="en-GB"/>
        </w:rPr>
        <w:t xml:space="preserve"> and can increase the skills and capacity of local tradespeople</w:t>
      </w:r>
      <w:r w:rsidR="006E1F14" w:rsidRPr="00C918BF">
        <w:rPr>
          <w:color w:val="auto"/>
          <w:lang w:val="en-GB"/>
        </w:rPr>
        <w:t xml:space="preserve"> and </w:t>
      </w:r>
      <w:r w:rsidR="00963E2D" w:rsidRPr="00C918BF">
        <w:rPr>
          <w:color w:val="auto"/>
          <w:lang w:val="en-GB"/>
        </w:rPr>
        <w:t>semi-skilled</w:t>
      </w:r>
      <w:r w:rsidR="006E1F14" w:rsidRPr="00C918BF">
        <w:rPr>
          <w:color w:val="auto"/>
          <w:lang w:val="en-GB"/>
        </w:rPr>
        <w:t xml:space="preserve"> workers</w:t>
      </w:r>
      <w:r w:rsidRPr="00C918BF">
        <w:rPr>
          <w:color w:val="auto"/>
          <w:lang w:val="en-GB"/>
        </w:rPr>
        <w:t>;</w:t>
      </w:r>
      <w:r w:rsidR="006907EC" w:rsidRPr="00C918BF">
        <w:rPr>
          <w:color w:val="auto"/>
          <w:lang w:val="en-GB"/>
        </w:rPr>
        <w:t xml:space="preserve"> </w:t>
      </w:r>
    </w:p>
    <w:p w14:paraId="4B859E33" w14:textId="77777777" w:rsidR="00BF4884" w:rsidRPr="00C918BF" w:rsidRDefault="00BF4884" w:rsidP="008F3937">
      <w:pPr>
        <w:pStyle w:val="BodyBullets"/>
        <w:rPr>
          <w:color w:val="auto"/>
          <w:lang w:val="en-GB"/>
        </w:rPr>
      </w:pPr>
      <w:r w:rsidRPr="00C918BF">
        <w:rPr>
          <w:color w:val="auto"/>
          <w:lang w:val="en-GB"/>
        </w:rPr>
        <w:t>Design could translate to other sectors</w:t>
      </w:r>
      <w:r w:rsidR="006E1F14" w:rsidRPr="00C918BF">
        <w:rPr>
          <w:color w:val="auto"/>
          <w:lang w:val="en-GB"/>
        </w:rPr>
        <w:t xml:space="preserve"> or application for public buildings</w:t>
      </w:r>
      <w:r w:rsidRPr="00C918BF">
        <w:rPr>
          <w:color w:val="auto"/>
          <w:lang w:val="en-GB"/>
        </w:rPr>
        <w:t xml:space="preserve"> in Kiribati or the Pacific</w:t>
      </w:r>
      <w:r w:rsidR="008733D1" w:rsidRPr="00C918BF">
        <w:rPr>
          <w:color w:val="auto"/>
          <w:lang w:val="en-GB"/>
        </w:rPr>
        <w:t>.</w:t>
      </w:r>
    </w:p>
    <w:p w14:paraId="44DCD89A" w14:textId="77777777" w:rsidR="002F6667" w:rsidRDefault="002F6667">
      <w:pPr>
        <w:spacing w:line="276" w:lineRule="auto"/>
        <w:rPr>
          <w:rFonts w:asciiTheme="majorHAnsi" w:hAnsiTheme="majorHAnsi" w:cstheme="majorHAnsi"/>
          <w:spacing w:val="-2"/>
        </w:rPr>
      </w:pPr>
      <w:r>
        <w:rPr>
          <w:rFonts w:asciiTheme="majorHAnsi" w:hAnsiTheme="majorHAnsi" w:cstheme="majorHAnsi"/>
          <w:spacing w:val="-2"/>
        </w:rPr>
        <w:br w:type="page"/>
      </w:r>
    </w:p>
    <w:p w14:paraId="6012DDD9" w14:textId="25BC5385" w:rsidR="00EE0A2C" w:rsidRPr="002F6667" w:rsidRDefault="00BF4884" w:rsidP="0060082A">
      <w:pPr>
        <w:rPr>
          <w:rFonts w:asciiTheme="majorHAnsi" w:hAnsiTheme="majorHAnsi" w:cstheme="majorHAnsi"/>
          <w:spacing w:val="-2"/>
        </w:rPr>
      </w:pPr>
      <w:r w:rsidRPr="002F6667">
        <w:rPr>
          <w:rFonts w:asciiTheme="majorHAnsi" w:hAnsiTheme="majorHAnsi" w:cstheme="majorHAnsi"/>
          <w:spacing w:val="-2"/>
        </w:rPr>
        <w:lastRenderedPageBreak/>
        <w:t xml:space="preserve">Additional information and </w:t>
      </w:r>
      <w:r w:rsidR="00EE0A2C" w:rsidRPr="002F6667">
        <w:rPr>
          <w:rFonts w:asciiTheme="majorHAnsi" w:hAnsiTheme="majorHAnsi" w:cstheme="majorHAnsi"/>
          <w:spacing w:val="-2"/>
        </w:rPr>
        <w:t xml:space="preserve">the </w:t>
      </w:r>
      <w:r w:rsidRPr="002F6667">
        <w:rPr>
          <w:rFonts w:asciiTheme="majorHAnsi" w:hAnsiTheme="majorHAnsi" w:cstheme="majorHAnsi"/>
          <w:spacing w:val="-2"/>
        </w:rPr>
        <w:t xml:space="preserve">background to this innovative solution for </w:t>
      </w:r>
      <w:r w:rsidR="00EE0A2C" w:rsidRPr="002F6667">
        <w:rPr>
          <w:rFonts w:asciiTheme="majorHAnsi" w:hAnsiTheme="majorHAnsi" w:cstheme="majorHAnsi"/>
          <w:spacing w:val="-2"/>
        </w:rPr>
        <w:t xml:space="preserve">providing </w:t>
      </w:r>
      <w:r w:rsidRPr="002F6667">
        <w:rPr>
          <w:rFonts w:asciiTheme="majorHAnsi" w:hAnsiTheme="majorHAnsi" w:cstheme="majorHAnsi"/>
          <w:spacing w:val="-2"/>
        </w:rPr>
        <w:t xml:space="preserve">Kiribati </w:t>
      </w:r>
      <w:r w:rsidR="00EE0A2C" w:rsidRPr="002F6667">
        <w:rPr>
          <w:rFonts w:asciiTheme="majorHAnsi" w:hAnsiTheme="majorHAnsi" w:cstheme="majorHAnsi"/>
          <w:spacing w:val="-2"/>
        </w:rPr>
        <w:t xml:space="preserve">with sustainable, quality </w:t>
      </w:r>
      <w:r w:rsidRPr="002F6667">
        <w:rPr>
          <w:rFonts w:asciiTheme="majorHAnsi" w:hAnsiTheme="majorHAnsi" w:cstheme="majorHAnsi"/>
          <w:spacing w:val="-2"/>
        </w:rPr>
        <w:t>school infrastructure is included as</w:t>
      </w:r>
      <w:r w:rsidR="00EE0A2C" w:rsidRPr="002F6667">
        <w:rPr>
          <w:rFonts w:asciiTheme="majorHAnsi" w:hAnsiTheme="majorHAnsi" w:cstheme="majorHAnsi"/>
          <w:spacing w:val="-2"/>
        </w:rPr>
        <w:t xml:space="preserve"> “Annex </w:t>
      </w:r>
      <w:r w:rsidR="006C16F5" w:rsidRPr="002F6667">
        <w:rPr>
          <w:rFonts w:asciiTheme="majorHAnsi" w:hAnsiTheme="majorHAnsi" w:cstheme="majorHAnsi"/>
          <w:spacing w:val="-2"/>
        </w:rPr>
        <w:t>6</w:t>
      </w:r>
      <w:r w:rsidR="00EE0A2C" w:rsidRPr="002F6667">
        <w:rPr>
          <w:rFonts w:asciiTheme="majorHAnsi" w:hAnsiTheme="majorHAnsi" w:cstheme="majorHAnsi"/>
          <w:spacing w:val="-2"/>
        </w:rPr>
        <w:t>: The KEIP Kitset Classroom Innovation”.</w:t>
      </w:r>
      <w:r w:rsidR="006907EC" w:rsidRPr="002F6667">
        <w:rPr>
          <w:rFonts w:asciiTheme="majorHAnsi" w:hAnsiTheme="majorHAnsi" w:cstheme="majorHAnsi"/>
          <w:spacing w:val="-2"/>
        </w:rPr>
        <w:t xml:space="preserve"> </w:t>
      </w:r>
    </w:p>
    <w:p w14:paraId="4ED5A712" w14:textId="20494570" w:rsidR="00BF4884" w:rsidRPr="0060082A" w:rsidRDefault="00BF4884" w:rsidP="0060082A">
      <w:pPr>
        <w:rPr>
          <w:rFonts w:asciiTheme="majorHAnsi" w:hAnsiTheme="majorHAnsi" w:cstheme="majorHAnsi"/>
        </w:rPr>
      </w:pPr>
      <w:r w:rsidRPr="0060082A">
        <w:rPr>
          <w:rFonts w:asciiTheme="majorHAnsi" w:hAnsiTheme="majorHAnsi" w:cstheme="majorHAnsi"/>
        </w:rPr>
        <w:t xml:space="preserve">The successful design and manufacturing / delivery method </w:t>
      </w:r>
      <w:r w:rsidR="00EE0A2C" w:rsidRPr="0060082A">
        <w:rPr>
          <w:rFonts w:asciiTheme="majorHAnsi" w:hAnsiTheme="majorHAnsi" w:cstheme="majorHAnsi"/>
        </w:rPr>
        <w:t>for the provision of quality classrooms (single and</w:t>
      </w:r>
      <w:r w:rsidR="00612FB4" w:rsidRPr="0060082A">
        <w:rPr>
          <w:rFonts w:asciiTheme="majorHAnsi" w:hAnsiTheme="majorHAnsi" w:cstheme="majorHAnsi"/>
        </w:rPr>
        <w:t xml:space="preserve"> - where specifically requested due to local land or school population conditions -</w:t>
      </w:r>
      <w:r w:rsidR="00EE0A2C" w:rsidRPr="0060082A">
        <w:rPr>
          <w:rFonts w:asciiTheme="majorHAnsi" w:hAnsiTheme="majorHAnsi" w:cstheme="majorHAnsi"/>
        </w:rPr>
        <w:t xml:space="preserve"> two storey) </w:t>
      </w:r>
      <w:r w:rsidRPr="0060082A">
        <w:rPr>
          <w:rFonts w:asciiTheme="majorHAnsi" w:hAnsiTheme="majorHAnsi" w:cstheme="majorHAnsi"/>
        </w:rPr>
        <w:t xml:space="preserve">will be applied to continue the </w:t>
      </w:r>
      <w:r w:rsidR="008733D1" w:rsidRPr="0060082A">
        <w:rPr>
          <w:rFonts w:asciiTheme="majorHAnsi" w:hAnsiTheme="majorHAnsi" w:cstheme="majorHAnsi"/>
        </w:rPr>
        <w:t xml:space="preserve">MoE </w:t>
      </w:r>
      <w:r w:rsidRPr="0060082A">
        <w:rPr>
          <w:rFonts w:asciiTheme="majorHAnsi" w:hAnsiTheme="majorHAnsi" w:cstheme="majorHAnsi"/>
        </w:rPr>
        <w:t>classroom a</w:t>
      </w:r>
      <w:r w:rsidR="00EE0A2C" w:rsidRPr="0060082A">
        <w:rPr>
          <w:rFonts w:asciiTheme="majorHAnsi" w:hAnsiTheme="majorHAnsi" w:cstheme="majorHAnsi"/>
        </w:rPr>
        <w:t>n</w:t>
      </w:r>
      <w:r w:rsidRPr="0060082A">
        <w:rPr>
          <w:rFonts w:asciiTheme="majorHAnsi" w:hAnsiTheme="majorHAnsi" w:cstheme="majorHAnsi"/>
        </w:rPr>
        <w:t xml:space="preserve">d infrastructure improvement program </w:t>
      </w:r>
      <w:r w:rsidR="006E1F14" w:rsidRPr="0060082A">
        <w:rPr>
          <w:rFonts w:asciiTheme="majorHAnsi" w:hAnsiTheme="majorHAnsi" w:cstheme="majorHAnsi"/>
        </w:rPr>
        <w:t xml:space="preserve">that will be </w:t>
      </w:r>
      <w:r w:rsidRPr="0060082A">
        <w:rPr>
          <w:rFonts w:asciiTheme="majorHAnsi" w:hAnsiTheme="majorHAnsi" w:cstheme="majorHAnsi"/>
        </w:rPr>
        <w:t xml:space="preserve">funded through KEIP Phase </w:t>
      </w:r>
      <w:r w:rsidR="00837957">
        <w:rPr>
          <w:rFonts w:asciiTheme="majorHAnsi" w:hAnsiTheme="majorHAnsi" w:cstheme="majorHAnsi"/>
        </w:rPr>
        <w:t>3</w:t>
      </w:r>
      <w:r w:rsidRPr="0060082A">
        <w:rPr>
          <w:rFonts w:asciiTheme="majorHAnsi" w:hAnsiTheme="majorHAnsi" w:cstheme="majorHAnsi"/>
        </w:rPr>
        <w:t>.</w:t>
      </w:r>
    </w:p>
    <w:p w14:paraId="75774430" w14:textId="35F9AE0F" w:rsidR="00BF4884" w:rsidRPr="00C918BF" w:rsidRDefault="006B744E" w:rsidP="00D02244">
      <w:pPr>
        <w:pStyle w:val="Heading2"/>
        <w:rPr>
          <w:color w:val="auto"/>
        </w:rPr>
      </w:pPr>
      <w:bookmarkStart w:id="68" w:name="_Toc453669691"/>
      <w:bookmarkStart w:id="69" w:name="_Toc461615706"/>
      <w:r w:rsidRPr="00C918BF">
        <w:rPr>
          <w:color w:val="auto"/>
        </w:rPr>
        <w:t>5.2</w:t>
      </w:r>
      <w:r w:rsidRPr="00C918BF">
        <w:rPr>
          <w:color w:val="auto"/>
        </w:rPr>
        <w:tab/>
      </w:r>
      <w:r w:rsidR="00BF4884" w:rsidRPr="00C918BF">
        <w:rPr>
          <w:color w:val="auto"/>
        </w:rPr>
        <w:t xml:space="preserve">KEIP Phase </w:t>
      </w:r>
      <w:r w:rsidR="000A49FE">
        <w:rPr>
          <w:color w:val="auto"/>
        </w:rPr>
        <w:t>2</w:t>
      </w:r>
      <w:r w:rsidR="00BF4884" w:rsidRPr="00C918BF">
        <w:rPr>
          <w:color w:val="auto"/>
        </w:rPr>
        <w:t xml:space="preserve"> Private Sector engagement</w:t>
      </w:r>
      <w:bookmarkEnd w:id="68"/>
      <w:bookmarkEnd w:id="69"/>
    </w:p>
    <w:p w14:paraId="7B7FDFCB" w14:textId="46973D28" w:rsidR="00BF4884" w:rsidRPr="0060082A" w:rsidRDefault="00BF4884" w:rsidP="0060082A">
      <w:pPr>
        <w:rPr>
          <w:rFonts w:asciiTheme="majorHAnsi" w:hAnsiTheme="majorHAnsi" w:cstheme="majorHAnsi"/>
          <w:lang w:eastAsia="ko-KR"/>
        </w:rPr>
      </w:pPr>
      <w:r w:rsidRPr="0060082A">
        <w:rPr>
          <w:rFonts w:asciiTheme="majorHAnsi" w:hAnsiTheme="majorHAnsi" w:cstheme="majorHAnsi"/>
          <w:lang w:eastAsia="ko-KR"/>
        </w:rPr>
        <w:t xml:space="preserve">Wherever possible the Kiribati private sector has been involved </w:t>
      </w:r>
      <w:r w:rsidR="00580763" w:rsidRPr="0060082A">
        <w:rPr>
          <w:rFonts w:asciiTheme="majorHAnsi" w:hAnsiTheme="majorHAnsi" w:cstheme="majorHAnsi"/>
          <w:lang w:eastAsia="ko-KR"/>
        </w:rPr>
        <w:t xml:space="preserve">with </w:t>
      </w:r>
      <w:r w:rsidRPr="0060082A">
        <w:rPr>
          <w:rFonts w:asciiTheme="majorHAnsi" w:hAnsiTheme="majorHAnsi" w:cstheme="majorHAnsi"/>
          <w:lang w:eastAsia="ko-KR"/>
        </w:rPr>
        <w:t xml:space="preserve">and supported through KEIP Phase </w:t>
      </w:r>
      <w:r w:rsidR="000A49FE">
        <w:rPr>
          <w:rFonts w:asciiTheme="majorHAnsi" w:hAnsiTheme="majorHAnsi" w:cstheme="majorHAnsi"/>
          <w:lang w:eastAsia="ko-KR"/>
        </w:rPr>
        <w:t>2</w:t>
      </w:r>
      <w:r w:rsidRPr="0060082A">
        <w:rPr>
          <w:rFonts w:asciiTheme="majorHAnsi" w:hAnsiTheme="majorHAnsi" w:cstheme="majorHAnsi"/>
          <w:lang w:eastAsia="ko-KR"/>
        </w:rPr>
        <w:t xml:space="preserve"> activities, including opportunities for contracted supply of goods and services. In addition, support (through clear quality standards and service level expectations) has been provided to local Kiribati companies</w:t>
      </w:r>
      <w:r w:rsidR="007D0F99" w:rsidRPr="0060082A">
        <w:rPr>
          <w:rFonts w:asciiTheme="majorHAnsi" w:hAnsiTheme="majorHAnsi" w:cstheme="majorHAnsi"/>
          <w:lang w:eastAsia="ko-KR"/>
        </w:rPr>
        <w:t>,</w:t>
      </w:r>
      <w:r w:rsidRPr="0060082A">
        <w:rPr>
          <w:rFonts w:asciiTheme="majorHAnsi" w:hAnsiTheme="majorHAnsi" w:cstheme="majorHAnsi"/>
          <w:lang w:eastAsia="ko-KR"/>
        </w:rPr>
        <w:t xml:space="preserve"> in order that they can </w:t>
      </w:r>
      <w:r w:rsidR="007D0F99" w:rsidRPr="0060082A">
        <w:rPr>
          <w:rFonts w:asciiTheme="majorHAnsi" w:hAnsiTheme="majorHAnsi" w:cstheme="majorHAnsi"/>
          <w:lang w:eastAsia="ko-KR"/>
        </w:rPr>
        <w:t xml:space="preserve">better </w:t>
      </w:r>
      <w:r w:rsidRPr="0060082A">
        <w:rPr>
          <w:rFonts w:asciiTheme="majorHAnsi" w:hAnsiTheme="majorHAnsi" w:cstheme="majorHAnsi"/>
          <w:lang w:eastAsia="ko-KR"/>
        </w:rPr>
        <w:t>understand and meet quality requirements.</w:t>
      </w:r>
    </w:p>
    <w:p w14:paraId="73B96069" w14:textId="77777777" w:rsidR="00BF4884" w:rsidRPr="0060082A" w:rsidRDefault="00BF4884" w:rsidP="0060082A">
      <w:pPr>
        <w:rPr>
          <w:rFonts w:asciiTheme="majorHAnsi" w:hAnsiTheme="majorHAnsi" w:cstheme="majorHAnsi"/>
          <w:lang w:eastAsia="ko-KR"/>
        </w:rPr>
      </w:pPr>
      <w:r w:rsidRPr="0060082A">
        <w:rPr>
          <w:rFonts w:asciiTheme="majorHAnsi" w:hAnsiTheme="majorHAnsi" w:cstheme="majorHAnsi"/>
          <w:lang w:eastAsia="ko-KR"/>
        </w:rPr>
        <w:t xml:space="preserve">The following table outlines the engagement with, and benefit to, the Kiribati private sector and businesses. </w:t>
      </w:r>
    </w:p>
    <w:p w14:paraId="29B48B1D" w14:textId="53D1566F" w:rsidR="00C532F5" w:rsidRPr="0060082A" w:rsidRDefault="00C532F5" w:rsidP="0060082A">
      <w:pPr>
        <w:rPr>
          <w:rFonts w:asciiTheme="majorHAnsi" w:hAnsiTheme="majorHAnsi" w:cstheme="majorHAnsi"/>
          <w:b/>
          <w:lang w:eastAsia="ko-KR"/>
        </w:rPr>
      </w:pPr>
      <w:r w:rsidRPr="0060082A">
        <w:rPr>
          <w:rFonts w:asciiTheme="majorHAnsi" w:hAnsiTheme="majorHAnsi" w:cstheme="majorHAnsi"/>
          <w:b/>
          <w:lang w:eastAsia="ko-KR"/>
        </w:rPr>
        <w:t xml:space="preserve">Table </w:t>
      </w:r>
      <w:r w:rsidR="00892B10" w:rsidRPr="0060082A">
        <w:rPr>
          <w:rFonts w:asciiTheme="majorHAnsi" w:hAnsiTheme="majorHAnsi" w:cstheme="majorHAnsi"/>
          <w:b/>
          <w:lang w:eastAsia="ko-KR"/>
        </w:rPr>
        <w:t>2</w:t>
      </w:r>
      <w:r w:rsidRPr="0060082A">
        <w:rPr>
          <w:rFonts w:asciiTheme="majorHAnsi" w:hAnsiTheme="majorHAnsi" w:cstheme="majorHAnsi"/>
          <w:b/>
          <w:lang w:eastAsia="ko-KR"/>
        </w:rPr>
        <w:t xml:space="preserve">: KEIP Phase </w:t>
      </w:r>
      <w:r w:rsidR="000A49FE" w:rsidRPr="0060082A">
        <w:rPr>
          <w:rFonts w:asciiTheme="majorHAnsi" w:hAnsiTheme="majorHAnsi" w:cstheme="majorHAnsi"/>
          <w:b/>
          <w:lang w:eastAsia="ko-KR"/>
        </w:rPr>
        <w:t>2</w:t>
      </w:r>
      <w:r w:rsidRPr="0060082A">
        <w:rPr>
          <w:rFonts w:asciiTheme="majorHAnsi" w:hAnsiTheme="majorHAnsi" w:cstheme="majorHAnsi"/>
          <w:b/>
          <w:lang w:eastAsia="ko-KR"/>
        </w:rPr>
        <w:t xml:space="preserve"> private sector engagement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0F4F6" w:themeFill="accent5" w:themeFillTint="33"/>
        <w:tblLook w:val="04A0" w:firstRow="1" w:lastRow="0" w:firstColumn="1" w:lastColumn="0" w:noHBand="0" w:noVBand="1"/>
      </w:tblPr>
      <w:tblGrid>
        <w:gridCol w:w="2163"/>
        <w:gridCol w:w="3612"/>
        <w:gridCol w:w="3739"/>
      </w:tblGrid>
      <w:tr w:rsidR="00807215" w:rsidRPr="00C918BF" w14:paraId="761A93B0" w14:textId="77777777" w:rsidTr="00D02244">
        <w:trPr>
          <w:trHeight w:val="284"/>
          <w:tblHeader/>
        </w:trPr>
        <w:tc>
          <w:tcPr>
            <w:tcW w:w="1137" w:type="pct"/>
            <w:shd w:val="clear" w:color="auto" w:fill="A25EA6"/>
            <w:vAlign w:val="center"/>
          </w:tcPr>
          <w:p w14:paraId="0E49B1D4" w14:textId="77777777" w:rsidR="00BF4884" w:rsidRPr="006671BF" w:rsidRDefault="00BF4884" w:rsidP="006671BF">
            <w:pPr>
              <w:spacing w:before="20" w:after="20"/>
              <w:rPr>
                <w:rFonts w:asciiTheme="majorHAnsi" w:eastAsia="Times New Roman" w:hAnsiTheme="majorHAnsi" w:cstheme="majorHAnsi"/>
                <w:b/>
                <w:color w:val="FFFFFF" w:themeColor="background1"/>
              </w:rPr>
            </w:pPr>
            <w:r w:rsidRPr="006671BF">
              <w:rPr>
                <w:rFonts w:asciiTheme="majorHAnsi" w:eastAsia="Times New Roman" w:hAnsiTheme="majorHAnsi" w:cstheme="majorHAnsi"/>
                <w:b/>
                <w:color w:val="FFFFFF" w:themeColor="background1"/>
              </w:rPr>
              <w:t xml:space="preserve">Private Sector </w:t>
            </w:r>
          </w:p>
        </w:tc>
        <w:tc>
          <w:tcPr>
            <w:tcW w:w="1898" w:type="pct"/>
            <w:shd w:val="clear" w:color="auto" w:fill="A25EA6"/>
            <w:vAlign w:val="center"/>
          </w:tcPr>
          <w:p w14:paraId="3C37C0C5" w14:textId="20EDC6FA" w:rsidR="00BF4884" w:rsidRPr="006671BF" w:rsidRDefault="00BF4884" w:rsidP="006671BF">
            <w:pPr>
              <w:spacing w:before="20" w:after="20"/>
              <w:rPr>
                <w:rFonts w:asciiTheme="majorHAnsi" w:eastAsia="Times New Roman" w:hAnsiTheme="majorHAnsi" w:cstheme="majorHAnsi"/>
                <w:b/>
                <w:color w:val="FFFFFF" w:themeColor="background1"/>
              </w:rPr>
            </w:pPr>
            <w:r w:rsidRPr="006671BF">
              <w:rPr>
                <w:rFonts w:asciiTheme="majorHAnsi" w:eastAsia="Times New Roman" w:hAnsiTheme="majorHAnsi" w:cstheme="majorHAnsi"/>
                <w:b/>
                <w:color w:val="FFFFFF" w:themeColor="background1"/>
              </w:rPr>
              <w:t xml:space="preserve">Role in KEIP Phase </w:t>
            </w:r>
            <w:r w:rsidR="000A49FE">
              <w:rPr>
                <w:rFonts w:asciiTheme="majorHAnsi" w:eastAsia="Times New Roman" w:hAnsiTheme="majorHAnsi" w:cstheme="majorHAnsi"/>
                <w:b/>
                <w:color w:val="FFFFFF" w:themeColor="background1"/>
              </w:rPr>
              <w:t>2</w:t>
            </w:r>
          </w:p>
        </w:tc>
        <w:tc>
          <w:tcPr>
            <w:tcW w:w="1965" w:type="pct"/>
            <w:shd w:val="clear" w:color="auto" w:fill="A25EA6"/>
            <w:vAlign w:val="center"/>
          </w:tcPr>
          <w:p w14:paraId="41EB2C98" w14:textId="77777777" w:rsidR="00BF4884" w:rsidRPr="006671BF" w:rsidRDefault="00BF4884" w:rsidP="006671BF">
            <w:pPr>
              <w:spacing w:before="20" w:after="20"/>
              <w:rPr>
                <w:rFonts w:asciiTheme="majorHAnsi" w:eastAsia="Times New Roman" w:hAnsiTheme="majorHAnsi" w:cstheme="majorHAnsi"/>
                <w:b/>
                <w:color w:val="FFFFFF" w:themeColor="background1"/>
              </w:rPr>
            </w:pPr>
            <w:r w:rsidRPr="006671BF">
              <w:rPr>
                <w:rFonts w:asciiTheme="majorHAnsi" w:eastAsia="Times New Roman" w:hAnsiTheme="majorHAnsi" w:cstheme="majorHAnsi"/>
                <w:b/>
                <w:color w:val="FFFFFF" w:themeColor="background1"/>
              </w:rPr>
              <w:t>Benefits to Sector and Kiribati</w:t>
            </w:r>
          </w:p>
        </w:tc>
      </w:tr>
      <w:tr w:rsidR="00807215" w:rsidRPr="00C918BF" w14:paraId="045FB196" w14:textId="77777777" w:rsidTr="00D902DF">
        <w:trPr>
          <w:trHeight w:val="284"/>
        </w:trPr>
        <w:tc>
          <w:tcPr>
            <w:tcW w:w="1137" w:type="pct"/>
            <w:shd w:val="clear" w:color="auto" w:fill="E2EAEE" w:themeFill="accent5" w:themeFillTint="66"/>
            <w:vAlign w:val="center"/>
          </w:tcPr>
          <w:p w14:paraId="74A0CA49" w14:textId="77777777" w:rsidR="00BF4884" w:rsidRPr="00C918BF" w:rsidRDefault="00BF4884" w:rsidP="006671BF">
            <w:pPr>
              <w:spacing w:before="20" w:after="20"/>
              <w:rPr>
                <w:rFonts w:asciiTheme="majorHAnsi" w:eastAsia="Times New Roman" w:hAnsiTheme="majorHAnsi" w:cstheme="majorHAnsi"/>
                <w:b/>
              </w:rPr>
            </w:pPr>
            <w:r w:rsidRPr="00C918BF">
              <w:rPr>
                <w:rFonts w:asciiTheme="majorHAnsi" w:eastAsia="Times New Roman" w:hAnsiTheme="majorHAnsi" w:cstheme="majorHAnsi"/>
                <w:b/>
              </w:rPr>
              <w:t>Kiribati business and agents provided goods and services to KEIP</w:t>
            </w:r>
          </w:p>
        </w:tc>
        <w:tc>
          <w:tcPr>
            <w:tcW w:w="1898" w:type="pct"/>
            <w:shd w:val="clear" w:color="auto" w:fill="F0F4F6" w:themeFill="accent5" w:themeFillTint="33"/>
            <w:vAlign w:val="center"/>
          </w:tcPr>
          <w:p w14:paraId="577D3C64"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 xml:space="preserve">Use of local companies to increase Kiribati business participation, set quality standards and to seek </w:t>
            </w:r>
            <w:r w:rsidR="008733D1" w:rsidRPr="00C918BF">
              <w:rPr>
                <w:rFonts w:asciiTheme="majorHAnsi" w:eastAsia="Times New Roman" w:hAnsiTheme="majorHAnsi" w:cstheme="majorHAnsi"/>
              </w:rPr>
              <w:t>v</w:t>
            </w:r>
            <w:r w:rsidR="00A27114" w:rsidRPr="00C918BF">
              <w:rPr>
                <w:rFonts w:asciiTheme="majorHAnsi" w:eastAsia="Times New Roman" w:hAnsiTheme="majorHAnsi" w:cstheme="majorHAnsi"/>
              </w:rPr>
              <w:t xml:space="preserve">alue for </w:t>
            </w:r>
            <w:r w:rsidR="008733D1" w:rsidRPr="00C918BF">
              <w:rPr>
                <w:rFonts w:asciiTheme="majorHAnsi" w:eastAsia="Times New Roman" w:hAnsiTheme="majorHAnsi" w:cstheme="majorHAnsi"/>
              </w:rPr>
              <w:t>m</w:t>
            </w:r>
            <w:r w:rsidR="00A27114" w:rsidRPr="00C918BF">
              <w:rPr>
                <w:rFonts w:asciiTheme="majorHAnsi" w:eastAsia="Times New Roman" w:hAnsiTheme="majorHAnsi" w:cstheme="majorHAnsi"/>
              </w:rPr>
              <w:t>oney</w:t>
            </w:r>
            <w:r w:rsidRPr="00C918BF">
              <w:rPr>
                <w:rFonts w:asciiTheme="majorHAnsi" w:eastAsia="Times New Roman" w:hAnsiTheme="majorHAnsi" w:cstheme="majorHAnsi"/>
              </w:rPr>
              <w:t xml:space="preserve"> solutions</w:t>
            </w:r>
          </w:p>
        </w:tc>
        <w:tc>
          <w:tcPr>
            <w:tcW w:w="1965" w:type="pct"/>
            <w:shd w:val="clear" w:color="auto" w:fill="F0F4F6" w:themeFill="accent5" w:themeFillTint="33"/>
            <w:vAlign w:val="center"/>
          </w:tcPr>
          <w:p w14:paraId="7A82BB7D"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Provides opportunities for local companies and traders to provide goods or services to KEIP, while at the same time better understanding the quality requirements and warranty obligations</w:t>
            </w:r>
          </w:p>
        </w:tc>
      </w:tr>
      <w:tr w:rsidR="00807215" w:rsidRPr="00C918BF" w14:paraId="4C1482A7" w14:textId="77777777" w:rsidTr="00D902DF">
        <w:trPr>
          <w:trHeight w:val="284"/>
        </w:trPr>
        <w:tc>
          <w:tcPr>
            <w:tcW w:w="1137" w:type="pct"/>
            <w:shd w:val="clear" w:color="auto" w:fill="E2EAEE" w:themeFill="accent5" w:themeFillTint="66"/>
            <w:vAlign w:val="center"/>
          </w:tcPr>
          <w:p w14:paraId="662C6EAD" w14:textId="5CF738D0" w:rsidR="00BF4884" w:rsidRPr="00C918BF" w:rsidRDefault="00BF4884" w:rsidP="006671BF">
            <w:pPr>
              <w:spacing w:before="20" w:after="20"/>
              <w:rPr>
                <w:rFonts w:asciiTheme="majorHAnsi" w:eastAsia="Times New Roman" w:hAnsiTheme="majorHAnsi" w:cstheme="majorHAnsi"/>
                <w:b/>
              </w:rPr>
            </w:pPr>
            <w:r w:rsidRPr="00C918BF">
              <w:rPr>
                <w:rFonts w:asciiTheme="majorHAnsi" w:eastAsia="Times New Roman" w:hAnsiTheme="majorHAnsi" w:cstheme="majorHAnsi"/>
                <w:b/>
              </w:rPr>
              <w:t xml:space="preserve">Local private building and construction companies built KEIP Phase </w:t>
            </w:r>
            <w:r w:rsidR="000A49FE">
              <w:rPr>
                <w:rFonts w:asciiTheme="majorHAnsi" w:eastAsia="Times New Roman" w:hAnsiTheme="majorHAnsi" w:cstheme="majorHAnsi"/>
                <w:b/>
              </w:rPr>
              <w:t>2</w:t>
            </w:r>
            <w:r w:rsidRPr="00C918BF">
              <w:rPr>
                <w:rFonts w:asciiTheme="majorHAnsi" w:eastAsia="Times New Roman" w:hAnsiTheme="majorHAnsi" w:cstheme="majorHAnsi"/>
                <w:b/>
              </w:rPr>
              <w:t xml:space="preserve"> schools</w:t>
            </w:r>
          </w:p>
        </w:tc>
        <w:tc>
          <w:tcPr>
            <w:tcW w:w="1898" w:type="pct"/>
            <w:shd w:val="clear" w:color="auto" w:fill="F0F4F6" w:themeFill="accent5" w:themeFillTint="33"/>
            <w:vAlign w:val="center"/>
          </w:tcPr>
          <w:p w14:paraId="519EE2F9" w14:textId="77777777" w:rsidR="00BF4884" w:rsidRPr="006671BF" w:rsidRDefault="00BF4884" w:rsidP="006671BF">
            <w:pPr>
              <w:spacing w:before="20" w:after="20"/>
              <w:rPr>
                <w:rFonts w:asciiTheme="majorHAnsi" w:eastAsia="Times New Roman" w:hAnsiTheme="majorHAnsi" w:cstheme="majorHAnsi"/>
                <w:spacing w:val="2"/>
              </w:rPr>
            </w:pPr>
            <w:r w:rsidRPr="006671BF">
              <w:rPr>
                <w:rFonts w:asciiTheme="majorHAnsi" w:eastAsia="Times New Roman" w:hAnsiTheme="majorHAnsi" w:cstheme="majorHAnsi"/>
                <w:spacing w:val="2"/>
              </w:rPr>
              <w:t xml:space="preserve">Assemble the </w:t>
            </w:r>
            <w:r w:rsidR="008733D1" w:rsidRPr="006671BF">
              <w:rPr>
                <w:rFonts w:asciiTheme="majorHAnsi" w:eastAsia="Times New Roman" w:hAnsiTheme="majorHAnsi" w:cstheme="majorHAnsi"/>
                <w:spacing w:val="2"/>
              </w:rPr>
              <w:t>k</w:t>
            </w:r>
            <w:r w:rsidRPr="006671BF">
              <w:rPr>
                <w:rFonts w:asciiTheme="majorHAnsi" w:eastAsia="Times New Roman" w:hAnsiTheme="majorHAnsi" w:cstheme="majorHAnsi"/>
                <w:spacing w:val="2"/>
              </w:rPr>
              <w:t>it</w:t>
            </w:r>
            <w:r w:rsidR="008733D1" w:rsidRPr="006671BF">
              <w:rPr>
                <w:rFonts w:asciiTheme="majorHAnsi" w:eastAsia="Times New Roman" w:hAnsiTheme="majorHAnsi" w:cstheme="majorHAnsi"/>
                <w:spacing w:val="2"/>
              </w:rPr>
              <w:t>s</w:t>
            </w:r>
            <w:r w:rsidRPr="006671BF">
              <w:rPr>
                <w:rFonts w:asciiTheme="majorHAnsi" w:eastAsia="Times New Roman" w:hAnsiTheme="majorHAnsi" w:cstheme="majorHAnsi"/>
                <w:spacing w:val="2"/>
              </w:rPr>
              <w:t>et school components locally, through Kiribati companies, then tender out the contracts for builders to undertake the site preparation and construction, including WASH facilities and water tanks</w:t>
            </w:r>
          </w:p>
        </w:tc>
        <w:tc>
          <w:tcPr>
            <w:tcW w:w="1965" w:type="pct"/>
            <w:shd w:val="clear" w:color="auto" w:fill="F0F4F6" w:themeFill="accent5" w:themeFillTint="33"/>
            <w:vAlign w:val="center"/>
          </w:tcPr>
          <w:p w14:paraId="57765B86"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 xml:space="preserve">Increased employment and skill formation for local staff </w:t>
            </w:r>
          </w:p>
          <w:p w14:paraId="72A20130"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 xml:space="preserve">The </w:t>
            </w:r>
            <w:r w:rsidR="008733D1" w:rsidRPr="00C918BF">
              <w:rPr>
                <w:rFonts w:asciiTheme="majorHAnsi" w:eastAsia="Times New Roman" w:hAnsiTheme="majorHAnsi" w:cstheme="majorHAnsi"/>
              </w:rPr>
              <w:t>k</w:t>
            </w:r>
            <w:r w:rsidRPr="00C918BF">
              <w:rPr>
                <w:rFonts w:asciiTheme="majorHAnsi" w:eastAsia="Times New Roman" w:hAnsiTheme="majorHAnsi" w:cstheme="majorHAnsi"/>
              </w:rPr>
              <w:t>it</w:t>
            </w:r>
            <w:r w:rsidR="008733D1" w:rsidRPr="00C918BF">
              <w:rPr>
                <w:rFonts w:asciiTheme="majorHAnsi" w:eastAsia="Times New Roman" w:hAnsiTheme="majorHAnsi" w:cstheme="majorHAnsi"/>
              </w:rPr>
              <w:t>s</w:t>
            </w:r>
            <w:r w:rsidRPr="00C918BF">
              <w:rPr>
                <w:rFonts w:asciiTheme="majorHAnsi" w:eastAsia="Times New Roman" w:hAnsiTheme="majorHAnsi" w:cstheme="majorHAnsi"/>
              </w:rPr>
              <w:t xml:space="preserve">et design is also suitable for non-education buildings, so can provide increased marketing options for local suppliers and builders in residential or commercial buildings </w:t>
            </w:r>
          </w:p>
        </w:tc>
      </w:tr>
      <w:tr w:rsidR="00807215" w:rsidRPr="00C918BF" w14:paraId="67C673D3" w14:textId="77777777" w:rsidTr="00D902DF">
        <w:trPr>
          <w:trHeight w:val="284"/>
        </w:trPr>
        <w:tc>
          <w:tcPr>
            <w:tcW w:w="1137" w:type="pct"/>
            <w:shd w:val="clear" w:color="auto" w:fill="E2EAEE" w:themeFill="accent5" w:themeFillTint="66"/>
            <w:vAlign w:val="center"/>
          </w:tcPr>
          <w:p w14:paraId="49E51004" w14:textId="77777777" w:rsidR="00BF4884" w:rsidRPr="00C918BF" w:rsidRDefault="00BF4884" w:rsidP="006671BF">
            <w:pPr>
              <w:spacing w:before="20" w:after="20"/>
              <w:rPr>
                <w:rFonts w:asciiTheme="majorHAnsi" w:eastAsia="Times New Roman" w:hAnsiTheme="majorHAnsi" w:cstheme="majorHAnsi"/>
                <w:b/>
              </w:rPr>
            </w:pPr>
            <w:r w:rsidRPr="00C918BF">
              <w:rPr>
                <w:rFonts w:asciiTheme="majorHAnsi" w:eastAsia="Times New Roman" w:hAnsiTheme="majorHAnsi" w:cstheme="majorHAnsi"/>
                <w:b/>
              </w:rPr>
              <w:t>Employment Local installers and Island based semi-skilled labour</w:t>
            </w:r>
          </w:p>
        </w:tc>
        <w:tc>
          <w:tcPr>
            <w:tcW w:w="1898" w:type="pct"/>
            <w:shd w:val="clear" w:color="auto" w:fill="F0F4F6" w:themeFill="accent5" w:themeFillTint="33"/>
            <w:vAlign w:val="center"/>
          </w:tcPr>
          <w:p w14:paraId="73A45100"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Local labour and support is hired to install the proposed water capture and storage tanks / WASH facilities at the schools</w:t>
            </w:r>
          </w:p>
        </w:tc>
        <w:tc>
          <w:tcPr>
            <w:tcW w:w="1965" w:type="pct"/>
            <w:shd w:val="clear" w:color="auto" w:fill="F0F4F6" w:themeFill="accent5" w:themeFillTint="33"/>
            <w:vAlign w:val="center"/>
          </w:tcPr>
          <w:p w14:paraId="01C46E41"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Short term employment opportunities and associated skill formation, for work on installing and maintaining water capture and storage and the WASH facilities</w:t>
            </w:r>
          </w:p>
        </w:tc>
      </w:tr>
      <w:tr w:rsidR="00807215" w:rsidRPr="00C918BF" w14:paraId="6868BAA3" w14:textId="77777777" w:rsidTr="00D902DF">
        <w:trPr>
          <w:trHeight w:val="284"/>
        </w:trPr>
        <w:tc>
          <w:tcPr>
            <w:tcW w:w="1137" w:type="pct"/>
            <w:shd w:val="clear" w:color="auto" w:fill="E2EAEE" w:themeFill="accent5" w:themeFillTint="66"/>
            <w:vAlign w:val="center"/>
          </w:tcPr>
          <w:p w14:paraId="4356590B" w14:textId="77777777" w:rsidR="00BF4884" w:rsidRPr="00C918BF" w:rsidRDefault="00BF4884" w:rsidP="006671BF">
            <w:pPr>
              <w:spacing w:before="20" w:after="20"/>
              <w:rPr>
                <w:rFonts w:asciiTheme="majorHAnsi" w:eastAsia="Times New Roman" w:hAnsiTheme="majorHAnsi" w:cstheme="majorHAnsi"/>
                <w:b/>
              </w:rPr>
            </w:pPr>
            <w:r w:rsidRPr="00C918BF">
              <w:rPr>
                <w:rFonts w:asciiTheme="majorHAnsi" w:eastAsia="Times New Roman" w:hAnsiTheme="majorHAnsi" w:cstheme="majorHAnsi"/>
                <w:b/>
              </w:rPr>
              <w:t>Kiribati hotels, guest houses, rental owners, supermarkets</w:t>
            </w:r>
          </w:p>
        </w:tc>
        <w:tc>
          <w:tcPr>
            <w:tcW w:w="1898" w:type="pct"/>
            <w:shd w:val="clear" w:color="auto" w:fill="F0F4F6" w:themeFill="accent5" w:themeFillTint="33"/>
            <w:vAlign w:val="center"/>
          </w:tcPr>
          <w:p w14:paraId="62A2E159" w14:textId="77777777" w:rsidR="00BF4884" w:rsidRPr="006671BF" w:rsidRDefault="00BF4884" w:rsidP="006671BF">
            <w:pPr>
              <w:spacing w:before="20" w:after="20"/>
              <w:rPr>
                <w:rFonts w:asciiTheme="majorHAnsi" w:eastAsia="Times New Roman" w:hAnsiTheme="majorHAnsi" w:cstheme="majorHAnsi"/>
                <w:spacing w:val="2"/>
              </w:rPr>
            </w:pPr>
            <w:r w:rsidRPr="006671BF">
              <w:rPr>
                <w:rFonts w:asciiTheme="majorHAnsi" w:eastAsia="Times New Roman" w:hAnsiTheme="majorHAnsi" w:cstheme="majorHAnsi"/>
                <w:spacing w:val="2"/>
              </w:rPr>
              <w:t>Suppliers of accommodation and hospitality services to KEIP and managing contractor staff staying in country</w:t>
            </w:r>
          </w:p>
        </w:tc>
        <w:tc>
          <w:tcPr>
            <w:tcW w:w="1965" w:type="pct"/>
            <w:shd w:val="clear" w:color="auto" w:fill="F0F4F6" w:themeFill="accent5" w:themeFillTint="33"/>
            <w:vAlign w:val="center"/>
          </w:tcPr>
          <w:p w14:paraId="1DABF1D2" w14:textId="77777777" w:rsidR="00BF4884" w:rsidRPr="00C918BF" w:rsidRDefault="00BF4884" w:rsidP="006671BF">
            <w:pPr>
              <w:spacing w:before="20" w:after="20"/>
              <w:rPr>
                <w:rFonts w:asciiTheme="majorHAnsi" w:eastAsia="Times New Roman" w:hAnsiTheme="majorHAnsi" w:cstheme="majorHAnsi"/>
              </w:rPr>
            </w:pPr>
            <w:r w:rsidRPr="00C918BF">
              <w:rPr>
                <w:rFonts w:asciiTheme="majorHAnsi" w:eastAsia="Times New Roman" w:hAnsiTheme="majorHAnsi" w:cstheme="majorHAnsi"/>
              </w:rPr>
              <w:t>Increased business turnover, opportunities for more local employment and for staff training</w:t>
            </w:r>
          </w:p>
        </w:tc>
      </w:tr>
    </w:tbl>
    <w:p w14:paraId="59337B1E" w14:textId="276547B0" w:rsidR="007627F4" w:rsidRPr="00DD2CE2" w:rsidRDefault="003A60A5" w:rsidP="00DD2CE2">
      <w:pPr>
        <w:pStyle w:val="Heading1"/>
      </w:pPr>
      <w:bookmarkStart w:id="70" w:name="_Toc453669692"/>
      <w:bookmarkStart w:id="71" w:name="_Toc461615707"/>
      <w:r w:rsidRPr="00DD2CE2">
        <w:t>6</w:t>
      </w:r>
      <w:r w:rsidRPr="00DD2CE2">
        <w:tab/>
      </w:r>
      <w:r w:rsidR="007627F4" w:rsidRPr="00DD2CE2">
        <w:t>Risk</w:t>
      </w:r>
      <w:r w:rsidR="0096107A" w:rsidRPr="00DD2CE2">
        <w:t>s</w:t>
      </w:r>
      <w:r w:rsidR="007627F4" w:rsidRPr="00DD2CE2">
        <w:t xml:space="preserve"> </w:t>
      </w:r>
      <w:r w:rsidRPr="00DD2CE2">
        <w:t xml:space="preserve">Management </w:t>
      </w:r>
      <w:r w:rsidR="007627F4" w:rsidRPr="00DD2CE2">
        <w:t>and Safeguards</w:t>
      </w:r>
      <w:bookmarkEnd w:id="70"/>
      <w:bookmarkEnd w:id="71"/>
    </w:p>
    <w:p w14:paraId="27071740" w14:textId="7058CB5D" w:rsidR="005F6FC2" w:rsidRPr="0060082A" w:rsidRDefault="00A24E3C" w:rsidP="0060082A">
      <w:pPr>
        <w:rPr>
          <w:rFonts w:asciiTheme="majorHAnsi" w:hAnsiTheme="majorHAnsi" w:cstheme="majorHAnsi"/>
        </w:rPr>
      </w:pPr>
      <w:r w:rsidRPr="0060082A">
        <w:rPr>
          <w:rFonts w:asciiTheme="majorHAnsi" w:hAnsiTheme="majorHAnsi" w:cstheme="majorHAnsi"/>
        </w:rPr>
        <w:t xml:space="preserve">As part of planning and implementation, a Risk Assessment and Management </w:t>
      </w:r>
      <w:r w:rsidR="00BC0293" w:rsidRPr="0060082A">
        <w:rPr>
          <w:rFonts w:asciiTheme="majorHAnsi" w:hAnsiTheme="majorHAnsi" w:cstheme="majorHAnsi"/>
        </w:rPr>
        <w:t>T</w:t>
      </w:r>
      <w:r w:rsidRPr="0060082A">
        <w:rPr>
          <w:rFonts w:asciiTheme="majorHAnsi" w:hAnsiTheme="majorHAnsi" w:cstheme="majorHAnsi"/>
        </w:rPr>
        <w:t xml:space="preserve">ool (in the form of a matrix) was included in the planning and reporting documentation. This matrix was updated regularly and amended to accommodate any emerging risks. When serious risks or constraints emerged, these were communicated quickly to </w:t>
      </w:r>
      <w:r w:rsidR="00B765AC" w:rsidRPr="0060082A">
        <w:rPr>
          <w:rFonts w:asciiTheme="majorHAnsi" w:hAnsiTheme="majorHAnsi" w:cstheme="majorHAnsi"/>
        </w:rPr>
        <w:t>M</w:t>
      </w:r>
      <w:r w:rsidR="00BC0293" w:rsidRPr="0060082A">
        <w:rPr>
          <w:rFonts w:asciiTheme="majorHAnsi" w:hAnsiTheme="majorHAnsi" w:cstheme="majorHAnsi"/>
        </w:rPr>
        <w:t>o</w:t>
      </w:r>
      <w:r w:rsidR="00B765AC" w:rsidRPr="0060082A">
        <w:rPr>
          <w:rFonts w:asciiTheme="majorHAnsi" w:hAnsiTheme="majorHAnsi" w:cstheme="majorHAnsi"/>
        </w:rPr>
        <w:t>E</w:t>
      </w:r>
      <w:r w:rsidRPr="0060082A">
        <w:rPr>
          <w:rFonts w:asciiTheme="majorHAnsi" w:hAnsiTheme="majorHAnsi" w:cstheme="majorHAnsi"/>
        </w:rPr>
        <w:t xml:space="preserve"> and to DFAT, so that </w:t>
      </w:r>
      <w:r w:rsidR="005F6FC2" w:rsidRPr="0060082A">
        <w:rPr>
          <w:rFonts w:asciiTheme="majorHAnsi" w:hAnsiTheme="majorHAnsi" w:cstheme="majorHAnsi"/>
        </w:rPr>
        <w:t>the potential impact on the program or achievements was minimised.</w:t>
      </w:r>
    </w:p>
    <w:p w14:paraId="5613C2F2" w14:textId="53242D3C" w:rsidR="00820811" w:rsidRDefault="005F6FC2" w:rsidP="0060082A">
      <w:pPr>
        <w:rPr>
          <w:rFonts w:asciiTheme="majorHAnsi" w:hAnsiTheme="majorHAnsi" w:cstheme="majorHAnsi"/>
        </w:rPr>
      </w:pPr>
      <w:r w:rsidRPr="0060082A">
        <w:rPr>
          <w:rFonts w:asciiTheme="majorHAnsi" w:hAnsiTheme="majorHAnsi" w:cstheme="majorHAnsi"/>
        </w:rPr>
        <w:t xml:space="preserve">The following summary indicates the main strategic and operational KEIP Phase </w:t>
      </w:r>
      <w:r w:rsidR="000A49FE">
        <w:rPr>
          <w:rFonts w:asciiTheme="majorHAnsi" w:hAnsiTheme="majorHAnsi" w:cstheme="majorHAnsi"/>
        </w:rPr>
        <w:t>2</w:t>
      </w:r>
      <w:r w:rsidRPr="0060082A">
        <w:rPr>
          <w:rFonts w:asciiTheme="majorHAnsi" w:hAnsiTheme="majorHAnsi" w:cstheme="majorHAnsi"/>
        </w:rPr>
        <w:t xml:space="preserve"> risks and how they were mitigated and </w:t>
      </w:r>
      <w:r w:rsidR="00A24E3C" w:rsidRPr="0060082A">
        <w:rPr>
          <w:rFonts w:asciiTheme="majorHAnsi" w:hAnsiTheme="majorHAnsi" w:cstheme="majorHAnsi"/>
        </w:rPr>
        <w:t>managed.</w:t>
      </w:r>
      <w:r w:rsidR="002C3C54" w:rsidRPr="0060082A">
        <w:rPr>
          <w:rFonts w:asciiTheme="majorHAnsi" w:hAnsiTheme="majorHAnsi" w:cstheme="majorHAnsi"/>
        </w:rPr>
        <w:t xml:space="preserve"> The risk management and response is aligned to the unique cont</w:t>
      </w:r>
      <w:r w:rsidR="005C579C" w:rsidRPr="0060082A">
        <w:rPr>
          <w:rFonts w:asciiTheme="majorHAnsi" w:hAnsiTheme="majorHAnsi" w:cstheme="majorHAnsi"/>
        </w:rPr>
        <w:t>ext</w:t>
      </w:r>
      <w:r w:rsidR="002C3C54" w:rsidRPr="0060082A">
        <w:rPr>
          <w:rFonts w:asciiTheme="majorHAnsi" w:hAnsiTheme="majorHAnsi" w:cstheme="majorHAnsi"/>
        </w:rPr>
        <w:t xml:space="preserve"> in Kiribati, and supported by </w:t>
      </w:r>
      <w:r w:rsidR="00C603D3" w:rsidRPr="0060082A">
        <w:rPr>
          <w:rFonts w:asciiTheme="majorHAnsi" w:hAnsiTheme="majorHAnsi" w:cstheme="majorHAnsi"/>
        </w:rPr>
        <w:t>on-going</w:t>
      </w:r>
      <w:r w:rsidR="002C3C54" w:rsidRPr="0060082A">
        <w:rPr>
          <w:rFonts w:asciiTheme="majorHAnsi" w:hAnsiTheme="majorHAnsi" w:cstheme="majorHAnsi"/>
        </w:rPr>
        <w:t xml:space="preserve"> and regular communications and updates between the Team Leader and the managing contractor.</w:t>
      </w:r>
    </w:p>
    <w:p w14:paraId="2DE82E9D" w14:textId="77777777" w:rsidR="00820811" w:rsidRDefault="00820811">
      <w:pPr>
        <w:spacing w:line="276" w:lineRule="auto"/>
        <w:rPr>
          <w:rFonts w:asciiTheme="majorHAnsi" w:hAnsiTheme="majorHAnsi" w:cstheme="majorHAnsi"/>
        </w:rPr>
      </w:pPr>
      <w:r>
        <w:rPr>
          <w:rFonts w:asciiTheme="majorHAnsi" w:hAnsiTheme="majorHAnsi" w:cstheme="majorHAnsi"/>
        </w:rPr>
        <w:br w:type="page"/>
      </w:r>
    </w:p>
    <w:p w14:paraId="4F2AAFCE" w14:textId="60000D15" w:rsidR="00087C92" w:rsidRPr="0060082A" w:rsidRDefault="00580763" w:rsidP="0060082A">
      <w:pPr>
        <w:rPr>
          <w:rFonts w:asciiTheme="majorHAnsi" w:hAnsiTheme="majorHAnsi" w:cstheme="majorHAnsi"/>
          <w:b/>
          <w:lang w:eastAsia="ko-KR"/>
        </w:rPr>
      </w:pPr>
      <w:r w:rsidRPr="0060082A">
        <w:rPr>
          <w:rFonts w:asciiTheme="majorHAnsi" w:hAnsiTheme="majorHAnsi" w:cstheme="majorHAnsi"/>
          <w:b/>
          <w:lang w:eastAsia="ko-KR"/>
        </w:rPr>
        <w:lastRenderedPageBreak/>
        <w:t xml:space="preserve">Table </w:t>
      </w:r>
      <w:r w:rsidR="00892B10" w:rsidRPr="0060082A">
        <w:rPr>
          <w:rFonts w:asciiTheme="majorHAnsi" w:hAnsiTheme="majorHAnsi" w:cstheme="majorHAnsi"/>
          <w:b/>
          <w:lang w:eastAsia="ko-KR"/>
        </w:rPr>
        <w:t>3</w:t>
      </w:r>
      <w:r w:rsidRPr="0060082A">
        <w:rPr>
          <w:rFonts w:asciiTheme="majorHAnsi" w:hAnsiTheme="majorHAnsi" w:cstheme="majorHAnsi"/>
          <w:b/>
          <w:lang w:eastAsia="ko-KR"/>
        </w:rPr>
        <w:t xml:space="preserve">: </w:t>
      </w:r>
      <w:r w:rsidR="00FA52A3" w:rsidRPr="0060082A">
        <w:rPr>
          <w:rFonts w:asciiTheme="majorHAnsi" w:hAnsiTheme="majorHAnsi" w:cstheme="majorHAnsi"/>
          <w:b/>
          <w:lang w:eastAsia="ko-KR"/>
        </w:rPr>
        <w:t xml:space="preserve">Summary of strategic and operational risks for KEIP Phase </w:t>
      </w:r>
      <w:r w:rsidR="000A49FE" w:rsidRPr="0060082A">
        <w:rPr>
          <w:rFonts w:asciiTheme="majorHAnsi" w:hAnsiTheme="majorHAnsi" w:cstheme="majorHAnsi"/>
          <w:b/>
          <w:lang w:eastAsia="ko-KR"/>
        </w:rPr>
        <w:t>2</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0F4F6" w:themeFill="accent5" w:themeFillTint="33"/>
        <w:tblLook w:val="04A0" w:firstRow="1" w:lastRow="0" w:firstColumn="1" w:lastColumn="0" w:noHBand="0" w:noVBand="1"/>
        <w:tblCaption w:val="Table 3: Summary of Strategic and Operational Risks for KEIP Phase 2"/>
        <w:tblDescription w:val="KEIP Phase 2 Potential Risks, Impact if not managed, Risk mitigation and actions"/>
      </w:tblPr>
      <w:tblGrid>
        <w:gridCol w:w="1767"/>
        <w:gridCol w:w="3797"/>
        <w:gridCol w:w="3950"/>
      </w:tblGrid>
      <w:tr w:rsidR="00807215" w:rsidRPr="00C918BF" w14:paraId="2576E7B7" w14:textId="77777777" w:rsidTr="00CD6138">
        <w:trPr>
          <w:trHeight w:val="506"/>
          <w:tblHeader/>
        </w:trPr>
        <w:tc>
          <w:tcPr>
            <w:tcW w:w="928" w:type="pct"/>
            <w:shd w:val="clear" w:color="auto" w:fill="A25EA6"/>
            <w:vAlign w:val="center"/>
          </w:tcPr>
          <w:p w14:paraId="33A74F46" w14:textId="7D02D6E3" w:rsidR="00087C92" w:rsidRPr="00D860CA" w:rsidRDefault="005F6FC2" w:rsidP="00C31A43">
            <w:pPr>
              <w:spacing w:before="60" w:after="60"/>
              <w:rPr>
                <w:rFonts w:asciiTheme="majorHAnsi" w:hAnsiTheme="majorHAnsi" w:cstheme="majorHAnsi"/>
                <w:b/>
                <w:color w:val="FFFFFF" w:themeColor="background1"/>
                <w:sz w:val="19"/>
                <w:szCs w:val="19"/>
              </w:rPr>
            </w:pPr>
            <w:r w:rsidRPr="00C918BF">
              <w:rPr>
                <w:rFonts w:asciiTheme="majorHAnsi" w:hAnsiTheme="majorHAnsi" w:cstheme="majorHAnsi"/>
                <w:b/>
                <w:color w:val="FFFFFF" w:themeColor="background1"/>
                <w:sz w:val="19"/>
                <w:szCs w:val="19"/>
              </w:rPr>
              <w:t xml:space="preserve">KEIP </w:t>
            </w:r>
            <w:r w:rsidR="00D02244" w:rsidRPr="00C918BF">
              <w:rPr>
                <w:rFonts w:asciiTheme="majorHAnsi" w:hAnsiTheme="majorHAnsi" w:cstheme="majorHAnsi"/>
                <w:b/>
                <w:color w:val="FFFFFF" w:themeColor="background1"/>
                <w:sz w:val="19"/>
                <w:szCs w:val="19"/>
              </w:rPr>
              <w:t xml:space="preserve">Phase </w:t>
            </w:r>
            <w:r w:rsidR="000A49FE">
              <w:rPr>
                <w:rFonts w:asciiTheme="majorHAnsi" w:hAnsiTheme="majorHAnsi" w:cstheme="majorHAnsi"/>
                <w:b/>
                <w:color w:val="FFFFFF" w:themeColor="background1"/>
                <w:sz w:val="19"/>
                <w:szCs w:val="19"/>
              </w:rPr>
              <w:t>2</w:t>
            </w:r>
            <w:r w:rsidR="00022721" w:rsidRPr="00C918BF">
              <w:rPr>
                <w:rFonts w:asciiTheme="majorHAnsi" w:hAnsiTheme="majorHAnsi" w:cstheme="majorHAnsi"/>
                <w:b/>
                <w:color w:val="FFFFFF" w:themeColor="background1"/>
                <w:sz w:val="19"/>
                <w:szCs w:val="19"/>
              </w:rPr>
              <w:t xml:space="preserve"> </w:t>
            </w:r>
            <w:r w:rsidR="00D02244" w:rsidRPr="00D860CA">
              <w:rPr>
                <w:rFonts w:asciiTheme="majorHAnsi" w:hAnsiTheme="majorHAnsi" w:cstheme="majorHAnsi"/>
                <w:b/>
                <w:color w:val="FFFFFF" w:themeColor="background1"/>
                <w:sz w:val="19"/>
                <w:szCs w:val="19"/>
              </w:rPr>
              <w:t>Potential Risk</w:t>
            </w:r>
          </w:p>
        </w:tc>
        <w:tc>
          <w:tcPr>
            <w:tcW w:w="1995" w:type="pct"/>
            <w:shd w:val="clear" w:color="auto" w:fill="A25EA6"/>
            <w:vAlign w:val="center"/>
          </w:tcPr>
          <w:p w14:paraId="3498F750" w14:textId="77777777" w:rsidR="00087C92" w:rsidRPr="00D860CA" w:rsidRDefault="00D02244" w:rsidP="00C31A43">
            <w:pPr>
              <w:spacing w:before="60" w:after="60"/>
              <w:rPr>
                <w:rFonts w:asciiTheme="majorHAnsi" w:hAnsiTheme="majorHAnsi" w:cstheme="majorHAnsi"/>
                <w:b/>
                <w:color w:val="FFFFFF" w:themeColor="background1"/>
                <w:sz w:val="19"/>
                <w:szCs w:val="19"/>
              </w:rPr>
            </w:pPr>
            <w:r w:rsidRPr="00D860CA">
              <w:rPr>
                <w:rFonts w:asciiTheme="majorHAnsi" w:hAnsiTheme="majorHAnsi" w:cstheme="majorHAnsi"/>
                <w:b/>
                <w:color w:val="FFFFFF" w:themeColor="background1"/>
                <w:sz w:val="19"/>
                <w:szCs w:val="19"/>
              </w:rPr>
              <w:t>Impact if not managed</w:t>
            </w:r>
          </w:p>
        </w:tc>
        <w:tc>
          <w:tcPr>
            <w:tcW w:w="2076" w:type="pct"/>
            <w:shd w:val="clear" w:color="auto" w:fill="A25EA6"/>
            <w:vAlign w:val="center"/>
          </w:tcPr>
          <w:p w14:paraId="6B548B75" w14:textId="77777777" w:rsidR="00087C92" w:rsidRPr="00C918BF" w:rsidRDefault="00D02244" w:rsidP="00C31A43">
            <w:pPr>
              <w:spacing w:before="60" w:after="60"/>
              <w:rPr>
                <w:rFonts w:asciiTheme="majorHAnsi" w:hAnsiTheme="majorHAnsi" w:cstheme="majorHAnsi"/>
                <w:b/>
                <w:color w:val="FFFFFF" w:themeColor="background1"/>
                <w:sz w:val="19"/>
                <w:szCs w:val="19"/>
              </w:rPr>
            </w:pPr>
            <w:r w:rsidRPr="00C918BF">
              <w:rPr>
                <w:rFonts w:asciiTheme="majorHAnsi" w:hAnsiTheme="majorHAnsi" w:cstheme="majorHAnsi"/>
                <w:b/>
                <w:color w:val="FFFFFF" w:themeColor="background1"/>
                <w:sz w:val="19"/>
                <w:szCs w:val="19"/>
              </w:rPr>
              <w:t>Risk mitigation and actions</w:t>
            </w:r>
          </w:p>
        </w:tc>
      </w:tr>
      <w:tr w:rsidR="00807215" w:rsidRPr="00C918BF" w14:paraId="6901E0F3" w14:textId="77777777" w:rsidTr="00CD6138">
        <w:trPr>
          <w:trHeight w:val="2359"/>
        </w:trPr>
        <w:tc>
          <w:tcPr>
            <w:tcW w:w="928" w:type="pct"/>
            <w:shd w:val="clear" w:color="auto" w:fill="E2EAEE" w:themeFill="accent5" w:themeFillTint="66"/>
          </w:tcPr>
          <w:p w14:paraId="5DA413A5" w14:textId="77777777"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Reputational risk</w:t>
            </w:r>
          </w:p>
        </w:tc>
        <w:tc>
          <w:tcPr>
            <w:tcW w:w="1995" w:type="pct"/>
            <w:shd w:val="clear" w:color="auto" w:fill="F0F4F6" w:themeFill="accent5" w:themeFillTint="33"/>
          </w:tcPr>
          <w:p w14:paraId="7A929BAC" w14:textId="77777777" w:rsidR="00087C92" w:rsidRPr="00C918BF" w:rsidRDefault="005F6FC2" w:rsidP="00C31A43">
            <w:pPr>
              <w:pStyle w:val="BodyBullets"/>
              <w:spacing w:before="60" w:after="60" w:line="240" w:lineRule="auto"/>
              <w:rPr>
                <w:color w:val="auto"/>
                <w:sz w:val="19"/>
                <w:szCs w:val="19"/>
              </w:rPr>
            </w:pPr>
            <w:r w:rsidRPr="00C918BF">
              <w:rPr>
                <w:color w:val="auto"/>
                <w:sz w:val="19"/>
                <w:szCs w:val="19"/>
              </w:rPr>
              <w:t xml:space="preserve">Damage to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and DFAT reputation if KEIP is not delivered in a professional way by qualified staff</w:t>
            </w:r>
          </w:p>
          <w:p w14:paraId="656B038D" w14:textId="77777777" w:rsidR="00115D0B" w:rsidRPr="00C918BF" w:rsidRDefault="00115D0B" w:rsidP="00C31A43">
            <w:pPr>
              <w:pStyle w:val="BodyBullets"/>
              <w:spacing w:before="60" w:after="60" w:line="240" w:lineRule="auto"/>
              <w:rPr>
                <w:color w:val="auto"/>
                <w:sz w:val="19"/>
                <w:szCs w:val="19"/>
              </w:rPr>
            </w:pPr>
            <w:r w:rsidRPr="00C918BF">
              <w:rPr>
                <w:color w:val="auto"/>
                <w:sz w:val="19"/>
                <w:szCs w:val="19"/>
              </w:rPr>
              <w:t xml:space="preserve">Basic education at core of Kiribati culture and society, so inappropriate content or approaches could cause dissent and damage </w:t>
            </w:r>
          </w:p>
          <w:p w14:paraId="557431FB" w14:textId="77777777" w:rsidR="00115D0B" w:rsidRPr="00C918BF" w:rsidRDefault="00115D0B" w:rsidP="00C31A43">
            <w:pPr>
              <w:pStyle w:val="BodyBullets"/>
              <w:spacing w:before="60" w:after="60" w:line="240" w:lineRule="auto"/>
              <w:rPr>
                <w:color w:val="auto"/>
                <w:sz w:val="19"/>
                <w:szCs w:val="19"/>
              </w:rPr>
            </w:pPr>
            <w:r w:rsidRPr="00C918BF">
              <w:rPr>
                <w:color w:val="auto"/>
                <w:sz w:val="19"/>
                <w:szCs w:val="19"/>
              </w:rPr>
              <w:t xml:space="preserve">KEIP is a high profile initiative of the Australian </w:t>
            </w:r>
            <w:r w:rsidR="008733D1" w:rsidRPr="00C918BF">
              <w:rPr>
                <w:color w:val="auto"/>
                <w:sz w:val="19"/>
                <w:szCs w:val="19"/>
              </w:rPr>
              <w:t xml:space="preserve">Government </w:t>
            </w:r>
            <w:r w:rsidR="00FA52A3" w:rsidRPr="00C918BF">
              <w:rPr>
                <w:color w:val="auto"/>
                <w:sz w:val="19"/>
                <w:szCs w:val="19"/>
              </w:rPr>
              <w:t xml:space="preserve">- </w:t>
            </w:r>
            <w:r w:rsidRPr="00C918BF">
              <w:rPr>
                <w:color w:val="auto"/>
                <w:sz w:val="19"/>
                <w:szCs w:val="19"/>
              </w:rPr>
              <w:t xml:space="preserve">any major issue would be highly visible and could have </w:t>
            </w:r>
            <w:r w:rsidR="00FA52A3" w:rsidRPr="00C918BF">
              <w:rPr>
                <w:color w:val="auto"/>
                <w:sz w:val="19"/>
                <w:szCs w:val="19"/>
              </w:rPr>
              <w:t xml:space="preserve">a </w:t>
            </w:r>
            <w:r w:rsidRPr="00C918BF">
              <w:rPr>
                <w:color w:val="auto"/>
                <w:sz w:val="19"/>
                <w:szCs w:val="19"/>
              </w:rPr>
              <w:t>broader impact</w:t>
            </w:r>
          </w:p>
        </w:tc>
        <w:tc>
          <w:tcPr>
            <w:tcW w:w="2076" w:type="pct"/>
            <w:shd w:val="clear" w:color="auto" w:fill="F0F4F6" w:themeFill="accent5" w:themeFillTint="33"/>
          </w:tcPr>
          <w:p w14:paraId="65AE4A64" w14:textId="77777777" w:rsidR="00087C92" w:rsidRPr="00C918BF" w:rsidRDefault="00115D0B" w:rsidP="00C31A43">
            <w:pPr>
              <w:pStyle w:val="BodyBullets"/>
              <w:spacing w:before="60" w:after="60" w:line="240" w:lineRule="auto"/>
              <w:rPr>
                <w:color w:val="auto"/>
                <w:sz w:val="19"/>
                <w:szCs w:val="19"/>
              </w:rPr>
            </w:pPr>
            <w:r w:rsidRPr="00C918BF">
              <w:rPr>
                <w:color w:val="auto"/>
                <w:sz w:val="19"/>
                <w:szCs w:val="19"/>
              </w:rPr>
              <w:t xml:space="preserve">Open communications at all times with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and DFAT to raise issues</w:t>
            </w:r>
            <w:r w:rsidR="00C603D3" w:rsidRPr="00C918BF">
              <w:rPr>
                <w:color w:val="auto"/>
                <w:sz w:val="19"/>
                <w:szCs w:val="19"/>
              </w:rPr>
              <w:t xml:space="preserve"> and advise if any contentious matters</w:t>
            </w:r>
          </w:p>
          <w:p w14:paraId="6A68C0DB" w14:textId="77777777" w:rsidR="00115D0B" w:rsidRPr="00C918BF" w:rsidRDefault="00115D0B" w:rsidP="00C31A43">
            <w:pPr>
              <w:pStyle w:val="BodyBullets"/>
              <w:spacing w:before="60" w:after="60" w:line="240" w:lineRule="auto"/>
              <w:rPr>
                <w:color w:val="auto"/>
                <w:sz w:val="19"/>
                <w:szCs w:val="19"/>
              </w:rPr>
            </w:pPr>
            <w:r w:rsidRPr="00C918BF">
              <w:rPr>
                <w:color w:val="auto"/>
                <w:sz w:val="19"/>
                <w:szCs w:val="19"/>
              </w:rPr>
              <w:t xml:space="preserve">Strong alignment with </w:t>
            </w:r>
            <w:r w:rsidR="00C603D3" w:rsidRPr="00C918BF">
              <w:rPr>
                <w:color w:val="auto"/>
                <w:sz w:val="19"/>
                <w:szCs w:val="19"/>
              </w:rPr>
              <w:t xml:space="preserve">the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ESSP and </w:t>
            </w:r>
            <w:r w:rsidR="00C603D3" w:rsidRPr="00C918BF">
              <w:rPr>
                <w:color w:val="auto"/>
                <w:sz w:val="19"/>
                <w:szCs w:val="19"/>
              </w:rPr>
              <w:t xml:space="preserve">through demonstrating </w:t>
            </w:r>
            <w:r w:rsidRPr="00C918BF">
              <w:rPr>
                <w:color w:val="auto"/>
                <w:sz w:val="19"/>
                <w:szCs w:val="19"/>
              </w:rPr>
              <w:t>respect for Kiribati culture, sensitivities</w:t>
            </w:r>
            <w:r w:rsidR="00C603D3" w:rsidRPr="00C918BF">
              <w:rPr>
                <w:color w:val="auto"/>
                <w:sz w:val="19"/>
                <w:szCs w:val="19"/>
              </w:rPr>
              <w:t xml:space="preserve"> and perspectives</w:t>
            </w:r>
          </w:p>
          <w:p w14:paraId="4FBB8C4A" w14:textId="77777777" w:rsidR="0096107A" w:rsidRPr="00C918BF" w:rsidRDefault="0096107A" w:rsidP="00C31A43">
            <w:pPr>
              <w:pStyle w:val="BodyBullets"/>
              <w:spacing w:before="60" w:after="60" w:line="240" w:lineRule="auto"/>
              <w:rPr>
                <w:color w:val="auto"/>
                <w:sz w:val="19"/>
                <w:szCs w:val="19"/>
              </w:rPr>
            </w:pPr>
            <w:r w:rsidRPr="00C918BF">
              <w:rPr>
                <w:color w:val="auto"/>
                <w:sz w:val="19"/>
                <w:szCs w:val="19"/>
              </w:rPr>
              <w:t>Briefings and code of conduct for all KEIP funded staff and contracts on acceptable standards and expectations</w:t>
            </w:r>
          </w:p>
        </w:tc>
      </w:tr>
      <w:tr w:rsidR="00807215" w:rsidRPr="00C918BF" w14:paraId="4233FA56" w14:textId="77777777" w:rsidTr="00CD6138">
        <w:trPr>
          <w:trHeight w:val="1840"/>
        </w:trPr>
        <w:tc>
          <w:tcPr>
            <w:tcW w:w="928" w:type="pct"/>
            <w:shd w:val="clear" w:color="auto" w:fill="E2EAEE" w:themeFill="accent5" w:themeFillTint="66"/>
          </w:tcPr>
          <w:p w14:paraId="081FC3F7" w14:textId="77777777"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Fiduciary risk</w:t>
            </w:r>
          </w:p>
        </w:tc>
        <w:tc>
          <w:tcPr>
            <w:tcW w:w="1995" w:type="pct"/>
            <w:shd w:val="clear" w:color="auto" w:fill="F0F4F6" w:themeFill="accent5" w:themeFillTint="33"/>
          </w:tcPr>
          <w:p w14:paraId="45AD8D9B" w14:textId="77777777" w:rsidR="00087C92" w:rsidRPr="00C918BF" w:rsidRDefault="00115D0B" w:rsidP="00C31A43">
            <w:pPr>
              <w:pStyle w:val="BodyBullets"/>
              <w:spacing w:before="60" w:after="60" w:line="240" w:lineRule="auto"/>
              <w:rPr>
                <w:color w:val="auto"/>
                <w:sz w:val="19"/>
                <w:szCs w:val="19"/>
              </w:rPr>
            </w:pPr>
            <w:r w:rsidRPr="00C918BF">
              <w:rPr>
                <w:color w:val="auto"/>
                <w:sz w:val="19"/>
                <w:szCs w:val="19"/>
              </w:rPr>
              <w:t>Loss of funds or the inadequate reporting of expenditure</w:t>
            </w:r>
          </w:p>
          <w:p w14:paraId="2E1E59F6" w14:textId="77777777" w:rsidR="00115D0B" w:rsidRPr="00C918BF" w:rsidRDefault="00AF16F8" w:rsidP="00C31A43">
            <w:pPr>
              <w:pStyle w:val="BodyBullets"/>
              <w:spacing w:before="60" w:after="60" w:line="240" w:lineRule="auto"/>
              <w:rPr>
                <w:color w:val="auto"/>
                <w:sz w:val="19"/>
                <w:szCs w:val="19"/>
              </w:rPr>
            </w:pPr>
            <w:r w:rsidRPr="00C918BF">
              <w:rPr>
                <w:color w:val="auto"/>
                <w:sz w:val="19"/>
                <w:szCs w:val="19"/>
              </w:rPr>
              <w:t>KEIP f</w:t>
            </w:r>
            <w:r w:rsidR="00115D0B" w:rsidRPr="00C918BF">
              <w:rPr>
                <w:color w:val="auto"/>
                <w:sz w:val="19"/>
                <w:szCs w:val="19"/>
              </w:rPr>
              <w:t xml:space="preserve">unds </w:t>
            </w:r>
            <w:r w:rsidR="00F670E6" w:rsidRPr="00C918BF">
              <w:rPr>
                <w:color w:val="auto"/>
                <w:sz w:val="19"/>
                <w:szCs w:val="19"/>
              </w:rPr>
              <w:t xml:space="preserve">to MoE </w:t>
            </w:r>
            <w:r w:rsidR="00115D0B" w:rsidRPr="00C918BF">
              <w:rPr>
                <w:color w:val="auto"/>
                <w:sz w:val="19"/>
                <w:szCs w:val="19"/>
              </w:rPr>
              <w:t>not used for the</w:t>
            </w:r>
            <w:r w:rsidR="00612FB4" w:rsidRPr="00C918BF">
              <w:rPr>
                <w:color w:val="auto"/>
                <w:sz w:val="19"/>
                <w:szCs w:val="19"/>
              </w:rPr>
              <w:t xml:space="preserve"> </w:t>
            </w:r>
            <w:r w:rsidR="00115D0B" w:rsidRPr="00C918BF">
              <w:rPr>
                <w:color w:val="auto"/>
                <w:sz w:val="19"/>
                <w:szCs w:val="19"/>
              </w:rPr>
              <w:t>purpose</w:t>
            </w:r>
            <w:r w:rsidR="00F670E6" w:rsidRPr="00C918BF">
              <w:rPr>
                <w:color w:val="auto"/>
                <w:sz w:val="19"/>
                <w:szCs w:val="19"/>
              </w:rPr>
              <w:t xml:space="preserve"> that </w:t>
            </w:r>
            <w:r w:rsidR="00115D0B" w:rsidRPr="00C918BF">
              <w:rPr>
                <w:color w:val="auto"/>
                <w:sz w:val="19"/>
                <w:szCs w:val="19"/>
              </w:rPr>
              <w:t>they were allocated to</w:t>
            </w:r>
            <w:r w:rsidR="00F670E6" w:rsidRPr="00C918BF">
              <w:rPr>
                <w:color w:val="auto"/>
                <w:sz w:val="19"/>
                <w:szCs w:val="19"/>
              </w:rPr>
              <w:t xml:space="preserve"> support</w:t>
            </w:r>
          </w:p>
          <w:p w14:paraId="5D6E065C" w14:textId="77777777" w:rsidR="00115D0B" w:rsidRPr="00C918BF" w:rsidRDefault="00115D0B" w:rsidP="00C31A43">
            <w:pPr>
              <w:pStyle w:val="BodyBullets"/>
              <w:spacing w:before="60" w:after="60" w:line="240" w:lineRule="auto"/>
              <w:rPr>
                <w:color w:val="auto"/>
                <w:sz w:val="19"/>
                <w:szCs w:val="19"/>
              </w:rPr>
            </w:pPr>
            <w:r w:rsidRPr="00C918BF">
              <w:rPr>
                <w:color w:val="auto"/>
                <w:sz w:val="19"/>
                <w:szCs w:val="19"/>
              </w:rPr>
              <w:t>Payment not paid in a timely manner to those invoices submitted for work completed</w:t>
            </w:r>
            <w:r w:rsidR="00C603D3" w:rsidRPr="00C918BF">
              <w:rPr>
                <w:color w:val="auto"/>
                <w:sz w:val="19"/>
                <w:szCs w:val="19"/>
              </w:rPr>
              <w:t xml:space="preserve"> for a Australian aid initiative</w:t>
            </w:r>
          </w:p>
        </w:tc>
        <w:tc>
          <w:tcPr>
            <w:tcW w:w="2076" w:type="pct"/>
            <w:shd w:val="clear" w:color="auto" w:fill="F0F4F6" w:themeFill="accent5" w:themeFillTint="33"/>
          </w:tcPr>
          <w:p w14:paraId="60F6E903" w14:textId="77777777" w:rsidR="00087C92" w:rsidRPr="00C918BF" w:rsidRDefault="00182971" w:rsidP="00C31A43">
            <w:pPr>
              <w:pStyle w:val="BodyBullets"/>
              <w:spacing w:before="60" w:after="60" w:line="240" w:lineRule="auto"/>
              <w:rPr>
                <w:color w:val="auto"/>
                <w:sz w:val="19"/>
                <w:szCs w:val="19"/>
              </w:rPr>
            </w:pPr>
            <w:r w:rsidRPr="00C918BF">
              <w:rPr>
                <w:color w:val="auto"/>
                <w:sz w:val="19"/>
                <w:szCs w:val="19"/>
              </w:rPr>
              <w:t xml:space="preserve">Undertook Fiduciary risk analysis on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systems via external consultant</w:t>
            </w:r>
          </w:p>
          <w:p w14:paraId="7B560003" w14:textId="77777777" w:rsidR="00182971" w:rsidRPr="00C918BF" w:rsidRDefault="00182971" w:rsidP="00C31A43">
            <w:pPr>
              <w:pStyle w:val="BodyBullets"/>
              <w:spacing w:before="60" w:after="60" w:line="240" w:lineRule="auto"/>
              <w:rPr>
                <w:color w:val="auto"/>
                <w:sz w:val="19"/>
                <w:szCs w:val="19"/>
              </w:rPr>
            </w:pPr>
            <w:r w:rsidRPr="00C918BF">
              <w:rPr>
                <w:color w:val="auto"/>
                <w:sz w:val="19"/>
                <w:szCs w:val="19"/>
              </w:rPr>
              <w:t xml:space="preserve">Majority of funds dispersed by (and accountable through) </w:t>
            </w:r>
            <w:r w:rsidR="004D1A21" w:rsidRPr="00C918BF">
              <w:rPr>
                <w:color w:val="auto"/>
                <w:sz w:val="19"/>
                <w:szCs w:val="19"/>
              </w:rPr>
              <w:t xml:space="preserve">the </w:t>
            </w:r>
            <w:r w:rsidRPr="00C918BF">
              <w:rPr>
                <w:color w:val="auto"/>
                <w:sz w:val="19"/>
                <w:szCs w:val="19"/>
              </w:rPr>
              <w:t xml:space="preserve">KEF </w:t>
            </w:r>
            <w:r w:rsidR="004D1A21" w:rsidRPr="00C918BF">
              <w:rPr>
                <w:color w:val="auto"/>
                <w:sz w:val="19"/>
                <w:szCs w:val="19"/>
              </w:rPr>
              <w:t xml:space="preserve">financial </w:t>
            </w:r>
            <w:r w:rsidRPr="00C918BF">
              <w:rPr>
                <w:color w:val="auto"/>
                <w:sz w:val="19"/>
                <w:szCs w:val="19"/>
              </w:rPr>
              <w:t>systems</w:t>
            </w:r>
          </w:p>
          <w:p w14:paraId="2D4B70D2" w14:textId="77777777" w:rsidR="00182971" w:rsidRPr="00C918BF" w:rsidRDefault="00182971" w:rsidP="00C31A43">
            <w:pPr>
              <w:pStyle w:val="BodyBullets"/>
              <w:spacing w:before="60" w:after="60" w:line="240" w:lineRule="auto"/>
              <w:rPr>
                <w:color w:val="auto"/>
                <w:sz w:val="19"/>
                <w:szCs w:val="19"/>
              </w:rPr>
            </w:pPr>
            <w:r w:rsidRPr="00C918BF">
              <w:rPr>
                <w:color w:val="auto"/>
                <w:sz w:val="19"/>
                <w:szCs w:val="19"/>
              </w:rPr>
              <w:t xml:space="preserve">Where funds </w:t>
            </w:r>
            <w:r w:rsidR="005C579C" w:rsidRPr="00C918BF">
              <w:rPr>
                <w:color w:val="auto"/>
                <w:sz w:val="19"/>
                <w:szCs w:val="19"/>
              </w:rPr>
              <w:t xml:space="preserve">were previously </w:t>
            </w:r>
            <w:r w:rsidRPr="00C918BF">
              <w:rPr>
                <w:color w:val="auto"/>
                <w:sz w:val="19"/>
                <w:szCs w:val="19"/>
              </w:rPr>
              <w:t xml:space="preserve">managed through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(including infrastructure) controls in place to </w:t>
            </w:r>
            <w:r w:rsidR="004E104B" w:rsidRPr="00C918BF">
              <w:rPr>
                <w:color w:val="auto"/>
                <w:sz w:val="19"/>
                <w:szCs w:val="19"/>
              </w:rPr>
              <w:t>match</w:t>
            </w:r>
            <w:r w:rsidR="00612FB4" w:rsidRPr="00C918BF">
              <w:rPr>
                <w:color w:val="auto"/>
                <w:sz w:val="19"/>
                <w:szCs w:val="19"/>
              </w:rPr>
              <w:t xml:space="preserve"> </w:t>
            </w:r>
            <w:r w:rsidR="004D1A21" w:rsidRPr="00C918BF">
              <w:rPr>
                <w:color w:val="auto"/>
                <w:sz w:val="19"/>
                <w:szCs w:val="19"/>
              </w:rPr>
              <w:t xml:space="preserve">expenditure </w:t>
            </w:r>
            <w:r w:rsidR="004E104B" w:rsidRPr="00C918BF">
              <w:rPr>
                <w:color w:val="auto"/>
                <w:sz w:val="19"/>
                <w:szCs w:val="19"/>
              </w:rPr>
              <w:t>against the</w:t>
            </w:r>
            <w:r w:rsidR="004D1A21" w:rsidRPr="00C918BF">
              <w:rPr>
                <w:color w:val="auto"/>
                <w:sz w:val="19"/>
                <w:szCs w:val="19"/>
              </w:rPr>
              <w:t xml:space="preserve"> allocated budget</w:t>
            </w:r>
          </w:p>
        </w:tc>
      </w:tr>
      <w:tr w:rsidR="00807215" w:rsidRPr="00C918BF" w14:paraId="49479834" w14:textId="77777777" w:rsidTr="00CD6138">
        <w:trPr>
          <w:trHeight w:val="2249"/>
        </w:trPr>
        <w:tc>
          <w:tcPr>
            <w:tcW w:w="928" w:type="pct"/>
            <w:shd w:val="clear" w:color="auto" w:fill="E2EAEE" w:themeFill="accent5" w:themeFillTint="66"/>
          </w:tcPr>
          <w:p w14:paraId="5F178B1C" w14:textId="70FAB0C2"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 xml:space="preserve">Risk on Phase </w:t>
            </w:r>
            <w:r w:rsidR="000A49FE">
              <w:rPr>
                <w:rFonts w:asciiTheme="majorHAnsi" w:hAnsiTheme="majorHAnsi" w:cstheme="majorHAnsi"/>
                <w:b/>
                <w:sz w:val="19"/>
                <w:szCs w:val="19"/>
              </w:rPr>
              <w:t>2</w:t>
            </w:r>
            <w:r w:rsidRPr="00C918BF">
              <w:rPr>
                <w:rFonts w:asciiTheme="majorHAnsi" w:hAnsiTheme="majorHAnsi" w:cstheme="majorHAnsi"/>
                <w:b/>
                <w:sz w:val="19"/>
                <w:szCs w:val="19"/>
              </w:rPr>
              <w:t xml:space="preserve"> alignment and </w:t>
            </w:r>
            <w:r w:rsidR="00D722F0" w:rsidRPr="00C918BF">
              <w:rPr>
                <w:rFonts w:asciiTheme="majorHAnsi" w:hAnsiTheme="majorHAnsi" w:cstheme="majorHAnsi"/>
                <w:b/>
                <w:sz w:val="19"/>
                <w:szCs w:val="19"/>
              </w:rPr>
              <w:t xml:space="preserve">activity / expenditure </w:t>
            </w:r>
            <w:r w:rsidRPr="00C918BF">
              <w:rPr>
                <w:rFonts w:asciiTheme="majorHAnsi" w:hAnsiTheme="majorHAnsi" w:cstheme="majorHAnsi"/>
                <w:b/>
                <w:sz w:val="19"/>
                <w:szCs w:val="19"/>
              </w:rPr>
              <w:t>relevance</w:t>
            </w:r>
          </w:p>
        </w:tc>
        <w:tc>
          <w:tcPr>
            <w:tcW w:w="1995" w:type="pct"/>
            <w:shd w:val="clear" w:color="auto" w:fill="F0F4F6" w:themeFill="accent5" w:themeFillTint="33"/>
          </w:tcPr>
          <w:p w14:paraId="25409128" w14:textId="77777777" w:rsidR="00087C92" w:rsidRPr="00C918BF" w:rsidRDefault="00FA52A3" w:rsidP="00C31A43">
            <w:pPr>
              <w:pStyle w:val="BodyBullets"/>
              <w:spacing w:before="60" w:after="60" w:line="240" w:lineRule="auto"/>
              <w:rPr>
                <w:color w:val="auto"/>
                <w:sz w:val="19"/>
                <w:szCs w:val="19"/>
              </w:rPr>
            </w:pPr>
            <w:r w:rsidRPr="00C918BF">
              <w:rPr>
                <w:color w:val="auto"/>
                <w:sz w:val="19"/>
                <w:szCs w:val="19"/>
              </w:rPr>
              <w:t xml:space="preserve">Potential problems and even conflict if Australian support not aligned to GoK or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priorities, curriculum content, service delivery</w:t>
            </w:r>
          </w:p>
          <w:p w14:paraId="390D7928" w14:textId="77777777" w:rsidR="00FA52A3" w:rsidRPr="00C918BF" w:rsidRDefault="00FA52A3" w:rsidP="00C31A43">
            <w:pPr>
              <w:pStyle w:val="BodyBullets"/>
              <w:spacing w:before="60" w:after="60" w:line="240" w:lineRule="auto"/>
              <w:rPr>
                <w:color w:val="auto"/>
                <w:sz w:val="19"/>
                <w:szCs w:val="19"/>
              </w:rPr>
            </w:pPr>
            <w:r w:rsidRPr="00C918BF">
              <w:rPr>
                <w:color w:val="auto"/>
                <w:sz w:val="19"/>
                <w:szCs w:val="19"/>
              </w:rPr>
              <w:t>Potential for perception that Australian aid is changing the structure and content of basic education</w:t>
            </w:r>
          </w:p>
          <w:p w14:paraId="54EDD443" w14:textId="77777777" w:rsidR="00FA52A3" w:rsidRPr="00C918BF" w:rsidRDefault="00FA52A3" w:rsidP="00C31A43">
            <w:pPr>
              <w:pStyle w:val="BodyBullets"/>
              <w:spacing w:before="60" w:after="60" w:line="240" w:lineRule="auto"/>
              <w:rPr>
                <w:color w:val="auto"/>
                <w:sz w:val="19"/>
                <w:szCs w:val="19"/>
              </w:rPr>
            </w:pPr>
            <w:r w:rsidRPr="00C918BF">
              <w:rPr>
                <w:color w:val="auto"/>
                <w:sz w:val="19"/>
                <w:szCs w:val="19"/>
              </w:rPr>
              <w:t xml:space="preserve">Potential for </w:t>
            </w:r>
            <w:r w:rsidR="00AF16F8" w:rsidRPr="00C918BF">
              <w:rPr>
                <w:color w:val="auto"/>
                <w:sz w:val="19"/>
                <w:szCs w:val="19"/>
              </w:rPr>
              <w:t xml:space="preserve">the </w:t>
            </w:r>
            <w:r w:rsidR="00791332" w:rsidRPr="00C918BF">
              <w:rPr>
                <w:color w:val="auto"/>
                <w:sz w:val="19"/>
                <w:szCs w:val="19"/>
              </w:rPr>
              <w:t xml:space="preserve">KEIP </w:t>
            </w:r>
            <w:r w:rsidRPr="00C918BF">
              <w:rPr>
                <w:color w:val="auto"/>
                <w:sz w:val="19"/>
                <w:szCs w:val="19"/>
              </w:rPr>
              <w:t xml:space="preserve">support to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’s change management </w:t>
            </w:r>
            <w:r w:rsidR="00791332" w:rsidRPr="00C918BF">
              <w:rPr>
                <w:color w:val="auto"/>
                <w:sz w:val="19"/>
                <w:szCs w:val="19"/>
              </w:rPr>
              <w:t xml:space="preserve">plans </w:t>
            </w:r>
            <w:r w:rsidRPr="00C918BF">
              <w:rPr>
                <w:color w:val="auto"/>
                <w:sz w:val="19"/>
                <w:szCs w:val="19"/>
              </w:rPr>
              <w:t xml:space="preserve">not understood at the community level </w:t>
            </w:r>
          </w:p>
        </w:tc>
        <w:tc>
          <w:tcPr>
            <w:tcW w:w="2076" w:type="pct"/>
            <w:shd w:val="clear" w:color="auto" w:fill="F0F4F6" w:themeFill="accent5" w:themeFillTint="33"/>
          </w:tcPr>
          <w:p w14:paraId="42F4FB49" w14:textId="77777777" w:rsidR="00087C92" w:rsidRPr="00C918BF" w:rsidRDefault="00182971" w:rsidP="00C31A43">
            <w:pPr>
              <w:pStyle w:val="BodyBullets"/>
              <w:spacing w:before="60" w:after="60" w:line="240" w:lineRule="auto"/>
              <w:rPr>
                <w:color w:val="auto"/>
                <w:sz w:val="19"/>
                <w:szCs w:val="19"/>
              </w:rPr>
            </w:pPr>
            <w:r w:rsidRPr="00C918BF">
              <w:rPr>
                <w:color w:val="auto"/>
                <w:sz w:val="19"/>
                <w:szCs w:val="19"/>
              </w:rPr>
              <w:t xml:space="preserve">All KEIP planning and funding allocations </w:t>
            </w:r>
            <w:r w:rsidR="004D1A21" w:rsidRPr="00C918BF">
              <w:rPr>
                <w:color w:val="auto"/>
                <w:sz w:val="19"/>
                <w:szCs w:val="19"/>
              </w:rPr>
              <w:t xml:space="preserve">are for activities </w:t>
            </w:r>
            <w:r w:rsidRPr="00C918BF">
              <w:rPr>
                <w:color w:val="auto"/>
                <w:sz w:val="19"/>
                <w:szCs w:val="19"/>
              </w:rPr>
              <w:t xml:space="preserve">within </w:t>
            </w:r>
            <w:r w:rsidR="00302A6B" w:rsidRPr="00C918BF">
              <w:rPr>
                <w:color w:val="auto"/>
                <w:sz w:val="19"/>
                <w:szCs w:val="19"/>
              </w:rPr>
              <w:t>Mo</w:t>
            </w:r>
            <w:r w:rsidR="00B765AC" w:rsidRPr="00C918BF">
              <w:rPr>
                <w:color w:val="auto"/>
                <w:sz w:val="19"/>
                <w:szCs w:val="19"/>
              </w:rPr>
              <w:t>E</w:t>
            </w:r>
            <w:r w:rsidR="004D1A21" w:rsidRPr="00C918BF">
              <w:rPr>
                <w:color w:val="auto"/>
                <w:sz w:val="19"/>
                <w:szCs w:val="19"/>
              </w:rPr>
              <w:t xml:space="preserve"> and </w:t>
            </w:r>
            <w:r w:rsidRPr="00C918BF">
              <w:rPr>
                <w:color w:val="auto"/>
                <w:sz w:val="19"/>
                <w:szCs w:val="19"/>
              </w:rPr>
              <w:t>ESSP framework and goals</w:t>
            </w:r>
          </w:p>
          <w:p w14:paraId="4B58FD68" w14:textId="77777777" w:rsidR="00182971" w:rsidRPr="00C918BF" w:rsidRDefault="00182971" w:rsidP="00C31A43">
            <w:pPr>
              <w:pStyle w:val="BodyBullets"/>
              <w:spacing w:before="60" w:after="60" w:line="240" w:lineRule="auto"/>
              <w:rPr>
                <w:color w:val="auto"/>
                <w:sz w:val="19"/>
                <w:szCs w:val="19"/>
              </w:rPr>
            </w:pPr>
            <w:r w:rsidRPr="00C918BF">
              <w:rPr>
                <w:color w:val="auto"/>
                <w:sz w:val="19"/>
                <w:szCs w:val="19"/>
              </w:rPr>
              <w:t xml:space="preserve">All TA work with and through the </w:t>
            </w:r>
            <w:r w:rsidR="00302A6B" w:rsidRPr="00C918BF">
              <w:rPr>
                <w:color w:val="auto"/>
                <w:sz w:val="19"/>
                <w:szCs w:val="19"/>
              </w:rPr>
              <w:t>Mo</w:t>
            </w:r>
            <w:r w:rsidR="00B765AC" w:rsidRPr="00C918BF">
              <w:rPr>
                <w:color w:val="auto"/>
                <w:sz w:val="19"/>
                <w:szCs w:val="19"/>
              </w:rPr>
              <w:t>E</w:t>
            </w:r>
            <w:r w:rsidRPr="00C918BF">
              <w:rPr>
                <w:color w:val="auto"/>
                <w:sz w:val="19"/>
                <w:szCs w:val="19"/>
              </w:rPr>
              <w:t xml:space="preserve"> to ensure that it is clear that t</w:t>
            </w:r>
            <w:r w:rsidR="00302A6B" w:rsidRPr="00C918BF">
              <w:rPr>
                <w:color w:val="auto"/>
                <w:sz w:val="19"/>
                <w:szCs w:val="19"/>
              </w:rPr>
              <w:t>he leadership and direction is through</w:t>
            </w:r>
            <w:r w:rsidRPr="00C918BF">
              <w:rPr>
                <w:color w:val="auto"/>
                <w:sz w:val="19"/>
                <w:szCs w:val="19"/>
              </w:rPr>
              <w:t xml:space="preserve"> </w:t>
            </w:r>
            <w:r w:rsidR="00302A6B" w:rsidRPr="00C918BF">
              <w:rPr>
                <w:color w:val="auto"/>
                <w:sz w:val="19"/>
                <w:szCs w:val="19"/>
              </w:rPr>
              <w:t>Mo</w:t>
            </w:r>
            <w:r w:rsidR="00B765AC" w:rsidRPr="00C918BF">
              <w:rPr>
                <w:color w:val="auto"/>
                <w:sz w:val="19"/>
                <w:szCs w:val="19"/>
              </w:rPr>
              <w:t>E</w:t>
            </w:r>
          </w:p>
          <w:p w14:paraId="2FFE491D" w14:textId="77777777" w:rsidR="00182971" w:rsidRPr="00C918BF" w:rsidRDefault="00182971" w:rsidP="00C31A43">
            <w:pPr>
              <w:pStyle w:val="BodyBullets"/>
              <w:spacing w:before="60" w:after="60" w:line="240" w:lineRule="auto"/>
              <w:rPr>
                <w:color w:val="auto"/>
                <w:sz w:val="19"/>
                <w:szCs w:val="19"/>
              </w:rPr>
            </w:pPr>
            <w:r w:rsidRPr="00C918BF">
              <w:rPr>
                <w:color w:val="auto"/>
                <w:sz w:val="19"/>
                <w:szCs w:val="19"/>
              </w:rPr>
              <w:t xml:space="preserve">Ongoing community engagement to explain the reform process and the role that KEIP plays in support of </w:t>
            </w:r>
            <w:r w:rsidR="00302A6B" w:rsidRPr="00C918BF">
              <w:rPr>
                <w:color w:val="auto"/>
                <w:sz w:val="19"/>
                <w:szCs w:val="19"/>
              </w:rPr>
              <w:t>Mo</w:t>
            </w:r>
            <w:r w:rsidR="00B765AC" w:rsidRPr="00C918BF">
              <w:rPr>
                <w:color w:val="auto"/>
                <w:sz w:val="19"/>
                <w:szCs w:val="19"/>
              </w:rPr>
              <w:t>E</w:t>
            </w:r>
          </w:p>
        </w:tc>
      </w:tr>
      <w:tr w:rsidR="00807215" w:rsidRPr="00C918BF" w14:paraId="5048ABE7" w14:textId="77777777" w:rsidTr="00CD6138">
        <w:trPr>
          <w:trHeight w:val="2125"/>
        </w:trPr>
        <w:tc>
          <w:tcPr>
            <w:tcW w:w="928" w:type="pct"/>
            <w:shd w:val="clear" w:color="auto" w:fill="E2EAEE" w:themeFill="accent5" w:themeFillTint="66"/>
          </w:tcPr>
          <w:p w14:paraId="5AA6E558" w14:textId="77777777"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Risk on Value for Money</w:t>
            </w:r>
          </w:p>
        </w:tc>
        <w:tc>
          <w:tcPr>
            <w:tcW w:w="1995" w:type="pct"/>
            <w:shd w:val="clear" w:color="auto" w:fill="F0F4F6" w:themeFill="accent5" w:themeFillTint="33"/>
          </w:tcPr>
          <w:p w14:paraId="4FB954BB" w14:textId="77777777" w:rsidR="00087C92" w:rsidRPr="00C918BF" w:rsidRDefault="00CD46FC" w:rsidP="00C31A43">
            <w:pPr>
              <w:pStyle w:val="BodyBullets"/>
              <w:spacing w:before="60" w:after="60" w:line="240" w:lineRule="auto"/>
              <w:rPr>
                <w:color w:val="auto"/>
                <w:sz w:val="19"/>
                <w:szCs w:val="19"/>
              </w:rPr>
            </w:pPr>
            <w:r w:rsidRPr="00C918BF">
              <w:rPr>
                <w:color w:val="auto"/>
                <w:sz w:val="19"/>
                <w:szCs w:val="19"/>
              </w:rPr>
              <w:t xml:space="preserve">Australian funds not expended on </w:t>
            </w:r>
            <w:r w:rsidR="00412BAC" w:rsidRPr="00C918BF">
              <w:rPr>
                <w:color w:val="auto"/>
                <w:sz w:val="19"/>
                <w:szCs w:val="19"/>
              </w:rPr>
              <w:t xml:space="preserve">the </w:t>
            </w:r>
            <w:r w:rsidRPr="00C918BF">
              <w:rPr>
                <w:color w:val="auto"/>
                <w:sz w:val="19"/>
                <w:szCs w:val="19"/>
              </w:rPr>
              <w:t>best value goods and services</w:t>
            </w:r>
          </w:p>
          <w:p w14:paraId="13F47C21" w14:textId="77777777" w:rsidR="00CD46FC" w:rsidRPr="00C918BF" w:rsidRDefault="00CD46FC" w:rsidP="00C31A43">
            <w:pPr>
              <w:pStyle w:val="BodyBullets"/>
              <w:spacing w:before="60" w:after="60" w:line="240" w:lineRule="auto"/>
              <w:rPr>
                <w:color w:val="auto"/>
                <w:sz w:val="19"/>
                <w:szCs w:val="19"/>
              </w:rPr>
            </w:pPr>
            <w:r w:rsidRPr="00C918BF">
              <w:rPr>
                <w:color w:val="auto"/>
                <w:sz w:val="19"/>
                <w:szCs w:val="19"/>
              </w:rPr>
              <w:t>Relatively limited procurement options in Kiribati leads to price fixing and collusion</w:t>
            </w:r>
          </w:p>
          <w:p w14:paraId="254AAA93" w14:textId="77777777" w:rsidR="00CD46FC" w:rsidRPr="00C918BF" w:rsidRDefault="005E273B" w:rsidP="00C31A43">
            <w:pPr>
              <w:pStyle w:val="BodyBullets"/>
              <w:spacing w:before="60" w:after="60" w:line="240" w:lineRule="auto"/>
              <w:rPr>
                <w:color w:val="auto"/>
                <w:sz w:val="19"/>
                <w:szCs w:val="19"/>
              </w:rPr>
            </w:pPr>
            <w:r w:rsidRPr="00C918BF">
              <w:rPr>
                <w:color w:val="auto"/>
                <w:sz w:val="19"/>
                <w:szCs w:val="19"/>
              </w:rPr>
              <w:t>Firms contracted do not have the capacity to deliver at the required quality</w:t>
            </w:r>
          </w:p>
        </w:tc>
        <w:tc>
          <w:tcPr>
            <w:tcW w:w="2076" w:type="pct"/>
            <w:shd w:val="clear" w:color="auto" w:fill="F0F4F6" w:themeFill="accent5" w:themeFillTint="33"/>
          </w:tcPr>
          <w:p w14:paraId="3C7E7FCD" w14:textId="13D50013" w:rsidR="00412BAC" w:rsidRPr="00C918BF" w:rsidRDefault="00412BAC" w:rsidP="00C31A43">
            <w:pPr>
              <w:pStyle w:val="BodyBullets"/>
              <w:spacing w:before="60" w:after="60" w:line="240" w:lineRule="auto"/>
              <w:rPr>
                <w:color w:val="auto"/>
                <w:sz w:val="19"/>
                <w:szCs w:val="19"/>
              </w:rPr>
            </w:pPr>
            <w:r w:rsidRPr="00C918BF">
              <w:rPr>
                <w:color w:val="auto"/>
                <w:sz w:val="19"/>
                <w:szCs w:val="19"/>
              </w:rPr>
              <w:t xml:space="preserve">Ongoing review and monitoring of local procurement to </w:t>
            </w:r>
            <w:r w:rsidR="004E104B" w:rsidRPr="00C918BF">
              <w:rPr>
                <w:color w:val="auto"/>
                <w:sz w:val="19"/>
                <w:szCs w:val="19"/>
              </w:rPr>
              <w:t>reach</w:t>
            </w:r>
            <w:r w:rsidR="006E6B10" w:rsidRPr="00C918BF">
              <w:rPr>
                <w:color w:val="auto"/>
                <w:sz w:val="19"/>
                <w:szCs w:val="19"/>
              </w:rPr>
              <w:t xml:space="preserve"> </w:t>
            </w:r>
            <w:r w:rsidRPr="00C918BF">
              <w:rPr>
                <w:color w:val="auto"/>
                <w:sz w:val="19"/>
                <w:szCs w:val="19"/>
              </w:rPr>
              <w:t>best value and follow up is contracted</w:t>
            </w:r>
          </w:p>
          <w:p w14:paraId="5BF9B05D" w14:textId="77777777" w:rsidR="00087C92" w:rsidRPr="00C918BF" w:rsidRDefault="0049635C" w:rsidP="00C31A43">
            <w:pPr>
              <w:pStyle w:val="BodyBullets"/>
              <w:spacing w:before="60" w:after="60" w:line="240" w:lineRule="auto"/>
              <w:rPr>
                <w:color w:val="auto"/>
                <w:sz w:val="19"/>
                <w:szCs w:val="19"/>
              </w:rPr>
            </w:pPr>
            <w:r w:rsidRPr="00C918BF">
              <w:rPr>
                <w:color w:val="auto"/>
                <w:sz w:val="19"/>
                <w:szCs w:val="19"/>
              </w:rPr>
              <w:t>Major expenditure and procurement delivered through transparent processes</w:t>
            </w:r>
            <w:r w:rsidR="004D1A21" w:rsidRPr="00C918BF">
              <w:rPr>
                <w:color w:val="auto"/>
                <w:sz w:val="19"/>
                <w:szCs w:val="19"/>
              </w:rPr>
              <w:t xml:space="preserve"> and contracting</w:t>
            </w:r>
          </w:p>
          <w:p w14:paraId="14EFD846" w14:textId="77777777" w:rsidR="00412BAC" w:rsidRPr="00C918BF" w:rsidRDefault="00412BAC" w:rsidP="00C31A43">
            <w:pPr>
              <w:pStyle w:val="BodyBullets"/>
              <w:spacing w:before="60" w:after="60" w:line="240" w:lineRule="auto"/>
              <w:rPr>
                <w:color w:val="auto"/>
                <w:sz w:val="19"/>
                <w:szCs w:val="19"/>
              </w:rPr>
            </w:pPr>
            <w:r w:rsidRPr="00C918BF">
              <w:rPr>
                <w:color w:val="auto"/>
                <w:sz w:val="19"/>
                <w:szCs w:val="19"/>
              </w:rPr>
              <w:t>Briefings for local firms on the quality and standards required and the conditions on tendering, to encourage participation</w:t>
            </w:r>
          </w:p>
        </w:tc>
      </w:tr>
      <w:tr w:rsidR="00807215" w:rsidRPr="00C918BF" w14:paraId="7A4A36F4" w14:textId="77777777" w:rsidTr="00820811">
        <w:trPr>
          <w:trHeight w:val="849"/>
        </w:trPr>
        <w:tc>
          <w:tcPr>
            <w:tcW w:w="928" w:type="pct"/>
            <w:shd w:val="clear" w:color="auto" w:fill="E2EAEE" w:themeFill="accent5" w:themeFillTint="66"/>
          </w:tcPr>
          <w:p w14:paraId="0EF798C9" w14:textId="77777777" w:rsidR="005F6FC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Infrastructure risks</w:t>
            </w:r>
          </w:p>
        </w:tc>
        <w:tc>
          <w:tcPr>
            <w:tcW w:w="1995" w:type="pct"/>
            <w:shd w:val="clear" w:color="auto" w:fill="F0F4F6" w:themeFill="accent5" w:themeFillTint="33"/>
          </w:tcPr>
          <w:p w14:paraId="4BACFEA8" w14:textId="77777777" w:rsidR="005F6FC2" w:rsidRPr="00C918BF" w:rsidRDefault="00661B26" w:rsidP="00C31A43">
            <w:pPr>
              <w:pStyle w:val="BodyBullets"/>
              <w:spacing w:before="60" w:after="60" w:line="240" w:lineRule="auto"/>
              <w:rPr>
                <w:color w:val="auto"/>
                <w:sz w:val="19"/>
                <w:szCs w:val="19"/>
              </w:rPr>
            </w:pPr>
            <w:r w:rsidRPr="00C918BF">
              <w:rPr>
                <w:color w:val="auto"/>
                <w:sz w:val="19"/>
                <w:szCs w:val="19"/>
              </w:rPr>
              <w:t xml:space="preserve">Potential for environmental damage if </w:t>
            </w:r>
            <w:r w:rsidR="00C603D3" w:rsidRPr="00C918BF">
              <w:rPr>
                <w:color w:val="auto"/>
                <w:sz w:val="19"/>
                <w:szCs w:val="19"/>
              </w:rPr>
              <w:t xml:space="preserve">building </w:t>
            </w:r>
            <w:r w:rsidRPr="00C918BF">
              <w:rPr>
                <w:color w:val="auto"/>
                <w:sz w:val="19"/>
                <w:szCs w:val="19"/>
              </w:rPr>
              <w:t xml:space="preserve">design and construction </w:t>
            </w:r>
            <w:r w:rsidR="00C603D3" w:rsidRPr="00C918BF">
              <w:rPr>
                <w:color w:val="auto"/>
                <w:sz w:val="19"/>
                <w:szCs w:val="19"/>
              </w:rPr>
              <w:t xml:space="preserve">is </w:t>
            </w:r>
            <w:r w:rsidRPr="00C918BF">
              <w:rPr>
                <w:color w:val="auto"/>
                <w:sz w:val="19"/>
                <w:szCs w:val="19"/>
              </w:rPr>
              <w:t>not well thought through</w:t>
            </w:r>
          </w:p>
          <w:p w14:paraId="46B2503E" w14:textId="77777777" w:rsidR="00661B26" w:rsidRPr="00C918BF" w:rsidRDefault="00661B26" w:rsidP="00C31A43">
            <w:pPr>
              <w:pStyle w:val="BodyBullets"/>
              <w:spacing w:before="60" w:after="60" w:line="240" w:lineRule="auto"/>
              <w:rPr>
                <w:color w:val="auto"/>
                <w:sz w:val="19"/>
                <w:szCs w:val="19"/>
              </w:rPr>
            </w:pPr>
            <w:r w:rsidRPr="00C918BF">
              <w:rPr>
                <w:color w:val="auto"/>
                <w:sz w:val="19"/>
                <w:szCs w:val="19"/>
              </w:rPr>
              <w:t xml:space="preserve">Potential for inappropriate designs that do not comply with </w:t>
            </w:r>
            <w:r w:rsidR="008733D1" w:rsidRPr="00C918BF">
              <w:rPr>
                <w:color w:val="auto"/>
                <w:sz w:val="19"/>
                <w:szCs w:val="19"/>
              </w:rPr>
              <w:t xml:space="preserve">GoK </w:t>
            </w:r>
            <w:r w:rsidRPr="00C918BF">
              <w:rPr>
                <w:color w:val="auto"/>
                <w:sz w:val="19"/>
                <w:szCs w:val="19"/>
              </w:rPr>
              <w:t>policies or standards</w:t>
            </w:r>
          </w:p>
          <w:p w14:paraId="41BD32DD" w14:textId="01E4BE51" w:rsidR="00661B26" w:rsidRPr="00C918BF" w:rsidRDefault="00661B26" w:rsidP="00C31A43">
            <w:pPr>
              <w:pStyle w:val="BodyBullets"/>
              <w:spacing w:before="60" w:after="60" w:line="240" w:lineRule="auto"/>
              <w:rPr>
                <w:color w:val="auto"/>
                <w:sz w:val="19"/>
                <w:szCs w:val="19"/>
              </w:rPr>
            </w:pPr>
            <w:r w:rsidRPr="00C918BF">
              <w:rPr>
                <w:color w:val="auto"/>
                <w:sz w:val="19"/>
                <w:szCs w:val="19"/>
              </w:rPr>
              <w:t xml:space="preserve">Potential for disputes with landowners and communities if not </w:t>
            </w:r>
            <w:r w:rsidR="002F4E91" w:rsidRPr="00C918BF">
              <w:rPr>
                <w:color w:val="auto"/>
                <w:sz w:val="19"/>
                <w:szCs w:val="19"/>
              </w:rPr>
              <w:t>consulted</w:t>
            </w:r>
          </w:p>
          <w:p w14:paraId="1255280C" w14:textId="77777777" w:rsidR="007E4832" w:rsidRPr="00C918BF" w:rsidRDefault="009C64BF" w:rsidP="00C31A43">
            <w:pPr>
              <w:pStyle w:val="BodyBullets"/>
              <w:spacing w:before="60" w:after="60" w:line="240" w:lineRule="auto"/>
              <w:rPr>
                <w:color w:val="auto"/>
                <w:sz w:val="19"/>
                <w:szCs w:val="19"/>
              </w:rPr>
            </w:pPr>
            <w:r w:rsidRPr="00C918BF">
              <w:rPr>
                <w:color w:val="auto"/>
                <w:sz w:val="19"/>
                <w:szCs w:val="19"/>
              </w:rPr>
              <w:t xml:space="preserve">Risks with building schools on remote islands, working through third parties for storage and issuing of materials </w:t>
            </w:r>
          </w:p>
          <w:p w14:paraId="67EE0D14" w14:textId="77777777" w:rsidR="009C64BF" w:rsidRPr="00C918BF" w:rsidRDefault="009C64BF" w:rsidP="00C31A43">
            <w:pPr>
              <w:pStyle w:val="BodyBullets"/>
              <w:spacing w:before="60" w:after="60" w:line="240" w:lineRule="auto"/>
              <w:rPr>
                <w:color w:val="auto"/>
                <w:sz w:val="19"/>
                <w:szCs w:val="19"/>
              </w:rPr>
            </w:pPr>
            <w:r w:rsidRPr="00C918BF">
              <w:rPr>
                <w:color w:val="auto"/>
                <w:sz w:val="19"/>
                <w:szCs w:val="19"/>
              </w:rPr>
              <w:t>Delays in infrastructure leads to</w:t>
            </w:r>
            <w:r w:rsidR="00612FB4" w:rsidRPr="00C918BF">
              <w:rPr>
                <w:color w:val="auto"/>
                <w:sz w:val="19"/>
                <w:szCs w:val="19"/>
              </w:rPr>
              <w:t xml:space="preserve"> </w:t>
            </w:r>
            <w:r w:rsidRPr="00C918BF">
              <w:rPr>
                <w:color w:val="auto"/>
                <w:sz w:val="19"/>
                <w:szCs w:val="19"/>
              </w:rPr>
              <w:t xml:space="preserve">community and political concern, </w:t>
            </w:r>
            <w:r w:rsidRPr="00C918BF">
              <w:rPr>
                <w:color w:val="auto"/>
                <w:sz w:val="19"/>
                <w:szCs w:val="19"/>
              </w:rPr>
              <w:lastRenderedPageBreak/>
              <w:t>delaying students having quality class</w:t>
            </w:r>
          </w:p>
        </w:tc>
        <w:tc>
          <w:tcPr>
            <w:tcW w:w="2076" w:type="pct"/>
            <w:shd w:val="clear" w:color="auto" w:fill="F0F4F6" w:themeFill="accent5" w:themeFillTint="33"/>
          </w:tcPr>
          <w:p w14:paraId="3278A55D" w14:textId="77777777" w:rsidR="005F6FC2" w:rsidRPr="00C918BF" w:rsidRDefault="00412BAC" w:rsidP="00C31A43">
            <w:pPr>
              <w:pStyle w:val="BodyBullets"/>
              <w:spacing w:before="60" w:after="60" w:line="240" w:lineRule="auto"/>
              <w:rPr>
                <w:color w:val="auto"/>
                <w:sz w:val="19"/>
                <w:szCs w:val="19"/>
              </w:rPr>
            </w:pPr>
            <w:r w:rsidRPr="00C918BF">
              <w:rPr>
                <w:color w:val="auto"/>
                <w:sz w:val="19"/>
                <w:szCs w:val="19"/>
              </w:rPr>
              <w:lastRenderedPageBreak/>
              <w:t>Designs went through iterative process and have received formal approval</w:t>
            </w:r>
          </w:p>
          <w:p w14:paraId="596CA63E" w14:textId="77777777" w:rsidR="00412BAC" w:rsidRPr="00C918BF" w:rsidRDefault="00412BAC" w:rsidP="00C31A43">
            <w:pPr>
              <w:pStyle w:val="BodyBullets"/>
              <w:spacing w:before="60" w:after="60" w:line="240" w:lineRule="auto"/>
              <w:rPr>
                <w:color w:val="auto"/>
                <w:sz w:val="19"/>
                <w:szCs w:val="19"/>
              </w:rPr>
            </w:pPr>
            <w:r w:rsidRPr="00C918BF">
              <w:rPr>
                <w:color w:val="auto"/>
                <w:sz w:val="19"/>
                <w:szCs w:val="19"/>
              </w:rPr>
              <w:t xml:space="preserve">Infrastructure build aligns to </w:t>
            </w:r>
            <w:r w:rsidR="008733D1" w:rsidRPr="00C918BF">
              <w:rPr>
                <w:color w:val="auto"/>
                <w:sz w:val="19"/>
                <w:szCs w:val="19"/>
              </w:rPr>
              <w:t xml:space="preserve">GoK </w:t>
            </w:r>
            <w:r w:rsidRPr="00C918BF">
              <w:rPr>
                <w:color w:val="auto"/>
                <w:sz w:val="19"/>
                <w:szCs w:val="19"/>
              </w:rPr>
              <w:t>requests and priority listing</w:t>
            </w:r>
          </w:p>
          <w:p w14:paraId="383280F9" w14:textId="77777777" w:rsidR="00412BAC" w:rsidRPr="00C918BF" w:rsidRDefault="00412BAC" w:rsidP="00C31A43">
            <w:pPr>
              <w:pStyle w:val="BodyBullets"/>
              <w:spacing w:before="60" w:after="60" w:line="240" w:lineRule="auto"/>
              <w:rPr>
                <w:color w:val="auto"/>
                <w:sz w:val="19"/>
                <w:szCs w:val="19"/>
              </w:rPr>
            </w:pPr>
            <w:r w:rsidRPr="00C918BF">
              <w:rPr>
                <w:color w:val="auto"/>
                <w:sz w:val="19"/>
                <w:szCs w:val="19"/>
              </w:rPr>
              <w:t>Communications held with communities to resolve any land issues or construction employment requests</w:t>
            </w:r>
            <w:r w:rsidR="00D722F0" w:rsidRPr="00C918BF">
              <w:rPr>
                <w:color w:val="auto"/>
                <w:sz w:val="19"/>
                <w:szCs w:val="19"/>
              </w:rPr>
              <w:t xml:space="preserve"> for local people</w:t>
            </w:r>
          </w:p>
          <w:p w14:paraId="048AB23E" w14:textId="77777777" w:rsidR="009C64BF" w:rsidRPr="00C918BF" w:rsidRDefault="009C64BF" w:rsidP="00C31A43">
            <w:pPr>
              <w:pStyle w:val="BodyBullets"/>
              <w:spacing w:before="60" w:after="60" w:line="240" w:lineRule="auto"/>
              <w:rPr>
                <w:color w:val="auto"/>
                <w:sz w:val="19"/>
                <w:szCs w:val="19"/>
              </w:rPr>
            </w:pPr>
            <w:r w:rsidRPr="00C918BF">
              <w:rPr>
                <w:color w:val="auto"/>
                <w:sz w:val="19"/>
                <w:szCs w:val="19"/>
              </w:rPr>
              <w:t>Provide guidelines for issuing materials to the builders and conduct QA through infrastructure TA and KEIP visits</w:t>
            </w:r>
          </w:p>
          <w:p w14:paraId="57E4A992" w14:textId="77777777" w:rsidR="009C64BF" w:rsidRPr="00C918BF" w:rsidRDefault="009C64BF" w:rsidP="00C31A43">
            <w:pPr>
              <w:pStyle w:val="BodyBullets"/>
              <w:spacing w:before="60" w:after="60" w:line="240" w:lineRule="auto"/>
              <w:rPr>
                <w:color w:val="auto"/>
                <w:sz w:val="19"/>
                <w:szCs w:val="19"/>
              </w:rPr>
            </w:pPr>
            <w:r w:rsidRPr="00C918BF">
              <w:rPr>
                <w:color w:val="auto"/>
                <w:sz w:val="19"/>
                <w:szCs w:val="19"/>
              </w:rPr>
              <w:t xml:space="preserve">Maintain contact with MoE, builders to program infrastructure to high level </w:t>
            </w:r>
            <w:r w:rsidRPr="00C918BF">
              <w:rPr>
                <w:color w:val="auto"/>
                <w:sz w:val="19"/>
                <w:szCs w:val="19"/>
              </w:rPr>
              <w:lastRenderedPageBreak/>
              <w:t>within the Kiribati constraints</w:t>
            </w:r>
          </w:p>
        </w:tc>
      </w:tr>
      <w:tr w:rsidR="00807215" w:rsidRPr="00C918BF" w14:paraId="458E363B" w14:textId="77777777" w:rsidTr="00CD6138">
        <w:trPr>
          <w:trHeight w:val="2114"/>
        </w:trPr>
        <w:tc>
          <w:tcPr>
            <w:tcW w:w="928" w:type="pct"/>
            <w:shd w:val="clear" w:color="auto" w:fill="E2EAEE" w:themeFill="accent5" w:themeFillTint="66"/>
          </w:tcPr>
          <w:p w14:paraId="0C2B2495" w14:textId="77777777" w:rsidR="00087C92" w:rsidRPr="00C918BF" w:rsidRDefault="00D722F0"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lastRenderedPageBreak/>
              <w:t xml:space="preserve">Risks to </w:t>
            </w:r>
            <w:r w:rsidR="005F6FC2" w:rsidRPr="00C918BF">
              <w:rPr>
                <w:rFonts w:asciiTheme="majorHAnsi" w:hAnsiTheme="majorHAnsi" w:cstheme="majorHAnsi"/>
                <w:b/>
                <w:sz w:val="19"/>
                <w:szCs w:val="19"/>
              </w:rPr>
              <w:t>Health and Safety</w:t>
            </w:r>
          </w:p>
        </w:tc>
        <w:tc>
          <w:tcPr>
            <w:tcW w:w="1995" w:type="pct"/>
            <w:shd w:val="clear" w:color="auto" w:fill="F0F4F6" w:themeFill="accent5" w:themeFillTint="33"/>
          </w:tcPr>
          <w:p w14:paraId="6E271801" w14:textId="77777777" w:rsidR="00087C92" w:rsidRPr="00C918BF" w:rsidRDefault="00661B26" w:rsidP="00C31A43">
            <w:pPr>
              <w:pStyle w:val="BodyBullets"/>
              <w:spacing w:before="60" w:after="60" w:line="240" w:lineRule="auto"/>
              <w:rPr>
                <w:color w:val="auto"/>
                <w:sz w:val="19"/>
                <w:szCs w:val="19"/>
              </w:rPr>
            </w:pPr>
            <w:r w:rsidRPr="00C918BF">
              <w:rPr>
                <w:color w:val="auto"/>
                <w:sz w:val="19"/>
                <w:szCs w:val="19"/>
              </w:rPr>
              <w:t>Kiribati has limited health services and facilities in case of emergency or sickness</w:t>
            </w:r>
          </w:p>
          <w:p w14:paraId="6CD0E130" w14:textId="77777777" w:rsidR="009C64BF" w:rsidRPr="00C918BF" w:rsidRDefault="009C64BF" w:rsidP="00C31A43">
            <w:pPr>
              <w:pStyle w:val="BodyBullets"/>
              <w:spacing w:before="60" w:after="60" w:line="240" w:lineRule="auto"/>
              <w:rPr>
                <w:color w:val="auto"/>
                <w:sz w:val="19"/>
                <w:szCs w:val="19"/>
              </w:rPr>
            </w:pPr>
            <w:r w:rsidRPr="00C918BF">
              <w:rPr>
                <w:color w:val="auto"/>
                <w:sz w:val="19"/>
                <w:szCs w:val="19"/>
              </w:rPr>
              <w:t>Potential for asbestos materials</w:t>
            </w:r>
            <w:r w:rsidR="00612FB4" w:rsidRPr="00C918BF">
              <w:rPr>
                <w:color w:val="auto"/>
                <w:sz w:val="19"/>
                <w:szCs w:val="19"/>
              </w:rPr>
              <w:t xml:space="preserve"> </w:t>
            </w:r>
            <w:r w:rsidRPr="00C918BF">
              <w:rPr>
                <w:color w:val="auto"/>
                <w:sz w:val="19"/>
                <w:szCs w:val="19"/>
              </w:rPr>
              <w:t>in existing school infrastructure and for the remediation work</w:t>
            </w:r>
          </w:p>
          <w:p w14:paraId="245BCDF9" w14:textId="77777777" w:rsidR="00661B26" w:rsidRPr="00C918BF" w:rsidRDefault="00661B26" w:rsidP="00C31A43">
            <w:pPr>
              <w:pStyle w:val="BodyBullets"/>
              <w:spacing w:before="60" w:after="60" w:line="240" w:lineRule="auto"/>
              <w:rPr>
                <w:color w:val="auto"/>
                <w:sz w:val="19"/>
                <w:szCs w:val="19"/>
              </w:rPr>
            </w:pPr>
            <w:r w:rsidRPr="00C918BF">
              <w:rPr>
                <w:color w:val="auto"/>
                <w:sz w:val="19"/>
                <w:szCs w:val="19"/>
              </w:rPr>
              <w:t>Potential for low level local crime targeted against advisers or contractors</w:t>
            </w:r>
          </w:p>
          <w:p w14:paraId="70F993B5" w14:textId="77777777" w:rsidR="00661B26" w:rsidRPr="00C918BF" w:rsidRDefault="00661B26" w:rsidP="00C31A43">
            <w:pPr>
              <w:pStyle w:val="BodyBullets"/>
              <w:spacing w:before="60" w:after="60" w:line="240" w:lineRule="auto"/>
              <w:rPr>
                <w:color w:val="auto"/>
                <w:sz w:val="19"/>
                <w:szCs w:val="19"/>
              </w:rPr>
            </w:pPr>
            <w:r w:rsidRPr="00C918BF">
              <w:rPr>
                <w:color w:val="auto"/>
                <w:sz w:val="19"/>
                <w:szCs w:val="19"/>
              </w:rPr>
              <w:t>Kiribati susceptible to tropical diseases and sicknesses that can affect staff</w:t>
            </w:r>
          </w:p>
        </w:tc>
        <w:tc>
          <w:tcPr>
            <w:tcW w:w="2076" w:type="pct"/>
            <w:shd w:val="clear" w:color="auto" w:fill="F0F4F6" w:themeFill="accent5" w:themeFillTint="33"/>
          </w:tcPr>
          <w:p w14:paraId="31A4872F" w14:textId="77777777" w:rsidR="00087C92" w:rsidRPr="00C918BF" w:rsidRDefault="00D23B7B" w:rsidP="00C31A43">
            <w:pPr>
              <w:pStyle w:val="BodyBullets"/>
              <w:spacing w:before="60" w:after="60" w:line="240" w:lineRule="auto"/>
              <w:rPr>
                <w:color w:val="auto"/>
                <w:sz w:val="19"/>
                <w:szCs w:val="19"/>
              </w:rPr>
            </w:pPr>
            <w:r w:rsidRPr="00C918BF">
              <w:rPr>
                <w:color w:val="auto"/>
                <w:sz w:val="19"/>
                <w:szCs w:val="19"/>
              </w:rPr>
              <w:t xml:space="preserve">Prior briefings and support to </w:t>
            </w:r>
            <w:r w:rsidR="002C3C54" w:rsidRPr="00C918BF">
              <w:rPr>
                <w:color w:val="auto"/>
                <w:sz w:val="19"/>
                <w:szCs w:val="19"/>
              </w:rPr>
              <w:t xml:space="preserve">the </w:t>
            </w:r>
            <w:r w:rsidRPr="00C918BF">
              <w:rPr>
                <w:color w:val="auto"/>
                <w:sz w:val="19"/>
                <w:szCs w:val="19"/>
              </w:rPr>
              <w:t>team members, including on availability of medical services and medication</w:t>
            </w:r>
          </w:p>
          <w:p w14:paraId="0FE2D671" w14:textId="77777777" w:rsidR="009C64BF" w:rsidRPr="00C918BF" w:rsidRDefault="009C64BF" w:rsidP="00C31A43">
            <w:pPr>
              <w:pStyle w:val="BodyBullets"/>
              <w:spacing w:before="60" w:after="60" w:line="240" w:lineRule="auto"/>
              <w:rPr>
                <w:color w:val="auto"/>
                <w:sz w:val="19"/>
                <w:szCs w:val="19"/>
              </w:rPr>
            </w:pPr>
            <w:r w:rsidRPr="00C918BF">
              <w:rPr>
                <w:color w:val="auto"/>
                <w:sz w:val="19"/>
                <w:szCs w:val="19"/>
              </w:rPr>
              <w:t>Each demolition or repair includes assessment of materials. If concern of asbestos, approved procedures followed</w:t>
            </w:r>
          </w:p>
          <w:p w14:paraId="0C4961A7" w14:textId="77777777" w:rsidR="002C3C54" w:rsidRPr="00C918BF" w:rsidRDefault="002C3C54" w:rsidP="00C31A43">
            <w:pPr>
              <w:pStyle w:val="BodyBullets"/>
              <w:spacing w:before="60" w:after="60" w:line="240" w:lineRule="auto"/>
              <w:rPr>
                <w:color w:val="auto"/>
                <w:sz w:val="19"/>
                <w:szCs w:val="19"/>
              </w:rPr>
            </w:pPr>
            <w:r w:rsidRPr="00C918BF">
              <w:rPr>
                <w:color w:val="auto"/>
                <w:sz w:val="19"/>
                <w:szCs w:val="19"/>
              </w:rPr>
              <w:t>Insurance in place and arrangements in place in case of emergency</w:t>
            </w:r>
          </w:p>
          <w:p w14:paraId="76340AC6" w14:textId="77777777" w:rsidR="002C3C54" w:rsidRPr="00C918BF" w:rsidRDefault="002C3C54" w:rsidP="00C31A43">
            <w:pPr>
              <w:pStyle w:val="BodyBullets"/>
              <w:spacing w:before="60" w:after="60" w:line="240" w:lineRule="auto"/>
              <w:rPr>
                <w:color w:val="auto"/>
                <w:sz w:val="19"/>
                <w:szCs w:val="19"/>
              </w:rPr>
            </w:pPr>
            <w:r w:rsidRPr="00C918BF">
              <w:rPr>
                <w:color w:val="auto"/>
                <w:sz w:val="19"/>
                <w:szCs w:val="19"/>
              </w:rPr>
              <w:t>Staff supported in maintaining awareness of health and security matters and to seek advice or assistance as required</w:t>
            </w:r>
          </w:p>
        </w:tc>
      </w:tr>
      <w:tr w:rsidR="00807215" w:rsidRPr="00C918BF" w14:paraId="29992E01" w14:textId="77777777" w:rsidTr="00CD6138">
        <w:tc>
          <w:tcPr>
            <w:tcW w:w="928" w:type="pct"/>
            <w:shd w:val="clear" w:color="auto" w:fill="E2EAEE" w:themeFill="accent5" w:themeFillTint="66"/>
          </w:tcPr>
          <w:p w14:paraId="7BC34946" w14:textId="77777777" w:rsidR="00FA52A3" w:rsidRPr="00C918BF" w:rsidRDefault="00FA52A3"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Risk</w:t>
            </w:r>
            <w:r w:rsidR="00D722F0" w:rsidRPr="00C918BF">
              <w:rPr>
                <w:rFonts w:asciiTheme="majorHAnsi" w:hAnsiTheme="majorHAnsi" w:cstheme="majorHAnsi"/>
                <w:b/>
                <w:sz w:val="19"/>
                <w:szCs w:val="19"/>
              </w:rPr>
              <w:t xml:space="preserve"> that</w:t>
            </w:r>
            <w:r w:rsidRPr="00C918BF">
              <w:rPr>
                <w:rFonts w:asciiTheme="majorHAnsi" w:hAnsiTheme="majorHAnsi" w:cstheme="majorHAnsi"/>
                <w:b/>
                <w:sz w:val="19"/>
                <w:szCs w:val="19"/>
              </w:rPr>
              <w:t xml:space="preserve"> KEIP benefits </w:t>
            </w:r>
            <w:r w:rsidR="00D722F0" w:rsidRPr="00C918BF">
              <w:rPr>
                <w:rFonts w:asciiTheme="majorHAnsi" w:hAnsiTheme="majorHAnsi" w:cstheme="majorHAnsi"/>
                <w:b/>
                <w:sz w:val="19"/>
                <w:szCs w:val="19"/>
              </w:rPr>
              <w:t xml:space="preserve">are </w:t>
            </w:r>
            <w:r w:rsidR="00661B26" w:rsidRPr="00C918BF">
              <w:rPr>
                <w:rFonts w:asciiTheme="majorHAnsi" w:hAnsiTheme="majorHAnsi" w:cstheme="majorHAnsi"/>
                <w:b/>
                <w:sz w:val="19"/>
                <w:szCs w:val="19"/>
              </w:rPr>
              <w:t xml:space="preserve">perceived as </w:t>
            </w:r>
            <w:r w:rsidRPr="00C918BF">
              <w:rPr>
                <w:rFonts w:asciiTheme="majorHAnsi" w:hAnsiTheme="majorHAnsi" w:cstheme="majorHAnsi"/>
                <w:b/>
                <w:sz w:val="19"/>
                <w:szCs w:val="19"/>
              </w:rPr>
              <w:t>limited to selected schools</w:t>
            </w:r>
          </w:p>
        </w:tc>
        <w:tc>
          <w:tcPr>
            <w:tcW w:w="1995" w:type="pct"/>
            <w:shd w:val="clear" w:color="auto" w:fill="F0F4F6" w:themeFill="accent5" w:themeFillTint="33"/>
          </w:tcPr>
          <w:p w14:paraId="0DDF0C73" w14:textId="77777777" w:rsidR="00FA52A3" w:rsidRPr="00C918BF" w:rsidRDefault="00661B26" w:rsidP="00C31A43">
            <w:pPr>
              <w:pStyle w:val="BodyBullets"/>
              <w:spacing w:before="60" w:after="60" w:line="240" w:lineRule="auto"/>
              <w:rPr>
                <w:color w:val="auto"/>
                <w:sz w:val="19"/>
                <w:szCs w:val="19"/>
              </w:rPr>
            </w:pPr>
            <w:r w:rsidRPr="00C918BF">
              <w:rPr>
                <w:color w:val="auto"/>
                <w:sz w:val="19"/>
                <w:szCs w:val="19"/>
              </w:rPr>
              <w:t>Benefits of basic education reform perceived as limited</w:t>
            </w:r>
            <w:r w:rsidR="00AF16F8" w:rsidRPr="00C918BF">
              <w:rPr>
                <w:color w:val="auto"/>
                <w:sz w:val="19"/>
                <w:szCs w:val="19"/>
              </w:rPr>
              <w:t xml:space="preserve"> to</w:t>
            </w:r>
            <w:r w:rsidRPr="00C918BF">
              <w:rPr>
                <w:color w:val="auto"/>
                <w:sz w:val="19"/>
                <w:szCs w:val="19"/>
              </w:rPr>
              <w:t xml:space="preserve"> small number of students</w:t>
            </w:r>
            <w:r w:rsidR="00AF16F8" w:rsidRPr="00C918BF">
              <w:rPr>
                <w:color w:val="auto"/>
                <w:sz w:val="19"/>
                <w:szCs w:val="19"/>
              </w:rPr>
              <w:t xml:space="preserve"> through the publicity on new school buildings</w:t>
            </w:r>
          </w:p>
          <w:p w14:paraId="40ED61BB" w14:textId="77777777" w:rsidR="00AF16F8" w:rsidRPr="00C918BF" w:rsidRDefault="00AF16F8" w:rsidP="00C31A43">
            <w:pPr>
              <w:pStyle w:val="BodyBullets"/>
              <w:spacing w:before="60" w:after="60" w:line="240" w:lineRule="auto"/>
              <w:rPr>
                <w:color w:val="auto"/>
                <w:sz w:val="19"/>
                <w:szCs w:val="19"/>
              </w:rPr>
            </w:pPr>
            <w:r w:rsidRPr="00C918BF">
              <w:rPr>
                <w:color w:val="auto"/>
                <w:sz w:val="19"/>
                <w:szCs w:val="19"/>
              </w:rPr>
              <w:t>Access to higher levels of secondary education merited by quota numbers and highly academic content</w:t>
            </w:r>
          </w:p>
          <w:p w14:paraId="6DCB277C" w14:textId="77777777" w:rsidR="00AF16F8" w:rsidRPr="00C918BF" w:rsidRDefault="00AF16F8" w:rsidP="00C31A43">
            <w:pPr>
              <w:pStyle w:val="BodyBullets"/>
              <w:spacing w:before="60" w:after="60" w:line="240" w:lineRule="auto"/>
              <w:rPr>
                <w:color w:val="auto"/>
                <w:sz w:val="19"/>
                <w:szCs w:val="19"/>
              </w:rPr>
            </w:pPr>
            <w:r w:rsidRPr="00C918BF">
              <w:rPr>
                <w:color w:val="auto"/>
                <w:sz w:val="19"/>
                <w:szCs w:val="19"/>
              </w:rPr>
              <w:t>Perceptions that resources focussed on Tarawa at the expense of the outer islands</w:t>
            </w:r>
          </w:p>
        </w:tc>
        <w:tc>
          <w:tcPr>
            <w:tcW w:w="2076" w:type="pct"/>
            <w:shd w:val="clear" w:color="auto" w:fill="F0F4F6" w:themeFill="accent5" w:themeFillTint="33"/>
          </w:tcPr>
          <w:p w14:paraId="25B6B71C" w14:textId="77777777" w:rsidR="00FA52A3" w:rsidRPr="00C918BF" w:rsidRDefault="00412BAC" w:rsidP="00C31A43">
            <w:pPr>
              <w:pStyle w:val="BodyBullets"/>
              <w:spacing w:before="60" w:after="60" w:line="240" w:lineRule="auto"/>
              <w:rPr>
                <w:color w:val="auto"/>
                <w:sz w:val="19"/>
                <w:szCs w:val="19"/>
              </w:rPr>
            </w:pPr>
            <w:r w:rsidRPr="00C918BF">
              <w:rPr>
                <w:color w:val="auto"/>
                <w:sz w:val="19"/>
                <w:szCs w:val="19"/>
              </w:rPr>
              <w:t>Curriculum improvement, materials and teacher PD / English language training benefits all primary school students</w:t>
            </w:r>
          </w:p>
          <w:p w14:paraId="6D9B78C6" w14:textId="77777777" w:rsidR="00412BAC" w:rsidRPr="00C918BF" w:rsidRDefault="00412BAC" w:rsidP="00C31A43">
            <w:pPr>
              <w:pStyle w:val="BodyBullets"/>
              <w:spacing w:before="60" w:after="60" w:line="240" w:lineRule="auto"/>
              <w:rPr>
                <w:color w:val="auto"/>
                <w:sz w:val="19"/>
                <w:szCs w:val="19"/>
              </w:rPr>
            </w:pPr>
            <w:r w:rsidRPr="00C918BF">
              <w:rPr>
                <w:color w:val="auto"/>
                <w:sz w:val="19"/>
                <w:szCs w:val="19"/>
              </w:rPr>
              <w:t>Support to reform secondary curriculum will provide more options for more students and help retain then</w:t>
            </w:r>
          </w:p>
          <w:p w14:paraId="00752856" w14:textId="77777777" w:rsidR="00412BAC" w:rsidRPr="00C918BF" w:rsidRDefault="00412BAC" w:rsidP="00C31A43">
            <w:pPr>
              <w:pStyle w:val="BodyBullets"/>
              <w:spacing w:before="60" w:after="60" w:line="240" w:lineRule="auto"/>
              <w:rPr>
                <w:color w:val="auto"/>
                <w:sz w:val="19"/>
                <w:szCs w:val="19"/>
              </w:rPr>
            </w:pPr>
            <w:r w:rsidRPr="00C918BF">
              <w:rPr>
                <w:color w:val="auto"/>
                <w:sz w:val="19"/>
                <w:szCs w:val="19"/>
              </w:rPr>
              <w:t>Regular PD for teachers and schools leaders across Kiribati, as well as infrastructure in outer islands</w:t>
            </w:r>
          </w:p>
        </w:tc>
      </w:tr>
      <w:tr w:rsidR="00807215" w:rsidRPr="00C918BF" w14:paraId="696FC848" w14:textId="77777777" w:rsidTr="00CD6138">
        <w:tc>
          <w:tcPr>
            <w:tcW w:w="928" w:type="pct"/>
            <w:shd w:val="clear" w:color="auto" w:fill="E2EAEE" w:themeFill="accent5" w:themeFillTint="66"/>
          </w:tcPr>
          <w:p w14:paraId="7486B022" w14:textId="77777777"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 xml:space="preserve">Risk to </w:t>
            </w:r>
            <w:r w:rsidR="00D722F0" w:rsidRPr="00C918BF">
              <w:rPr>
                <w:rFonts w:asciiTheme="majorHAnsi" w:hAnsiTheme="majorHAnsi" w:cstheme="majorHAnsi"/>
                <w:b/>
                <w:sz w:val="19"/>
                <w:szCs w:val="19"/>
              </w:rPr>
              <w:t xml:space="preserve">Developing </w:t>
            </w:r>
            <w:r w:rsidRPr="00C918BF">
              <w:rPr>
                <w:rFonts w:asciiTheme="majorHAnsi" w:hAnsiTheme="majorHAnsi" w:cstheme="majorHAnsi"/>
                <w:b/>
                <w:sz w:val="19"/>
                <w:szCs w:val="19"/>
              </w:rPr>
              <w:t>Sustainable Outcomes</w:t>
            </w:r>
          </w:p>
        </w:tc>
        <w:tc>
          <w:tcPr>
            <w:tcW w:w="1995" w:type="pct"/>
            <w:shd w:val="clear" w:color="auto" w:fill="F0F4F6" w:themeFill="accent5" w:themeFillTint="33"/>
          </w:tcPr>
          <w:p w14:paraId="6E1FF089" w14:textId="77777777" w:rsidR="00087C92" w:rsidRPr="00C918BF" w:rsidRDefault="00661B26" w:rsidP="00C31A43">
            <w:pPr>
              <w:pStyle w:val="BodyBullets"/>
              <w:spacing w:before="60" w:after="60" w:line="240" w:lineRule="auto"/>
              <w:rPr>
                <w:color w:val="auto"/>
                <w:sz w:val="19"/>
                <w:szCs w:val="19"/>
              </w:rPr>
            </w:pPr>
            <w:r w:rsidRPr="00C918BF">
              <w:rPr>
                <w:color w:val="auto"/>
                <w:sz w:val="19"/>
                <w:szCs w:val="19"/>
              </w:rPr>
              <w:t xml:space="preserve">KEIP activities and support not aligned to </w:t>
            </w:r>
            <w:r w:rsidR="00B765AC" w:rsidRPr="00C918BF">
              <w:rPr>
                <w:color w:val="auto"/>
                <w:sz w:val="19"/>
                <w:szCs w:val="19"/>
              </w:rPr>
              <w:t>M</w:t>
            </w:r>
            <w:r w:rsidR="00302A6B" w:rsidRPr="00C918BF">
              <w:rPr>
                <w:color w:val="auto"/>
                <w:sz w:val="19"/>
                <w:szCs w:val="19"/>
              </w:rPr>
              <w:t>o</w:t>
            </w:r>
            <w:r w:rsidR="00B765AC" w:rsidRPr="00C918BF">
              <w:rPr>
                <w:color w:val="auto"/>
                <w:sz w:val="19"/>
                <w:szCs w:val="19"/>
              </w:rPr>
              <w:t>E</w:t>
            </w:r>
            <w:r w:rsidRPr="00C918BF">
              <w:rPr>
                <w:color w:val="auto"/>
                <w:sz w:val="19"/>
                <w:szCs w:val="19"/>
              </w:rPr>
              <w:t xml:space="preserve"> priorities or </w:t>
            </w:r>
            <w:r w:rsidR="00F670E6" w:rsidRPr="00C918BF">
              <w:rPr>
                <w:color w:val="auto"/>
                <w:sz w:val="19"/>
                <w:szCs w:val="19"/>
              </w:rPr>
              <w:t xml:space="preserve">ESSP </w:t>
            </w:r>
            <w:r w:rsidRPr="00C918BF">
              <w:rPr>
                <w:color w:val="auto"/>
                <w:sz w:val="19"/>
                <w:szCs w:val="19"/>
              </w:rPr>
              <w:t>strategic plans</w:t>
            </w:r>
            <w:r w:rsidR="00791332" w:rsidRPr="00C918BF">
              <w:rPr>
                <w:color w:val="auto"/>
                <w:sz w:val="19"/>
                <w:szCs w:val="19"/>
              </w:rPr>
              <w:t xml:space="preserve"> for basic education</w:t>
            </w:r>
          </w:p>
          <w:p w14:paraId="5A5BBAD1" w14:textId="77777777" w:rsidR="00661B26" w:rsidRPr="00C918BF" w:rsidRDefault="00B765AC" w:rsidP="00C31A43">
            <w:pPr>
              <w:pStyle w:val="BodyBullets"/>
              <w:spacing w:before="60" w:after="60" w:line="240" w:lineRule="auto"/>
              <w:rPr>
                <w:color w:val="auto"/>
                <w:sz w:val="19"/>
                <w:szCs w:val="19"/>
              </w:rPr>
            </w:pPr>
            <w:r w:rsidRPr="00C918BF">
              <w:rPr>
                <w:color w:val="auto"/>
                <w:sz w:val="19"/>
                <w:szCs w:val="19"/>
              </w:rPr>
              <w:t>M</w:t>
            </w:r>
            <w:r w:rsidR="00302A6B" w:rsidRPr="00C918BF">
              <w:rPr>
                <w:color w:val="auto"/>
                <w:sz w:val="19"/>
                <w:szCs w:val="19"/>
              </w:rPr>
              <w:t>o</w:t>
            </w:r>
            <w:r w:rsidRPr="00C918BF">
              <w:rPr>
                <w:color w:val="auto"/>
                <w:sz w:val="19"/>
                <w:szCs w:val="19"/>
              </w:rPr>
              <w:t>E</w:t>
            </w:r>
            <w:r w:rsidR="00661B26" w:rsidRPr="00C918BF">
              <w:rPr>
                <w:color w:val="auto"/>
                <w:sz w:val="19"/>
                <w:szCs w:val="19"/>
              </w:rPr>
              <w:t xml:space="preserve"> staff at central, Island and </w:t>
            </w:r>
            <w:r w:rsidR="00F670E6" w:rsidRPr="00C918BF">
              <w:rPr>
                <w:color w:val="auto"/>
                <w:sz w:val="19"/>
                <w:szCs w:val="19"/>
              </w:rPr>
              <w:t xml:space="preserve">at the </w:t>
            </w:r>
            <w:r w:rsidR="00661B26" w:rsidRPr="00C918BF">
              <w:rPr>
                <w:color w:val="auto"/>
                <w:sz w:val="19"/>
                <w:szCs w:val="19"/>
              </w:rPr>
              <w:t xml:space="preserve">school level do not have the skills to sustain </w:t>
            </w:r>
            <w:r w:rsidR="00F670E6" w:rsidRPr="00C918BF">
              <w:rPr>
                <w:color w:val="auto"/>
                <w:sz w:val="19"/>
                <w:szCs w:val="19"/>
              </w:rPr>
              <w:t xml:space="preserve">and embed </w:t>
            </w:r>
            <w:r w:rsidR="00661B26" w:rsidRPr="00C918BF">
              <w:rPr>
                <w:color w:val="auto"/>
                <w:sz w:val="19"/>
                <w:szCs w:val="19"/>
              </w:rPr>
              <w:t>the reforms</w:t>
            </w:r>
          </w:p>
          <w:p w14:paraId="0C1AD84B" w14:textId="77777777" w:rsidR="00661B26" w:rsidRPr="00C918BF" w:rsidRDefault="00791332" w:rsidP="00C31A43">
            <w:pPr>
              <w:pStyle w:val="BodyBullets"/>
              <w:spacing w:before="60" w:after="60" w:line="240" w:lineRule="auto"/>
              <w:rPr>
                <w:color w:val="auto"/>
                <w:sz w:val="19"/>
                <w:szCs w:val="19"/>
              </w:rPr>
            </w:pPr>
            <w:r w:rsidRPr="00C918BF">
              <w:rPr>
                <w:color w:val="auto"/>
                <w:sz w:val="19"/>
                <w:szCs w:val="19"/>
              </w:rPr>
              <w:t xml:space="preserve">New buildings, curriculum reforms, inclusive teaching and teacher English language not able to be maintained </w:t>
            </w:r>
            <w:r w:rsidR="00F670E6" w:rsidRPr="00C918BF">
              <w:rPr>
                <w:color w:val="auto"/>
                <w:sz w:val="19"/>
                <w:szCs w:val="19"/>
              </w:rPr>
              <w:t xml:space="preserve">by MoE </w:t>
            </w:r>
            <w:r w:rsidRPr="00C918BF">
              <w:rPr>
                <w:color w:val="auto"/>
                <w:sz w:val="19"/>
                <w:szCs w:val="19"/>
              </w:rPr>
              <w:t>in the longer term</w:t>
            </w:r>
          </w:p>
        </w:tc>
        <w:tc>
          <w:tcPr>
            <w:tcW w:w="2076" w:type="pct"/>
            <w:shd w:val="clear" w:color="auto" w:fill="F0F4F6" w:themeFill="accent5" w:themeFillTint="33"/>
          </w:tcPr>
          <w:p w14:paraId="7CE86C17" w14:textId="77777777" w:rsidR="00087C92" w:rsidRPr="00C918BF" w:rsidRDefault="005E409A" w:rsidP="00C31A43">
            <w:pPr>
              <w:pStyle w:val="BodyBullets"/>
              <w:spacing w:before="60" w:after="60" w:line="240" w:lineRule="auto"/>
              <w:rPr>
                <w:color w:val="auto"/>
                <w:sz w:val="19"/>
                <w:szCs w:val="19"/>
              </w:rPr>
            </w:pPr>
            <w:r w:rsidRPr="00C918BF">
              <w:rPr>
                <w:color w:val="auto"/>
                <w:sz w:val="19"/>
                <w:szCs w:val="19"/>
              </w:rPr>
              <w:t xml:space="preserve">All KEIP support aligned to </w:t>
            </w:r>
            <w:r w:rsidR="00B765AC" w:rsidRPr="00C918BF">
              <w:rPr>
                <w:color w:val="auto"/>
                <w:sz w:val="19"/>
                <w:szCs w:val="19"/>
              </w:rPr>
              <w:t>M</w:t>
            </w:r>
            <w:r w:rsidR="008733D1" w:rsidRPr="00C918BF">
              <w:rPr>
                <w:color w:val="auto"/>
                <w:sz w:val="19"/>
                <w:szCs w:val="19"/>
              </w:rPr>
              <w:t>o</w:t>
            </w:r>
            <w:r w:rsidR="00B765AC" w:rsidRPr="00C918BF">
              <w:rPr>
                <w:color w:val="auto"/>
                <w:sz w:val="19"/>
                <w:szCs w:val="19"/>
              </w:rPr>
              <w:t>E</w:t>
            </w:r>
            <w:r w:rsidRPr="00C918BF">
              <w:rPr>
                <w:color w:val="auto"/>
                <w:sz w:val="19"/>
                <w:szCs w:val="19"/>
              </w:rPr>
              <w:t xml:space="preserve"> priorities and forward planning</w:t>
            </w:r>
          </w:p>
          <w:p w14:paraId="7B87AD0E" w14:textId="77777777" w:rsidR="005E409A" w:rsidRPr="00C918BF" w:rsidRDefault="005E409A" w:rsidP="00C31A43">
            <w:pPr>
              <w:pStyle w:val="BodyBullets"/>
              <w:spacing w:before="60" w:after="60" w:line="240" w:lineRule="auto"/>
              <w:rPr>
                <w:color w:val="auto"/>
                <w:sz w:val="19"/>
                <w:szCs w:val="19"/>
              </w:rPr>
            </w:pPr>
            <w:r w:rsidRPr="00C918BF">
              <w:rPr>
                <w:color w:val="auto"/>
                <w:sz w:val="19"/>
                <w:szCs w:val="19"/>
              </w:rPr>
              <w:t xml:space="preserve">Ongoing dialogue and communication with </w:t>
            </w:r>
            <w:r w:rsidR="00B765AC" w:rsidRPr="00C918BF">
              <w:rPr>
                <w:color w:val="auto"/>
                <w:sz w:val="19"/>
                <w:szCs w:val="19"/>
              </w:rPr>
              <w:t>M</w:t>
            </w:r>
            <w:r w:rsidR="00302A6B" w:rsidRPr="00C918BF">
              <w:rPr>
                <w:color w:val="auto"/>
                <w:sz w:val="19"/>
                <w:szCs w:val="19"/>
              </w:rPr>
              <w:t>o</w:t>
            </w:r>
            <w:r w:rsidR="00B765AC" w:rsidRPr="00C918BF">
              <w:rPr>
                <w:color w:val="auto"/>
                <w:sz w:val="19"/>
                <w:szCs w:val="19"/>
              </w:rPr>
              <w:t>E</w:t>
            </w:r>
            <w:r w:rsidRPr="00C918BF">
              <w:rPr>
                <w:color w:val="auto"/>
                <w:sz w:val="19"/>
                <w:szCs w:val="19"/>
              </w:rPr>
              <w:t xml:space="preserve"> at all levels to support change management and long term capacity</w:t>
            </w:r>
          </w:p>
          <w:p w14:paraId="1F06F849" w14:textId="77777777" w:rsidR="005E409A" w:rsidRPr="00C918BF" w:rsidRDefault="005E409A" w:rsidP="00C31A43">
            <w:pPr>
              <w:pStyle w:val="BodyBullets"/>
              <w:spacing w:before="60" w:after="60" w:line="240" w:lineRule="auto"/>
              <w:rPr>
                <w:color w:val="auto"/>
                <w:sz w:val="19"/>
                <w:szCs w:val="19"/>
              </w:rPr>
            </w:pPr>
            <w:r w:rsidRPr="00C918BF">
              <w:rPr>
                <w:color w:val="auto"/>
                <w:sz w:val="19"/>
                <w:szCs w:val="19"/>
              </w:rPr>
              <w:t xml:space="preserve">TA and specialist work through </w:t>
            </w:r>
            <w:r w:rsidR="00B765AC" w:rsidRPr="00C918BF">
              <w:rPr>
                <w:color w:val="auto"/>
                <w:sz w:val="19"/>
                <w:szCs w:val="19"/>
              </w:rPr>
              <w:t>M</w:t>
            </w:r>
            <w:r w:rsidR="00302A6B" w:rsidRPr="00C918BF">
              <w:rPr>
                <w:color w:val="auto"/>
                <w:sz w:val="19"/>
                <w:szCs w:val="19"/>
              </w:rPr>
              <w:t>o</w:t>
            </w:r>
            <w:r w:rsidR="00B765AC" w:rsidRPr="00C918BF">
              <w:rPr>
                <w:color w:val="auto"/>
                <w:sz w:val="19"/>
                <w:szCs w:val="19"/>
              </w:rPr>
              <w:t>E</w:t>
            </w:r>
            <w:r w:rsidRPr="00C918BF">
              <w:rPr>
                <w:color w:val="auto"/>
                <w:sz w:val="19"/>
                <w:szCs w:val="19"/>
              </w:rPr>
              <w:t xml:space="preserve"> so that change is made at the pace and the agreed direction of the </w:t>
            </w:r>
            <w:r w:rsidR="00B765AC" w:rsidRPr="00C918BF">
              <w:rPr>
                <w:color w:val="auto"/>
                <w:sz w:val="19"/>
                <w:szCs w:val="19"/>
              </w:rPr>
              <w:t>M</w:t>
            </w:r>
            <w:r w:rsidR="00302A6B" w:rsidRPr="00C918BF">
              <w:rPr>
                <w:color w:val="auto"/>
                <w:sz w:val="19"/>
                <w:szCs w:val="19"/>
              </w:rPr>
              <w:t>o</w:t>
            </w:r>
            <w:r w:rsidR="00B765AC" w:rsidRPr="00C918BF">
              <w:rPr>
                <w:color w:val="auto"/>
                <w:sz w:val="19"/>
                <w:szCs w:val="19"/>
              </w:rPr>
              <w:t>E</w:t>
            </w:r>
          </w:p>
        </w:tc>
      </w:tr>
      <w:tr w:rsidR="00807215" w:rsidRPr="00C918BF" w14:paraId="0F491E16" w14:textId="77777777" w:rsidTr="00CD6138">
        <w:tc>
          <w:tcPr>
            <w:tcW w:w="928" w:type="pct"/>
            <w:shd w:val="clear" w:color="auto" w:fill="E2EAEE" w:themeFill="accent5" w:themeFillTint="66"/>
          </w:tcPr>
          <w:p w14:paraId="0063621A" w14:textId="77777777"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Fraud risk</w:t>
            </w:r>
            <w:r w:rsidR="00D722F0" w:rsidRPr="00C918BF">
              <w:rPr>
                <w:rFonts w:asciiTheme="majorHAnsi" w:hAnsiTheme="majorHAnsi" w:cstheme="majorHAnsi"/>
                <w:b/>
                <w:sz w:val="19"/>
                <w:szCs w:val="19"/>
              </w:rPr>
              <w:t>s</w:t>
            </w:r>
          </w:p>
        </w:tc>
        <w:tc>
          <w:tcPr>
            <w:tcW w:w="1995" w:type="pct"/>
            <w:shd w:val="clear" w:color="auto" w:fill="F0F4F6" w:themeFill="accent5" w:themeFillTint="33"/>
          </w:tcPr>
          <w:p w14:paraId="7FB74127" w14:textId="77777777" w:rsidR="00087C92" w:rsidRPr="00C918BF" w:rsidRDefault="00791332" w:rsidP="00C31A43">
            <w:pPr>
              <w:pStyle w:val="BodyBullets"/>
              <w:spacing w:before="60" w:after="60" w:line="240" w:lineRule="auto"/>
              <w:rPr>
                <w:color w:val="auto"/>
                <w:sz w:val="19"/>
                <w:szCs w:val="19"/>
              </w:rPr>
            </w:pPr>
            <w:r w:rsidRPr="00C918BF">
              <w:rPr>
                <w:color w:val="auto"/>
                <w:sz w:val="19"/>
                <w:szCs w:val="19"/>
              </w:rPr>
              <w:t>Dispersal of funds and remote locations open up the potential for fraud at individual level</w:t>
            </w:r>
          </w:p>
          <w:p w14:paraId="344B80D6" w14:textId="77777777" w:rsidR="00791332" w:rsidRPr="00C918BF" w:rsidRDefault="00791332" w:rsidP="00C31A43">
            <w:pPr>
              <w:pStyle w:val="BodyBullets"/>
              <w:spacing w:before="60" w:after="60" w:line="240" w:lineRule="auto"/>
              <w:rPr>
                <w:color w:val="auto"/>
                <w:sz w:val="19"/>
                <w:szCs w:val="19"/>
              </w:rPr>
            </w:pPr>
            <w:r w:rsidRPr="00C918BF">
              <w:rPr>
                <w:color w:val="auto"/>
                <w:sz w:val="19"/>
                <w:szCs w:val="19"/>
              </w:rPr>
              <w:t xml:space="preserve">Community pressure can encourage and pressure fraudulent acts by </w:t>
            </w:r>
            <w:r w:rsidR="00D722F0" w:rsidRPr="00C918BF">
              <w:rPr>
                <w:color w:val="auto"/>
                <w:sz w:val="19"/>
                <w:szCs w:val="19"/>
              </w:rPr>
              <w:t xml:space="preserve">individuals </w:t>
            </w:r>
          </w:p>
          <w:p w14:paraId="4F9A69C8" w14:textId="5D816457" w:rsidR="00791332" w:rsidRPr="00C918BF" w:rsidRDefault="00D722F0" w:rsidP="00C31A43">
            <w:pPr>
              <w:pStyle w:val="BodyBullets"/>
              <w:spacing w:before="60" w:after="60" w:line="240" w:lineRule="auto"/>
              <w:rPr>
                <w:color w:val="auto"/>
                <w:sz w:val="19"/>
                <w:szCs w:val="19"/>
              </w:rPr>
            </w:pPr>
            <w:r w:rsidRPr="00C918BF">
              <w:rPr>
                <w:color w:val="auto"/>
                <w:sz w:val="19"/>
                <w:szCs w:val="19"/>
              </w:rPr>
              <w:t xml:space="preserve">Limited capacity of </w:t>
            </w:r>
            <w:r w:rsidR="00D06E0B" w:rsidRPr="00C918BF">
              <w:rPr>
                <w:color w:val="auto"/>
                <w:sz w:val="19"/>
                <w:szCs w:val="19"/>
              </w:rPr>
              <w:t>GoK</w:t>
            </w:r>
            <w:r w:rsidR="0038699A" w:rsidRPr="00C918BF">
              <w:rPr>
                <w:color w:val="auto"/>
                <w:sz w:val="19"/>
                <w:szCs w:val="19"/>
              </w:rPr>
              <w:t xml:space="preserve"> </w:t>
            </w:r>
            <w:r w:rsidRPr="00C918BF">
              <w:rPr>
                <w:color w:val="auto"/>
                <w:sz w:val="19"/>
                <w:szCs w:val="19"/>
              </w:rPr>
              <w:t xml:space="preserve">systems and experienced staff can allow </w:t>
            </w:r>
            <w:r w:rsidR="00DC45E3">
              <w:rPr>
                <w:color w:val="auto"/>
                <w:sz w:val="19"/>
                <w:szCs w:val="19"/>
              </w:rPr>
              <w:t xml:space="preserve">misallocation or </w:t>
            </w:r>
            <w:r w:rsidR="00D06E0B" w:rsidRPr="00C918BF">
              <w:rPr>
                <w:color w:val="auto"/>
                <w:sz w:val="19"/>
                <w:szCs w:val="19"/>
              </w:rPr>
              <w:t xml:space="preserve">misuse of building materials </w:t>
            </w:r>
            <w:r w:rsidRPr="00C918BF">
              <w:rPr>
                <w:color w:val="auto"/>
                <w:sz w:val="19"/>
                <w:szCs w:val="19"/>
              </w:rPr>
              <w:t>to occur</w:t>
            </w:r>
            <w:r w:rsidR="0038699A" w:rsidRPr="00C918BF">
              <w:rPr>
                <w:color w:val="auto"/>
                <w:sz w:val="19"/>
                <w:szCs w:val="19"/>
              </w:rPr>
              <w:t xml:space="preserve">, especially on the remote islands or where it is difficult to monitor quantity and quality </w:t>
            </w:r>
            <w:r w:rsidR="00D06E0B" w:rsidRPr="00C918BF">
              <w:rPr>
                <w:color w:val="auto"/>
                <w:sz w:val="19"/>
                <w:szCs w:val="19"/>
              </w:rPr>
              <w:t xml:space="preserve">of </w:t>
            </w:r>
            <w:r w:rsidR="0038699A" w:rsidRPr="00C918BF">
              <w:rPr>
                <w:color w:val="auto"/>
                <w:sz w:val="19"/>
                <w:szCs w:val="19"/>
              </w:rPr>
              <w:t>materials</w:t>
            </w:r>
            <w:r w:rsidR="00D06E0B" w:rsidRPr="00C918BF">
              <w:rPr>
                <w:color w:val="auto"/>
                <w:sz w:val="19"/>
                <w:szCs w:val="19"/>
              </w:rPr>
              <w:t xml:space="preserve"> issued</w:t>
            </w:r>
            <w:r w:rsidR="0038699A" w:rsidRPr="00C918BF">
              <w:rPr>
                <w:color w:val="auto"/>
                <w:sz w:val="19"/>
                <w:szCs w:val="19"/>
              </w:rPr>
              <w:t>.</w:t>
            </w:r>
          </w:p>
        </w:tc>
        <w:tc>
          <w:tcPr>
            <w:tcW w:w="2076" w:type="pct"/>
            <w:shd w:val="clear" w:color="auto" w:fill="F0F4F6" w:themeFill="accent5" w:themeFillTint="33"/>
          </w:tcPr>
          <w:p w14:paraId="71D907E7" w14:textId="77777777" w:rsidR="00087C92" w:rsidRPr="00C918BF" w:rsidRDefault="007E3BA1" w:rsidP="00C31A43">
            <w:pPr>
              <w:pStyle w:val="BodyBullets"/>
              <w:spacing w:before="60" w:after="60" w:line="240" w:lineRule="auto"/>
              <w:rPr>
                <w:color w:val="auto"/>
                <w:sz w:val="19"/>
                <w:szCs w:val="19"/>
              </w:rPr>
            </w:pPr>
            <w:r w:rsidRPr="00C918BF">
              <w:rPr>
                <w:color w:val="auto"/>
                <w:sz w:val="19"/>
                <w:szCs w:val="19"/>
              </w:rPr>
              <w:t>Clear guidelines and contractor briefings on code of conduct and the obligation of all to be vigilant on potential for fraud</w:t>
            </w:r>
          </w:p>
          <w:p w14:paraId="2E11187D" w14:textId="77777777" w:rsidR="007E3BA1" w:rsidRPr="00C918BF" w:rsidRDefault="007E3BA1" w:rsidP="00C31A43">
            <w:pPr>
              <w:pStyle w:val="BodyBullets"/>
              <w:spacing w:before="60" w:after="60" w:line="240" w:lineRule="auto"/>
              <w:rPr>
                <w:color w:val="auto"/>
                <w:sz w:val="19"/>
                <w:szCs w:val="19"/>
              </w:rPr>
            </w:pPr>
            <w:r w:rsidRPr="00C918BF">
              <w:rPr>
                <w:color w:val="auto"/>
                <w:sz w:val="19"/>
                <w:szCs w:val="19"/>
              </w:rPr>
              <w:t>Regular internal audits and ongoing review of systems</w:t>
            </w:r>
          </w:p>
          <w:p w14:paraId="60E538B8" w14:textId="13C8C1D6" w:rsidR="0038699A" w:rsidRPr="00C918BF" w:rsidRDefault="00D06E0B" w:rsidP="00C31A43">
            <w:pPr>
              <w:pStyle w:val="BodyBullets"/>
              <w:spacing w:before="60" w:after="60" w:line="240" w:lineRule="auto"/>
              <w:rPr>
                <w:color w:val="auto"/>
                <w:sz w:val="19"/>
                <w:szCs w:val="19"/>
              </w:rPr>
            </w:pPr>
            <w:r w:rsidRPr="00C918BF">
              <w:rPr>
                <w:color w:val="auto"/>
                <w:sz w:val="19"/>
                <w:szCs w:val="19"/>
              </w:rPr>
              <w:t>I</w:t>
            </w:r>
            <w:r w:rsidR="0038699A" w:rsidRPr="00C918BF">
              <w:rPr>
                <w:color w:val="auto"/>
                <w:sz w:val="19"/>
                <w:szCs w:val="19"/>
              </w:rPr>
              <w:t xml:space="preserve">ncrease level of documentation and verification of any materials managed and stored through </w:t>
            </w:r>
            <w:r w:rsidRPr="00C918BF">
              <w:rPr>
                <w:color w:val="auto"/>
                <w:sz w:val="19"/>
                <w:szCs w:val="19"/>
              </w:rPr>
              <w:t>third parties</w:t>
            </w:r>
            <w:r w:rsidR="0038699A" w:rsidRPr="00C918BF">
              <w:rPr>
                <w:color w:val="auto"/>
                <w:sz w:val="19"/>
                <w:szCs w:val="19"/>
              </w:rPr>
              <w:t>.</w:t>
            </w:r>
          </w:p>
          <w:p w14:paraId="54BDC55B" w14:textId="77777777" w:rsidR="007E3BA1" w:rsidRPr="00C918BF" w:rsidRDefault="007E3BA1" w:rsidP="00C31A43">
            <w:pPr>
              <w:pStyle w:val="BodyBullets"/>
              <w:spacing w:before="60" w:after="60" w:line="240" w:lineRule="auto"/>
              <w:rPr>
                <w:color w:val="auto"/>
                <w:sz w:val="19"/>
                <w:szCs w:val="19"/>
              </w:rPr>
            </w:pPr>
            <w:r w:rsidRPr="00C918BF">
              <w:rPr>
                <w:color w:val="auto"/>
                <w:sz w:val="19"/>
                <w:szCs w:val="19"/>
              </w:rPr>
              <w:t>Staff trained in financial management, signs of fraud, reporting, zero tolerance</w:t>
            </w:r>
          </w:p>
        </w:tc>
      </w:tr>
      <w:tr w:rsidR="00807215" w:rsidRPr="00C918BF" w14:paraId="5EF0BCAF" w14:textId="77777777" w:rsidTr="00CD6138">
        <w:tc>
          <w:tcPr>
            <w:tcW w:w="928" w:type="pct"/>
            <w:shd w:val="clear" w:color="auto" w:fill="E2EAEE" w:themeFill="accent5" w:themeFillTint="66"/>
          </w:tcPr>
          <w:p w14:paraId="0313E64C" w14:textId="77777777" w:rsidR="00087C92" w:rsidRPr="00C918BF" w:rsidRDefault="005F6FC2"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t>Child protection risk</w:t>
            </w:r>
            <w:r w:rsidR="00D722F0" w:rsidRPr="00C918BF">
              <w:rPr>
                <w:rFonts w:asciiTheme="majorHAnsi" w:hAnsiTheme="majorHAnsi" w:cstheme="majorHAnsi"/>
                <w:b/>
                <w:sz w:val="19"/>
                <w:szCs w:val="19"/>
              </w:rPr>
              <w:t>s</w:t>
            </w:r>
          </w:p>
        </w:tc>
        <w:tc>
          <w:tcPr>
            <w:tcW w:w="1995" w:type="pct"/>
            <w:shd w:val="clear" w:color="auto" w:fill="F0F4F6" w:themeFill="accent5" w:themeFillTint="33"/>
          </w:tcPr>
          <w:p w14:paraId="2D769CD8" w14:textId="77777777" w:rsidR="00087C92" w:rsidRPr="00C918BF" w:rsidRDefault="005E409A" w:rsidP="00C31A43">
            <w:pPr>
              <w:pStyle w:val="BodyBullets"/>
              <w:spacing w:before="60" w:after="60" w:line="240" w:lineRule="auto"/>
              <w:rPr>
                <w:color w:val="auto"/>
                <w:sz w:val="19"/>
                <w:szCs w:val="19"/>
              </w:rPr>
            </w:pPr>
            <w:r w:rsidRPr="00C918BF">
              <w:rPr>
                <w:color w:val="auto"/>
                <w:sz w:val="19"/>
                <w:szCs w:val="19"/>
              </w:rPr>
              <w:t>With TA working near and in schools, risk of perceived or actual inappropriate relationship with children</w:t>
            </w:r>
          </w:p>
          <w:p w14:paraId="3A6BDCE5" w14:textId="77777777" w:rsidR="005E409A" w:rsidRPr="00C918BF" w:rsidRDefault="005E409A" w:rsidP="00C31A43">
            <w:pPr>
              <w:pStyle w:val="BodyBullets"/>
              <w:spacing w:before="60" w:after="60" w:line="240" w:lineRule="auto"/>
              <w:rPr>
                <w:color w:val="auto"/>
                <w:sz w:val="19"/>
                <w:szCs w:val="19"/>
              </w:rPr>
            </w:pPr>
            <w:r w:rsidRPr="00C918BF">
              <w:rPr>
                <w:color w:val="auto"/>
                <w:sz w:val="19"/>
                <w:szCs w:val="19"/>
              </w:rPr>
              <w:t xml:space="preserve">Very damaging outcomes for the child and those involved if child </w:t>
            </w:r>
            <w:r w:rsidR="00F670E6" w:rsidRPr="00C918BF">
              <w:rPr>
                <w:color w:val="auto"/>
                <w:sz w:val="19"/>
                <w:szCs w:val="19"/>
              </w:rPr>
              <w:t xml:space="preserve">is </w:t>
            </w:r>
            <w:r w:rsidRPr="00C918BF">
              <w:rPr>
                <w:color w:val="auto"/>
                <w:sz w:val="19"/>
                <w:szCs w:val="19"/>
              </w:rPr>
              <w:t>abused or exploited</w:t>
            </w:r>
          </w:p>
          <w:p w14:paraId="5706002D" w14:textId="77777777" w:rsidR="005E409A" w:rsidRPr="00C918BF" w:rsidRDefault="005E409A" w:rsidP="00C31A43">
            <w:pPr>
              <w:pStyle w:val="BodyBullets"/>
              <w:spacing w:before="60" w:after="60" w:line="240" w:lineRule="auto"/>
              <w:rPr>
                <w:color w:val="auto"/>
                <w:sz w:val="19"/>
                <w:szCs w:val="19"/>
              </w:rPr>
            </w:pPr>
            <w:r w:rsidRPr="00C918BF">
              <w:rPr>
                <w:color w:val="auto"/>
                <w:sz w:val="19"/>
                <w:szCs w:val="19"/>
              </w:rPr>
              <w:t xml:space="preserve">Having TA work in remote schools with </w:t>
            </w:r>
            <w:r w:rsidRPr="00C918BF">
              <w:rPr>
                <w:color w:val="auto"/>
                <w:sz w:val="19"/>
                <w:szCs w:val="19"/>
              </w:rPr>
              <w:lastRenderedPageBreak/>
              <w:t>limited accommodation available means that they may be</w:t>
            </w:r>
            <w:r w:rsidR="00F670E6" w:rsidRPr="00C918BF">
              <w:rPr>
                <w:color w:val="auto"/>
                <w:sz w:val="19"/>
                <w:szCs w:val="19"/>
              </w:rPr>
              <w:t xml:space="preserve"> living</w:t>
            </w:r>
            <w:r w:rsidRPr="00C918BF">
              <w:rPr>
                <w:color w:val="auto"/>
                <w:sz w:val="19"/>
                <w:szCs w:val="19"/>
              </w:rPr>
              <w:t xml:space="preserve"> in close proximity</w:t>
            </w:r>
          </w:p>
        </w:tc>
        <w:tc>
          <w:tcPr>
            <w:tcW w:w="2076" w:type="pct"/>
            <w:shd w:val="clear" w:color="auto" w:fill="F0F4F6" w:themeFill="accent5" w:themeFillTint="33"/>
          </w:tcPr>
          <w:p w14:paraId="1C41A706" w14:textId="77777777" w:rsidR="007E3BA1" w:rsidRPr="00C918BF" w:rsidRDefault="007E3BA1" w:rsidP="00C31A43">
            <w:pPr>
              <w:pStyle w:val="BodyBullets"/>
              <w:spacing w:before="60" w:after="60" w:line="240" w:lineRule="auto"/>
              <w:rPr>
                <w:color w:val="auto"/>
                <w:sz w:val="19"/>
                <w:szCs w:val="19"/>
              </w:rPr>
            </w:pPr>
            <w:r w:rsidRPr="00C918BF">
              <w:rPr>
                <w:color w:val="auto"/>
                <w:sz w:val="19"/>
                <w:szCs w:val="19"/>
              </w:rPr>
              <w:lastRenderedPageBreak/>
              <w:t>Clear guidelines and contractor briefings on child protection and the obligation of all to be vigilant at all times</w:t>
            </w:r>
          </w:p>
          <w:p w14:paraId="1DB16181" w14:textId="77777777" w:rsidR="007E3BA1" w:rsidRPr="00C918BF" w:rsidRDefault="007E3BA1" w:rsidP="00C31A43">
            <w:pPr>
              <w:pStyle w:val="BodyBullets"/>
              <w:spacing w:before="60" w:after="60" w:line="240" w:lineRule="auto"/>
              <w:rPr>
                <w:color w:val="auto"/>
                <w:sz w:val="19"/>
                <w:szCs w:val="19"/>
              </w:rPr>
            </w:pPr>
            <w:r w:rsidRPr="00C918BF">
              <w:rPr>
                <w:color w:val="auto"/>
                <w:sz w:val="19"/>
                <w:szCs w:val="19"/>
              </w:rPr>
              <w:t>Maintaining awareness of surrounding environment and conversations</w:t>
            </w:r>
          </w:p>
          <w:p w14:paraId="38F660EA" w14:textId="77777777" w:rsidR="00087C92" w:rsidRPr="00C918BF" w:rsidRDefault="007E3BA1" w:rsidP="00C31A43">
            <w:pPr>
              <w:pStyle w:val="BodyBullets"/>
              <w:spacing w:before="60" w:after="60" w:line="240" w:lineRule="auto"/>
              <w:rPr>
                <w:color w:val="auto"/>
                <w:sz w:val="19"/>
                <w:szCs w:val="19"/>
              </w:rPr>
            </w:pPr>
            <w:r w:rsidRPr="00C918BF">
              <w:rPr>
                <w:color w:val="auto"/>
                <w:sz w:val="19"/>
                <w:szCs w:val="19"/>
              </w:rPr>
              <w:t xml:space="preserve">Staff trained in child protection expectations, potential signs or </w:t>
            </w:r>
            <w:r w:rsidRPr="00C918BF">
              <w:rPr>
                <w:color w:val="auto"/>
                <w:sz w:val="19"/>
                <w:szCs w:val="19"/>
              </w:rPr>
              <w:lastRenderedPageBreak/>
              <w:t>opportunities,</w:t>
            </w:r>
            <w:r w:rsidR="006907EC" w:rsidRPr="00C918BF">
              <w:rPr>
                <w:color w:val="auto"/>
                <w:sz w:val="19"/>
                <w:szCs w:val="19"/>
              </w:rPr>
              <w:t xml:space="preserve"> </w:t>
            </w:r>
            <w:r w:rsidRPr="00C918BF">
              <w:rPr>
                <w:color w:val="auto"/>
                <w:sz w:val="19"/>
                <w:szCs w:val="19"/>
              </w:rPr>
              <w:t>reporting, and zero tolerance</w:t>
            </w:r>
          </w:p>
        </w:tc>
      </w:tr>
      <w:tr w:rsidR="00807215" w:rsidRPr="00C918BF" w14:paraId="33EF42C8" w14:textId="77777777" w:rsidTr="00CD6138">
        <w:tc>
          <w:tcPr>
            <w:tcW w:w="928" w:type="pct"/>
            <w:shd w:val="clear" w:color="auto" w:fill="E2EAEE" w:themeFill="accent5" w:themeFillTint="66"/>
          </w:tcPr>
          <w:p w14:paraId="548370F2" w14:textId="520FBF6A" w:rsidR="00087C92" w:rsidRPr="00C918BF" w:rsidRDefault="00F670E6" w:rsidP="00C31A43">
            <w:pPr>
              <w:spacing w:before="60" w:after="60"/>
              <w:rPr>
                <w:rFonts w:asciiTheme="majorHAnsi" w:hAnsiTheme="majorHAnsi" w:cstheme="majorHAnsi"/>
                <w:b/>
                <w:sz w:val="19"/>
                <w:szCs w:val="19"/>
              </w:rPr>
            </w:pPr>
            <w:r w:rsidRPr="00C918BF">
              <w:rPr>
                <w:rFonts w:asciiTheme="majorHAnsi" w:hAnsiTheme="majorHAnsi" w:cstheme="majorHAnsi"/>
                <w:b/>
                <w:sz w:val="19"/>
                <w:szCs w:val="19"/>
              </w:rPr>
              <w:lastRenderedPageBreak/>
              <w:t xml:space="preserve">Quality </w:t>
            </w:r>
            <w:r w:rsidR="00963E2D" w:rsidRPr="00C918BF">
              <w:rPr>
                <w:rFonts w:asciiTheme="majorHAnsi" w:hAnsiTheme="majorHAnsi" w:cstheme="majorHAnsi"/>
                <w:b/>
                <w:sz w:val="19"/>
                <w:szCs w:val="19"/>
              </w:rPr>
              <w:t>Risk</w:t>
            </w:r>
            <w:r w:rsidRPr="00C918BF">
              <w:rPr>
                <w:rFonts w:asciiTheme="majorHAnsi" w:hAnsiTheme="majorHAnsi" w:cstheme="majorHAnsi"/>
                <w:b/>
                <w:sz w:val="19"/>
                <w:szCs w:val="19"/>
              </w:rPr>
              <w:t xml:space="preserve"> </w:t>
            </w:r>
            <w:r w:rsidR="005F6FC2" w:rsidRPr="00C918BF">
              <w:rPr>
                <w:rFonts w:asciiTheme="majorHAnsi" w:hAnsiTheme="majorHAnsi" w:cstheme="majorHAnsi"/>
                <w:b/>
                <w:sz w:val="19"/>
                <w:szCs w:val="19"/>
              </w:rPr>
              <w:t xml:space="preserve">from </w:t>
            </w:r>
            <w:r w:rsidR="00D722F0" w:rsidRPr="00C918BF">
              <w:rPr>
                <w:rFonts w:asciiTheme="majorHAnsi" w:hAnsiTheme="majorHAnsi" w:cstheme="majorHAnsi"/>
                <w:b/>
                <w:sz w:val="19"/>
                <w:szCs w:val="19"/>
              </w:rPr>
              <w:t xml:space="preserve">Kiribati’s </w:t>
            </w:r>
            <w:r w:rsidR="005F6FC2" w:rsidRPr="00C918BF">
              <w:rPr>
                <w:rFonts w:asciiTheme="majorHAnsi" w:hAnsiTheme="majorHAnsi" w:cstheme="majorHAnsi"/>
                <w:b/>
                <w:sz w:val="19"/>
                <w:szCs w:val="19"/>
              </w:rPr>
              <w:t>isolation and communications</w:t>
            </w:r>
          </w:p>
        </w:tc>
        <w:tc>
          <w:tcPr>
            <w:tcW w:w="1995" w:type="pct"/>
            <w:shd w:val="clear" w:color="auto" w:fill="F0F4F6" w:themeFill="accent5" w:themeFillTint="33"/>
          </w:tcPr>
          <w:p w14:paraId="5190D8EB" w14:textId="77777777" w:rsidR="00087C92" w:rsidRPr="00C918BF" w:rsidRDefault="00D722F0" w:rsidP="00C31A43">
            <w:pPr>
              <w:pStyle w:val="BodyBullets"/>
              <w:spacing w:before="60" w:after="60" w:line="240" w:lineRule="auto"/>
              <w:rPr>
                <w:color w:val="auto"/>
                <w:sz w:val="19"/>
                <w:szCs w:val="19"/>
              </w:rPr>
            </w:pPr>
            <w:r w:rsidRPr="00C918BF">
              <w:rPr>
                <w:color w:val="auto"/>
                <w:sz w:val="19"/>
                <w:szCs w:val="19"/>
              </w:rPr>
              <w:t>Difficult to attract quality staff and retain them, through the relative isolation and logistics</w:t>
            </w:r>
          </w:p>
          <w:p w14:paraId="3CDE8384" w14:textId="77777777" w:rsidR="00D722F0" w:rsidRPr="00C918BF" w:rsidRDefault="00D722F0" w:rsidP="00C31A43">
            <w:pPr>
              <w:pStyle w:val="BodyBullets"/>
              <w:spacing w:before="60" w:after="60" w:line="240" w:lineRule="auto"/>
              <w:rPr>
                <w:color w:val="auto"/>
                <w:sz w:val="19"/>
                <w:szCs w:val="19"/>
              </w:rPr>
            </w:pPr>
            <w:r w:rsidRPr="00C918BF">
              <w:rPr>
                <w:color w:val="auto"/>
                <w:sz w:val="19"/>
                <w:szCs w:val="19"/>
              </w:rPr>
              <w:t xml:space="preserve">Poor communications and internet access severely limit the ability </w:t>
            </w:r>
            <w:r w:rsidR="00F670E6" w:rsidRPr="00C918BF">
              <w:rPr>
                <w:color w:val="auto"/>
                <w:sz w:val="19"/>
                <w:szCs w:val="19"/>
              </w:rPr>
              <w:t xml:space="preserve">for YA </w:t>
            </w:r>
            <w:r w:rsidRPr="00C918BF">
              <w:rPr>
                <w:color w:val="auto"/>
                <w:sz w:val="19"/>
                <w:szCs w:val="19"/>
              </w:rPr>
              <w:t>to communicate home</w:t>
            </w:r>
          </w:p>
          <w:p w14:paraId="3F68381E" w14:textId="77777777" w:rsidR="00D722F0" w:rsidRPr="00C918BF" w:rsidRDefault="00D722F0" w:rsidP="00C31A43">
            <w:pPr>
              <w:pStyle w:val="BodyBullets"/>
              <w:spacing w:before="60" w:after="60" w:line="240" w:lineRule="auto"/>
              <w:rPr>
                <w:color w:val="auto"/>
                <w:sz w:val="19"/>
                <w:szCs w:val="19"/>
              </w:rPr>
            </w:pPr>
            <w:r w:rsidRPr="00C918BF">
              <w:rPr>
                <w:color w:val="auto"/>
                <w:sz w:val="19"/>
                <w:szCs w:val="19"/>
              </w:rPr>
              <w:t>Limited opportunities to maintain professional standards and keep current with peers and colleagues in the larger centres</w:t>
            </w:r>
          </w:p>
        </w:tc>
        <w:tc>
          <w:tcPr>
            <w:tcW w:w="2076" w:type="pct"/>
            <w:shd w:val="clear" w:color="auto" w:fill="F0F4F6" w:themeFill="accent5" w:themeFillTint="33"/>
          </w:tcPr>
          <w:p w14:paraId="1C3DB696" w14:textId="77777777" w:rsidR="00087C92" w:rsidRPr="00C918BF" w:rsidRDefault="007E3BA1" w:rsidP="00C31A43">
            <w:pPr>
              <w:pStyle w:val="BodyBullets"/>
              <w:spacing w:before="60" w:after="60" w:line="240" w:lineRule="auto"/>
              <w:rPr>
                <w:color w:val="auto"/>
                <w:sz w:val="19"/>
                <w:szCs w:val="19"/>
              </w:rPr>
            </w:pPr>
            <w:r w:rsidRPr="00C918BF">
              <w:rPr>
                <w:color w:val="auto"/>
                <w:sz w:val="19"/>
                <w:szCs w:val="19"/>
              </w:rPr>
              <w:t xml:space="preserve">Careful promotion of the available </w:t>
            </w:r>
            <w:r w:rsidR="004D1A21" w:rsidRPr="00C918BF">
              <w:rPr>
                <w:color w:val="auto"/>
                <w:sz w:val="19"/>
                <w:szCs w:val="19"/>
              </w:rPr>
              <w:t xml:space="preserve">KEIP </w:t>
            </w:r>
            <w:r w:rsidRPr="00C918BF">
              <w:rPr>
                <w:color w:val="auto"/>
                <w:sz w:val="19"/>
                <w:szCs w:val="19"/>
              </w:rPr>
              <w:t>positions and selection, so that the most suitable people identified</w:t>
            </w:r>
          </w:p>
          <w:p w14:paraId="06924A40" w14:textId="412F2079" w:rsidR="004D1A21" w:rsidRPr="00C918BF" w:rsidRDefault="00F670E6" w:rsidP="00C31A43">
            <w:pPr>
              <w:pStyle w:val="BodyBullets"/>
              <w:spacing w:before="60" w:after="60" w:line="240" w:lineRule="auto"/>
              <w:rPr>
                <w:color w:val="auto"/>
                <w:sz w:val="19"/>
                <w:szCs w:val="19"/>
              </w:rPr>
            </w:pPr>
            <w:r w:rsidRPr="00C918BF">
              <w:rPr>
                <w:color w:val="auto"/>
                <w:sz w:val="19"/>
                <w:szCs w:val="19"/>
              </w:rPr>
              <w:t>Provide o</w:t>
            </w:r>
            <w:r w:rsidR="004D1A21" w:rsidRPr="00C918BF">
              <w:rPr>
                <w:color w:val="auto"/>
                <w:sz w:val="19"/>
                <w:szCs w:val="19"/>
              </w:rPr>
              <w:t xml:space="preserve">ngoing support and contact to enable concerns or issues to be addressed </w:t>
            </w:r>
          </w:p>
          <w:p w14:paraId="35371DBE" w14:textId="77777777" w:rsidR="004D1A21" w:rsidRPr="00C918BF" w:rsidRDefault="004D1A21" w:rsidP="00C31A43">
            <w:pPr>
              <w:pStyle w:val="BodyBullets"/>
              <w:spacing w:before="60" w:after="60" w:line="240" w:lineRule="auto"/>
              <w:rPr>
                <w:color w:val="auto"/>
                <w:sz w:val="19"/>
                <w:szCs w:val="19"/>
              </w:rPr>
            </w:pPr>
            <w:r w:rsidRPr="00C918BF">
              <w:rPr>
                <w:color w:val="auto"/>
                <w:sz w:val="19"/>
                <w:szCs w:val="19"/>
              </w:rPr>
              <w:t>Providing access to internet and other networking opportunities where possible</w:t>
            </w:r>
          </w:p>
          <w:p w14:paraId="1E7CC71C" w14:textId="77777777" w:rsidR="00F670E6" w:rsidRPr="00C918BF" w:rsidRDefault="00F670E6" w:rsidP="00C31A43">
            <w:pPr>
              <w:pStyle w:val="BodyBullets"/>
              <w:spacing w:before="60" w:after="60" w:line="240" w:lineRule="auto"/>
              <w:rPr>
                <w:color w:val="auto"/>
                <w:sz w:val="19"/>
                <w:szCs w:val="19"/>
              </w:rPr>
            </w:pPr>
            <w:r w:rsidRPr="00C918BF">
              <w:rPr>
                <w:color w:val="auto"/>
                <w:sz w:val="19"/>
                <w:szCs w:val="19"/>
              </w:rPr>
              <w:t>Rapid response to any serious concerns</w:t>
            </w:r>
          </w:p>
        </w:tc>
      </w:tr>
    </w:tbl>
    <w:p w14:paraId="7BF666BF" w14:textId="6906D71C" w:rsidR="007627F4" w:rsidRPr="00DD2CE2" w:rsidRDefault="003A60A5" w:rsidP="00DD2CE2">
      <w:pPr>
        <w:pStyle w:val="Heading1"/>
      </w:pPr>
      <w:bookmarkStart w:id="72" w:name="_Toc453669693"/>
      <w:bookmarkStart w:id="73" w:name="_Toc461615708"/>
      <w:r w:rsidRPr="00DD2CE2">
        <w:t>7</w:t>
      </w:r>
      <w:r w:rsidRPr="00DD2CE2">
        <w:tab/>
      </w:r>
      <w:r w:rsidR="007627F4" w:rsidRPr="00DD2CE2">
        <w:t>Challenges and Lessons Learned</w:t>
      </w:r>
      <w:bookmarkEnd w:id="72"/>
      <w:bookmarkEnd w:id="73"/>
    </w:p>
    <w:p w14:paraId="36D0AFFD" w14:textId="4D47C857" w:rsidR="00B07F6D" w:rsidRPr="0060082A" w:rsidRDefault="00B07F6D" w:rsidP="0060082A">
      <w:pPr>
        <w:rPr>
          <w:rFonts w:asciiTheme="majorHAnsi" w:hAnsiTheme="majorHAnsi" w:cstheme="majorHAnsi"/>
        </w:rPr>
      </w:pPr>
      <w:r w:rsidRPr="0060082A">
        <w:rPr>
          <w:rFonts w:asciiTheme="majorHAnsi" w:hAnsiTheme="majorHAnsi" w:cstheme="majorHAnsi"/>
        </w:rPr>
        <w:t xml:space="preserve">The lessons learned and the implications for KEIP Phase </w:t>
      </w:r>
      <w:r w:rsidR="00837957">
        <w:rPr>
          <w:rFonts w:asciiTheme="majorHAnsi" w:hAnsiTheme="majorHAnsi" w:cstheme="majorHAnsi"/>
        </w:rPr>
        <w:t>3</w:t>
      </w:r>
      <w:r w:rsidR="00A45D19" w:rsidRPr="0060082A">
        <w:rPr>
          <w:rFonts w:asciiTheme="majorHAnsi" w:hAnsiTheme="majorHAnsi" w:cstheme="majorHAnsi"/>
        </w:rPr>
        <w:t xml:space="preserve">, as they relate to the specific elements of implementation, have </w:t>
      </w:r>
      <w:r w:rsidRPr="0060082A">
        <w:rPr>
          <w:rFonts w:asciiTheme="majorHAnsi" w:hAnsiTheme="majorHAnsi" w:cstheme="majorHAnsi"/>
        </w:rPr>
        <w:t>generally</w:t>
      </w:r>
      <w:r w:rsidR="00A45D19" w:rsidRPr="0060082A">
        <w:rPr>
          <w:rFonts w:asciiTheme="majorHAnsi" w:hAnsiTheme="majorHAnsi" w:cstheme="majorHAnsi"/>
        </w:rPr>
        <w:t xml:space="preserve"> been</w:t>
      </w:r>
      <w:r w:rsidRPr="0060082A">
        <w:rPr>
          <w:rFonts w:asciiTheme="majorHAnsi" w:hAnsiTheme="majorHAnsi" w:cstheme="majorHAnsi"/>
        </w:rPr>
        <w:t xml:space="preserve"> included in the body of this completion report.</w:t>
      </w:r>
    </w:p>
    <w:p w14:paraId="7EFC4776" w14:textId="77777777" w:rsidR="008141DE" w:rsidRPr="0060082A" w:rsidRDefault="006E1F14" w:rsidP="00CD6138">
      <w:pPr>
        <w:pStyle w:val="Heading3"/>
      </w:pPr>
      <w:bookmarkStart w:id="74" w:name="_Toc461615709"/>
      <w:r w:rsidRPr="0060082A">
        <w:t xml:space="preserve">Importance of maintaining </w:t>
      </w:r>
      <w:r w:rsidR="008141DE" w:rsidRPr="0060082A">
        <w:t xml:space="preserve">community support for </w:t>
      </w:r>
      <w:r w:rsidRPr="0060082A">
        <w:t xml:space="preserve">basic </w:t>
      </w:r>
      <w:r w:rsidR="008141DE" w:rsidRPr="0060082A">
        <w:t>education reform</w:t>
      </w:r>
      <w:bookmarkEnd w:id="74"/>
    </w:p>
    <w:p w14:paraId="2F4E6FCE" w14:textId="739796FF" w:rsidR="00556B22" w:rsidRPr="0060082A" w:rsidRDefault="006C16F5" w:rsidP="0060082A">
      <w:pPr>
        <w:rPr>
          <w:rFonts w:asciiTheme="majorHAnsi" w:hAnsiTheme="majorHAnsi" w:cstheme="majorHAnsi"/>
          <w:lang w:val="en-US"/>
        </w:rPr>
      </w:pPr>
      <w:r w:rsidRPr="0060082A">
        <w:rPr>
          <w:rFonts w:asciiTheme="majorHAnsi" w:hAnsiTheme="majorHAnsi" w:cstheme="majorHAnsi"/>
        </w:rPr>
        <w:t>E</w:t>
      </w:r>
      <w:r w:rsidR="00D64CF5" w:rsidRPr="0060082A">
        <w:rPr>
          <w:rFonts w:asciiTheme="majorHAnsi" w:hAnsiTheme="majorHAnsi" w:cstheme="majorHAnsi"/>
        </w:rPr>
        <w:t xml:space="preserve">ngagement with the community, in support of a national ESSP strategy, has contributed to improving support and perceptions of basic education as being a valuable part of the lives of </w:t>
      </w:r>
      <w:r w:rsidR="00F557DF" w:rsidRPr="0060082A">
        <w:rPr>
          <w:rFonts w:asciiTheme="majorHAnsi" w:hAnsiTheme="majorHAnsi" w:cstheme="majorHAnsi"/>
        </w:rPr>
        <w:t>I-</w:t>
      </w:r>
      <w:r w:rsidR="00D64CF5" w:rsidRPr="0060082A">
        <w:rPr>
          <w:rFonts w:asciiTheme="majorHAnsi" w:hAnsiTheme="majorHAnsi" w:cstheme="majorHAnsi"/>
        </w:rPr>
        <w:t xml:space="preserve">Kiribati children. </w:t>
      </w:r>
      <w:r w:rsidR="00556B22" w:rsidRPr="0060082A">
        <w:rPr>
          <w:rFonts w:asciiTheme="majorHAnsi" w:hAnsiTheme="majorHAnsi" w:cstheme="majorHAnsi"/>
          <w:lang w:val="en-US"/>
        </w:rPr>
        <w:t>An important lesson learned is the importance of technical support of teaching and learning reform</w:t>
      </w:r>
      <w:r w:rsidR="006E1F14" w:rsidRPr="0060082A">
        <w:rPr>
          <w:rFonts w:asciiTheme="majorHAnsi" w:hAnsiTheme="majorHAnsi" w:cstheme="majorHAnsi"/>
          <w:lang w:val="en-US"/>
        </w:rPr>
        <w:t xml:space="preserve">, as well as </w:t>
      </w:r>
      <w:r w:rsidR="00556B22" w:rsidRPr="0060082A">
        <w:rPr>
          <w:rFonts w:asciiTheme="majorHAnsi" w:hAnsiTheme="majorHAnsi" w:cstheme="majorHAnsi"/>
          <w:lang w:val="en-US"/>
        </w:rPr>
        <w:t>gaining support of s</w:t>
      </w:r>
      <w:r w:rsidR="006E1F14" w:rsidRPr="0060082A">
        <w:rPr>
          <w:rFonts w:asciiTheme="majorHAnsi" w:hAnsiTheme="majorHAnsi" w:cstheme="majorHAnsi"/>
          <w:lang w:val="en-US"/>
        </w:rPr>
        <w:t xml:space="preserve">chool communities </w:t>
      </w:r>
      <w:r w:rsidR="004E104B" w:rsidRPr="0060082A">
        <w:rPr>
          <w:rFonts w:asciiTheme="majorHAnsi" w:hAnsiTheme="majorHAnsi" w:cstheme="majorHAnsi"/>
          <w:lang w:val="en-US"/>
        </w:rPr>
        <w:t xml:space="preserve">for </w:t>
      </w:r>
      <w:r w:rsidR="006E1F14" w:rsidRPr="0060082A">
        <w:rPr>
          <w:rFonts w:asciiTheme="majorHAnsi" w:hAnsiTheme="majorHAnsi" w:cstheme="majorHAnsi"/>
          <w:lang w:val="en-US"/>
        </w:rPr>
        <w:t>the</w:t>
      </w:r>
      <w:r w:rsidR="00556B22" w:rsidRPr="0060082A">
        <w:rPr>
          <w:rFonts w:asciiTheme="majorHAnsi" w:hAnsiTheme="majorHAnsi" w:cstheme="majorHAnsi"/>
          <w:lang w:val="en-US"/>
        </w:rPr>
        <w:t xml:space="preserve"> reforms</w:t>
      </w:r>
      <w:r w:rsidR="004E104B" w:rsidRPr="0060082A">
        <w:rPr>
          <w:rFonts w:asciiTheme="majorHAnsi" w:hAnsiTheme="majorHAnsi" w:cstheme="majorHAnsi"/>
          <w:lang w:val="en-US"/>
        </w:rPr>
        <w:t xml:space="preserve">, so that </w:t>
      </w:r>
      <w:r w:rsidR="00963E2D" w:rsidRPr="0060082A">
        <w:rPr>
          <w:rFonts w:asciiTheme="majorHAnsi" w:hAnsiTheme="majorHAnsi" w:cstheme="majorHAnsi"/>
          <w:lang w:val="en-US"/>
        </w:rPr>
        <w:t>they</w:t>
      </w:r>
      <w:r w:rsidR="004E104B" w:rsidRPr="0060082A">
        <w:rPr>
          <w:rFonts w:asciiTheme="majorHAnsi" w:hAnsiTheme="majorHAnsi" w:cstheme="majorHAnsi"/>
          <w:lang w:val="en-US"/>
        </w:rPr>
        <w:t xml:space="preserve"> are better</w:t>
      </w:r>
      <w:r w:rsidR="00556B22" w:rsidRPr="0060082A">
        <w:rPr>
          <w:rFonts w:asciiTheme="majorHAnsi" w:hAnsiTheme="majorHAnsi" w:cstheme="majorHAnsi"/>
          <w:lang w:val="en-US"/>
        </w:rPr>
        <w:t xml:space="preserve"> </w:t>
      </w:r>
      <w:r w:rsidR="006E1F14" w:rsidRPr="0060082A">
        <w:rPr>
          <w:rFonts w:asciiTheme="majorHAnsi" w:hAnsiTheme="majorHAnsi" w:cstheme="majorHAnsi"/>
          <w:lang w:val="en-US"/>
        </w:rPr>
        <w:t xml:space="preserve">accepted and </w:t>
      </w:r>
      <w:r w:rsidR="00556B22" w:rsidRPr="0060082A">
        <w:rPr>
          <w:rFonts w:asciiTheme="majorHAnsi" w:hAnsiTheme="majorHAnsi" w:cstheme="majorHAnsi"/>
          <w:lang w:val="en-US"/>
        </w:rPr>
        <w:t xml:space="preserve">implemented. In addition to the technical resourcing of school leadership </w:t>
      </w:r>
      <w:r w:rsidR="006E1F14" w:rsidRPr="0060082A">
        <w:rPr>
          <w:rFonts w:asciiTheme="majorHAnsi" w:hAnsiTheme="majorHAnsi" w:cstheme="majorHAnsi"/>
          <w:lang w:val="en-US"/>
        </w:rPr>
        <w:t xml:space="preserve">to drive the reform at school level, </w:t>
      </w:r>
      <w:r w:rsidR="00556B22" w:rsidRPr="0060082A">
        <w:rPr>
          <w:rFonts w:asciiTheme="majorHAnsi" w:hAnsiTheme="majorHAnsi" w:cstheme="majorHAnsi"/>
          <w:lang w:val="en-US"/>
        </w:rPr>
        <w:t xml:space="preserve">there is an ongoing requirement for outreach to </w:t>
      </w:r>
      <w:r w:rsidR="006E1F14" w:rsidRPr="0060082A">
        <w:rPr>
          <w:rFonts w:asciiTheme="majorHAnsi" w:hAnsiTheme="majorHAnsi" w:cstheme="majorHAnsi"/>
          <w:lang w:val="en-US"/>
        </w:rPr>
        <w:t xml:space="preserve">local </w:t>
      </w:r>
      <w:r w:rsidR="00556B22" w:rsidRPr="0060082A">
        <w:rPr>
          <w:rFonts w:asciiTheme="majorHAnsi" w:hAnsiTheme="majorHAnsi" w:cstheme="majorHAnsi"/>
          <w:lang w:val="en-US"/>
        </w:rPr>
        <w:t xml:space="preserve">communities on the rationale of </w:t>
      </w:r>
      <w:r w:rsidR="006E1F14" w:rsidRPr="0060082A">
        <w:rPr>
          <w:rFonts w:asciiTheme="majorHAnsi" w:hAnsiTheme="majorHAnsi" w:cstheme="majorHAnsi"/>
          <w:lang w:val="en-US"/>
        </w:rPr>
        <w:t xml:space="preserve">the </w:t>
      </w:r>
      <w:r w:rsidR="00556B22" w:rsidRPr="0060082A">
        <w:rPr>
          <w:rFonts w:asciiTheme="majorHAnsi" w:hAnsiTheme="majorHAnsi" w:cstheme="majorHAnsi"/>
          <w:lang w:val="en-US"/>
        </w:rPr>
        <w:t>reforms. A</w:t>
      </w:r>
      <w:r w:rsidRPr="0060082A">
        <w:rPr>
          <w:rFonts w:asciiTheme="majorHAnsi" w:hAnsiTheme="majorHAnsi" w:cstheme="majorHAnsi"/>
          <w:lang w:val="en-US"/>
        </w:rPr>
        <w:t xml:space="preserve"> positive reception of</w:t>
      </w:r>
      <w:r w:rsidR="00556B22" w:rsidRPr="0060082A">
        <w:rPr>
          <w:rFonts w:asciiTheme="majorHAnsi" w:hAnsiTheme="majorHAnsi" w:cstheme="majorHAnsi"/>
          <w:lang w:val="en-US"/>
        </w:rPr>
        <w:t xml:space="preserve"> </w:t>
      </w:r>
      <w:r w:rsidR="006E1F14" w:rsidRPr="0060082A">
        <w:rPr>
          <w:rFonts w:asciiTheme="majorHAnsi" w:hAnsiTheme="majorHAnsi" w:cstheme="majorHAnsi"/>
          <w:lang w:val="en-US"/>
        </w:rPr>
        <w:t xml:space="preserve">education </w:t>
      </w:r>
      <w:r w:rsidR="00556B22" w:rsidRPr="0060082A">
        <w:rPr>
          <w:rFonts w:asciiTheme="majorHAnsi" w:hAnsiTheme="majorHAnsi" w:cstheme="majorHAnsi"/>
          <w:lang w:val="en-US"/>
        </w:rPr>
        <w:t>reforms by school communities is vital</w:t>
      </w:r>
      <w:r w:rsidR="006E1F14" w:rsidRPr="0060082A">
        <w:rPr>
          <w:rFonts w:asciiTheme="majorHAnsi" w:hAnsiTheme="majorHAnsi" w:cstheme="majorHAnsi"/>
          <w:lang w:val="en-US"/>
        </w:rPr>
        <w:t>, for example</w:t>
      </w:r>
      <w:r w:rsidR="00F557DF" w:rsidRPr="0060082A">
        <w:rPr>
          <w:rFonts w:asciiTheme="majorHAnsi" w:hAnsiTheme="majorHAnsi" w:cstheme="majorHAnsi"/>
          <w:lang w:val="en-US"/>
        </w:rPr>
        <w:t>,</w:t>
      </w:r>
      <w:r w:rsidR="00556B22" w:rsidRPr="0060082A">
        <w:rPr>
          <w:rFonts w:asciiTheme="majorHAnsi" w:hAnsiTheme="majorHAnsi" w:cstheme="majorHAnsi"/>
          <w:lang w:val="en-US"/>
        </w:rPr>
        <w:t xml:space="preserve"> the language policy adoption of mother tongue in the first grades, a source of confusion in some communities. </w:t>
      </w:r>
    </w:p>
    <w:p w14:paraId="6F240813" w14:textId="5DDE2790" w:rsidR="00556B22" w:rsidRPr="0060082A" w:rsidRDefault="00556B22" w:rsidP="0060082A">
      <w:pPr>
        <w:rPr>
          <w:rFonts w:asciiTheme="majorHAnsi" w:hAnsiTheme="majorHAnsi" w:cstheme="majorHAnsi"/>
        </w:rPr>
      </w:pPr>
      <w:r w:rsidRPr="0060082A">
        <w:rPr>
          <w:rFonts w:asciiTheme="majorHAnsi" w:hAnsiTheme="majorHAnsi" w:cstheme="majorHAnsi"/>
        </w:rPr>
        <w:t xml:space="preserve">In KEIP Phase </w:t>
      </w:r>
      <w:r w:rsidR="00837957">
        <w:rPr>
          <w:rFonts w:asciiTheme="majorHAnsi" w:hAnsiTheme="majorHAnsi" w:cstheme="majorHAnsi"/>
        </w:rPr>
        <w:t>3</w:t>
      </w:r>
      <w:r w:rsidRPr="0060082A">
        <w:rPr>
          <w:rFonts w:asciiTheme="majorHAnsi" w:hAnsiTheme="majorHAnsi" w:cstheme="majorHAnsi"/>
        </w:rPr>
        <w:t xml:space="preserve"> </w:t>
      </w:r>
      <w:r w:rsidR="00240A04" w:rsidRPr="0060082A">
        <w:rPr>
          <w:rFonts w:asciiTheme="majorHAnsi" w:hAnsiTheme="majorHAnsi" w:cstheme="majorHAnsi"/>
        </w:rPr>
        <w:t>it will be</w:t>
      </w:r>
      <w:r w:rsidRPr="0060082A">
        <w:rPr>
          <w:rFonts w:asciiTheme="majorHAnsi" w:hAnsiTheme="majorHAnsi" w:cstheme="majorHAnsi"/>
        </w:rPr>
        <w:t xml:space="preserve"> imperative to develop </w:t>
      </w:r>
      <w:r w:rsidR="006E1F14" w:rsidRPr="0060082A">
        <w:rPr>
          <w:rFonts w:asciiTheme="majorHAnsi" w:hAnsiTheme="majorHAnsi" w:cstheme="majorHAnsi"/>
        </w:rPr>
        <w:t xml:space="preserve">the local school </w:t>
      </w:r>
      <w:r w:rsidRPr="0060082A">
        <w:rPr>
          <w:rFonts w:asciiTheme="majorHAnsi" w:hAnsiTheme="majorHAnsi" w:cstheme="majorHAnsi"/>
        </w:rPr>
        <w:t>communit</w:t>
      </w:r>
      <w:r w:rsidR="006E1F14" w:rsidRPr="0060082A">
        <w:rPr>
          <w:rFonts w:asciiTheme="majorHAnsi" w:hAnsiTheme="majorHAnsi" w:cstheme="majorHAnsi"/>
        </w:rPr>
        <w:t>y</w:t>
      </w:r>
      <w:r w:rsidRPr="0060082A">
        <w:rPr>
          <w:rFonts w:asciiTheme="majorHAnsi" w:hAnsiTheme="majorHAnsi" w:cstheme="majorHAnsi"/>
        </w:rPr>
        <w:t>'</w:t>
      </w:r>
      <w:r w:rsidR="006E1F14" w:rsidRPr="0060082A">
        <w:rPr>
          <w:rFonts w:asciiTheme="majorHAnsi" w:hAnsiTheme="majorHAnsi" w:cstheme="majorHAnsi"/>
        </w:rPr>
        <w:t>s</w:t>
      </w:r>
      <w:r w:rsidRPr="0060082A">
        <w:rPr>
          <w:rFonts w:asciiTheme="majorHAnsi" w:hAnsiTheme="majorHAnsi" w:cstheme="majorHAnsi"/>
        </w:rPr>
        <w:t xml:space="preserve"> understanding of the purpose </w:t>
      </w:r>
      <w:r w:rsidR="006E1F14" w:rsidRPr="0060082A">
        <w:rPr>
          <w:rFonts w:asciiTheme="majorHAnsi" w:hAnsiTheme="majorHAnsi" w:cstheme="majorHAnsi"/>
        </w:rPr>
        <w:t>and advantages of JSS reforms;</w:t>
      </w:r>
      <w:r w:rsidRPr="0060082A">
        <w:rPr>
          <w:rFonts w:asciiTheme="majorHAnsi" w:hAnsiTheme="majorHAnsi" w:cstheme="majorHAnsi"/>
        </w:rPr>
        <w:t xml:space="preserve"> the Inclusive Education policy in regard to disability inclusion</w:t>
      </w:r>
      <w:r w:rsidR="006E1F14" w:rsidRPr="0060082A">
        <w:rPr>
          <w:rFonts w:asciiTheme="majorHAnsi" w:hAnsiTheme="majorHAnsi" w:cstheme="majorHAnsi"/>
        </w:rPr>
        <w:t>;</w:t>
      </w:r>
      <w:r w:rsidRPr="0060082A">
        <w:rPr>
          <w:rFonts w:asciiTheme="majorHAnsi" w:hAnsiTheme="majorHAnsi" w:cstheme="majorHAnsi"/>
        </w:rPr>
        <w:t xml:space="preserve"> and also the School Wellbeing policy in relation to encouraging respectful gender relationships.</w:t>
      </w:r>
      <w:r w:rsidR="006E1F14" w:rsidRPr="0060082A">
        <w:rPr>
          <w:rFonts w:asciiTheme="majorHAnsi" w:hAnsiTheme="majorHAnsi" w:cstheme="majorHAnsi"/>
        </w:rPr>
        <w:t xml:space="preserve"> There will be an ongoing priority for </w:t>
      </w:r>
      <w:r w:rsidRPr="0060082A">
        <w:rPr>
          <w:rFonts w:asciiTheme="majorHAnsi" w:hAnsiTheme="majorHAnsi" w:cstheme="majorHAnsi"/>
        </w:rPr>
        <w:t>leadership from the community</w:t>
      </w:r>
      <w:r w:rsidR="006E1F14" w:rsidRPr="0060082A">
        <w:rPr>
          <w:rFonts w:asciiTheme="majorHAnsi" w:hAnsiTheme="majorHAnsi" w:cstheme="majorHAnsi"/>
        </w:rPr>
        <w:t xml:space="preserve">, </w:t>
      </w:r>
      <w:r w:rsidRPr="0060082A">
        <w:rPr>
          <w:rFonts w:asciiTheme="majorHAnsi" w:hAnsiTheme="majorHAnsi" w:cstheme="majorHAnsi"/>
        </w:rPr>
        <w:t>including community-based NGOs such as</w:t>
      </w:r>
      <w:r w:rsidRPr="0060082A">
        <w:rPr>
          <w:rFonts w:asciiTheme="majorHAnsi" w:hAnsiTheme="majorHAnsi" w:cstheme="majorHAnsi"/>
          <w:i/>
        </w:rPr>
        <w:t xml:space="preserve"> Live and Learn</w:t>
      </w:r>
      <w:r w:rsidR="006E1F14" w:rsidRPr="0060082A">
        <w:rPr>
          <w:rFonts w:asciiTheme="majorHAnsi" w:hAnsiTheme="majorHAnsi" w:cstheme="majorHAnsi"/>
          <w:i/>
        </w:rPr>
        <w:t xml:space="preserve">, who </w:t>
      </w:r>
      <w:r w:rsidRPr="0060082A">
        <w:rPr>
          <w:rFonts w:asciiTheme="majorHAnsi" w:hAnsiTheme="majorHAnsi" w:cstheme="majorHAnsi"/>
        </w:rPr>
        <w:t xml:space="preserve">will be central for giving shape and impetus for a curriculum integrated with improvement of the communities' quality of life. Engagement of leaders from Kiribati's Disabled People's Organisation will also be </w:t>
      </w:r>
      <w:r w:rsidR="006E1F14" w:rsidRPr="0060082A">
        <w:rPr>
          <w:rFonts w:asciiTheme="majorHAnsi" w:hAnsiTheme="majorHAnsi" w:cstheme="majorHAnsi"/>
        </w:rPr>
        <w:t>important</w:t>
      </w:r>
      <w:r w:rsidRPr="0060082A">
        <w:rPr>
          <w:rFonts w:asciiTheme="majorHAnsi" w:hAnsiTheme="majorHAnsi" w:cstheme="majorHAnsi"/>
        </w:rPr>
        <w:t xml:space="preserve"> </w:t>
      </w:r>
      <w:r w:rsidR="00D64CF5" w:rsidRPr="0060082A">
        <w:rPr>
          <w:rFonts w:asciiTheme="majorHAnsi" w:hAnsiTheme="majorHAnsi" w:cstheme="majorHAnsi"/>
        </w:rPr>
        <w:t xml:space="preserve">for </w:t>
      </w:r>
      <w:r w:rsidRPr="0060082A">
        <w:rPr>
          <w:rFonts w:asciiTheme="majorHAnsi" w:hAnsiTheme="majorHAnsi" w:cstheme="majorHAnsi"/>
        </w:rPr>
        <w:t xml:space="preserve">engaging </w:t>
      </w:r>
      <w:r w:rsidR="00D64CF5" w:rsidRPr="0060082A">
        <w:rPr>
          <w:rFonts w:asciiTheme="majorHAnsi" w:hAnsiTheme="majorHAnsi" w:cstheme="majorHAnsi"/>
        </w:rPr>
        <w:t>community</w:t>
      </w:r>
      <w:r w:rsidRPr="0060082A">
        <w:rPr>
          <w:rFonts w:asciiTheme="majorHAnsi" w:hAnsiTheme="majorHAnsi" w:cstheme="majorHAnsi"/>
        </w:rPr>
        <w:t xml:space="preserve"> support for educational provision for children with disabilities. </w:t>
      </w:r>
    </w:p>
    <w:p w14:paraId="5456C3BA" w14:textId="45DAA97E" w:rsidR="00D64CF5" w:rsidRPr="0060082A" w:rsidRDefault="00D64CF5" w:rsidP="0060082A">
      <w:pPr>
        <w:rPr>
          <w:rFonts w:asciiTheme="majorHAnsi" w:hAnsiTheme="majorHAnsi" w:cstheme="majorHAnsi"/>
        </w:rPr>
      </w:pPr>
      <w:r w:rsidRPr="0060082A">
        <w:rPr>
          <w:rFonts w:asciiTheme="majorHAnsi" w:hAnsiTheme="majorHAnsi" w:cstheme="majorHAnsi"/>
        </w:rPr>
        <w:t>Another important lesso</w:t>
      </w:r>
      <w:r w:rsidR="006C16F5" w:rsidRPr="0060082A">
        <w:rPr>
          <w:rFonts w:asciiTheme="majorHAnsi" w:hAnsiTheme="majorHAnsi" w:cstheme="majorHAnsi"/>
        </w:rPr>
        <w:t>n is that</w:t>
      </w:r>
      <w:r w:rsidRPr="0060082A">
        <w:rPr>
          <w:rFonts w:asciiTheme="majorHAnsi" w:hAnsiTheme="majorHAnsi" w:cstheme="majorHAnsi"/>
        </w:rPr>
        <w:t xml:space="preserve"> I-Kiribati are an oral society, so relying solely on documentation and written reports to provide information and perspectives is not the ideal option to gain understanding and agreement. There remains the need to advocate and explain the change management process through advocates and leaders, part of improving school learning conditions, expectations, parental commitment and ultimately the results of their students in their schools.</w:t>
      </w:r>
    </w:p>
    <w:p w14:paraId="1F9F961B" w14:textId="51DAE59B" w:rsidR="008141DE" w:rsidRPr="0060082A" w:rsidRDefault="008141DE" w:rsidP="00CD6138">
      <w:pPr>
        <w:pStyle w:val="Heading3"/>
      </w:pPr>
      <w:bookmarkStart w:id="75" w:name="_Toc461615710"/>
      <w:r w:rsidRPr="0060082A">
        <w:t>Coordination with other stakeholders in the sector</w:t>
      </w:r>
      <w:r w:rsidR="00020215" w:rsidRPr="0060082A">
        <w:t>, including through EPiK</w:t>
      </w:r>
      <w:bookmarkEnd w:id="75"/>
    </w:p>
    <w:p w14:paraId="70A52EB2" w14:textId="63CEC274" w:rsidR="006C16F5" w:rsidRPr="0060082A" w:rsidRDefault="00666B0E" w:rsidP="0060082A">
      <w:pPr>
        <w:rPr>
          <w:rFonts w:asciiTheme="majorHAnsi" w:hAnsiTheme="majorHAnsi" w:cstheme="majorHAnsi"/>
        </w:rPr>
      </w:pPr>
      <w:r w:rsidRPr="0060082A">
        <w:rPr>
          <w:rFonts w:asciiTheme="majorHAnsi" w:hAnsiTheme="majorHAnsi" w:cstheme="majorHAnsi"/>
        </w:rPr>
        <w:t>There are several donors and UN agencies active in Kiribati’s basic education sector, as well as NGOs and private secondary schools (normally delivered through faith-based organisations). Several agencies are involved in health and sanitation at schools (including WASH), in supporting opportunities for children with disabilities; and in promoting curriculum change and respectful relationships in school communities. There is a risk that the parallel activities of other support</w:t>
      </w:r>
      <w:r w:rsidR="00F12E0B" w:rsidRPr="0060082A">
        <w:rPr>
          <w:rFonts w:asciiTheme="majorHAnsi" w:hAnsiTheme="majorHAnsi" w:cstheme="majorHAnsi"/>
        </w:rPr>
        <w:t>ers</w:t>
      </w:r>
      <w:r w:rsidRPr="0060082A">
        <w:rPr>
          <w:rFonts w:asciiTheme="majorHAnsi" w:hAnsiTheme="majorHAnsi" w:cstheme="majorHAnsi"/>
        </w:rPr>
        <w:t xml:space="preserve"> of MoE and of basic education could lead to duplication of effort or alternate approaches to the same priority or problem.</w:t>
      </w:r>
      <w:r w:rsidR="00612FB4" w:rsidRPr="0060082A">
        <w:rPr>
          <w:rFonts w:asciiTheme="majorHAnsi" w:hAnsiTheme="majorHAnsi" w:cstheme="majorHAnsi"/>
        </w:rPr>
        <w:t xml:space="preserve"> </w:t>
      </w:r>
    </w:p>
    <w:p w14:paraId="616F8869" w14:textId="4DA7C0B8" w:rsidR="001020DB" w:rsidRPr="0060082A" w:rsidRDefault="001020DB" w:rsidP="0060082A">
      <w:pPr>
        <w:rPr>
          <w:rFonts w:asciiTheme="majorHAnsi" w:hAnsiTheme="majorHAnsi" w:cstheme="majorHAnsi"/>
        </w:rPr>
      </w:pPr>
      <w:r w:rsidRPr="0060082A">
        <w:rPr>
          <w:rFonts w:asciiTheme="majorHAnsi" w:hAnsiTheme="majorHAnsi" w:cstheme="majorHAnsi"/>
        </w:rPr>
        <w:t xml:space="preserve">The </w:t>
      </w:r>
      <w:r w:rsidR="00020215" w:rsidRPr="0060082A">
        <w:rPr>
          <w:rFonts w:asciiTheme="majorHAnsi" w:hAnsiTheme="majorHAnsi" w:cstheme="majorHAnsi"/>
        </w:rPr>
        <w:t>Education Partners in Kiribati (</w:t>
      </w:r>
      <w:r w:rsidRPr="0060082A">
        <w:rPr>
          <w:rFonts w:asciiTheme="majorHAnsi" w:hAnsiTheme="majorHAnsi" w:cstheme="majorHAnsi"/>
        </w:rPr>
        <w:t>EPiK</w:t>
      </w:r>
      <w:r w:rsidR="00020215" w:rsidRPr="0060082A">
        <w:rPr>
          <w:rFonts w:asciiTheme="majorHAnsi" w:hAnsiTheme="majorHAnsi" w:cstheme="majorHAnsi"/>
        </w:rPr>
        <w:t>)</w:t>
      </w:r>
      <w:r w:rsidRPr="0060082A">
        <w:rPr>
          <w:rFonts w:asciiTheme="majorHAnsi" w:hAnsiTheme="majorHAnsi" w:cstheme="majorHAnsi"/>
        </w:rPr>
        <w:t xml:space="preserve"> </w:t>
      </w:r>
      <w:r w:rsidR="00020215" w:rsidRPr="0060082A">
        <w:rPr>
          <w:rFonts w:asciiTheme="majorHAnsi" w:hAnsiTheme="majorHAnsi" w:cstheme="majorHAnsi"/>
        </w:rPr>
        <w:t xml:space="preserve">has </w:t>
      </w:r>
      <w:r w:rsidR="002F41F8" w:rsidRPr="0060082A">
        <w:rPr>
          <w:rFonts w:asciiTheme="majorHAnsi" w:hAnsiTheme="majorHAnsi" w:cstheme="majorHAnsi"/>
        </w:rPr>
        <w:t>played</w:t>
      </w:r>
      <w:r w:rsidRPr="0060082A">
        <w:rPr>
          <w:rFonts w:asciiTheme="majorHAnsi" w:hAnsiTheme="majorHAnsi" w:cstheme="majorHAnsi"/>
        </w:rPr>
        <w:t xml:space="preserve"> a</w:t>
      </w:r>
      <w:r w:rsidR="00AB7379" w:rsidRPr="0060082A">
        <w:rPr>
          <w:rFonts w:asciiTheme="majorHAnsi" w:hAnsiTheme="majorHAnsi" w:cstheme="majorHAnsi"/>
        </w:rPr>
        <w:t>n important</w:t>
      </w:r>
      <w:r w:rsidR="00A82C90" w:rsidRPr="0060082A">
        <w:rPr>
          <w:rFonts w:asciiTheme="majorHAnsi" w:hAnsiTheme="majorHAnsi" w:cstheme="majorHAnsi"/>
        </w:rPr>
        <w:t xml:space="preserve"> </w:t>
      </w:r>
      <w:r w:rsidRPr="0060082A">
        <w:rPr>
          <w:rFonts w:asciiTheme="majorHAnsi" w:hAnsiTheme="majorHAnsi" w:cstheme="majorHAnsi"/>
        </w:rPr>
        <w:t xml:space="preserve">role for the MoE to coordinate donor funding efficiently across the sector, promote accountability, sharing information across government, stakeholders and </w:t>
      </w:r>
      <w:r w:rsidR="00020215" w:rsidRPr="0060082A">
        <w:rPr>
          <w:rFonts w:asciiTheme="majorHAnsi" w:hAnsiTheme="majorHAnsi" w:cstheme="majorHAnsi"/>
        </w:rPr>
        <w:t xml:space="preserve">with the </w:t>
      </w:r>
      <w:r w:rsidRPr="0060082A">
        <w:rPr>
          <w:rFonts w:asciiTheme="majorHAnsi" w:hAnsiTheme="majorHAnsi" w:cstheme="majorHAnsi"/>
        </w:rPr>
        <w:t xml:space="preserve">development partners, </w:t>
      </w:r>
      <w:r w:rsidR="00020215" w:rsidRPr="0060082A">
        <w:rPr>
          <w:rFonts w:asciiTheme="majorHAnsi" w:hAnsiTheme="majorHAnsi" w:cstheme="majorHAnsi"/>
        </w:rPr>
        <w:t xml:space="preserve">including </w:t>
      </w:r>
      <w:r w:rsidRPr="0060082A">
        <w:rPr>
          <w:rFonts w:asciiTheme="majorHAnsi" w:hAnsiTheme="majorHAnsi" w:cstheme="majorHAnsi"/>
        </w:rPr>
        <w:t xml:space="preserve">monitoring against the ESSP progress and achievements. </w:t>
      </w:r>
      <w:r w:rsidR="002F41F8" w:rsidRPr="0060082A">
        <w:rPr>
          <w:rFonts w:asciiTheme="majorHAnsi" w:hAnsiTheme="majorHAnsi" w:cstheme="majorHAnsi"/>
        </w:rPr>
        <w:t xml:space="preserve">There </w:t>
      </w:r>
      <w:r w:rsidR="00020215" w:rsidRPr="0060082A">
        <w:rPr>
          <w:rFonts w:asciiTheme="majorHAnsi" w:hAnsiTheme="majorHAnsi" w:cstheme="majorHAnsi"/>
        </w:rPr>
        <w:t>may be scope</w:t>
      </w:r>
      <w:r w:rsidR="00A82C90" w:rsidRPr="0060082A">
        <w:rPr>
          <w:rFonts w:asciiTheme="majorHAnsi" w:hAnsiTheme="majorHAnsi" w:cstheme="majorHAnsi"/>
        </w:rPr>
        <w:t xml:space="preserve"> </w:t>
      </w:r>
      <w:r w:rsidR="00020215" w:rsidRPr="0060082A">
        <w:rPr>
          <w:rFonts w:asciiTheme="majorHAnsi" w:hAnsiTheme="majorHAnsi" w:cstheme="majorHAnsi"/>
        </w:rPr>
        <w:t>for MoE</w:t>
      </w:r>
      <w:r w:rsidR="00A82C90" w:rsidRPr="0060082A">
        <w:rPr>
          <w:rFonts w:asciiTheme="majorHAnsi" w:hAnsiTheme="majorHAnsi" w:cstheme="majorHAnsi"/>
        </w:rPr>
        <w:t xml:space="preserve"> </w:t>
      </w:r>
      <w:r w:rsidR="002F41F8" w:rsidRPr="0060082A">
        <w:rPr>
          <w:rFonts w:asciiTheme="majorHAnsi" w:hAnsiTheme="majorHAnsi" w:cstheme="majorHAnsi"/>
        </w:rPr>
        <w:t xml:space="preserve">to expand </w:t>
      </w:r>
      <w:r w:rsidR="00AB7379" w:rsidRPr="0060082A">
        <w:rPr>
          <w:rFonts w:asciiTheme="majorHAnsi" w:hAnsiTheme="majorHAnsi" w:cstheme="majorHAnsi"/>
        </w:rPr>
        <w:t xml:space="preserve">or amend </w:t>
      </w:r>
      <w:r w:rsidR="002F41F8" w:rsidRPr="0060082A">
        <w:rPr>
          <w:rFonts w:asciiTheme="majorHAnsi" w:hAnsiTheme="majorHAnsi" w:cstheme="majorHAnsi"/>
        </w:rPr>
        <w:t>the membership and role of this forum over</w:t>
      </w:r>
      <w:r w:rsidR="00AB7379" w:rsidRPr="0060082A">
        <w:rPr>
          <w:rFonts w:asciiTheme="majorHAnsi" w:hAnsiTheme="majorHAnsi" w:cstheme="majorHAnsi"/>
        </w:rPr>
        <w:t xml:space="preserve"> </w:t>
      </w:r>
      <w:r w:rsidR="002F41F8" w:rsidRPr="0060082A">
        <w:rPr>
          <w:rFonts w:asciiTheme="majorHAnsi" w:hAnsiTheme="majorHAnsi" w:cstheme="majorHAnsi"/>
        </w:rPr>
        <w:t>time</w:t>
      </w:r>
      <w:r w:rsidR="00AB7379" w:rsidRPr="0060082A">
        <w:rPr>
          <w:rFonts w:asciiTheme="majorHAnsi" w:hAnsiTheme="majorHAnsi" w:cstheme="majorHAnsi"/>
        </w:rPr>
        <w:t xml:space="preserve">, as part of the evolution of the </w:t>
      </w:r>
      <w:r w:rsidR="00020215" w:rsidRPr="0060082A">
        <w:rPr>
          <w:rFonts w:asciiTheme="majorHAnsi" w:hAnsiTheme="majorHAnsi" w:cstheme="majorHAnsi"/>
        </w:rPr>
        <w:t xml:space="preserve">Kiribati </w:t>
      </w:r>
      <w:r w:rsidR="00AB7379" w:rsidRPr="0060082A">
        <w:rPr>
          <w:rFonts w:asciiTheme="majorHAnsi" w:hAnsiTheme="majorHAnsi" w:cstheme="majorHAnsi"/>
        </w:rPr>
        <w:t>education sector</w:t>
      </w:r>
      <w:r w:rsidR="00020215" w:rsidRPr="0060082A">
        <w:rPr>
          <w:rFonts w:asciiTheme="majorHAnsi" w:hAnsiTheme="majorHAnsi" w:cstheme="majorHAnsi"/>
        </w:rPr>
        <w:t xml:space="preserve">. This includes </w:t>
      </w:r>
      <w:r w:rsidR="00AB7379" w:rsidRPr="0060082A">
        <w:rPr>
          <w:rFonts w:asciiTheme="majorHAnsi" w:hAnsiTheme="majorHAnsi" w:cstheme="majorHAnsi"/>
        </w:rPr>
        <w:t xml:space="preserve">the option to extend </w:t>
      </w:r>
      <w:r w:rsidR="00AB7379" w:rsidRPr="0060082A">
        <w:rPr>
          <w:rFonts w:asciiTheme="majorHAnsi" w:hAnsiTheme="majorHAnsi" w:cstheme="majorHAnsi"/>
        </w:rPr>
        <w:lastRenderedPageBreak/>
        <w:t xml:space="preserve">beyond basic education </w:t>
      </w:r>
      <w:r w:rsidR="00020215" w:rsidRPr="0060082A">
        <w:rPr>
          <w:rFonts w:asciiTheme="majorHAnsi" w:hAnsiTheme="majorHAnsi" w:cstheme="majorHAnsi"/>
        </w:rPr>
        <w:t>or (</w:t>
      </w:r>
      <w:r w:rsidR="00AB7379" w:rsidRPr="0060082A">
        <w:rPr>
          <w:rFonts w:asciiTheme="majorHAnsi" w:hAnsiTheme="majorHAnsi" w:cstheme="majorHAnsi"/>
        </w:rPr>
        <w:t>as other donors become engaged</w:t>
      </w:r>
      <w:r w:rsidR="00020215" w:rsidRPr="0060082A">
        <w:rPr>
          <w:rFonts w:asciiTheme="majorHAnsi" w:hAnsiTheme="majorHAnsi" w:cstheme="majorHAnsi"/>
        </w:rPr>
        <w:t xml:space="preserve">) to include stakeholders that each </w:t>
      </w:r>
      <w:r w:rsidR="00AB7379" w:rsidRPr="0060082A">
        <w:rPr>
          <w:rFonts w:asciiTheme="majorHAnsi" w:hAnsiTheme="majorHAnsi" w:cstheme="majorHAnsi"/>
        </w:rPr>
        <w:t xml:space="preserve">support MoE and </w:t>
      </w:r>
      <w:r w:rsidR="00020215" w:rsidRPr="0060082A">
        <w:rPr>
          <w:rFonts w:asciiTheme="majorHAnsi" w:hAnsiTheme="majorHAnsi" w:cstheme="majorHAnsi"/>
        </w:rPr>
        <w:t xml:space="preserve">the delivery of education in </w:t>
      </w:r>
      <w:r w:rsidR="00AB7379" w:rsidRPr="0060082A">
        <w:rPr>
          <w:rFonts w:asciiTheme="majorHAnsi" w:hAnsiTheme="majorHAnsi" w:cstheme="majorHAnsi"/>
        </w:rPr>
        <w:t>Kiribati</w:t>
      </w:r>
      <w:r w:rsidR="002F41F8" w:rsidRPr="0060082A">
        <w:rPr>
          <w:rFonts w:asciiTheme="majorHAnsi" w:hAnsiTheme="majorHAnsi" w:cstheme="majorHAnsi"/>
        </w:rPr>
        <w:t>.</w:t>
      </w:r>
    </w:p>
    <w:p w14:paraId="484E53FD" w14:textId="2ECCB098" w:rsidR="00B07F6D" w:rsidRPr="0060082A" w:rsidRDefault="00666B0E" w:rsidP="0060082A">
      <w:pPr>
        <w:rPr>
          <w:rFonts w:asciiTheme="majorHAnsi" w:hAnsiTheme="majorHAnsi" w:cstheme="majorHAnsi"/>
        </w:rPr>
      </w:pPr>
      <w:r w:rsidRPr="0060082A">
        <w:rPr>
          <w:rFonts w:asciiTheme="majorHAnsi" w:hAnsiTheme="majorHAnsi" w:cstheme="majorHAnsi"/>
        </w:rPr>
        <w:t xml:space="preserve">A lesson from KEIP Phase </w:t>
      </w:r>
      <w:r w:rsidR="000A49FE">
        <w:rPr>
          <w:rFonts w:asciiTheme="majorHAnsi" w:hAnsiTheme="majorHAnsi" w:cstheme="majorHAnsi"/>
        </w:rPr>
        <w:t>2</w:t>
      </w:r>
      <w:r w:rsidRPr="0060082A">
        <w:rPr>
          <w:rFonts w:asciiTheme="majorHAnsi" w:hAnsiTheme="majorHAnsi" w:cstheme="majorHAnsi"/>
        </w:rPr>
        <w:t xml:space="preserve"> is that the </w:t>
      </w:r>
      <w:r w:rsidR="00B07F6D" w:rsidRPr="0060082A">
        <w:rPr>
          <w:rFonts w:asciiTheme="majorHAnsi" w:hAnsiTheme="majorHAnsi" w:cstheme="majorHAnsi"/>
        </w:rPr>
        <w:t xml:space="preserve">KEF staff (working with </w:t>
      </w:r>
      <w:r w:rsidR="00A27114" w:rsidRPr="0060082A">
        <w:rPr>
          <w:rFonts w:asciiTheme="majorHAnsi" w:hAnsiTheme="majorHAnsi" w:cstheme="majorHAnsi"/>
        </w:rPr>
        <w:t>MoE</w:t>
      </w:r>
      <w:r w:rsidR="00B07F6D" w:rsidRPr="0060082A">
        <w:rPr>
          <w:rFonts w:asciiTheme="majorHAnsi" w:hAnsiTheme="majorHAnsi" w:cstheme="majorHAnsi"/>
        </w:rPr>
        <w:t xml:space="preserve"> and DFAT) </w:t>
      </w:r>
      <w:r w:rsidR="007E03CA" w:rsidRPr="0060082A">
        <w:rPr>
          <w:rFonts w:asciiTheme="majorHAnsi" w:hAnsiTheme="majorHAnsi" w:cstheme="majorHAnsi"/>
        </w:rPr>
        <w:t>must continue</w:t>
      </w:r>
      <w:r w:rsidR="00B07F6D" w:rsidRPr="0060082A">
        <w:rPr>
          <w:rFonts w:asciiTheme="majorHAnsi" w:hAnsiTheme="majorHAnsi" w:cstheme="majorHAnsi"/>
        </w:rPr>
        <w:t xml:space="preserve"> to </w:t>
      </w:r>
      <w:r w:rsidRPr="0060082A">
        <w:rPr>
          <w:rFonts w:asciiTheme="majorHAnsi" w:hAnsiTheme="majorHAnsi" w:cstheme="majorHAnsi"/>
        </w:rPr>
        <w:t xml:space="preserve">maintain contact with and (as appropriate) to </w:t>
      </w:r>
      <w:r w:rsidR="00B07F6D" w:rsidRPr="0060082A">
        <w:rPr>
          <w:rFonts w:asciiTheme="majorHAnsi" w:hAnsiTheme="majorHAnsi" w:cstheme="majorHAnsi"/>
        </w:rPr>
        <w:t>cooperate with other stakeholders</w:t>
      </w:r>
      <w:r w:rsidRPr="0060082A">
        <w:rPr>
          <w:rFonts w:asciiTheme="majorHAnsi" w:hAnsiTheme="majorHAnsi" w:cstheme="majorHAnsi"/>
        </w:rPr>
        <w:t xml:space="preserve">, </w:t>
      </w:r>
      <w:r w:rsidR="007E03CA" w:rsidRPr="0060082A">
        <w:rPr>
          <w:rFonts w:asciiTheme="majorHAnsi" w:hAnsiTheme="majorHAnsi" w:cstheme="majorHAnsi"/>
        </w:rPr>
        <w:t>working collaboratively</w:t>
      </w:r>
      <w:r w:rsidR="00591792" w:rsidRPr="0060082A">
        <w:rPr>
          <w:rFonts w:asciiTheme="majorHAnsi" w:hAnsiTheme="majorHAnsi" w:cstheme="majorHAnsi"/>
        </w:rPr>
        <w:t xml:space="preserve">. There are a number of donors, NGOs and UN agencies working across the basic education sector. Kef will, as appropriate, liaise with them </w:t>
      </w:r>
      <w:r w:rsidRPr="0060082A">
        <w:rPr>
          <w:rFonts w:asciiTheme="majorHAnsi" w:hAnsiTheme="majorHAnsi" w:cstheme="majorHAnsi"/>
        </w:rPr>
        <w:t xml:space="preserve">in order to provide coherent support to MoE </w:t>
      </w:r>
      <w:r w:rsidR="00591792" w:rsidRPr="0060082A">
        <w:rPr>
          <w:rFonts w:asciiTheme="majorHAnsi" w:hAnsiTheme="majorHAnsi" w:cstheme="majorHAnsi"/>
        </w:rPr>
        <w:t>in its efforts to plan for, and implement,</w:t>
      </w:r>
      <w:r w:rsidR="00A82C90" w:rsidRPr="0060082A">
        <w:rPr>
          <w:rFonts w:asciiTheme="majorHAnsi" w:hAnsiTheme="majorHAnsi" w:cstheme="majorHAnsi"/>
        </w:rPr>
        <w:t xml:space="preserve"> </w:t>
      </w:r>
      <w:r w:rsidR="0021660C" w:rsidRPr="0060082A">
        <w:rPr>
          <w:rFonts w:asciiTheme="majorHAnsi" w:hAnsiTheme="majorHAnsi" w:cstheme="majorHAnsi"/>
        </w:rPr>
        <w:t>the reform process</w:t>
      </w:r>
      <w:r w:rsidRPr="0060082A">
        <w:rPr>
          <w:rFonts w:asciiTheme="majorHAnsi" w:hAnsiTheme="majorHAnsi" w:cstheme="majorHAnsi"/>
        </w:rPr>
        <w:t xml:space="preserve">. This will become more important once the KEIP Phase </w:t>
      </w:r>
      <w:r w:rsidR="00837957">
        <w:rPr>
          <w:rFonts w:asciiTheme="majorHAnsi" w:hAnsiTheme="majorHAnsi" w:cstheme="majorHAnsi"/>
        </w:rPr>
        <w:t>3</w:t>
      </w:r>
      <w:r w:rsidRPr="0060082A">
        <w:rPr>
          <w:rFonts w:asciiTheme="majorHAnsi" w:hAnsiTheme="majorHAnsi" w:cstheme="majorHAnsi"/>
        </w:rPr>
        <w:t xml:space="preserve"> support starts to engage with secondary schooling, which has another network of support an</w:t>
      </w:r>
      <w:r w:rsidR="006C16F5" w:rsidRPr="0060082A">
        <w:rPr>
          <w:rFonts w:asciiTheme="majorHAnsi" w:hAnsiTheme="majorHAnsi" w:cstheme="majorHAnsi"/>
        </w:rPr>
        <w:t>d stakeholders.</w:t>
      </w:r>
    </w:p>
    <w:p w14:paraId="7FF8E401" w14:textId="77777777" w:rsidR="008141DE" w:rsidRPr="0060082A" w:rsidRDefault="008141DE" w:rsidP="00CD6138">
      <w:pPr>
        <w:pStyle w:val="Heading3"/>
      </w:pPr>
      <w:bookmarkStart w:id="76" w:name="_Toc461615711"/>
      <w:r w:rsidRPr="0060082A">
        <w:t>Managing Fiduciary Risk</w:t>
      </w:r>
      <w:bookmarkEnd w:id="76"/>
    </w:p>
    <w:p w14:paraId="0A4FE511" w14:textId="7D9F7149" w:rsidR="00DC4A15" w:rsidRPr="0060082A" w:rsidRDefault="00666B0E" w:rsidP="0060082A">
      <w:pPr>
        <w:rPr>
          <w:rFonts w:asciiTheme="majorHAnsi" w:hAnsiTheme="majorHAnsi" w:cstheme="majorHAnsi"/>
        </w:rPr>
      </w:pPr>
      <w:r w:rsidRPr="0060082A">
        <w:rPr>
          <w:rFonts w:asciiTheme="majorHAnsi" w:hAnsiTheme="majorHAnsi" w:cstheme="majorHAnsi"/>
        </w:rPr>
        <w:t xml:space="preserve">At the commencement of KEIP Phase </w:t>
      </w:r>
      <w:r w:rsidR="000A49FE">
        <w:rPr>
          <w:rFonts w:asciiTheme="majorHAnsi" w:hAnsiTheme="majorHAnsi" w:cstheme="majorHAnsi"/>
        </w:rPr>
        <w:t>2</w:t>
      </w:r>
      <w:r w:rsidRPr="0060082A">
        <w:rPr>
          <w:rFonts w:asciiTheme="majorHAnsi" w:hAnsiTheme="majorHAnsi" w:cstheme="majorHAnsi"/>
        </w:rPr>
        <w:t xml:space="preserve">, some funds were provided through a GoK Account number 4, to fund specific activities and utilise government systems. </w:t>
      </w:r>
      <w:r w:rsidR="00DC4A15" w:rsidRPr="0060082A">
        <w:rPr>
          <w:rFonts w:asciiTheme="majorHAnsi" w:hAnsiTheme="majorHAnsi" w:cstheme="majorHAnsi"/>
        </w:rPr>
        <w:t xml:space="preserve">Over time there were several problems and constraints through using the Account number 4 for the payment of goods and services provided to MoE. </w:t>
      </w:r>
      <w:r w:rsidR="00B07F6D" w:rsidRPr="0060082A">
        <w:rPr>
          <w:rFonts w:asciiTheme="majorHAnsi" w:hAnsiTheme="majorHAnsi" w:cstheme="majorHAnsi"/>
        </w:rPr>
        <w:t xml:space="preserve">In mid-2014, KEF ceased using the GoK Account No. 4 for providing direct budget assistance to </w:t>
      </w:r>
      <w:r w:rsidR="000D0FF4" w:rsidRPr="0060082A">
        <w:rPr>
          <w:rFonts w:asciiTheme="majorHAnsi" w:hAnsiTheme="majorHAnsi" w:cstheme="majorHAnsi"/>
        </w:rPr>
        <w:t xml:space="preserve">the </w:t>
      </w:r>
      <w:r w:rsidR="00B07F6D" w:rsidRPr="0060082A">
        <w:rPr>
          <w:rFonts w:asciiTheme="majorHAnsi" w:hAnsiTheme="majorHAnsi" w:cstheme="majorHAnsi"/>
        </w:rPr>
        <w:t>KEF</w:t>
      </w:r>
      <w:r w:rsidR="000D0FF4" w:rsidRPr="0060082A">
        <w:rPr>
          <w:rFonts w:asciiTheme="majorHAnsi" w:hAnsiTheme="majorHAnsi" w:cstheme="majorHAnsi"/>
        </w:rPr>
        <w:t xml:space="preserve"> </w:t>
      </w:r>
      <w:r w:rsidR="00B07F6D" w:rsidRPr="0060082A">
        <w:rPr>
          <w:rFonts w:asciiTheme="majorHAnsi" w:hAnsiTheme="majorHAnsi" w:cstheme="majorHAnsi"/>
        </w:rPr>
        <w:t>/</w:t>
      </w:r>
      <w:r w:rsidR="000D0FF4" w:rsidRPr="0060082A">
        <w:rPr>
          <w:rFonts w:asciiTheme="majorHAnsi" w:hAnsiTheme="majorHAnsi" w:cstheme="majorHAnsi"/>
        </w:rPr>
        <w:t xml:space="preserve"> </w:t>
      </w:r>
      <w:r w:rsidR="00B765AC" w:rsidRPr="0060082A">
        <w:rPr>
          <w:rFonts w:asciiTheme="majorHAnsi" w:hAnsiTheme="majorHAnsi" w:cstheme="majorHAnsi"/>
        </w:rPr>
        <w:t>MoE</w:t>
      </w:r>
      <w:r w:rsidR="00B07F6D" w:rsidRPr="0060082A">
        <w:rPr>
          <w:rFonts w:asciiTheme="majorHAnsi" w:hAnsiTheme="majorHAnsi" w:cstheme="majorHAnsi"/>
        </w:rPr>
        <w:t xml:space="preserve"> activities and changed (with DFAT approval) to </w:t>
      </w:r>
      <w:r w:rsidR="000D0FF4" w:rsidRPr="0060082A">
        <w:rPr>
          <w:rFonts w:asciiTheme="majorHAnsi" w:hAnsiTheme="majorHAnsi" w:cstheme="majorHAnsi"/>
        </w:rPr>
        <w:t xml:space="preserve">providing </w:t>
      </w:r>
      <w:r w:rsidR="00B07F6D" w:rsidRPr="0060082A">
        <w:rPr>
          <w:rFonts w:asciiTheme="majorHAnsi" w:hAnsiTheme="majorHAnsi" w:cstheme="majorHAnsi"/>
        </w:rPr>
        <w:t>indirect budget support</w:t>
      </w:r>
      <w:r w:rsidR="006C16F5" w:rsidRPr="0060082A">
        <w:rPr>
          <w:rFonts w:asciiTheme="majorHAnsi" w:hAnsiTheme="majorHAnsi" w:cstheme="majorHAnsi"/>
        </w:rPr>
        <w:t>. That is,</w:t>
      </w:r>
      <w:r w:rsidR="000D0FF4" w:rsidRPr="0060082A">
        <w:rPr>
          <w:rFonts w:asciiTheme="majorHAnsi" w:hAnsiTheme="majorHAnsi" w:cstheme="majorHAnsi"/>
        </w:rPr>
        <w:t xml:space="preserve"> funds are provided through the KEF and not through </w:t>
      </w:r>
      <w:r w:rsidR="00B765AC" w:rsidRPr="0060082A">
        <w:rPr>
          <w:rFonts w:asciiTheme="majorHAnsi" w:hAnsiTheme="majorHAnsi" w:cstheme="majorHAnsi"/>
        </w:rPr>
        <w:t>MOE</w:t>
      </w:r>
      <w:r w:rsidR="000D0FF4" w:rsidRPr="0060082A">
        <w:rPr>
          <w:rFonts w:asciiTheme="majorHAnsi" w:hAnsiTheme="majorHAnsi" w:cstheme="majorHAnsi"/>
        </w:rPr>
        <w:t xml:space="preserve"> financial systems and payments. This is with the </w:t>
      </w:r>
      <w:r w:rsidR="00B07F6D" w:rsidRPr="0060082A">
        <w:rPr>
          <w:rFonts w:asciiTheme="majorHAnsi" w:hAnsiTheme="majorHAnsi" w:cstheme="majorHAnsi"/>
        </w:rPr>
        <w:t xml:space="preserve">exception of </w:t>
      </w:r>
      <w:r w:rsidR="000D0FF4" w:rsidRPr="0060082A">
        <w:rPr>
          <w:rFonts w:asciiTheme="majorHAnsi" w:hAnsiTheme="majorHAnsi" w:cstheme="majorHAnsi"/>
        </w:rPr>
        <w:t xml:space="preserve">the school </w:t>
      </w:r>
      <w:r w:rsidR="00B07F6D" w:rsidRPr="0060082A">
        <w:rPr>
          <w:rFonts w:asciiTheme="majorHAnsi" w:hAnsiTheme="majorHAnsi" w:cstheme="majorHAnsi"/>
        </w:rPr>
        <w:t xml:space="preserve">infrastructure activities. </w:t>
      </w:r>
    </w:p>
    <w:p w14:paraId="36136377" w14:textId="77777777" w:rsidR="00DC4A15" w:rsidRPr="0060082A" w:rsidRDefault="00DC4A15" w:rsidP="0060082A">
      <w:pPr>
        <w:rPr>
          <w:rFonts w:asciiTheme="majorHAnsi" w:hAnsiTheme="majorHAnsi" w:cstheme="majorHAnsi"/>
        </w:rPr>
      </w:pPr>
      <w:r w:rsidRPr="0060082A">
        <w:rPr>
          <w:rFonts w:asciiTheme="majorHAnsi" w:hAnsiTheme="majorHAnsi" w:cstheme="majorHAnsi"/>
        </w:rPr>
        <w:t>This method of providing funding</w:t>
      </w:r>
      <w:r w:rsidR="00612FB4" w:rsidRPr="0060082A">
        <w:rPr>
          <w:rFonts w:asciiTheme="majorHAnsi" w:hAnsiTheme="majorHAnsi" w:cstheme="majorHAnsi"/>
        </w:rPr>
        <w:t xml:space="preserve"> </w:t>
      </w:r>
      <w:r w:rsidR="00C603D3" w:rsidRPr="0060082A">
        <w:rPr>
          <w:rFonts w:asciiTheme="majorHAnsi" w:hAnsiTheme="majorHAnsi" w:cstheme="majorHAnsi"/>
        </w:rPr>
        <w:t xml:space="preserve">for activities </w:t>
      </w:r>
      <w:r w:rsidRPr="0060082A">
        <w:rPr>
          <w:rFonts w:asciiTheme="majorHAnsi" w:hAnsiTheme="majorHAnsi" w:cstheme="majorHAnsi"/>
        </w:rPr>
        <w:t>provided a lesson learned on the use of GoK systems. The practice was stopped</w:t>
      </w:r>
      <w:r w:rsidR="00612FB4" w:rsidRPr="0060082A">
        <w:rPr>
          <w:rFonts w:asciiTheme="majorHAnsi" w:hAnsiTheme="majorHAnsi" w:cstheme="majorHAnsi"/>
        </w:rPr>
        <w:t xml:space="preserve"> </w:t>
      </w:r>
      <w:r w:rsidRPr="0060082A">
        <w:rPr>
          <w:rFonts w:asciiTheme="majorHAnsi" w:hAnsiTheme="majorHAnsi" w:cstheme="majorHAnsi"/>
        </w:rPr>
        <w:t>as a result of lengthy delays in the MoE’s release of KEIP provided funds to the various Activity Managers. There were also some issues around the effective management and timely reporting of these DFAT funds and expenditure within the number 4 account (including mislabelling of funding streams and significant delays in providing acquittals).</w:t>
      </w:r>
    </w:p>
    <w:p w14:paraId="75B8D242" w14:textId="30E39B30" w:rsidR="00A10653" w:rsidRPr="0060082A" w:rsidRDefault="00B07F6D" w:rsidP="0060082A">
      <w:pPr>
        <w:rPr>
          <w:rFonts w:asciiTheme="majorHAnsi" w:hAnsiTheme="majorHAnsi" w:cstheme="majorHAnsi"/>
          <w:b/>
        </w:rPr>
      </w:pPr>
      <w:r w:rsidRPr="0060082A">
        <w:rPr>
          <w:rFonts w:asciiTheme="majorHAnsi" w:hAnsiTheme="majorHAnsi" w:cstheme="majorHAnsi"/>
        </w:rPr>
        <w:t>The exception</w:t>
      </w:r>
      <w:r w:rsidR="00DC4A15" w:rsidRPr="0060082A">
        <w:rPr>
          <w:rFonts w:asciiTheme="majorHAnsi" w:hAnsiTheme="majorHAnsi" w:cstheme="majorHAnsi"/>
        </w:rPr>
        <w:t xml:space="preserve"> to this decision</w:t>
      </w:r>
      <w:r w:rsidRPr="0060082A">
        <w:rPr>
          <w:rFonts w:asciiTheme="majorHAnsi" w:hAnsiTheme="majorHAnsi" w:cstheme="majorHAnsi"/>
        </w:rPr>
        <w:t xml:space="preserve"> was a continuation of funding for the </w:t>
      </w:r>
      <w:r w:rsidR="00011CBA" w:rsidRPr="0060082A">
        <w:rPr>
          <w:rFonts w:asciiTheme="majorHAnsi" w:hAnsiTheme="majorHAnsi" w:cstheme="majorHAnsi"/>
        </w:rPr>
        <w:t xml:space="preserve">administration of payments for local materials and labour for </w:t>
      </w:r>
      <w:r w:rsidRPr="0060082A">
        <w:rPr>
          <w:rFonts w:asciiTheme="majorHAnsi" w:hAnsiTheme="majorHAnsi" w:cstheme="majorHAnsi"/>
        </w:rPr>
        <w:t xml:space="preserve">school rehabilitation activities in the </w:t>
      </w:r>
      <w:r w:rsidR="00011CBA" w:rsidRPr="0060082A">
        <w:rPr>
          <w:rFonts w:asciiTheme="majorHAnsi" w:hAnsiTheme="majorHAnsi" w:cstheme="majorHAnsi"/>
        </w:rPr>
        <w:t xml:space="preserve">remote </w:t>
      </w:r>
      <w:r w:rsidRPr="0060082A">
        <w:rPr>
          <w:rFonts w:asciiTheme="majorHAnsi" w:hAnsiTheme="majorHAnsi" w:cstheme="majorHAnsi"/>
        </w:rPr>
        <w:t>Line</w:t>
      </w:r>
      <w:r w:rsidR="00A82C90" w:rsidRPr="0060082A">
        <w:rPr>
          <w:rFonts w:asciiTheme="majorHAnsi" w:hAnsiTheme="majorHAnsi" w:cstheme="majorHAnsi"/>
        </w:rPr>
        <w:t xml:space="preserve"> </w:t>
      </w:r>
      <w:r w:rsidRPr="0060082A">
        <w:rPr>
          <w:rFonts w:asciiTheme="majorHAnsi" w:hAnsiTheme="majorHAnsi" w:cstheme="majorHAnsi"/>
        </w:rPr>
        <w:t xml:space="preserve">Islands, which was transferred to the Ministry of the Line and Phoenix Islands (MLPID) via </w:t>
      </w:r>
      <w:r w:rsidR="00011CBA" w:rsidRPr="0060082A">
        <w:rPr>
          <w:rFonts w:asciiTheme="majorHAnsi" w:hAnsiTheme="majorHAnsi" w:cstheme="majorHAnsi"/>
        </w:rPr>
        <w:t xml:space="preserve">tranche payments to </w:t>
      </w:r>
      <w:r w:rsidRPr="0060082A">
        <w:rPr>
          <w:rFonts w:asciiTheme="majorHAnsi" w:hAnsiTheme="majorHAnsi" w:cstheme="majorHAnsi"/>
        </w:rPr>
        <w:t>the GoK No. 4 Account</w:t>
      </w:r>
      <w:r w:rsidR="00DC4A15" w:rsidRPr="0060082A">
        <w:rPr>
          <w:rFonts w:asciiTheme="majorHAnsi" w:hAnsiTheme="majorHAnsi" w:cstheme="majorHAnsi"/>
        </w:rPr>
        <w:t xml:space="preserve">. This exception was </w:t>
      </w:r>
      <w:r w:rsidRPr="0060082A">
        <w:rPr>
          <w:rFonts w:asciiTheme="majorHAnsi" w:hAnsiTheme="majorHAnsi" w:cstheme="majorHAnsi"/>
        </w:rPr>
        <w:t xml:space="preserve">in accordance with the terms of the Memorandum of Understanding existing between </w:t>
      </w:r>
      <w:r w:rsidR="00B765AC" w:rsidRPr="0060082A">
        <w:rPr>
          <w:rFonts w:asciiTheme="majorHAnsi" w:hAnsiTheme="majorHAnsi" w:cstheme="majorHAnsi"/>
        </w:rPr>
        <w:t>MoE</w:t>
      </w:r>
      <w:r w:rsidRPr="0060082A">
        <w:rPr>
          <w:rFonts w:asciiTheme="majorHAnsi" w:hAnsiTheme="majorHAnsi" w:cstheme="majorHAnsi"/>
        </w:rPr>
        <w:t xml:space="preserve"> and MLPID. </w:t>
      </w:r>
    </w:p>
    <w:p w14:paraId="24737E3D" w14:textId="225A1A8A" w:rsidR="008141DE" w:rsidRPr="0060082A" w:rsidRDefault="008141DE" w:rsidP="00CD6138">
      <w:pPr>
        <w:pStyle w:val="Heading3"/>
      </w:pPr>
      <w:bookmarkStart w:id="77" w:name="_Toc461615712"/>
      <w:r w:rsidRPr="0060082A">
        <w:t>School Infrastructure in remote locations</w:t>
      </w:r>
      <w:bookmarkEnd w:id="77"/>
    </w:p>
    <w:p w14:paraId="7DBEC32C" w14:textId="77933C19" w:rsidR="000634BE" w:rsidRPr="0060082A" w:rsidRDefault="000634BE" w:rsidP="0060082A">
      <w:pPr>
        <w:rPr>
          <w:rFonts w:asciiTheme="majorHAnsi" w:hAnsiTheme="majorHAnsi" w:cstheme="majorHAnsi"/>
        </w:rPr>
      </w:pPr>
      <w:r w:rsidRPr="0060082A">
        <w:rPr>
          <w:rFonts w:asciiTheme="majorHAnsi" w:hAnsiTheme="majorHAnsi" w:cstheme="majorHAnsi"/>
        </w:rPr>
        <w:t xml:space="preserve">The Australian support to the GoK includes for the </w:t>
      </w:r>
      <w:r w:rsidR="00963E2D" w:rsidRPr="0060082A">
        <w:rPr>
          <w:rFonts w:asciiTheme="majorHAnsi" w:hAnsiTheme="majorHAnsi" w:cstheme="majorHAnsi"/>
        </w:rPr>
        <w:t>refurbishment</w:t>
      </w:r>
      <w:r w:rsidRPr="0060082A">
        <w:rPr>
          <w:rFonts w:asciiTheme="majorHAnsi" w:hAnsiTheme="majorHAnsi" w:cstheme="majorHAnsi"/>
        </w:rPr>
        <w:t xml:space="preserve"> or replacement of school infrastructure in some of the most remote locations in the world. In many outer islands, the logistics for getting building materials and skilled labour to the school locations presents logistical and quality control challenges. A lesson learned is that the transport, storage and issuing of bu</w:t>
      </w:r>
      <w:r w:rsidR="006C16F5" w:rsidRPr="0060082A">
        <w:rPr>
          <w:rFonts w:asciiTheme="majorHAnsi" w:hAnsiTheme="majorHAnsi" w:cstheme="majorHAnsi"/>
        </w:rPr>
        <w:t>ilding materials</w:t>
      </w:r>
      <w:r w:rsidR="00AB7379" w:rsidRPr="0060082A">
        <w:rPr>
          <w:rFonts w:asciiTheme="majorHAnsi" w:hAnsiTheme="majorHAnsi" w:cstheme="majorHAnsi"/>
        </w:rPr>
        <w:t xml:space="preserve">, as well as the quality of work conducted on site, </w:t>
      </w:r>
      <w:r w:rsidR="006C16F5" w:rsidRPr="0060082A">
        <w:rPr>
          <w:rFonts w:asciiTheme="majorHAnsi" w:hAnsiTheme="majorHAnsi" w:cstheme="majorHAnsi"/>
        </w:rPr>
        <w:t>presents a risk</w:t>
      </w:r>
      <w:r w:rsidR="00AB7379" w:rsidRPr="0060082A">
        <w:rPr>
          <w:rFonts w:asciiTheme="majorHAnsi" w:hAnsiTheme="majorHAnsi" w:cstheme="majorHAnsi"/>
        </w:rPr>
        <w:t>. The risk involves the</w:t>
      </w:r>
      <w:r w:rsidR="00A82C90" w:rsidRPr="0060082A">
        <w:rPr>
          <w:rFonts w:asciiTheme="majorHAnsi" w:hAnsiTheme="majorHAnsi" w:cstheme="majorHAnsi"/>
        </w:rPr>
        <w:t xml:space="preserve"> </w:t>
      </w:r>
      <w:r w:rsidRPr="0060082A">
        <w:rPr>
          <w:rFonts w:asciiTheme="majorHAnsi" w:hAnsiTheme="majorHAnsi" w:cstheme="majorHAnsi"/>
        </w:rPr>
        <w:t xml:space="preserve">remoteness of the </w:t>
      </w:r>
      <w:r w:rsidR="00AB7379" w:rsidRPr="0060082A">
        <w:rPr>
          <w:rFonts w:asciiTheme="majorHAnsi" w:hAnsiTheme="majorHAnsi" w:cstheme="majorHAnsi"/>
        </w:rPr>
        <w:t xml:space="preserve">Island </w:t>
      </w:r>
      <w:r w:rsidRPr="0060082A">
        <w:rPr>
          <w:rFonts w:asciiTheme="majorHAnsi" w:hAnsiTheme="majorHAnsi" w:cstheme="majorHAnsi"/>
        </w:rPr>
        <w:t>location</w:t>
      </w:r>
      <w:r w:rsidR="00AB7379" w:rsidRPr="0060082A">
        <w:rPr>
          <w:rFonts w:asciiTheme="majorHAnsi" w:hAnsiTheme="majorHAnsi" w:cstheme="majorHAnsi"/>
        </w:rPr>
        <w:t>s</w:t>
      </w:r>
      <w:r w:rsidR="00D62856" w:rsidRPr="0060082A">
        <w:rPr>
          <w:rFonts w:asciiTheme="majorHAnsi" w:hAnsiTheme="majorHAnsi" w:cstheme="majorHAnsi"/>
        </w:rPr>
        <w:t xml:space="preserve">, the </w:t>
      </w:r>
      <w:r w:rsidR="00AB7379" w:rsidRPr="0060082A">
        <w:rPr>
          <w:rFonts w:asciiTheme="majorHAnsi" w:hAnsiTheme="majorHAnsi" w:cstheme="majorHAnsi"/>
        </w:rPr>
        <w:t xml:space="preserve">limited supervision capacity of site managers, the </w:t>
      </w:r>
      <w:r w:rsidR="00D62856" w:rsidRPr="0060082A">
        <w:rPr>
          <w:rFonts w:asciiTheme="majorHAnsi" w:hAnsiTheme="majorHAnsi" w:cstheme="majorHAnsi"/>
        </w:rPr>
        <w:t>uncertainty of local shipping</w:t>
      </w:r>
      <w:r w:rsidRPr="0060082A">
        <w:rPr>
          <w:rFonts w:asciiTheme="majorHAnsi" w:hAnsiTheme="majorHAnsi" w:cstheme="majorHAnsi"/>
        </w:rPr>
        <w:t xml:space="preserve"> and the limited security and controls present. </w:t>
      </w:r>
    </w:p>
    <w:p w14:paraId="31AB57F1" w14:textId="44C0F49C" w:rsidR="00AB7379" w:rsidRPr="0060082A" w:rsidRDefault="000634BE" w:rsidP="0060082A">
      <w:pPr>
        <w:rPr>
          <w:rFonts w:asciiTheme="majorHAnsi" w:hAnsiTheme="majorHAnsi" w:cstheme="majorHAnsi"/>
        </w:rPr>
      </w:pPr>
      <w:r w:rsidRPr="0060082A">
        <w:rPr>
          <w:rFonts w:asciiTheme="majorHAnsi" w:hAnsiTheme="majorHAnsi" w:cstheme="majorHAnsi"/>
        </w:rPr>
        <w:t>Th</w:t>
      </w:r>
      <w:r w:rsidR="00AB7379" w:rsidRPr="0060082A">
        <w:rPr>
          <w:rFonts w:asciiTheme="majorHAnsi" w:hAnsiTheme="majorHAnsi" w:cstheme="majorHAnsi"/>
        </w:rPr>
        <w:t xml:space="preserve">ese </w:t>
      </w:r>
      <w:r w:rsidRPr="0060082A">
        <w:rPr>
          <w:rFonts w:asciiTheme="majorHAnsi" w:hAnsiTheme="majorHAnsi" w:cstheme="majorHAnsi"/>
        </w:rPr>
        <w:t>risk</w:t>
      </w:r>
      <w:r w:rsidR="00AB7379" w:rsidRPr="0060082A">
        <w:rPr>
          <w:rFonts w:asciiTheme="majorHAnsi" w:hAnsiTheme="majorHAnsi" w:cstheme="majorHAnsi"/>
        </w:rPr>
        <w:t>s</w:t>
      </w:r>
      <w:r w:rsidRPr="0060082A">
        <w:rPr>
          <w:rFonts w:asciiTheme="majorHAnsi" w:hAnsiTheme="majorHAnsi" w:cstheme="majorHAnsi"/>
        </w:rPr>
        <w:t xml:space="preserve"> can be reduced</w:t>
      </w:r>
      <w:r w:rsidR="00AB7379" w:rsidRPr="0060082A">
        <w:rPr>
          <w:rFonts w:asciiTheme="majorHAnsi" w:hAnsiTheme="majorHAnsi" w:cstheme="majorHAnsi"/>
        </w:rPr>
        <w:t xml:space="preserve"> through better supervision and documentation / verification. Fir the quality of work, the tender document were amended to strengthen the obligation of the construction contractor to complete the work to the required standard. The quality of the KitSet component is monitored by regular visits to the factory in Tarawa. The actual assembly and construction, in remote locations, represents the increased risk. Th</w:t>
      </w:r>
      <w:r w:rsidR="00591792" w:rsidRPr="0060082A">
        <w:rPr>
          <w:rFonts w:asciiTheme="majorHAnsi" w:hAnsiTheme="majorHAnsi" w:cstheme="majorHAnsi"/>
        </w:rPr>
        <w:t xml:space="preserve">e contractual </w:t>
      </w:r>
      <w:r w:rsidR="00AB7379" w:rsidRPr="0060082A">
        <w:rPr>
          <w:rFonts w:asciiTheme="majorHAnsi" w:hAnsiTheme="majorHAnsi" w:cstheme="majorHAnsi"/>
        </w:rPr>
        <w:t>obligation</w:t>
      </w:r>
      <w:r w:rsidR="00591792" w:rsidRPr="0060082A">
        <w:rPr>
          <w:rFonts w:asciiTheme="majorHAnsi" w:hAnsiTheme="majorHAnsi" w:cstheme="majorHAnsi"/>
        </w:rPr>
        <w:t xml:space="preserve"> for site construction</w:t>
      </w:r>
      <w:r w:rsidR="00AB7379" w:rsidRPr="0060082A">
        <w:rPr>
          <w:rFonts w:asciiTheme="majorHAnsi" w:hAnsiTheme="majorHAnsi" w:cstheme="majorHAnsi"/>
        </w:rPr>
        <w:t xml:space="preserve"> </w:t>
      </w:r>
      <w:r w:rsidR="00591792" w:rsidRPr="0060082A">
        <w:rPr>
          <w:rFonts w:asciiTheme="majorHAnsi" w:hAnsiTheme="majorHAnsi" w:cstheme="majorHAnsi"/>
        </w:rPr>
        <w:t xml:space="preserve">of classrooms to meet quality standards has been </w:t>
      </w:r>
      <w:r w:rsidR="00AB7379" w:rsidRPr="0060082A">
        <w:rPr>
          <w:rFonts w:asciiTheme="majorHAnsi" w:hAnsiTheme="majorHAnsi" w:cstheme="majorHAnsi"/>
        </w:rPr>
        <w:t>strengthened to put more onus on</w:t>
      </w:r>
      <w:r w:rsidR="00591792" w:rsidRPr="0060082A">
        <w:rPr>
          <w:rFonts w:asciiTheme="majorHAnsi" w:hAnsiTheme="majorHAnsi" w:cstheme="majorHAnsi"/>
        </w:rPr>
        <w:t>to</w:t>
      </w:r>
      <w:r w:rsidR="00AB7379" w:rsidRPr="0060082A">
        <w:rPr>
          <w:rFonts w:asciiTheme="majorHAnsi" w:hAnsiTheme="majorHAnsi" w:cstheme="majorHAnsi"/>
        </w:rPr>
        <w:t xml:space="preserve"> the contractor</w:t>
      </w:r>
      <w:r w:rsidR="00591792" w:rsidRPr="0060082A">
        <w:rPr>
          <w:rFonts w:asciiTheme="majorHAnsi" w:hAnsiTheme="majorHAnsi" w:cstheme="majorHAnsi"/>
        </w:rPr>
        <w:t xml:space="preserve">. This has been further </w:t>
      </w:r>
      <w:r w:rsidR="00AB7379" w:rsidRPr="0060082A">
        <w:rPr>
          <w:rFonts w:asciiTheme="majorHAnsi" w:hAnsiTheme="majorHAnsi" w:cstheme="majorHAnsi"/>
        </w:rPr>
        <w:t xml:space="preserve">strengthened by additional KEF staff visits to </w:t>
      </w:r>
      <w:r w:rsidR="00591792" w:rsidRPr="0060082A">
        <w:rPr>
          <w:rFonts w:asciiTheme="majorHAnsi" w:hAnsiTheme="majorHAnsi" w:cstheme="majorHAnsi"/>
        </w:rPr>
        <w:t xml:space="preserve">the </w:t>
      </w:r>
      <w:r w:rsidR="00AB7379" w:rsidRPr="0060082A">
        <w:rPr>
          <w:rFonts w:asciiTheme="majorHAnsi" w:hAnsiTheme="majorHAnsi" w:cstheme="majorHAnsi"/>
        </w:rPr>
        <w:t xml:space="preserve">Island </w:t>
      </w:r>
      <w:r w:rsidR="00591792" w:rsidRPr="0060082A">
        <w:rPr>
          <w:rFonts w:asciiTheme="majorHAnsi" w:hAnsiTheme="majorHAnsi" w:cstheme="majorHAnsi"/>
        </w:rPr>
        <w:t xml:space="preserve">school </w:t>
      </w:r>
      <w:r w:rsidR="00AB7379" w:rsidRPr="0060082A">
        <w:rPr>
          <w:rFonts w:asciiTheme="majorHAnsi" w:hAnsiTheme="majorHAnsi" w:cstheme="majorHAnsi"/>
        </w:rPr>
        <w:t>work locations. The practical acceptance of a school building marks the handover into warranty period, and additional resources and monitoring needs to be applied to validate that the building quality meets the contractual requirements.</w:t>
      </w:r>
      <w:r w:rsidR="00A82C90" w:rsidRPr="0060082A">
        <w:rPr>
          <w:rFonts w:asciiTheme="majorHAnsi" w:hAnsiTheme="majorHAnsi" w:cstheme="majorHAnsi"/>
        </w:rPr>
        <w:t xml:space="preserve"> </w:t>
      </w:r>
    </w:p>
    <w:p w14:paraId="1A526719" w14:textId="55972198" w:rsidR="008141DE" w:rsidRPr="0060082A" w:rsidRDefault="00AB7379" w:rsidP="0060082A">
      <w:pPr>
        <w:rPr>
          <w:rFonts w:asciiTheme="majorHAnsi" w:hAnsiTheme="majorHAnsi" w:cstheme="majorHAnsi"/>
        </w:rPr>
      </w:pPr>
      <w:r w:rsidRPr="0060082A">
        <w:rPr>
          <w:rFonts w:asciiTheme="majorHAnsi" w:hAnsiTheme="majorHAnsi" w:cstheme="majorHAnsi"/>
        </w:rPr>
        <w:t>For materials and supplies, improvements were made in</w:t>
      </w:r>
      <w:r w:rsidR="00A82C90" w:rsidRPr="0060082A">
        <w:rPr>
          <w:rFonts w:asciiTheme="majorHAnsi" w:hAnsiTheme="majorHAnsi" w:cstheme="majorHAnsi"/>
        </w:rPr>
        <w:t xml:space="preserve"> </w:t>
      </w:r>
      <w:r w:rsidR="000634BE" w:rsidRPr="0060082A">
        <w:rPr>
          <w:rFonts w:asciiTheme="majorHAnsi" w:hAnsiTheme="majorHAnsi" w:cstheme="majorHAnsi"/>
        </w:rPr>
        <w:t>tight</w:t>
      </w:r>
      <w:r w:rsidRPr="0060082A">
        <w:rPr>
          <w:rFonts w:asciiTheme="majorHAnsi" w:hAnsiTheme="majorHAnsi" w:cstheme="majorHAnsi"/>
        </w:rPr>
        <w:t>er</w:t>
      </w:r>
      <w:r w:rsidR="000634BE" w:rsidRPr="0060082A">
        <w:rPr>
          <w:rFonts w:asciiTheme="majorHAnsi" w:hAnsiTheme="majorHAnsi" w:cstheme="majorHAnsi"/>
        </w:rPr>
        <w:t xml:space="preserve"> documentation that clearly describes the </w:t>
      </w:r>
      <w:r w:rsidRPr="0060082A">
        <w:rPr>
          <w:rFonts w:asciiTheme="majorHAnsi" w:hAnsiTheme="majorHAnsi" w:cstheme="majorHAnsi"/>
        </w:rPr>
        <w:t xml:space="preserve">volume and nature of </w:t>
      </w:r>
      <w:r w:rsidR="000634BE" w:rsidRPr="0060082A">
        <w:rPr>
          <w:rFonts w:asciiTheme="majorHAnsi" w:hAnsiTheme="majorHAnsi" w:cstheme="majorHAnsi"/>
        </w:rPr>
        <w:t>materials and their packing location, so that there is a strong trail for each container or package of building materials as it transits to the outer islands and is handled by multiple groups and stakeholders. In addition</w:t>
      </w:r>
      <w:r w:rsidRPr="0060082A">
        <w:rPr>
          <w:rFonts w:asciiTheme="majorHAnsi" w:hAnsiTheme="majorHAnsi" w:cstheme="majorHAnsi"/>
        </w:rPr>
        <w:t xml:space="preserve"> to tighter documentation</w:t>
      </w:r>
      <w:r w:rsidR="000634BE" w:rsidRPr="0060082A">
        <w:rPr>
          <w:rFonts w:asciiTheme="majorHAnsi" w:hAnsiTheme="majorHAnsi" w:cstheme="majorHAnsi"/>
        </w:rPr>
        <w:t>, the inclusion of some excess materials is an important element, especially where (as in the case of packaged concrete) there can be spoilage due to sea water if the packages are mishandles or badly stored.</w:t>
      </w:r>
    </w:p>
    <w:p w14:paraId="6649E426" w14:textId="4892ACD7" w:rsidR="008141DE" w:rsidRPr="0060082A" w:rsidRDefault="000634BE" w:rsidP="0060082A">
      <w:pPr>
        <w:rPr>
          <w:rFonts w:asciiTheme="majorHAnsi" w:hAnsiTheme="majorHAnsi" w:cstheme="majorHAnsi"/>
        </w:rPr>
      </w:pPr>
      <w:r w:rsidRPr="0060082A">
        <w:rPr>
          <w:rFonts w:asciiTheme="majorHAnsi" w:hAnsiTheme="majorHAnsi" w:cstheme="majorHAnsi"/>
        </w:rPr>
        <w:t xml:space="preserve">At the completion of Phase </w:t>
      </w:r>
      <w:r w:rsidR="000A49FE">
        <w:rPr>
          <w:rFonts w:asciiTheme="majorHAnsi" w:hAnsiTheme="majorHAnsi" w:cstheme="majorHAnsi"/>
        </w:rPr>
        <w:t>2</w:t>
      </w:r>
      <w:r w:rsidRPr="0060082A">
        <w:rPr>
          <w:rFonts w:asciiTheme="majorHAnsi" w:hAnsiTheme="majorHAnsi" w:cstheme="majorHAnsi"/>
        </w:rPr>
        <w:t xml:space="preserve"> and into </w:t>
      </w:r>
      <w:r w:rsidR="00743616">
        <w:rPr>
          <w:rFonts w:asciiTheme="majorHAnsi" w:hAnsiTheme="majorHAnsi" w:cstheme="majorHAnsi"/>
        </w:rPr>
        <w:t>Phase 3</w:t>
      </w:r>
      <w:r w:rsidRPr="0060082A">
        <w:rPr>
          <w:rFonts w:asciiTheme="majorHAnsi" w:hAnsiTheme="majorHAnsi" w:cstheme="majorHAnsi"/>
        </w:rPr>
        <w:t>, additional resources have been assigned to infrastructure management, and part of this is to tighten the controls and documentation so that the remains a clear accountability for the</w:t>
      </w:r>
      <w:r w:rsidR="00AB7379" w:rsidRPr="0060082A">
        <w:rPr>
          <w:rFonts w:asciiTheme="majorHAnsi" w:hAnsiTheme="majorHAnsi" w:cstheme="majorHAnsi"/>
        </w:rPr>
        <w:t xml:space="preserve"> quality of work during the construction period, the checking of </w:t>
      </w:r>
      <w:r w:rsidR="004A0684" w:rsidRPr="0060082A">
        <w:rPr>
          <w:rFonts w:asciiTheme="majorHAnsi" w:hAnsiTheme="majorHAnsi" w:cstheme="majorHAnsi"/>
        </w:rPr>
        <w:t xml:space="preserve">the classroom </w:t>
      </w:r>
      <w:r w:rsidR="00AB7379" w:rsidRPr="0060082A">
        <w:rPr>
          <w:rFonts w:asciiTheme="majorHAnsi" w:hAnsiTheme="majorHAnsi" w:cstheme="majorHAnsi"/>
        </w:rPr>
        <w:t>practical completion</w:t>
      </w:r>
      <w:r w:rsidR="004A0684" w:rsidRPr="0060082A">
        <w:rPr>
          <w:rFonts w:asciiTheme="majorHAnsi" w:hAnsiTheme="majorHAnsi" w:cstheme="majorHAnsi"/>
        </w:rPr>
        <w:t xml:space="preserve"> certification</w:t>
      </w:r>
      <w:r w:rsidR="00AB7379" w:rsidRPr="0060082A">
        <w:rPr>
          <w:rFonts w:asciiTheme="majorHAnsi" w:hAnsiTheme="majorHAnsi" w:cstheme="majorHAnsi"/>
        </w:rPr>
        <w:t xml:space="preserve">, as well as tracking </w:t>
      </w:r>
      <w:r w:rsidR="004A0684" w:rsidRPr="0060082A">
        <w:rPr>
          <w:rFonts w:asciiTheme="majorHAnsi" w:hAnsiTheme="majorHAnsi" w:cstheme="majorHAnsi"/>
        </w:rPr>
        <w:t xml:space="preserve">the </w:t>
      </w:r>
      <w:r w:rsidR="00AB7379" w:rsidRPr="0060082A">
        <w:rPr>
          <w:rFonts w:asciiTheme="majorHAnsi" w:hAnsiTheme="majorHAnsi" w:cstheme="majorHAnsi"/>
        </w:rPr>
        <w:t>building</w:t>
      </w:r>
      <w:r w:rsidRPr="0060082A">
        <w:rPr>
          <w:rFonts w:asciiTheme="majorHAnsi" w:hAnsiTheme="majorHAnsi" w:cstheme="majorHAnsi"/>
        </w:rPr>
        <w:t xml:space="preserve"> materials as they progress from Tarawa to the </w:t>
      </w:r>
      <w:r w:rsidR="00963E2D" w:rsidRPr="0060082A">
        <w:rPr>
          <w:rFonts w:asciiTheme="majorHAnsi" w:hAnsiTheme="majorHAnsi" w:cstheme="majorHAnsi"/>
        </w:rPr>
        <w:t xml:space="preserve">remote </w:t>
      </w:r>
      <w:r w:rsidRPr="0060082A">
        <w:rPr>
          <w:rFonts w:asciiTheme="majorHAnsi" w:hAnsiTheme="majorHAnsi" w:cstheme="majorHAnsi"/>
        </w:rPr>
        <w:t>school sites.</w:t>
      </w:r>
    </w:p>
    <w:p w14:paraId="3BC27D3E" w14:textId="77777777" w:rsidR="008141DE" w:rsidRPr="0060082A" w:rsidRDefault="004D3CC5" w:rsidP="00CD6138">
      <w:pPr>
        <w:pStyle w:val="Heading3"/>
      </w:pPr>
      <w:bookmarkStart w:id="78" w:name="_Toc461615713"/>
      <w:r w:rsidRPr="0060082A">
        <w:lastRenderedPageBreak/>
        <w:t xml:space="preserve">Balancing </w:t>
      </w:r>
      <w:r w:rsidR="008141DE" w:rsidRPr="0060082A">
        <w:t>appropriate levels of TA</w:t>
      </w:r>
      <w:r w:rsidRPr="0060082A">
        <w:t xml:space="preserve"> with the </w:t>
      </w:r>
      <w:r w:rsidR="008141DE" w:rsidRPr="0060082A">
        <w:t>MoE absorptive capacity</w:t>
      </w:r>
      <w:bookmarkEnd w:id="78"/>
    </w:p>
    <w:p w14:paraId="2F4B7B88" w14:textId="4107E7EF" w:rsidR="00556B22" w:rsidRPr="00C918BF" w:rsidRDefault="00556B22" w:rsidP="00556B22">
      <w:pPr>
        <w:pStyle w:val="BodyText"/>
        <w:rPr>
          <w:rFonts w:asciiTheme="majorHAnsi" w:hAnsiTheme="majorHAnsi" w:cstheme="majorHAnsi"/>
        </w:rPr>
      </w:pPr>
      <w:r w:rsidRPr="00C918BF">
        <w:rPr>
          <w:rFonts w:asciiTheme="majorHAnsi" w:hAnsiTheme="majorHAnsi" w:cstheme="majorHAnsi"/>
        </w:rPr>
        <w:t xml:space="preserve">A lesson especially relevant to KEIP </w:t>
      </w:r>
      <w:r w:rsidR="00743616">
        <w:rPr>
          <w:rFonts w:asciiTheme="majorHAnsi" w:hAnsiTheme="majorHAnsi" w:cstheme="majorHAnsi"/>
        </w:rPr>
        <w:t>Phase 3</w:t>
      </w:r>
      <w:r w:rsidRPr="00C918BF">
        <w:rPr>
          <w:rFonts w:asciiTheme="majorHAnsi" w:hAnsiTheme="majorHAnsi" w:cstheme="majorHAnsi"/>
        </w:rPr>
        <w:t xml:space="preserve"> is the issue of the </w:t>
      </w:r>
      <w:r w:rsidR="00AA31BA" w:rsidRPr="00C918BF">
        <w:rPr>
          <w:rFonts w:asciiTheme="majorHAnsi" w:hAnsiTheme="majorHAnsi" w:cstheme="majorHAnsi"/>
        </w:rPr>
        <w:t xml:space="preserve">amount </w:t>
      </w:r>
      <w:r w:rsidRPr="00C918BF">
        <w:rPr>
          <w:rFonts w:asciiTheme="majorHAnsi" w:hAnsiTheme="majorHAnsi" w:cstheme="majorHAnsi"/>
        </w:rPr>
        <w:t xml:space="preserve">of technical assistance (TA) and the importance of </w:t>
      </w:r>
      <w:r w:rsidR="00AA31BA" w:rsidRPr="00C918BF">
        <w:rPr>
          <w:rFonts w:asciiTheme="majorHAnsi" w:hAnsiTheme="majorHAnsi" w:cstheme="majorHAnsi"/>
        </w:rPr>
        <w:t xml:space="preserve">effective </w:t>
      </w:r>
      <w:r w:rsidRPr="00C918BF">
        <w:rPr>
          <w:rFonts w:asciiTheme="majorHAnsi" w:hAnsiTheme="majorHAnsi" w:cstheme="majorHAnsi"/>
        </w:rPr>
        <w:t xml:space="preserve">knowledge transfer. As with other programs attempting the transformation of teaching and learning </w:t>
      </w:r>
      <w:r w:rsidR="00AA31BA" w:rsidRPr="00C918BF">
        <w:rPr>
          <w:rFonts w:asciiTheme="majorHAnsi" w:hAnsiTheme="majorHAnsi" w:cstheme="majorHAnsi"/>
        </w:rPr>
        <w:t xml:space="preserve">behaviour </w:t>
      </w:r>
      <w:r w:rsidRPr="00C918BF">
        <w:rPr>
          <w:rFonts w:asciiTheme="majorHAnsi" w:hAnsiTheme="majorHAnsi" w:cstheme="majorHAnsi"/>
        </w:rPr>
        <w:t>in the Pacific, KEIP to date has been heavy with TA</w:t>
      </w:r>
      <w:r w:rsidR="00AA31BA" w:rsidRPr="00C918BF">
        <w:rPr>
          <w:rFonts w:asciiTheme="majorHAnsi" w:hAnsiTheme="majorHAnsi" w:cstheme="majorHAnsi"/>
        </w:rPr>
        <w:t xml:space="preserve"> and providing direct support to the Ministry. The </w:t>
      </w:r>
      <w:r w:rsidRPr="00C918BF">
        <w:rPr>
          <w:rFonts w:asciiTheme="majorHAnsi" w:hAnsiTheme="majorHAnsi" w:cstheme="majorHAnsi"/>
        </w:rPr>
        <w:t xml:space="preserve">quality of TA and </w:t>
      </w:r>
      <w:r w:rsidR="00AA31BA" w:rsidRPr="00C918BF">
        <w:rPr>
          <w:rFonts w:asciiTheme="majorHAnsi" w:hAnsiTheme="majorHAnsi" w:cstheme="majorHAnsi"/>
        </w:rPr>
        <w:t xml:space="preserve">the </w:t>
      </w:r>
      <w:r w:rsidRPr="00C918BF">
        <w:rPr>
          <w:rFonts w:asciiTheme="majorHAnsi" w:hAnsiTheme="majorHAnsi" w:cstheme="majorHAnsi"/>
        </w:rPr>
        <w:t xml:space="preserve">approach was recognised by the KEIP Independent Evaluation as one of the reasons for the success of the implementation of the teaching and learning reforms. </w:t>
      </w:r>
      <w:r w:rsidR="006C16F5" w:rsidRPr="00C918BF">
        <w:rPr>
          <w:rFonts w:asciiTheme="majorHAnsi" w:hAnsiTheme="majorHAnsi" w:cstheme="majorHAnsi"/>
        </w:rPr>
        <w:t>T</w:t>
      </w:r>
      <w:r w:rsidRPr="00C918BF">
        <w:rPr>
          <w:rFonts w:asciiTheme="majorHAnsi" w:hAnsiTheme="majorHAnsi" w:cstheme="majorHAnsi"/>
        </w:rPr>
        <w:t xml:space="preserve">he </w:t>
      </w:r>
      <w:r w:rsidR="006C16F5" w:rsidRPr="00C918BF">
        <w:rPr>
          <w:rFonts w:asciiTheme="majorHAnsi" w:hAnsiTheme="majorHAnsi" w:cstheme="majorHAnsi"/>
        </w:rPr>
        <w:t xml:space="preserve">Independent </w:t>
      </w:r>
      <w:r w:rsidRPr="00C918BF">
        <w:rPr>
          <w:rFonts w:asciiTheme="majorHAnsi" w:hAnsiTheme="majorHAnsi" w:cstheme="majorHAnsi"/>
        </w:rPr>
        <w:t>Evaluation also found evidence that some units in the Ministry had felt overwhelmed by the TA and wanted more control by the Ministry in its focus and deployment.</w:t>
      </w:r>
      <w:r w:rsidRPr="00C918BF">
        <w:rPr>
          <w:rStyle w:val="FootnoteReference"/>
          <w:rFonts w:asciiTheme="majorHAnsi" w:hAnsiTheme="majorHAnsi" w:cstheme="majorHAnsi"/>
          <w:sz w:val="22"/>
        </w:rPr>
        <w:footnoteReference w:id="20"/>
      </w:r>
      <w:r w:rsidRPr="00C918BF">
        <w:rPr>
          <w:rFonts w:asciiTheme="majorHAnsi" w:hAnsiTheme="majorHAnsi" w:cstheme="majorHAnsi"/>
        </w:rPr>
        <w:t xml:space="preserve"> </w:t>
      </w:r>
    </w:p>
    <w:p w14:paraId="7DCED93C" w14:textId="567EE445" w:rsidR="00556B22" w:rsidRDefault="00232DF9" w:rsidP="00556B22">
      <w:pPr>
        <w:pStyle w:val="BodyText"/>
        <w:rPr>
          <w:rFonts w:asciiTheme="majorHAnsi" w:hAnsiTheme="majorHAnsi" w:cstheme="majorHAnsi"/>
        </w:rPr>
      </w:pPr>
      <w:r w:rsidRPr="00C918BF">
        <w:rPr>
          <w:rFonts w:asciiTheme="majorHAnsi" w:hAnsiTheme="majorHAnsi" w:cstheme="majorHAnsi"/>
        </w:rPr>
        <w:t xml:space="preserve">KEIP </w:t>
      </w:r>
      <w:r w:rsidR="00556B22" w:rsidRPr="00C918BF">
        <w:rPr>
          <w:rFonts w:asciiTheme="majorHAnsi" w:hAnsiTheme="majorHAnsi" w:cstheme="majorHAnsi"/>
        </w:rPr>
        <w:t xml:space="preserve">support to JSS will include major reform of an untouched sub-sector </w:t>
      </w:r>
      <w:r w:rsidRPr="00C918BF">
        <w:rPr>
          <w:rFonts w:asciiTheme="majorHAnsi" w:hAnsiTheme="majorHAnsi" w:cstheme="majorHAnsi"/>
        </w:rPr>
        <w:t xml:space="preserve">in </w:t>
      </w:r>
      <w:r w:rsidR="00556B22" w:rsidRPr="00C918BF">
        <w:rPr>
          <w:rFonts w:asciiTheme="majorHAnsi" w:hAnsiTheme="majorHAnsi" w:cstheme="majorHAnsi"/>
        </w:rPr>
        <w:t>a shortened space of time. Ways of increasing ownership</w:t>
      </w:r>
      <w:r w:rsidRPr="00C918BF">
        <w:rPr>
          <w:rFonts w:asciiTheme="majorHAnsi" w:hAnsiTheme="majorHAnsi" w:cstheme="majorHAnsi"/>
        </w:rPr>
        <w:t xml:space="preserve"> </w:t>
      </w:r>
      <w:r w:rsidR="00556B22" w:rsidRPr="00C918BF">
        <w:rPr>
          <w:rFonts w:asciiTheme="majorHAnsi" w:hAnsiTheme="majorHAnsi" w:cstheme="majorHAnsi"/>
        </w:rPr>
        <w:t>should be a priority in management of TA in th</w:t>
      </w:r>
      <w:r w:rsidRPr="00C918BF">
        <w:rPr>
          <w:rFonts w:asciiTheme="majorHAnsi" w:hAnsiTheme="majorHAnsi" w:cstheme="majorHAnsi"/>
        </w:rPr>
        <w:t xml:space="preserve">is </w:t>
      </w:r>
      <w:r w:rsidR="00556B22" w:rsidRPr="00C918BF">
        <w:rPr>
          <w:rFonts w:asciiTheme="majorHAnsi" w:hAnsiTheme="majorHAnsi" w:cstheme="majorHAnsi"/>
        </w:rPr>
        <w:t xml:space="preserve">intervention. Over KEIP Phase </w:t>
      </w:r>
      <w:r w:rsidR="000A49FE">
        <w:rPr>
          <w:rFonts w:asciiTheme="majorHAnsi" w:hAnsiTheme="majorHAnsi" w:cstheme="majorHAnsi"/>
        </w:rPr>
        <w:t>2</w:t>
      </w:r>
      <w:r w:rsidR="00556B22" w:rsidRPr="00C918BF">
        <w:rPr>
          <w:rFonts w:asciiTheme="majorHAnsi" w:hAnsiTheme="majorHAnsi" w:cstheme="majorHAnsi"/>
        </w:rPr>
        <w:t xml:space="preserve">, the importance of including a wider group of stakeholders </w:t>
      </w:r>
      <w:r w:rsidRPr="00C918BF">
        <w:rPr>
          <w:rFonts w:asciiTheme="majorHAnsi" w:hAnsiTheme="majorHAnsi" w:cstheme="majorHAnsi"/>
        </w:rPr>
        <w:t xml:space="preserve">to drive </w:t>
      </w:r>
      <w:r w:rsidR="00556B22" w:rsidRPr="00C918BF">
        <w:rPr>
          <w:rFonts w:asciiTheme="majorHAnsi" w:hAnsiTheme="majorHAnsi" w:cstheme="majorHAnsi"/>
        </w:rPr>
        <w:t xml:space="preserve">curriculum change was recognised, and advisers have advocated for more inclusion of teachers and principals, who bear the brunt of change. </w:t>
      </w:r>
    </w:p>
    <w:p w14:paraId="0370C1EB" w14:textId="5D0813F7" w:rsidR="00556B22" w:rsidRPr="00C918BF" w:rsidRDefault="00556B22" w:rsidP="00556B22">
      <w:pPr>
        <w:pStyle w:val="BodyText"/>
        <w:rPr>
          <w:rFonts w:asciiTheme="majorHAnsi" w:hAnsiTheme="majorHAnsi" w:cstheme="majorHAnsi"/>
        </w:rPr>
      </w:pPr>
      <w:r w:rsidRPr="00C918BF">
        <w:rPr>
          <w:rFonts w:asciiTheme="majorHAnsi" w:hAnsiTheme="majorHAnsi" w:cstheme="majorHAnsi"/>
        </w:rPr>
        <w:t xml:space="preserve">As </w:t>
      </w:r>
      <w:r w:rsidR="00232DF9" w:rsidRPr="00C918BF">
        <w:rPr>
          <w:rFonts w:asciiTheme="majorHAnsi" w:hAnsiTheme="majorHAnsi" w:cstheme="majorHAnsi"/>
        </w:rPr>
        <w:t xml:space="preserve">Phase </w:t>
      </w:r>
      <w:r w:rsidR="000A49FE">
        <w:rPr>
          <w:rFonts w:asciiTheme="majorHAnsi" w:hAnsiTheme="majorHAnsi" w:cstheme="majorHAnsi"/>
        </w:rPr>
        <w:t>2</w:t>
      </w:r>
      <w:r w:rsidR="00232DF9" w:rsidRPr="00C918BF">
        <w:rPr>
          <w:rFonts w:asciiTheme="majorHAnsi" w:hAnsiTheme="majorHAnsi" w:cstheme="majorHAnsi"/>
        </w:rPr>
        <w:t xml:space="preserve"> </w:t>
      </w:r>
      <w:r w:rsidRPr="00C918BF">
        <w:rPr>
          <w:rFonts w:asciiTheme="majorHAnsi" w:hAnsiTheme="majorHAnsi" w:cstheme="majorHAnsi"/>
        </w:rPr>
        <w:t xml:space="preserve">is the final phase of KEIP, capacity building for sustainable leadership of the reforms should </w:t>
      </w:r>
      <w:r w:rsidR="00232DF9" w:rsidRPr="00C918BF">
        <w:rPr>
          <w:rFonts w:asciiTheme="majorHAnsi" w:hAnsiTheme="majorHAnsi" w:cstheme="majorHAnsi"/>
        </w:rPr>
        <w:t>form</w:t>
      </w:r>
      <w:r w:rsidRPr="00C918BF">
        <w:rPr>
          <w:rFonts w:asciiTheme="majorHAnsi" w:hAnsiTheme="majorHAnsi" w:cstheme="majorHAnsi"/>
        </w:rPr>
        <w:t xml:space="preserve"> an explicit function of external </w:t>
      </w:r>
      <w:r w:rsidR="00232DF9" w:rsidRPr="00C918BF">
        <w:rPr>
          <w:rFonts w:asciiTheme="majorHAnsi" w:hAnsiTheme="majorHAnsi" w:cstheme="majorHAnsi"/>
        </w:rPr>
        <w:t>TA</w:t>
      </w:r>
      <w:r w:rsidRPr="00C918BF">
        <w:rPr>
          <w:rFonts w:asciiTheme="majorHAnsi" w:hAnsiTheme="majorHAnsi" w:cstheme="majorHAnsi"/>
        </w:rPr>
        <w:t xml:space="preserve">. </w:t>
      </w:r>
      <w:r w:rsidR="00232DF9" w:rsidRPr="00C918BF">
        <w:rPr>
          <w:rFonts w:asciiTheme="majorHAnsi" w:hAnsiTheme="majorHAnsi" w:cstheme="majorHAnsi"/>
        </w:rPr>
        <w:t xml:space="preserve">This includes </w:t>
      </w:r>
      <w:r w:rsidRPr="00C918BF">
        <w:rPr>
          <w:rFonts w:asciiTheme="majorHAnsi" w:hAnsiTheme="majorHAnsi" w:cstheme="majorHAnsi"/>
        </w:rPr>
        <w:t xml:space="preserve">the future capacity </w:t>
      </w:r>
      <w:r w:rsidR="00232DF9" w:rsidRPr="00C918BF">
        <w:rPr>
          <w:rFonts w:asciiTheme="majorHAnsi" w:hAnsiTheme="majorHAnsi" w:cstheme="majorHAnsi"/>
        </w:rPr>
        <w:t>of</w:t>
      </w:r>
      <w:r w:rsidRPr="00C918BF">
        <w:rPr>
          <w:rFonts w:asciiTheme="majorHAnsi" w:hAnsiTheme="majorHAnsi" w:cstheme="majorHAnsi"/>
        </w:rPr>
        <w:t xml:space="preserve"> the Kiribati Teachers College (KTC)</w:t>
      </w:r>
      <w:r w:rsidR="00232DF9" w:rsidRPr="00C918BF">
        <w:rPr>
          <w:rFonts w:asciiTheme="majorHAnsi" w:hAnsiTheme="majorHAnsi" w:cstheme="majorHAnsi"/>
        </w:rPr>
        <w:t xml:space="preserve">, involving </w:t>
      </w:r>
      <w:r w:rsidRPr="00C918BF">
        <w:rPr>
          <w:rFonts w:asciiTheme="majorHAnsi" w:hAnsiTheme="majorHAnsi" w:cstheme="majorHAnsi"/>
        </w:rPr>
        <w:t>increase</w:t>
      </w:r>
      <w:r w:rsidR="00232DF9" w:rsidRPr="00C918BF">
        <w:rPr>
          <w:rFonts w:asciiTheme="majorHAnsi" w:hAnsiTheme="majorHAnsi" w:cstheme="majorHAnsi"/>
        </w:rPr>
        <w:t>d</w:t>
      </w:r>
      <w:r w:rsidRPr="00C918BF">
        <w:rPr>
          <w:rFonts w:asciiTheme="majorHAnsi" w:hAnsiTheme="majorHAnsi" w:cstheme="majorHAnsi"/>
        </w:rPr>
        <w:t xml:space="preserve"> mentoring</w:t>
      </w:r>
      <w:r w:rsidR="00232DF9" w:rsidRPr="00C918BF">
        <w:rPr>
          <w:rFonts w:asciiTheme="majorHAnsi" w:hAnsiTheme="majorHAnsi" w:cstheme="majorHAnsi"/>
        </w:rPr>
        <w:t>. This would be through i</w:t>
      </w:r>
      <w:r w:rsidRPr="00C918BF">
        <w:rPr>
          <w:rFonts w:asciiTheme="majorHAnsi" w:hAnsiTheme="majorHAnsi" w:cstheme="majorHAnsi"/>
        </w:rPr>
        <w:t xml:space="preserve">nternal support within KEIP, </w:t>
      </w:r>
      <w:r w:rsidR="00232DF9" w:rsidRPr="00C918BF">
        <w:rPr>
          <w:rFonts w:asciiTheme="majorHAnsi" w:hAnsiTheme="majorHAnsi" w:cstheme="majorHAnsi"/>
        </w:rPr>
        <w:t>as well as t</w:t>
      </w:r>
      <w:r w:rsidRPr="00C918BF">
        <w:rPr>
          <w:rFonts w:asciiTheme="majorHAnsi" w:hAnsiTheme="majorHAnsi" w:cstheme="majorHAnsi"/>
        </w:rPr>
        <w:t xml:space="preserve">hrough scholarship support outside it. This </w:t>
      </w:r>
      <w:r w:rsidR="00232DF9" w:rsidRPr="00C918BF">
        <w:rPr>
          <w:rFonts w:asciiTheme="majorHAnsi" w:hAnsiTheme="majorHAnsi" w:cstheme="majorHAnsi"/>
        </w:rPr>
        <w:t xml:space="preserve">approach will </w:t>
      </w:r>
      <w:r w:rsidRPr="00C918BF">
        <w:rPr>
          <w:rFonts w:asciiTheme="majorHAnsi" w:hAnsiTheme="majorHAnsi" w:cstheme="majorHAnsi"/>
        </w:rPr>
        <w:t xml:space="preserve">focus on developing </w:t>
      </w:r>
      <w:r w:rsidR="00232DF9" w:rsidRPr="00C918BF">
        <w:rPr>
          <w:rFonts w:asciiTheme="majorHAnsi" w:hAnsiTheme="majorHAnsi" w:cstheme="majorHAnsi"/>
        </w:rPr>
        <w:t xml:space="preserve">MoE and KTC </w:t>
      </w:r>
      <w:r w:rsidRPr="00C918BF">
        <w:rPr>
          <w:rFonts w:asciiTheme="majorHAnsi" w:hAnsiTheme="majorHAnsi" w:cstheme="majorHAnsi"/>
        </w:rPr>
        <w:t xml:space="preserve">leadership in the </w:t>
      </w:r>
      <w:r w:rsidR="00232DF9" w:rsidRPr="00C918BF">
        <w:rPr>
          <w:rFonts w:asciiTheme="majorHAnsi" w:hAnsiTheme="majorHAnsi" w:cstheme="majorHAnsi"/>
        </w:rPr>
        <w:t xml:space="preserve">broader </w:t>
      </w:r>
      <w:r w:rsidRPr="00C918BF">
        <w:rPr>
          <w:rFonts w:asciiTheme="majorHAnsi" w:hAnsiTheme="majorHAnsi" w:cstheme="majorHAnsi"/>
        </w:rPr>
        <w:t xml:space="preserve">number of specific skills required for teacher development </w:t>
      </w:r>
      <w:r w:rsidR="00232DF9" w:rsidRPr="00C918BF">
        <w:rPr>
          <w:rFonts w:asciiTheme="majorHAnsi" w:hAnsiTheme="majorHAnsi" w:cstheme="majorHAnsi"/>
        </w:rPr>
        <w:t>as the reforms enter the secondary level</w:t>
      </w:r>
      <w:r w:rsidRPr="00C918BF">
        <w:rPr>
          <w:rFonts w:asciiTheme="majorHAnsi" w:hAnsiTheme="majorHAnsi" w:cstheme="majorHAnsi"/>
        </w:rPr>
        <w:t xml:space="preserve">. </w:t>
      </w:r>
    </w:p>
    <w:p w14:paraId="17CC163C" w14:textId="77777777" w:rsidR="008141DE" w:rsidRPr="0060082A" w:rsidRDefault="008141DE" w:rsidP="00CD6138">
      <w:pPr>
        <w:pStyle w:val="Heading3"/>
      </w:pPr>
      <w:bookmarkStart w:id="79" w:name="_Toc461615714"/>
      <w:r w:rsidRPr="0060082A">
        <w:t>Teacher English Language acquisition and training</w:t>
      </w:r>
      <w:bookmarkEnd w:id="79"/>
    </w:p>
    <w:p w14:paraId="0B7DC8AD" w14:textId="3317323F" w:rsidR="00556B22" w:rsidRPr="00C918BF" w:rsidRDefault="00644002" w:rsidP="00556B22">
      <w:pPr>
        <w:pStyle w:val="BodyText"/>
        <w:rPr>
          <w:rFonts w:asciiTheme="majorHAnsi" w:hAnsiTheme="majorHAnsi" w:cstheme="majorHAnsi"/>
        </w:rPr>
      </w:pPr>
      <w:r>
        <w:rPr>
          <w:rFonts w:asciiTheme="majorHAnsi" w:hAnsiTheme="majorHAnsi" w:cstheme="majorHAnsi"/>
        </w:rPr>
        <w:t xml:space="preserve">Teacher language acquisition is not easy and requires a mix of policy, work environment and specialist language training to have a strong chance of success. </w:t>
      </w:r>
      <w:r w:rsidR="00556B22" w:rsidRPr="00C918BF">
        <w:rPr>
          <w:rFonts w:asciiTheme="majorHAnsi" w:hAnsiTheme="majorHAnsi" w:cstheme="majorHAnsi"/>
        </w:rPr>
        <w:t xml:space="preserve">International reports and research </w:t>
      </w:r>
      <w:r w:rsidR="00232DF9" w:rsidRPr="00C918BF">
        <w:rPr>
          <w:rFonts w:asciiTheme="majorHAnsi" w:hAnsiTheme="majorHAnsi" w:cstheme="majorHAnsi"/>
        </w:rPr>
        <w:t xml:space="preserve">identifies </w:t>
      </w:r>
      <w:r w:rsidR="00556B22" w:rsidRPr="00C918BF">
        <w:rPr>
          <w:rFonts w:asciiTheme="majorHAnsi" w:hAnsiTheme="majorHAnsi" w:cstheme="majorHAnsi"/>
        </w:rPr>
        <w:t xml:space="preserve">that enabling students to learn in English is an enormously challenging undertaking, when it is not their first language, when teachers do not speak it well and when it is not in common use in the environment. These constraining factors describe the situation in Kiribati. </w:t>
      </w:r>
      <w:r w:rsidR="00984521" w:rsidRPr="00C918BF">
        <w:rPr>
          <w:rFonts w:asciiTheme="majorHAnsi" w:hAnsiTheme="majorHAnsi" w:cstheme="majorHAnsi"/>
        </w:rPr>
        <w:t>H</w:t>
      </w:r>
      <w:r w:rsidR="00556B22" w:rsidRPr="00C918BF">
        <w:rPr>
          <w:rFonts w:asciiTheme="majorHAnsi" w:hAnsiTheme="majorHAnsi" w:cstheme="majorHAnsi"/>
        </w:rPr>
        <w:t xml:space="preserve">igh levels of resourcing are necessary, and these resources have to target specific, critical stages in learning and language proficiency. </w:t>
      </w:r>
    </w:p>
    <w:p w14:paraId="73885642" w14:textId="6C7ACF03" w:rsidR="00984521" w:rsidRPr="00C918BF" w:rsidRDefault="00556B22" w:rsidP="00556B22">
      <w:pPr>
        <w:pStyle w:val="BodyText"/>
        <w:rPr>
          <w:rFonts w:asciiTheme="majorHAnsi" w:hAnsiTheme="majorHAnsi" w:cstheme="majorHAnsi"/>
        </w:rPr>
      </w:pPr>
      <w:r w:rsidRPr="00C918BF">
        <w:rPr>
          <w:rFonts w:asciiTheme="majorHAnsi" w:hAnsiTheme="majorHAnsi" w:cstheme="majorHAnsi"/>
        </w:rPr>
        <w:t xml:space="preserve">With the majority of instruction in English </w:t>
      </w:r>
      <w:r w:rsidR="00644002">
        <w:rPr>
          <w:rFonts w:asciiTheme="majorHAnsi" w:hAnsiTheme="majorHAnsi" w:cstheme="majorHAnsi"/>
        </w:rPr>
        <w:t xml:space="preserve">at schools </w:t>
      </w:r>
      <w:r w:rsidRPr="00C918BF">
        <w:rPr>
          <w:rFonts w:asciiTheme="majorHAnsi" w:hAnsiTheme="majorHAnsi" w:cstheme="majorHAnsi"/>
        </w:rPr>
        <w:t xml:space="preserve">starting from Year 5, Kiribati’s language policy is a relatively early exit model from learning in </w:t>
      </w:r>
      <w:r w:rsidR="00644002">
        <w:rPr>
          <w:rFonts w:asciiTheme="majorHAnsi" w:hAnsiTheme="majorHAnsi" w:cstheme="majorHAnsi"/>
        </w:rPr>
        <w:t xml:space="preserve">the </w:t>
      </w:r>
      <w:r w:rsidRPr="00C918BF">
        <w:rPr>
          <w:rFonts w:asciiTheme="majorHAnsi" w:hAnsiTheme="majorHAnsi" w:cstheme="majorHAnsi"/>
        </w:rPr>
        <w:t>children’s first language. For language acquisition to succeed, evidence suggests that particular sequences and provisions are vital. The first need is to</w:t>
      </w:r>
      <w:r w:rsidR="004E104B" w:rsidRPr="00C918BF">
        <w:rPr>
          <w:rFonts w:asciiTheme="majorHAnsi" w:hAnsiTheme="majorHAnsi" w:cstheme="majorHAnsi"/>
        </w:rPr>
        <w:t xml:space="preserve"> identify that </w:t>
      </w:r>
      <w:r w:rsidRPr="00C918BF">
        <w:rPr>
          <w:rFonts w:asciiTheme="majorHAnsi" w:hAnsiTheme="majorHAnsi" w:cstheme="majorHAnsi"/>
        </w:rPr>
        <w:t>young children are orally fluent in their own language in the early grades. This facilitates comprehension and use of language for a later transfer to a second language.</w:t>
      </w:r>
      <w:r w:rsidR="00612FB4" w:rsidRPr="00C918BF">
        <w:rPr>
          <w:rFonts w:asciiTheme="majorHAnsi" w:hAnsiTheme="majorHAnsi" w:cstheme="majorHAnsi"/>
        </w:rPr>
        <w:t xml:space="preserve"> </w:t>
      </w:r>
    </w:p>
    <w:p w14:paraId="506211C5" w14:textId="7A86F185" w:rsidR="00556B22" w:rsidRPr="00C918BF" w:rsidRDefault="00556B22" w:rsidP="00556B22">
      <w:pPr>
        <w:pStyle w:val="BodyText"/>
        <w:rPr>
          <w:rFonts w:asciiTheme="majorHAnsi" w:hAnsiTheme="majorHAnsi" w:cstheme="majorHAnsi"/>
        </w:rPr>
      </w:pPr>
      <w:r w:rsidRPr="00C918BF">
        <w:rPr>
          <w:rFonts w:asciiTheme="majorHAnsi" w:hAnsiTheme="majorHAnsi" w:cstheme="majorHAnsi"/>
        </w:rPr>
        <w:t>Students need to know the language that they are to learn in, before they start learning in it. Research from African countries for example suggests that for reading school books at around Year 5 level, a vocabulary of around 3,000-5,000 words is necessary.</w:t>
      </w:r>
      <w:r w:rsidRPr="00C918BF">
        <w:rPr>
          <w:rStyle w:val="FootnoteReference"/>
          <w:rFonts w:asciiTheme="majorHAnsi" w:eastAsia="SimSun" w:hAnsiTheme="majorHAnsi" w:cstheme="majorHAnsi"/>
          <w:spacing w:val="-2"/>
          <w:lang w:eastAsia="en-AU"/>
        </w:rPr>
        <w:footnoteReference w:id="21"/>
      </w:r>
      <w:r w:rsidR="00612FB4" w:rsidRPr="00C918BF">
        <w:rPr>
          <w:rFonts w:asciiTheme="majorHAnsi" w:hAnsiTheme="majorHAnsi" w:cstheme="majorHAnsi"/>
        </w:rPr>
        <w:t xml:space="preserve"> </w:t>
      </w:r>
      <w:r w:rsidR="00963E2D" w:rsidRPr="00C918BF">
        <w:rPr>
          <w:rFonts w:asciiTheme="majorHAnsi" w:hAnsiTheme="majorHAnsi" w:cstheme="majorHAnsi"/>
        </w:rPr>
        <w:t xml:space="preserve">The years of bridging to English are also the most critical years, with teachers handling the transition to English (in Kiribati in Year 4) needing to know English well and have the ESL skills to teach it as a second language. </w:t>
      </w:r>
      <w:r w:rsidR="00223809" w:rsidRPr="00C918BF">
        <w:rPr>
          <w:rFonts w:asciiTheme="majorHAnsi" w:hAnsiTheme="majorHAnsi" w:cstheme="majorHAnsi"/>
        </w:rPr>
        <w:t>L</w:t>
      </w:r>
      <w:r w:rsidRPr="00C918BF">
        <w:rPr>
          <w:rFonts w:asciiTheme="majorHAnsi" w:hAnsiTheme="majorHAnsi" w:cstheme="majorHAnsi"/>
        </w:rPr>
        <w:t xml:space="preserve">anguage skills (vocabulary, syntax, text structures) are </w:t>
      </w:r>
      <w:r w:rsidR="00223809" w:rsidRPr="00C918BF">
        <w:rPr>
          <w:rFonts w:asciiTheme="majorHAnsi" w:hAnsiTheme="majorHAnsi" w:cstheme="majorHAnsi"/>
        </w:rPr>
        <w:t xml:space="preserve">also </w:t>
      </w:r>
      <w:r w:rsidRPr="00C918BF">
        <w:rPr>
          <w:rFonts w:asciiTheme="majorHAnsi" w:hAnsiTheme="majorHAnsi" w:cstheme="majorHAnsi"/>
        </w:rPr>
        <w:t xml:space="preserve">necessary </w:t>
      </w:r>
      <w:r w:rsidR="00223809" w:rsidRPr="00C918BF">
        <w:rPr>
          <w:rFonts w:asciiTheme="majorHAnsi" w:hAnsiTheme="majorHAnsi" w:cstheme="majorHAnsi"/>
        </w:rPr>
        <w:t xml:space="preserve">for teachers and students </w:t>
      </w:r>
      <w:r w:rsidRPr="00C918BF">
        <w:rPr>
          <w:rFonts w:asciiTheme="majorHAnsi" w:hAnsiTheme="majorHAnsi" w:cstheme="majorHAnsi"/>
        </w:rPr>
        <w:t xml:space="preserve">to understand subject content. </w:t>
      </w:r>
      <w:r w:rsidR="00223809" w:rsidRPr="00C918BF">
        <w:rPr>
          <w:rFonts w:asciiTheme="majorHAnsi" w:hAnsiTheme="majorHAnsi" w:cstheme="majorHAnsi"/>
        </w:rPr>
        <w:t xml:space="preserve">For MoE and for KEIP Phase </w:t>
      </w:r>
      <w:r w:rsidR="00743616">
        <w:rPr>
          <w:rFonts w:asciiTheme="majorHAnsi" w:hAnsiTheme="majorHAnsi" w:cstheme="majorHAnsi"/>
        </w:rPr>
        <w:t>3</w:t>
      </w:r>
      <w:r w:rsidR="00223809" w:rsidRPr="00C918BF">
        <w:rPr>
          <w:rFonts w:asciiTheme="majorHAnsi" w:hAnsiTheme="majorHAnsi" w:cstheme="majorHAnsi"/>
        </w:rPr>
        <w:t>, this m</w:t>
      </w:r>
      <w:r w:rsidRPr="00C918BF">
        <w:rPr>
          <w:rFonts w:asciiTheme="majorHAnsi" w:hAnsiTheme="majorHAnsi" w:cstheme="majorHAnsi"/>
        </w:rPr>
        <w:t xml:space="preserve">eans literacy and language learning need to be explicitly addressed in </w:t>
      </w:r>
      <w:r w:rsidR="00223809" w:rsidRPr="00C918BF">
        <w:rPr>
          <w:rFonts w:asciiTheme="majorHAnsi" w:hAnsiTheme="majorHAnsi" w:cstheme="majorHAnsi"/>
        </w:rPr>
        <w:t xml:space="preserve">the </w:t>
      </w:r>
      <w:r w:rsidRPr="00C918BF">
        <w:rPr>
          <w:rFonts w:asciiTheme="majorHAnsi" w:hAnsiTheme="majorHAnsi" w:cstheme="majorHAnsi"/>
        </w:rPr>
        <w:t xml:space="preserve">teaching at higher years, right through to the end of JSS. </w:t>
      </w:r>
    </w:p>
    <w:p w14:paraId="5D508CB4" w14:textId="1320D30E" w:rsidR="00984521" w:rsidRPr="00C918BF" w:rsidRDefault="00556B22" w:rsidP="00556B22">
      <w:pPr>
        <w:pStyle w:val="BodyText"/>
        <w:rPr>
          <w:rFonts w:asciiTheme="majorHAnsi" w:hAnsiTheme="majorHAnsi" w:cstheme="majorHAnsi"/>
        </w:rPr>
      </w:pPr>
      <w:r w:rsidRPr="00C918BF">
        <w:rPr>
          <w:rFonts w:asciiTheme="majorHAnsi" w:hAnsiTheme="majorHAnsi" w:cstheme="majorHAnsi"/>
        </w:rPr>
        <w:t xml:space="preserve">A particular challenge that Kiribati </w:t>
      </w:r>
      <w:r w:rsidR="00223809" w:rsidRPr="00C918BF">
        <w:rPr>
          <w:rFonts w:asciiTheme="majorHAnsi" w:hAnsiTheme="majorHAnsi" w:cstheme="majorHAnsi"/>
        </w:rPr>
        <w:t xml:space="preserve">and MoE face </w:t>
      </w:r>
      <w:r w:rsidRPr="00C918BF">
        <w:rPr>
          <w:rFonts w:asciiTheme="majorHAnsi" w:hAnsiTheme="majorHAnsi" w:cstheme="majorHAnsi"/>
        </w:rPr>
        <w:t>in students’ successful mastery of English is the teachers’ low English proficiency and</w:t>
      </w:r>
      <w:r w:rsidR="00020215">
        <w:rPr>
          <w:rFonts w:asciiTheme="majorHAnsi" w:hAnsiTheme="majorHAnsi" w:cstheme="majorHAnsi"/>
        </w:rPr>
        <w:t xml:space="preserve"> also</w:t>
      </w:r>
      <w:r w:rsidRPr="00C918BF">
        <w:rPr>
          <w:rFonts w:asciiTheme="majorHAnsi" w:hAnsiTheme="majorHAnsi" w:cstheme="majorHAnsi"/>
        </w:rPr>
        <w:t xml:space="preserve"> their ability to deliver instruction in the language. </w:t>
      </w:r>
    </w:p>
    <w:p w14:paraId="7632C2EF" w14:textId="6D4D8CE3" w:rsidR="00556B22" w:rsidRPr="00C918BF" w:rsidRDefault="00556B22" w:rsidP="00556B22">
      <w:pPr>
        <w:pStyle w:val="BodyText"/>
        <w:rPr>
          <w:rFonts w:asciiTheme="majorHAnsi" w:hAnsiTheme="majorHAnsi" w:cstheme="majorHAnsi"/>
        </w:rPr>
      </w:pPr>
      <w:r w:rsidRPr="00C918BF">
        <w:rPr>
          <w:rFonts w:asciiTheme="majorHAnsi" w:hAnsiTheme="majorHAnsi" w:cstheme="majorHAnsi"/>
        </w:rPr>
        <w:t xml:space="preserve">There have been important lessons learned from large investments in raising </w:t>
      </w:r>
      <w:r w:rsidR="00223809" w:rsidRPr="00C918BF">
        <w:rPr>
          <w:rFonts w:asciiTheme="majorHAnsi" w:hAnsiTheme="majorHAnsi" w:cstheme="majorHAnsi"/>
        </w:rPr>
        <w:t xml:space="preserve">MoE </w:t>
      </w:r>
      <w:r w:rsidRPr="00C918BF">
        <w:rPr>
          <w:rFonts w:asciiTheme="majorHAnsi" w:hAnsiTheme="majorHAnsi" w:cstheme="majorHAnsi"/>
        </w:rPr>
        <w:t xml:space="preserve">teacher proficiency (the Kiribati English Language Program (KELP) program during KEIP Phase </w:t>
      </w:r>
      <w:r w:rsidR="000A49FE">
        <w:rPr>
          <w:rFonts w:asciiTheme="majorHAnsi" w:hAnsiTheme="majorHAnsi" w:cstheme="majorHAnsi"/>
        </w:rPr>
        <w:t>2</w:t>
      </w:r>
      <w:r w:rsidRPr="00C918BF">
        <w:rPr>
          <w:rFonts w:asciiTheme="majorHAnsi" w:hAnsiTheme="majorHAnsi" w:cstheme="majorHAnsi"/>
        </w:rPr>
        <w:t xml:space="preserve"> and the Language Education Pilot Project (LEPP) in 2009). While KELP produced a reasonable pass rate, subsequent testing </w:t>
      </w:r>
      <w:r w:rsidR="00223809" w:rsidRPr="00C918BF">
        <w:rPr>
          <w:rFonts w:asciiTheme="majorHAnsi" w:hAnsiTheme="majorHAnsi" w:cstheme="majorHAnsi"/>
        </w:rPr>
        <w:t xml:space="preserve">shows </w:t>
      </w:r>
      <w:r w:rsidRPr="00C918BF">
        <w:rPr>
          <w:rFonts w:asciiTheme="majorHAnsi" w:hAnsiTheme="majorHAnsi" w:cstheme="majorHAnsi"/>
        </w:rPr>
        <w:t xml:space="preserve">that language deteriorates quickly if not kept in use. Usage depends on access to resources and communities of speakers. It also depends on individual motivation to maintain mastery. </w:t>
      </w:r>
      <w:r w:rsidR="00223809" w:rsidRPr="00C918BF">
        <w:rPr>
          <w:rFonts w:asciiTheme="majorHAnsi" w:hAnsiTheme="majorHAnsi" w:cstheme="majorHAnsi"/>
        </w:rPr>
        <w:t>MoE i</w:t>
      </w:r>
      <w:r w:rsidR="00984521" w:rsidRPr="00C918BF">
        <w:rPr>
          <w:rFonts w:asciiTheme="majorHAnsi" w:hAnsiTheme="majorHAnsi" w:cstheme="majorHAnsi"/>
        </w:rPr>
        <w:t xml:space="preserve">ncentives </w:t>
      </w:r>
      <w:r w:rsidRPr="00C918BF">
        <w:rPr>
          <w:rFonts w:asciiTheme="majorHAnsi" w:hAnsiTheme="majorHAnsi" w:cstheme="majorHAnsi"/>
        </w:rPr>
        <w:t>for teachers maint</w:t>
      </w:r>
      <w:r w:rsidR="00984521" w:rsidRPr="00C918BF">
        <w:rPr>
          <w:rFonts w:asciiTheme="majorHAnsi" w:hAnsiTheme="majorHAnsi" w:cstheme="majorHAnsi"/>
        </w:rPr>
        <w:t xml:space="preserve">aining </w:t>
      </w:r>
      <w:r w:rsidRPr="00C918BF">
        <w:rPr>
          <w:rFonts w:asciiTheme="majorHAnsi" w:hAnsiTheme="majorHAnsi" w:cstheme="majorHAnsi"/>
        </w:rPr>
        <w:t xml:space="preserve">their own English skills are needed, such as inclusion of English language competence </w:t>
      </w:r>
      <w:r w:rsidR="00223809" w:rsidRPr="00C918BF">
        <w:rPr>
          <w:rFonts w:asciiTheme="majorHAnsi" w:hAnsiTheme="majorHAnsi" w:cstheme="majorHAnsi"/>
        </w:rPr>
        <w:t>in</w:t>
      </w:r>
      <w:r w:rsidRPr="00C918BF">
        <w:rPr>
          <w:rFonts w:asciiTheme="majorHAnsi" w:hAnsiTheme="majorHAnsi" w:cstheme="majorHAnsi"/>
        </w:rPr>
        <w:t xml:space="preserve"> teacher service standards </w:t>
      </w:r>
      <w:r w:rsidR="00223809" w:rsidRPr="00C918BF">
        <w:rPr>
          <w:rFonts w:asciiTheme="majorHAnsi" w:hAnsiTheme="majorHAnsi" w:cstheme="majorHAnsi"/>
        </w:rPr>
        <w:t xml:space="preserve">or </w:t>
      </w:r>
      <w:r w:rsidRPr="00C918BF">
        <w:rPr>
          <w:rFonts w:asciiTheme="majorHAnsi" w:hAnsiTheme="majorHAnsi" w:cstheme="majorHAnsi"/>
        </w:rPr>
        <w:t xml:space="preserve">teacher registration. </w:t>
      </w:r>
      <w:r w:rsidR="00984521" w:rsidRPr="00C918BF">
        <w:rPr>
          <w:rFonts w:asciiTheme="majorHAnsi" w:hAnsiTheme="majorHAnsi" w:cstheme="majorHAnsi"/>
        </w:rPr>
        <w:t xml:space="preserve">This </w:t>
      </w:r>
      <w:r w:rsidRPr="00C918BF">
        <w:rPr>
          <w:rFonts w:asciiTheme="majorHAnsi" w:hAnsiTheme="majorHAnsi" w:cstheme="majorHAnsi"/>
        </w:rPr>
        <w:t>impl</w:t>
      </w:r>
      <w:r w:rsidR="00984521" w:rsidRPr="00C918BF">
        <w:rPr>
          <w:rFonts w:asciiTheme="majorHAnsi" w:hAnsiTheme="majorHAnsi" w:cstheme="majorHAnsi"/>
        </w:rPr>
        <w:t>ies</w:t>
      </w:r>
      <w:r w:rsidRPr="00C918BF">
        <w:rPr>
          <w:rFonts w:asciiTheme="majorHAnsi" w:hAnsiTheme="majorHAnsi" w:cstheme="majorHAnsi"/>
        </w:rPr>
        <w:t xml:space="preserve"> the need for institutional capacity to support language upgrade and for testing</w:t>
      </w:r>
      <w:r w:rsidR="00984521" w:rsidRPr="00C918BF">
        <w:rPr>
          <w:rFonts w:asciiTheme="majorHAnsi" w:hAnsiTheme="majorHAnsi" w:cstheme="majorHAnsi"/>
        </w:rPr>
        <w:t xml:space="preserve">, an expensive </w:t>
      </w:r>
      <w:r w:rsidRPr="00C918BF">
        <w:rPr>
          <w:rFonts w:asciiTheme="majorHAnsi" w:hAnsiTheme="majorHAnsi" w:cstheme="majorHAnsi"/>
        </w:rPr>
        <w:t xml:space="preserve">process </w:t>
      </w:r>
      <w:r w:rsidR="00984521" w:rsidRPr="00C918BF">
        <w:rPr>
          <w:rFonts w:asciiTheme="majorHAnsi" w:hAnsiTheme="majorHAnsi" w:cstheme="majorHAnsi"/>
        </w:rPr>
        <w:t xml:space="preserve">that </w:t>
      </w:r>
      <w:r w:rsidRPr="00C918BF">
        <w:rPr>
          <w:rFonts w:asciiTheme="majorHAnsi" w:hAnsiTheme="majorHAnsi" w:cstheme="majorHAnsi"/>
        </w:rPr>
        <w:t>has been conducted externally.</w:t>
      </w:r>
    </w:p>
    <w:p w14:paraId="146D3A19" w14:textId="77777777" w:rsidR="00556B22" w:rsidRPr="00C918BF" w:rsidRDefault="00556B22" w:rsidP="00556B22">
      <w:pPr>
        <w:pStyle w:val="BodyText"/>
        <w:rPr>
          <w:rFonts w:asciiTheme="majorHAnsi" w:hAnsiTheme="majorHAnsi" w:cstheme="majorHAnsi"/>
          <w:lang w:val="en-US"/>
        </w:rPr>
      </w:pPr>
      <w:r w:rsidRPr="00C918BF">
        <w:rPr>
          <w:rFonts w:asciiTheme="majorHAnsi" w:eastAsia="SimSun" w:hAnsiTheme="majorHAnsi" w:cstheme="majorHAnsi"/>
          <w:bCs/>
          <w:spacing w:val="-2"/>
          <w:szCs w:val="24"/>
          <w:lang w:eastAsia="en-AU"/>
        </w:rPr>
        <w:lastRenderedPageBreak/>
        <w:t xml:space="preserve">Maintaining </w:t>
      </w:r>
      <w:r w:rsidRPr="00C918BF">
        <w:rPr>
          <w:rFonts w:asciiTheme="majorHAnsi" w:hAnsiTheme="majorHAnsi" w:cstheme="majorHAnsi"/>
          <w:lang w:val="en-US"/>
        </w:rPr>
        <w:t xml:space="preserve">proficiency is an issue of </w:t>
      </w:r>
      <w:r w:rsidR="00223809" w:rsidRPr="00C918BF">
        <w:rPr>
          <w:rFonts w:asciiTheme="majorHAnsi" w:hAnsiTheme="majorHAnsi" w:cstheme="majorHAnsi"/>
          <w:lang w:val="en-US"/>
        </w:rPr>
        <w:t xml:space="preserve">individual </w:t>
      </w:r>
      <w:r w:rsidRPr="00C918BF">
        <w:rPr>
          <w:rFonts w:asciiTheme="majorHAnsi" w:hAnsiTheme="majorHAnsi" w:cstheme="majorHAnsi"/>
          <w:lang w:val="en-US"/>
        </w:rPr>
        <w:t xml:space="preserve">teacher professionalism and should fall within teacher appraisal by </w:t>
      </w:r>
      <w:r w:rsidR="00223809" w:rsidRPr="00C918BF">
        <w:rPr>
          <w:rFonts w:asciiTheme="majorHAnsi" w:hAnsiTheme="majorHAnsi" w:cstheme="majorHAnsi"/>
          <w:lang w:val="en-US"/>
        </w:rPr>
        <w:t>P</w:t>
      </w:r>
      <w:r w:rsidRPr="00C918BF">
        <w:rPr>
          <w:rFonts w:asciiTheme="majorHAnsi" w:hAnsiTheme="majorHAnsi" w:cstheme="majorHAnsi"/>
          <w:lang w:val="en-US"/>
        </w:rPr>
        <w:t xml:space="preserve">rincipals and </w:t>
      </w:r>
      <w:r w:rsidR="00984521" w:rsidRPr="00C918BF">
        <w:rPr>
          <w:rFonts w:asciiTheme="majorHAnsi" w:hAnsiTheme="majorHAnsi" w:cstheme="majorHAnsi"/>
          <w:lang w:val="en-US"/>
        </w:rPr>
        <w:t>IECs</w:t>
      </w:r>
      <w:r w:rsidRPr="00C918BF">
        <w:rPr>
          <w:rFonts w:asciiTheme="majorHAnsi" w:hAnsiTheme="majorHAnsi" w:cstheme="majorHAnsi"/>
          <w:lang w:val="en-US"/>
        </w:rPr>
        <w:t>. I</w:t>
      </w:r>
      <w:r w:rsidR="00223809" w:rsidRPr="00C918BF">
        <w:rPr>
          <w:rFonts w:asciiTheme="majorHAnsi" w:hAnsiTheme="majorHAnsi" w:cstheme="majorHAnsi"/>
          <w:lang w:val="en-US"/>
        </w:rPr>
        <w:t>n this approach, it w</w:t>
      </w:r>
      <w:r w:rsidR="00984521" w:rsidRPr="00C918BF">
        <w:rPr>
          <w:rFonts w:asciiTheme="majorHAnsi" w:hAnsiTheme="majorHAnsi" w:cstheme="majorHAnsi"/>
          <w:lang w:val="en-US"/>
        </w:rPr>
        <w:t xml:space="preserve">ould </w:t>
      </w:r>
      <w:r w:rsidRPr="00C918BF">
        <w:rPr>
          <w:rFonts w:asciiTheme="majorHAnsi" w:hAnsiTheme="majorHAnsi" w:cstheme="majorHAnsi"/>
          <w:lang w:val="en-US"/>
        </w:rPr>
        <w:t xml:space="preserve">be incumbent on </w:t>
      </w:r>
      <w:r w:rsidR="00223809" w:rsidRPr="00C918BF">
        <w:rPr>
          <w:rFonts w:asciiTheme="majorHAnsi" w:hAnsiTheme="majorHAnsi" w:cstheme="majorHAnsi"/>
          <w:lang w:val="en-US"/>
        </w:rPr>
        <w:t>each P</w:t>
      </w:r>
      <w:r w:rsidRPr="00C918BF">
        <w:rPr>
          <w:rFonts w:asciiTheme="majorHAnsi" w:hAnsiTheme="majorHAnsi" w:cstheme="majorHAnsi"/>
          <w:lang w:val="en-US"/>
        </w:rPr>
        <w:t>rincipal to foster a</w:t>
      </w:r>
      <w:r w:rsidR="001E7D19" w:rsidRPr="00C918BF">
        <w:rPr>
          <w:rFonts w:asciiTheme="majorHAnsi" w:hAnsiTheme="majorHAnsi" w:cstheme="majorHAnsi"/>
          <w:lang w:val="en-US"/>
        </w:rPr>
        <w:t xml:space="preserve"> school </w:t>
      </w:r>
      <w:r w:rsidRPr="00C918BF">
        <w:rPr>
          <w:rFonts w:asciiTheme="majorHAnsi" w:hAnsiTheme="majorHAnsi" w:cstheme="majorHAnsi"/>
          <w:lang w:val="en-US"/>
        </w:rPr>
        <w:t>environment where English language us</w:t>
      </w:r>
      <w:r w:rsidR="001E7D19" w:rsidRPr="00C918BF">
        <w:rPr>
          <w:rFonts w:asciiTheme="majorHAnsi" w:hAnsiTheme="majorHAnsi" w:cstheme="majorHAnsi"/>
          <w:lang w:val="en-US"/>
        </w:rPr>
        <w:t>e</w:t>
      </w:r>
      <w:r w:rsidRPr="00C918BF">
        <w:rPr>
          <w:rFonts w:asciiTheme="majorHAnsi" w:hAnsiTheme="majorHAnsi" w:cstheme="majorHAnsi"/>
          <w:lang w:val="en-US"/>
        </w:rPr>
        <w:t xml:space="preserve"> is norma</w:t>
      </w:r>
      <w:r w:rsidR="00984521" w:rsidRPr="00C918BF">
        <w:rPr>
          <w:rFonts w:asciiTheme="majorHAnsi" w:hAnsiTheme="majorHAnsi" w:cstheme="majorHAnsi"/>
          <w:lang w:val="en-US"/>
        </w:rPr>
        <w:t xml:space="preserve">l </w:t>
      </w:r>
      <w:r w:rsidRPr="00C918BF">
        <w:rPr>
          <w:rFonts w:asciiTheme="majorHAnsi" w:hAnsiTheme="majorHAnsi" w:cstheme="majorHAnsi"/>
          <w:lang w:val="en-US"/>
        </w:rPr>
        <w:t xml:space="preserve">and feasible. </w:t>
      </w:r>
    </w:p>
    <w:p w14:paraId="3D5A7A85" w14:textId="7E7E82E2" w:rsidR="00984521" w:rsidRPr="00C918BF" w:rsidRDefault="00556B22" w:rsidP="00556B22">
      <w:pPr>
        <w:pStyle w:val="BodyText"/>
        <w:rPr>
          <w:rFonts w:asciiTheme="majorHAnsi" w:hAnsiTheme="majorHAnsi" w:cstheme="majorHAnsi"/>
        </w:rPr>
      </w:pPr>
      <w:r w:rsidRPr="00C918BF">
        <w:rPr>
          <w:rFonts w:asciiTheme="majorHAnsi" w:hAnsiTheme="majorHAnsi" w:cstheme="majorHAnsi"/>
          <w:lang w:val="en-US"/>
        </w:rPr>
        <w:t>Kiribati has learned the importance of including the pedagogy of teaching in English in teacher skills. From</w:t>
      </w:r>
      <w:r w:rsidRPr="00C918BF">
        <w:rPr>
          <w:rFonts w:asciiTheme="majorHAnsi" w:hAnsiTheme="majorHAnsi" w:cstheme="majorHAnsi"/>
        </w:rPr>
        <w:t xml:space="preserve"> early in 2015, the KTC-developed TESOL program has been </w:t>
      </w:r>
      <w:r w:rsidR="00984521" w:rsidRPr="00C918BF">
        <w:rPr>
          <w:rFonts w:asciiTheme="majorHAnsi" w:hAnsiTheme="majorHAnsi" w:cstheme="majorHAnsi"/>
        </w:rPr>
        <w:t xml:space="preserve">delivered </w:t>
      </w:r>
      <w:r w:rsidRPr="00C918BF">
        <w:rPr>
          <w:rFonts w:asciiTheme="majorHAnsi" w:hAnsiTheme="majorHAnsi" w:cstheme="majorHAnsi"/>
        </w:rPr>
        <w:t xml:space="preserve">for </w:t>
      </w:r>
      <w:r w:rsidR="00984521" w:rsidRPr="00C918BF">
        <w:rPr>
          <w:rFonts w:asciiTheme="majorHAnsi" w:hAnsiTheme="majorHAnsi" w:cstheme="majorHAnsi"/>
        </w:rPr>
        <w:t xml:space="preserve">those </w:t>
      </w:r>
      <w:r w:rsidRPr="00C918BF">
        <w:rPr>
          <w:rFonts w:asciiTheme="majorHAnsi" w:hAnsiTheme="majorHAnsi" w:cstheme="majorHAnsi"/>
        </w:rPr>
        <w:t>Year 4 teachers implementing the curriculum reforms, with the intention of extending the training to higher grades</w:t>
      </w:r>
      <w:r w:rsidR="00984521" w:rsidRPr="00C918BF">
        <w:rPr>
          <w:rFonts w:asciiTheme="majorHAnsi" w:hAnsiTheme="majorHAnsi" w:cstheme="majorHAnsi"/>
        </w:rPr>
        <w:t xml:space="preserve">, aimed at </w:t>
      </w:r>
      <w:r w:rsidRPr="00C918BF">
        <w:rPr>
          <w:rFonts w:asciiTheme="majorHAnsi" w:hAnsiTheme="majorHAnsi" w:cstheme="majorHAnsi"/>
        </w:rPr>
        <w:t>balanc</w:t>
      </w:r>
      <w:r w:rsidR="00984521" w:rsidRPr="00C918BF">
        <w:rPr>
          <w:rFonts w:asciiTheme="majorHAnsi" w:hAnsiTheme="majorHAnsi" w:cstheme="majorHAnsi"/>
        </w:rPr>
        <w:t xml:space="preserve">ing </w:t>
      </w:r>
      <w:r w:rsidRPr="00C918BF">
        <w:rPr>
          <w:rFonts w:asciiTheme="majorHAnsi" w:hAnsiTheme="majorHAnsi" w:cstheme="majorHAnsi"/>
        </w:rPr>
        <w:t xml:space="preserve">improving language proficiency and language teaching skills. </w:t>
      </w:r>
      <w:r w:rsidR="00C92F03">
        <w:rPr>
          <w:rFonts w:asciiTheme="majorHAnsi" w:hAnsiTheme="majorHAnsi" w:cstheme="majorHAnsi"/>
        </w:rPr>
        <w:t xml:space="preserve">However, the training of teachers </w:t>
      </w:r>
      <w:r w:rsidR="00644002">
        <w:rPr>
          <w:rFonts w:asciiTheme="majorHAnsi" w:hAnsiTheme="majorHAnsi" w:cstheme="majorHAnsi"/>
        </w:rPr>
        <w:t>in</w:t>
      </w:r>
      <w:r w:rsidR="00C92F03">
        <w:rPr>
          <w:rFonts w:asciiTheme="majorHAnsi" w:hAnsiTheme="majorHAnsi" w:cstheme="majorHAnsi"/>
        </w:rPr>
        <w:t xml:space="preserve"> English, in isolation to the </w:t>
      </w:r>
      <w:r w:rsidR="00644002">
        <w:rPr>
          <w:rFonts w:asciiTheme="majorHAnsi" w:hAnsiTheme="majorHAnsi" w:cstheme="majorHAnsi"/>
        </w:rPr>
        <w:t xml:space="preserve">working </w:t>
      </w:r>
      <w:r w:rsidR="00C92F03">
        <w:rPr>
          <w:rFonts w:asciiTheme="majorHAnsi" w:hAnsiTheme="majorHAnsi" w:cstheme="majorHAnsi"/>
        </w:rPr>
        <w:t xml:space="preserve">environment in the schools and classrooms, has not achieved the anticipated increase in </w:t>
      </w:r>
      <w:r w:rsidR="00644002">
        <w:rPr>
          <w:rFonts w:asciiTheme="majorHAnsi" w:hAnsiTheme="majorHAnsi" w:cstheme="majorHAnsi"/>
        </w:rPr>
        <w:t xml:space="preserve">macro skills and remains a work in progress. A coordinated commitment, by the individual teachers, their leadership in the schools, the IECs and from the MoE, will be needed to nurture and sustain the school working environment, so that English proficiency is not lost once the language training is completed. </w:t>
      </w:r>
    </w:p>
    <w:p w14:paraId="531B04F3" w14:textId="7386DC74" w:rsidR="00556B22" w:rsidRPr="00C918BF" w:rsidRDefault="00984521" w:rsidP="00556B22">
      <w:pPr>
        <w:pStyle w:val="BodyText"/>
        <w:rPr>
          <w:rFonts w:asciiTheme="majorHAnsi" w:hAnsiTheme="majorHAnsi" w:cstheme="majorHAnsi"/>
        </w:rPr>
      </w:pPr>
      <w:r w:rsidRPr="00C918BF">
        <w:rPr>
          <w:rFonts w:asciiTheme="majorHAnsi" w:hAnsiTheme="majorHAnsi" w:cstheme="majorHAnsi"/>
        </w:rPr>
        <w:t xml:space="preserve">Early in KEIP </w:t>
      </w:r>
      <w:r w:rsidR="00743616">
        <w:rPr>
          <w:rFonts w:asciiTheme="majorHAnsi" w:hAnsiTheme="majorHAnsi" w:cstheme="majorHAnsi"/>
        </w:rPr>
        <w:t>Phase 3</w:t>
      </w:r>
      <w:r w:rsidRPr="00C918BF">
        <w:rPr>
          <w:rFonts w:asciiTheme="majorHAnsi" w:hAnsiTheme="majorHAnsi" w:cstheme="majorHAnsi"/>
        </w:rPr>
        <w:t xml:space="preserve"> it will be </w:t>
      </w:r>
      <w:r w:rsidR="00B93D08" w:rsidRPr="00C918BF">
        <w:rPr>
          <w:rFonts w:asciiTheme="majorHAnsi" w:hAnsiTheme="majorHAnsi" w:cstheme="majorHAnsi"/>
        </w:rPr>
        <w:t>a</w:t>
      </w:r>
      <w:r w:rsidR="00223809" w:rsidRPr="00C918BF">
        <w:rPr>
          <w:rFonts w:asciiTheme="majorHAnsi" w:hAnsiTheme="majorHAnsi" w:cstheme="majorHAnsi"/>
        </w:rPr>
        <w:t xml:space="preserve"> priority to work with the MoE and KTC to review language</w:t>
      </w:r>
      <w:r w:rsidRPr="00C918BF">
        <w:rPr>
          <w:rFonts w:asciiTheme="majorHAnsi" w:hAnsiTheme="majorHAnsi" w:cstheme="majorHAnsi"/>
        </w:rPr>
        <w:t xml:space="preserve"> programs to date and </w:t>
      </w:r>
      <w:r w:rsidR="00223809" w:rsidRPr="00C918BF">
        <w:rPr>
          <w:rFonts w:asciiTheme="majorHAnsi" w:hAnsiTheme="majorHAnsi" w:cstheme="majorHAnsi"/>
        </w:rPr>
        <w:t>address</w:t>
      </w:r>
      <w:r w:rsidRPr="00C918BF">
        <w:rPr>
          <w:rFonts w:asciiTheme="majorHAnsi" w:hAnsiTheme="majorHAnsi" w:cstheme="majorHAnsi"/>
        </w:rPr>
        <w:t xml:space="preserve"> the</w:t>
      </w:r>
      <w:r w:rsidR="00223809" w:rsidRPr="00C918BF">
        <w:rPr>
          <w:rFonts w:asciiTheme="majorHAnsi" w:hAnsiTheme="majorHAnsi" w:cstheme="majorHAnsi"/>
        </w:rPr>
        <w:t xml:space="preserve"> ongoing maintenance of English language acquisition of teachers and students in primary school, as well as the </w:t>
      </w:r>
      <w:r w:rsidR="00556B22" w:rsidRPr="00C918BF">
        <w:rPr>
          <w:rFonts w:asciiTheme="majorHAnsi" w:hAnsiTheme="majorHAnsi" w:cstheme="majorHAnsi"/>
        </w:rPr>
        <w:t>importance of language acquisition for students</w:t>
      </w:r>
      <w:r w:rsidR="00223809" w:rsidRPr="00C918BF">
        <w:rPr>
          <w:rFonts w:asciiTheme="majorHAnsi" w:hAnsiTheme="majorHAnsi" w:cstheme="majorHAnsi"/>
        </w:rPr>
        <w:t xml:space="preserve"> in the </w:t>
      </w:r>
      <w:r w:rsidR="00556B22" w:rsidRPr="00C918BF">
        <w:rPr>
          <w:rFonts w:asciiTheme="majorHAnsi" w:hAnsiTheme="majorHAnsi" w:cstheme="majorHAnsi"/>
        </w:rPr>
        <w:t xml:space="preserve">successful learning </w:t>
      </w:r>
      <w:r w:rsidR="00223809" w:rsidRPr="00C918BF">
        <w:rPr>
          <w:rFonts w:asciiTheme="majorHAnsi" w:hAnsiTheme="majorHAnsi" w:cstheme="majorHAnsi"/>
        </w:rPr>
        <w:t xml:space="preserve">of academic </w:t>
      </w:r>
      <w:r w:rsidR="00644002">
        <w:rPr>
          <w:rFonts w:asciiTheme="majorHAnsi" w:hAnsiTheme="majorHAnsi" w:cstheme="majorHAnsi"/>
        </w:rPr>
        <w:t>subjects</w:t>
      </w:r>
      <w:r w:rsidR="00223809" w:rsidRPr="00C918BF">
        <w:rPr>
          <w:rFonts w:asciiTheme="majorHAnsi" w:hAnsiTheme="majorHAnsi" w:cstheme="majorHAnsi"/>
        </w:rPr>
        <w:t xml:space="preserve"> into secondary school.</w:t>
      </w:r>
      <w:r w:rsidR="001E7D19" w:rsidRPr="00C918BF">
        <w:rPr>
          <w:rFonts w:asciiTheme="majorHAnsi" w:hAnsiTheme="majorHAnsi" w:cstheme="majorHAnsi"/>
        </w:rPr>
        <w:t xml:space="preserve"> KEIP </w:t>
      </w:r>
      <w:r w:rsidR="00743616">
        <w:rPr>
          <w:rFonts w:asciiTheme="majorHAnsi" w:hAnsiTheme="majorHAnsi" w:cstheme="majorHAnsi"/>
        </w:rPr>
        <w:t>Phase 3</w:t>
      </w:r>
      <w:r w:rsidR="001E7D19" w:rsidRPr="00C918BF">
        <w:rPr>
          <w:rFonts w:asciiTheme="majorHAnsi" w:hAnsiTheme="majorHAnsi" w:cstheme="majorHAnsi"/>
        </w:rPr>
        <w:t xml:space="preserve"> will also pilot the use </w:t>
      </w:r>
      <w:r w:rsidR="00963E2D" w:rsidRPr="00C918BF">
        <w:rPr>
          <w:rFonts w:asciiTheme="majorHAnsi" w:hAnsiTheme="majorHAnsi" w:cstheme="majorHAnsi"/>
        </w:rPr>
        <w:t>of</w:t>
      </w:r>
      <w:r w:rsidR="001E7D19" w:rsidRPr="00C918BF">
        <w:rPr>
          <w:rFonts w:asciiTheme="majorHAnsi" w:hAnsiTheme="majorHAnsi" w:cstheme="majorHAnsi"/>
        </w:rPr>
        <w:t xml:space="preserve"> </w:t>
      </w:r>
      <w:r w:rsidR="006C16F5" w:rsidRPr="00C918BF">
        <w:rPr>
          <w:rFonts w:asciiTheme="majorHAnsi" w:hAnsiTheme="majorHAnsi" w:cstheme="majorHAnsi"/>
        </w:rPr>
        <w:t xml:space="preserve">computer </w:t>
      </w:r>
      <w:r w:rsidR="00B93D08" w:rsidRPr="00C918BF">
        <w:rPr>
          <w:rFonts w:asciiTheme="majorHAnsi" w:hAnsiTheme="majorHAnsi" w:cstheme="majorHAnsi"/>
        </w:rPr>
        <w:t xml:space="preserve">tablets </w:t>
      </w:r>
      <w:r w:rsidR="001E7D19" w:rsidRPr="00C918BF">
        <w:rPr>
          <w:rFonts w:asciiTheme="majorHAnsi" w:hAnsiTheme="majorHAnsi" w:cstheme="majorHAnsi"/>
        </w:rPr>
        <w:t xml:space="preserve">for teachers and students, providing a rich source of learning materials and information </w:t>
      </w:r>
      <w:r w:rsidR="00020215">
        <w:rPr>
          <w:rFonts w:asciiTheme="majorHAnsi" w:hAnsiTheme="majorHAnsi" w:cstheme="majorHAnsi"/>
        </w:rPr>
        <w:t xml:space="preserve">(including presenting learning materials via the tablet by a native language speaker) </w:t>
      </w:r>
      <w:r w:rsidR="001E7D19" w:rsidRPr="00C918BF">
        <w:rPr>
          <w:rFonts w:asciiTheme="majorHAnsi" w:hAnsiTheme="majorHAnsi" w:cstheme="majorHAnsi"/>
        </w:rPr>
        <w:t xml:space="preserve">that may assist both teachers and students to maintain and extend their </w:t>
      </w:r>
      <w:r w:rsidR="00020215">
        <w:rPr>
          <w:rFonts w:asciiTheme="majorHAnsi" w:hAnsiTheme="majorHAnsi" w:cstheme="majorHAnsi"/>
        </w:rPr>
        <w:t xml:space="preserve">language use and </w:t>
      </w:r>
      <w:r w:rsidR="001E7D19" w:rsidRPr="00C918BF">
        <w:rPr>
          <w:rFonts w:asciiTheme="majorHAnsi" w:hAnsiTheme="majorHAnsi" w:cstheme="majorHAnsi"/>
        </w:rPr>
        <w:t>proficiency</w:t>
      </w:r>
    </w:p>
    <w:p w14:paraId="4E99C6CD" w14:textId="77777777" w:rsidR="00556B22" w:rsidRPr="0060082A" w:rsidRDefault="00556B22" w:rsidP="00CD6138">
      <w:pPr>
        <w:pStyle w:val="Heading3"/>
      </w:pPr>
      <w:bookmarkStart w:id="80" w:name="_Toc461615715"/>
      <w:r w:rsidRPr="0060082A">
        <w:t xml:space="preserve">Leadership in the </w:t>
      </w:r>
      <w:r w:rsidR="001E7D19" w:rsidRPr="0060082A">
        <w:t xml:space="preserve">Education </w:t>
      </w:r>
      <w:r w:rsidRPr="0060082A">
        <w:t>Sector</w:t>
      </w:r>
      <w:bookmarkEnd w:id="80"/>
    </w:p>
    <w:p w14:paraId="7C6C8F38" w14:textId="55C9B9BA" w:rsidR="00076E72" w:rsidRPr="00A05C2A" w:rsidRDefault="00591792" w:rsidP="00556B22">
      <w:pPr>
        <w:pStyle w:val="BodyText"/>
        <w:rPr>
          <w:rFonts w:asciiTheme="majorHAnsi" w:hAnsiTheme="majorHAnsi" w:cstheme="majorHAnsi"/>
          <w:spacing w:val="2"/>
        </w:rPr>
      </w:pPr>
      <w:r w:rsidRPr="00A05C2A">
        <w:rPr>
          <w:rFonts w:asciiTheme="majorHAnsi" w:hAnsiTheme="majorHAnsi" w:cstheme="majorHAnsi"/>
          <w:spacing w:val="2"/>
        </w:rPr>
        <w:t>T</w:t>
      </w:r>
      <w:r w:rsidR="00556B22" w:rsidRPr="00A05C2A">
        <w:rPr>
          <w:rFonts w:asciiTheme="majorHAnsi" w:hAnsiTheme="majorHAnsi" w:cstheme="majorHAnsi"/>
          <w:spacing w:val="2"/>
        </w:rPr>
        <w:t xml:space="preserve">he 2016-19 ESSP </w:t>
      </w:r>
      <w:r w:rsidRPr="00A05C2A">
        <w:rPr>
          <w:rFonts w:asciiTheme="majorHAnsi" w:hAnsiTheme="majorHAnsi" w:cstheme="majorHAnsi"/>
          <w:spacing w:val="2"/>
        </w:rPr>
        <w:t xml:space="preserve">has </w:t>
      </w:r>
      <w:r w:rsidR="00556B22" w:rsidRPr="00A05C2A">
        <w:rPr>
          <w:rFonts w:asciiTheme="majorHAnsi" w:hAnsiTheme="majorHAnsi" w:cstheme="majorHAnsi"/>
          <w:spacing w:val="2"/>
        </w:rPr>
        <w:t>stress</w:t>
      </w:r>
      <w:r w:rsidR="00CD0063" w:rsidRPr="00A05C2A">
        <w:rPr>
          <w:rFonts w:asciiTheme="majorHAnsi" w:hAnsiTheme="majorHAnsi" w:cstheme="majorHAnsi"/>
          <w:spacing w:val="2"/>
        </w:rPr>
        <w:t>ed</w:t>
      </w:r>
      <w:r w:rsidR="00556B22" w:rsidRPr="00A05C2A">
        <w:rPr>
          <w:rFonts w:asciiTheme="majorHAnsi" w:hAnsiTheme="majorHAnsi" w:cstheme="majorHAnsi"/>
          <w:spacing w:val="2"/>
        </w:rPr>
        <w:t xml:space="preserve"> the need for </w:t>
      </w:r>
      <w:r w:rsidR="00CD0063" w:rsidRPr="00A05C2A">
        <w:rPr>
          <w:rFonts w:asciiTheme="majorHAnsi" w:hAnsiTheme="majorHAnsi" w:cstheme="majorHAnsi"/>
          <w:spacing w:val="2"/>
        </w:rPr>
        <w:t xml:space="preserve">MoE </w:t>
      </w:r>
      <w:r w:rsidR="00556B22" w:rsidRPr="00A05C2A">
        <w:rPr>
          <w:rFonts w:asciiTheme="majorHAnsi" w:hAnsiTheme="majorHAnsi" w:cstheme="majorHAnsi"/>
          <w:spacing w:val="2"/>
        </w:rPr>
        <w:t xml:space="preserve">executive leadership to sustain the reform process. </w:t>
      </w:r>
      <w:r w:rsidRPr="00A05C2A">
        <w:rPr>
          <w:rFonts w:asciiTheme="majorHAnsi" w:hAnsiTheme="majorHAnsi" w:cstheme="majorHAnsi"/>
          <w:spacing w:val="2"/>
        </w:rPr>
        <w:t>With the</w:t>
      </w:r>
      <w:r w:rsidR="00556B22" w:rsidRPr="00A05C2A">
        <w:rPr>
          <w:rFonts w:asciiTheme="majorHAnsi" w:hAnsiTheme="majorHAnsi" w:cstheme="majorHAnsi"/>
          <w:spacing w:val="2"/>
        </w:rPr>
        <w:t xml:space="preserve"> 2011-15 ESSP not </w:t>
      </w:r>
      <w:r w:rsidRPr="00A05C2A">
        <w:rPr>
          <w:rFonts w:asciiTheme="majorHAnsi" w:hAnsiTheme="majorHAnsi" w:cstheme="majorHAnsi"/>
          <w:spacing w:val="2"/>
        </w:rPr>
        <w:t xml:space="preserve">being </w:t>
      </w:r>
      <w:r w:rsidR="00556B22" w:rsidRPr="00A05C2A">
        <w:rPr>
          <w:rFonts w:asciiTheme="majorHAnsi" w:hAnsiTheme="majorHAnsi" w:cstheme="majorHAnsi"/>
          <w:spacing w:val="2"/>
        </w:rPr>
        <w:t>supported by an expenditure framework</w:t>
      </w:r>
      <w:r w:rsidRPr="00A05C2A">
        <w:rPr>
          <w:rFonts w:asciiTheme="majorHAnsi" w:hAnsiTheme="majorHAnsi" w:cstheme="majorHAnsi"/>
          <w:spacing w:val="2"/>
        </w:rPr>
        <w:t xml:space="preserve">, the </w:t>
      </w:r>
      <w:r w:rsidR="00556B22" w:rsidRPr="00A05C2A">
        <w:rPr>
          <w:rFonts w:asciiTheme="majorHAnsi" w:hAnsiTheme="majorHAnsi" w:cstheme="majorHAnsi"/>
          <w:spacing w:val="2"/>
        </w:rPr>
        <w:t xml:space="preserve">MoE divisions </w:t>
      </w:r>
      <w:r w:rsidRPr="00A05C2A">
        <w:rPr>
          <w:rFonts w:asciiTheme="majorHAnsi" w:hAnsiTheme="majorHAnsi" w:cstheme="majorHAnsi"/>
          <w:spacing w:val="2"/>
        </w:rPr>
        <w:t xml:space="preserve">therefore </w:t>
      </w:r>
      <w:r w:rsidR="00556B22" w:rsidRPr="00A05C2A">
        <w:rPr>
          <w:rFonts w:asciiTheme="majorHAnsi" w:hAnsiTheme="majorHAnsi" w:cstheme="majorHAnsi"/>
          <w:spacing w:val="2"/>
        </w:rPr>
        <w:t xml:space="preserve">did not plan to </w:t>
      </w:r>
      <w:r w:rsidRPr="00A05C2A">
        <w:rPr>
          <w:rFonts w:asciiTheme="majorHAnsi" w:hAnsiTheme="majorHAnsi" w:cstheme="majorHAnsi"/>
          <w:spacing w:val="2"/>
        </w:rPr>
        <w:t xml:space="preserve">the ESSP </w:t>
      </w:r>
      <w:r w:rsidR="00556B22" w:rsidRPr="00A05C2A">
        <w:rPr>
          <w:rFonts w:asciiTheme="majorHAnsi" w:hAnsiTheme="majorHAnsi" w:cstheme="majorHAnsi"/>
          <w:spacing w:val="2"/>
        </w:rPr>
        <w:t>performance framework. The KEIP Independent Evaluation found that "for MoE, the ESSP, and its associated</w:t>
      </w:r>
      <w:r w:rsidR="00076E72" w:rsidRPr="00A05C2A">
        <w:rPr>
          <w:rFonts w:asciiTheme="majorHAnsi" w:hAnsiTheme="majorHAnsi" w:cstheme="majorHAnsi"/>
          <w:spacing w:val="2"/>
        </w:rPr>
        <w:t xml:space="preserve"> MEF </w:t>
      </w:r>
      <w:r w:rsidR="00556B22" w:rsidRPr="00A05C2A">
        <w:rPr>
          <w:rFonts w:asciiTheme="majorHAnsi" w:hAnsiTheme="majorHAnsi" w:cstheme="majorHAnsi"/>
          <w:spacing w:val="2"/>
        </w:rPr>
        <w:t>are viewed more as passive documents rather than active tools."</w:t>
      </w:r>
      <w:r w:rsidR="00556B22" w:rsidRPr="0060082A">
        <w:rPr>
          <w:rStyle w:val="FootnoteReference"/>
          <w:rFonts w:asciiTheme="majorHAnsi" w:eastAsia="Cambria" w:hAnsiTheme="majorHAnsi" w:cstheme="majorHAnsi"/>
          <w:spacing w:val="2"/>
          <w:szCs w:val="20"/>
        </w:rPr>
        <w:footnoteReference w:id="22"/>
      </w:r>
      <w:r w:rsidR="00556B22" w:rsidRPr="0060082A">
        <w:rPr>
          <w:rStyle w:val="FootnoteReference"/>
          <w:rFonts w:asciiTheme="majorHAnsi" w:eastAsia="Cambria" w:hAnsiTheme="majorHAnsi" w:cstheme="majorHAnsi"/>
          <w:spacing w:val="2"/>
          <w:szCs w:val="20"/>
        </w:rPr>
        <w:t xml:space="preserve"> </w:t>
      </w:r>
    </w:p>
    <w:p w14:paraId="6BBF54FF" w14:textId="1F8CCD65" w:rsidR="00556B22" w:rsidRPr="00C918BF" w:rsidRDefault="00556B22" w:rsidP="00556B22">
      <w:pPr>
        <w:pStyle w:val="BodyText"/>
        <w:rPr>
          <w:rFonts w:asciiTheme="majorHAnsi" w:hAnsiTheme="majorHAnsi" w:cstheme="majorHAnsi"/>
        </w:rPr>
      </w:pPr>
      <w:r w:rsidRPr="00C918BF">
        <w:rPr>
          <w:rFonts w:asciiTheme="majorHAnsi" w:hAnsiTheme="majorHAnsi" w:cstheme="majorHAnsi"/>
        </w:rPr>
        <w:t xml:space="preserve">An expenditure framework for the ESSP 2016-2019 is necessary </w:t>
      </w:r>
      <w:r w:rsidR="00076E72" w:rsidRPr="00C918BF">
        <w:rPr>
          <w:rFonts w:asciiTheme="majorHAnsi" w:hAnsiTheme="majorHAnsi" w:cstheme="majorHAnsi"/>
        </w:rPr>
        <w:t xml:space="preserve">and currently being developed to define </w:t>
      </w:r>
      <w:r w:rsidRPr="00C918BF">
        <w:rPr>
          <w:rFonts w:asciiTheme="majorHAnsi" w:hAnsiTheme="majorHAnsi" w:cstheme="majorHAnsi"/>
        </w:rPr>
        <w:t xml:space="preserve">GoK’s priorities for its financing of </w:t>
      </w:r>
      <w:r w:rsidR="00591792">
        <w:rPr>
          <w:rFonts w:asciiTheme="majorHAnsi" w:hAnsiTheme="majorHAnsi" w:cstheme="majorHAnsi"/>
        </w:rPr>
        <w:t xml:space="preserve">all elements of the </w:t>
      </w:r>
      <w:r w:rsidRPr="00C918BF">
        <w:rPr>
          <w:rFonts w:asciiTheme="majorHAnsi" w:hAnsiTheme="majorHAnsi" w:cstheme="majorHAnsi"/>
        </w:rPr>
        <w:t>ESSP</w:t>
      </w:r>
      <w:r w:rsidR="00076E72" w:rsidRPr="00C918BF">
        <w:rPr>
          <w:rFonts w:asciiTheme="majorHAnsi" w:hAnsiTheme="majorHAnsi" w:cstheme="majorHAnsi"/>
        </w:rPr>
        <w:t xml:space="preserve"> </w:t>
      </w:r>
      <w:r w:rsidR="00800081" w:rsidRPr="00C918BF">
        <w:rPr>
          <w:rFonts w:asciiTheme="majorHAnsi" w:hAnsiTheme="majorHAnsi" w:cstheme="majorHAnsi"/>
        </w:rPr>
        <w:t>2016</w:t>
      </w:r>
      <w:r w:rsidR="00076E72" w:rsidRPr="00C918BF">
        <w:rPr>
          <w:rFonts w:asciiTheme="majorHAnsi" w:hAnsiTheme="majorHAnsi" w:cstheme="majorHAnsi"/>
        </w:rPr>
        <w:t xml:space="preserve">-2019. This will </w:t>
      </w:r>
      <w:r w:rsidR="00591792">
        <w:rPr>
          <w:rFonts w:asciiTheme="majorHAnsi" w:hAnsiTheme="majorHAnsi" w:cstheme="majorHAnsi"/>
        </w:rPr>
        <w:t xml:space="preserve">help </w:t>
      </w:r>
      <w:r w:rsidR="00076E72" w:rsidRPr="00C918BF">
        <w:rPr>
          <w:rFonts w:asciiTheme="majorHAnsi" w:hAnsiTheme="majorHAnsi" w:cstheme="majorHAnsi"/>
        </w:rPr>
        <w:t xml:space="preserve">guide </w:t>
      </w:r>
      <w:r w:rsidRPr="00C918BF">
        <w:rPr>
          <w:rFonts w:asciiTheme="majorHAnsi" w:hAnsiTheme="majorHAnsi" w:cstheme="majorHAnsi"/>
        </w:rPr>
        <w:t xml:space="preserve">MoE expenditure </w:t>
      </w:r>
      <w:r w:rsidR="00076E72" w:rsidRPr="00C918BF">
        <w:rPr>
          <w:rFonts w:asciiTheme="majorHAnsi" w:hAnsiTheme="majorHAnsi" w:cstheme="majorHAnsi"/>
        </w:rPr>
        <w:t xml:space="preserve">against the priorities and also provide the </w:t>
      </w:r>
      <w:r w:rsidRPr="00C918BF">
        <w:rPr>
          <w:rFonts w:asciiTheme="majorHAnsi" w:hAnsiTheme="majorHAnsi" w:cstheme="majorHAnsi"/>
        </w:rPr>
        <w:t xml:space="preserve">basis for negotiating additional financing from other </w:t>
      </w:r>
      <w:r w:rsidR="00076E72" w:rsidRPr="00C918BF">
        <w:rPr>
          <w:rFonts w:asciiTheme="majorHAnsi" w:hAnsiTheme="majorHAnsi" w:cstheme="majorHAnsi"/>
        </w:rPr>
        <w:t xml:space="preserve">development </w:t>
      </w:r>
      <w:r w:rsidRPr="00C918BF">
        <w:rPr>
          <w:rFonts w:asciiTheme="majorHAnsi" w:hAnsiTheme="majorHAnsi" w:cstheme="majorHAnsi"/>
        </w:rPr>
        <w:t>partners.</w:t>
      </w:r>
    </w:p>
    <w:p w14:paraId="262CAC01" w14:textId="7B9EF6D2" w:rsidR="00556B22" w:rsidRPr="00C918BF" w:rsidRDefault="00076E72" w:rsidP="00556B22">
      <w:pPr>
        <w:pStyle w:val="BodyText"/>
        <w:rPr>
          <w:rFonts w:asciiTheme="majorHAnsi" w:hAnsiTheme="majorHAnsi" w:cstheme="majorHAnsi"/>
        </w:rPr>
      </w:pPr>
      <w:r w:rsidRPr="00C918BF">
        <w:rPr>
          <w:rFonts w:asciiTheme="majorHAnsi" w:hAnsiTheme="majorHAnsi" w:cstheme="majorHAnsi"/>
        </w:rPr>
        <w:t xml:space="preserve">Another lesson from </w:t>
      </w:r>
      <w:r w:rsidR="00556B22" w:rsidRPr="00C918BF">
        <w:rPr>
          <w:rFonts w:asciiTheme="majorHAnsi" w:hAnsiTheme="majorHAnsi" w:cstheme="majorHAnsi"/>
        </w:rPr>
        <w:t>progress made in the organisational development of MoE during 2012-1</w:t>
      </w:r>
      <w:r w:rsidRPr="00C918BF">
        <w:rPr>
          <w:rFonts w:asciiTheme="majorHAnsi" w:hAnsiTheme="majorHAnsi" w:cstheme="majorHAnsi"/>
        </w:rPr>
        <w:t>5</w:t>
      </w:r>
      <w:r w:rsidR="00556B22" w:rsidRPr="00C918BF">
        <w:rPr>
          <w:rFonts w:asciiTheme="majorHAnsi" w:hAnsiTheme="majorHAnsi" w:cstheme="majorHAnsi"/>
        </w:rPr>
        <w:t xml:space="preserve"> </w:t>
      </w:r>
      <w:r w:rsidR="00ED3683" w:rsidRPr="00C918BF">
        <w:rPr>
          <w:rFonts w:asciiTheme="majorHAnsi" w:hAnsiTheme="majorHAnsi" w:cstheme="majorHAnsi"/>
        </w:rPr>
        <w:t>was that</w:t>
      </w:r>
      <w:r w:rsidR="00556B22" w:rsidRPr="00C918BF">
        <w:rPr>
          <w:rFonts w:asciiTheme="majorHAnsi" w:hAnsiTheme="majorHAnsi" w:cstheme="majorHAnsi"/>
        </w:rPr>
        <w:t xml:space="preserve"> the role of the Education </w:t>
      </w:r>
      <w:r w:rsidR="00EB2F5C" w:rsidRPr="00C918BF">
        <w:rPr>
          <w:rFonts w:asciiTheme="majorHAnsi" w:hAnsiTheme="majorHAnsi" w:cstheme="majorHAnsi"/>
        </w:rPr>
        <w:t xml:space="preserve">Strategic </w:t>
      </w:r>
      <w:r w:rsidR="00556B22" w:rsidRPr="00C918BF">
        <w:rPr>
          <w:rFonts w:asciiTheme="majorHAnsi" w:hAnsiTheme="majorHAnsi" w:cstheme="majorHAnsi"/>
        </w:rPr>
        <w:t xml:space="preserve">Planning Adviser (ESPA) </w:t>
      </w:r>
      <w:r w:rsidR="00ED3683" w:rsidRPr="00C918BF">
        <w:rPr>
          <w:rFonts w:asciiTheme="majorHAnsi" w:hAnsiTheme="majorHAnsi" w:cstheme="majorHAnsi"/>
        </w:rPr>
        <w:t>wa</w:t>
      </w:r>
      <w:r w:rsidR="00556B22" w:rsidRPr="00C918BF">
        <w:rPr>
          <w:rFonts w:asciiTheme="majorHAnsi" w:hAnsiTheme="majorHAnsi" w:cstheme="majorHAnsi"/>
        </w:rPr>
        <w:t xml:space="preserve">s of central importance to supporting and strengthening MoE strategic planning and management, as well as to the MoE relationship with EPiK as an instrument of accountable governance. The MoE senior management team has ongoing need for </w:t>
      </w:r>
      <w:r w:rsidRPr="00C918BF">
        <w:rPr>
          <w:rFonts w:asciiTheme="majorHAnsi" w:hAnsiTheme="majorHAnsi" w:cstheme="majorHAnsi"/>
        </w:rPr>
        <w:t xml:space="preserve">this specialist </w:t>
      </w:r>
      <w:r w:rsidR="00556B22" w:rsidRPr="00C918BF">
        <w:rPr>
          <w:rFonts w:asciiTheme="majorHAnsi" w:hAnsiTheme="majorHAnsi" w:cstheme="majorHAnsi"/>
        </w:rPr>
        <w:t xml:space="preserve">capacity strengthening, including through mentoring and embedded collaboration. The ESPA support </w:t>
      </w:r>
      <w:r w:rsidRPr="00C918BF">
        <w:rPr>
          <w:rFonts w:asciiTheme="majorHAnsi" w:hAnsiTheme="majorHAnsi" w:cstheme="majorHAnsi"/>
        </w:rPr>
        <w:t xml:space="preserve">forms the backdrop to </w:t>
      </w:r>
      <w:r w:rsidR="00556B22" w:rsidRPr="00C918BF">
        <w:rPr>
          <w:rFonts w:asciiTheme="majorHAnsi" w:hAnsiTheme="majorHAnsi" w:cstheme="majorHAnsi"/>
        </w:rPr>
        <w:t xml:space="preserve">the </w:t>
      </w:r>
      <w:r w:rsidRPr="00C918BF">
        <w:rPr>
          <w:rFonts w:asciiTheme="majorHAnsi" w:hAnsiTheme="majorHAnsi" w:cstheme="majorHAnsi"/>
        </w:rPr>
        <w:t xml:space="preserve">specific </w:t>
      </w:r>
      <w:r w:rsidR="00556B22" w:rsidRPr="00C918BF">
        <w:rPr>
          <w:rFonts w:asciiTheme="majorHAnsi" w:hAnsiTheme="majorHAnsi" w:cstheme="majorHAnsi"/>
        </w:rPr>
        <w:t xml:space="preserve">professional development and </w:t>
      </w:r>
      <w:r w:rsidRPr="00C918BF">
        <w:rPr>
          <w:rFonts w:asciiTheme="majorHAnsi" w:hAnsiTheme="majorHAnsi" w:cstheme="majorHAnsi"/>
        </w:rPr>
        <w:t xml:space="preserve">TA to be </w:t>
      </w:r>
      <w:r w:rsidR="00556B22" w:rsidRPr="00C918BF">
        <w:rPr>
          <w:rFonts w:asciiTheme="majorHAnsi" w:hAnsiTheme="majorHAnsi" w:cstheme="majorHAnsi"/>
        </w:rPr>
        <w:t>provided to MoE leader</w:t>
      </w:r>
      <w:r w:rsidR="00AA31BA" w:rsidRPr="00C918BF">
        <w:rPr>
          <w:rFonts w:asciiTheme="majorHAnsi" w:hAnsiTheme="majorHAnsi" w:cstheme="majorHAnsi"/>
        </w:rPr>
        <w:t xml:space="preserve">ship, in parallel to the resources available </w:t>
      </w:r>
      <w:r w:rsidR="00556B22" w:rsidRPr="00C918BF">
        <w:rPr>
          <w:rFonts w:asciiTheme="majorHAnsi" w:hAnsiTheme="majorHAnsi" w:cstheme="majorHAnsi"/>
        </w:rPr>
        <w:t xml:space="preserve">under KEIP </w:t>
      </w:r>
      <w:r w:rsidR="00743616">
        <w:rPr>
          <w:rFonts w:asciiTheme="majorHAnsi" w:hAnsiTheme="majorHAnsi" w:cstheme="majorHAnsi"/>
        </w:rPr>
        <w:t>Phase 3</w:t>
      </w:r>
      <w:r w:rsidR="00556B22" w:rsidRPr="00C918BF">
        <w:rPr>
          <w:rFonts w:asciiTheme="majorHAnsi" w:hAnsiTheme="majorHAnsi" w:cstheme="majorHAnsi"/>
        </w:rPr>
        <w:t xml:space="preserve">. </w:t>
      </w:r>
    </w:p>
    <w:p w14:paraId="1ACF7576" w14:textId="77777777" w:rsidR="008141DE" w:rsidRPr="0060082A" w:rsidRDefault="008141DE" w:rsidP="00CD6138">
      <w:pPr>
        <w:pStyle w:val="Heading3"/>
      </w:pPr>
      <w:bookmarkStart w:id="81" w:name="_Toc461615716"/>
      <w:r w:rsidRPr="0060082A">
        <w:t>Access to reliable education sector information and data</w:t>
      </w:r>
      <w:bookmarkEnd w:id="81"/>
    </w:p>
    <w:p w14:paraId="23D9F434" w14:textId="5E8F0DBA" w:rsidR="008141DE" w:rsidRPr="0060082A" w:rsidRDefault="00E23F48" w:rsidP="0060082A">
      <w:pPr>
        <w:rPr>
          <w:rFonts w:asciiTheme="majorHAnsi" w:hAnsiTheme="majorHAnsi" w:cstheme="majorHAnsi"/>
        </w:rPr>
      </w:pPr>
      <w:r w:rsidRPr="0060082A">
        <w:rPr>
          <w:rFonts w:asciiTheme="majorHAnsi" w:hAnsiTheme="majorHAnsi" w:cstheme="majorHAnsi"/>
        </w:rPr>
        <w:t xml:space="preserve">There remains limited information available through the MoE on education delivery and </w:t>
      </w:r>
      <w:r w:rsidR="00780A90" w:rsidRPr="0060082A">
        <w:rPr>
          <w:rFonts w:asciiTheme="majorHAnsi" w:hAnsiTheme="majorHAnsi" w:cstheme="majorHAnsi"/>
        </w:rPr>
        <w:t xml:space="preserve">on </w:t>
      </w:r>
      <w:r w:rsidRPr="0060082A">
        <w:rPr>
          <w:rFonts w:asciiTheme="majorHAnsi" w:hAnsiTheme="majorHAnsi" w:cstheme="majorHAnsi"/>
        </w:rPr>
        <w:t xml:space="preserve">achievement. The STAKI results provides an overview across </w:t>
      </w:r>
      <w:r w:rsidR="00780A90" w:rsidRPr="0060082A">
        <w:rPr>
          <w:rFonts w:asciiTheme="majorHAnsi" w:hAnsiTheme="majorHAnsi" w:cstheme="majorHAnsi"/>
        </w:rPr>
        <w:t xml:space="preserve">Kiribati </w:t>
      </w:r>
      <w:r w:rsidRPr="0060082A">
        <w:rPr>
          <w:rFonts w:asciiTheme="majorHAnsi" w:hAnsiTheme="majorHAnsi" w:cstheme="majorHAnsi"/>
        </w:rPr>
        <w:t xml:space="preserve">schools and grades, but there is limited information on what works in the classroom or what efforts and innovations are underway to deliver the new curriculum. </w:t>
      </w:r>
    </w:p>
    <w:p w14:paraId="7B7A3B8A" w14:textId="006AF223" w:rsidR="00E23F48" w:rsidRPr="0060082A" w:rsidRDefault="00E23F48" w:rsidP="0060082A">
      <w:pPr>
        <w:rPr>
          <w:rFonts w:asciiTheme="majorHAnsi" w:hAnsiTheme="majorHAnsi" w:cstheme="majorHAnsi"/>
        </w:rPr>
      </w:pPr>
      <w:r w:rsidRPr="0060082A">
        <w:rPr>
          <w:rFonts w:asciiTheme="majorHAnsi" w:hAnsiTheme="majorHAnsi" w:cstheme="majorHAnsi"/>
        </w:rPr>
        <w:t xml:space="preserve">The limited </w:t>
      </w:r>
      <w:r w:rsidR="00E61CB6" w:rsidRPr="0060082A">
        <w:rPr>
          <w:rFonts w:asciiTheme="majorHAnsi" w:hAnsiTheme="majorHAnsi" w:cstheme="majorHAnsi"/>
        </w:rPr>
        <w:t xml:space="preserve">MoE </w:t>
      </w:r>
      <w:r w:rsidRPr="0060082A">
        <w:rPr>
          <w:rFonts w:asciiTheme="majorHAnsi" w:hAnsiTheme="majorHAnsi" w:cstheme="majorHAnsi"/>
        </w:rPr>
        <w:t xml:space="preserve">capacity for research, data collection and analysis was recognised as a constraint and </w:t>
      </w:r>
      <w:r w:rsidR="00780A90" w:rsidRPr="0060082A">
        <w:rPr>
          <w:rFonts w:asciiTheme="majorHAnsi" w:hAnsiTheme="majorHAnsi" w:cstheme="majorHAnsi"/>
        </w:rPr>
        <w:t xml:space="preserve">considered as </w:t>
      </w:r>
      <w:r w:rsidR="00616724" w:rsidRPr="0060082A">
        <w:rPr>
          <w:rFonts w:asciiTheme="majorHAnsi" w:hAnsiTheme="majorHAnsi" w:cstheme="majorHAnsi"/>
        </w:rPr>
        <w:t xml:space="preserve">a lesson learnt. </w:t>
      </w:r>
      <w:r w:rsidR="006C16F5" w:rsidRPr="0060082A">
        <w:rPr>
          <w:rFonts w:asciiTheme="majorHAnsi" w:hAnsiTheme="majorHAnsi" w:cstheme="majorHAnsi"/>
        </w:rPr>
        <w:t>L</w:t>
      </w:r>
      <w:r w:rsidR="00616724" w:rsidRPr="0060082A">
        <w:rPr>
          <w:rFonts w:asciiTheme="majorHAnsi" w:hAnsiTheme="majorHAnsi" w:cstheme="majorHAnsi"/>
        </w:rPr>
        <w:t xml:space="preserve">imited MoE data </w:t>
      </w:r>
      <w:r w:rsidR="006C16F5" w:rsidRPr="0060082A">
        <w:rPr>
          <w:rFonts w:asciiTheme="majorHAnsi" w:hAnsiTheme="majorHAnsi" w:cstheme="majorHAnsi"/>
        </w:rPr>
        <w:t xml:space="preserve">constrains </w:t>
      </w:r>
      <w:r w:rsidR="00E61CB6" w:rsidRPr="0060082A">
        <w:rPr>
          <w:rFonts w:asciiTheme="majorHAnsi" w:hAnsiTheme="majorHAnsi" w:cstheme="majorHAnsi"/>
        </w:rPr>
        <w:t xml:space="preserve">the </w:t>
      </w:r>
      <w:r w:rsidR="00780A90" w:rsidRPr="0060082A">
        <w:rPr>
          <w:rFonts w:asciiTheme="majorHAnsi" w:hAnsiTheme="majorHAnsi" w:cstheme="majorHAnsi"/>
        </w:rPr>
        <w:t xml:space="preserve">development of </w:t>
      </w:r>
      <w:r w:rsidR="00616724" w:rsidRPr="0060082A">
        <w:rPr>
          <w:rFonts w:asciiTheme="majorHAnsi" w:hAnsiTheme="majorHAnsi" w:cstheme="majorHAnsi"/>
        </w:rPr>
        <w:t xml:space="preserve">education </w:t>
      </w:r>
      <w:r w:rsidR="00E61CB6" w:rsidRPr="0060082A">
        <w:rPr>
          <w:rFonts w:asciiTheme="majorHAnsi" w:hAnsiTheme="majorHAnsi" w:cstheme="majorHAnsi"/>
        </w:rPr>
        <w:t>base line information</w:t>
      </w:r>
      <w:r w:rsidR="00780A90" w:rsidRPr="0060082A">
        <w:rPr>
          <w:rFonts w:asciiTheme="majorHAnsi" w:hAnsiTheme="majorHAnsi" w:cstheme="majorHAnsi"/>
        </w:rPr>
        <w:t xml:space="preserve"> that is</w:t>
      </w:r>
      <w:r w:rsidR="00616724" w:rsidRPr="0060082A">
        <w:rPr>
          <w:rFonts w:asciiTheme="majorHAnsi" w:hAnsiTheme="majorHAnsi" w:cstheme="majorHAnsi"/>
        </w:rPr>
        <w:t xml:space="preserve"> needed</w:t>
      </w:r>
      <w:r w:rsidR="00E61CB6" w:rsidRPr="0060082A">
        <w:rPr>
          <w:rFonts w:asciiTheme="majorHAnsi" w:hAnsiTheme="majorHAnsi" w:cstheme="majorHAnsi"/>
        </w:rPr>
        <w:t xml:space="preserve"> for planning and </w:t>
      </w:r>
      <w:r w:rsidR="00616724" w:rsidRPr="0060082A">
        <w:rPr>
          <w:rFonts w:asciiTheme="majorHAnsi" w:hAnsiTheme="majorHAnsi" w:cstheme="majorHAnsi"/>
        </w:rPr>
        <w:t>decision making. S</w:t>
      </w:r>
      <w:r w:rsidRPr="0060082A">
        <w:rPr>
          <w:rFonts w:asciiTheme="majorHAnsi" w:hAnsiTheme="majorHAnsi" w:cstheme="majorHAnsi"/>
        </w:rPr>
        <w:t xml:space="preserve">everal actions </w:t>
      </w:r>
      <w:r w:rsidR="00780A90" w:rsidRPr="0060082A">
        <w:rPr>
          <w:rFonts w:asciiTheme="majorHAnsi" w:hAnsiTheme="majorHAnsi" w:cstheme="majorHAnsi"/>
        </w:rPr>
        <w:t xml:space="preserve">on strengthening the base line information </w:t>
      </w:r>
      <w:r w:rsidRPr="0060082A">
        <w:rPr>
          <w:rFonts w:asciiTheme="majorHAnsi" w:hAnsiTheme="majorHAnsi" w:cstheme="majorHAnsi"/>
        </w:rPr>
        <w:t xml:space="preserve">were initiated </w:t>
      </w:r>
      <w:r w:rsidR="00616724" w:rsidRPr="0060082A">
        <w:rPr>
          <w:rFonts w:asciiTheme="majorHAnsi" w:hAnsiTheme="majorHAnsi" w:cstheme="majorHAnsi"/>
        </w:rPr>
        <w:t xml:space="preserve">during KEIP Phase </w:t>
      </w:r>
      <w:r w:rsidR="000A49FE">
        <w:rPr>
          <w:rFonts w:asciiTheme="majorHAnsi" w:hAnsiTheme="majorHAnsi" w:cstheme="majorHAnsi"/>
        </w:rPr>
        <w:t>2</w:t>
      </w:r>
      <w:r w:rsidR="00616724" w:rsidRPr="0060082A">
        <w:rPr>
          <w:rFonts w:asciiTheme="majorHAnsi" w:hAnsiTheme="majorHAnsi" w:cstheme="majorHAnsi"/>
        </w:rPr>
        <w:t xml:space="preserve"> </w:t>
      </w:r>
      <w:r w:rsidRPr="0060082A">
        <w:rPr>
          <w:rFonts w:asciiTheme="majorHAnsi" w:hAnsiTheme="majorHAnsi" w:cstheme="majorHAnsi"/>
        </w:rPr>
        <w:t xml:space="preserve">that will need </w:t>
      </w:r>
      <w:r w:rsidR="00780A90" w:rsidRPr="0060082A">
        <w:rPr>
          <w:rFonts w:asciiTheme="majorHAnsi" w:hAnsiTheme="majorHAnsi" w:cstheme="majorHAnsi"/>
        </w:rPr>
        <w:t xml:space="preserve">KEF support </w:t>
      </w:r>
      <w:r w:rsidRPr="0060082A">
        <w:rPr>
          <w:rFonts w:asciiTheme="majorHAnsi" w:hAnsiTheme="majorHAnsi" w:cstheme="majorHAnsi"/>
        </w:rPr>
        <w:t>to continue</w:t>
      </w:r>
      <w:r w:rsidR="007F2F91" w:rsidRPr="0060082A">
        <w:rPr>
          <w:rFonts w:asciiTheme="majorHAnsi" w:hAnsiTheme="majorHAnsi" w:cstheme="majorHAnsi"/>
        </w:rPr>
        <w:t>.</w:t>
      </w:r>
    </w:p>
    <w:p w14:paraId="1B4B165F" w14:textId="6E0AD94B" w:rsidR="00616724" w:rsidRPr="0060082A" w:rsidRDefault="007F2F91" w:rsidP="0060082A">
      <w:pPr>
        <w:rPr>
          <w:rFonts w:asciiTheme="majorHAnsi" w:hAnsiTheme="majorHAnsi" w:cstheme="majorHAnsi"/>
        </w:rPr>
      </w:pPr>
      <w:r w:rsidRPr="0060082A">
        <w:rPr>
          <w:rFonts w:asciiTheme="majorHAnsi" w:hAnsiTheme="majorHAnsi" w:cstheme="majorHAnsi"/>
        </w:rPr>
        <w:t xml:space="preserve">Towards the end of KEIP Phase </w:t>
      </w:r>
      <w:r w:rsidR="000A49FE">
        <w:rPr>
          <w:rFonts w:asciiTheme="majorHAnsi" w:hAnsiTheme="majorHAnsi" w:cstheme="majorHAnsi"/>
        </w:rPr>
        <w:t>2</w:t>
      </w:r>
      <w:r w:rsidRPr="0060082A">
        <w:rPr>
          <w:rFonts w:asciiTheme="majorHAnsi" w:hAnsiTheme="majorHAnsi" w:cstheme="majorHAnsi"/>
        </w:rPr>
        <w:t xml:space="preserve">, the </w:t>
      </w:r>
      <w:r w:rsidR="00E61CB6" w:rsidRPr="0060082A">
        <w:rPr>
          <w:rFonts w:asciiTheme="majorHAnsi" w:hAnsiTheme="majorHAnsi" w:cstheme="majorHAnsi"/>
        </w:rPr>
        <w:t>collection</w:t>
      </w:r>
      <w:r w:rsidRPr="0060082A">
        <w:rPr>
          <w:rFonts w:asciiTheme="majorHAnsi" w:hAnsiTheme="majorHAnsi" w:cstheme="majorHAnsi"/>
        </w:rPr>
        <w:t xml:space="preserve"> of data and research activities were </w:t>
      </w:r>
      <w:r w:rsidR="008141DE" w:rsidRPr="0060082A">
        <w:rPr>
          <w:rFonts w:asciiTheme="majorHAnsi" w:hAnsiTheme="majorHAnsi" w:cstheme="majorHAnsi"/>
        </w:rPr>
        <w:t>scale</w:t>
      </w:r>
      <w:r w:rsidR="00E61CB6" w:rsidRPr="0060082A">
        <w:rPr>
          <w:rFonts w:asciiTheme="majorHAnsi" w:hAnsiTheme="majorHAnsi" w:cstheme="majorHAnsi"/>
        </w:rPr>
        <w:t>d</w:t>
      </w:r>
      <w:r w:rsidR="007237FC" w:rsidRPr="0060082A">
        <w:rPr>
          <w:rFonts w:asciiTheme="majorHAnsi" w:hAnsiTheme="majorHAnsi" w:cstheme="majorHAnsi"/>
        </w:rPr>
        <w:t>-</w:t>
      </w:r>
      <w:r w:rsidR="008141DE" w:rsidRPr="0060082A">
        <w:rPr>
          <w:rFonts w:asciiTheme="majorHAnsi" w:hAnsiTheme="majorHAnsi" w:cstheme="majorHAnsi"/>
        </w:rPr>
        <w:t>up</w:t>
      </w:r>
      <w:r w:rsidR="00616724" w:rsidRPr="0060082A">
        <w:rPr>
          <w:rFonts w:asciiTheme="majorHAnsi" w:hAnsiTheme="majorHAnsi" w:cstheme="majorHAnsi"/>
        </w:rPr>
        <w:t xml:space="preserve"> to gather information and e</w:t>
      </w:r>
      <w:r w:rsidR="008141DE" w:rsidRPr="0060082A">
        <w:rPr>
          <w:rFonts w:asciiTheme="majorHAnsi" w:hAnsiTheme="majorHAnsi" w:cstheme="majorHAnsi"/>
        </w:rPr>
        <w:t xml:space="preserve">vidence </w:t>
      </w:r>
      <w:r w:rsidR="00616724" w:rsidRPr="0060082A">
        <w:rPr>
          <w:rFonts w:asciiTheme="majorHAnsi" w:hAnsiTheme="majorHAnsi" w:cstheme="majorHAnsi"/>
        </w:rPr>
        <w:t xml:space="preserve">from a sample of schools and communities. This proactive approach to research and information collection should be </w:t>
      </w:r>
      <w:r w:rsidR="00780A90" w:rsidRPr="0060082A">
        <w:rPr>
          <w:rFonts w:asciiTheme="majorHAnsi" w:hAnsiTheme="majorHAnsi" w:cstheme="majorHAnsi"/>
        </w:rPr>
        <w:t>maintained</w:t>
      </w:r>
      <w:r w:rsidR="00616724" w:rsidRPr="0060082A">
        <w:rPr>
          <w:rFonts w:asciiTheme="majorHAnsi" w:hAnsiTheme="majorHAnsi" w:cstheme="majorHAnsi"/>
        </w:rPr>
        <w:t xml:space="preserve"> until the MoE has the systems and staff in place to </w:t>
      </w:r>
      <w:r w:rsidR="00780A90" w:rsidRPr="0060082A">
        <w:rPr>
          <w:rFonts w:asciiTheme="majorHAnsi" w:hAnsiTheme="majorHAnsi" w:cstheme="majorHAnsi"/>
        </w:rPr>
        <w:t xml:space="preserve">itself </w:t>
      </w:r>
      <w:r w:rsidR="00616724" w:rsidRPr="0060082A">
        <w:rPr>
          <w:rFonts w:asciiTheme="majorHAnsi" w:hAnsiTheme="majorHAnsi" w:cstheme="majorHAnsi"/>
        </w:rPr>
        <w:t xml:space="preserve">provide appropriate data and </w:t>
      </w:r>
      <w:r w:rsidR="00780A90" w:rsidRPr="0060082A">
        <w:rPr>
          <w:rFonts w:asciiTheme="majorHAnsi" w:hAnsiTheme="majorHAnsi" w:cstheme="majorHAnsi"/>
        </w:rPr>
        <w:t xml:space="preserve">identify </w:t>
      </w:r>
      <w:r w:rsidR="00616724" w:rsidRPr="0060082A">
        <w:rPr>
          <w:rFonts w:asciiTheme="majorHAnsi" w:hAnsiTheme="majorHAnsi" w:cstheme="majorHAnsi"/>
        </w:rPr>
        <w:t xml:space="preserve">trends. Two local research positions within the MoE </w:t>
      </w:r>
      <w:r w:rsidR="00616724" w:rsidRPr="0060082A">
        <w:rPr>
          <w:rFonts w:asciiTheme="majorHAnsi" w:hAnsiTheme="majorHAnsi" w:cstheme="majorHAnsi"/>
        </w:rPr>
        <w:lastRenderedPageBreak/>
        <w:t xml:space="preserve">were approved by DFAT and funded through KEIP Phase </w:t>
      </w:r>
      <w:r w:rsidR="000A49FE">
        <w:rPr>
          <w:rFonts w:asciiTheme="majorHAnsi" w:hAnsiTheme="majorHAnsi" w:cstheme="majorHAnsi"/>
        </w:rPr>
        <w:t>2</w:t>
      </w:r>
      <w:r w:rsidR="00963E2D" w:rsidRPr="0060082A">
        <w:rPr>
          <w:rFonts w:asciiTheme="majorHAnsi" w:hAnsiTheme="majorHAnsi" w:cstheme="majorHAnsi"/>
        </w:rPr>
        <w:t>,</w:t>
      </w:r>
      <w:r w:rsidR="00616724" w:rsidRPr="0060082A">
        <w:rPr>
          <w:rFonts w:asciiTheme="majorHAnsi" w:hAnsiTheme="majorHAnsi" w:cstheme="majorHAnsi"/>
        </w:rPr>
        <w:t xml:space="preserve"> to focus on the ESSP and KEIP outputs and achievements</w:t>
      </w:r>
      <w:r w:rsidR="00780A90" w:rsidRPr="0060082A">
        <w:rPr>
          <w:rFonts w:asciiTheme="majorHAnsi" w:hAnsiTheme="majorHAnsi" w:cstheme="majorHAnsi"/>
        </w:rPr>
        <w:t>, to be calibrated</w:t>
      </w:r>
      <w:r w:rsidR="00616724" w:rsidRPr="0060082A">
        <w:rPr>
          <w:rFonts w:asciiTheme="majorHAnsi" w:hAnsiTheme="majorHAnsi" w:cstheme="majorHAnsi"/>
        </w:rPr>
        <w:t xml:space="preserve"> against both MoE and ESSP goals.</w:t>
      </w:r>
      <w:r w:rsidR="00612FB4" w:rsidRPr="0060082A">
        <w:rPr>
          <w:rFonts w:asciiTheme="majorHAnsi" w:hAnsiTheme="majorHAnsi" w:cstheme="majorHAnsi"/>
        </w:rPr>
        <w:t xml:space="preserve"> </w:t>
      </w:r>
    </w:p>
    <w:p w14:paraId="2AA5EA18" w14:textId="6F6077A3" w:rsidR="00C31A43" w:rsidRPr="0060082A" w:rsidRDefault="00616724" w:rsidP="0060082A">
      <w:pPr>
        <w:rPr>
          <w:rFonts w:asciiTheme="majorHAnsi" w:hAnsiTheme="majorHAnsi" w:cstheme="majorHAnsi"/>
        </w:rPr>
      </w:pPr>
      <w:r w:rsidRPr="0060082A">
        <w:rPr>
          <w:rFonts w:asciiTheme="majorHAnsi" w:hAnsiTheme="majorHAnsi" w:cstheme="majorHAnsi"/>
        </w:rPr>
        <w:t>Also there is limited opportunity or</w:t>
      </w:r>
      <w:r w:rsidR="00D62856" w:rsidRPr="0060082A">
        <w:rPr>
          <w:rFonts w:asciiTheme="majorHAnsi" w:hAnsiTheme="majorHAnsi" w:cstheme="majorHAnsi"/>
        </w:rPr>
        <w:t xml:space="preserve"> mechanisms </w:t>
      </w:r>
      <w:r w:rsidRPr="0060082A">
        <w:rPr>
          <w:rFonts w:asciiTheme="majorHAnsi" w:hAnsiTheme="majorHAnsi" w:cstheme="majorHAnsi"/>
        </w:rPr>
        <w:t>for the school leaders and (more recently) the IECs to provide consistent and timely information back to MoE on school level management, issues</w:t>
      </w:r>
      <w:r w:rsidR="00780A90" w:rsidRPr="0060082A">
        <w:rPr>
          <w:rFonts w:asciiTheme="majorHAnsi" w:hAnsiTheme="majorHAnsi" w:cstheme="majorHAnsi"/>
        </w:rPr>
        <w:t xml:space="preserve"> in teaching and learning</w:t>
      </w:r>
      <w:r w:rsidRPr="0060082A">
        <w:rPr>
          <w:rFonts w:asciiTheme="majorHAnsi" w:hAnsiTheme="majorHAnsi" w:cstheme="majorHAnsi"/>
        </w:rPr>
        <w:t>, activity monitoring, initiatives</w:t>
      </w:r>
      <w:r w:rsidR="00780A90" w:rsidRPr="0060082A">
        <w:rPr>
          <w:rFonts w:asciiTheme="majorHAnsi" w:hAnsiTheme="majorHAnsi" w:cstheme="majorHAnsi"/>
        </w:rPr>
        <w:t xml:space="preserve"> being made</w:t>
      </w:r>
      <w:r w:rsidRPr="0060082A">
        <w:rPr>
          <w:rFonts w:asciiTheme="majorHAnsi" w:hAnsiTheme="majorHAnsi" w:cstheme="majorHAnsi"/>
        </w:rPr>
        <w:t xml:space="preserve"> or on </w:t>
      </w:r>
      <w:r w:rsidR="00780A90" w:rsidRPr="0060082A">
        <w:rPr>
          <w:rFonts w:asciiTheme="majorHAnsi" w:hAnsiTheme="majorHAnsi" w:cstheme="majorHAnsi"/>
        </w:rPr>
        <w:t xml:space="preserve">the achievement of </w:t>
      </w:r>
      <w:r w:rsidRPr="0060082A">
        <w:rPr>
          <w:rFonts w:asciiTheme="majorHAnsi" w:hAnsiTheme="majorHAnsi" w:cstheme="majorHAnsi"/>
        </w:rPr>
        <w:t xml:space="preserve">outcomes. The proposed provision of tablets to IECs and school leaders, complete with templates for financial and activity reporting back to MoE, </w:t>
      </w:r>
      <w:r w:rsidR="00D62856" w:rsidRPr="0060082A">
        <w:rPr>
          <w:rFonts w:asciiTheme="majorHAnsi" w:hAnsiTheme="majorHAnsi" w:cstheme="majorHAnsi"/>
        </w:rPr>
        <w:t xml:space="preserve">may </w:t>
      </w:r>
      <w:r w:rsidRPr="0060082A">
        <w:rPr>
          <w:rFonts w:asciiTheme="majorHAnsi" w:hAnsiTheme="majorHAnsi" w:cstheme="majorHAnsi"/>
        </w:rPr>
        <w:t>assist in getting information to the centre</w:t>
      </w:r>
      <w:r w:rsidR="00780A90" w:rsidRPr="0060082A">
        <w:rPr>
          <w:rFonts w:asciiTheme="majorHAnsi" w:hAnsiTheme="majorHAnsi" w:cstheme="majorHAnsi"/>
        </w:rPr>
        <w:t xml:space="preserve">, together with </w:t>
      </w:r>
      <w:r w:rsidRPr="0060082A">
        <w:rPr>
          <w:rFonts w:asciiTheme="majorHAnsi" w:hAnsiTheme="majorHAnsi" w:cstheme="majorHAnsi"/>
        </w:rPr>
        <w:t xml:space="preserve">more accurate reporting on what </w:t>
      </w:r>
      <w:r w:rsidR="00780A90" w:rsidRPr="0060082A">
        <w:rPr>
          <w:rFonts w:asciiTheme="majorHAnsi" w:hAnsiTheme="majorHAnsi" w:cstheme="majorHAnsi"/>
        </w:rPr>
        <w:t xml:space="preserve">change </w:t>
      </w:r>
      <w:r w:rsidRPr="0060082A">
        <w:rPr>
          <w:rFonts w:asciiTheme="majorHAnsi" w:hAnsiTheme="majorHAnsi" w:cstheme="majorHAnsi"/>
        </w:rPr>
        <w:t xml:space="preserve">is happening at school and </w:t>
      </w:r>
      <w:r w:rsidR="00780A90" w:rsidRPr="0060082A">
        <w:rPr>
          <w:rFonts w:asciiTheme="majorHAnsi" w:hAnsiTheme="majorHAnsi" w:cstheme="majorHAnsi"/>
        </w:rPr>
        <w:t xml:space="preserve">the </w:t>
      </w:r>
      <w:r w:rsidRPr="0060082A">
        <w:rPr>
          <w:rFonts w:asciiTheme="majorHAnsi" w:hAnsiTheme="majorHAnsi" w:cstheme="majorHAnsi"/>
        </w:rPr>
        <w:t>classroom level.</w:t>
      </w:r>
    </w:p>
    <w:p w14:paraId="3A125B4F" w14:textId="6E03C29E" w:rsidR="007627F4" w:rsidRPr="00DD2CE2" w:rsidRDefault="00942E1B" w:rsidP="00DD2CE2">
      <w:pPr>
        <w:pStyle w:val="Heading1"/>
      </w:pPr>
      <w:bookmarkStart w:id="82" w:name="_Toc453669694"/>
      <w:bookmarkStart w:id="83" w:name="_Toc461615717"/>
      <w:r w:rsidRPr="00DD2CE2">
        <w:t>8</w:t>
      </w:r>
      <w:r w:rsidRPr="00DD2CE2">
        <w:tab/>
      </w:r>
      <w:r w:rsidR="00180909" w:rsidRPr="00DD2CE2">
        <w:t>Final Phase</w:t>
      </w:r>
      <w:r w:rsidR="007627F4" w:rsidRPr="00DD2CE2">
        <w:t xml:space="preserve"> of </w:t>
      </w:r>
      <w:r w:rsidR="005765D4" w:rsidRPr="00DD2CE2">
        <w:t xml:space="preserve">the </w:t>
      </w:r>
      <w:r w:rsidR="00180909" w:rsidRPr="00DD2CE2">
        <w:t xml:space="preserve">KEIP </w:t>
      </w:r>
      <w:r w:rsidR="007627F4" w:rsidRPr="00DD2CE2">
        <w:t>Investment</w:t>
      </w:r>
      <w:bookmarkEnd w:id="82"/>
      <w:bookmarkEnd w:id="83"/>
    </w:p>
    <w:p w14:paraId="6D45AF34" w14:textId="489BF7E6" w:rsidR="00252EFA" w:rsidRPr="0060082A" w:rsidRDefault="00252EFA" w:rsidP="0060082A">
      <w:pPr>
        <w:rPr>
          <w:rFonts w:asciiTheme="majorHAnsi" w:hAnsiTheme="majorHAnsi" w:cstheme="majorHAnsi"/>
        </w:rPr>
      </w:pPr>
      <w:r w:rsidRPr="0060082A">
        <w:rPr>
          <w:rFonts w:asciiTheme="majorHAnsi" w:hAnsiTheme="majorHAnsi" w:cstheme="majorHAnsi"/>
        </w:rPr>
        <w:t xml:space="preserve">The design and now implementation of KEIP </w:t>
      </w:r>
      <w:r w:rsidR="00743616">
        <w:rPr>
          <w:rFonts w:asciiTheme="majorHAnsi" w:hAnsiTheme="majorHAnsi" w:cstheme="majorHAnsi"/>
        </w:rPr>
        <w:t>Phase 3</w:t>
      </w:r>
      <w:r w:rsidRPr="0060082A">
        <w:rPr>
          <w:rFonts w:asciiTheme="majorHAnsi" w:hAnsiTheme="majorHAnsi" w:cstheme="majorHAnsi"/>
        </w:rPr>
        <w:t xml:space="preserve"> </w:t>
      </w:r>
      <w:r w:rsidR="000D4E30" w:rsidRPr="0060082A">
        <w:rPr>
          <w:rFonts w:asciiTheme="majorHAnsi" w:hAnsiTheme="majorHAnsi" w:cstheme="majorHAnsi"/>
        </w:rPr>
        <w:t xml:space="preserve">(April 2016 to December 2019) </w:t>
      </w:r>
      <w:r w:rsidRPr="0060082A">
        <w:rPr>
          <w:rFonts w:asciiTheme="majorHAnsi" w:hAnsiTheme="majorHAnsi" w:cstheme="majorHAnsi"/>
        </w:rPr>
        <w:t xml:space="preserve">will complete a nine year Australian commitment to supporting improvement to the quality and access in basic education for the people of Kiribati. As the major donor in support of Kiribati’s basic education system reform, Australia has a long term commitment </w:t>
      </w:r>
      <w:r w:rsidR="00C603D3" w:rsidRPr="0060082A">
        <w:rPr>
          <w:rFonts w:asciiTheme="majorHAnsi" w:hAnsiTheme="majorHAnsi" w:cstheme="majorHAnsi"/>
        </w:rPr>
        <w:t xml:space="preserve">to Kiribati, </w:t>
      </w:r>
      <w:r w:rsidRPr="0060082A">
        <w:rPr>
          <w:rFonts w:asciiTheme="majorHAnsi" w:hAnsiTheme="majorHAnsi" w:cstheme="majorHAnsi"/>
        </w:rPr>
        <w:t xml:space="preserve">an interest that commenced with the </w:t>
      </w:r>
      <w:r w:rsidR="00A27114" w:rsidRPr="0060082A">
        <w:rPr>
          <w:rFonts w:asciiTheme="majorHAnsi" w:hAnsiTheme="majorHAnsi" w:cstheme="majorHAnsi"/>
        </w:rPr>
        <w:t>MoE</w:t>
      </w:r>
      <w:r w:rsidRPr="0060082A">
        <w:rPr>
          <w:rFonts w:asciiTheme="majorHAnsi" w:hAnsiTheme="majorHAnsi" w:cstheme="majorHAnsi"/>
        </w:rPr>
        <w:t xml:space="preserve"> in 1998. This relationship has proven to be an enduring</w:t>
      </w:r>
      <w:r w:rsidR="00A27114" w:rsidRPr="0060082A">
        <w:rPr>
          <w:rFonts w:asciiTheme="majorHAnsi" w:hAnsiTheme="majorHAnsi" w:cstheme="majorHAnsi"/>
        </w:rPr>
        <w:t>ly</w:t>
      </w:r>
      <w:r w:rsidRPr="0060082A">
        <w:rPr>
          <w:rFonts w:asciiTheme="majorHAnsi" w:hAnsiTheme="majorHAnsi" w:cstheme="majorHAnsi"/>
        </w:rPr>
        <w:t xml:space="preserve"> positive one</w:t>
      </w:r>
      <w:r w:rsidR="00C603D3" w:rsidRPr="0060082A">
        <w:rPr>
          <w:rFonts w:asciiTheme="majorHAnsi" w:hAnsiTheme="majorHAnsi" w:cstheme="majorHAnsi"/>
        </w:rPr>
        <w:t>,</w:t>
      </w:r>
      <w:r w:rsidRPr="0060082A">
        <w:rPr>
          <w:rFonts w:asciiTheme="majorHAnsi" w:hAnsiTheme="majorHAnsi" w:cstheme="majorHAnsi"/>
        </w:rPr>
        <w:t xml:space="preserve"> </w:t>
      </w:r>
      <w:r w:rsidR="00591792" w:rsidRPr="0060082A">
        <w:rPr>
          <w:rFonts w:asciiTheme="majorHAnsi" w:hAnsiTheme="majorHAnsi" w:cstheme="majorHAnsi"/>
        </w:rPr>
        <w:t>which</w:t>
      </w:r>
      <w:r w:rsidRPr="0060082A">
        <w:rPr>
          <w:rFonts w:asciiTheme="majorHAnsi" w:hAnsiTheme="majorHAnsi" w:cstheme="majorHAnsi"/>
        </w:rPr>
        <w:t xml:space="preserve"> has continued to develop and deepen through </w:t>
      </w:r>
      <w:r w:rsidR="00780A90" w:rsidRPr="0060082A">
        <w:rPr>
          <w:rFonts w:asciiTheme="majorHAnsi" w:hAnsiTheme="majorHAnsi" w:cstheme="majorHAnsi"/>
        </w:rPr>
        <w:t xml:space="preserve">the </w:t>
      </w:r>
      <w:r w:rsidR="00C603D3" w:rsidRPr="0060082A">
        <w:rPr>
          <w:rFonts w:asciiTheme="majorHAnsi" w:hAnsiTheme="majorHAnsi" w:cstheme="majorHAnsi"/>
        </w:rPr>
        <w:t xml:space="preserve">implementation of </w:t>
      </w:r>
      <w:r w:rsidRPr="0060082A">
        <w:rPr>
          <w:rFonts w:asciiTheme="majorHAnsi" w:hAnsiTheme="majorHAnsi" w:cstheme="majorHAnsi"/>
        </w:rPr>
        <w:t xml:space="preserve">KEIP Phase </w:t>
      </w:r>
      <w:r w:rsidR="000A49FE">
        <w:rPr>
          <w:rFonts w:asciiTheme="majorHAnsi" w:hAnsiTheme="majorHAnsi" w:cstheme="majorHAnsi"/>
        </w:rPr>
        <w:t>2</w:t>
      </w:r>
      <w:r w:rsidR="00C603D3" w:rsidRPr="0060082A">
        <w:rPr>
          <w:rFonts w:asciiTheme="majorHAnsi" w:hAnsiTheme="majorHAnsi" w:cstheme="majorHAnsi"/>
        </w:rPr>
        <w:t xml:space="preserve"> and the design process for KEIP </w:t>
      </w:r>
      <w:r w:rsidR="00743616">
        <w:rPr>
          <w:rFonts w:asciiTheme="majorHAnsi" w:hAnsiTheme="majorHAnsi" w:cstheme="majorHAnsi"/>
        </w:rPr>
        <w:t>Phase 3</w:t>
      </w:r>
      <w:r w:rsidRPr="0060082A">
        <w:rPr>
          <w:rFonts w:asciiTheme="majorHAnsi" w:hAnsiTheme="majorHAnsi" w:cstheme="majorHAnsi"/>
        </w:rPr>
        <w:t xml:space="preserve">. </w:t>
      </w:r>
    </w:p>
    <w:p w14:paraId="255F3F00" w14:textId="6CF3B15A" w:rsidR="00252EFA" w:rsidRPr="0060082A" w:rsidRDefault="00252EFA" w:rsidP="0060082A">
      <w:pPr>
        <w:rPr>
          <w:rFonts w:asciiTheme="majorHAnsi" w:hAnsiTheme="majorHAnsi" w:cstheme="majorHAnsi"/>
        </w:rPr>
      </w:pPr>
      <w:r w:rsidRPr="0060082A">
        <w:rPr>
          <w:rFonts w:asciiTheme="majorHAnsi" w:hAnsiTheme="majorHAnsi" w:cstheme="majorHAnsi"/>
        </w:rPr>
        <w:t xml:space="preserve">The partnership and DFAT’s strong engagement and support, are highly visible and broadly valued by </w:t>
      </w:r>
      <w:r w:rsidR="00FE2498" w:rsidRPr="0060082A">
        <w:rPr>
          <w:rFonts w:asciiTheme="majorHAnsi" w:hAnsiTheme="majorHAnsi" w:cstheme="majorHAnsi"/>
        </w:rPr>
        <w:t>I</w:t>
      </w:r>
      <w:r w:rsidRPr="0060082A">
        <w:rPr>
          <w:rFonts w:asciiTheme="majorHAnsi" w:hAnsiTheme="majorHAnsi" w:cstheme="majorHAnsi"/>
        </w:rPr>
        <w:t xml:space="preserve">-Kiribati. Support for the basic education reform and improvement, delivered </w:t>
      </w:r>
      <w:r w:rsidR="00A27114" w:rsidRPr="0060082A">
        <w:rPr>
          <w:rFonts w:asciiTheme="majorHAnsi" w:hAnsiTheme="majorHAnsi" w:cstheme="majorHAnsi"/>
        </w:rPr>
        <w:t>t</w:t>
      </w:r>
      <w:r w:rsidRPr="0060082A">
        <w:rPr>
          <w:rFonts w:asciiTheme="majorHAnsi" w:hAnsiTheme="majorHAnsi" w:cstheme="majorHAnsi"/>
        </w:rPr>
        <w:t xml:space="preserve">o date through KEIP Phase I and </w:t>
      </w:r>
      <w:r w:rsidR="000A49FE">
        <w:rPr>
          <w:rFonts w:asciiTheme="majorHAnsi" w:hAnsiTheme="majorHAnsi" w:cstheme="majorHAnsi"/>
        </w:rPr>
        <w:t>2</w:t>
      </w:r>
      <w:r w:rsidRPr="0060082A">
        <w:rPr>
          <w:rFonts w:asciiTheme="majorHAnsi" w:hAnsiTheme="majorHAnsi" w:cstheme="majorHAnsi"/>
        </w:rPr>
        <w:t xml:space="preserve">, is </w:t>
      </w:r>
      <w:r w:rsidR="00A27114" w:rsidRPr="0060082A">
        <w:rPr>
          <w:rFonts w:asciiTheme="majorHAnsi" w:hAnsiTheme="majorHAnsi" w:cstheme="majorHAnsi"/>
        </w:rPr>
        <w:t xml:space="preserve">a </w:t>
      </w:r>
      <w:r w:rsidRPr="0060082A">
        <w:rPr>
          <w:rFonts w:asciiTheme="majorHAnsi" w:hAnsiTheme="majorHAnsi" w:cstheme="majorHAnsi"/>
        </w:rPr>
        <w:t xml:space="preserve">cornerstone of the Australian aid program in Kiribati and provides a strong basis for policy dialogue on education and on other matters, as well as </w:t>
      </w:r>
      <w:r w:rsidR="00780A90" w:rsidRPr="0060082A">
        <w:rPr>
          <w:rFonts w:asciiTheme="majorHAnsi" w:hAnsiTheme="majorHAnsi" w:cstheme="majorHAnsi"/>
        </w:rPr>
        <w:t xml:space="preserve">significant </w:t>
      </w:r>
      <w:r w:rsidRPr="0060082A">
        <w:rPr>
          <w:rFonts w:asciiTheme="majorHAnsi" w:hAnsiTheme="majorHAnsi" w:cstheme="majorHAnsi"/>
        </w:rPr>
        <w:t>opportunities for public diplomacy.</w:t>
      </w:r>
      <w:r w:rsidR="00D70C8B" w:rsidRPr="0060082A">
        <w:rPr>
          <w:rFonts w:asciiTheme="majorHAnsi" w:hAnsiTheme="majorHAnsi" w:cstheme="majorHAnsi"/>
        </w:rPr>
        <w:t xml:space="preserve"> </w:t>
      </w:r>
    </w:p>
    <w:p w14:paraId="5200A60F" w14:textId="709E41D2" w:rsidR="00252EFA" w:rsidRPr="0060082A" w:rsidRDefault="00105322" w:rsidP="0060082A">
      <w:pPr>
        <w:rPr>
          <w:rFonts w:asciiTheme="majorHAnsi" w:hAnsiTheme="majorHAnsi" w:cstheme="majorHAnsi"/>
          <w:spacing w:val="-2"/>
        </w:rPr>
      </w:pPr>
      <w:r w:rsidRPr="0060082A">
        <w:rPr>
          <w:rFonts w:asciiTheme="majorHAnsi" w:hAnsiTheme="majorHAnsi" w:cstheme="majorHAnsi"/>
          <w:spacing w:val="-2"/>
        </w:rPr>
        <w:t>The strong commitment of the GoK is reflected through the MoE recurrent budget allocation, which has increased steadily in recent years, most recently from $20.3m in 2015 to $22.3m in 2016 (9.5% increase) under the newly elected government.</w:t>
      </w:r>
      <w:r w:rsidR="00612FB4" w:rsidRPr="0060082A">
        <w:rPr>
          <w:rFonts w:asciiTheme="majorHAnsi" w:hAnsiTheme="majorHAnsi" w:cstheme="majorHAnsi"/>
          <w:spacing w:val="-2"/>
        </w:rPr>
        <w:t xml:space="preserve"> </w:t>
      </w:r>
      <w:r w:rsidRPr="0060082A">
        <w:rPr>
          <w:rFonts w:asciiTheme="majorHAnsi" w:hAnsiTheme="majorHAnsi" w:cstheme="majorHAnsi"/>
          <w:spacing w:val="-2"/>
        </w:rPr>
        <w:t>This level of expenditure</w:t>
      </w:r>
      <w:r w:rsidR="006E6B10" w:rsidRPr="0060082A">
        <w:rPr>
          <w:rFonts w:asciiTheme="majorHAnsi" w:hAnsiTheme="majorHAnsi" w:cstheme="majorHAnsi"/>
          <w:spacing w:val="-2"/>
        </w:rPr>
        <w:t xml:space="preserve"> </w:t>
      </w:r>
      <w:r w:rsidR="00252EFA" w:rsidRPr="0060082A">
        <w:rPr>
          <w:rFonts w:asciiTheme="majorHAnsi" w:hAnsiTheme="majorHAnsi" w:cstheme="majorHAnsi"/>
          <w:spacing w:val="-2"/>
        </w:rPr>
        <w:t xml:space="preserve">is comparable to other Pacific Island Countries. This level of </w:t>
      </w:r>
      <w:r w:rsidR="00FE2498" w:rsidRPr="0060082A">
        <w:rPr>
          <w:rFonts w:asciiTheme="majorHAnsi" w:hAnsiTheme="majorHAnsi" w:cstheme="majorHAnsi"/>
          <w:spacing w:val="-2"/>
        </w:rPr>
        <w:t xml:space="preserve">government </w:t>
      </w:r>
      <w:r w:rsidR="00252EFA" w:rsidRPr="0060082A">
        <w:rPr>
          <w:rFonts w:asciiTheme="majorHAnsi" w:hAnsiTheme="majorHAnsi" w:cstheme="majorHAnsi"/>
          <w:spacing w:val="-2"/>
        </w:rPr>
        <w:t xml:space="preserve">expenditure on basic education is another strong foundation in support of Australian funding through KEIP </w:t>
      </w:r>
      <w:r w:rsidR="00743616">
        <w:rPr>
          <w:rFonts w:asciiTheme="majorHAnsi" w:hAnsiTheme="majorHAnsi" w:cstheme="majorHAnsi"/>
          <w:spacing w:val="-2"/>
        </w:rPr>
        <w:t>Phase 3</w:t>
      </w:r>
      <w:r w:rsidR="00252EFA" w:rsidRPr="0060082A">
        <w:rPr>
          <w:rFonts w:asciiTheme="majorHAnsi" w:hAnsiTheme="majorHAnsi" w:cstheme="majorHAnsi"/>
          <w:spacing w:val="-2"/>
        </w:rPr>
        <w:t>, with Australia maintaining its long term commitment to reform, which is on</w:t>
      </w:r>
      <w:r w:rsidR="00C603D3" w:rsidRPr="0060082A">
        <w:rPr>
          <w:rFonts w:asciiTheme="majorHAnsi" w:hAnsiTheme="majorHAnsi" w:cstheme="majorHAnsi"/>
          <w:spacing w:val="-2"/>
        </w:rPr>
        <w:t>-</w:t>
      </w:r>
      <w:r w:rsidR="00252EFA" w:rsidRPr="0060082A">
        <w:rPr>
          <w:rFonts w:asciiTheme="majorHAnsi" w:hAnsiTheme="majorHAnsi" w:cstheme="majorHAnsi"/>
          <w:spacing w:val="-2"/>
        </w:rPr>
        <w:t>going and</w:t>
      </w:r>
      <w:r w:rsidR="00D70C8B" w:rsidRPr="0060082A">
        <w:rPr>
          <w:rFonts w:asciiTheme="majorHAnsi" w:hAnsiTheme="majorHAnsi" w:cstheme="majorHAnsi"/>
          <w:spacing w:val="-2"/>
        </w:rPr>
        <w:t xml:space="preserve"> </w:t>
      </w:r>
      <w:r w:rsidR="00252EFA" w:rsidRPr="0060082A">
        <w:rPr>
          <w:rFonts w:asciiTheme="majorHAnsi" w:hAnsiTheme="majorHAnsi" w:cstheme="majorHAnsi"/>
          <w:spacing w:val="-2"/>
        </w:rPr>
        <w:t xml:space="preserve">in partnership with the government and the broader community. </w:t>
      </w:r>
    </w:p>
    <w:p w14:paraId="090BA6F4" w14:textId="11213CED" w:rsidR="00A629A7" w:rsidRPr="0060082A" w:rsidRDefault="00252EFA" w:rsidP="0060082A">
      <w:pPr>
        <w:rPr>
          <w:rFonts w:asciiTheme="majorHAnsi" w:hAnsiTheme="majorHAnsi" w:cstheme="majorHAnsi"/>
        </w:rPr>
      </w:pPr>
      <w:r w:rsidRPr="00C918BF">
        <w:t xml:space="preserve">During KEIP Phase </w:t>
      </w:r>
      <w:r w:rsidR="000A49FE">
        <w:t>2</w:t>
      </w:r>
      <w:r w:rsidRPr="00C918BF">
        <w:t xml:space="preserve">, the </w:t>
      </w:r>
      <w:r w:rsidR="00B765AC" w:rsidRPr="00C918BF">
        <w:t>MoE</w:t>
      </w:r>
      <w:r w:rsidRPr="00C918BF">
        <w:t xml:space="preserve"> maintained an organisational capacity to implement reforms in line with </w:t>
      </w:r>
      <w:r w:rsidR="00C603D3" w:rsidRPr="00C918BF">
        <w:t xml:space="preserve">its </w:t>
      </w:r>
      <w:r w:rsidRPr="00C918BF">
        <w:t xml:space="preserve">ESSP goals, covering leadership, pre-service and in-service training, English language training, new curriculum and delivery, and </w:t>
      </w:r>
      <w:r w:rsidR="00C603D3" w:rsidRPr="00C918BF">
        <w:t xml:space="preserve">for </w:t>
      </w:r>
      <w:r w:rsidRPr="00C918BF">
        <w:t xml:space="preserve">school infrastructure. </w:t>
      </w:r>
      <w:r w:rsidR="00C603D3" w:rsidRPr="00C918BF">
        <w:t xml:space="preserve">The same successful model </w:t>
      </w:r>
      <w:r w:rsidR="00780A90">
        <w:t xml:space="preserve">will be </w:t>
      </w:r>
      <w:r w:rsidR="00C603D3" w:rsidRPr="00C918BF">
        <w:t xml:space="preserve">used to implement KEIP </w:t>
      </w:r>
      <w:r w:rsidR="00743616">
        <w:t>Phase 3</w:t>
      </w:r>
      <w:r w:rsidR="00C603D3" w:rsidRPr="00C918BF">
        <w:t xml:space="preserve">, using an efficient </w:t>
      </w:r>
      <w:r w:rsidR="00780A90">
        <w:t xml:space="preserve">management and resourcing </w:t>
      </w:r>
      <w:r w:rsidR="00C603D3" w:rsidRPr="00C918BF">
        <w:t xml:space="preserve">approach that maximises MoE involvement and systems, while providing targeted technical support and resources </w:t>
      </w:r>
      <w:r w:rsidR="00780A90">
        <w:t xml:space="preserve">that are </w:t>
      </w:r>
      <w:r w:rsidR="00C603D3" w:rsidRPr="00C918BF">
        <w:t xml:space="preserve">appropriate to the Kiribati context. </w:t>
      </w:r>
      <w:r w:rsidRPr="00C918BF">
        <w:t xml:space="preserve">The strong focus on cooperation and communication will continue through KEIP </w:t>
      </w:r>
      <w:r w:rsidR="00743616">
        <w:t>Phase 3</w:t>
      </w:r>
      <w:r w:rsidRPr="00C918BF">
        <w:t xml:space="preserve">, so that DFAT are kept informed on progress, achievements and any constraints, as well as </w:t>
      </w:r>
      <w:r w:rsidR="005C579C" w:rsidRPr="00C918BF">
        <w:t xml:space="preserve">in </w:t>
      </w:r>
      <w:r w:rsidR="00302A6B" w:rsidRPr="00C918BF">
        <w:t>their</w:t>
      </w:r>
      <w:r w:rsidR="005C579C" w:rsidRPr="00C918BF">
        <w:t xml:space="preserve"> sponsoring </w:t>
      </w:r>
      <w:r w:rsidRPr="00C918BF">
        <w:t xml:space="preserve">of the EPiK meetings and </w:t>
      </w:r>
      <w:r w:rsidR="005C579C" w:rsidRPr="00C918BF">
        <w:t xml:space="preserve">for </w:t>
      </w:r>
      <w:r w:rsidRPr="00C918BF">
        <w:t xml:space="preserve">any required reporting. </w:t>
      </w:r>
    </w:p>
    <w:p w14:paraId="679ECDEB" w14:textId="306A6622" w:rsidR="00252EFA" w:rsidRPr="0060082A" w:rsidRDefault="00252EFA" w:rsidP="0060082A">
      <w:pPr>
        <w:rPr>
          <w:rFonts w:asciiTheme="majorHAnsi" w:hAnsiTheme="majorHAnsi" w:cstheme="majorHAnsi"/>
        </w:rPr>
      </w:pPr>
      <w:r w:rsidRPr="0060082A">
        <w:rPr>
          <w:rFonts w:asciiTheme="majorHAnsi" w:hAnsiTheme="majorHAnsi" w:cstheme="majorHAnsi"/>
        </w:rPr>
        <w:t xml:space="preserve">The DFAT support </w:t>
      </w:r>
      <w:r w:rsidR="00780A90" w:rsidRPr="0060082A">
        <w:rPr>
          <w:rFonts w:asciiTheme="majorHAnsi" w:hAnsiTheme="majorHAnsi" w:cstheme="majorHAnsi"/>
        </w:rPr>
        <w:t xml:space="preserve">to be </w:t>
      </w:r>
      <w:r w:rsidRPr="0060082A">
        <w:rPr>
          <w:rFonts w:asciiTheme="majorHAnsi" w:hAnsiTheme="majorHAnsi" w:cstheme="majorHAnsi"/>
        </w:rPr>
        <w:t xml:space="preserve">provided under KEIP </w:t>
      </w:r>
      <w:r w:rsidR="00743616">
        <w:rPr>
          <w:rFonts w:asciiTheme="majorHAnsi" w:hAnsiTheme="majorHAnsi" w:cstheme="majorHAnsi"/>
        </w:rPr>
        <w:t>Phase 3</w:t>
      </w:r>
      <w:r w:rsidRPr="0060082A">
        <w:rPr>
          <w:rFonts w:asciiTheme="majorHAnsi" w:hAnsiTheme="majorHAnsi" w:cstheme="majorHAnsi"/>
        </w:rPr>
        <w:t xml:space="preserve"> will remain aligned with the priorities outlined in the Strategy for Australia’s aid investments in education 2015-2020, having a substantive focus on learning improvement. The design for KEIP </w:t>
      </w:r>
      <w:r w:rsidR="00743616">
        <w:rPr>
          <w:rFonts w:asciiTheme="majorHAnsi" w:hAnsiTheme="majorHAnsi" w:cstheme="majorHAnsi"/>
        </w:rPr>
        <w:t>Phase 3</w:t>
      </w:r>
      <w:r w:rsidRPr="0060082A">
        <w:rPr>
          <w:rFonts w:asciiTheme="majorHAnsi" w:hAnsiTheme="majorHAnsi" w:cstheme="majorHAnsi"/>
        </w:rPr>
        <w:t xml:space="preserve"> was completed in 2015 and it commenced in April 2016. In its national leadership role, the </w:t>
      </w:r>
      <w:r w:rsidR="00B765AC" w:rsidRPr="0060082A">
        <w:rPr>
          <w:rFonts w:asciiTheme="majorHAnsi" w:hAnsiTheme="majorHAnsi" w:cstheme="majorHAnsi"/>
        </w:rPr>
        <w:t>MoE</w:t>
      </w:r>
      <w:r w:rsidRPr="0060082A">
        <w:rPr>
          <w:rFonts w:asciiTheme="majorHAnsi" w:hAnsiTheme="majorHAnsi" w:cstheme="majorHAnsi"/>
        </w:rPr>
        <w:t xml:space="preserve"> has also developed a comprehensive ESSP for 2016-19, which is</w:t>
      </w:r>
      <w:r w:rsidR="00105322" w:rsidRPr="0060082A">
        <w:rPr>
          <w:rFonts w:asciiTheme="majorHAnsi" w:hAnsiTheme="majorHAnsi" w:cstheme="majorHAnsi"/>
        </w:rPr>
        <w:t xml:space="preserve"> the basis for </w:t>
      </w:r>
      <w:r w:rsidRPr="0060082A">
        <w:rPr>
          <w:rFonts w:asciiTheme="majorHAnsi" w:hAnsiTheme="majorHAnsi" w:cstheme="majorHAnsi"/>
        </w:rPr>
        <w:t xml:space="preserve">the KEIP </w:t>
      </w:r>
      <w:r w:rsidR="00743616">
        <w:rPr>
          <w:rFonts w:asciiTheme="majorHAnsi" w:hAnsiTheme="majorHAnsi" w:cstheme="majorHAnsi"/>
        </w:rPr>
        <w:t>Phase 3</w:t>
      </w:r>
      <w:r w:rsidRPr="0060082A">
        <w:rPr>
          <w:rFonts w:asciiTheme="majorHAnsi" w:hAnsiTheme="majorHAnsi" w:cstheme="majorHAnsi"/>
        </w:rPr>
        <w:t xml:space="preserve"> design and maintains a priority for providing “basic education of quality for all, regardless of gender, wealth, location, language or ethnic origin”. </w:t>
      </w:r>
    </w:p>
    <w:p w14:paraId="2E4C1AEC" w14:textId="42D386B3" w:rsidR="00252EFA" w:rsidRPr="0060082A" w:rsidRDefault="00252EFA" w:rsidP="0060082A">
      <w:pPr>
        <w:rPr>
          <w:rFonts w:asciiTheme="majorHAnsi" w:hAnsiTheme="majorHAnsi" w:cstheme="majorHAnsi"/>
        </w:rPr>
      </w:pPr>
      <w:r w:rsidRPr="0060082A">
        <w:rPr>
          <w:rFonts w:asciiTheme="majorHAnsi" w:hAnsiTheme="majorHAnsi" w:cstheme="majorHAnsi"/>
        </w:rPr>
        <w:t xml:space="preserve">The GoK Inclusive Education Policy, being implemented by the </w:t>
      </w:r>
      <w:r w:rsidR="00A27114" w:rsidRPr="0060082A">
        <w:rPr>
          <w:rFonts w:asciiTheme="majorHAnsi" w:hAnsiTheme="majorHAnsi" w:cstheme="majorHAnsi"/>
        </w:rPr>
        <w:t>MoE</w:t>
      </w:r>
      <w:r w:rsidR="006C16F5" w:rsidRPr="0060082A">
        <w:rPr>
          <w:rFonts w:asciiTheme="majorHAnsi" w:hAnsiTheme="majorHAnsi" w:cstheme="majorHAnsi"/>
        </w:rPr>
        <w:t>,</w:t>
      </w:r>
      <w:r w:rsidRPr="0060082A">
        <w:rPr>
          <w:rFonts w:asciiTheme="majorHAnsi" w:hAnsiTheme="majorHAnsi" w:cstheme="majorHAnsi"/>
        </w:rPr>
        <w:t xml:space="preserve"> demonstrates commitment to promoting equity and social inclusion. Australia's prioritisation of equity will enable it to help the GoK develop educational opportunities inclusively, particularly in relation to disability inclusion and gender.</w:t>
      </w:r>
      <w:r w:rsidR="00C918BF" w:rsidRPr="0060082A">
        <w:rPr>
          <w:rFonts w:asciiTheme="majorHAnsi" w:hAnsiTheme="majorHAnsi" w:cstheme="majorHAnsi"/>
        </w:rPr>
        <w:t xml:space="preserve"> </w:t>
      </w:r>
      <w:r w:rsidRPr="0060082A">
        <w:rPr>
          <w:rFonts w:asciiTheme="majorHAnsi" w:hAnsiTheme="majorHAnsi" w:cstheme="majorHAnsi"/>
        </w:rPr>
        <w:t xml:space="preserve">Through KEIP </w:t>
      </w:r>
      <w:r w:rsidR="00743616">
        <w:rPr>
          <w:rFonts w:asciiTheme="majorHAnsi" w:hAnsiTheme="majorHAnsi" w:cstheme="majorHAnsi"/>
        </w:rPr>
        <w:t>Phase 3</w:t>
      </w:r>
      <w:r w:rsidRPr="0060082A">
        <w:rPr>
          <w:rFonts w:asciiTheme="majorHAnsi" w:hAnsiTheme="majorHAnsi" w:cstheme="majorHAnsi"/>
        </w:rPr>
        <w:t xml:space="preserve">, Australia can continue to support </w:t>
      </w:r>
      <w:r w:rsidR="00A27114" w:rsidRPr="0060082A">
        <w:rPr>
          <w:rFonts w:asciiTheme="majorHAnsi" w:hAnsiTheme="majorHAnsi" w:cstheme="majorHAnsi"/>
        </w:rPr>
        <w:t>MoE</w:t>
      </w:r>
      <w:r w:rsidRPr="0060082A">
        <w:rPr>
          <w:rFonts w:asciiTheme="majorHAnsi" w:hAnsiTheme="majorHAnsi" w:cstheme="majorHAnsi"/>
        </w:rPr>
        <w:t xml:space="preserve"> implement its Inclusive Education Policy, supporting children with disabilities to engage with education and to learn in mainstream classrooms. Australian assistance and expertise can also help </w:t>
      </w:r>
      <w:r w:rsidR="00A27114" w:rsidRPr="0060082A">
        <w:rPr>
          <w:rFonts w:asciiTheme="majorHAnsi" w:hAnsiTheme="majorHAnsi" w:cstheme="majorHAnsi"/>
        </w:rPr>
        <w:t>MoE</w:t>
      </w:r>
      <w:r w:rsidRPr="0060082A">
        <w:rPr>
          <w:rFonts w:asciiTheme="majorHAnsi" w:hAnsiTheme="majorHAnsi" w:cstheme="majorHAnsi"/>
        </w:rPr>
        <w:t xml:space="preserve"> and schools to promote gender equality, counter gender-based violence through curriculum and modelling respectful relationships, as well as increasing options and opportunities for boys and girls </w:t>
      </w:r>
      <w:r w:rsidR="00D639CD" w:rsidRPr="0060082A">
        <w:rPr>
          <w:rFonts w:asciiTheme="majorHAnsi" w:hAnsiTheme="majorHAnsi" w:cstheme="majorHAnsi"/>
        </w:rPr>
        <w:t xml:space="preserve">with disabilities </w:t>
      </w:r>
      <w:r w:rsidRPr="0060082A">
        <w:rPr>
          <w:rFonts w:asciiTheme="majorHAnsi" w:hAnsiTheme="majorHAnsi" w:cstheme="majorHAnsi"/>
        </w:rPr>
        <w:t>through basic education</w:t>
      </w:r>
      <w:r w:rsidR="000D0FF4" w:rsidRPr="0060082A">
        <w:rPr>
          <w:rFonts w:asciiTheme="majorHAnsi" w:hAnsiTheme="majorHAnsi" w:cstheme="majorHAnsi"/>
        </w:rPr>
        <w:t>.</w:t>
      </w:r>
      <w:r w:rsidRPr="0060082A">
        <w:rPr>
          <w:rFonts w:asciiTheme="majorHAnsi" w:hAnsiTheme="majorHAnsi" w:cstheme="majorHAnsi"/>
        </w:rPr>
        <w:t xml:space="preserve"> </w:t>
      </w:r>
      <w:r w:rsidR="00C603D3" w:rsidRPr="0060082A">
        <w:rPr>
          <w:rFonts w:asciiTheme="majorHAnsi" w:hAnsiTheme="majorHAnsi" w:cstheme="majorHAnsi"/>
        </w:rPr>
        <w:t>Identifying those factors or a</w:t>
      </w:r>
      <w:r w:rsidR="006C16F5" w:rsidRPr="0060082A">
        <w:rPr>
          <w:rFonts w:asciiTheme="majorHAnsi" w:hAnsiTheme="majorHAnsi" w:cstheme="majorHAnsi"/>
        </w:rPr>
        <w:t xml:space="preserve">pproaches that can increase </w:t>
      </w:r>
      <w:r w:rsidR="00C603D3" w:rsidRPr="0060082A">
        <w:rPr>
          <w:rFonts w:asciiTheme="majorHAnsi" w:hAnsiTheme="majorHAnsi" w:cstheme="majorHAnsi"/>
        </w:rPr>
        <w:t>success of boys at school and in their completing basic education, will also be a priority.</w:t>
      </w:r>
    </w:p>
    <w:p w14:paraId="38B1A262" w14:textId="79A8B6BB" w:rsidR="00252EFA" w:rsidRPr="0060082A" w:rsidRDefault="00252EFA" w:rsidP="0060082A">
      <w:pPr>
        <w:rPr>
          <w:rFonts w:asciiTheme="majorHAnsi" w:hAnsiTheme="majorHAnsi" w:cstheme="majorHAnsi"/>
        </w:rPr>
      </w:pPr>
      <w:r w:rsidRPr="0060082A">
        <w:rPr>
          <w:rFonts w:asciiTheme="majorHAnsi" w:hAnsiTheme="majorHAnsi" w:cstheme="majorHAnsi"/>
        </w:rPr>
        <w:t xml:space="preserve">The KEIP </w:t>
      </w:r>
      <w:r w:rsidR="00743616">
        <w:rPr>
          <w:rFonts w:asciiTheme="majorHAnsi" w:hAnsiTheme="majorHAnsi" w:cstheme="majorHAnsi"/>
        </w:rPr>
        <w:t>Phase 3</w:t>
      </w:r>
      <w:r w:rsidRPr="0060082A">
        <w:rPr>
          <w:rFonts w:asciiTheme="majorHAnsi" w:hAnsiTheme="majorHAnsi" w:cstheme="majorHAnsi"/>
        </w:rPr>
        <w:t xml:space="preserve"> will support </w:t>
      </w:r>
      <w:r w:rsidR="00A27114" w:rsidRPr="0060082A">
        <w:rPr>
          <w:rFonts w:asciiTheme="majorHAnsi" w:hAnsiTheme="majorHAnsi" w:cstheme="majorHAnsi"/>
        </w:rPr>
        <w:t>MoE</w:t>
      </w:r>
      <w:r w:rsidRPr="0060082A">
        <w:rPr>
          <w:rFonts w:asciiTheme="majorHAnsi" w:hAnsiTheme="majorHAnsi" w:cstheme="majorHAnsi"/>
        </w:rPr>
        <w:t xml:space="preserve"> to </w:t>
      </w:r>
      <w:r w:rsidR="00C603D3" w:rsidRPr="0060082A">
        <w:rPr>
          <w:rFonts w:asciiTheme="majorHAnsi" w:hAnsiTheme="majorHAnsi" w:cstheme="majorHAnsi"/>
        </w:rPr>
        <w:t xml:space="preserve">continue </w:t>
      </w:r>
      <w:r w:rsidRPr="0060082A">
        <w:rPr>
          <w:rFonts w:asciiTheme="majorHAnsi" w:hAnsiTheme="majorHAnsi" w:cstheme="majorHAnsi"/>
        </w:rPr>
        <w:t>consolidat</w:t>
      </w:r>
      <w:r w:rsidR="00C603D3" w:rsidRPr="0060082A">
        <w:rPr>
          <w:rFonts w:asciiTheme="majorHAnsi" w:hAnsiTheme="majorHAnsi" w:cstheme="majorHAnsi"/>
        </w:rPr>
        <w:t xml:space="preserve">ing </w:t>
      </w:r>
      <w:r w:rsidR="006C16F5" w:rsidRPr="0060082A">
        <w:rPr>
          <w:rFonts w:asciiTheme="majorHAnsi" w:hAnsiTheme="majorHAnsi" w:cstheme="majorHAnsi"/>
        </w:rPr>
        <w:t xml:space="preserve">the Primary education </w:t>
      </w:r>
      <w:r w:rsidRPr="0060082A">
        <w:rPr>
          <w:rFonts w:asciiTheme="majorHAnsi" w:hAnsiTheme="majorHAnsi" w:cstheme="majorHAnsi"/>
        </w:rPr>
        <w:t>reforms to date</w:t>
      </w:r>
      <w:r w:rsidR="006C16F5" w:rsidRPr="0060082A">
        <w:rPr>
          <w:rFonts w:asciiTheme="majorHAnsi" w:hAnsiTheme="majorHAnsi" w:cstheme="majorHAnsi"/>
        </w:rPr>
        <w:t>,</w:t>
      </w:r>
      <w:r w:rsidRPr="0060082A">
        <w:rPr>
          <w:rFonts w:asciiTheme="majorHAnsi" w:hAnsiTheme="majorHAnsi" w:cstheme="majorHAnsi"/>
        </w:rPr>
        <w:t xml:space="preserve"> and at the same time </w:t>
      </w:r>
      <w:r w:rsidR="00C603D3" w:rsidRPr="0060082A">
        <w:rPr>
          <w:rFonts w:asciiTheme="majorHAnsi" w:hAnsiTheme="majorHAnsi" w:cstheme="majorHAnsi"/>
        </w:rPr>
        <w:t>assist</w:t>
      </w:r>
      <w:r w:rsidR="006C16F5" w:rsidRPr="0060082A">
        <w:rPr>
          <w:rFonts w:asciiTheme="majorHAnsi" w:hAnsiTheme="majorHAnsi" w:cstheme="majorHAnsi"/>
        </w:rPr>
        <w:t>ing</w:t>
      </w:r>
      <w:r w:rsidR="00C603D3" w:rsidRPr="0060082A">
        <w:rPr>
          <w:rFonts w:asciiTheme="majorHAnsi" w:hAnsiTheme="majorHAnsi" w:cstheme="majorHAnsi"/>
        </w:rPr>
        <w:t xml:space="preserve"> </w:t>
      </w:r>
      <w:r w:rsidR="006C16F5" w:rsidRPr="0060082A">
        <w:rPr>
          <w:rFonts w:asciiTheme="majorHAnsi" w:hAnsiTheme="majorHAnsi" w:cstheme="majorHAnsi"/>
        </w:rPr>
        <w:t xml:space="preserve">MoE </w:t>
      </w:r>
      <w:r w:rsidR="00C603D3" w:rsidRPr="0060082A">
        <w:rPr>
          <w:rFonts w:asciiTheme="majorHAnsi" w:hAnsiTheme="majorHAnsi" w:cstheme="majorHAnsi"/>
        </w:rPr>
        <w:t xml:space="preserve">to </w:t>
      </w:r>
      <w:r w:rsidRPr="0060082A">
        <w:rPr>
          <w:rFonts w:asciiTheme="majorHAnsi" w:hAnsiTheme="majorHAnsi" w:cstheme="majorHAnsi"/>
        </w:rPr>
        <w:t>extend reform into Junior Secondary</w:t>
      </w:r>
      <w:r w:rsidR="00C603D3" w:rsidRPr="0060082A">
        <w:rPr>
          <w:rFonts w:asciiTheme="majorHAnsi" w:hAnsiTheme="majorHAnsi" w:cstheme="majorHAnsi"/>
        </w:rPr>
        <w:t>. The broader objective is</w:t>
      </w:r>
      <w:r w:rsidR="006E6B10" w:rsidRPr="0060082A">
        <w:rPr>
          <w:rFonts w:asciiTheme="majorHAnsi" w:hAnsiTheme="majorHAnsi" w:cstheme="majorHAnsi"/>
        </w:rPr>
        <w:t xml:space="preserve"> </w:t>
      </w:r>
      <w:r w:rsidRPr="0060082A">
        <w:rPr>
          <w:rFonts w:asciiTheme="majorHAnsi" w:hAnsiTheme="majorHAnsi" w:cstheme="majorHAnsi"/>
        </w:rPr>
        <w:t xml:space="preserve">to </w:t>
      </w:r>
      <w:r w:rsidR="00C603D3" w:rsidRPr="0060082A">
        <w:rPr>
          <w:rFonts w:asciiTheme="majorHAnsi" w:hAnsiTheme="majorHAnsi" w:cstheme="majorHAnsi"/>
        </w:rPr>
        <w:t xml:space="preserve">improve </w:t>
      </w:r>
      <w:r w:rsidRPr="0060082A">
        <w:rPr>
          <w:rFonts w:asciiTheme="majorHAnsi" w:hAnsiTheme="majorHAnsi" w:cstheme="majorHAnsi"/>
        </w:rPr>
        <w:t>teaching, learning, as well as the relevance of the basic education content</w:t>
      </w:r>
      <w:r w:rsidR="00C603D3" w:rsidRPr="0060082A">
        <w:rPr>
          <w:rFonts w:asciiTheme="majorHAnsi" w:hAnsiTheme="majorHAnsi" w:cstheme="majorHAnsi"/>
        </w:rPr>
        <w:t>, delivered in ways that can improve</w:t>
      </w:r>
      <w:r w:rsidR="006E6B10" w:rsidRPr="0060082A">
        <w:rPr>
          <w:rFonts w:asciiTheme="majorHAnsi" w:hAnsiTheme="majorHAnsi" w:cstheme="majorHAnsi"/>
        </w:rPr>
        <w:t xml:space="preserve"> </w:t>
      </w:r>
      <w:r w:rsidRPr="0060082A">
        <w:rPr>
          <w:rFonts w:asciiTheme="majorHAnsi" w:hAnsiTheme="majorHAnsi" w:cstheme="majorHAnsi"/>
        </w:rPr>
        <w:t>school graduate opportunities.</w:t>
      </w:r>
      <w:r w:rsidR="00D70C8B" w:rsidRPr="0060082A">
        <w:rPr>
          <w:rFonts w:asciiTheme="majorHAnsi" w:hAnsiTheme="majorHAnsi" w:cstheme="majorHAnsi"/>
        </w:rPr>
        <w:t xml:space="preserve"> </w:t>
      </w:r>
    </w:p>
    <w:p w14:paraId="11AF4A7E" w14:textId="6A200D96" w:rsidR="00252EFA" w:rsidRDefault="00252EFA" w:rsidP="0060082A">
      <w:pPr>
        <w:rPr>
          <w:rFonts w:asciiTheme="majorHAnsi" w:hAnsiTheme="majorHAnsi" w:cstheme="majorHAnsi"/>
        </w:rPr>
      </w:pPr>
      <w:r w:rsidRPr="0060082A">
        <w:rPr>
          <w:rFonts w:asciiTheme="majorHAnsi" w:hAnsiTheme="majorHAnsi" w:cstheme="majorHAnsi"/>
        </w:rPr>
        <w:lastRenderedPageBreak/>
        <w:t xml:space="preserve">KEIP </w:t>
      </w:r>
      <w:r w:rsidR="00743616">
        <w:rPr>
          <w:rFonts w:asciiTheme="majorHAnsi" w:hAnsiTheme="majorHAnsi" w:cstheme="majorHAnsi"/>
        </w:rPr>
        <w:t>Phase 3</w:t>
      </w:r>
      <w:r w:rsidRPr="0060082A">
        <w:rPr>
          <w:rFonts w:asciiTheme="majorHAnsi" w:hAnsiTheme="majorHAnsi" w:cstheme="majorHAnsi"/>
        </w:rPr>
        <w:t xml:space="preserve"> will also complement </w:t>
      </w:r>
      <w:r w:rsidR="00780A90" w:rsidRPr="0060082A">
        <w:rPr>
          <w:rFonts w:asciiTheme="majorHAnsi" w:hAnsiTheme="majorHAnsi" w:cstheme="majorHAnsi"/>
        </w:rPr>
        <w:t>(</w:t>
      </w:r>
      <w:r w:rsidRPr="0060082A">
        <w:rPr>
          <w:rFonts w:asciiTheme="majorHAnsi" w:hAnsiTheme="majorHAnsi" w:cstheme="majorHAnsi"/>
        </w:rPr>
        <w:t>and link with</w:t>
      </w:r>
      <w:r w:rsidR="00780A90" w:rsidRPr="0060082A">
        <w:rPr>
          <w:rFonts w:asciiTheme="majorHAnsi" w:hAnsiTheme="majorHAnsi" w:cstheme="majorHAnsi"/>
        </w:rPr>
        <w:t>)</w:t>
      </w:r>
      <w:r w:rsidRPr="0060082A">
        <w:rPr>
          <w:rFonts w:asciiTheme="majorHAnsi" w:hAnsiTheme="majorHAnsi" w:cstheme="majorHAnsi"/>
        </w:rPr>
        <w:t xml:space="preserve"> other targeted</w:t>
      </w:r>
      <w:r w:rsidR="009229A1" w:rsidRPr="0060082A">
        <w:rPr>
          <w:rFonts w:asciiTheme="majorHAnsi" w:hAnsiTheme="majorHAnsi" w:cstheme="majorHAnsi"/>
        </w:rPr>
        <w:t xml:space="preserve"> DFAT</w:t>
      </w:r>
      <w:r w:rsidRPr="0060082A">
        <w:rPr>
          <w:rFonts w:asciiTheme="majorHAnsi" w:hAnsiTheme="majorHAnsi" w:cstheme="majorHAnsi"/>
        </w:rPr>
        <w:t xml:space="preserve"> investments in</w:t>
      </w:r>
      <w:r w:rsidR="009229A1" w:rsidRPr="0060082A">
        <w:rPr>
          <w:rFonts w:asciiTheme="majorHAnsi" w:hAnsiTheme="majorHAnsi" w:cstheme="majorHAnsi"/>
        </w:rPr>
        <w:t xml:space="preserve"> support of GoK’s priorities in strengthening</w:t>
      </w:r>
      <w:r w:rsidRPr="0060082A">
        <w:rPr>
          <w:rFonts w:asciiTheme="majorHAnsi" w:hAnsiTheme="majorHAnsi" w:cstheme="majorHAnsi"/>
        </w:rPr>
        <w:t xml:space="preserve"> Kiribati’s human resources</w:t>
      </w:r>
      <w:r w:rsidR="009229A1" w:rsidRPr="0060082A">
        <w:rPr>
          <w:rFonts w:asciiTheme="majorHAnsi" w:hAnsiTheme="majorHAnsi" w:cstheme="majorHAnsi"/>
        </w:rPr>
        <w:t xml:space="preserve"> and increasing </w:t>
      </w:r>
      <w:r w:rsidR="00780A90" w:rsidRPr="0060082A">
        <w:rPr>
          <w:rFonts w:asciiTheme="majorHAnsi" w:hAnsiTheme="majorHAnsi" w:cstheme="majorHAnsi"/>
        </w:rPr>
        <w:t xml:space="preserve">internal and overseas </w:t>
      </w:r>
      <w:r w:rsidR="009229A1" w:rsidRPr="0060082A">
        <w:rPr>
          <w:rFonts w:asciiTheme="majorHAnsi" w:hAnsiTheme="majorHAnsi" w:cstheme="majorHAnsi"/>
        </w:rPr>
        <w:t xml:space="preserve">employment opportunities. These </w:t>
      </w:r>
      <w:r w:rsidR="00780A90" w:rsidRPr="0060082A">
        <w:rPr>
          <w:rFonts w:asciiTheme="majorHAnsi" w:hAnsiTheme="majorHAnsi" w:cstheme="majorHAnsi"/>
        </w:rPr>
        <w:t xml:space="preserve">development </w:t>
      </w:r>
      <w:r w:rsidR="009229A1" w:rsidRPr="0060082A">
        <w:rPr>
          <w:rFonts w:asciiTheme="majorHAnsi" w:hAnsiTheme="majorHAnsi" w:cstheme="majorHAnsi"/>
        </w:rPr>
        <w:t>initiatives include</w:t>
      </w:r>
      <w:r w:rsidR="006E6B10" w:rsidRPr="0060082A">
        <w:rPr>
          <w:rFonts w:asciiTheme="majorHAnsi" w:hAnsiTheme="majorHAnsi" w:cstheme="majorHAnsi"/>
        </w:rPr>
        <w:t xml:space="preserve"> </w:t>
      </w:r>
      <w:r w:rsidRPr="0060082A">
        <w:rPr>
          <w:rFonts w:asciiTheme="majorHAnsi" w:hAnsiTheme="majorHAnsi" w:cstheme="majorHAnsi"/>
        </w:rPr>
        <w:t>the upcoming Skills for Employment Program (SfEP), the Australia-Pacific Technical College</w:t>
      </w:r>
      <w:r w:rsidR="00780A90" w:rsidRPr="0060082A">
        <w:rPr>
          <w:rFonts w:asciiTheme="majorHAnsi" w:hAnsiTheme="majorHAnsi" w:cstheme="majorHAnsi"/>
        </w:rPr>
        <w:t xml:space="preserve"> (APTC)</w:t>
      </w:r>
      <w:r w:rsidRPr="0060082A">
        <w:rPr>
          <w:rFonts w:asciiTheme="majorHAnsi" w:hAnsiTheme="majorHAnsi" w:cstheme="majorHAnsi"/>
        </w:rPr>
        <w:t xml:space="preserve">, the Australia Awards Scholarships, the Australian Volunteers for International Development; and the Australian Government’s pilot program for workers from Pacific Microstates, and </w:t>
      </w:r>
      <w:r w:rsidR="00780A90" w:rsidRPr="0060082A">
        <w:rPr>
          <w:rFonts w:asciiTheme="majorHAnsi" w:hAnsiTheme="majorHAnsi" w:cstheme="majorHAnsi"/>
        </w:rPr>
        <w:t xml:space="preserve">other </w:t>
      </w:r>
      <w:r w:rsidR="00963E2D" w:rsidRPr="0060082A">
        <w:rPr>
          <w:rFonts w:asciiTheme="majorHAnsi" w:hAnsiTheme="majorHAnsi" w:cstheme="majorHAnsi"/>
        </w:rPr>
        <w:t>on-going</w:t>
      </w:r>
      <w:r w:rsidR="003F0469" w:rsidRPr="0060082A">
        <w:rPr>
          <w:rFonts w:asciiTheme="majorHAnsi" w:hAnsiTheme="majorHAnsi" w:cstheme="majorHAnsi"/>
        </w:rPr>
        <w:t xml:space="preserve"> </w:t>
      </w:r>
      <w:r w:rsidRPr="0060082A">
        <w:rPr>
          <w:rFonts w:asciiTheme="majorHAnsi" w:hAnsiTheme="majorHAnsi" w:cstheme="majorHAnsi"/>
        </w:rPr>
        <w:t xml:space="preserve">initiatives to </w:t>
      </w:r>
      <w:r w:rsidR="009229A1" w:rsidRPr="0060082A">
        <w:rPr>
          <w:rFonts w:asciiTheme="majorHAnsi" w:hAnsiTheme="majorHAnsi" w:cstheme="majorHAnsi"/>
        </w:rPr>
        <w:t xml:space="preserve">further </w:t>
      </w:r>
      <w:r w:rsidRPr="0060082A">
        <w:rPr>
          <w:rFonts w:asciiTheme="majorHAnsi" w:hAnsiTheme="majorHAnsi" w:cstheme="majorHAnsi"/>
        </w:rPr>
        <w:t xml:space="preserve">improve </w:t>
      </w:r>
      <w:r w:rsidR="003F0469" w:rsidRPr="0060082A">
        <w:rPr>
          <w:rFonts w:asciiTheme="majorHAnsi" w:hAnsiTheme="majorHAnsi" w:cstheme="majorHAnsi"/>
        </w:rPr>
        <w:t xml:space="preserve">i-Kiribati </w:t>
      </w:r>
      <w:r w:rsidRPr="0060082A">
        <w:rPr>
          <w:rFonts w:asciiTheme="majorHAnsi" w:hAnsiTheme="majorHAnsi" w:cstheme="majorHAnsi"/>
        </w:rPr>
        <w:t xml:space="preserve">access to the </w:t>
      </w:r>
      <w:r w:rsidR="00780A90" w:rsidRPr="0060082A">
        <w:rPr>
          <w:rFonts w:asciiTheme="majorHAnsi" w:hAnsiTheme="majorHAnsi" w:cstheme="majorHAnsi"/>
        </w:rPr>
        <w:t xml:space="preserve">opportunities available through the </w:t>
      </w:r>
      <w:r w:rsidRPr="0060082A">
        <w:rPr>
          <w:rFonts w:asciiTheme="majorHAnsi" w:hAnsiTheme="majorHAnsi" w:cstheme="majorHAnsi"/>
        </w:rPr>
        <w:t xml:space="preserve">Seasonal Worker Program. </w:t>
      </w:r>
    </w:p>
    <w:p w14:paraId="57A87C1C" w14:textId="77777777" w:rsidR="00DA3529" w:rsidRDefault="00DA3529" w:rsidP="0060082A">
      <w:pPr>
        <w:rPr>
          <w:rFonts w:asciiTheme="majorHAnsi" w:hAnsiTheme="majorHAnsi" w:cstheme="majorHAnsi"/>
        </w:rPr>
        <w:sectPr w:rsidR="00DA3529" w:rsidSect="0060082A">
          <w:footerReference w:type="default" r:id="rId27"/>
          <w:pgSz w:w="11906" w:h="16838" w:code="9"/>
          <w:pgMar w:top="1021" w:right="1304" w:bottom="1304" w:left="1304" w:header="709" w:footer="510" w:gutter="0"/>
          <w:cols w:space="708"/>
          <w:docGrid w:linePitch="360"/>
        </w:sectPr>
      </w:pPr>
    </w:p>
    <w:p w14:paraId="21B9131F" w14:textId="77777777" w:rsidR="00DA3529" w:rsidRPr="00DC233C" w:rsidRDefault="00DA3529" w:rsidP="00DD2CE2">
      <w:pPr>
        <w:pStyle w:val="Heading1"/>
      </w:pPr>
      <w:bookmarkStart w:id="84" w:name="_Toc461615718"/>
      <w:r w:rsidRPr="00DC233C">
        <w:lastRenderedPageBreak/>
        <w:t>Annex 1</w:t>
      </w:r>
      <w:bookmarkEnd w:id="84"/>
    </w:p>
    <w:p w14:paraId="541F4295" w14:textId="77777777" w:rsidR="00DA3529" w:rsidRDefault="00DA3529" w:rsidP="00DD2CE2">
      <w:pPr>
        <w:pStyle w:val="Heading1"/>
        <w:ind w:left="0" w:firstLine="0"/>
        <w:rPr>
          <w:spacing w:val="-2"/>
          <w:sz w:val="26"/>
          <w:szCs w:val="26"/>
        </w:rPr>
      </w:pPr>
      <w:bookmarkStart w:id="85" w:name="_Toc461615719"/>
      <w:r w:rsidRPr="00DC233C">
        <w:t>KEIP Phase 2 Progress against the Monitoring and Evaluation Framework</w:t>
      </w:r>
      <w:bookmarkEnd w:id="85"/>
    </w:p>
    <w:p w14:paraId="4E4A426B" w14:textId="77777777" w:rsidR="00DA3529" w:rsidRDefault="00DA3529" w:rsidP="00ED0631">
      <w:pPr>
        <w:spacing w:after="140"/>
        <w:rPr>
          <w:rFonts w:ascii="Arial" w:hAnsi="Arial" w:cs="Arial"/>
          <w:b/>
          <w:spacing w:val="-2"/>
          <w:sz w:val="26"/>
          <w:szCs w:val="26"/>
        </w:rPr>
      </w:pPr>
    </w:p>
    <w:p w14:paraId="11E2D91E" w14:textId="77777777" w:rsidR="00DA3529" w:rsidRDefault="00DA3529" w:rsidP="00ED0631">
      <w:pPr>
        <w:spacing w:after="140"/>
        <w:rPr>
          <w:rFonts w:ascii="Arial" w:hAnsi="Arial" w:cs="Arial"/>
          <w:b/>
          <w:spacing w:val="-2"/>
          <w:sz w:val="26"/>
          <w:szCs w:val="26"/>
        </w:rPr>
        <w:sectPr w:rsidR="00DA3529" w:rsidSect="00ED0631">
          <w:headerReference w:type="default" r:id="rId28"/>
          <w:footerReference w:type="default" r:id="rId29"/>
          <w:pgSz w:w="11906" w:h="16838" w:code="9"/>
          <w:pgMar w:top="1021" w:right="1304" w:bottom="1304" w:left="1304" w:header="709" w:footer="510" w:gutter="0"/>
          <w:cols w:space="708"/>
          <w:docGrid w:linePitch="360"/>
        </w:sectPr>
      </w:pPr>
    </w:p>
    <w:p w14:paraId="46B009FF" w14:textId="77777777" w:rsidR="00DA3529" w:rsidRPr="00DD37E1" w:rsidRDefault="00DA3529" w:rsidP="00DD2CE2">
      <w:pPr>
        <w:pStyle w:val="Heading2"/>
        <w:rPr>
          <w:szCs w:val="24"/>
        </w:rPr>
      </w:pPr>
      <w:bookmarkStart w:id="86" w:name="_Toc461615720"/>
      <w:r w:rsidRPr="00DD37E1">
        <w:lastRenderedPageBreak/>
        <w:t>KEIP Phase II Progress against the Monitoring and Evaluation Framewo</w:t>
      </w:r>
      <w:r w:rsidRPr="00DD37E1">
        <w:rPr>
          <w:szCs w:val="24"/>
        </w:rPr>
        <w:t>rk</w:t>
      </w:r>
      <w:bookmarkEnd w:id="86"/>
    </w:p>
    <w:p w14:paraId="6A7C5B05" w14:textId="77777777" w:rsidR="00DA3529" w:rsidRPr="00E20841" w:rsidRDefault="00DA3529" w:rsidP="00ED0631">
      <w:pPr>
        <w:spacing w:before="140" w:after="140"/>
        <w:rPr>
          <w:rFonts w:ascii="Arial" w:eastAsia="Times New Roman" w:hAnsi="Arial" w:cs="Arial"/>
          <w:color w:val="000000"/>
          <w:spacing w:val="-2"/>
          <w:lang w:eastAsia="en-AU"/>
        </w:rPr>
      </w:pPr>
      <w:r w:rsidRPr="00E20841">
        <w:rPr>
          <w:rFonts w:ascii="Arial" w:eastAsia="Times New Roman" w:hAnsi="Arial" w:cs="Arial"/>
          <w:color w:val="000000"/>
          <w:spacing w:val="-2"/>
          <w:lang w:eastAsia="en-AU"/>
        </w:rPr>
        <w:t>KEIP is the framework within which Australia and other development partners are supporting the Ministry of Education (MOE) to implement its plans for education to support human resource development. KEIP was designed to be implemented in three phases</w:t>
      </w:r>
      <w:r>
        <w:rPr>
          <w:rFonts w:ascii="Arial" w:eastAsia="Times New Roman" w:hAnsi="Arial" w:cs="Arial"/>
          <w:color w:val="000000"/>
          <w:spacing w:val="-2"/>
          <w:lang w:eastAsia="en-AU"/>
        </w:rPr>
        <w:t xml:space="preserve"> and the following Table provides an estimation of progress in several areas as at the completion of KEIP Phase II.</w:t>
      </w:r>
    </w:p>
    <w:p w14:paraId="3FBCB16C" w14:textId="77777777" w:rsidR="00DA3529" w:rsidRPr="00E20841" w:rsidRDefault="00DA3529" w:rsidP="00ED0631">
      <w:pPr>
        <w:spacing w:before="140" w:after="140"/>
        <w:rPr>
          <w:rFonts w:ascii="Arial" w:eastAsia="Times New Roman" w:hAnsi="Arial" w:cs="Arial"/>
          <w:color w:val="000000"/>
          <w:spacing w:val="-2"/>
          <w:lang w:eastAsia="en-AU"/>
        </w:rPr>
      </w:pPr>
      <w:r w:rsidRPr="00E20841">
        <w:rPr>
          <w:rFonts w:ascii="Arial" w:eastAsia="Times New Roman" w:hAnsi="Arial" w:cs="Arial"/>
          <w:color w:val="000000"/>
          <w:spacing w:val="-2"/>
          <w:lang w:eastAsia="en-AU"/>
        </w:rPr>
        <w:t xml:space="preserve">KEIP Phase I (2011-2012) was the enabling phase, setting up the legislative and policy frameworks for transforming the quality of learning in basic education. KEIP Phase II (2013-2015) supported the implementation of reforms at the school and classroom level across Years 1-4, and prepared for upper primary. Key performance indicators were expressed through simplified reporting mechanisms, developed to inform all KEIP stakeholders of the progress of KEIP implementation and to do so in a way that future operational and strategic planning could be modified appropriately </w:t>
      </w:r>
    </w:p>
    <w:p w14:paraId="44EF5792" w14:textId="77777777" w:rsidR="00DA3529" w:rsidRPr="00E20841" w:rsidRDefault="00DA3529" w:rsidP="00ED0631">
      <w:pPr>
        <w:spacing w:before="140" w:after="140"/>
        <w:rPr>
          <w:rFonts w:ascii="Arial" w:eastAsia="Times New Roman" w:hAnsi="Arial" w:cs="Arial"/>
          <w:color w:val="000000"/>
          <w:spacing w:val="-2"/>
          <w:lang w:eastAsia="en-AU"/>
        </w:rPr>
      </w:pPr>
      <w:r w:rsidRPr="00E20841">
        <w:rPr>
          <w:rFonts w:ascii="Arial" w:eastAsia="Times New Roman" w:hAnsi="Arial" w:cs="Arial"/>
          <w:color w:val="000000"/>
          <w:spacing w:val="-2"/>
          <w:lang w:eastAsia="en-AU"/>
        </w:rPr>
        <w:t>This has been used to determine the extent to which expected results from KEIP II interventions were or were not met. It is informed by the Monitoring and Evaluation</w:t>
      </w:r>
      <w:r>
        <w:rPr>
          <w:rFonts w:ascii="Arial" w:eastAsia="Times New Roman" w:hAnsi="Arial" w:cs="Arial"/>
          <w:color w:val="000000"/>
          <w:spacing w:val="-2"/>
          <w:lang w:eastAsia="en-AU"/>
        </w:rPr>
        <w:t xml:space="preserve"> (M&amp;E)</w:t>
      </w:r>
      <w:r w:rsidRPr="00E20841">
        <w:rPr>
          <w:rFonts w:ascii="Arial" w:eastAsia="Times New Roman" w:hAnsi="Arial" w:cs="Arial"/>
          <w:color w:val="000000"/>
          <w:spacing w:val="-2"/>
          <w:lang w:eastAsia="en-AU"/>
        </w:rPr>
        <w:t xml:space="preserve"> specified for the MoE’s Education Sector Strategic Plan (ESSP). The MEF describes the priority ESSP M&amp;E activities, along with the roles and responsibilities for generating outputs. The MEF was designed to coordinate MoE M&amp;E activities and assess progress of M&amp;E implementation.</w:t>
      </w:r>
    </w:p>
    <w:p w14:paraId="2CFF65FD" w14:textId="77777777" w:rsidR="00DA3529" w:rsidRPr="00E20841" w:rsidRDefault="00DA3529" w:rsidP="00ED0631">
      <w:pPr>
        <w:spacing w:before="140" w:after="140"/>
        <w:rPr>
          <w:rFonts w:ascii="Arial" w:eastAsia="Times New Roman" w:hAnsi="Arial" w:cs="Arial"/>
          <w:color w:val="000000"/>
          <w:spacing w:val="-2"/>
          <w:lang w:eastAsia="en-AU"/>
        </w:rPr>
      </w:pPr>
      <w:r w:rsidRPr="00E20841">
        <w:rPr>
          <w:rFonts w:ascii="Arial" w:eastAsia="Times New Roman" w:hAnsi="Arial" w:cs="Arial"/>
          <w:color w:val="000000"/>
          <w:spacing w:val="-2"/>
          <w:lang w:eastAsia="en-AU"/>
        </w:rPr>
        <w:t>The MoE MEF was developed in 2012 with UNESCO financial support. The KEIP II MEF, also developed in 2012, was largely based on the MoE MEF for the 2011-2015 ESSP.</w:t>
      </w:r>
    </w:p>
    <w:p w14:paraId="5CF86E9B" w14:textId="77777777" w:rsidR="00DA3529" w:rsidRPr="0070649C" w:rsidRDefault="00DA3529" w:rsidP="00ED0631">
      <w:pPr>
        <w:spacing w:before="140" w:after="140"/>
        <w:rPr>
          <w:rFonts w:ascii="Arial" w:eastAsia="Times New Roman" w:hAnsi="Arial" w:cs="Arial"/>
          <w:color w:val="000000"/>
          <w:spacing w:val="-2"/>
          <w:lang w:eastAsia="en-AU"/>
        </w:rPr>
      </w:pPr>
      <w:r w:rsidRPr="0070649C">
        <w:rPr>
          <w:rFonts w:ascii="Arial" w:eastAsia="Times New Roman" w:hAnsi="Arial" w:cs="Arial"/>
          <w:color w:val="000000"/>
          <w:spacing w:val="-2"/>
          <w:lang w:eastAsia="en-AU"/>
        </w:rPr>
        <w:t>The</w:t>
      </w:r>
      <w:r>
        <w:rPr>
          <w:rFonts w:ascii="Arial" w:eastAsia="Times New Roman" w:hAnsi="Arial" w:cs="Arial"/>
          <w:color w:val="000000"/>
          <w:spacing w:val="-2"/>
          <w:lang w:eastAsia="en-AU"/>
        </w:rPr>
        <w:t xml:space="preserve"> KEIP (MEF) w</w:t>
      </w:r>
      <w:r w:rsidRPr="0070649C">
        <w:rPr>
          <w:rFonts w:ascii="Arial" w:eastAsia="Times New Roman" w:hAnsi="Arial" w:cs="Arial"/>
          <w:color w:val="000000"/>
          <w:spacing w:val="-2"/>
          <w:lang w:eastAsia="en-AU"/>
        </w:rPr>
        <w:t>as</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updated</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in</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early</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2015</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and</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a</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copy</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provided</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to</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DFAT</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Post.</w:t>
      </w:r>
      <w:r>
        <w:rPr>
          <w:rFonts w:ascii="Arial" w:eastAsia="Times New Roman" w:hAnsi="Arial" w:cs="Arial"/>
          <w:color w:val="000000"/>
          <w:spacing w:val="-2"/>
          <w:lang w:eastAsia="en-AU"/>
        </w:rPr>
        <w:t xml:space="preserve"> Revision </w:t>
      </w:r>
      <w:r w:rsidRPr="0070649C">
        <w:rPr>
          <w:rFonts w:ascii="Arial" w:eastAsia="Times New Roman" w:hAnsi="Arial" w:cs="Arial"/>
          <w:color w:val="000000"/>
          <w:spacing w:val="-2"/>
          <w:lang w:eastAsia="en-AU"/>
        </w:rPr>
        <w:t>included</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removing</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or</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adjusting</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several</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indicators</w:t>
      </w:r>
      <w:r>
        <w:rPr>
          <w:rFonts w:ascii="Arial" w:eastAsia="Times New Roman" w:hAnsi="Arial" w:cs="Arial"/>
          <w:color w:val="000000"/>
          <w:spacing w:val="-2"/>
          <w:lang w:eastAsia="en-AU"/>
        </w:rPr>
        <w:t>/</w:t>
      </w:r>
      <w:r w:rsidRPr="00E20841">
        <w:rPr>
          <w:rFonts w:ascii="Arial" w:eastAsia="Times New Roman" w:hAnsi="Arial" w:cs="Arial"/>
          <w:color w:val="000000"/>
          <w:spacing w:val="-2"/>
          <w:lang w:eastAsia="en-AU"/>
        </w:rPr>
        <w:t>baseline and targets</w:t>
      </w:r>
      <w:r w:rsidRPr="0070649C">
        <w:rPr>
          <w:rFonts w:ascii="Arial" w:eastAsia="Times New Roman" w:hAnsi="Arial" w:cs="Arial"/>
          <w:color w:val="000000"/>
          <w:spacing w:val="-2"/>
          <w:lang w:eastAsia="en-AU"/>
        </w:rPr>
        <w:t>.</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Where</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applicable,</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this</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is</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noted</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in</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the</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‘Comment’</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column</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(far</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right).</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Where</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reliable</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indicator</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information</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is</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available,</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this</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is</w:t>
      </w:r>
      <w:r>
        <w:rPr>
          <w:rFonts w:ascii="Arial" w:eastAsia="Times New Roman" w:hAnsi="Arial" w:cs="Arial"/>
          <w:color w:val="000000"/>
          <w:spacing w:val="-2"/>
          <w:lang w:eastAsia="en-AU"/>
        </w:rPr>
        <w:t xml:space="preserve"> </w:t>
      </w:r>
      <w:r w:rsidRPr="0070649C">
        <w:rPr>
          <w:rFonts w:ascii="Arial" w:eastAsia="Times New Roman" w:hAnsi="Arial" w:cs="Arial"/>
          <w:color w:val="000000"/>
          <w:spacing w:val="-2"/>
          <w:lang w:eastAsia="en-AU"/>
        </w:rPr>
        <w:t>reported.</w:t>
      </w:r>
    </w:p>
    <w:p w14:paraId="41B80607" w14:textId="77777777" w:rsidR="00DA3529" w:rsidRPr="001820AB" w:rsidRDefault="00DA3529" w:rsidP="00DD2CE2">
      <w:pPr>
        <w:pStyle w:val="Heading2"/>
        <w:rPr>
          <w:lang w:eastAsia="en-AU"/>
        </w:rPr>
      </w:pPr>
      <w:bookmarkStart w:id="87" w:name="_Toc461615721"/>
      <w:r w:rsidRPr="001820AB">
        <w:rPr>
          <w:lang w:eastAsia="en-AU"/>
        </w:rPr>
        <w:t>Limitations</w:t>
      </w:r>
      <w:bookmarkEnd w:id="87"/>
    </w:p>
    <w:p w14:paraId="4BCC0C97" w14:textId="77777777" w:rsidR="00DA3529" w:rsidRDefault="00DA3529" w:rsidP="00ED0631">
      <w:pPr>
        <w:spacing w:before="140" w:after="140"/>
        <w:rPr>
          <w:rFonts w:ascii="Arial" w:eastAsia="Times New Roman" w:hAnsi="Arial" w:cs="Arial"/>
          <w:color w:val="000000"/>
          <w:spacing w:val="-2"/>
          <w:lang w:eastAsia="en-AU"/>
        </w:rPr>
      </w:pPr>
      <w:r>
        <w:rPr>
          <w:rFonts w:ascii="Arial" w:eastAsia="Times New Roman" w:hAnsi="Arial" w:cs="Arial"/>
          <w:color w:val="000000"/>
          <w:spacing w:val="-2"/>
          <w:lang w:eastAsia="en-AU"/>
        </w:rPr>
        <w:t xml:space="preserve">The following limitations on the data presented are noted: </w:t>
      </w:r>
    </w:p>
    <w:p w14:paraId="6E0BD2B9" w14:textId="77777777" w:rsidR="00DA3529" w:rsidRPr="00D42BD2" w:rsidRDefault="00DA3529" w:rsidP="00E91B91">
      <w:pPr>
        <w:pStyle w:val="ListParagraph"/>
        <w:numPr>
          <w:ilvl w:val="0"/>
          <w:numId w:val="7"/>
        </w:numPr>
        <w:spacing w:before="140" w:beforeAutospacing="0" w:after="140" w:afterAutospacing="0"/>
        <w:ind w:left="284" w:hanging="284"/>
        <w:rPr>
          <w:rFonts w:ascii="Arial" w:eastAsia="Times New Roman" w:hAnsi="Arial" w:cs="Arial"/>
          <w:color w:val="000000"/>
          <w:spacing w:val="-2"/>
          <w:szCs w:val="20"/>
          <w:lang w:eastAsia="en-AU"/>
        </w:rPr>
      </w:pPr>
      <w:r w:rsidRPr="00D42BD2">
        <w:rPr>
          <w:rFonts w:ascii="Arial" w:eastAsia="Times New Roman" w:hAnsi="Arial" w:cs="Arial"/>
          <w:color w:val="000000"/>
          <w:spacing w:val="-2"/>
          <w:szCs w:val="20"/>
          <w:lang w:eastAsia="en-AU"/>
        </w:rPr>
        <w:t>In Kiribati, irregularities in the 2010 and 2015 census combined with uncertainty around the fertility rates, life expectancy at birth and net overseas migration. This has made it more difficult to estimate reliable population data for the purposes of expected school enrolment. This issue is magnified by the small population size and the need to derive estimates for various sectors of the school system such as new entrants into the school system, and numbers that could attend primary, lower secondary and upper secondary school sectors.</w:t>
      </w:r>
    </w:p>
    <w:p w14:paraId="569FE330" w14:textId="77777777" w:rsidR="00DA3529" w:rsidRPr="00D42BD2" w:rsidRDefault="00DA3529" w:rsidP="00E91B91">
      <w:pPr>
        <w:pStyle w:val="ListParagraph"/>
        <w:numPr>
          <w:ilvl w:val="0"/>
          <w:numId w:val="7"/>
        </w:numPr>
        <w:spacing w:before="140" w:beforeAutospacing="0" w:after="140" w:afterAutospacing="0"/>
        <w:ind w:left="284" w:hanging="284"/>
        <w:rPr>
          <w:rFonts w:ascii="Arial" w:eastAsia="Times New Roman" w:hAnsi="Arial" w:cs="Arial"/>
          <w:color w:val="000000"/>
          <w:spacing w:val="-2"/>
          <w:szCs w:val="20"/>
          <w:lang w:eastAsia="en-AU"/>
        </w:rPr>
      </w:pPr>
      <w:r w:rsidRPr="00D42BD2">
        <w:rPr>
          <w:rFonts w:ascii="Arial" w:eastAsia="Times New Roman" w:hAnsi="Arial" w:cs="Arial"/>
          <w:color w:val="000000"/>
          <w:spacing w:val="-2"/>
          <w:szCs w:val="20"/>
          <w:lang w:eastAsia="en-AU"/>
        </w:rPr>
        <w:t xml:space="preserve">It has been recommended that indicators derived from these population estimates are considered in association with other relevant education data. As an example, changes in primary school level </w:t>
      </w:r>
      <w:r>
        <w:rPr>
          <w:rFonts w:ascii="Arial" w:eastAsia="Times New Roman" w:hAnsi="Arial" w:cs="Arial"/>
          <w:color w:val="000000"/>
          <w:spacing w:val="-2"/>
          <w:szCs w:val="20"/>
          <w:lang w:eastAsia="en-AU"/>
        </w:rPr>
        <w:t>Gross Enrolment Rate (</w:t>
      </w:r>
      <w:r w:rsidRPr="00D42BD2">
        <w:rPr>
          <w:rFonts w:ascii="Arial" w:eastAsia="Times New Roman" w:hAnsi="Arial" w:cs="Arial"/>
          <w:color w:val="000000"/>
          <w:spacing w:val="-2"/>
          <w:szCs w:val="20"/>
          <w:lang w:eastAsia="en-AU"/>
        </w:rPr>
        <w:t>GER</w:t>
      </w:r>
      <w:r>
        <w:rPr>
          <w:rFonts w:ascii="Arial" w:eastAsia="Times New Roman" w:hAnsi="Arial" w:cs="Arial"/>
          <w:color w:val="000000"/>
          <w:spacing w:val="-2"/>
          <w:szCs w:val="20"/>
          <w:lang w:eastAsia="en-AU"/>
        </w:rPr>
        <w:t>)</w:t>
      </w:r>
      <w:r w:rsidRPr="00D42BD2">
        <w:rPr>
          <w:rFonts w:ascii="Arial" w:eastAsia="Times New Roman" w:hAnsi="Arial" w:cs="Arial"/>
          <w:color w:val="000000"/>
          <w:spacing w:val="-2"/>
          <w:szCs w:val="20"/>
          <w:lang w:eastAsia="en-AU"/>
        </w:rPr>
        <w:t xml:space="preserve"> estimates should be reviewed in association with the changes in the total number of enrolments. Further, as per UNESCO Institute recommendations, the </w:t>
      </w:r>
      <w:r>
        <w:rPr>
          <w:rFonts w:ascii="Arial" w:eastAsia="Times New Roman" w:hAnsi="Arial" w:cs="Arial"/>
          <w:color w:val="000000"/>
          <w:spacing w:val="-2"/>
          <w:szCs w:val="20"/>
          <w:lang w:eastAsia="en-AU"/>
        </w:rPr>
        <w:t>Net Enrolment Rate (</w:t>
      </w:r>
      <w:r w:rsidRPr="00D42BD2">
        <w:rPr>
          <w:rFonts w:ascii="Arial" w:eastAsia="Times New Roman" w:hAnsi="Arial" w:cs="Arial"/>
          <w:color w:val="000000"/>
          <w:spacing w:val="-2"/>
          <w:szCs w:val="20"/>
          <w:lang w:eastAsia="en-AU"/>
        </w:rPr>
        <w:t>NER</w:t>
      </w:r>
      <w:r>
        <w:rPr>
          <w:rFonts w:ascii="Arial" w:eastAsia="Times New Roman" w:hAnsi="Arial" w:cs="Arial"/>
          <w:color w:val="000000"/>
          <w:spacing w:val="-2"/>
          <w:szCs w:val="20"/>
          <w:lang w:eastAsia="en-AU"/>
        </w:rPr>
        <w:t>)</w:t>
      </w:r>
      <w:r w:rsidRPr="00D42BD2">
        <w:rPr>
          <w:rFonts w:ascii="Arial" w:eastAsia="Times New Roman" w:hAnsi="Arial" w:cs="Arial"/>
          <w:color w:val="000000"/>
          <w:spacing w:val="-2"/>
          <w:szCs w:val="20"/>
          <w:lang w:eastAsia="en-AU"/>
        </w:rPr>
        <w:t xml:space="preserve"> rates are withheld for both sexes when estimates for either sex exceeded 105% (MoE, 2015).</w:t>
      </w:r>
    </w:p>
    <w:p w14:paraId="4EDB9C80" w14:textId="77777777" w:rsidR="00DA3529" w:rsidRPr="00D42BD2" w:rsidRDefault="00DA3529" w:rsidP="00E91B91">
      <w:pPr>
        <w:pStyle w:val="ListParagraph"/>
        <w:numPr>
          <w:ilvl w:val="0"/>
          <w:numId w:val="7"/>
        </w:numPr>
        <w:spacing w:before="140" w:beforeAutospacing="0" w:after="140" w:afterAutospacing="0"/>
        <w:ind w:left="284" w:hanging="284"/>
        <w:rPr>
          <w:rFonts w:ascii="Arial" w:eastAsia="Times New Roman" w:hAnsi="Arial" w:cs="Arial"/>
          <w:color w:val="000000"/>
          <w:spacing w:val="-2"/>
          <w:szCs w:val="20"/>
          <w:lang w:eastAsia="en-AU"/>
        </w:rPr>
      </w:pPr>
      <w:r w:rsidRPr="00D42BD2">
        <w:rPr>
          <w:rFonts w:ascii="Arial" w:eastAsia="Times New Roman" w:hAnsi="Arial" w:cs="Arial"/>
          <w:color w:val="000000"/>
          <w:spacing w:val="-2"/>
          <w:szCs w:val="20"/>
          <w:lang w:eastAsia="en-AU"/>
        </w:rPr>
        <w:t xml:space="preserve">The National Census for 2015 indicates a slower growth rate for Kiribati, at only 1.2% against the growth rate predicated in 2010 of 2.2%. The data shows a downward trend with the net growth of over 2,000 persons per year up to 2011 and then dropping off to less than 2,000 in subsequent years. </w:t>
      </w:r>
    </w:p>
    <w:p w14:paraId="5A0FC233" w14:textId="77777777" w:rsidR="00DA3529" w:rsidRPr="00D42BD2" w:rsidRDefault="00DA3529" w:rsidP="00E91B91">
      <w:pPr>
        <w:pStyle w:val="ListParagraph"/>
        <w:numPr>
          <w:ilvl w:val="0"/>
          <w:numId w:val="7"/>
        </w:numPr>
        <w:spacing w:before="140" w:beforeAutospacing="0" w:after="140" w:afterAutospacing="0"/>
        <w:ind w:left="284" w:hanging="284"/>
        <w:rPr>
          <w:rFonts w:ascii="Arial" w:eastAsia="Times New Roman" w:hAnsi="Arial" w:cs="Arial"/>
          <w:color w:val="000000"/>
          <w:spacing w:val="-2"/>
          <w:szCs w:val="20"/>
          <w:lang w:eastAsia="en-AU"/>
        </w:rPr>
      </w:pPr>
      <w:r w:rsidRPr="00D42BD2">
        <w:rPr>
          <w:rFonts w:ascii="Arial" w:eastAsia="Times New Roman" w:hAnsi="Arial" w:cs="Arial"/>
          <w:color w:val="000000"/>
          <w:spacing w:val="-2"/>
          <w:szCs w:val="20"/>
          <w:lang w:eastAsia="en-AU"/>
        </w:rPr>
        <w:t xml:space="preserve">An audit in 2015 showed data entry was sufficiently accurate but that the business processes that assured the supply of quality data were not operational. This caveat on the accuracy of data validity applies to the following indicators and the comments on progress against the anticipated end of program outcomes. </w:t>
      </w:r>
    </w:p>
    <w:p w14:paraId="299A075B" w14:textId="77777777" w:rsidR="00DA3529" w:rsidRPr="001820AB" w:rsidRDefault="00DA3529" w:rsidP="00DD2CE2">
      <w:pPr>
        <w:pStyle w:val="Heading2"/>
        <w:rPr>
          <w:lang w:eastAsia="en-AU"/>
        </w:rPr>
      </w:pPr>
      <w:bookmarkStart w:id="88" w:name="_Toc461615722"/>
      <w:r w:rsidRPr="001820AB">
        <w:rPr>
          <w:lang w:eastAsia="en-AU"/>
        </w:rPr>
        <w:t>Results</w:t>
      </w:r>
      <w:bookmarkEnd w:id="88"/>
    </w:p>
    <w:tbl>
      <w:tblPr>
        <w:tblW w:w="498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668"/>
        <w:gridCol w:w="1985"/>
        <w:gridCol w:w="2267"/>
        <w:gridCol w:w="3687"/>
      </w:tblGrid>
      <w:tr w:rsidR="00DA3529" w:rsidRPr="00DD37E1" w14:paraId="31143151" w14:textId="77777777" w:rsidTr="00ED0631">
        <w:trPr>
          <w:trHeight w:val="284"/>
          <w:tblHeader/>
        </w:trPr>
        <w:tc>
          <w:tcPr>
            <w:tcW w:w="868" w:type="pct"/>
            <w:shd w:val="clear" w:color="auto" w:fill="A25EA6"/>
            <w:vAlign w:val="center"/>
            <w:hideMark/>
          </w:tcPr>
          <w:p w14:paraId="1518E5F5" w14:textId="77777777" w:rsidR="00DA3529" w:rsidRPr="00DD37E1" w:rsidRDefault="00DA3529" w:rsidP="00ED0631">
            <w:pPr>
              <w:spacing w:before="40" w:after="40"/>
              <w:rPr>
                <w:rFonts w:ascii="Arial" w:eastAsia="Times New Roman" w:hAnsi="Arial" w:cs="Arial"/>
                <w:b/>
                <w:bCs/>
                <w:color w:val="FFFFFF" w:themeColor="background1"/>
                <w:spacing w:val="-2"/>
                <w:sz w:val="18"/>
                <w:szCs w:val="18"/>
                <w:lang w:eastAsia="en-AU"/>
              </w:rPr>
            </w:pPr>
            <w:r w:rsidRPr="00DD37E1">
              <w:rPr>
                <w:rFonts w:ascii="Arial" w:eastAsia="Times New Roman" w:hAnsi="Arial" w:cs="Arial"/>
                <w:b/>
                <w:bCs/>
                <w:color w:val="FFFFFF" w:themeColor="background1"/>
                <w:spacing w:val="-2"/>
                <w:sz w:val="18"/>
                <w:szCs w:val="18"/>
                <w:lang w:eastAsia="en-AU"/>
              </w:rPr>
              <w:t>Result Statement</w:t>
            </w:r>
          </w:p>
        </w:tc>
        <w:tc>
          <w:tcPr>
            <w:tcW w:w="1033" w:type="pct"/>
            <w:shd w:val="clear" w:color="auto" w:fill="A25EA6"/>
            <w:vAlign w:val="center"/>
            <w:hideMark/>
          </w:tcPr>
          <w:p w14:paraId="773AAECF" w14:textId="77777777" w:rsidR="00DA3529" w:rsidRPr="00DD37E1" w:rsidRDefault="00DA3529" w:rsidP="00ED0631">
            <w:pPr>
              <w:spacing w:before="40" w:after="40"/>
              <w:rPr>
                <w:rFonts w:ascii="Arial" w:eastAsia="Times New Roman" w:hAnsi="Arial" w:cs="Arial"/>
                <w:b/>
                <w:bCs/>
                <w:color w:val="FFFFFF" w:themeColor="background1"/>
                <w:spacing w:val="-2"/>
                <w:sz w:val="18"/>
                <w:szCs w:val="18"/>
                <w:lang w:eastAsia="en-AU"/>
              </w:rPr>
            </w:pPr>
            <w:r w:rsidRPr="00DD37E1">
              <w:rPr>
                <w:rFonts w:ascii="Arial" w:eastAsia="Times New Roman" w:hAnsi="Arial" w:cs="Arial"/>
                <w:b/>
                <w:bCs/>
                <w:color w:val="FFFFFF" w:themeColor="background1"/>
                <w:spacing w:val="-2"/>
                <w:sz w:val="18"/>
                <w:szCs w:val="18"/>
                <w:lang w:eastAsia="en-AU"/>
              </w:rPr>
              <w:t>Indicator / Baseline / Target</w:t>
            </w:r>
          </w:p>
        </w:tc>
        <w:tc>
          <w:tcPr>
            <w:tcW w:w="1180" w:type="pct"/>
            <w:shd w:val="clear" w:color="auto" w:fill="A25EA6"/>
            <w:vAlign w:val="center"/>
          </w:tcPr>
          <w:p w14:paraId="21512DFE" w14:textId="77777777" w:rsidR="00DA3529" w:rsidRPr="00DD37E1" w:rsidRDefault="00DA3529" w:rsidP="00ED0631">
            <w:pPr>
              <w:spacing w:before="40" w:after="40"/>
              <w:rPr>
                <w:rFonts w:ascii="Arial" w:eastAsia="Times New Roman" w:hAnsi="Arial" w:cs="Arial"/>
                <w:b/>
                <w:bCs/>
                <w:color w:val="FFFFFF" w:themeColor="background1"/>
                <w:spacing w:val="-2"/>
                <w:sz w:val="18"/>
                <w:szCs w:val="18"/>
                <w:lang w:eastAsia="en-AU"/>
              </w:rPr>
            </w:pPr>
            <w:r w:rsidRPr="00DD37E1">
              <w:rPr>
                <w:rFonts w:ascii="Arial" w:eastAsia="Times New Roman" w:hAnsi="Arial" w:cs="Arial"/>
                <w:b/>
                <w:bCs/>
                <w:color w:val="FFFFFF" w:themeColor="background1"/>
                <w:spacing w:val="-2"/>
                <w:sz w:val="18"/>
                <w:szCs w:val="18"/>
                <w:lang w:eastAsia="en-AU"/>
              </w:rPr>
              <w:t>KEIP PI and II Achievement</w:t>
            </w:r>
          </w:p>
        </w:tc>
        <w:tc>
          <w:tcPr>
            <w:tcW w:w="1919" w:type="pct"/>
            <w:shd w:val="clear" w:color="auto" w:fill="A25EA6"/>
            <w:vAlign w:val="center"/>
          </w:tcPr>
          <w:p w14:paraId="425E273D" w14:textId="77777777" w:rsidR="00DA3529" w:rsidRPr="00DD37E1" w:rsidRDefault="00DA3529" w:rsidP="00ED0631">
            <w:pPr>
              <w:spacing w:before="40" w:after="40"/>
              <w:rPr>
                <w:rFonts w:ascii="Arial" w:eastAsia="Times New Roman" w:hAnsi="Arial" w:cs="Arial"/>
                <w:b/>
                <w:bCs/>
                <w:color w:val="FFFFFF" w:themeColor="background1"/>
                <w:spacing w:val="-2"/>
                <w:sz w:val="18"/>
                <w:szCs w:val="18"/>
                <w:lang w:eastAsia="en-AU"/>
              </w:rPr>
            </w:pPr>
            <w:r w:rsidRPr="00DD37E1">
              <w:rPr>
                <w:rFonts w:ascii="Arial" w:eastAsia="Times New Roman" w:hAnsi="Arial" w:cs="Arial"/>
                <w:b/>
                <w:bCs/>
                <w:color w:val="FFFFFF" w:themeColor="background1"/>
                <w:spacing w:val="-2"/>
                <w:sz w:val="18"/>
                <w:szCs w:val="18"/>
                <w:lang w:eastAsia="en-AU"/>
              </w:rPr>
              <w:t>Comments</w:t>
            </w:r>
          </w:p>
        </w:tc>
      </w:tr>
      <w:tr w:rsidR="00DA3529" w:rsidRPr="00DD37E1" w14:paraId="2875A7BD" w14:textId="77777777" w:rsidTr="00ED0631">
        <w:trPr>
          <w:trHeight w:val="284"/>
        </w:trPr>
        <w:tc>
          <w:tcPr>
            <w:tcW w:w="5000" w:type="pct"/>
            <w:gridSpan w:val="4"/>
            <w:shd w:val="clear" w:color="auto" w:fill="D9D9D9" w:themeFill="background1" w:themeFillShade="D9"/>
          </w:tcPr>
          <w:p w14:paraId="6EB4C850" w14:textId="77777777" w:rsidR="00DA3529" w:rsidRPr="00DD37E1" w:rsidRDefault="00DA3529" w:rsidP="00ED0631">
            <w:pPr>
              <w:spacing w:before="40" w:after="40"/>
              <w:rPr>
                <w:rFonts w:ascii="Arial" w:eastAsia="Times New Roman" w:hAnsi="Arial" w:cs="Arial"/>
                <w:b/>
                <w:color w:val="000000"/>
                <w:spacing w:val="-2"/>
                <w:sz w:val="18"/>
                <w:szCs w:val="18"/>
                <w:lang w:eastAsia="en-AU"/>
              </w:rPr>
            </w:pPr>
            <w:r w:rsidRPr="00DD37E1">
              <w:rPr>
                <w:rFonts w:ascii="Arial" w:eastAsia="Times New Roman" w:hAnsi="Arial" w:cs="Arial"/>
                <w:b/>
                <w:bCs/>
                <w:color w:val="000000"/>
                <w:spacing w:val="-2"/>
                <w:sz w:val="18"/>
                <w:szCs w:val="18"/>
                <w:lang w:eastAsia="en-AU"/>
              </w:rPr>
              <w:t>End-of-program Outcome 2015</w:t>
            </w:r>
          </w:p>
        </w:tc>
      </w:tr>
      <w:tr w:rsidR="00DA3529" w:rsidRPr="00DD37E1" w14:paraId="2D0DDD77" w14:textId="77777777" w:rsidTr="00ED0631">
        <w:trPr>
          <w:trHeight w:val="284"/>
        </w:trPr>
        <w:tc>
          <w:tcPr>
            <w:tcW w:w="868" w:type="pct"/>
            <w:shd w:val="clear" w:color="auto" w:fill="F2F2F2" w:themeFill="background1" w:themeFillShade="F2"/>
            <w:hideMark/>
          </w:tcPr>
          <w:p w14:paraId="44B0CF1B"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All children (boys and girls) in Years 1-4 in Kiribati participate in primary education and achieve functional literacy and numeracy after six years</w:t>
            </w:r>
          </w:p>
        </w:tc>
        <w:tc>
          <w:tcPr>
            <w:tcW w:w="1033" w:type="pct"/>
            <w:shd w:val="clear" w:color="auto" w:fill="F2F2F2" w:themeFill="background1" w:themeFillShade="F2"/>
            <w:hideMark/>
          </w:tcPr>
          <w:p w14:paraId="4E0629A8"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Literacy in Te-Kiribati and numeracy of students in Year 4</w:t>
            </w:r>
          </w:p>
          <w:p w14:paraId="5D78EC9E" w14:textId="77777777" w:rsidR="00DA3529" w:rsidRPr="00DD37E1" w:rsidRDefault="00DA3529" w:rsidP="00ED0631">
            <w:pPr>
              <w:spacing w:before="40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Baseline</w:t>
            </w:r>
          </w:p>
          <w:p w14:paraId="031A5A65" w14:textId="77777777" w:rsidR="00DA3529" w:rsidRPr="00DD37E1" w:rsidRDefault="00DA3529" w:rsidP="00ED0631">
            <w:pPr>
              <w:spacing w:before="4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(STAKI 2009)</w:t>
            </w:r>
          </w:p>
          <w:p w14:paraId="250A84DF"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Total: 61%</w:t>
            </w:r>
          </w:p>
          <w:p w14:paraId="1F9830FD"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lastRenderedPageBreak/>
              <w:t>Boys: 54%</w:t>
            </w:r>
          </w:p>
          <w:p w14:paraId="2C9C1973"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 xml:space="preserve">Girls: 69% </w:t>
            </w:r>
          </w:p>
          <w:p w14:paraId="7B892BD0" w14:textId="77777777" w:rsidR="00DA3529" w:rsidRPr="00DD37E1" w:rsidRDefault="00DA3529" w:rsidP="00ED0631">
            <w:pPr>
              <w:spacing w:before="40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p>
          <w:p w14:paraId="5862BF0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25% increase for boys and girls</w:t>
            </w:r>
          </w:p>
          <w:p w14:paraId="5F464754" w14:textId="77777777" w:rsidR="00DA3529" w:rsidRPr="00DD37E1" w:rsidRDefault="00DA3529" w:rsidP="00ED0631">
            <w:pPr>
              <w:spacing w:before="40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Baseline (2009)</w:t>
            </w:r>
          </w:p>
          <w:p w14:paraId="262B43AC" w14:textId="77777777" w:rsidR="00DA3529" w:rsidRPr="00DD37E1" w:rsidRDefault="00DA3529" w:rsidP="00ED0631">
            <w:pPr>
              <w:spacing w:before="40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(STAKI 2009)</w:t>
            </w:r>
          </w:p>
          <w:p w14:paraId="64CFF560"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Total: 35%</w:t>
            </w:r>
          </w:p>
          <w:p w14:paraId="19054030"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Boys: 31%</w:t>
            </w:r>
          </w:p>
          <w:p w14:paraId="797C42E2"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 xml:space="preserve">Girls: 39% </w:t>
            </w:r>
          </w:p>
          <w:p w14:paraId="2F1EC2F3" w14:textId="77777777" w:rsidR="00DA3529" w:rsidRPr="00DD37E1" w:rsidRDefault="00DA3529" w:rsidP="00ED0631">
            <w:pPr>
              <w:spacing w:before="40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p>
          <w:p w14:paraId="4A29BF04"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25% increase for boys and girls</w:t>
            </w:r>
          </w:p>
        </w:tc>
        <w:tc>
          <w:tcPr>
            <w:tcW w:w="1180" w:type="pct"/>
            <w:shd w:val="clear" w:color="auto" w:fill="F2F2F2" w:themeFill="background1" w:themeFillShade="F2"/>
          </w:tcPr>
          <w:p w14:paraId="3E91D505" w14:textId="77777777" w:rsidR="00DA3529" w:rsidRPr="00DD37E1" w:rsidRDefault="00DA3529" w:rsidP="00ED0631">
            <w:pPr>
              <w:spacing w:before="40" w:after="40"/>
              <w:rPr>
                <w:rFonts w:ascii="Arial" w:eastAsiaTheme="minorEastAsia" w:hAnsi="Arial" w:cs="Arial"/>
                <w:b/>
                <w:color w:val="000000"/>
                <w:spacing w:val="-2"/>
                <w:sz w:val="18"/>
                <w:szCs w:val="18"/>
                <w:lang w:val="en-NZ"/>
              </w:rPr>
            </w:pPr>
            <w:r w:rsidRPr="00DD37E1">
              <w:rPr>
                <w:rFonts w:ascii="Arial" w:eastAsiaTheme="minorEastAsia" w:hAnsi="Arial" w:cs="Arial"/>
                <w:b/>
                <w:color w:val="000000"/>
                <w:spacing w:val="-2"/>
                <w:sz w:val="18"/>
                <w:szCs w:val="18"/>
                <w:lang w:val="en-NZ"/>
              </w:rPr>
              <w:lastRenderedPageBreak/>
              <w:t>Year 4 Te-Kiribati Literacy</w:t>
            </w:r>
          </w:p>
          <w:p w14:paraId="7BA5EF1D" w14:textId="77777777" w:rsidR="00DA3529" w:rsidRPr="00DD37E1" w:rsidRDefault="00DA3529" w:rsidP="00ED0631">
            <w:pPr>
              <w:spacing w:before="40" w:after="40"/>
              <w:rPr>
                <w:rFonts w:ascii="Arial" w:eastAsiaTheme="minorEastAsia" w:hAnsi="Arial" w:cs="Arial"/>
                <w:i/>
                <w:color w:val="000000"/>
                <w:spacing w:val="-2"/>
                <w:sz w:val="18"/>
                <w:szCs w:val="18"/>
                <w:lang w:val="en-NZ"/>
              </w:rPr>
            </w:pPr>
            <w:r w:rsidRPr="00DD37E1">
              <w:rPr>
                <w:rFonts w:ascii="Arial" w:eastAsiaTheme="minorEastAsia" w:hAnsi="Arial" w:cs="Arial"/>
                <w:i/>
                <w:color w:val="000000"/>
                <w:spacing w:val="-2"/>
                <w:sz w:val="18"/>
                <w:szCs w:val="18"/>
                <w:lang w:val="en-NZ"/>
              </w:rPr>
              <w:t>STAKI 2015</w:t>
            </w:r>
          </w:p>
          <w:p w14:paraId="27D3249F"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Total: 42%</w:t>
            </w:r>
          </w:p>
          <w:p w14:paraId="6A30AF9E"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Boys: 31%</w:t>
            </w:r>
          </w:p>
          <w:p w14:paraId="68CE21A7"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Girls: 53%</w:t>
            </w:r>
          </w:p>
          <w:p w14:paraId="46EDFB07" w14:textId="77777777" w:rsidR="00DA3529" w:rsidRPr="00DD37E1" w:rsidRDefault="00DA3529" w:rsidP="00ED0631">
            <w:pPr>
              <w:spacing w:before="400" w:after="40"/>
              <w:rPr>
                <w:rFonts w:ascii="Arial" w:eastAsiaTheme="minorEastAsia" w:hAnsi="Arial" w:cs="Arial"/>
                <w:b/>
                <w:color w:val="000000"/>
                <w:spacing w:val="-2"/>
                <w:sz w:val="18"/>
                <w:szCs w:val="18"/>
                <w:lang w:val="en-NZ"/>
              </w:rPr>
            </w:pPr>
            <w:r w:rsidRPr="00DD37E1">
              <w:rPr>
                <w:rFonts w:ascii="Arial" w:eastAsiaTheme="minorEastAsia" w:hAnsi="Arial" w:cs="Arial"/>
                <w:b/>
                <w:color w:val="000000"/>
                <w:spacing w:val="-2"/>
                <w:sz w:val="18"/>
                <w:szCs w:val="18"/>
                <w:lang w:val="en-NZ"/>
              </w:rPr>
              <w:lastRenderedPageBreak/>
              <w:t>Year 4 Numeracy</w:t>
            </w:r>
          </w:p>
          <w:p w14:paraId="32C422F2" w14:textId="77777777" w:rsidR="00DA3529" w:rsidRPr="00DD37E1" w:rsidRDefault="00DA3529" w:rsidP="00ED0631">
            <w:pPr>
              <w:spacing w:before="400" w:after="40"/>
              <w:rPr>
                <w:rFonts w:ascii="Arial" w:eastAsiaTheme="minorEastAsia" w:hAnsi="Arial" w:cs="Arial"/>
                <w:i/>
                <w:color w:val="000000"/>
                <w:spacing w:val="-2"/>
                <w:sz w:val="18"/>
                <w:szCs w:val="18"/>
                <w:lang w:val="en-NZ"/>
              </w:rPr>
            </w:pPr>
            <w:r w:rsidRPr="00DC233C">
              <w:rPr>
                <w:rFonts w:ascii="Arial" w:eastAsia="Times New Roman" w:hAnsi="Arial" w:cs="Arial"/>
                <w:bCs/>
                <w:i/>
                <w:color w:val="000000"/>
                <w:spacing w:val="-2"/>
                <w:sz w:val="18"/>
                <w:szCs w:val="18"/>
                <w:lang w:eastAsia="en-AU"/>
              </w:rPr>
              <w:t>STAKI</w:t>
            </w:r>
            <w:r w:rsidRPr="00DD37E1">
              <w:rPr>
                <w:rFonts w:ascii="Arial" w:eastAsiaTheme="minorEastAsia" w:hAnsi="Arial" w:cs="Arial"/>
                <w:i/>
                <w:color w:val="000000"/>
                <w:spacing w:val="-2"/>
                <w:sz w:val="18"/>
                <w:szCs w:val="18"/>
                <w:lang w:val="en-NZ"/>
              </w:rPr>
              <w:t xml:space="preserve"> 2015</w:t>
            </w:r>
          </w:p>
          <w:p w14:paraId="297D6ADE"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Total: 78%</w:t>
            </w:r>
          </w:p>
          <w:p w14:paraId="4B798F07"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Boys: 75%</w:t>
            </w:r>
          </w:p>
          <w:p w14:paraId="1170EB38"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Girls: 83%</w:t>
            </w:r>
          </w:p>
        </w:tc>
        <w:tc>
          <w:tcPr>
            <w:tcW w:w="1919" w:type="pct"/>
            <w:shd w:val="clear" w:color="auto" w:fill="F2F2F2" w:themeFill="background1" w:themeFillShade="F2"/>
            <w:hideMark/>
          </w:tcPr>
          <w:p w14:paraId="33FC777F" w14:textId="77777777" w:rsidR="00DA3529" w:rsidRPr="00DD37E1" w:rsidRDefault="00DA3529" w:rsidP="00ED0631">
            <w:pPr>
              <w:widowControl w:val="0"/>
              <w:autoSpaceDE w:val="0"/>
              <w:autoSpaceDN w:val="0"/>
              <w:adjustRightInd w:val="0"/>
              <w:spacing w:before="40" w:after="40"/>
              <w:rPr>
                <w:rFonts w:ascii="Arial" w:hAnsi="Arial" w:cs="Arial"/>
                <w:b/>
                <w:spacing w:val="-2"/>
                <w:sz w:val="18"/>
                <w:szCs w:val="18"/>
              </w:rPr>
            </w:pPr>
            <w:r w:rsidRPr="00DD37E1">
              <w:rPr>
                <w:rFonts w:ascii="Arial" w:hAnsi="Arial" w:cs="Arial"/>
                <w:b/>
                <w:spacing w:val="-2"/>
                <w:sz w:val="18"/>
                <w:szCs w:val="18"/>
              </w:rPr>
              <w:lastRenderedPageBreak/>
              <w:t>Not Yet achieved</w:t>
            </w:r>
          </w:p>
          <w:p w14:paraId="778106CB"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The Te-Kiribati STAKI literacy results had been static since 2009 but in 2015, a significant decrease in the national average was recorded. On the other hand, the proportion of students under-performing has reduced, as could be expected with the introduction of a student-centred curriculum. This could be an ‘early-sign’ that the reforms </w:t>
            </w:r>
            <w:r w:rsidRPr="00DD37E1">
              <w:rPr>
                <w:rFonts w:ascii="Arial" w:eastAsia="Times New Roman" w:hAnsi="Arial" w:cs="Arial"/>
                <w:color w:val="000000"/>
                <w:spacing w:val="-2"/>
                <w:sz w:val="18"/>
                <w:szCs w:val="18"/>
                <w:lang w:eastAsia="en-AU"/>
              </w:rPr>
              <w:lastRenderedPageBreak/>
              <w:t xml:space="preserve">are creating positive change for Y4 Te-Kiribati students. </w:t>
            </w:r>
          </w:p>
          <w:p w14:paraId="2BEE9AC6"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2015 test was the regional PILNA test. PILNA and STAKI results are not directly comparable. Unlike previous years the PILNA, did not include a listening component. As listening and oral skills are the most developed this could account for variation. The proportion of students meeting the benchmark standard in writing has risen to 68% from 54% in 2013.</w:t>
            </w:r>
          </w:p>
          <w:p w14:paraId="7BB46FAC"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Yr 4 students tested were only exposed to the new curriculum for a maximum of 2 years.</w:t>
            </w:r>
          </w:p>
          <w:p w14:paraId="542D2034" w14:textId="77777777" w:rsidR="00DA3529" w:rsidRPr="00DD37E1" w:rsidRDefault="00DA3529" w:rsidP="00ED0631">
            <w:pPr>
              <w:widowControl w:val="0"/>
              <w:autoSpaceDE w:val="0"/>
              <w:autoSpaceDN w:val="0"/>
              <w:adjustRightInd w:val="0"/>
              <w:spacing w:before="40" w:after="40"/>
              <w:rPr>
                <w:rFonts w:ascii="Arial" w:hAnsi="Arial" w:cs="Arial"/>
                <w:b/>
                <w:spacing w:val="-2"/>
                <w:sz w:val="18"/>
                <w:szCs w:val="18"/>
              </w:rPr>
            </w:pPr>
            <w:r w:rsidRPr="00DD37E1">
              <w:rPr>
                <w:rFonts w:ascii="Arial" w:hAnsi="Arial" w:cs="Arial"/>
                <w:b/>
                <w:spacing w:val="-2"/>
                <w:sz w:val="18"/>
                <w:szCs w:val="18"/>
              </w:rPr>
              <w:t>Achieved</w:t>
            </w:r>
          </w:p>
          <w:p w14:paraId="62395B82"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Year 4 numeracy appears to have improved with a 43% increase since 2009. A similar result from the next Year 4 STAKI test in 2016 will confirm this significant change. </w:t>
            </w:r>
          </w:p>
          <w:p w14:paraId="4D78644A"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This improvement in numeracy was seen in all the ‘practice’ tests on South Tarawa held in Dec 2014 with Year 3 students and Terms 1 &amp; 2 2015 with the Year 4 students. It may be attributable to:</w:t>
            </w:r>
          </w:p>
          <w:p w14:paraId="1EAC5176"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a) a much clearer syllabus specification and teacher guides; and</w:t>
            </w:r>
          </w:p>
          <w:p w14:paraId="53BDE8E5"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b) teaching numeracy in Te-Kiribati.</w:t>
            </w:r>
          </w:p>
          <w:p w14:paraId="379C688B" w14:textId="77777777" w:rsidR="00DA3529" w:rsidRPr="00DD37E1" w:rsidRDefault="00DA3529" w:rsidP="00ED0631">
            <w:pPr>
              <w:pStyle w:val="CommentText"/>
              <w:spacing w:before="40" w:after="40"/>
              <w:rPr>
                <w:rFonts w:ascii="Arial" w:hAnsi="Arial" w:cs="Arial"/>
                <w:spacing w:val="-2"/>
                <w:sz w:val="18"/>
                <w:szCs w:val="18"/>
              </w:rPr>
            </w:pPr>
            <w:r w:rsidRPr="00DD37E1">
              <w:rPr>
                <w:rFonts w:ascii="Arial" w:hAnsi="Arial" w:cs="Arial"/>
                <w:spacing w:val="-2"/>
                <w:sz w:val="18"/>
                <w:szCs w:val="18"/>
              </w:rPr>
              <w:t>It needs to be repeated with a different cohort before being confident it is a sustainable change.</w:t>
            </w:r>
          </w:p>
          <w:p w14:paraId="06635DB0"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South Tarawa has only increased by a similar percentage as Kiribati overall (from 33% in 2009 to 81%) despite the two sets of practice tests in 2015, suggesting that the actual act of repeated testing may have little effect on the results.</w:t>
            </w:r>
          </w:p>
        </w:tc>
      </w:tr>
      <w:tr w:rsidR="00DA3529" w:rsidRPr="00DD37E1" w14:paraId="6B2960B6" w14:textId="77777777" w:rsidTr="00ED0631">
        <w:trPr>
          <w:trHeight w:val="284"/>
        </w:trPr>
        <w:tc>
          <w:tcPr>
            <w:tcW w:w="868" w:type="pct"/>
            <w:shd w:val="clear" w:color="auto" w:fill="F2F2F2" w:themeFill="background1" w:themeFillShade="F2"/>
            <w:hideMark/>
          </w:tcPr>
          <w:p w14:paraId="07F5DE5F"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lastRenderedPageBreak/>
              <w:t xml:space="preserve"> </w:t>
            </w:r>
          </w:p>
        </w:tc>
        <w:tc>
          <w:tcPr>
            <w:tcW w:w="1033" w:type="pct"/>
            <w:shd w:val="clear" w:color="auto" w:fill="F2F2F2" w:themeFill="background1" w:themeFillShade="F2"/>
            <w:hideMark/>
          </w:tcPr>
          <w:p w14:paraId="7E60A89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Primary school Net Enrolment Rate (NER)</w:t>
            </w:r>
          </w:p>
          <w:p w14:paraId="5D2FBC82"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Baseline (2011)</w:t>
            </w:r>
          </w:p>
          <w:p w14:paraId="0B5FAE8E"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Total: 82% </w:t>
            </w:r>
          </w:p>
          <w:p w14:paraId="70B8439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Girls: 83%</w:t>
            </w:r>
          </w:p>
          <w:p w14:paraId="6805048A"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Boys: 80%</w:t>
            </w:r>
          </w:p>
          <w:p w14:paraId="238C0D82"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r w:rsidRPr="00DD37E1">
              <w:rPr>
                <w:rFonts w:ascii="Arial" w:eastAsia="Times New Roman" w:hAnsi="Arial" w:cs="Arial"/>
                <w:bCs/>
                <w:color w:val="000000"/>
                <w:spacing w:val="-2"/>
                <w:sz w:val="18"/>
                <w:szCs w:val="18"/>
                <w:lang w:eastAsia="en-AU"/>
              </w:rPr>
              <w:t xml:space="preserve"> 95%</w:t>
            </w:r>
          </w:p>
        </w:tc>
        <w:tc>
          <w:tcPr>
            <w:tcW w:w="1180" w:type="pct"/>
            <w:shd w:val="clear" w:color="auto" w:fill="F2F2F2" w:themeFill="background1" w:themeFillShade="F2"/>
          </w:tcPr>
          <w:p w14:paraId="4EEEF2DE"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imes New Roman" w:hAnsi="Arial" w:cs="Arial"/>
                <w:color w:val="000000"/>
                <w:spacing w:val="-2"/>
                <w:sz w:val="18"/>
                <w:szCs w:val="18"/>
                <w:lang w:eastAsia="en-AU"/>
              </w:rPr>
              <w:t>2015</w:t>
            </w:r>
            <w:r w:rsidRPr="00DD37E1">
              <w:rPr>
                <w:rFonts w:ascii="Arial" w:eastAsiaTheme="minorEastAsia" w:hAnsi="Arial" w:cs="Arial"/>
                <w:color w:val="000000"/>
                <w:spacing w:val="-2"/>
                <w:sz w:val="18"/>
                <w:szCs w:val="18"/>
                <w:lang w:val="en-NZ"/>
              </w:rPr>
              <w:t xml:space="preserve"> NER</w:t>
            </w:r>
          </w:p>
          <w:p w14:paraId="3FE802CB"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Total: 99%</w:t>
            </w:r>
          </w:p>
          <w:p w14:paraId="42BFFEE9"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Boys: 95%</w:t>
            </w:r>
          </w:p>
          <w:p w14:paraId="5AA31054"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heme="minorEastAsia" w:hAnsi="Arial" w:cs="Arial"/>
                <w:color w:val="000000"/>
                <w:spacing w:val="-2"/>
                <w:sz w:val="18"/>
                <w:szCs w:val="18"/>
                <w:lang w:val="en-NZ"/>
              </w:rPr>
              <w:t>Girls: 102%</w:t>
            </w:r>
            <w:r w:rsidRPr="00DD37E1">
              <w:rPr>
                <w:rStyle w:val="FootnoteReference"/>
                <w:rFonts w:ascii="Arial" w:eastAsiaTheme="minorEastAsia" w:hAnsi="Arial" w:cs="Arial"/>
                <w:color w:val="000000"/>
                <w:spacing w:val="-2"/>
                <w:sz w:val="18"/>
                <w:szCs w:val="18"/>
                <w:lang w:val="en-NZ"/>
              </w:rPr>
              <w:footnoteReference w:id="23"/>
            </w:r>
          </w:p>
        </w:tc>
        <w:tc>
          <w:tcPr>
            <w:tcW w:w="1919" w:type="pct"/>
            <w:shd w:val="clear" w:color="auto" w:fill="F2F2F2" w:themeFill="background1" w:themeFillShade="F2"/>
            <w:hideMark/>
          </w:tcPr>
          <w:p w14:paraId="3CB63EA2" w14:textId="77777777" w:rsidR="00DA3529" w:rsidRPr="00DD37E1" w:rsidRDefault="00DA3529" w:rsidP="00ED0631">
            <w:pPr>
              <w:widowControl w:val="0"/>
              <w:autoSpaceDE w:val="0"/>
              <w:autoSpaceDN w:val="0"/>
              <w:adjustRightInd w:val="0"/>
              <w:spacing w:before="40" w:after="40"/>
              <w:rPr>
                <w:rFonts w:ascii="Arial" w:hAnsi="Arial" w:cs="Arial"/>
                <w:sz w:val="18"/>
                <w:szCs w:val="18"/>
                <w:lang w:val="en-US"/>
              </w:rPr>
            </w:pPr>
            <w:r w:rsidRPr="00DD37E1">
              <w:rPr>
                <w:rFonts w:ascii="Arial" w:hAnsi="Arial" w:cs="Arial"/>
                <w:b/>
                <w:spacing w:val="-2"/>
                <w:sz w:val="18"/>
                <w:szCs w:val="18"/>
              </w:rPr>
              <w:t>Achieved</w:t>
            </w:r>
          </w:p>
          <w:p w14:paraId="368D97B5" w14:textId="77777777" w:rsidR="00DA3529" w:rsidRPr="00DD37E1" w:rsidRDefault="00DA3529" w:rsidP="00ED0631">
            <w:pPr>
              <w:spacing w:before="40" w:after="40"/>
              <w:rPr>
                <w:rFonts w:ascii="Arial" w:hAnsi="Arial" w:cs="Arial"/>
                <w:sz w:val="18"/>
                <w:szCs w:val="18"/>
                <w:lang w:val="en-US"/>
              </w:rPr>
            </w:pPr>
            <w:r w:rsidRPr="00DD37E1">
              <w:rPr>
                <w:rFonts w:ascii="Arial" w:eastAsia="Times New Roman" w:hAnsi="Arial" w:cs="Arial"/>
                <w:i/>
                <w:color w:val="000000"/>
                <w:spacing w:val="-2"/>
                <w:sz w:val="18"/>
                <w:szCs w:val="18"/>
                <w:lang w:eastAsia="en-AU"/>
              </w:rPr>
              <w:t>Net Enrolment Rate</w:t>
            </w:r>
            <w:r w:rsidRPr="00DD37E1">
              <w:rPr>
                <w:rFonts w:ascii="Arial" w:eastAsia="Times New Roman" w:hAnsi="Arial" w:cs="Arial"/>
                <w:color w:val="000000"/>
                <w:spacing w:val="-2"/>
                <w:sz w:val="18"/>
                <w:szCs w:val="18"/>
                <w:lang w:eastAsia="en-AU"/>
              </w:rPr>
              <w:t xml:space="preserve"> is </w:t>
            </w:r>
            <w:r w:rsidRPr="00DD37E1">
              <w:rPr>
                <w:rFonts w:ascii="Arial" w:hAnsi="Arial" w:cs="Arial"/>
                <w:iCs/>
                <w:sz w:val="18"/>
                <w:szCs w:val="18"/>
                <w:lang w:val="en-US"/>
              </w:rPr>
              <w:t xml:space="preserve">the number of pupils in the official age group for a given level of education </w:t>
            </w:r>
            <w:r w:rsidRPr="00DD37E1">
              <w:rPr>
                <w:rFonts w:ascii="Arial" w:eastAsia="Times New Roman" w:hAnsi="Arial" w:cs="Arial"/>
                <w:color w:val="000000"/>
                <w:spacing w:val="-2"/>
                <w:sz w:val="18"/>
                <w:szCs w:val="18"/>
                <w:lang w:eastAsia="en-AU"/>
              </w:rPr>
              <w:t>expressed</w:t>
            </w:r>
            <w:r w:rsidRPr="00DD37E1">
              <w:rPr>
                <w:rFonts w:ascii="Arial" w:hAnsi="Arial" w:cs="Arial"/>
                <w:iCs/>
                <w:sz w:val="18"/>
                <w:szCs w:val="18"/>
                <w:lang w:val="en-US"/>
              </w:rPr>
              <w:t xml:space="preserve"> as a percentage of the total population in that age group. This indicator measures the extent to which children are accessing education at the right age at various levels of the school system. </w:t>
            </w:r>
          </w:p>
          <w:p w14:paraId="7101BFD6" w14:textId="77777777" w:rsidR="00DA3529" w:rsidRPr="00DD37E1" w:rsidRDefault="00DA3529" w:rsidP="00ED0631">
            <w:pPr>
              <w:widowControl w:val="0"/>
              <w:autoSpaceDE w:val="0"/>
              <w:autoSpaceDN w:val="0"/>
              <w:adjustRightInd w:val="0"/>
              <w:spacing w:before="40" w:after="40"/>
              <w:rPr>
                <w:rFonts w:ascii="Arial" w:hAnsi="Arial" w:cs="Arial"/>
                <w:sz w:val="18"/>
                <w:szCs w:val="18"/>
                <w:lang w:val="en-US"/>
              </w:rPr>
            </w:pPr>
            <w:r w:rsidRPr="00DD37E1">
              <w:rPr>
                <w:rFonts w:ascii="Arial" w:hAnsi="Arial" w:cs="Arial"/>
                <w:sz w:val="18"/>
                <w:szCs w:val="18"/>
                <w:lang w:val="en-US"/>
              </w:rPr>
              <w:t xml:space="preserve">NER data indicates the target has been met. </w:t>
            </w:r>
            <w:r w:rsidRPr="00DD37E1">
              <w:rPr>
                <w:rFonts w:ascii="Arial" w:eastAsia="Times New Roman" w:hAnsi="Arial" w:cs="Arial"/>
                <w:color w:val="000000"/>
                <w:spacing w:val="-2"/>
                <w:sz w:val="18"/>
                <w:szCs w:val="18"/>
                <w:lang w:eastAsia="en-AU"/>
              </w:rPr>
              <w:t>The results are in agreement with the MoE KEIP research findings (KEF, 2016).</w:t>
            </w:r>
          </w:p>
        </w:tc>
      </w:tr>
      <w:tr w:rsidR="00DA3529" w:rsidRPr="00DD37E1" w14:paraId="135BD76A" w14:textId="77777777" w:rsidTr="00ED0631">
        <w:trPr>
          <w:trHeight w:val="284"/>
        </w:trPr>
        <w:tc>
          <w:tcPr>
            <w:tcW w:w="868" w:type="pct"/>
            <w:shd w:val="clear" w:color="auto" w:fill="F2F2F2" w:themeFill="background1" w:themeFillShade="F2"/>
          </w:tcPr>
          <w:p w14:paraId="2D701C95"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p>
        </w:tc>
        <w:tc>
          <w:tcPr>
            <w:tcW w:w="1033" w:type="pct"/>
            <w:shd w:val="clear" w:color="auto" w:fill="F2F2F2" w:themeFill="background1" w:themeFillShade="F2"/>
          </w:tcPr>
          <w:p w14:paraId="41053A5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Primary school Gross Enrolment Rate (GER)</w:t>
            </w:r>
          </w:p>
          <w:p w14:paraId="009C4758"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Baseline (2011)</w:t>
            </w:r>
          </w:p>
          <w:p w14:paraId="0669BABD"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Total: 90% </w:t>
            </w:r>
          </w:p>
          <w:p w14:paraId="212D87E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Girls: 90%; </w:t>
            </w:r>
          </w:p>
          <w:p w14:paraId="6AC28FF2"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Boys: 89%</w:t>
            </w:r>
          </w:p>
          <w:p w14:paraId="4519233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r w:rsidRPr="00DD37E1">
              <w:rPr>
                <w:rFonts w:ascii="Arial" w:eastAsia="Times New Roman" w:hAnsi="Arial" w:cs="Arial"/>
                <w:bCs/>
                <w:color w:val="000000"/>
                <w:spacing w:val="-2"/>
                <w:sz w:val="18"/>
                <w:szCs w:val="18"/>
                <w:lang w:eastAsia="en-AU"/>
              </w:rPr>
              <w:t xml:space="preserve"> 95%</w:t>
            </w:r>
          </w:p>
        </w:tc>
        <w:tc>
          <w:tcPr>
            <w:tcW w:w="1180" w:type="pct"/>
            <w:shd w:val="clear" w:color="auto" w:fill="F2F2F2" w:themeFill="background1" w:themeFillShade="F2"/>
          </w:tcPr>
          <w:p w14:paraId="70691DDE"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imes New Roman" w:hAnsi="Arial" w:cs="Arial"/>
                <w:color w:val="000000"/>
                <w:spacing w:val="-2"/>
                <w:sz w:val="18"/>
                <w:szCs w:val="18"/>
                <w:lang w:eastAsia="en-AU"/>
              </w:rPr>
              <w:t>2015</w:t>
            </w:r>
            <w:r w:rsidRPr="00DD37E1">
              <w:rPr>
                <w:rFonts w:ascii="Arial" w:eastAsiaTheme="minorEastAsia" w:hAnsi="Arial" w:cs="Arial"/>
                <w:color w:val="000000"/>
                <w:spacing w:val="-2"/>
                <w:sz w:val="18"/>
                <w:szCs w:val="18"/>
                <w:lang w:val="en-NZ"/>
              </w:rPr>
              <w:t xml:space="preserve"> GER</w:t>
            </w:r>
          </w:p>
          <w:p w14:paraId="0BABB787"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Total: 106%</w:t>
            </w:r>
          </w:p>
          <w:p w14:paraId="55AC5C7B" w14:textId="77777777" w:rsidR="00DA3529" w:rsidRPr="00DD37E1" w:rsidRDefault="00DA3529" w:rsidP="00ED0631">
            <w:pPr>
              <w:spacing w:before="40" w:after="40"/>
              <w:rPr>
                <w:rFonts w:ascii="Arial" w:eastAsiaTheme="minorEastAsia" w:hAnsi="Arial" w:cs="Arial"/>
                <w:color w:val="000000"/>
                <w:spacing w:val="-2"/>
                <w:sz w:val="18"/>
                <w:szCs w:val="18"/>
                <w:lang w:val="en-NZ"/>
              </w:rPr>
            </w:pPr>
            <w:r w:rsidRPr="00DD37E1">
              <w:rPr>
                <w:rFonts w:ascii="Arial" w:eastAsiaTheme="minorEastAsia" w:hAnsi="Arial" w:cs="Arial"/>
                <w:color w:val="000000"/>
                <w:spacing w:val="-2"/>
                <w:sz w:val="18"/>
                <w:szCs w:val="18"/>
                <w:lang w:val="en-NZ"/>
              </w:rPr>
              <w:t>Boys: 103%</w:t>
            </w:r>
          </w:p>
          <w:p w14:paraId="5064BB7E"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heme="minorEastAsia" w:hAnsi="Arial" w:cs="Arial"/>
                <w:color w:val="000000"/>
                <w:spacing w:val="-2"/>
                <w:sz w:val="18"/>
                <w:szCs w:val="18"/>
                <w:lang w:val="en-NZ"/>
              </w:rPr>
              <w:t>Girls: 108%</w:t>
            </w:r>
          </w:p>
        </w:tc>
        <w:tc>
          <w:tcPr>
            <w:tcW w:w="1919" w:type="pct"/>
            <w:shd w:val="clear" w:color="auto" w:fill="F2F2F2" w:themeFill="background1" w:themeFillShade="F2"/>
          </w:tcPr>
          <w:p w14:paraId="43799E53" w14:textId="77777777" w:rsidR="00DA3529" w:rsidRPr="00DD37E1" w:rsidRDefault="00DA3529" w:rsidP="00ED0631">
            <w:pPr>
              <w:widowControl w:val="0"/>
              <w:autoSpaceDE w:val="0"/>
              <w:autoSpaceDN w:val="0"/>
              <w:adjustRightInd w:val="0"/>
              <w:spacing w:before="40" w:after="40"/>
              <w:rPr>
                <w:rFonts w:ascii="Arial" w:eastAsia="Times New Roman" w:hAnsi="Arial" w:cs="Arial"/>
                <w:bCs/>
                <w:i/>
                <w:color w:val="000000"/>
                <w:spacing w:val="-2"/>
                <w:sz w:val="18"/>
                <w:szCs w:val="18"/>
                <w:lang w:eastAsia="en-AU"/>
              </w:rPr>
            </w:pPr>
            <w:r w:rsidRPr="00DD37E1">
              <w:rPr>
                <w:rFonts w:ascii="Arial" w:hAnsi="Arial" w:cs="Arial"/>
                <w:b/>
                <w:spacing w:val="-2"/>
                <w:sz w:val="18"/>
                <w:szCs w:val="18"/>
              </w:rPr>
              <w:t>Achieved</w:t>
            </w:r>
            <w:r w:rsidRPr="00DD37E1">
              <w:rPr>
                <w:rFonts w:ascii="Arial" w:eastAsia="Times New Roman" w:hAnsi="Arial" w:cs="Arial"/>
                <w:bCs/>
                <w:i/>
                <w:color w:val="000000"/>
                <w:spacing w:val="-2"/>
                <w:sz w:val="18"/>
                <w:szCs w:val="18"/>
                <w:lang w:eastAsia="en-AU"/>
              </w:rPr>
              <w:t xml:space="preserve"> </w:t>
            </w:r>
          </w:p>
          <w:p w14:paraId="2BBBAFEB" w14:textId="77777777" w:rsidR="00DA3529" w:rsidRPr="00DD37E1" w:rsidRDefault="00DA3529" w:rsidP="00ED0631">
            <w:pPr>
              <w:widowControl w:val="0"/>
              <w:autoSpaceDE w:val="0"/>
              <w:autoSpaceDN w:val="0"/>
              <w:adjustRightInd w:val="0"/>
              <w:spacing w:before="40" w:after="40"/>
              <w:rPr>
                <w:rFonts w:ascii="Arial" w:hAnsi="Arial" w:cs="Arial"/>
                <w:sz w:val="18"/>
                <w:szCs w:val="18"/>
                <w:lang w:val="en-US"/>
              </w:rPr>
            </w:pPr>
            <w:r w:rsidRPr="00DD37E1">
              <w:rPr>
                <w:rFonts w:ascii="Arial" w:eastAsia="Times New Roman" w:hAnsi="Arial" w:cs="Arial"/>
                <w:bCs/>
                <w:i/>
                <w:color w:val="000000"/>
                <w:spacing w:val="-2"/>
                <w:sz w:val="18"/>
                <w:szCs w:val="18"/>
                <w:lang w:eastAsia="en-AU"/>
              </w:rPr>
              <w:t>Gross Enrolment Rate</w:t>
            </w:r>
            <w:r w:rsidRPr="00DD37E1">
              <w:rPr>
                <w:rFonts w:ascii="Arial" w:eastAsia="Times New Roman" w:hAnsi="Arial" w:cs="Arial"/>
                <w:bCs/>
                <w:color w:val="000000"/>
                <w:spacing w:val="-2"/>
                <w:sz w:val="18"/>
                <w:szCs w:val="18"/>
                <w:lang w:eastAsia="en-AU"/>
              </w:rPr>
              <w:t xml:space="preserve"> </w:t>
            </w:r>
            <w:r w:rsidRPr="00DD37E1">
              <w:rPr>
                <w:rFonts w:ascii="Arial" w:hAnsi="Arial" w:cs="Arial"/>
                <w:iCs/>
                <w:sz w:val="18"/>
                <w:szCs w:val="18"/>
                <w:lang w:val="en-US"/>
              </w:rPr>
              <w:t>is the number of pupils enrolled in a given level of education, regardless of age, expressed as a percentage of the population in the relevant official age group.</w:t>
            </w:r>
          </w:p>
          <w:p w14:paraId="5A589513"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A high GER indicates a high level of participation in primary education. The ratio can exceed 100% due to repetition of years and over-aged and under-aged children entering primary school for the first time.</w:t>
            </w:r>
          </w:p>
        </w:tc>
      </w:tr>
      <w:tr w:rsidR="00DA3529" w:rsidRPr="00DD37E1" w14:paraId="13C0785C" w14:textId="77777777" w:rsidTr="00ED0631">
        <w:trPr>
          <w:trHeight w:val="284"/>
        </w:trPr>
        <w:tc>
          <w:tcPr>
            <w:tcW w:w="868" w:type="pct"/>
            <w:shd w:val="clear" w:color="auto" w:fill="F2F2F2" w:themeFill="background1" w:themeFillShade="F2"/>
            <w:hideMark/>
          </w:tcPr>
          <w:p w14:paraId="4563CB5C"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lastRenderedPageBreak/>
              <w:t xml:space="preserve"> </w:t>
            </w:r>
          </w:p>
        </w:tc>
        <w:tc>
          <w:tcPr>
            <w:tcW w:w="1033" w:type="pct"/>
            <w:shd w:val="clear" w:color="auto" w:fill="F2F2F2" w:themeFill="background1" w:themeFillShade="F2"/>
            <w:hideMark/>
          </w:tcPr>
          <w:p w14:paraId="207D57B3"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Percentage of primary school-aged children fully participating in 6 years of primary education</w:t>
            </w:r>
          </w:p>
          <w:p w14:paraId="039A284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r w:rsidRPr="00DD37E1">
              <w:rPr>
                <w:rFonts w:ascii="Arial" w:eastAsia="Times New Roman" w:hAnsi="Arial" w:cs="Arial"/>
                <w:bCs/>
                <w:color w:val="000000"/>
                <w:spacing w:val="-2"/>
                <w:sz w:val="18"/>
                <w:szCs w:val="18"/>
                <w:lang w:eastAsia="en-AU"/>
              </w:rPr>
              <w:t xml:space="preserve"> 80%</w:t>
            </w:r>
          </w:p>
        </w:tc>
        <w:tc>
          <w:tcPr>
            <w:tcW w:w="1180" w:type="pct"/>
            <w:shd w:val="clear" w:color="auto" w:fill="F2F2F2" w:themeFill="background1" w:themeFillShade="F2"/>
          </w:tcPr>
          <w:p w14:paraId="4C06D7E5"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2015 Year 6 Completion rate </w:t>
            </w:r>
          </w:p>
          <w:p w14:paraId="3D955252"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Total: 92.8%</w:t>
            </w:r>
          </w:p>
          <w:p w14:paraId="2483DD5F"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Boys: 83.5%</w:t>
            </w:r>
          </w:p>
          <w:p w14:paraId="71D04739"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Girls:103% </w:t>
            </w:r>
          </w:p>
        </w:tc>
        <w:tc>
          <w:tcPr>
            <w:tcW w:w="1919" w:type="pct"/>
            <w:shd w:val="clear" w:color="auto" w:fill="F2F2F2" w:themeFill="background1" w:themeFillShade="F2"/>
            <w:hideMark/>
          </w:tcPr>
          <w:p w14:paraId="5E493B02" w14:textId="77777777" w:rsidR="00DA3529" w:rsidRPr="00DD37E1" w:rsidRDefault="00DA3529" w:rsidP="00ED0631">
            <w:pPr>
              <w:pStyle w:val="ListParagraph"/>
              <w:spacing w:before="40" w:after="40"/>
              <w:ind w:left="34"/>
              <w:contextualSpacing w:val="0"/>
              <w:rPr>
                <w:rFonts w:ascii="Arial" w:eastAsia="Times New Roman" w:hAnsi="Arial" w:cs="Arial"/>
                <w:i/>
                <w:color w:val="000000"/>
                <w:spacing w:val="-2"/>
                <w:sz w:val="18"/>
                <w:szCs w:val="18"/>
                <w:lang w:eastAsia="en-AU"/>
              </w:rPr>
            </w:pPr>
            <w:r w:rsidRPr="00DD37E1">
              <w:rPr>
                <w:rFonts w:ascii="Arial" w:hAnsi="Arial" w:cs="Arial"/>
                <w:b/>
                <w:spacing w:val="-2"/>
                <w:sz w:val="18"/>
                <w:szCs w:val="18"/>
              </w:rPr>
              <w:t>Achieved</w:t>
            </w:r>
            <w:r w:rsidRPr="00DD37E1">
              <w:rPr>
                <w:rFonts w:ascii="Arial" w:eastAsia="Times New Roman" w:hAnsi="Arial" w:cs="Arial"/>
                <w:i/>
                <w:color w:val="000000"/>
                <w:spacing w:val="-2"/>
                <w:sz w:val="18"/>
                <w:szCs w:val="18"/>
                <w:lang w:eastAsia="en-AU"/>
              </w:rPr>
              <w:t xml:space="preserve"> </w:t>
            </w:r>
          </w:p>
          <w:p w14:paraId="3A69ABBF" w14:textId="77777777" w:rsidR="00DA3529" w:rsidRPr="00DD37E1" w:rsidRDefault="00DA3529" w:rsidP="00ED0631">
            <w:pPr>
              <w:pStyle w:val="ListParagraph"/>
              <w:spacing w:before="40" w:after="40"/>
              <w:ind w:left="34"/>
              <w:contextualSpacing w:val="0"/>
              <w:rPr>
                <w:rFonts w:ascii="Arial" w:eastAsia="Times New Roman" w:hAnsi="Arial" w:cs="Arial"/>
                <w:color w:val="000000"/>
                <w:spacing w:val="-2"/>
                <w:sz w:val="18"/>
                <w:szCs w:val="18"/>
                <w:lang w:eastAsia="en-AU"/>
              </w:rPr>
            </w:pPr>
            <w:r w:rsidRPr="00DD37E1">
              <w:rPr>
                <w:rFonts w:ascii="Arial" w:eastAsia="Times New Roman" w:hAnsi="Arial" w:cs="Arial"/>
                <w:i/>
                <w:color w:val="000000"/>
                <w:spacing w:val="-2"/>
                <w:sz w:val="18"/>
                <w:szCs w:val="18"/>
                <w:lang w:eastAsia="en-AU"/>
              </w:rPr>
              <w:t>Completion rate</w:t>
            </w:r>
            <w:r w:rsidRPr="00DD37E1">
              <w:rPr>
                <w:rFonts w:ascii="Arial" w:eastAsia="Times New Roman" w:hAnsi="Arial" w:cs="Arial"/>
                <w:color w:val="000000"/>
                <w:spacing w:val="-2"/>
                <w:sz w:val="18"/>
                <w:szCs w:val="18"/>
                <w:lang w:eastAsia="en-AU"/>
              </w:rPr>
              <w:t xml:space="preserve"> is the total number of new entrants in the last grade of primary education, regardless of age, expressed as a percentage of the total population of the official/legal age for the last grade. Also known as "gross intake rate to the last grade of primary education."</w:t>
            </w:r>
          </w:p>
          <w:p w14:paraId="02EE8712"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MoE-KEIP research in 2015 suggests only 2.1 % of school-aged children are not enrolled, and the majority of teachers and school leaders believe enrolment and attendance has improved since the start of KEIP Phases I and II.</w:t>
            </w:r>
          </w:p>
        </w:tc>
      </w:tr>
      <w:tr w:rsidR="00DA3529" w:rsidRPr="00DD37E1" w14:paraId="084DDD4E" w14:textId="77777777" w:rsidTr="00ED0631">
        <w:trPr>
          <w:trHeight w:val="284"/>
        </w:trPr>
        <w:tc>
          <w:tcPr>
            <w:tcW w:w="5000" w:type="pct"/>
            <w:gridSpan w:val="4"/>
            <w:shd w:val="clear" w:color="auto" w:fill="D9D9D9" w:themeFill="background1" w:themeFillShade="D9"/>
          </w:tcPr>
          <w:p w14:paraId="59D62B74"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b/>
                <w:bCs/>
                <w:color w:val="000000"/>
                <w:spacing w:val="-2"/>
                <w:sz w:val="18"/>
                <w:szCs w:val="18"/>
                <w:lang w:eastAsia="en-AU"/>
              </w:rPr>
              <w:t>Intermediate Outcomes</w:t>
            </w:r>
          </w:p>
        </w:tc>
      </w:tr>
      <w:tr w:rsidR="00DA3529" w:rsidRPr="00DD37E1" w14:paraId="6C998AE2" w14:textId="77777777" w:rsidTr="00ED0631">
        <w:trPr>
          <w:trHeight w:val="284"/>
        </w:trPr>
        <w:tc>
          <w:tcPr>
            <w:tcW w:w="868" w:type="pct"/>
            <w:shd w:val="clear" w:color="auto" w:fill="F2F2F2" w:themeFill="background1" w:themeFillShade="F2"/>
            <w:hideMark/>
          </w:tcPr>
          <w:p w14:paraId="2E2FBCD9" w14:textId="77777777" w:rsidR="00DA3529" w:rsidRPr="00DD37E1" w:rsidRDefault="00DA3529" w:rsidP="00ED0631">
            <w:pPr>
              <w:spacing w:before="40" w:after="40"/>
              <w:rPr>
                <w:rFonts w:ascii="Arial" w:eastAsia="Times New Roman" w:hAnsi="Arial" w:cs="Arial"/>
                <w:bCs/>
                <w:color w:val="000000"/>
                <w:spacing w:val="-4"/>
                <w:sz w:val="18"/>
                <w:szCs w:val="18"/>
                <w:lang w:eastAsia="en-AU"/>
              </w:rPr>
            </w:pPr>
            <w:r w:rsidRPr="00DD37E1">
              <w:rPr>
                <w:rFonts w:ascii="Arial" w:eastAsia="Times New Roman" w:hAnsi="Arial" w:cs="Arial"/>
                <w:bCs/>
                <w:color w:val="000000"/>
                <w:spacing w:val="-4"/>
                <w:sz w:val="18"/>
                <w:szCs w:val="18"/>
                <w:lang w:eastAsia="en-AU"/>
              </w:rPr>
              <w:t>Improved classroom teaching and learning for all children in Yrs 1-4</w:t>
            </w:r>
          </w:p>
        </w:tc>
        <w:tc>
          <w:tcPr>
            <w:tcW w:w="1033" w:type="pct"/>
            <w:shd w:val="clear" w:color="auto" w:fill="F2F2F2" w:themeFill="background1" w:themeFillShade="F2"/>
            <w:hideMark/>
          </w:tcPr>
          <w:p w14:paraId="786C9D8E"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1.A Net intake rate (NIR)</w:t>
            </w:r>
          </w:p>
          <w:p w14:paraId="79E550C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Baseline (2011)</w:t>
            </w:r>
          </w:p>
          <w:p w14:paraId="6D59272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Total: 68%</w:t>
            </w:r>
          </w:p>
          <w:p w14:paraId="103EFD6D"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Girls: 66%</w:t>
            </w:r>
          </w:p>
          <w:p w14:paraId="5B8CE96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Boys: 70%</w:t>
            </w:r>
          </w:p>
        </w:tc>
        <w:tc>
          <w:tcPr>
            <w:tcW w:w="1180" w:type="pct"/>
            <w:shd w:val="clear" w:color="auto" w:fill="F2F2F2" w:themeFill="background1" w:themeFillShade="F2"/>
          </w:tcPr>
          <w:p w14:paraId="47E22393" w14:textId="77777777" w:rsidR="00DA3529" w:rsidRPr="00DD37E1" w:rsidRDefault="00DA3529" w:rsidP="00ED0631">
            <w:pPr>
              <w:spacing w:before="40" w:after="40"/>
              <w:rPr>
                <w:rFonts w:ascii="Arial" w:eastAsia="Times New Roman" w:hAnsi="Arial" w:cs="Arial"/>
                <w:i/>
                <w:color w:val="000000"/>
                <w:spacing w:val="-2"/>
                <w:sz w:val="18"/>
                <w:szCs w:val="18"/>
                <w:lang w:eastAsia="en-AU"/>
              </w:rPr>
            </w:pPr>
            <w:r w:rsidRPr="00DD37E1">
              <w:rPr>
                <w:rFonts w:ascii="Arial" w:eastAsia="Times New Roman" w:hAnsi="Arial" w:cs="Arial"/>
                <w:i/>
                <w:color w:val="000000"/>
                <w:spacing w:val="-2"/>
                <w:sz w:val="18"/>
                <w:szCs w:val="18"/>
                <w:lang w:eastAsia="en-AU"/>
              </w:rPr>
              <w:t>2015 Net intake rate</w:t>
            </w:r>
          </w:p>
          <w:p w14:paraId="497BA97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Total: 82.3%</w:t>
            </w:r>
          </w:p>
          <w:p w14:paraId="28217674"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Girls: 84.1%</w:t>
            </w:r>
          </w:p>
          <w:p w14:paraId="26C9FE68"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Boys: 80.6%</w:t>
            </w:r>
          </w:p>
        </w:tc>
        <w:tc>
          <w:tcPr>
            <w:tcW w:w="1919" w:type="pct"/>
            <w:shd w:val="clear" w:color="auto" w:fill="F2F2F2" w:themeFill="background1" w:themeFillShade="F2"/>
            <w:hideMark/>
          </w:tcPr>
          <w:p w14:paraId="2E31B373" w14:textId="77777777" w:rsidR="00DA3529" w:rsidRPr="00DD37E1" w:rsidRDefault="00DA3529" w:rsidP="00ED0631">
            <w:pPr>
              <w:widowControl w:val="0"/>
              <w:autoSpaceDE w:val="0"/>
              <w:autoSpaceDN w:val="0"/>
              <w:adjustRightInd w:val="0"/>
              <w:spacing w:before="40" w:after="40"/>
              <w:rPr>
                <w:rFonts w:ascii="Arial" w:hAnsi="Arial" w:cs="Arial"/>
                <w:i/>
                <w:iCs/>
                <w:sz w:val="18"/>
                <w:szCs w:val="18"/>
                <w:lang w:val="en-US"/>
              </w:rPr>
            </w:pPr>
            <w:r w:rsidRPr="00DD37E1">
              <w:rPr>
                <w:rFonts w:ascii="Arial" w:hAnsi="Arial" w:cs="Arial"/>
                <w:b/>
                <w:spacing w:val="-2"/>
                <w:sz w:val="18"/>
                <w:szCs w:val="18"/>
              </w:rPr>
              <w:t>Achieved</w:t>
            </w:r>
          </w:p>
          <w:p w14:paraId="43BE0A2F" w14:textId="77777777" w:rsidR="00DA3529" w:rsidRPr="00DD37E1" w:rsidRDefault="00DA3529" w:rsidP="00ED0631">
            <w:pPr>
              <w:widowControl w:val="0"/>
              <w:autoSpaceDE w:val="0"/>
              <w:autoSpaceDN w:val="0"/>
              <w:adjustRightInd w:val="0"/>
              <w:spacing w:before="40" w:after="40"/>
              <w:rPr>
                <w:rFonts w:ascii="Arial" w:hAnsi="Arial" w:cs="Arial"/>
                <w:sz w:val="18"/>
                <w:szCs w:val="18"/>
                <w:lang w:val="en-US"/>
              </w:rPr>
            </w:pPr>
            <w:r w:rsidRPr="00DD37E1">
              <w:rPr>
                <w:rFonts w:ascii="Arial" w:hAnsi="Arial" w:cs="Arial"/>
                <w:i/>
                <w:iCs/>
                <w:sz w:val="18"/>
                <w:szCs w:val="18"/>
                <w:lang w:val="en-US"/>
              </w:rPr>
              <w:t>Net Intake Rate</w:t>
            </w:r>
            <w:r w:rsidRPr="00DD37E1">
              <w:rPr>
                <w:rFonts w:ascii="Arial" w:hAnsi="Arial" w:cs="Arial"/>
                <w:iCs/>
                <w:sz w:val="18"/>
                <w:szCs w:val="18"/>
                <w:lang w:val="en-US"/>
              </w:rPr>
              <w:t xml:space="preserve"> is the number of </w:t>
            </w:r>
            <w:r w:rsidRPr="00DD37E1">
              <w:rPr>
                <w:rFonts w:ascii="Arial" w:hAnsi="Arial" w:cs="Arial"/>
                <w:iCs/>
                <w:sz w:val="18"/>
                <w:szCs w:val="18"/>
                <w:u w:val="single"/>
                <w:lang w:val="en-US"/>
              </w:rPr>
              <w:t>new</w:t>
            </w:r>
            <w:r w:rsidRPr="00DD37E1">
              <w:rPr>
                <w:rFonts w:ascii="Arial" w:hAnsi="Arial" w:cs="Arial"/>
                <w:iCs/>
                <w:sz w:val="18"/>
                <w:szCs w:val="18"/>
                <w:lang w:val="en-US"/>
              </w:rPr>
              <w:t xml:space="preserve"> entrants into class one primary who are of the official primary school entry age, expressed as a percentage of the total population of official primary school entry - aged children. This indicator measures the percentage of children who start school at the official primary school start age (six years old). </w:t>
            </w:r>
          </w:p>
        </w:tc>
      </w:tr>
      <w:tr w:rsidR="00DA3529" w:rsidRPr="00DD37E1" w14:paraId="6FE1B063" w14:textId="77777777" w:rsidTr="00ED0631">
        <w:trPr>
          <w:trHeight w:val="284"/>
        </w:trPr>
        <w:tc>
          <w:tcPr>
            <w:tcW w:w="868" w:type="pct"/>
            <w:shd w:val="clear" w:color="auto" w:fill="F2F2F2" w:themeFill="background1" w:themeFillShade="F2"/>
            <w:hideMark/>
          </w:tcPr>
          <w:p w14:paraId="5971E9D3"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 xml:space="preserve"> </w:t>
            </w:r>
          </w:p>
        </w:tc>
        <w:tc>
          <w:tcPr>
            <w:tcW w:w="1033" w:type="pct"/>
            <w:shd w:val="clear" w:color="auto" w:fill="F2F2F2" w:themeFill="background1" w:themeFillShade="F2"/>
            <w:hideMark/>
          </w:tcPr>
          <w:p w14:paraId="022428E2"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1.B Gross intake rate (GIR)</w:t>
            </w:r>
          </w:p>
          <w:p w14:paraId="404128CA"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i/>
                <w:spacing w:val="-2"/>
                <w:sz w:val="18"/>
                <w:szCs w:val="18"/>
                <w:lang w:eastAsia="en-AU"/>
              </w:rPr>
              <w:t>Baseline</w:t>
            </w:r>
          </w:p>
          <w:p w14:paraId="1EC69A30"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All 91%</w:t>
            </w:r>
          </w:p>
          <w:p w14:paraId="4415F4E2"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Girls 88%</w:t>
            </w:r>
          </w:p>
          <w:p w14:paraId="19606CF4"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Boys 94%</w:t>
            </w:r>
          </w:p>
        </w:tc>
        <w:tc>
          <w:tcPr>
            <w:tcW w:w="1180" w:type="pct"/>
            <w:shd w:val="clear" w:color="auto" w:fill="F2F2F2" w:themeFill="background1" w:themeFillShade="F2"/>
          </w:tcPr>
          <w:p w14:paraId="234080DE"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2015 Gross intake rate</w:t>
            </w:r>
          </w:p>
          <w:p w14:paraId="7C9C8F46"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Total: 115.9%</w:t>
            </w:r>
          </w:p>
          <w:p w14:paraId="1D316D56"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Boys: 112.9%</w:t>
            </w:r>
          </w:p>
          <w:p w14:paraId="0C3C4E4B"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Girls: 119.0%</w:t>
            </w:r>
          </w:p>
        </w:tc>
        <w:tc>
          <w:tcPr>
            <w:tcW w:w="1919" w:type="pct"/>
            <w:shd w:val="clear" w:color="auto" w:fill="F2F2F2" w:themeFill="background1" w:themeFillShade="F2"/>
            <w:hideMark/>
          </w:tcPr>
          <w:p w14:paraId="009442C1" w14:textId="77777777" w:rsidR="00DA3529" w:rsidRPr="00DD37E1" w:rsidRDefault="00DA3529" w:rsidP="00ED0631">
            <w:pPr>
              <w:spacing w:before="40" w:after="40"/>
              <w:rPr>
                <w:rFonts w:ascii="Arial" w:eastAsia="Times New Roman" w:hAnsi="Arial" w:cs="Arial"/>
                <w:i/>
                <w:spacing w:val="-2"/>
                <w:sz w:val="18"/>
                <w:szCs w:val="18"/>
                <w:lang w:eastAsia="en-AU"/>
              </w:rPr>
            </w:pPr>
            <w:r w:rsidRPr="00DD37E1">
              <w:rPr>
                <w:rFonts w:ascii="Arial" w:hAnsi="Arial" w:cs="Arial"/>
                <w:b/>
                <w:spacing w:val="-2"/>
                <w:sz w:val="18"/>
                <w:szCs w:val="18"/>
              </w:rPr>
              <w:t>Achieved</w:t>
            </w:r>
          </w:p>
          <w:p w14:paraId="52D19FBB"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i/>
                <w:spacing w:val="-2"/>
                <w:sz w:val="18"/>
                <w:szCs w:val="18"/>
                <w:lang w:eastAsia="en-AU"/>
              </w:rPr>
              <w:t>Gross Intake Rate</w:t>
            </w:r>
            <w:r w:rsidRPr="00DD37E1">
              <w:rPr>
                <w:rFonts w:ascii="Arial" w:eastAsia="Times New Roman" w:hAnsi="Arial" w:cs="Arial"/>
                <w:spacing w:val="-2"/>
                <w:sz w:val="18"/>
                <w:szCs w:val="18"/>
                <w:lang w:eastAsia="en-AU"/>
              </w:rPr>
              <w:t xml:space="preserve"> is the total number of new entrants in the first grade of primary education, regardless of age, expressed as a percentage of the population at the official primary school-entrance age.</w:t>
            </w:r>
          </w:p>
          <w:p w14:paraId="4EE9BCEC"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Being higher than 100% probably reflects a significant number of older children starting school for the first time.</w:t>
            </w:r>
          </w:p>
          <w:p w14:paraId="780195ED"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Both NIR and GIR show a significant improvement in the number of children in primary education. Overall improvement was 14% (NIR) and 25% (GIR).</w:t>
            </w:r>
          </w:p>
        </w:tc>
      </w:tr>
      <w:tr w:rsidR="00DA3529" w:rsidRPr="00DD37E1" w14:paraId="7F43030E" w14:textId="77777777" w:rsidTr="00ED0631">
        <w:trPr>
          <w:trHeight w:val="284"/>
        </w:trPr>
        <w:tc>
          <w:tcPr>
            <w:tcW w:w="868" w:type="pct"/>
            <w:shd w:val="clear" w:color="auto" w:fill="F2F2F2" w:themeFill="background1" w:themeFillShade="F2"/>
            <w:hideMark/>
          </w:tcPr>
          <w:p w14:paraId="4038B994"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 xml:space="preserve"> </w:t>
            </w:r>
          </w:p>
        </w:tc>
        <w:tc>
          <w:tcPr>
            <w:tcW w:w="1033" w:type="pct"/>
            <w:shd w:val="clear" w:color="auto" w:fill="F2F2F2" w:themeFill="background1" w:themeFillShade="F2"/>
            <w:hideMark/>
          </w:tcPr>
          <w:p w14:paraId="5B344718"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1. C Survival rates for primary school students. The baseline below is the indicator referenced in the 2012 KEIP MEF.</w:t>
            </w:r>
          </w:p>
          <w:p w14:paraId="7F9845DF"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i/>
                <w:spacing w:val="-2"/>
                <w:sz w:val="18"/>
                <w:szCs w:val="18"/>
                <w:lang w:eastAsia="en-AU"/>
              </w:rPr>
              <w:t>Baseline</w:t>
            </w:r>
          </w:p>
          <w:p w14:paraId="0FBD7A45"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Total: 91.2%</w:t>
            </w:r>
          </w:p>
          <w:p w14:paraId="73085F16"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Boys: 87.9%</w:t>
            </w:r>
          </w:p>
          <w:p w14:paraId="2334CDC6"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 xml:space="preserve">Girls: 94.6% </w:t>
            </w:r>
          </w:p>
        </w:tc>
        <w:tc>
          <w:tcPr>
            <w:tcW w:w="1180" w:type="pct"/>
            <w:shd w:val="clear" w:color="auto" w:fill="F2F2F2" w:themeFill="background1" w:themeFillShade="F2"/>
          </w:tcPr>
          <w:p w14:paraId="3BC6E54B"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Survival rates for primary school students Class 6</w:t>
            </w:r>
          </w:p>
          <w:p w14:paraId="58574935"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2014-15</w:t>
            </w:r>
          </w:p>
          <w:p w14:paraId="27A063BA"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Total: 77.0%</w:t>
            </w:r>
          </w:p>
          <w:p w14:paraId="4F1E9882"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Boys: 78.5%</w:t>
            </w:r>
          </w:p>
          <w:p w14:paraId="63CD8712"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Girls: 75.5%</w:t>
            </w:r>
          </w:p>
        </w:tc>
        <w:tc>
          <w:tcPr>
            <w:tcW w:w="1919" w:type="pct"/>
            <w:shd w:val="clear" w:color="auto" w:fill="F2F2F2" w:themeFill="background1" w:themeFillShade="F2"/>
            <w:hideMark/>
          </w:tcPr>
          <w:p w14:paraId="5EC3A131"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Not Yet Achieved</w:t>
            </w:r>
          </w:p>
          <w:p w14:paraId="120BC4F9"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i/>
                <w:spacing w:val="-2"/>
                <w:sz w:val="18"/>
                <w:szCs w:val="18"/>
                <w:lang w:eastAsia="en-AU"/>
              </w:rPr>
              <w:t>Survival rate</w:t>
            </w:r>
            <w:r w:rsidRPr="00DD37E1">
              <w:rPr>
                <w:rFonts w:ascii="Arial" w:eastAsia="Times New Roman" w:hAnsi="Arial" w:cs="Arial"/>
                <w:spacing w:val="-2"/>
                <w:sz w:val="18"/>
                <w:szCs w:val="18"/>
                <w:lang w:eastAsia="en-AU"/>
              </w:rPr>
              <w:t xml:space="preserve"> is defined as the proportion of a cohort of students who reach a specified level of schooling (e.g. Grade 5 or 6) expressed as percentage of the students who were enrolled in the first grade.</w:t>
            </w:r>
          </w:p>
          <w:p w14:paraId="689034B5"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2014-15 survival rates show a decline, however this seems to reflect a problem with the baseline. Baseline survival rates would appear to have been inflated due to a decline in the number of enrolments for boys and girls across the primary school sector in 2009 compared with 2008 (2009 Digest of Education Statistics, MoE) .</w:t>
            </w:r>
          </w:p>
        </w:tc>
      </w:tr>
      <w:tr w:rsidR="00DA3529" w:rsidRPr="00DD37E1" w14:paraId="5F85941C" w14:textId="77777777" w:rsidTr="00ED0631">
        <w:trPr>
          <w:trHeight w:val="284"/>
        </w:trPr>
        <w:tc>
          <w:tcPr>
            <w:tcW w:w="868" w:type="pct"/>
            <w:shd w:val="clear" w:color="auto" w:fill="F2F2F2" w:themeFill="background1" w:themeFillShade="F2"/>
            <w:hideMark/>
          </w:tcPr>
          <w:p w14:paraId="48D9213A"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Improved governance and management of the education system</w:t>
            </w:r>
          </w:p>
        </w:tc>
        <w:tc>
          <w:tcPr>
            <w:tcW w:w="1033" w:type="pct"/>
            <w:shd w:val="clear" w:color="auto" w:fill="F2F2F2" w:themeFill="background1" w:themeFillShade="F2"/>
            <w:hideMark/>
          </w:tcPr>
          <w:p w14:paraId="4CDC92B3"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2.A Percentage of primary schools implementing school management and operational plans</w:t>
            </w:r>
          </w:p>
          <w:p w14:paraId="44F4B4B2"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Baseline:  0.</w:t>
            </w:r>
          </w:p>
        </w:tc>
        <w:tc>
          <w:tcPr>
            <w:tcW w:w="1180" w:type="pct"/>
            <w:shd w:val="clear" w:color="auto" w:fill="F2F2F2" w:themeFill="background1" w:themeFillShade="F2"/>
          </w:tcPr>
          <w:p w14:paraId="7AC4D811"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Refer to indicator 2.1.C</w:t>
            </w:r>
          </w:p>
        </w:tc>
        <w:tc>
          <w:tcPr>
            <w:tcW w:w="1919" w:type="pct"/>
            <w:shd w:val="clear" w:color="auto" w:fill="F2F2F2" w:themeFill="background1" w:themeFillShade="F2"/>
            <w:hideMark/>
          </w:tcPr>
          <w:p w14:paraId="6CA20859"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Partially Achieved</w:t>
            </w:r>
          </w:p>
          <w:p w14:paraId="1F27280F"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 xml:space="preserve">School Improvement Plans (SIPs) were introduced during KEIP Phase II and were not previously used. </w:t>
            </w:r>
          </w:p>
          <w:p w14:paraId="3C388651"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More than 2/3 of all schools report now having a SIP, however, research shows the planning process is not yet institutionalised or understood as part of a continuous improvement process.</w:t>
            </w:r>
          </w:p>
        </w:tc>
      </w:tr>
      <w:tr w:rsidR="00DA3529" w:rsidRPr="00DD37E1" w14:paraId="783A2CA4" w14:textId="77777777" w:rsidTr="00ED0631">
        <w:trPr>
          <w:trHeight w:val="284"/>
        </w:trPr>
        <w:tc>
          <w:tcPr>
            <w:tcW w:w="868" w:type="pct"/>
            <w:shd w:val="clear" w:color="auto" w:fill="F2F2F2" w:themeFill="background1" w:themeFillShade="F2"/>
            <w:hideMark/>
          </w:tcPr>
          <w:p w14:paraId="228FE957"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lastRenderedPageBreak/>
              <w:t xml:space="preserve"> </w:t>
            </w:r>
          </w:p>
        </w:tc>
        <w:tc>
          <w:tcPr>
            <w:tcW w:w="1033" w:type="pct"/>
            <w:shd w:val="clear" w:color="auto" w:fill="F2F2F2" w:themeFill="background1" w:themeFillShade="F2"/>
            <w:hideMark/>
          </w:tcPr>
          <w:p w14:paraId="05F7690E"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2.B Level of parents' involvement in school activities supporting children's learning</w:t>
            </w:r>
          </w:p>
          <w:p w14:paraId="7F85E545"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i/>
                <w:color w:val="000000"/>
                <w:spacing w:val="-2"/>
                <w:sz w:val="18"/>
                <w:szCs w:val="18"/>
                <w:lang w:eastAsia="en-AU"/>
              </w:rPr>
              <w:t>Baseline 2009</w:t>
            </w:r>
          </w:p>
          <w:p w14:paraId="4EB98831"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4 / 91 school committees</w:t>
            </w:r>
          </w:p>
        </w:tc>
        <w:tc>
          <w:tcPr>
            <w:tcW w:w="1180" w:type="pct"/>
            <w:shd w:val="clear" w:color="auto" w:fill="F2F2F2" w:themeFill="background1" w:themeFillShade="F2"/>
          </w:tcPr>
          <w:p w14:paraId="3EAAB105"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Both teachers and caregivers reported an increase in parent teacher interviews over previous years. (MOE-KEIP survey).</w:t>
            </w:r>
          </w:p>
          <w:p w14:paraId="3555D1E7"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84 primary schools have school committees and 10 report that they do not (KEMIS, 2015) </w:t>
            </w:r>
          </w:p>
        </w:tc>
        <w:tc>
          <w:tcPr>
            <w:tcW w:w="1919" w:type="pct"/>
            <w:shd w:val="clear" w:color="auto" w:fill="F2F2F2" w:themeFill="background1" w:themeFillShade="F2"/>
            <w:hideMark/>
          </w:tcPr>
          <w:p w14:paraId="38625087"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Partially Achieved</w:t>
            </w:r>
          </w:p>
          <w:p w14:paraId="2EB81B11"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There is no baseline data for parent teacher interviews and school records of these events are poor.</w:t>
            </w:r>
          </w:p>
          <w:p w14:paraId="67F334B7"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There has been a major improvement (+85%) in the number of school committees.</w:t>
            </w:r>
          </w:p>
        </w:tc>
      </w:tr>
      <w:tr w:rsidR="00DA3529" w:rsidRPr="00DD37E1" w14:paraId="32454046" w14:textId="77777777" w:rsidTr="00ED0631">
        <w:trPr>
          <w:trHeight w:val="284"/>
        </w:trPr>
        <w:tc>
          <w:tcPr>
            <w:tcW w:w="868" w:type="pct"/>
            <w:shd w:val="clear" w:color="auto" w:fill="F2F2F2" w:themeFill="background1" w:themeFillShade="F2"/>
            <w:hideMark/>
          </w:tcPr>
          <w:p w14:paraId="6ACF7973"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347323F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2.C No. of official requests for KEMIS data </w:t>
            </w:r>
          </w:p>
          <w:p w14:paraId="4036B56F" w14:textId="77777777" w:rsidR="00DA3529" w:rsidRPr="00DD37E1" w:rsidRDefault="00DA3529" w:rsidP="00ED0631">
            <w:pPr>
              <w:spacing w:before="4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Baseline 2009</w:t>
            </w:r>
          </w:p>
          <w:p w14:paraId="0DDB37D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30 requests</w:t>
            </w:r>
          </w:p>
        </w:tc>
        <w:tc>
          <w:tcPr>
            <w:tcW w:w="1180" w:type="pct"/>
            <w:shd w:val="clear" w:color="auto" w:fill="F2F2F2" w:themeFill="background1" w:themeFillShade="F2"/>
          </w:tcPr>
          <w:p w14:paraId="2DFA2F1D" w14:textId="77777777" w:rsidR="00DA3529" w:rsidRPr="00DD37E1" w:rsidRDefault="00DA3529" w:rsidP="00ED0631">
            <w:pPr>
              <w:spacing w:before="40" w:after="40"/>
              <w:rPr>
                <w:rFonts w:ascii="Arial" w:eastAsia="Times New Roman" w:hAnsi="Arial" w:cs="Arial"/>
                <w:i/>
                <w:color w:val="000000"/>
                <w:spacing w:val="-2"/>
                <w:sz w:val="18"/>
                <w:szCs w:val="18"/>
                <w:lang w:eastAsia="en-AU"/>
              </w:rPr>
            </w:pPr>
            <w:r w:rsidRPr="00DD37E1">
              <w:rPr>
                <w:rFonts w:ascii="Arial" w:eastAsia="Times New Roman" w:hAnsi="Arial" w:cs="Arial"/>
                <w:i/>
                <w:color w:val="000000"/>
                <w:spacing w:val="-2"/>
                <w:sz w:val="18"/>
                <w:szCs w:val="18"/>
                <w:lang w:eastAsia="en-AU"/>
              </w:rPr>
              <w:t>2015</w:t>
            </w:r>
          </w:p>
          <w:p w14:paraId="71EE369C"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296 requests</w:t>
            </w:r>
          </w:p>
        </w:tc>
        <w:tc>
          <w:tcPr>
            <w:tcW w:w="1919" w:type="pct"/>
            <w:shd w:val="clear" w:color="auto" w:fill="F2F2F2" w:themeFill="background1" w:themeFillShade="F2"/>
            <w:hideMark/>
          </w:tcPr>
          <w:p w14:paraId="5AB1FF06" w14:textId="77777777" w:rsidR="00DA3529" w:rsidRPr="00DD37E1" w:rsidRDefault="00DA3529" w:rsidP="00ED0631">
            <w:pPr>
              <w:spacing w:before="40" w:after="40"/>
              <w:rPr>
                <w:rFonts w:ascii="Arial" w:eastAsia="Times New Roman" w:hAnsi="Arial" w:cs="Arial"/>
                <w:b/>
                <w:color w:val="000000"/>
                <w:spacing w:val="-2"/>
                <w:sz w:val="18"/>
                <w:szCs w:val="18"/>
                <w:lang w:eastAsia="en-AU"/>
              </w:rPr>
            </w:pPr>
            <w:r w:rsidRPr="00DD37E1">
              <w:rPr>
                <w:rFonts w:ascii="Arial" w:eastAsia="Times New Roman" w:hAnsi="Arial" w:cs="Arial"/>
                <w:b/>
                <w:color w:val="000000"/>
                <w:spacing w:val="-2"/>
                <w:sz w:val="18"/>
                <w:szCs w:val="18"/>
                <w:lang w:eastAsia="en-AU"/>
              </w:rPr>
              <w:t>Achieved</w:t>
            </w:r>
          </w:p>
          <w:p w14:paraId="799168DC"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KEMIS use has increased markedly</w:t>
            </w:r>
          </w:p>
          <w:p w14:paraId="5A70BE66"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i/>
                <w:color w:val="000000"/>
                <w:spacing w:val="-2"/>
                <w:sz w:val="18"/>
                <w:szCs w:val="18"/>
                <w:lang w:eastAsia="en-AU"/>
              </w:rPr>
              <w:t>Note:</w:t>
            </w:r>
            <w:r w:rsidRPr="00DD37E1">
              <w:rPr>
                <w:rFonts w:ascii="Arial" w:eastAsia="Times New Roman" w:hAnsi="Arial" w:cs="Arial"/>
                <w:color w:val="000000"/>
                <w:spacing w:val="-2"/>
                <w:sz w:val="18"/>
                <w:szCs w:val="18"/>
                <w:lang w:eastAsia="en-AU"/>
              </w:rPr>
              <w:t xml:space="preserve"> data requests could be made for any reason including non-MoE persons.</w:t>
            </w:r>
          </w:p>
        </w:tc>
      </w:tr>
      <w:tr w:rsidR="00DA3529" w:rsidRPr="00DD37E1" w14:paraId="68A38FD2" w14:textId="77777777" w:rsidTr="00ED0631">
        <w:trPr>
          <w:trHeight w:val="284"/>
        </w:trPr>
        <w:tc>
          <w:tcPr>
            <w:tcW w:w="868" w:type="pct"/>
            <w:shd w:val="clear" w:color="auto" w:fill="F2F2F2" w:themeFill="background1" w:themeFillShade="F2"/>
            <w:hideMark/>
          </w:tcPr>
          <w:p w14:paraId="25BF8284"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All children in Yrs 1-4 have access to the new curriculum and materials</w:t>
            </w:r>
          </w:p>
        </w:tc>
        <w:tc>
          <w:tcPr>
            <w:tcW w:w="1033" w:type="pct"/>
            <w:shd w:val="clear" w:color="auto" w:fill="F2F2F2" w:themeFill="background1" w:themeFillShade="F2"/>
            <w:hideMark/>
          </w:tcPr>
          <w:p w14:paraId="3EFEC79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1.1.A Percentage of primary schools implementing the new curriculum</w:t>
            </w:r>
          </w:p>
          <w:p w14:paraId="4F3AAF56"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r w:rsidRPr="00DD37E1">
              <w:rPr>
                <w:rFonts w:ascii="Arial" w:eastAsia="Times New Roman" w:hAnsi="Arial" w:cs="Arial"/>
                <w:bCs/>
                <w:color w:val="000000"/>
                <w:spacing w:val="-2"/>
                <w:sz w:val="18"/>
                <w:szCs w:val="18"/>
                <w:lang w:eastAsia="en-AU"/>
              </w:rPr>
              <w:t xml:space="preserve"> 100%</w:t>
            </w:r>
          </w:p>
        </w:tc>
        <w:tc>
          <w:tcPr>
            <w:tcW w:w="1180" w:type="pct"/>
            <w:shd w:val="clear" w:color="auto" w:fill="F2F2F2" w:themeFill="background1" w:themeFillShade="F2"/>
          </w:tcPr>
          <w:p w14:paraId="19654FC9"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100% all Kiribati Primary Schools received years 1 - 4 new curriculum materials and received training through island-based training cycles.</w:t>
            </w:r>
          </w:p>
          <w:p w14:paraId="5EB287D1"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case study research showed that the teachers were using the new curriculum to plan and deliver lessons, and the SED research showed that 90% of teachers had easy access to new curriculum materials, and less than 5% of teachers may have restricted access to new curriculum materials.</w:t>
            </w:r>
          </w:p>
        </w:tc>
        <w:tc>
          <w:tcPr>
            <w:tcW w:w="1919" w:type="pct"/>
            <w:shd w:val="clear" w:color="auto" w:fill="F2F2F2" w:themeFill="background1" w:themeFillShade="F2"/>
            <w:hideMark/>
          </w:tcPr>
          <w:p w14:paraId="021146CE"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6BD5F332"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MOE-KEIP research confirmed that all Year 1 - 4 teachers have reasonable access to new curriculum materials and are using them to plan lessons.</w:t>
            </w:r>
          </w:p>
          <w:p w14:paraId="09DFC55F"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MoE is addressing a small known number of cases where the new curriculum materials have been relocated by transferred teachers – current teachers still have access through copies held within the school.</w:t>
            </w:r>
          </w:p>
        </w:tc>
      </w:tr>
      <w:tr w:rsidR="00DA3529" w:rsidRPr="00DD37E1" w14:paraId="75C793EE" w14:textId="77777777" w:rsidTr="00ED0631">
        <w:trPr>
          <w:trHeight w:val="284"/>
        </w:trPr>
        <w:tc>
          <w:tcPr>
            <w:tcW w:w="868" w:type="pct"/>
            <w:shd w:val="clear" w:color="auto" w:fill="F2F2F2" w:themeFill="background1" w:themeFillShade="F2"/>
            <w:hideMark/>
          </w:tcPr>
          <w:p w14:paraId="65D161F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2CA882DF"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1.1.A Number of students in year 4 with access to the new curriculum</w:t>
            </w:r>
          </w:p>
          <w:p w14:paraId="57B170B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r w:rsidRPr="00DD37E1">
              <w:rPr>
                <w:rFonts w:ascii="Arial" w:eastAsia="Times New Roman" w:hAnsi="Arial" w:cs="Arial"/>
                <w:bCs/>
                <w:color w:val="000000"/>
                <w:spacing w:val="-2"/>
                <w:sz w:val="18"/>
                <w:szCs w:val="18"/>
                <w:lang w:eastAsia="en-AU"/>
              </w:rPr>
              <w:t xml:space="preserve"> 100% of boys and girls</w:t>
            </w:r>
          </w:p>
        </w:tc>
        <w:tc>
          <w:tcPr>
            <w:tcW w:w="1180" w:type="pct"/>
            <w:shd w:val="clear" w:color="auto" w:fill="F2F2F2" w:themeFill="background1" w:themeFillShade="F2"/>
          </w:tcPr>
          <w:p w14:paraId="4D3CFB4F"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100% of year 4 boys and girls i.e. 2,548 pupils (year 4 enrolments in 2014)</w:t>
            </w:r>
          </w:p>
        </w:tc>
        <w:tc>
          <w:tcPr>
            <w:tcW w:w="1919" w:type="pct"/>
            <w:shd w:val="clear" w:color="auto" w:fill="F2F2F2" w:themeFill="background1" w:themeFillShade="F2"/>
            <w:hideMark/>
          </w:tcPr>
          <w:p w14:paraId="3781EAB4"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0E15CF8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MOE-KEIP research also confirmed that all teachers had reasonable access to the new curriculum and were using them for lesson planning.</w:t>
            </w:r>
          </w:p>
        </w:tc>
      </w:tr>
      <w:tr w:rsidR="00DA3529" w:rsidRPr="00DD37E1" w14:paraId="4CD8017E" w14:textId="77777777" w:rsidTr="00ED0631">
        <w:trPr>
          <w:trHeight w:val="284"/>
        </w:trPr>
        <w:tc>
          <w:tcPr>
            <w:tcW w:w="868" w:type="pct"/>
            <w:shd w:val="clear" w:color="auto" w:fill="F2F2F2" w:themeFill="background1" w:themeFillShade="F2"/>
            <w:hideMark/>
          </w:tcPr>
          <w:p w14:paraId="04831783"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3429AE6B" w14:textId="77777777" w:rsidR="00DA3529" w:rsidRPr="00DD37E1" w:rsidRDefault="00DA3529" w:rsidP="00ED0631">
            <w:pPr>
              <w:spacing w:before="40" w:after="40"/>
              <w:rPr>
                <w:rFonts w:ascii="Arial" w:eastAsia="Times New Roman" w:hAnsi="Arial" w:cs="Arial"/>
                <w:bCs/>
                <w:color w:val="000000"/>
                <w:spacing w:val="-4"/>
                <w:sz w:val="18"/>
                <w:szCs w:val="18"/>
                <w:lang w:eastAsia="en-AU"/>
              </w:rPr>
            </w:pPr>
            <w:r w:rsidRPr="00DD37E1">
              <w:rPr>
                <w:rFonts w:ascii="Arial" w:eastAsia="Times New Roman" w:hAnsi="Arial" w:cs="Arial"/>
                <w:bCs/>
                <w:color w:val="000000"/>
                <w:spacing w:val="-4"/>
                <w:sz w:val="18"/>
                <w:szCs w:val="18"/>
                <w:lang w:eastAsia="en-AU"/>
              </w:rPr>
              <w:t>1.1.C Percentage of primary schools that report having received sufficient learning / teaching packages from the MoE</w:t>
            </w:r>
          </w:p>
          <w:p w14:paraId="3E1510B1" w14:textId="77777777" w:rsidR="00DA3529" w:rsidRPr="00DD37E1" w:rsidRDefault="00DA3529" w:rsidP="00ED0631">
            <w:pPr>
              <w:spacing w:before="40" w:after="40"/>
              <w:rPr>
                <w:rFonts w:ascii="Arial" w:eastAsia="Times New Roman" w:hAnsi="Arial" w:cs="Arial"/>
                <w:bCs/>
                <w:color w:val="000000"/>
                <w:spacing w:val="-4"/>
                <w:sz w:val="18"/>
                <w:szCs w:val="18"/>
                <w:lang w:eastAsia="en-AU"/>
              </w:rPr>
            </w:pPr>
            <w:r w:rsidRPr="00DD37E1">
              <w:rPr>
                <w:rFonts w:ascii="Arial" w:eastAsia="Times New Roman" w:hAnsi="Arial" w:cs="Arial"/>
                <w:bCs/>
                <w:i/>
                <w:color w:val="000000"/>
                <w:spacing w:val="-4"/>
                <w:sz w:val="18"/>
                <w:szCs w:val="18"/>
                <w:lang w:eastAsia="en-AU"/>
              </w:rPr>
              <w:t>Target:</w:t>
            </w:r>
            <w:r w:rsidRPr="00DD37E1">
              <w:rPr>
                <w:rFonts w:ascii="Arial" w:eastAsia="Times New Roman" w:hAnsi="Arial" w:cs="Arial"/>
                <w:bCs/>
                <w:color w:val="000000"/>
                <w:spacing w:val="-4"/>
                <w:sz w:val="18"/>
                <w:szCs w:val="18"/>
                <w:lang w:eastAsia="en-AU"/>
              </w:rPr>
              <w:t xml:space="preserve"> 100% of schools</w:t>
            </w:r>
          </w:p>
        </w:tc>
        <w:tc>
          <w:tcPr>
            <w:tcW w:w="1180" w:type="pct"/>
            <w:shd w:val="clear" w:color="auto" w:fill="F2F2F2" w:themeFill="background1" w:themeFillShade="F2"/>
          </w:tcPr>
          <w:p w14:paraId="492E3DA0" w14:textId="77777777" w:rsidR="00DA3529" w:rsidRPr="00DD37E1" w:rsidRDefault="00DA3529" w:rsidP="00ED0631">
            <w:pPr>
              <w:spacing w:before="40" w:after="40"/>
              <w:rPr>
                <w:rFonts w:ascii="Arial" w:eastAsia="Times New Roman" w:hAnsi="Arial" w:cs="Arial"/>
                <w:color w:val="000000"/>
                <w:spacing w:val="-4"/>
                <w:sz w:val="18"/>
                <w:szCs w:val="18"/>
                <w:lang w:eastAsia="en-AU"/>
              </w:rPr>
            </w:pPr>
            <w:r w:rsidRPr="00DD37E1">
              <w:rPr>
                <w:rFonts w:ascii="Arial" w:eastAsia="Times New Roman" w:hAnsi="Arial" w:cs="Arial"/>
                <w:color w:val="000000"/>
                <w:spacing w:val="-4"/>
                <w:sz w:val="18"/>
                <w:szCs w:val="18"/>
                <w:lang w:eastAsia="en-AU"/>
              </w:rPr>
              <w:t>All 94 primary schools received the learning packages for the new curriculum from MoE.</w:t>
            </w:r>
          </w:p>
          <w:p w14:paraId="0DFF0F7A" w14:textId="77777777" w:rsidR="00DA3529" w:rsidRPr="00DD37E1" w:rsidRDefault="00DA3529" w:rsidP="00ED0631">
            <w:pPr>
              <w:spacing w:before="40" w:after="40"/>
              <w:rPr>
                <w:rFonts w:ascii="Arial" w:eastAsia="Times New Roman" w:hAnsi="Arial" w:cs="Arial"/>
                <w:color w:val="000000"/>
                <w:spacing w:val="-4"/>
                <w:sz w:val="18"/>
                <w:szCs w:val="18"/>
                <w:lang w:eastAsia="en-AU"/>
              </w:rPr>
            </w:pPr>
            <w:r w:rsidRPr="00DD37E1">
              <w:rPr>
                <w:rFonts w:ascii="Arial" w:eastAsia="Times New Roman" w:hAnsi="Arial" w:cs="Arial"/>
                <w:color w:val="000000"/>
                <w:spacing w:val="-4"/>
                <w:sz w:val="18"/>
                <w:szCs w:val="18"/>
                <w:lang w:eastAsia="en-AU"/>
              </w:rPr>
              <w:t xml:space="preserve">Additional readers and resources were also distributed in subsequent tranches. </w:t>
            </w:r>
          </w:p>
        </w:tc>
        <w:tc>
          <w:tcPr>
            <w:tcW w:w="1919" w:type="pct"/>
            <w:shd w:val="clear" w:color="auto" w:fill="F2F2F2" w:themeFill="background1" w:themeFillShade="F2"/>
            <w:hideMark/>
          </w:tcPr>
          <w:p w14:paraId="0D016176"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Partially Achieved</w:t>
            </w:r>
          </w:p>
          <w:p w14:paraId="0904B0CE" w14:textId="77777777" w:rsidR="00DA3529" w:rsidRPr="00DD37E1" w:rsidRDefault="00DA3529" w:rsidP="00ED0631">
            <w:pPr>
              <w:spacing w:before="40" w:after="40"/>
              <w:rPr>
                <w:rFonts w:ascii="Arial" w:eastAsia="Times New Roman" w:hAnsi="Arial" w:cs="Arial"/>
                <w:color w:val="000000"/>
                <w:spacing w:val="-4"/>
                <w:sz w:val="18"/>
                <w:szCs w:val="18"/>
                <w:lang w:eastAsia="en-AU"/>
              </w:rPr>
            </w:pPr>
            <w:r w:rsidRPr="00DD37E1">
              <w:rPr>
                <w:rFonts w:ascii="Arial" w:eastAsia="Times New Roman" w:hAnsi="Arial" w:cs="Arial"/>
                <w:color w:val="000000"/>
                <w:spacing w:val="-4"/>
                <w:sz w:val="18"/>
                <w:szCs w:val="18"/>
                <w:lang w:eastAsia="en-AU"/>
              </w:rPr>
              <w:t>While 100% of schools received the material developed, MOE-KEIP research revealed that only 67% of teachers surveyed felt that they had enough curriculum resources.</w:t>
            </w:r>
          </w:p>
          <w:p w14:paraId="13FF8683" w14:textId="77777777" w:rsidR="00DA3529" w:rsidRPr="00DD37E1" w:rsidRDefault="00DA3529" w:rsidP="00ED0631">
            <w:pPr>
              <w:spacing w:before="40" w:after="40"/>
              <w:rPr>
                <w:rFonts w:ascii="Arial" w:eastAsia="Times New Roman" w:hAnsi="Arial" w:cs="Arial"/>
                <w:b/>
                <w:color w:val="000000"/>
                <w:spacing w:val="-4"/>
                <w:sz w:val="18"/>
                <w:szCs w:val="18"/>
                <w:lang w:eastAsia="en-AU"/>
              </w:rPr>
            </w:pPr>
            <w:r w:rsidRPr="00DD37E1">
              <w:rPr>
                <w:rFonts w:ascii="Arial" w:eastAsia="Times New Roman" w:hAnsi="Arial" w:cs="Arial"/>
                <w:color w:val="000000"/>
                <w:spacing w:val="-4"/>
                <w:sz w:val="18"/>
                <w:szCs w:val="18"/>
                <w:lang w:eastAsia="en-AU"/>
              </w:rPr>
              <w:t>Common complaints were about not having sufficient teacher’s guides to share amongst teachers in the larger schools.</w:t>
            </w:r>
          </w:p>
        </w:tc>
      </w:tr>
      <w:tr w:rsidR="00DA3529" w:rsidRPr="00DD37E1" w14:paraId="18B2B40F" w14:textId="77777777" w:rsidTr="00ED0631">
        <w:trPr>
          <w:trHeight w:val="284"/>
        </w:trPr>
        <w:tc>
          <w:tcPr>
            <w:tcW w:w="868" w:type="pct"/>
            <w:shd w:val="clear" w:color="auto" w:fill="F2F2F2" w:themeFill="background1" w:themeFillShade="F2"/>
            <w:hideMark/>
          </w:tcPr>
          <w:p w14:paraId="15BE1791"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All teachers of single and multi-grade classes in Yrs 1-4 have capacity to develop children's Te-Kiribati language, literacy and numeracy skills</w:t>
            </w:r>
          </w:p>
        </w:tc>
        <w:tc>
          <w:tcPr>
            <w:tcW w:w="1033" w:type="pct"/>
            <w:shd w:val="clear" w:color="auto" w:fill="F2F2F2" w:themeFill="background1" w:themeFillShade="F2"/>
            <w:hideMark/>
          </w:tcPr>
          <w:p w14:paraId="389AD285"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1.2.A Percentage of primary school teachers who are certified to teach [i.e. have met Kiribati Teaching Service Standards (TSS )</w:t>
            </w:r>
          </w:p>
          <w:p w14:paraId="268AFEAD" w14:textId="77777777" w:rsidR="00DA3529" w:rsidRPr="00DD37E1" w:rsidRDefault="00DA3529" w:rsidP="00ED0631">
            <w:pPr>
              <w:spacing w:before="40" w:after="40"/>
              <w:rPr>
                <w:rFonts w:ascii="Arial" w:eastAsia="Times New Roman" w:hAnsi="Arial" w:cs="Arial"/>
                <w:bCs/>
                <w:i/>
                <w:color w:val="000000"/>
                <w:spacing w:val="-2"/>
                <w:sz w:val="18"/>
                <w:szCs w:val="18"/>
                <w:lang w:eastAsia="en-AU"/>
              </w:rPr>
            </w:pPr>
            <w:r w:rsidRPr="00DD37E1">
              <w:rPr>
                <w:rFonts w:ascii="Arial" w:eastAsia="Times New Roman" w:hAnsi="Arial" w:cs="Arial"/>
                <w:bCs/>
                <w:i/>
                <w:color w:val="000000"/>
                <w:spacing w:val="-2"/>
                <w:sz w:val="18"/>
                <w:szCs w:val="18"/>
                <w:lang w:eastAsia="en-AU"/>
              </w:rPr>
              <w:t>Baseline:</w:t>
            </w:r>
          </w:p>
          <w:p w14:paraId="3D58FBD4"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94% of teachers are certified to teach in 2011.</w:t>
            </w:r>
          </w:p>
          <w:p w14:paraId="19C1CAB6"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49% in 2012 </w:t>
            </w:r>
            <w:r w:rsidRPr="00DD37E1">
              <w:rPr>
                <w:rFonts w:ascii="Arial" w:eastAsia="Times New Roman" w:hAnsi="Arial" w:cs="Arial"/>
                <w:bCs/>
                <w:color w:val="000000"/>
                <w:spacing w:val="-2"/>
                <w:sz w:val="18"/>
                <w:szCs w:val="18"/>
                <w:lang w:eastAsia="en-AU"/>
              </w:rPr>
              <w:t>met TSS requirements.</w:t>
            </w:r>
          </w:p>
        </w:tc>
        <w:tc>
          <w:tcPr>
            <w:tcW w:w="1180" w:type="pct"/>
            <w:shd w:val="clear" w:color="auto" w:fill="F2F2F2" w:themeFill="background1" w:themeFillShade="F2"/>
          </w:tcPr>
          <w:p w14:paraId="3A8A61A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i/>
                <w:color w:val="000000"/>
                <w:spacing w:val="-2"/>
                <w:sz w:val="18"/>
                <w:szCs w:val="18"/>
                <w:lang w:eastAsia="en-AU"/>
              </w:rPr>
              <w:t>Certified to teach (2015)</w:t>
            </w:r>
          </w:p>
          <w:p w14:paraId="69D17D6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The MOE-KEIP research found 100% of primary school teachers had a certificate or a diploma. </w:t>
            </w:r>
          </w:p>
          <w:p w14:paraId="24C5305D" w14:textId="77777777" w:rsidR="00DA3529" w:rsidRPr="00DD37E1" w:rsidRDefault="00DA3529" w:rsidP="00ED0631">
            <w:pPr>
              <w:spacing w:before="40" w:after="40"/>
              <w:rPr>
                <w:rFonts w:ascii="Arial" w:eastAsia="Times New Roman" w:hAnsi="Arial" w:cs="Arial"/>
                <w:i/>
                <w:color w:val="000000"/>
                <w:spacing w:val="-2"/>
                <w:sz w:val="18"/>
                <w:szCs w:val="18"/>
                <w:lang w:eastAsia="en-AU"/>
              </w:rPr>
            </w:pPr>
            <w:r w:rsidRPr="00DD37E1">
              <w:rPr>
                <w:rFonts w:ascii="Arial" w:eastAsia="Times New Roman" w:hAnsi="Arial" w:cs="Arial"/>
                <w:i/>
                <w:color w:val="000000"/>
                <w:spacing w:val="-2"/>
                <w:sz w:val="18"/>
                <w:szCs w:val="18"/>
                <w:lang w:eastAsia="en-AU"/>
              </w:rPr>
              <w:t>Met TSS requirements in 2014</w:t>
            </w:r>
            <w:r w:rsidRPr="00DD37E1">
              <w:rPr>
                <w:rFonts w:ascii="Arial" w:eastAsia="Times New Roman" w:hAnsi="Arial" w:cs="Arial"/>
                <w:color w:val="000000"/>
                <w:spacing w:val="-2"/>
                <w:sz w:val="18"/>
                <w:szCs w:val="18"/>
                <w:lang w:eastAsia="en-AU"/>
              </w:rPr>
              <w:t>.</w:t>
            </w:r>
          </w:p>
          <w:p w14:paraId="3BDD25FE"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Total: 54%</w:t>
            </w:r>
          </w:p>
          <w:p w14:paraId="2E0762AE"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Male: 53%</w:t>
            </w:r>
          </w:p>
          <w:p w14:paraId="6C618C25"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Female: 59% female</w:t>
            </w:r>
          </w:p>
        </w:tc>
        <w:tc>
          <w:tcPr>
            <w:tcW w:w="1919" w:type="pct"/>
            <w:shd w:val="clear" w:color="auto" w:fill="F2F2F2" w:themeFill="background1" w:themeFillShade="F2"/>
            <w:hideMark/>
          </w:tcPr>
          <w:p w14:paraId="754A4699"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3D834FCC" w14:textId="77777777" w:rsidR="00DA3529" w:rsidRPr="00DD37E1" w:rsidRDefault="00DA3529" w:rsidP="00ED0631">
            <w:pPr>
              <w:spacing w:before="40" w:after="40"/>
              <w:rPr>
                <w:rFonts w:ascii="Arial" w:eastAsia="Times New Roman" w:hAnsi="Arial" w:cs="Arial"/>
                <w:color w:val="000000"/>
                <w:spacing w:val="-4"/>
                <w:sz w:val="18"/>
                <w:szCs w:val="18"/>
                <w:lang w:eastAsia="en-AU"/>
              </w:rPr>
            </w:pPr>
            <w:r w:rsidRPr="00DD37E1">
              <w:rPr>
                <w:rFonts w:ascii="Arial" w:eastAsia="Times New Roman" w:hAnsi="Arial" w:cs="Arial"/>
                <w:color w:val="000000"/>
                <w:spacing w:val="-4"/>
                <w:sz w:val="18"/>
                <w:szCs w:val="18"/>
                <w:lang w:eastAsia="en-AU"/>
              </w:rPr>
              <w:t>While the KEIP research indicates the target has been met, the MoE staff register does not provide this level of certainty only estimating that over 90% of teachers are certified.</w:t>
            </w:r>
          </w:p>
          <w:p w14:paraId="71991475"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4"/>
                <w:sz w:val="18"/>
                <w:szCs w:val="18"/>
                <w:lang w:eastAsia="en-AU"/>
              </w:rPr>
              <w:t>TSS requirement target has been met.</w:t>
            </w:r>
          </w:p>
        </w:tc>
      </w:tr>
      <w:tr w:rsidR="00DA3529" w:rsidRPr="00DD37E1" w14:paraId="13397925" w14:textId="77777777" w:rsidTr="00ED0631">
        <w:trPr>
          <w:cantSplit/>
          <w:trHeight w:val="284"/>
        </w:trPr>
        <w:tc>
          <w:tcPr>
            <w:tcW w:w="868" w:type="pct"/>
            <w:shd w:val="clear" w:color="auto" w:fill="F2F2F2" w:themeFill="background1" w:themeFillShade="F2"/>
            <w:hideMark/>
          </w:tcPr>
          <w:p w14:paraId="1AB2582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lastRenderedPageBreak/>
              <w:t xml:space="preserve"> </w:t>
            </w:r>
          </w:p>
        </w:tc>
        <w:tc>
          <w:tcPr>
            <w:tcW w:w="1033" w:type="pct"/>
            <w:shd w:val="clear" w:color="auto" w:fill="F2F2F2" w:themeFill="background1" w:themeFillShade="F2"/>
            <w:hideMark/>
          </w:tcPr>
          <w:p w14:paraId="46EB91B3"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1.2.B Percentage of primary school teachers who receive professional development training</w:t>
            </w:r>
          </w:p>
          <w:p w14:paraId="56416435" w14:textId="77777777" w:rsidR="00DA3529" w:rsidRPr="00DD37E1" w:rsidRDefault="00DA3529" w:rsidP="00ED0631">
            <w:pPr>
              <w:spacing w:before="40" w:after="40"/>
              <w:rPr>
                <w:rFonts w:ascii="Arial" w:eastAsia="Times New Roman" w:hAnsi="Arial" w:cs="Arial"/>
                <w:b/>
                <w:bCs/>
                <w:color w:val="000000"/>
                <w:spacing w:val="-2"/>
                <w:sz w:val="18"/>
                <w:szCs w:val="18"/>
                <w:lang w:eastAsia="en-AU"/>
              </w:rPr>
            </w:pPr>
            <w:r w:rsidRPr="00DD37E1">
              <w:rPr>
                <w:rFonts w:ascii="Arial" w:eastAsia="Times New Roman" w:hAnsi="Arial" w:cs="Arial"/>
                <w:bCs/>
                <w:i/>
                <w:color w:val="000000"/>
                <w:spacing w:val="-2"/>
                <w:sz w:val="18"/>
                <w:szCs w:val="18"/>
                <w:lang w:eastAsia="en-AU"/>
              </w:rPr>
              <w:t>Target:</w:t>
            </w:r>
            <w:r w:rsidRPr="00DD37E1">
              <w:rPr>
                <w:rFonts w:ascii="Arial" w:eastAsia="Times New Roman" w:hAnsi="Arial" w:cs="Arial"/>
                <w:bCs/>
                <w:color w:val="000000"/>
                <w:spacing w:val="-2"/>
                <w:sz w:val="18"/>
                <w:szCs w:val="18"/>
                <w:lang w:eastAsia="en-AU"/>
              </w:rPr>
              <w:t xml:space="preserve"> </w:t>
            </w:r>
            <w:r w:rsidRPr="00DD37E1">
              <w:rPr>
                <w:rFonts w:ascii="Arial" w:hAnsi="Arial" w:cs="Arial"/>
                <w:color w:val="000000"/>
                <w:spacing w:val="-2"/>
                <w:sz w:val="18"/>
                <w:szCs w:val="18"/>
              </w:rPr>
              <w:t>All school teachers in Yr 1-4 trained in delivery of new literacy and numeracy content, methodology and assessment</w:t>
            </w:r>
          </w:p>
        </w:tc>
        <w:tc>
          <w:tcPr>
            <w:tcW w:w="1180" w:type="pct"/>
            <w:shd w:val="clear" w:color="auto" w:fill="F2F2F2" w:themeFill="background1" w:themeFillShade="F2"/>
          </w:tcPr>
          <w:p w14:paraId="25AE197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100% of school had representatives (one teacher and the school leader) attend new curriculum training.</w:t>
            </w:r>
          </w:p>
          <w:p w14:paraId="23141718"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80% of Y1 - 2 and 79% of Y2 - 3 classes in 2015 were being taught by teachers who had received at least some new curriculum training.</w:t>
            </w:r>
          </w:p>
          <w:p w14:paraId="54C6A8EB"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61% and 67% respectively had received all three training cycles. Curriculum coaches continued to provide follow-up in schools during term-break to fill gaps and deepen knowledge.</w:t>
            </w:r>
          </w:p>
        </w:tc>
        <w:tc>
          <w:tcPr>
            <w:tcW w:w="1919" w:type="pct"/>
            <w:shd w:val="clear" w:color="auto" w:fill="F2F2F2" w:themeFill="background1" w:themeFillShade="F2"/>
            <w:hideMark/>
          </w:tcPr>
          <w:p w14:paraId="644B17DC"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Partially Achieved</w:t>
            </w:r>
          </w:p>
          <w:p w14:paraId="2FDF409E"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intension of the result statement and indicator is that all new curriculum teachers have a minimum level of understanding of the new curriculum as indicated from the completion of the training cycles.</w:t>
            </w:r>
          </w:p>
          <w:p w14:paraId="22BEC43E"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The MoE-KEIP research shows that trained new curriculum teachers were not necessarily teaching the new curriculum class for which they were trained and a notable number are being shifted to non- new curriculum classes.</w:t>
            </w:r>
          </w:p>
          <w:p w14:paraId="0B7B4602"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A total of 565 teachers were coached in the use of the new curriculum. The curriculum coaches made 115 individual school visits, and engaged with 565 teachers for PD activities.</w:t>
            </w:r>
          </w:p>
        </w:tc>
      </w:tr>
      <w:tr w:rsidR="00DA3529" w:rsidRPr="00DD37E1" w14:paraId="65028447" w14:textId="77777777" w:rsidTr="00ED0631">
        <w:trPr>
          <w:trHeight w:val="284"/>
        </w:trPr>
        <w:tc>
          <w:tcPr>
            <w:tcW w:w="868" w:type="pct"/>
            <w:shd w:val="clear" w:color="auto" w:fill="F2F2F2" w:themeFill="background1" w:themeFillShade="F2"/>
            <w:hideMark/>
          </w:tcPr>
          <w:p w14:paraId="1EE93FAF"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753CDBBC"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1.2.C Percentage of schools implementing the Kiribati Teaching Service Standards (TSS)</w:t>
            </w:r>
          </w:p>
          <w:p w14:paraId="3AC6C038"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No Baseline</w:t>
            </w:r>
          </w:p>
        </w:tc>
        <w:tc>
          <w:tcPr>
            <w:tcW w:w="1180" w:type="pct"/>
            <w:shd w:val="clear" w:color="auto" w:fill="F2F2F2" w:themeFill="background1" w:themeFillShade="F2"/>
          </w:tcPr>
          <w:p w14:paraId="75C9072C"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 xml:space="preserve">2013: 33% (PS) </w:t>
            </w:r>
          </w:p>
          <w:p w14:paraId="3C25133A"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2014: 65% (PS), 50% (JSS)</w:t>
            </w:r>
          </w:p>
          <w:p w14:paraId="755F75CD"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2015: 83% (PS), 100% (JSS)</w:t>
            </w:r>
          </w:p>
        </w:tc>
        <w:tc>
          <w:tcPr>
            <w:tcW w:w="1919" w:type="pct"/>
            <w:shd w:val="clear" w:color="auto" w:fill="F2F2F2" w:themeFill="background1" w:themeFillShade="F2"/>
            <w:hideMark/>
          </w:tcPr>
          <w:p w14:paraId="6A374297" w14:textId="77777777" w:rsidR="00DA3529" w:rsidRPr="00DD37E1" w:rsidRDefault="00DA3529" w:rsidP="00ED0631">
            <w:pPr>
              <w:spacing w:before="40" w:after="40"/>
              <w:rPr>
                <w:rFonts w:ascii="Arial" w:eastAsia="Times New Roman" w:hAnsi="Arial" w:cs="Arial"/>
                <w:b/>
                <w:spacing w:val="-2"/>
                <w:sz w:val="18"/>
                <w:szCs w:val="18"/>
                <w:lang w:eastAsia="en-AU"/>
              </w:rPr>
            </w:pPr>
            <w:r w:rsidRPr="00DD37E1">
              <w:rPr>
                <w:rFonts w:ascii="Arial" w:hAnsi="Arial" w:cs="Arial"/>
                <w:b/>
                <w:spacing w:val="-2"/>
                <w:sz w:val="18"/>
                <w:szCs w:val="18"/>
              </w:rPr>
              <w:t>Achieved</w:t>
            </w:r>
          </w:p>
        </w:tc>
      </w:tr>
      <w:tr w:rsidR="00DA3529" w:rsidRPr="00DD37E1" w14:paraId="3E4F673F" w14:textId="77777777" w:rsidTr="00ED0631">
        <w:trPr>
          <w:trHeight w:val="284"/>
        </w:trPr>
        <w:tc>
          <w:tcPr>
            <w:tcW w:w="868" w:type="pct"/>
            <w:shd w:val="clear" w:color="auto" w:fill="F2F2F2" w:themeFill="background1" w:themeFillShade="F2"/>
            <w:hideMark/>
          </w:tcPr>
          <w:p w14:paraId="2C99877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More children are learning in rehabilitated classrooms</w:t>
            </w:r>
          </w:p>
        </w:tc>
        <w:tc>
          <w:tcPr>
            <w:tcW w:w="1033" w:type="pct"/>
            <w:shd w:val="clear" w:color="auto" w:fill="F2F2F2" w:themeFill="background1" w:themeFillShade="F2"/>
            <w:hideMark/>
          </w:tcPr>
          <w:p w14:paraId="18ED9FE4"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1.3.A No. of primary schools constructed or renovated in compliance with NIS</w:t>
            </w:r>
          </w:p>
        </w:tc>
        <w:tc>
          <w:tcPr>
            <w:tcW w:w="1180" w:type="pct"/>
            <w:shd w:val="clear" w:color="auto" w:fill="F2F2F2" w:themeFill="background1" w:themeFillShade="F2"/>
          </w:tcPr>
          <w:p w14:paraId="6F1BBD40" w14:textId="77777777" w:rsidR="00DA3529" w:rsidRPr="00DD37E1" w:rsidRDefault="00DA3529" w:rsidP="00ED0631">
            <w:pPr>
              <w:spacing w:before="40" w:after="40"/>
              <w:rPr>
                <w:rFonts w:ascii="Arial" w:eastAsia="Times New Roman" w:hAnsi="Arial" w:cs="Arial"/>
                <w:b/>
                <w:color w:val="000000"/>
                <w:spacing w:val="-2"/>
                <w:sz w:val="18"/>
                <w:szCs w:val="18"/>
                <w:lang w:eastAsia="en-AU"/>
              </w:rPr>
            </w:pPr>
            <w:r w:rsidRPr="00DD37E1">
              <w:rPr>
                <w:rFonts w:ascii="Arial" w:eastAsia="Times New Roman" w:hAnsi="Arial" w:cs="Arial"/>
                <w:b/>
                <w:color w:val="000000"/>
                <w:spacing w:val="-2"/>
                <w:sz w:val="18"/>
                <w:szCs w:val="18"/>
                <w:lang w:eastAsia="en-AU"/>
              </w:rPr>
              <w:t>Phase I = 6 schools</w:t>
            </w:r>
          </w:p>
          <w:p w14:paraId="16382EC6"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Teraaka-Nikierere-Kantoa</w:t>
            </w:r>
          </w:p>
          <w:p w14:paraId="0467126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Kauake-Margaret-Tiona</w:t>
            </w:r>
          </w:p>
          <w:p w14:paraId="013A0DA1" w14:textId="77777777" w:rsidR="00DA3529" w:rsidRPr="00DD37E1" w:rsidRDefault="00DA3529" w:rsidP="00ED0631">
            <w:pPr>
              <w:spacing w:before="40" w:after="40"/>
              <w:rPr>
                <w:rFonts w:ascii="Arial" w:eastAsia="Times New Roman" w:hAnsi="Arial" w:cs="Arial"/>
                <w:b/>
                <w:color w:val="000000"/>
                <w:spacing w:val="-2"/>
                <w:sz w:val="18"/>
                <w:szCs w:val="18"/>
                <w:lang w:eastAsia="en-AU"/>
              </w:rPr>
            </w:pPr>
            <w:r w:rsidRPr="00DD37E1">
              <w:rPr>
                <w:rFonts w:ascii="Arial" w:eastAsia="Times New Roman" w:hAnsi="Arial" w:cs="Arial"/>
                <w:b/>
                <w:color w:val="000000"/>
                <w:spacing w:val="-2"/>
                <w:sz w:val="18"/>
                <w:szCs w:val="18"/>
                <w:lang w:eastAsia="en-AU"/>
              </w:rPr>
              <w:t xml:space="preserve">Phase II = 12 schools </w:t>
            </w:r>
          </w:p>
          <w:p w14:paraId="2B2997E8"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Abaunamou-Bareaumai-St John Bosco-Rurubao-Dai Nippon</w:t>
            </w:r>
          </w:p>
          <w:p w14:paraId="75B55E85"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b/>
                <w:color w:val="000000"/>
                <w:spacing w:val="-2"/>
                <w:sz w:val="18"/>
                <w:szCs w:val="18"/>
                <w:lang w:eastAsia="en-AU"/>
              </w:rPr>
              <w:t>Line Island</w:t>
            </w:r>
            <w:r w:rsidRPr="00DD37E1">
              <w:rPr>
                <w:rFonts w:ascii="Arial" w:eastAsia="Times New Roman" w:hAnsi="Arial" w:cs="Arial"/>
                <w:color w:val="000000"/>
                <w:spacing w:val="-2"/>
                <w:sz w:val="18"/>
                <w:szCs w:val="18"/>
                <w:lang w:eastAsia="en-AU"/>
              </w:rPr>
              <w:t>-Poland-Banana-Ara Eten-NCL-Tebonnano-Sunlight-Tennessee</w:t>
            </w:r>
          </w:p>
        </w:tc>
        <w:tc>
          <w:tcPr>
            <w:tcW w:w="1919" w:type="pct"/>
            <w:shd w:val="clear" w:color="auto" w:fill="F2F2F2" w:themeFill="background1" w:themeFillShade="F2"/>
            <w:hideMark/>
          </w:tcPr>
          <w:p w14:paraId="49F80558"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4AF1EE4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4,912 children learning in rehabilitated classrooms</w:t>
            </w:r>
          </w:p>
        </w:tc>
      </w:tr>
      <w:tr w:rsidR="00DA3529" w:rsidRPr="00DD37E1" w14:paraId="6CB8A164" w14:textId="77777777" w:rsidTr="00ED0631">
        <w:trPr>
          <w:trHeight w:val="284"/>
        </w:trPr>
        <w:tc>
          <w:tcPr>
            <w:tcW w:w="868" w:type="pct"/>
            <w:shd w:val="clear" w:color="auto" w:fill="F2F2F2" w:themeFill="background1" w:themeFillShade="F2"/>
            <w:hideMark/>
          </w:tcPr>
          <w:p w14:paraId="0738B7FA"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25F6AE5D"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1.3.B Percentage of primary schools with safe water and sanitation facilities</w:t>
            </w:r>
          </w:p>
        </w:tc>
        <w:tc>
          <w:tcPr>
            <w:tcW w:w="1180" w:type="pct"/>
            <w:shd w:val="clear" w:color="auto" w:fill="F2F2F2" w:themeFill="background1" w:themeFillShade="F2"/>
          </w:tcPr>
          <w:p w14:paraId="038BF6A3"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100% of new and renovated schools under KEIP meet the NIS requirements for safe water and sanitation 4,912 children are now in learning environments that meet NIS.</w:t>
            </w:r>
          </w:p>
        </w:tc>
        <w:tc>
          <w:tcPr>
            <w:tcW w:w="1919" w:type="pct"/>
            <w:shd w:val="clear" w:color="auto" w:fill="F2F2F2" w:themeFill="background1" w:themeFillShade="F2"/>
            <w:hideMark/>
          </w:tcPr>
          <w:p w14:paraId="2B817E51"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Partially Achieved</w:t>
            </w:r>
          </w:p>
          <w:p w14:paraId="21D7BE9F"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With the KEIP school rehabilitation programme being the only significant school rehabilitation programme in Kiribati, the MoE has limited funding for improving infrastructure. The indicator is only applying to KEIP work</w:t>
            </w:r>
          </w:p>
        </w:tc>
      </w:tr>
      <w:tr w:rsidR="00DA3529" w:rsidRPr="00DD37E1" w14:paraId="532B208E" w14:textId="77777777" w:rsidTr="00ED0631">
        <w:trPr>
          <w:trHeight w:val="284"/>
        </w:trPr>
        <w:tc>
          <w:tcPr>
            <w:tcW w:w="868" w:type="pct"/>
            <w:shd w:val="clear" w:color="auto" w:fill="F2F2F2" w:themeFill="background1" w:themeFillShade="F2"/>
            <w:hideMark/>
          </w:tcPr>
          <w:p w14:paraId="02146C0C"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6481BF6E"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1.3.C No. of children learning in constructed or renovated schools</w:t>
            </w:r>
          </w:p>
        </w:tc>
        <w:tc>
          <w:tcPr>
            <w:tcW w:w="1180" w:type="pct"/>
            <w:shd w:val="clear" w:color="auto" w:fill="F2F2F2" w:themeFill="background1" w:themeFillShade="F2"/>
          </w:tcPr>
          <w:p w14:paraId="6099CC35" w14:textId="77777777" w:rsidR="00DA3529" w:rsidRPr="00DD37E1" w:rsidRDefault="00DA3529" w:rsidP="00ED0631">
            <w:pPr>
              <w:spacing w:before="40" w:after="40"/>
              <w:rPr>
                <w:rFonts w:ascii="Arial" w:eastAsia="Times New Roman" w:hAnsi="Arial" w:cs="Arial"/>
                <w:i/>
                <w:color w:val="000000"/>
                <w:spacing w:val="-2"/>
                <w:sz w:val="18"/>
                <w:szCs w:val="18"/>
                <w:lang w:eastAsia="en-AU"/>
              </w:rPr>
            </w:pPr>
            <w:r w:rsidRPr="00DD37E1">
              <w:rPr>
                <w:rFonts w:ascii="Arial" w:eastAsia="Times New Roman" w:hAnsi="Arial" w:cs="Arial"/>
                <w:i/>
                <w:color w:val="000000"/>
                <w:spacing w:val="-2"/>
                <w:sz w:val="18"/>
                <w:szCs w:val="18"/>
                <w:lang w:eastAsia="en-AU"/>
              </w:rPr>
              <w:t>2015 enrolment data</w:t>
            </w:r>
          </w:p>
          <w:p w14:paraId="073BF7A8"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4,912 children </w:t>
            </w:r>
          </w:p>
        </w:tc>
        <w:tc>
          <w:tcPr>
            <w:tcW w:w="1919" w:type="pct"/>
            <w:shd w:val="clear" w:color="auto" w:fill="F2F2F2" w:themeFill="background1" w:themeFillShade="F2"/>
            <w:hideMark/>
          </w:tcPr>
          <w:p w14:paraId="229898D0"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p>
        </w:tc>
      </w:tr>
      <w:tr w:rsidR="00DA3529" w:rsidRPr="00DD37E1" w14:paraId="2D383B17" w14:textId="77777777" w:rsidTr="00ED0631">
        <w:trPr>
          <w:trHeight w:val="284"/>
        </w:trPr>
        <w:tc>
          <w:tcPr>
            <w:tcW w:w="868" w:type="pct"/>
            <w:shd w:val="clear" w:color="auto" w:fill="F2F2F2" w:themeFill="background1" w:themeFillShade="F2"/>
            <w:hideMark/>
          </w:tcPr>
          <w:p w14:paraId="388CBBE2"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More schools have effective partnerships with their communities to deliver quality education</w:t>
            </w:r>
          </w:p>
        </w:tc>
        <w:tc>
          <w:tcPr>
            <w:tcW w:w="1033" w:type="pct"/>
            <w:shd w:val="clear" w:color="auto" w:fill="F2F2F2" w:themeFill="background1" w:themeFillShade="F2"/>
            <w:hideMark/>
          </w:tcPr>
          <w:p w14:paraId="0A108DD8"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color w:val="000000"/>
                <w:spacing w:val="-2"/>
                <w:sz w:val="18"/>
                <w:szCs w:val="18"/>
                <w:lang w:eastAsia="en-AU"/>
              </w:rPr>
              <w:t xml:space="preserve">2.1.A Percentage of school leaders trained in school management and </w:t>
            </w:r>
            <w:r w:rsidRPr="00DD37E1">
              <w:rPr>
                <w:rFonts w:ascii="Arial" w:eastAsia="Times New Roman" w:hAnsi="Arial" w:cs="Arial"/>
                <w:bCs/>
                <w:spacing w:val="-2"/>
                <w:sz w:val="18"/>
                <w:szCs w:val="18"/>
                <w:lang w:eastAsia="en-AU"/>
              </w:rPr>
              <w:t>leadership package</w:t>
            </w:r>
          </w:p>
          <w:p w14:paraId="381E488C"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A baseline percentage was not included the 2012 MEF</w:t>
            </w:r>
          </w:p>
          <w:p w14:paraId="7CD1FBB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spacing w:val="-2"/>
                <w:sz w:val="18"/>
                <w:szCs w:val="18"/>
                <w:lang w:eastAsia="en-AU"/>
              </w:rPr>
              <w:t>Target 100% of school leaders trained by 2013.</w:t>
            </w:r>
          </w:p>
        </w:tc>
        <w:tc>
          <w:tcPr>
            <w:tcW w:w="1180" w:type="pct"/>
            <w:shd w:val="clear" w:color="auto" w:fill="F2F2F2" w:themeFill="background1" w:themeFillShade="F2"/>
          </w:tcPr>
          <w:p w14:paraId="1EB2D262"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2014: 94.3 % (PS) – 580 teacher training days</w:t>
            </w:r>
          </w:p>
          <w:p w14:paraId="4D3DBBE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spacing w:val="-2"/>
                <w:sz w:val="18"/>
                <w:szCs w:val="18"/>
                <w:lang w:eastAsia="en-AU"/>
              </w:rPr>
              <w:t>2015: 89% (PS) – 420 teacher training days</w:t>
            </w:r>
          </w:p>
        </w:tc>
        <w:tc>
          <w:tcPr>
            <w:tcW w:w="1919" w:type="pct"/>
            <w:shd w:val="clear" w:color="auto" w:fill="F2F2F2" w:themeFill="background1" w:themeFillShade="F2"/>
            <w:hideMark/>
          </w:tcPr>
          <w:p w14:paraId="545ED054"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546B1BED"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All registered Principals have now been trained in “School Leadership and Management” as part of strengthening community engagement. For three consecutive years since 2013 a leadership workshop at the beginning of the year has been held for School Principals. These ongoing school improvement and management workshops are followed up during the school year by SIU meetings with Principals. </w:t>
            </w:r>
          </w:p>
          <w:p w14:paraId="2C1B4524"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Records of attendance and any subsequent follow-up meetings are recorded with MoE.</w:t>
            </w:r>
          </w:p>
        </w:tc>
      </w:tr>
      <w:tr w:rsidR="00DA3529" w:rsidRPr="00DD37E1" w14:paraId="77D01B41" w14:textId="77777777" w:rsidTr="00ED0631">
        <w:trPr>
          <w:trHeight w:val="284"/>
        </w:trPr>
        <w:tc>
          <w:tcPr>
            <w:tcW w:w="868" w:type="pct"/>
            <w:shd w:val="clear" w:color="auto" w:fill="F2F2F2" w:themeFill="background1" w:themeFillShade="F2"/>
            <w:hideMark/>
          </w:tcPr>
          <w:p w14:paraId="613F9FFE"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lastRenderedPageBreak/>
              <w:t xml:space="preserve"> </w:t>
            </w:r>
          </w:p>
        </w:tc>
        <w:tc>
          <w:tcPr>
            <w:tcW w:w="1033" w:type="pct"/>
            <w:shd w:val="clear" w:color="auto" w:fill="F2F2F2" w:themeFill="background1" w:themeFillShade="F2"/>
            <w:hideMark/>
          </w:tcPr>
          <w:p w14:paraId="60E9CDC8"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2.1. B Stakeholder endorsement of Community Consultation Guiding Principles as promoted through MoE and set out in the Community Consultation Handbook.</w:t>
            </w:r>
            <w:r w:rsidRPr="00DD37E1">
              <w:rPr>
                <w:rStyle w:val="CommentReference"/>
                <w:rFonts w:ascii="Arial" w:hAnsi="Arial" w:cs="Arial"/>
                <w:sz w:val="18"/>
                <w:szCs w:val="18"/>
              </w:rPr>
              <w:t xml:space="preserve"> </w:t>
            </w:r>
          </w:p>
        </w:tc>
        <w:tc>
          <w:tcPr>
            <w:tcW w:w="1180" w:type="pct"/>
            <w:shd w:val="clear" w:color="auto" w:fill="F2F2F2" w:themeFill="background1" w:themeFillShade="F2"/>
          </w:tcPr>
          <w:p w14:paraId="04884AD3"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96% percent of school leaders consider that the community is better informed now than 4 years ago about basic education in Kiribati (MoE – KEIP research)</w:t>
            </w:r>
          </w:p>
        </w:tc>
        <w:tc>
          <w:tcPr>
            <w:tcW w:w="1919" w:type="pct"/>
            <w:shd w:val="clear" w:color="auto" w:fill="F2F2F2" w:themeFill="background1" w:themeFillShade="F2"/>
            <w:hideMark/>
          </w:tcPr>
          <w:p w14:paraId="7BAB39F8"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72DBDD92" w14:textId="77777777" w:rsidR="00DA3529" w:rsidRPr="00DD37E1" w:rsidRDefault="00DA3529" w:rsidP="00ED0631">
            <w:pPr>
              <w:spacing w:before="40" w:after="40"/>
              <w:rPr>
                <w:rFonts w:ascii="Arial" w:eastAsia="Times New Roman" w:hAnsi="Arial" w:cs="Arial"/>
                <w:b/>
                <w:color w:val="000000"/>
                <w:spacing w:val="-2"/>
                <w:sz w:val="18"/>
                <w:szCs w:val="18"/>
                <w:lang w:eastAsia="en-AU"/>
              </w:rPr>
            </w:pPr>
            <w:r w:rsidRPr="00DD37E1">
              <w:rPr>
                <w:rFonts w:ascii="Arial" w:eastAsia="Times New Roman" w:hAnsi="Arial" w:cs="Arial"/>
                <w:color w:val="000000"/>
                <w:spacing w:val="-2"/>
                <w:sz w:val="18"/>
                <w:szCs w:val="18"/>
                <w:lang w:eastAsia="en-AU"/>
              </w:rPr>
              <w:t>Community consultation as part of the school rehabilitation programme and MOE Community Consultation Team has been well received and provided a foundation for ongoing engagement. This includes discussions on school improvement, attendance, inclusion and how to increase community support.</w:t>
            </w:r>
          </w:p>
        </w:tc>
      </w:tr>
      <w:tr w:rsidR="00DA3529" w:rsidRPr="00DD37E1" w14:paraId="74B6AF97" w14:textId="77777777" w:rsidTr="00ED0631">
        <w:trPr>
          <w:trHeight w:val="284"/>
        </w:trPr>
        <w:tc>
          <w:tcPr>
            <w:tcW w:w="868" w:type="pct"/>
            <w:shd w:val="clear" w:color="auto" w:fill="F2F2F2" w:themeFill="background1" w:themeFillShade="F2"/>
            <w:hideMark/>
          </w:tcPr>
          <w:p w14:paraId="05B27824"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2AB7A35E"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2.1.C Percentage of primary schools implementing the school improvement plans (SIP)</w:t>
            </w:r>
          </w:p>
          <w:p w14:paraId="62032004" w14:textId="77777777" w:rsidR="00DA3529" w:rsidRPr="00DD37E1" w:rsidRDefault="00DA3529" w:rsidP="00ED0631">
            <w:pPr>
              <w:spacing w:before="40" w:after="40"/>
              <w:rPr>
                <w:rFonts w:ascii="Arial" w:eastAsia="Times New Roman" w:hAnsi="Arial" w:cs="Arial"/>
                <w:bCs/>
                <w:spacing w:val="-2"/>
                <w:sz w:val="18"/>
                <w:szCs w:val="18"/>
                <w:lang w:eastAsia="en-AU"/>
              </w:rPr>
            </w:pPr>
            <w:r w:rsidRPr="00DD37E1">
              <w:rPr>
                <w:rFonts w:ascii="Arial" w:eastAsia="Times New Roman" w:hAnsi="Arial" w:cs="Arial"/>
                <w:bCs/>
                <w:spacing w:val="-2"/>
                <w:sz w:val="18"/>
                <w:szCs w:val="18"/>
                <w:lang w:eastAsia="en-AU"/>
              </w:rPr>
              <w:t>Target 100%</w:t>
            </w:r>
          </w:p>
        </w:tc>
        <w:tc>
          <w:tcPr>
            <w:tcW w:w="1180" w:type="pct"/>
            <w:shd w:val="clear" w:color="auto" w:fill="F2F2F2" w:themeFill="background1" w:themeFillShade="F2"/>
          </w:tcPr>
          <w:p w14:paraId="2CF0359C"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2014: 62%</w:t>
            </w:r>
          </w:p>
          <w:p w14:paraId="16457AB1"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spacing w:val="-2"/>
                <w:sz w:val="18"/>
                <w:szCs w:val="18"/>
                <w:lang w:eastAsia="en-AU"/>
              </w:rPr>
              <w:t>2015: 79.7%</w:t>
            </w:r>
          </w:p>
        </w:tc>
        <w:tc>
          <w:tcPr>
            <w:tcW w:w="1919" w:type="pct"/>
            <w:shd w:val="clear" w:color="auto" w:fill="F2F2F2" w:themeFill="background1" w:themeFillShade="F2"/>
            <w:hideMark/>
          </w:tcPr>
          <w:p w14:paraId="028083B0"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Not Achieved</w:t>
            </w:r>
          </w:p>
          <w:p w14:paraId="1748B0EF"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Records for 2013 and 2014 show that all primary school leaders have been introduced to school improvement plans. In 2015 records show only 79.7% of all primary schools (75/94) are now implementing their School Improvement Plans. This is an improvement of 17% since 2014.</w:t>
            </w:r>
          </w:p>
          <w:p w14:paraId="5AB88AEE"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75 primary school SIPs are on file.  All 23 JSS schools have submitted SIPs.</w:t>
            </w:r>
          </w:p>
        </w:tc>
      </w:tr>
      <w:tr w:rsidR="00DA3529" w:rsidRPr="00DD37E1" w14:paraId="58282217" w14:textId="77777777" w:rsidTr="00ED0631">
        <w:trPr>
          <w:trHeight w:val="284"/>
        </w:trPr>
        <w:tc>
          <w:tcPr>
            <w:tcW w:w="868" w:type="pct"/>
            <w:shd w:val="clear" w:color="auto" w:fill="F2F2F2" w:themeFill="background1" w:themeFillShade="F2"/>
            <w:hideMark/>
          </w:tcPr>
          <w:p w14:paraId="1F7B199C"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MoE has greater capacity to plan and monitor the delivery of quality education services</w:t>
            </w:r>
          </w:p>
        </w:tc>
        <w:tc>
          <w:tcPr>
            <w:tcW w:w="1033" w:type="pct"/>
            <w:shd w:val="clear" w:color="auto" w:fill="F2F2F2" w:themeFill="background1" w:themeFillShade="F2"/>
            <w:hideMark/>
          </w:tcPr>
          <w:p w14:paraId="509242EC"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2.2.A No of policies disseminated to key education stakeholders according to checklist</w:t>
            </w:r>
          </w:p>
        </w:tc>
        <w:tc>
          <w:tcPr>
            <w:tcW w:w="1180" w:type="pct"/>
            <w:shd w:val="clear" w:color="auto" w:fill="F2F2F2" w:themeFill="background1" w:themeFillShade="F2"/>
          </w:tcPr>
          <w:p w14:paraId="161E3BFE" w14:textId="77777777" w:rsidR="00DA3529" w:rsidRPr="00DD37E1" w:rsidRDefault="00DA3529" w:rsidP="00ED0631">
            <w:pPr>
              <w:spacing w:before="40" w:after="40"/>
              <w:rPr>
                <w:rFonts w:ascii="Arial" w:eastAsia="Times New Roman" w:hAnsi="Arial" w:cs="Arial"/>
                <w:i/>
                <w:spacing w:val="-2"/>
                <w:sz w:val="18"/>
                <w:szCs w:val="18"/>
                <w:lang w:eastAsia="en-AU"/>
              </w:rPr>
            </w:pPr>
            <w:r w:rsidRPr="00DD37E1">
              <w:rPr>
                <w:rFonts w:ascii="Arial" w:eastAsia="Times New Roman" w:hAnsi="Arial" w:cs="Arial"/>
                <w:spacing w:val="-2"/>
                <w:sz w:val="18"/>
                <w:szCs w:val="18"/>
                <w:lang w:eastAsia="en-AU"/>
              </w:rPr>
              <w:t xml:space="preserve">Note: </w:t>
            </w:r>
            <w:r w:rsidRPr="00DD37E1">
              <w:rPr>
                <w:rFonts w:ascii="Arial" w:eastAsia="Times New Roman" w:hAnsi="Arial" w:cs="Arial"/>
                <w:i/>
                <w:spacing w:val="-2"/>
                <w:sz w:val="18"/>
                <w:szCs w:val="18"/>
                <w:lang w:eastAsia="en-AU"/>
              </w:rPr>
              <w:t xml:space="preserve">Data has not been collected for this indicator, as it does not measure the MoE’s capacity to plan or monitor delivery. </w:t>
            </w:r>
          </w:p>
          <w:p w14:paraId="20F0341A" w14:textId="77777777" w:rsidR="00DA3529" w:rsidRPr="00DD37E1" w:rsidRDefault="00DA3529" w:rsidP="00ED0631">
            <w:pPr>
              <w:spacing w:before="40" w:after="40"/>
              <w:rPr>
                <w:rFonts w:ascii="Arial" w:eastAsia="Times New Roman" w:hAnsi="Arial" w:cs="Arial"/>
                <w:spacing w:val="-2"/>
                <w:sz w:val="18"/>
                <w:szCs w:val="18"/>
                <w:lang w:eastAsia="en-AU"/>
              </w:rPr>
            </w:pPr>
            <w:r w:rsidRPr="00DD37E1">
              <w:rPr>
                <w:rFonts w:ascii="Arial" w:eastAsia="Times New Roman" w:hAnsi="Arial" w:cs="Arial"/>
                <w:i/>
                <w:spacing w:val="-2"/>
                <w:sz w:val="18"/>
                <w:szCs w:val="18"/>
                <w:lang w:eastAsia="en-AU"/>
              </w:rPr>
              <w:t>A better indicator would be the use of the MoE’s DOP process for planning and managing delivery.</w:t>
            </w:r>
          </w:p>
        </w:tc>
        <w:tc>
          <w:tcPr>
            <w:tcW w:w="1919" w:type="pct"/>
            <w:shd w:val="clear" w:color="auto" w:fill="F2F2F2" w:themeFill="background1" w:themeFillShade="F2"/>
            <w:hideMark/>
          </w:tcPr>
          <w:p w14:paraId="3A0B7F18"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661797A7"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While checklist data was not collected or available, DOPs have been developed by each MOE Department since 2013 and progress is discussed at MoE quarterly divisional management meetings. </w:t>
            </w:r>
          </w:p>
          <w:p w14:paraId="3221DD00"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 xml:space="preserve">The quality of the DOPs as planning and monitoring tools continue to develop and the 2016 DOPs have taken a significant step forward </w:t>
            </w:r>
          </w:p>
        </w:tc>
      </w:tr>
      <w:tr w:rsidR="00DA3529" w:rsidRPr="00DD37E1" w14:paraId="02F09DB3" w14:textId="77777777" w:rsidTr="00ED0631">
        <w:trPr>
          <w:trHeight w:val="284"/>
        </w:trPr>
        <w:tc>
          <w:tcPr>
            <w:tcW w:w="868" w:type="pct"/>
            <w:shd w:val="clear" w:color="auto" w:fill="F2F2F2" w:themeFill="background1" w:themeFillShade="F2"/>
          </w:tcPr>
          <w:p w14:paraId="16B0A513"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p>
        </w:tc>
        <w:tc>
          <w:tcPr>
            <w:tcW w:w="1033" w:type="pct"/>
            <w:shd w:val="clear" w:color="auto" w:fill="F2F2F2" w:themeFill="background1" w:themeFillShade="F2"/>
          </w:tcPr>
          <w:p w14:paraId="11B97FC7"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Number of MoE policies implemented</w:t>
            </w:r>
          </w:p>
        </w:tc>
        <w:tc>
          <w:tcPr>
            <w:tcW w:w="1180" w:type="pct"/>
            <w:shd w:val="clear" w:color="auto" w:fill="F2F2F2" w:themeFill="background1" w:themeFillShade="F2"/>
          </w:tcPr>
          <w:p w14:paraId="1467BFC6" w14:textId="77777777" w:rsidR="00DA3529" w:rsidRPr="00DD37E1" w:rsidRDefault="00DA3529" w:rsidP="00ED0631">
            <w:pPr>
              <w:autoSpaceDE w:val="0"/>
              <w:autoSpaceDN w:val="0"/>
              <w:adjustRightInd w:val="0"/>
              <w:spacing w:before="40" w:after="40"/>
              <w:rPr>
                <w:rFonts w:ascii="Arial" w:hAnsi="Arial" w:cs="Arial"/>
                <w:spacing w:val="-2"/>
                <w:sz w:val="18"/>
                <w:szCs w:val="18"/>
              </w:rPr>
            </w:pPr>
            <w:r w:rsidRPr="00DD37E1">
              <w:rPr>
                <w:rFonts w:ascii="Arial" w:eastAsia="Times New Roman" w:hAnsi="Arial" w:cs="Arial"/>
                <w:color w:val="000000"/>
                <w:spacing w:val="-2"/>
                <w:sz w:val="18"/>
                <w:szCs w:val="18"/>
                <w:lang w:eastAsia="en-AU"/>
              </w:rPr>
              <w:t>Inclusive Education Policy. Education Act 2013, passed by the National Parliament in early 2015</w:t>
            </w:r>
            <w:r w:rsidRPr="00DD37E1">
              <w:rPr>
                <w:rFonts w:ascii="Arial" w:hAnsi="Arial" w:cs="Arial"/>
                <w:spacing w:val="-2"/>
                <w:sz w:val="18"/>
                <w:szCs w:val="18"/>
              </w:rPr>
              <w:t>.</w:t>
            </w:r>
          </w:p>
          <w:p w14:paraId="6B34D788" w14:textId="77777777" w:rsidR="00DA3529" w:rsidRPr="00DD37E1" w:rsidRDefault="00DA3529" w:rsidP="00ED0631">
            <w:pPr>
              <w:autoSpaceDE w:val="0"/>
              <w:autoSpaceDN w:val="0"/>
              <w:adjustRightInd w:val="0"/>
              <w:spacing w:before="40" w:after="40"/>
              <w:rPr>
                <w:rFonts w:ascii="Arial" w:eastAsia="Times New Roman" w:hAnsi="Arial" w:cs="Arial"/>
                <w:color w:val="000000"/>
                <w:spacing w:val="-2"/>
                <w:sz w:val="18"/>
                <w:szCs w:val="18"/>
                <w:lang w:eastAsia="en-AU"/>
              </w:rPr>
            </w:pPr>
            <w:r w:rsidRPr="00DD37E1">
              <w:rPr>
                <w:rFonts w:ascii="Arial" w:hAnsi="Arial" w:cs="Arial"/>
                <w:spacing w:val="-2"/>
                <w:sz w:val="18"/>
                <w:szCs w:val="18"/>
              </w:rPr>
              <w:t>Education Regulations 2016.</w:t>
            </w:r>
          </w:p>
        </w:tc>
        <w:tc>
          <w:tcPr>
            <w:tcW w:w="1919" w:type="pct"/>
            <w:shd w:val="clear" w:color="auto" w:fill="F2F2F2" w:themeFill="background1" w:themeFillShade="F2"/>
          </w:tcPr>
          <w:p w14:paraId="653D7CFB"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p>
        </w:tc>
      </w:tr>
      <w:tr w:rsidR="00DA3529" w:rsidRPr="00DD37E1" w14:paraId="36FA908F" w14:textId="77777777" w:rsidTr="00ED0631">
        <w:trPr>
          <w:trHeight w:val="284"/>
        </w:trPr>
        <w:tc>
          <w:tcPr>
            <w:tcW w:w="868" w:type="pct"/>
            <w:shd w:val="clear" w:color="auto" w:fill="F2F2F2" w:themeFill="background1" w:themeFillShade="F2"/>
            <w:hideMark/>
          </w:tcPr>
          <w:p w14:paraId="63DEA0CF"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6ECC1BA9"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2.2.B No. of services specified in checklist that are decentralised</w:t>
            </w:r>
          </w:p>
        </w:tc>
        <w:tc>
          <w:tcPr>
            <w:tcW w:w="1180" w:type="pct"/>
            <w:shd w:val="clear" w:color="auto" w:fill="F2F2F2" w:themeFill="background1" w:themeFillShade="F2"/>
          </w:tcPr>
          <w:p w14:paraId="274E19E8"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p>
        </w:tc>
        <w:tc>
          <w:tcPr>
            <w:tcW w:w="1919" w:type="pct"/>
            <w:shd w:val="clear" w:color="auto" w:fill="F2F2F2" w:themeFill="background1" w:themeFillShade="F2"/>
            <w:hideMark/>
          </w:tcPr>
          <w:p w14:paraId="7A44A854" w14:textId="77777777" w:rsidR="00DA3529" w:rsidRPr="00DD37E1" w:rsidRDefault="00DA3529" w:rsidP="00ED0631">
            <w:pPr>
              <w:spacing w:before="40" w:after="40"/>
              <w:rPr>
                <w:rFonts w:ascii="Arial" w:eastAsia="Times New Roman" w:hAnsi="Arial" w:cs="Arial"/>
                <w:i/>
                <w:color w:val="000000"/>
                <w:spacing w:val="-2"/>
                <w:sz w:val="18"/>
                <w:szCs w:val="18"/>
                <w:lang w:eastAsia="en-AU"/>
              </w:rPr>
            </w:pPr>
            <w:r w:rsidRPr="00DD37E1">
              <w:rPr>
                <w:rFonts w:ascii="Arial" w:eastAsia="Times New Roman" w:hAnsi="Arial" w:cs="Arial"/>
                <w:i/>
                <w:spacing w:val="-2"/>
                <w:sz w:val="18"/>
                <w:szCs w:val="18"/>
                <w:lang w:eastAsia="en-AU"/>
              </w:rPr>
              <w:t>Data has not been collected by MoE for this indicator. It is not clear what the MoE indicator is referring to or what data (and for what purpose) should be collected</w:t>
            </w:r>
          </w:p>
        </w:tc>
      </w:tr>
      <w:tr w:rsidR="00DA3529" w:rsidRPr="00DD37E1" w14:paraId="02C24EC6" w14:textId="77777777" w:rsidTr="00ED0631">
        <w:trPr>
          <w:trHeight w:val="284"/>
        </w:trPr>
        <w:tc>
          <w:tcPr>
            <w:tcW w:w="868" w:type="pct"/>
            <w:shd w:val="clear" w:color="auto" w:fill="F2F2F2" w:themeFill="background1" w:themeFillShade="F2"/>
          </w:tcPr>
          <w:p w14:paraId="4588831C"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p>
        </w:tc>
        <w:tc>
          <w:tcPr>
            <w:tcW w:w="1033" w:type="pct"/>
            <w:shd w:val="clear" w:color="auto" w:fill="F2F2F2" w:themeFill="background1" w:themeFillShade="F2"/>
          </w:tcPr>
          <w:p w14:paraId="211A95C0"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hAnsi="Arial" w:cs="Arial"/>
                <w:color w:val="000000"/>
                <w:spacing w:val="-2"/>
                <w:sz w:val="18"/>
                <w:szCs w:val="18"/>
              </w:rPr>
              <w:t>Amount of time taken to officially respond to grievances</w:t>
            </w:r>
          </w:p>
        </w:tc>
        <w:tc>
          <w:tcPr>
            <w:tcW w:w="1180" w:type="pct"/>
            <w:shd w:val="clear" w:color="auto" w:fill="F2F2F2" w:themeFill="background1" w:themeFillShade="F2"/>
          </w:tcPr>
          <w:p w14:paraId="13EFB2A8"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p>
        </w:tc>
        <w:tc>
          <w:tcPr>
            <w:tcW w:w="1919" w:type="pct"/>
            <w:shd w:val="clear" w:color="auto" w:fill="F2F2F2" w:themeFill="background1" w:themeFillShade="F2"/>
          </w:tcPr>
          <w:p w14:paraId="6DA58A94" w14:textId="77777777" w:rsidR="00DA3529" w:rsidRPr="00DD37E1" w:rsidRDefault="00DA3529" w:rsidP="00ED0631">
            <w:pPr>
              <w:spacing w:before="40" w:after="40"/>
              <w:rPr>
                <w:rFonts w:ascii="Arial" w:eastAsia="Times New Roman" w:hAnsi="Arial" w:cs="Arial"/>
                <w:i/>
                <w:color w:val="000000"/>
                <w:spacing w:val="-2"/>
                <w:sz w:val="18"/>
                <w:szCs w:val="18"/>
                <w:lang w:eastAsia="en-AU"/>
              </w:rPr>
            </w:pPr>
            <w:r w:rsidRPr="00DD37E1">
              <w:rPr>
                <w:rFonts w:ascii="Arial" w:eastAsia="Times New Roman" w:hAnsi="Arial" w:cs="Arial"/>
                <w:i/>
                <w:spacing w:val="-2"/>
                <w:sz w:val="18"/>
                <w:szCs w:val="18"/>
                <w:lang w:eastAsia="en-AU"/>
              </w:rPr>
              <w:t>Data has not been collected by MoE for this indicator.</w:t>
            </w:r>
          </w:p>
        </w:tc>
      </w:tr>
      <w:tr w:rsidR="00DA3529" w:rsidRPr="00DD37E1" w14:paraId="0C89165B" w14:textId="77777777" w:rsidTr="00ED0631">
        <w:trPr>
          <w:trHeight w:val="284"/>
        </w:trPr>
        <w:tc>
          <w:tcPr>
            <w:tcW w:w="868" w:type="pct"/>
            <w:shd w:val="clear" w:color="auto" w:fill="F2F2F2" w:themeFill="background1" w:themeFillShade="F2"/>
            <w:hideMark/>
          </w:tcPr>
          <w:p w14:paraId="7354B0E8"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 xml:space="preserve"> </w:t>
            </w:r>
          </w:p>
        </w:tc>
        <w:tc>
          <w:tcPr>
            <w:tcW w:w="1033" w:type="pct"/>
            <w:shd w:val="clear" w:color="auto" w:fill="F2F2F2" w:themeFill="background1" w:themeFillShade="F2"/>
            <w:hideMark/>
          </w:tcPr>
          <w:p w14:paraId="1313B038" w14:textId="77777777" w:rsidR="00DA3529" w:rsidRPr="00DD37E1" w:rsidRDefault="00DA3529" w:rsidP="00ED0631">
            <w:pPr>
              <w:spacing w:before="40" w:after="40"/>
              <w:rPr>
                <w:rFonts w:ascii="Arial" w:eastAsia="Times New Roman" w:hAnsi="Arial" w:cs="Arial"/>
                <w:bCs/>
                <w:color w:val="000000"/>
                <w:spacing w:val="-2"/>
                <w:sz w:val="18"/>
                <w:szCs w:val="18"/>
                <w:lang w:eastAsia="en-AU"/>
              </w:rPr>
            </w:pPr>
            <w:r w:rsidRPr="00DD37E1">
              <w:rPr>
                <w:rFonts w:ascii="Arial" w:eastAsia="Times New Roman" w:hAnsi="Arial" w:cs="Arial"/>
                <w:bCs/>
                <w:color w:val="000000"/>
                <w:spacing w:val="-2"/>
                <w:sz w:val="18"/>
                <w:szCs w:val="18"/>
                <w:lang w:eastAsia="en-AU"/>
              </w:rPr>
              <w:t>2.2. C MOE and its development partners engage in joint annual review of the education sector.</w:t>
            </w:r>
          </w:p>
        </w:tc>
        <w:tc>
          <w:tcPr>
            <w:tcW w:w="1180" w:type="pct"/>
            <w:shd w:val="clear" w:color="auto" w:fill="F2F2F2" w:themeFill="background1" w:themeFillShade="F2"/>
          </w:tcPr>
          <w:p w14:paraId="755C092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Bi-annual EPIK meetings have occurred since 2014 and continue to provide a foundation for debate about sector planning and progress</w:t>
            </w:r>
          </w:p>
        </w:tc>
        <w:tc>
          <w:tcPr>
            <w:tcW w:w="1919" w:type="pct"/>
            <w:shd w:val="clear" w:color="auto" w:fill="F2F2F2" w:themeFill="background1" w:themeFillShade="F2"/>
            <w:hideMark/>
          </w:tcPr>
          <w:p w14:paraId="66D892A2" w14:textId="77777777" w:rsidR="00DA3529" w:rsidRPr="00DD37E1" w:rsidRDefault="00DA3529" w:rsidP="00ED0631">
            <w:pPr>
              <w:spacing w:before="40" w:after="40"/>
              <w:rPr>
                <w:rFonts w:ascii="Arial" w:hAnsi="Arial" w:cs="Arial"/>
                <w:b/>
                <w:spacing w:val="-2"/>
                <w:sz w:val="18"/>
                <w:szCs w:val="18"/>
              </w:rPr>
            </w:pPr>
            <w:r w:rsidRPr="00DD37E1">
              <w:rPr>
                <w:rFonts w:ascii="Arial" w:hAnsi="Arial" w:cs="Arial"/>
                <w:b/>
                <w:spacing w:val="-2"/>
                <w:sz w:val="18"/>
                <w:szCs w:val="18"/>
              </w:rPr>
              <w:t>Achieved</w:t>
            </w:r>
          </w:p>
          <w:p w14:paraId="1D7E2CCA" w14:textId="77777777" w:rsidR="00DA3529" w:rsidRPr="00DD37E1" w:rsidRDefault="00DA3529" w:rsidP="00ED0631">
            <w:pPr>
              <w:spacing w:before="40" w:after="40"/>
              <w:rPr>
                <w:rFonts w:ascii="Arial" w:eastAsia="Times New Roman" w:hAnsi="Arial" w:cs="Arial"/>
                <w:color w:val="000000"/>
                <w:spacing w:val="-2"/>
                <w:sz w:val="18"/>
                <w:szCs w:val="18"/>
                <w:lang w:eastAsia="en-AU"/>
              </w:rPr>
            </w:pPr>
            <w:r w:rsidRPr="00DD37E1">
              <w:rPr>
                <w:rFonts w:ascii="Arial" w:eastAsia="Times New Roman" w:hAnsi="Arial" w:cs="Arial"/>
                <w:color w:val="000000"/>
                <w:spacing w:val="-2"/>
                <w:sz w:val="18"/>
                <w:szCs w:val="18"/>
                <w:lang w:eastAsia="en-AU"/>
              </w:rPr>
              <w:t>Joint sector planning and progress monitoring has occurred as scheduled by the EPiK partners.</w:t>
            </w:r>
          </w:p>
        </w:tc>
      </w:tr>
    </w:tbl>
    <w:p w14:paraId="022B53CA" w14:textId="77777777" w:rsidR="00DA3529" w:rsidRPr="00DD37E1" w:rsidRDefault="00DA3529" w:rsidP="00ED0631">
      <w:pPr>
        <w:spacing w:before="120" w:after="120"/>
        <w:rPr>
          <w:rFonts w:ascii="Arial" w:hAnsi="Arial" w:cs="Arial"/>
          <w:spacing w:val="-2"/>
          <w:sz w:val="2"/>
          <w:szCs w:val="2"/>
        </w:rPr>
      </w:pPr>
    </w:p>
    <w:p w14:paraId="5A211313" w14:textId="77777777" w:rsidR="00DA3529" w:rsidRDefault="00DA3529" w:rsidP="0060082A">
      <w:pPr>
        <w:rPr>
          <w:rFonts w:asciiTheme="majorHAnsi" w:hAnsiTheme="majorHAnsi" w:cstheme="majorHAnsi"/>
        </w:rPr>
        <w:sectPr w:rsidR="00DA3529" w:rsidSect="00ED0631">
          <w:footerReference w:type="default" r:id="rId30"/>
          <w:pgSz w:w="11906" w:h="16838" w:code="9"/>
          <w:pgMar w:top="993" w:right="1247" w:bottom="1247" w:left="1247" w:header="709" w:footer="709" w:gutter="0"/>
          <w:pgNumType w:start="1"/>
          <w:cols w:space="708"/>
          <w:docGrid w:linePitch="360"/>
        </w:sectPr>
      </w:pPr>
    </w:p>
    <w:p w14:paraId="1BC7F284" w14:textId="77777777" w:rsidR="007E04A6" w:rsidRPr="00DC233C" w:rsidRDefault="007E04A6" w:rsidP="00DD2CE2">
      <w:pPr>
        <w:pStyle w:val="Heading1"/>
      </w:pPr>
      <w:bookmarkStart w:id="89" w:name="_Toc461615723"/>
      <w:r>
        <w:lastRenderedPageBreak/>
        <w:t>Annex 2</w:t>
      </w:r>
      <w:bookmarkEnd w:id="89"/>
    </w:p>
    <w:p w14:paraId="60AF6786" w14:textId="77777777" w:rsidR="007E04A6" w:rsidRDefault="007E04A6" w:rsidP="00DD2CE2">
      <w:pPr>
        <w:pStyle w:val="Heading1"/>
        <w:ind w:left="0" w:firstLine="0"/>
      </w:pPr>
      <w:bookmarkStart w:id="90" w:name="_Toc461615724"/>
      <w:r>
        <w:t>KEF Gender, Disability and Social Inclusion Strategy Report</w:t>
      </w:r>
      <w:bookmarkEnd w:id="90"/>
    </w:p>
    <w:p w14:paraId="44237B03" w14:textId="77777777" w:rsidR="007E04A6" w:rsidRDefault="007E04A6" w:rsidP="00DD2CE2">
      <w:pPr>
        <w:pStyle w:val="Heading1"/>
        <w:ind w:left="0" w:firstLine="0"/>
        <w:sectPr w:rsidR="007E04A6" w:rsidSect="00ED0631">
          <w:footerReference w:type="default" r:id="rId31"/>
          <w:footerReference w:type="first" r:id="rId32"/>
          <w:pgSz w:w="11906" w:h="16838" w:code="9"/>
          <w:pgMar w:top="993" w:right="1247" w:bottom="1247" w:left="1247" w:header="709" w:footer="709" w:gutter="0"/>
          <w:pgNumType w:start="1"/>
          <w:cols w:space="708"/>
          <w:docGrid w:linePitch="360"/>
        </w:sectPr>
      </w:pPr>
    </w:p>
    <w:p w14:paraId="2032FB2F" w14:textId="77777777" w:rsidR="007E04A6" w:rsidRPr="007621CE" w:rsidRDefault="007E04A6" w:rsidP="00ED0631">
      <w:pPr>
        <w:spacing w:before="7000" w:after="240"/>
        <w:rPr>
          <w:b/>
          <w:sz w:val="28"/>
        </w:rPr>
      </w:pPr>
      <w:r>
        <w:rPr>
          <w:b/>
          <w:noProof/>
          <w:sz w:val="56"/>
          <w:szCs w:val="56"/>
          <w:lang w:eastAsia="en-AU"/>
        </w:rPr>
        <w:lastRenderedPageBreak/>
        <w:drawing>
          <wp:anchor distT="0" distB="0" distL="114300" distR="114300" simplePos="0" relativeHeight="251828223" behindDoc="0" locked="0" layoutInCell="1" allowOverlap="1" wp14:anchorId="09FEB7D7" wp14:editId="312C390E">
            <wp:simplePos x="0" y="0"/>
            <wp:positionH relativeFrom="margin">
              <wp:align>left</wp:align>
            </wp:positionH>
            <wp:positionV relativeFrom="paragraph">
              <wp:posOffset>0</wp:posOffset>
            </wp:positionV>
            <wp:extent cx="5867400" cy="4145915"/>
            <wp:effectExtent l="0" t="0" r="0" b="6985"/>
            <wp:wrapNone/>
            <wp:docPr id="109" name="Picture 109" descr="Teacher reading one of the new Big Books to students that features a story about a female astronau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0.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867400" cy="414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043">
        <w:rPr>
          <w:noProof/>
          <w:lang w:eastAsia="en-AU"/>
        </w:rPr>
        <w:drawing>
          <wp:anchor distT="0" distB="0" distL="114300" distR="114300" simplePos="0" relativeHeight="251824127" behindDoc="0" locked="0" layoutInCell="1" allowOverlap="1" wp14:anchorId="134CE0DE" wp14:editId="075B51E9">
            <wp:simplePos x="0" y="0"/>
            <wp:positionH relativeFrom="column">
              <wp:posOffset>-5775478</wp:posOffset>
            </wp:positionH>
            <wp:positionV relativeFrom="paragraph">
              <wp:posOffset>3885468</wp:posOffset>
            </wp:positionV>
            <wp:extent cx="2343785" cy="809625"/>
            <wp:effectExtent l="0" t="0" r="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343785"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1CE">
        <w:rPr>
          <w:b/>
          <w:sz w:val="28"/>
        </w:rPr>
        <w:t>Kiribati Education Facility (KEF)</w:t>
      </w:r>
    </w:p>
    <w:p w14:paraId="5EDAEC6D" w14:textId="77777777" w:rsidR="007E04A6" w:rsidRPr="007621CE" w:rsidRDefault="007E04A6" w:rsidP="00ED0631">
      <w:pPr>
        <w:spacing w:before="240" w:after="240"/>
        <w:rPr>
          <w:b/>
          <w:sz w:val="40"/>
        </w:rPr>
      </w:pPr>
      <w:r w:rsidRPr="007621CE">
        <w:rPr>
          <w:b/>
          <w:sz w:val="40"/>
        </w:rPr>
        <w:t xml:space="preserve">Gender, Disability and </w:t>
      </w:r>
      <w:r w:rsidRPr="007621CE">
        <w:rPr>
          <w:b/>
          <w:sz w:val="40"/>
        </w:rPr>
        <w:br/>
        <w:t>Social Inclusion Strategy</w:t>
      </w:r>
    </w:p>
    <w:p w14:paraId="0FACEDD6" w14:textId="77777777" w:rsidR="007E04A6" w:rsidRPr="007621CE" w:rsidRDefault="007E04A6" w:rsidP="00ED0631">
      <w:pPr>
        <w:spacing w:before="240" w:after="240"/>
        <w:rPr>
          <w:b/>
          <w:sz w:val="28"/>
        </w:rPr>
      </w:pPr>
      <w:r w:rsidRPr="007621CE">
        <w:rPr>
          <w:b/>
          <w:sz w:val="28"/>
        </w:rPr>
        <w:t xml:space="preserve">KEIP – Phase I and Phase II, Summary of </w:t>
      </w:r>
      <w:r w:rsidRPr="007621CE">
        <w:rPr>
          <w:b/>
          <w:sz w:val="28"/>
        </w:rPr>
        <w:br/>
        <w:t>Achievements and Lessons Learned</w:t>
      </w:r>
    </w:p>
    <w:p w14:paraId="782CF538" w14:textId="77777777" w:rsidR="007E04A6" w:rsidRPr="007621CE" w:rsidRDefault="007E04A6" w:rsidP="00ED0631">
      <w:pPr>
        <w:spacing w:before="240" w:after="240"/>
        <w:rPr>
          <w:sz w:val="28"/>
        </w:rPr>
      </w:pPr>
      <w:r w:rsidRPr="007621CE">
        <w:rPr>
          <w:sz w:val="28"/>
        </w:rPr>
        <w:t>March 2016</w:t>
      </w:r>
    </w:p>
    <w:p w14:paraId="6FC8544F" w14:textId="77777777" w:rsidR="007E04A6" w:rsidRDefault="007E04A6" w:rsidP="00ED0631">
      <w:pPr>
        <w:suppressAutoHyphens/>
        <w:spacing w:before="3400" w:after="60"/>
      </w:pPr>
      <w:r>
        <w:rPr>
          <w:noProof/>
          <w:sz w:val="28"/>
          <w:lang w:eastAsia="en-AU"/>
        </w:rPr>
        <w:drawing>
          <wp:anchor distT="0" distB="0" distL="114300" distR="114300" simplePos="0" relativeHeight="251829247" behindDoc="0" locked="0" layoutInCell="1" allowOverlap="1" wp14:anchorId="55620008" wp14:editId="2BA80913">
            <wp:simplePos x="0" y="0"/>
            <wp:positionH relativeFrom="margin">
              <wp:align>left</wp:align>
            </wp:positionH>
            <wp:positionV relativeFrom="paragraph">
              <wp:posOffset>1137285</wp:posOffset>
            </wp:positionV>
            <wp:extent cx="1315990" cy="590550"/>
            <wp:effectExtent l="0" t="0" r="0" b="0"/>
            <wp:wrapNone/>
            <wp:docPr id="111" name="Picture 111" descr="Australian Aid logo" title="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 Aid Identifier colou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5990" cy="5905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spacing w:val="-2"/>
          <w:sz w:val="16"/>
          <w:szCs w:val="16"/>
        </w:rPr>
        <w:t>Kiribati Education Facility</w:t>
      </w:r>
      <w:r w:rsidRPr="005D2815">
        <w:rPr>
          <w:rFonts w:eastAsia="Times New Roman" w:cs="Arial"/>
          <w:spacing w:val="-2"/>
          <w:sz w:val="16"/>
          <w:szCs w:val="16"/>
        </w:rPr>
        <w:t xml:space="preserve"> is managed by Coffey</w:t>
      </w:r>
      <w:r>
        <w:rPr>
          <w:rFonts w:eastAsia="Times New Roman" w:cs="Arial"/>
          <w:spacing w:val="-2"/>
          <w:sz w:val="16"/>
          <w:szCs w:val="16"/>
        </w:rPr>
        <w:t>, a Tetra Tech company,</w:t>
      </w:r>
      <w:r w:rsidRPr="005D2815">
        <w:rPr>
          <w:rFonts w:eastAsia="Times New Roman" w:cs="Arial"/>
          <w:spacing w:val="-2"/>
          <w:sz w:val="16"/>
          <w:szCs w:val="16"/>
        </w:rPr>
        <w:t xml:space="preserve"> on behalf of the Australian </w:t>
      </w:r>
      <w:r>
        <w:rPr>
          <w:rFonts w:eastAsia="Times New Roman" w:cs="Arial"/>
          <w:spacing w:val="-2"/>
          <w:sz w:val="16"/>
          <w:szCs w:val="16"/>
        </w:rPr>
        <w:t>Government</w:t>
      </w:r>
    </w:p>
    <w:p w14:paraId="73575B59" w14:textId="77777777" w:rsidR="007E04A6" w:rsidRDefault="007E04A6" w:rsidP="00ED0631">
      <w:pPr>
        <w:sectPr w:rsidR="007E04A6" w:rsidSect="00ED0631">
          <w:pgSz w:w="11906" w:h="16838" w:code="9"/>
          <w:pgMar w:top="1440" w:right="1440" w:bottom="1440" w:left="1440" w:header="340" w:footer="340" w:gutter="0"/>
          <w:pgNumType w:start="1"/>
          <w:cols w:space="708"/>
          <w:titlePg/>
          <w:docGrid w:linePitch="360"/>
        </w:sectPr>
      </w:pPr>
    </w:p>
    <w:p w14:paraId="795860E3" w14:textId="0FE8EF03" w:rsidR="007E04A6" w:rsidRPr="00360294" w:rsidRDefault="00471345" w:rsidP="00ED0631">
      <w:pPr>
        <w:pStyle w:val="ContentsHeading"/>
        <w:spacing w:before="0"/>
      </w:pPr>
      <w:r>
        <w:lastRenderedPageBreak/>
        <w:t>C</w:t>
      </w:r>
      <w:r w:rsidR="007E04A6" w:rsidRPr="00360294">
        <w:t>ontents</w:t>
      </w:r>
    </w:p>
    <w:p w14:paraId="4E89D289" w14:textId="77777777" w:rsidR="007E04A6" w:rsidRPr="006A5739" w:rsidRDefault="007E04A6" w:rsidP="00ED0631">
      <w:pPr>
        <w:pStyle w:val="TOC1"/>
        <w:ind w:left="284" w:hanging="284"/>
        <w:rPr>
          <w:rFonts w:eastAsiaTheme="minorEastAsia"/>
          <w:sz w:val="22"/>
          <w:lang w:eastAsia="en-AU"/>
        </w:rPr>
      </w:pPr>
      <w:r w:rsidRPr="006A5739">
        <w:fldChar w:fldCharType="begin"/>
      </w:r>
      <w:r w:rsidRPr="006A5739">
        <w:instrText xml:space="preserve"> TOC \o "1-4" \h \z \u </w:instrText>
      </w:r>
      <w:r w:rsidRPr="006A5739">
        <w:fldChar w:fldCharType="separate"/>
      </w:r>
      <w:hyperlink w:anchor="_Toc445803578" w:history="1">
        <w:r w:rsidRPr="006A5739">
          <w:rPr>
            <w:rStyle w:val="Hyperlink"/>
          </w:rPr>
          <w:t>1</w:t>
        </w:r>
        <w:r w:rsidRPr="006A5739">
          <w:rPr>
            <w:rFonts w:eastAsiaTheme="minorEastAsia"/>
            <w:sz w:val="22"/>
            <w:lang w:eastAsia="en-AU"/>
          </w:rPr>
          <w:tab/>
        </w:r>
        <w:r w:rsidRPr="006A5739">
          <w:rPr>
            <w:rStyle w:val="Hyperlink"/>
          </w:rPr>
          <w:t>Strategy Background</w:t>
        </w:r>
        <w:r w:rsidRPr="006A5739">
          <w:rPr>
            <w:webHidden/>
          </w:rPr>
          <w:tab/>
        </w:r>
        <w:r w:rsidRPr="006A5739">
          <w:rPr>
            <w:webHidden/>
          </w:rPr>
          <w:fldChar w:fldCharType="begin"/>
        </w:r>
        <w:r w:rsidRPr="006A5739">
          <w:rPr>
            <w:webHidden/>
          </w:rPr>
          <w:instrText xml:space="preserve"> PAGEREF _Toc445803578 \h </w:instrText>
        </w:r>
        <w:r w:rsidRPr="006A5739">
          <w:rPr>
            <w:webHidden/>
          </w:rPr>
        </w:r>
        <w:r w:rsidRPr="006A5739">
          <w:rPr>
            <w:webHidden/>
          </w:rPr>
          <w:fldChar w:fldCharType="separate"/>
        </w:r>
        <w:r w:rsidR="00551D83">
          <w:rPr>
            <w:webHidden/>
          </w:rPr>
          <w:t>1</w:t>
        </w:r>
        <w:r w:rsidRPr="006A5739">
          <w:rPr>
            <w:webHidden/>
          </w:rPr>
          <w:fldChar w:fldCharType="end"/>
        </w:r>
      </w:hyperlink>
    </w:p>
    <w:p w14:paraId="185EA52B" w14:textId="77777777" w:rsidR="007E04A6" w:rsidRPr="006A5739" w:rsidRDefault="00B951C4" w:rsidP="00ED0631">
      <w:pPr>
        <w:pStyle w:val="TOC1"/>
        <w:ind w:left="284" w:hanging="284"/>
        <w:rPr>
          <w:rFonts w:eastAsiaTheme="minorEastAsia"/>
          <w:sz w:val="22"/>
          <w:lang w:eastAsia="en-AU"/>
        </w:rPr>
      </w:pPr>
      <w:hyperlink w:anchor="_Toc445803579" w:history="1">
        <w:r w:rsidR="007E04A6" w:rsidRPr="006A5739">
          <w:rPr>
            <w:rStyle w:val="Hyperlink"/>
          </w:rPr>
          <w:t>2</w:t>
        </w:r>
        <w:r w:rsidR="007E04A6" w:rsidRPr="006A5739">
          <w:rPr>
            <w:rFonts w:eastAsiaTheme="minorEastAsia"/>
            <w:sz w:val="22"/>
            <w:lang w:eastAsia="en-AU"/>
          </w:rPr>
          <w:tab/>
        </w:r>
        <w:r w:rsidR="007E04A6" w:rsidRPr="006A5739">
          <w:rPr>
            <w:rStyle w:val="Hyperlink"/>
          </w:rPr>
          <w:t>Program Context</w:t>
        </w:r>
        <w:r w:rsidR="007E04A6" w:rsidRPr="006A5739">
          <w:rPr>
            <w:webHidden/>
          </w:rPr>
          <w:tab/>
        </w:r>
        <w:r w:rsidR="007E04A6" w:rsidRPr="006A5739">
          <w:rPr>
            <w:webHidden/>
          </w:rPr>
          <w:fldChar w:fldCharType="begin"/>
        </w:r>
        <w:r w:rsidR="007E04A6" w:rsidRPr="006A5739">
          <w:rPr>
            <w:webHidden/>
          </w:rPr>
          <w:instrText xml:space="preserve"> PAGEREF _Toc445803579 \h </w:instrText>
        </w:r>
        <w:r w:rsidR="007E04A6" w:rsidRPr="006A5739">
          <w:rPr>
            <w:webHidden/>
          </w:rPr>
        </w:r>
        <w:r w:rsidR="007E04A6" w:rsidRPr="006A5739">
          <w:rPr>
            <w:webHidden/>
          </w:rPr>
          <w:fldChar w:fldCharType="separate"/>
        </w:r>
        <w:r w:rsidR="00551D83">
          <w:rPr>
            <w:webHidden/>
          </w:rPr>
          <w:t>1</w:t>
        </w:r>
        <w:r w:rsidR="007E04A6" w:rsidRPr="006A5739">
          <w:rPr>
            <w:webHidden/>
          </w:rPr>
          <w:fldChar w:fldCharType="end"/>
        </w:r>
      </w:hyperlink>
    </w:p>
    <w:p w14:paraId="01F31C78" w14:textId="77777777" w:rsidR="007E04A6" w:rsidRPr="006A5739" w:rsidRDefault="00B951C4" w:rsidP="00ED0631">
      <w:pPr>
        <w:pStyle w:val="TOC1"/>
        <w:ind w:left="284" w:hanging="284"/>
        <w:rPr>
          <w:rFonts w:eastAsiaTheme="minorEastAsia"/>
          <w:sz w:val="22"/>
          <w:lang w:eastAsia="en-AU"/>
        </w:rPr>
      </w:pPr>
      <w:hyperlink w:anchor="_Toc445803580" w:history="1">
        <w:r w:rsidR="007E04A6" w:rsidRPr="006A5739">
          <w:rPr>
            <w:rStyle w:val="Hyperlink"/>
          </w:rPr>
          <w:t>3</w:t>
        </w:r>
        <w:r w:rsidR="007E04A6" w:rsidRPr="006A5739">
          <w:rPr>
            <w:rFonts w:eastAsiaTheme="minorEastAsia"/>
            <w:sz w:val="22"/>
            <w:lang w:eastAsia="en-AU"/>
          </w:rPr>
          <w:tab/>
        </w:r>
        <w:r w:rsidR="007E04A6" w:rsidRPr="006A5739">
          <w:rPr>
            <w:rStyle w:val="Hyperlink"/>
          </w:rPr>
          <w:t>Gender, Disability and Social Inclusion Achievements KEIP - Phase I and Phase II</w:t>
        </w:r>
        <w:r w:rsidR="007E04A6" w:rsidRPr="006A5739">
          <w:rPr>
            <w:webHidden/>
          </w:rPr>
          <w:tab/>
        </w:r>
        <w:r w:rsidR="007E04A6" w:rsidRPr="006A5739">
          <w:rPr>
            <w:webHidden/>
          </w:rPr>
          <w:fldChar w:fldCharType="begin"/>
        </w:r>
        <w:r w:rsidR="007E04A6" w:rsidRPr="006A5739">
          <w:rPr>
            <w:webHidden/>
          </w:rPr>
          <w:instrText xml:space="preserve"> PAGEREF _Toc445803580 \h </w:instrText>
        </w:r>
        <w:r w:rsidR="007E04A6" w:rsidRPr="006A5739">
          <w:rPr>
            <w:webHidden/>
          </w:rPr>
        </w:r>
        <w:r w:rsidR="007E04A6" w:rsidRPr="006A5739">
          <w:rPr>
            <w:webHidden/>
          </w:rPr>
          <w:fldChar w:fldCharType="separate"/>
        </w:r>
        <w:r w:rsidR="00551D83">
          <w:rPr>
            <w:webHidden/>
          </w:rPr>
          <w:t>2</w:t>
        </w:r>
        <w:r w:rsidR="007E04A6" w:rsidRPr="006A5739">
          <w:rPr>
            <w:webHidden/>
          </w:rPr>
          <w:fldChar w:fldCharType="end"/>
        </w:r>
      </w:hyperlink>
    </w:p>
    <w:p w14:paraId="6697E3C2" w14:textId="77777777" w:rsidR="007E04A6" w:rsidRPr="001E36D8" w:rsidRDefault="00B951C4" w:rsidP="00ED0631">
      <w:pPr>
        <w:pStyle w:val="TOC1"/>
        <w:ind w:left="284" w:hanging="284"/>
      </w:pPr>
      <w:hyperlink w:anchor="_Toc445803581" w:history="1">
        <w:r w:rsidR="007E04A6" w:rsidRPr="006A5739">
          <w:rPr>
            <w:rStyle w:val="Hyperlink"/>
          </w:rPr>
          <w:t>4</w:t>
        </w:r>
        <w:r w:rsidR="007E04A6" w:rsidRPr="006A5739">
          <w:rPr>
            <w:rFonts w:eastAsiaTheme="minorEastAsia"/>
            <w:sz w:val="22"/>
            <w:lang w:eastAsia="en-AU"/>
          </w:rPr>
          <w:tab/>
        </w:r>
        <w:r w:rsidR="007E04A6" w:rsidRPr="006A5739">
          <w:rPr>
            <w:rStyle w:val="Hyperlink"/>
          </w:rPr>
          <w:t>Gender, Disability and Social Inclusion Lessons Learned KEIP - Phase I and Phase II</w:t>
        </w:r>
        <w:r w:rsidR="007E04A6" w:rsidRPr="006A5739">
          <w:rPr>
            <w:webHidden/>
          </w:rPr>
          <w:tab/>
        </w:r>
        <w:r w:rsidR="007E04A6" w:rsidRPr="006A5739">
          <w:rPr>
            <w:webHidden/>
          </w:rPr>
          <w:fldChar w:fldCharType="begin"/>
        </w:r>
        <w:r w:rsidR="007E04A6" w:rsidRPr="006A5739">
          <w:rPr>
            <w:webHidden/>
          </w:rPr>
          <w:instrText xml:space="preserve"> PAGEREF _Toc445803581 \h </w:instrText>
        </w:r>
        <w:r w:rsidR="007E04A6" w:rsidRPr="006A5739">
          <w:rPr>
            <w:webHidden/>
          </w:rPr>
        </w:r>
        <w:r w:rsidR="007E04A6" w:rsidRPr="006A5739">
          <w:rPr>
            <w:webHidden/>
          </w:rPr>
          <w:fldChar w:fldCharType="separate"/>
        </w:r>
        <w:r w:rsidR="00551D83">
          <w:rPr>
            <w:webHidden/>
          </w:rPr>
          <w:t>12</w:t>
        </w:r>
        <w:r w:rsidR="007E04A6" w:rsidRPr="006A5739">
          <w:rPr>
            <w:webHidden/>
          </w:rPr>
          <w:fldChar w:fldCharType="end"/>
        </w:r>
      </w:hyperlink>
      <w:r w:rsidR="007E04A6" w:rsidRPr="006A5739">
        <w:rPr>
          <w:b w:val="0"/>
        </w:rPr>
        <w:fldChar w:fldCharType="end"/>
      </w:r>
    </w:p>
    <w:p w14:paraId="6C098436" w14:textId="77777777" w:rsidR="007E04A6" w:rsidRDefault="007E04A6">
      <w:pPr>
        <w:rPr>
          <w:b/>
          <w:sz w:val="44"/>
          <w:szCs w:val="40"/>
        </w:rPr>
      </w:pPr>
      <w:r>
        <w:br w:type="page"/>
      </w:r>
    </w:p>
    <w:p w14:paraId="4421EA54" w14:textId="77777777" w:rsidR="007E04A6" w:rsidRPr="00341D41" w:rsidRDefault="007E04A6" w:rsidP="00ED0631">
      <w:pPr>
        <w:pStyle w:val="ContentsHeading"/>
      </w:pPr>
      <w:r w:rsidRPr="00341D41">
        <w:lastRenderedPageBreak/>
        <w:t>Abbreviations</w:t>
      </w:r>
    </w:p>
    <w:p w14:paraId="642762C5" w14:textId="77777777" w:rsidR="007E04A6" w:rsidRDefault="007E04A6" w:rsidP="00ED0631">
      <w:pPr>
        <w:pStyle w:val="BodyCopy"/>
        <w:tabs>
          <w:tab w:val="left" w:pos="1560"/>
        </w:tabs>
      </w:pPr>
      <w:r>
        <w:t xml:space="preserve">AMAK </w:t>
      </w:r>
      <w:r>
        <w:tab/>
        <w:t xml:space="preserve">Aia Maea Ainen Kiribati </w:t>
      </w:r>
    </w:p>
    <w:p w14:paraId="5604F9A1" w14:textId="77777777" w:rsidR="007E04A6" w:rsidRDefault="007E04A6" w:rsidP="00ED0631">
      <w:pPr>
        <w:pStyle w:val="BodyCopy"/>
        <w:tabs>
          <w:tab w:val="left" w:pos="1560"/>
        </w:tabs>
      </w:pPr>
      <w:r>
        <w:t xml:space="preserve">AVID </w:t>
      </w:r>
      <w:r>
        <w:tab/>
        <w:t xml:space="preserve">Australian Volunteers International Development </w:t>
      </w:r>
    </w:p>
    <w:p w14:paraId="17E97C11" w14:textId="77777777" w:rsidR="007E04A6" w:rsidRDefault="007E04A6" w:rsidP="00ED0631">
      <w:pPr>
        <w:pStyle w:val="BodyCopy"/>
        <w:tabs>
          <w:tab w:val="left" w:pos="1560"/>
        </w:tabs>
      </w:pPr>
      <w:r>
        <w:t xml:space="preserve">CCT </w:t>
      </w:r>
      <w:r>
        <w:tab/>
        <w:t>Community Consultation Team</w:t>
      </w:r>
    </w:p>
    <w:p w14:paraId="73496533" w14:textId="77777777" w:rsidR="007E04A6" w:rsidRDefault="007E04A6" w:rsidP="00ED0631">
      <w:pPr>
        <w:pStyle w:val="BodyCopy"/>
        <w:tabs>
          <w:tab w:val="left" w:pos="1560"/>
        </w:tabs>
      </w:pPr>
      <w:r>
        <w:t xml:space="preserve">CDRC </w:t>
      </w:r>
      <w:r>
        <w:tab/>
        <w:t xml:space="preserve">Curriculum Development Resource Centre </w:t>
      </w:r>
    </w:p>
    <w:p w14:paraId="61BC4B3D" w14:textId="77777777" w:rsidR="007E04A6" w:rsidRDefault="007E04A6" w:rsidP="00ED0631">
      <w:pPr>
        <w:pStyle w:val="BodyCopy"/>
        <w:tabs>
          <w:tab w:val="left" w:pos="1560"/>
        </w:tabs>
      </w:pPr>
      <w:r>
        <w:t xml:space="preserve">CEDAW </w:t>
      </w:r>
      <w:r>
        <w:tab/>
        <w:t xml:space="preserve">Convention on the Elimination of all Forms of Discrimination against Women </w:t>
      </w:r>
    </w:p>
    <w:p w14:paraId="0F9F4ACA" w14:textId="77777777" w:rsidR="007E04A6" w:rsidRDefault="007E04A6" w:rsidP="00ED0631">
      <w:pPr>
        <w:pStyle w:val="BodyCopy"/>
        <w:tabs>
          <w:tab w:val="left" w:pos="1560"/>
        </w:tabs>
      </w:pPr>
      <w:r>
        <w:t xml:space="preserve">CRC </w:t>
      </w:r>
      <w:r>
        <w:tab/>
        <w:t xml:space="preserve">Convention on the Rights of the Child </w:t>
      </w:r>
    </w:p>
    <w:p w14:paraId="6D04E2E0" w14:textId="77777777" w:rsidR="007E04A6" w:rsidRDefault="007E04A6" w:rsidP="00ED0631">
      <w:pPr>
        <w:pStyle w:val="BodyCopy"/>
        <w:tabs>
          <w:tab w:val="left" w:pos="1560"/>
        </w:tabs>
      </w:pPr>
      <w:r>
        <w:t xml:space="preserve">DFAT </w:t>
      </w:r>
      <w:r>
        <w:tab/>
        <w:t xml:space="preserve">Department of Foreign Affairs and Trade </w:t>
      </w:r>
    </w:p>
    <w:p w14:paraId="6F808DC1" w14:textId="77777777" w:rsidR="007E04A6" w:rsidRDefault="007E04A6" w:rsidP="00ED0631">
      <w:pPr>
        <w:pStyle w:val="BodyCopy"/>
        <w:tabs>
          <w:tab w:val="left" w:pos="1560"/>
        </w:tabs>
      </w:pPr>
      <w:r>
        <w:t xml:space="preserve">DOP </w:t>
      </w:r>
      <w:r>
        <w:tab/>
        <w:t>Division Operational Plan</w:t>
      </w:r>
    </w:p>
    <w:p w14:paraId="31CB11FC" w14:textId="77777777" w:rsidR="007E04A6" w:rsidRDefault="007E04A6" w:rsidP="00ED0631">
      <w:pPr>
        <w:pStyle w:val="BodyCopy"/>
        <w:tabs>
          <w:tab w:val="left" w:pos="1560"/>
        </w:tabs>
      </w:pPr>
      <w:r>
        <w:t xml:space="preserve">ESSP </w:t>
      </w:r>
      <w:r>
        <w:tab/>
        <w:t xml:space="preserve">Education Sector Strategic Plan </w:t>
      </w:r>
    </w:p>
    <w:p w14:paraId="567DC78A" w14:textId="77777777" w:rsidR="007E04A6" w:rsidRDefault="007E04A6" w:rsidP="00ED0631">
      <w:pPr>
        <w:pStyle w:val="BodyCopy"/>
        <w:tabs>
          <w:tab w:val="left" w:pos="1560"/>
        </w:tabs>
      </w:pPr>
      <w:r>
        <w:t xml:space="preserve">EVAWE </w:t>
      </w:r>
      <w:r>
        <w:tab/>
        <w:t xml:space="preserve">Eliminating Violence Against Women in Education Committee </w:t>
      </w:r>
    </w:p>
    <w:p w14:paraId="325CCE8D" w14:textId="77777777" w:rsidR="007E04A6" w:rsidRDefault="007E04A6" w:rsidP="00ED0631">
      <w:pPr>
        <w:pStyle w:val="BodyCopy"/>
        <w:tabs>
          <w:tab w:val="left" w:pos="1560"/>
        </w:tabs>
      </w:pPr>
      <w:r>
        <w:t xml:space="preserve">FMU </w:t>
      </w:r>
      <w:r>
        <w:tab/>
        <w:t xml:space="preserve">Facilities Management Unit </w:t>
      </w:r>
    </w:p>
    <w:p w14:paraId="2D6CD3C3" w14:textId="77777777" w:rsidR="007E04A6" w:rsidRPr="00F13E6E" w:rsidRDefault="007E04A6" w:rsidP="00ED0631">
      <w:pPr>
        <w:pStyle w:val="BodyCopy"/>
        <w:tabs>
          <w:tab w:val="left" w:pos="1560"/>
        </w:tabs>
        <w:rPr>
          <w:color w:val="auto"/>
        </w:rPr>
      </w:pPr>
      <w:r>
        <w:t xml:space="preserve">GD&amp;SI </w:t>
      </w:r>
      <w:r>
        <w:tab/>
      </w:r>
      <w:r w:rsidRPr="00F13E6E">
        <w:rPr>
          <w:color w:val="auto"/>
        </w:rPr>
        <w:t xml:space="preserve">Gender Disability &amp; Social Inclusion Targets </w:t>
      </w:r>
    </w:p>
    <w:p w14:paraId="43049FD4" w14:textId="77777777" w:rsidR="007E04A6" w:rsidRPr="00F13E6E" w:rsidRDefault="007E04A6" w:rsidP="00ED0631">
      <w:pPr>
        <w:pStyle w:val="BodyCopy"/>
        <w:tabs>
          <w:tab w:val="left" w:pos="1560"/>
        </w:tabs>
        <w:rPr>
          <w:color w:val="auto"/>
        </w:rPr>
      </w:pPr>
      <w:r w:rsidRPr="00F13E6E">
        <w:rPr>
          <w:color w:val="auto"/>
        </w:rPr>
        <w:t>HIV/AIDS</w:t>
      </w:r>
      <w:r w:rsidRPr="00F13E6E">
        <w:rPr>
          <w:color w:val="auto"/>
        </w:rPr>
        <w:tab/>
      </w:r>
      <w:hyperlink r:id="rId36" w:tooltip="HIV" w:history="1">
        <w:r w:rsidRPr="00D545A0">
          <w:rPr>
            <w:rStyle w:val="Hyperlink"/>
            <w:color w:val="auto"/>
            <w:u w:val="none"/>
          </w:rPr>
          <w:t>Human Immunodeficiency Virus</w:t>
        </w:r>
      </w:hyperlink>
      <w:r w:rsidRPr="00D545A0">
        <w:rPr>
          <w:color w:val="auto"/>
        </w:rPr>
        <w:t>/</w:t>
      </w:r>
      <w:r w:rsidRPr="00F13E6E">
        <w:rPr>
          <w:color w:val="auto"/>
        </w:rPr>
        <w:t>Acquired Immunodeficiency Syndrome</w:t>
      </w:r>
    </w:p>
    <w:p w14:paraId="23746681" w14:textId="77777777" w:rsidR="007E04A6" w:rsidRPr="00F13E6E" w:rsidRDefault="007E04A6" w:rsidP="00ED0631">
      <w:pPr>
        <w:pStyle w:val="BodyCopy"/>
        <w:tabs>
          <w:tab w:val="left" w:pos="1560"/>
        </w:tabs>
        <w:rPr>
          <w:color w:val="auto"/>
        </w:rPr>
      </w:pPr>
      <w:r w:rsidRPr="00F13E6E">
        <w:rPr>
          <w:color w:val="auto"/>
        </w:rPr>
        <w:t xml:space="preserve">IEWG </w:t>
      </w:r>
      <w:r w:rsidRPr="00F13E6E">
        <w:rPr>
          <w:color w:val="auto"/>
        </w:rPr>
        <w:tab/>
        <w:t>Inclusive Education Working Group</w:t>
      </w:r>
    </w:p>
    <w:p w14:paraId="438D1836" w14:textId="77777777" w:rsidR="007E04A6" w:rsidRDefault="007E04A6" w:rsidP="00ED0631">
      <w:pPr>
        <w:pStyle w:val="BodyCopy"/>
        <w:tabs>
          <w:tab w:val="left" w:pos="1560"/>
        </w:tabs>
      </w:pPr>
      <w:r w:rsidRPr="00F13E6E">
        <w:rPr>
          <w:color w:val="auto"/>
        </w:rPr>
        <w:t>KEF</w:t>
      </w:r>
      <w:r w:rsidRPr="00F13E6E">
        <w:rPr>
          <w:color w:val="auto"/>
        </w:rPr>
        <w:tab/>
        <w:t xml:space="preserve">Kiribati Education </w:t>
      </w:r>
      <w:r>
        <w:t>Facility</w:t>
      </w:r>
    </w:p>
    <w:p w14:paraId="16E6B60C" w14:textId="77777777" w:rsidR="007E04A6" w:rsidRDefault="007E04A6" w:rsidP="00ED0631">
      <w:pPr>
        <w:pStyle w:val="BodyCopy"/>
        <w:tabs>
          <w:tab w:val="left" w:pos="1560"/>
        </w:tabs>
      </w:pPr>
      <w:r>
        <w:t xml:space="preserve">KEIP </w:t>
      </w:r>
      <w:r>
        <w:tab/>
        <w:t xml:space="preserve">Kiribati Education Improvement Program </w:t>
      </w:r>
    </w:p>
    <w:p w14:paraId="2BE2A973" w14:textId="77777777" w:rsidR="007E04A6" w:rsidRDefault="007E04A6" w:rsidP="00ED0631">
      <w:pPr>
        <w:pStyle w:val="BodyCopy"/>
        <w:tabs>
          <w:tab w:val="left" w:pos="1560"/>
        </w:tabs>
      </w:pPr>
      <w:r>
        <w:t xml:space="preserve">KEMIS </w:t>
      </w:r>
      <w:r>
        <w:tab/>
        <w:t>Kiribati Education Management Information System</w:t>
      </w:r>
    </w:p>
    <w:p w14:paraId="318B785F" w14:textId="77777777" w:rsidR="007E04A6" w:rsidRDefault="007E04A6" w:rsidP="00ED0631">
      <w:pPr>
        <w:pStyle w:val="BodyCopy"/>
        <w:tabs>
          <w:tab w:val="left" w:pos="1560"/>
        </w:tabs>
      </w:pPr>
      <w:r>
        <w:t xml:space="preserve">KTC </w:t>
      </w:r>
      <w:r>
        <w:tab/>
        <w:t xml:space="preserve">Kiribati Teacher’s College </w:t>
      </w:r>
    </w:p>
    <w:p w14:paraId="4E9594F3" w14:textId="77777777" w:rsidR="007E04A6" w:rsidRDefault="007E04A6" w:rsidP="00ED0631">
      <w:pPr>
        <w:pStyle w:val="BodyCopy"/>
        <w:tabs>
          <w:tab w:val="left" w:pos="1560"/>
        </w:tabs>
      </w:pPr>
      <w:r>
        <w:t>M&amp;E</w:t>
      </w:r>
      <w:r>
        <w:tab/>
        <w:t>Monitoring and Evaluation</w:t>
      </w:r>
    </w:p>
    <w:p w14:paraId="5B801035" w14:textId="77777777" w:rsidR="007E04A6" w:rsidRDefault="007E04A6" w:rsidP="00ED0631">
      <w:pPr>
        <w:pStyle w:val="BodyCopy"/>
        <w:tabs>
          <w:tab w:val="left" w:pos="1560"/>
        </w:tabs>
      </w:pPr>
      <w:r>
        <w:t xml:space="preserve">MoE </w:t>
      </w:r>
      <w:r>
        <w:tab/>
        <w:t xml:space="preserve">Ministry of Education </w:t>
      </w:r>
    </w:p>
    <w:p w14:paraId="5AFAAA9A" w14:textId="77777777" w:rsidR="007E04A6" w:rsidRDefault="007E04A6" w:rsidP="00ED0631">
      <w:pPr>
        <w:pStyle w:val="BodyCopy"/>
        <w:tabs>
          <w:tab w:val="left" w:pos="1560"/>
        </w:tabs>
      </w:pPr>
      <w:r>
        <w:t>MWYSA</w:t>
      </w:r>
      <w:r>
        <w:tab/>
      </w:r>
      <w:r w:rsidRPr="00375B65">
        <w:rPr>
          <w:rFonts w:cs="Arial"/>
          <w:spacing w:val="-4"/>
        </w:rPr>
        <w:t>Ministry of Women, Youth and Social Affairs</w:t>
      </w:r>
    </w:p>
    <w:p w14:paraId="5D6FBE9E" w14:textId="77777777" w:rsidR="007E04A6" w:rsidRDefault="007E04A6" w:rsidP="00ED0631">
      <w:pPr>
        <w:pStyle w:val="BodyCopy"/>
        <w:tabs>
          <w:tab w:val="left" w:pos="1560"/>
        </w:tabs>
      </w:pPr>
      <w:r>
        <w:t>NCAF</w:t>
      </w:r>
      <w:r>
        <w:tab/>
        <w:t>National Curriculum and Assessment Framework</w:t>
      </w:r>
    </w:p>
    <w:p w14:paraId="22F0AA16" w14:textId="77777777" w:rsidR="007E04A6" w:rsidRDefault="007E04A6" w:rsidP="00ED0631">
      <w:pPr>
        <w:pStyle w:val="BodyCopy"/>
        <w:tabs>
          <w:tab w:val="left" w:pos="1560"/>
        </w:tabs>
      </w:pPr>
      <w:r>
        <w:t xml:space="preserve">NIS </w:t>
      </w:r>
      <w:r>
        <w:tab/>
        <w:t>National Infrastructure standards</w:t>
      </w:r>
    </w:p>
    <w:p w14:paraId="05B9DD0C" w14:textId="77777777" w:rsidR="007E04A6" w:rsidRDefault="007E04A6" w:rsidP="00ED0631">
      <w:pPr>
        <w:pStyle w:val="BodyCopy"/>
        <w:tabs>
          <w:tab w:val="left" w:pos="1560"/>
        </w:tabs>
      </w:pPr>
      <w:r>
        <w:t xml:space="preserve">PSRP </w:t>
      </w:r>
      <w:r>
        <w:tab/>
        <w:t>Primary Schools Rehabilitation Plan</w:t>
      </w:r>
    </w:p>
    <w:p w14:paraId="4661BAAC" w14:textId="77777777" w:rsidR="007E04A6" w:rsidRDefault="007E04A6" w:rsidP="00ED0631">
      <w:pPr>
        <w:pStyle w:val="BodyCopy"/>
        <w:tabs>
          <w:tab w:val="left" w:pos="1560"/>
        </w:tabs>
      </w:pPr>
      <w:r>
        <w:t xml:space="preserve">RIDBC </w:t>
      </w:r>
      <w:r>
        <w:tab/>
        <w:t xml:space="preserve">Royal Institute for Deaf and Blind Children </w:t>
      </w:r>
    </w:p>
    <w:p w14:paraId="2E4343DC" w14:textId="77777777" w:rsidR="007E04A6" w:rsidRDefault="007E04A6" w:rsidP="00ED0631">
      <w:pPr>
        <w:pStyle w:val="BodyCopy"/>
        <w:tabs>
          <w:tab w:val="left" w:pos="1560"/>
        </w:tabs>
      </w:pPr>
      <w:r>
        <w:t xml:space="preserve">SIP </w:t>
      </w:r>
      <w:r>
        <w:tab/>
        <w:t xml:space="preserve">School Improvement Program </w:t>
      </w:r>
    </w:p>
    <w:p w14:paraId="658F0D8F" w14:textId="77777777" w:rsidR="007E04A6" w:rsidRDefault="007E04A6" w:rsidP="00ED0631">
      <w:pPr>
        <w:pStyle w:val="BodyCopy"/>
        <w:tabs>
          <w:tab w:val="left" w:pos="1560"/>
        </w:tabs>
      </w:pPr>
      <w:r>
        <w:t xml:space="preserve">SLPD </w:t>
      </w:r>
      <w:r>
        <w:tab/>
        <w:t xml:space="preserve">School Leaders Professional Development </w:t>
      </w:r>
    </w:p>
    <w:p w14:paraId="3C082175" w14:textId="77777777" w:rsidR="007E04A6" w:rsidRDefault="007E04A6" w:rsidP="00ED0631">
      <w:pPr>
        <w:pStyle w:val="BodyCopy"/>
        <w:tabs>
          <w:tab w:val="left" w:pos="1560"/>
        </w:tabs>
      </w:pPr>
      <w:r>
        <w:t>TOR</w:t>
      </w:r>
      <w:r>
        <w:tab/>
        <w:t>Terms of Reference</w:t>
      </w:r>
    </w:p>
    <w:p w14:paraId="1EF85EAC" w14:textId="77777777" w:rsidR="007E04A6" w:rsidRDefault="007E04A6" w:rsidP="00ED0631">
      <w:pPr>
        <w:pStyle w:val="BodyCopy"/>
        <w:tabs>
          <w:tab w:val="left" w:pos="1560"/>
        </w:tabs>
      </w:pPr>
      <w:r>
        <w:t xml:space="preserve">TPD </w:t>
      </w:r>
      <w:r>
        <w:tab/>
        <w:t xml:space="preserve">Teacher Professional Development </w:t>
      </w:r>
    </w:p>
    <w:p w14:paraId="3954A5CE" w14:textId="77777777" w:rsidR="007E04A6" w:rsidRDefault="007E04A6" w:rsidP="00ED0631">
      <w:pPr>
        <w:pStyle w:val="BodyCopy"/>
        <w:tabs>
          <w:tab w:val="left" w:pos="1560"/>
        </w:tabs>
      </w:pPr>
      <w:r>
        <w:t xml:space="preserve">TSIMU </w:t>
      </w:r>
      <w:r>
        <w:tab/>
        <w:t xml:space="preserve">Technical Services and Information Management Unit </w:t>
      </w:r>
    </w:p>
    <w:p w14:paraId="7F69A7F3" w14:textId="77777777" w:rsidR="007E04A6" w:rsidRDefault="007E04A6" w:rsidP="00ED0631">
      <w:pPr>
        <w:pStyle w:val="BodyCopy"/>
        <w:tabs>
          <w:tab w:val="left" w:pos="1560"/>
        </w:tabs>
      </w:pPr>
      <w:r>
        <w:t>UNESCO</w:t>
      </w:r>
      <w:r>
        <w:tab/>
        <w:t>United Nations Educational, Scientific and Cultural Organisation</w:t>
      </w:r>
    </w:p>
    <w:p w14:paraId="135D067F" w14:textId="77777777" w:rsidR="007E04A6" w:rsidRDefault="007E04A6" w:rsidP="00ED0631">
      <w:pPr>
        <w:pStyle w:val="BodyCopy"/>
        <w:tabs>
          <w:tab w:val="left" w:pos="1560"/>
        </w:tabs>
      </w:pPr>
      <w:r>
        <w:t>UNICEF</w:t>
      </w:r>
      <w:r>
        <w:tab/>
      </w:r>
      <w:r>
        <w:rPr>
          <w:rStyle w:val="st1"/>
        </w:rPr>
        <w:t>United Nations Children's Fund</w:t>
      </w:r>
    </w:p>
    <w:p w14:paraId="72CEFB4B" w14:textId="77777777" w:rsidR="007E04A6" w:rsidRDefault="007E04A6" w:rsidP="00ED0631">
      <w:pPr>
        <w:pStyle w:val="BodyCopy"/>
        <w:tabs>
          <w:tab w:val="left" w:pos="1560"/>
        </w:tabs>
      </w:pPr>
      <w:r>
        <w:t xml:space="preserve">UNFPA </w:t>
      </w:r>
      <w:r>
        <w:tab/>
        <w:t xml:space="preserve">United Nations Population Fund </w:t>
      </w:r>
    </w:p>
    <w:p w14:paraId="098B5F31" w14:textId="77777777" w:rsidR="007E04A6" w:rsidRPr="00AD3EA3" w:rsidRDefault="007E04A6" w:rsidP="00ED0631">
      <w:pPr>
        <w:rPr>
          <w:b/>
          <w:sz w:val="44"/>
          <w:szCs w:val="40"/>
        </w:rPr>
        <w:sectPr w:rsidR="007E04A6" w:rsidRPr="00AD3EA3" w:rsidSect="006767F7">
          <w:footerReference w:type="default" r:id="rId37"/>
          <w:footerReference w:type="first" r:id="rId38"/>
          <w:pgSz w:w="11906" w:h="16838" w:code="9"/>
          <w:pgMar w:top="1418" w:right="1418" w:bottom="1134" w:left="1418" w:header="567" w:footer="567" w:gutter="0"/>
          <w:pgNumType w:fmt="lowerRoman" w:start="1"/>
          <w:cols w:space="227"/>
          <w:titlePg/>
          <w:docGrid w:linePitch="360"/>
        </w:sectPr>
      </w:pPr>
    </w:p>
    <w:p w14:paraId="42CF807D" w14:textId="77777777" w:rsidR="007E04A6" w:rsidRPr="00974857" w:rsidRDefault="007E04A6" w:rsidP="00AE24CE">
      <w:pPr>
        <w:pStyle w:val="Heading1"/>
        <w:numPr>
          <w:ilvl w:val="0"/>
          <w:numId w:val="39"/>
        </w:numPr>
        <w:spacing w:before="120" w:line="240" w:lineRule="atLeast"/>
        <w:ind w:left="709" w:hanging="709"/>
      </w:pPr>
      <w:bookmarkStart w:id="91" w:name="_Toc445803578"/>
      <w:bookmarkStart w:id="92" w:name="_Toc461615725"/>
      <w:r w:rsidRPr="00974857">
        <w:lastRenderedPageBreak/>
        <w:t>Strategy Background</w:t>
      </w:r>
      <w:bookmarkEnd w:id="91"/>
      <w:bookmarkEnd w:id="92"/>
    </w:p>
    <w:p w14:paraId="2D812343" w14:textId="77777777" w:rsidR="007E04A6" w:rsidRPr="00974857" w:rsidRDefault="007E04A6" w:rsidP="00ED0631">
      <w:pPr>
        <w:pStyle w:val="BodyCopy"/>
        <w:spacing w:before="50" w:after="50"/>
      </w:pPr>
      <w:bookmarkStart w:id="93" w:name="_Toc256624114"/>
      <w:r w:rsidRPr="00974857">
        <w:t xml:space="preserve">In early 2011, the Kiribati Education Improvement Program - Phase I (KEIP Phase I) developed a Gender Equality and Social Inclusion Strategy (GESI Strategy) to highlight how KEIP Phase II would support Australia and Kiribati goals for gender equality and social inclusion as well as where and how a focus on gender equality would enhance KEIP’s effectiveness and outcomes. </w:t>
      </w:r>
    </w:p>
    <w:p w14:paraId="4E3291BD" w14:textId="77777777" w:rsidR="007E04A6" w:rsidRPr="00974857" w:rsidRDefault="007E04A6" w:rsidP="00ED0631">
      <w:pPr>
        <w:pStyle w:val="BodyCopy"/>
        <w:spacing w:before="50" w:after="50"/>
        <w:rPr>
          <w:spacing w:val="-2"/>
        </w:rPr>
      </w:pPr>
      <w:r w:rsidRPr="00974857">
        <w:rPr>
          <w:spacing w:val="-2"/>
        </w:rPr>
        <w:t>The strategy was reviewed in November 2012 and again in May 2014 to identify key KEIP achievements to date, take account of lessons learned, better position the revised strategy to build on progress and to clearly align with the KEIP Phase II Program Design Document and Three Year Rolling Plan (2013-2015). Overall the strategy remained appropriate and valid but with important additions to ensure that it was building on achievements, responding to emerging priorities and incorporating, where feasible, lessons learned. To accurately reflect the additions and reflect emerging disability inclusion priorities the title of the GESI Strategy was updated in May 2014 to the KEF Gender, Disability and Social Inclusion Strategy – KEIP Phase 2, June 2014 - December 2015 (GD&amp;SI Strategy). The explicit inclusion of “disability” in the revised GD&amp;SI Strategy’s title reflects the momentum that had been developing among the MoE and KEIP stakeholders for this particular axis of inclusion.</w:t>
      </w:r>
    </w:p>
    <w:p w14:paraId="050DD5AF" w14:textId="77777777" w:rsidR="007E04A6" w:rsidRPr="00E75587" w:rsidRDefault="007E04A6" w:rsidP="00ED0631">
      <w:pPr>
        <w:pStyle w:val="BodyCopy"/>
        <w:spacing w:before="50" w:after="50"/>
      </w:pPr>
      <w:r w:rsidRPr="00E75587">
        <w:t xml:space="preserve">The updated GD&amp;SI Strategy related to the package of support provided by Australian Department of Foreign Affairs and Trade (DFAT) for KEIP Phase II being managed through the Kiribati Education Facility (KEF). The GD&amp;SI Strategy was designed to show how Australia’s and Kiribati’s goals for gender, disability and social inclusion would be supported by KEF during KEIP Phase II, as well as where and how a targeted focus on gender equality, disability and social inclusion could enhance KEIP’s effectiveness and outcomes. </w:t>
      </w:r>
    </w:p>
    <w:p w14:paraId="7ECB3BC4" w14:textId="77777777" w:rsidR="007E04A6" w:rsidRPr="00E75587" w:rsidRDefault="007E04A6" w:rsidP="00ED0631">
      <w:pPr>
        <w:pStyle w:val="BodyCopy"/>
        <w:spacing w:before="50" w:after="50"/>
      </w:pPr>
      <w:r w:rsidRPr="00E75587">
        <w:t xml:space="preserve">The objective of the GD&amp;SI </w:t>
      </w:r>
      <w:r>
        <w:t xml:space="preserve">Strategy </w:t>
      </w:r>
      <w:r w:rsidRPr="00E75587">
        <w:t>was to provide clear guidance and targets for integrating gender equality, disability and social inclusion through all KEF supported activities and to ensure that appropriate analysis of data and comprehensive planning continued to be undertaken in order to ensure issues of inclusion were</w:t>
      </w:r>
      <w:r>
        <w:t xml:space="preserve"> addressed and that </w:t>
      </w:r>
      <w:bookmarkEnd w:id="93"/>
      <w:r w:rsidRPr="00E75587">
        <w:t>gender, disability and social inclusion were comprehensively addressed in the Phase III design.</w:t>
      </w:r>
    </w:p>
    <w:p w14:paraId="55C0B9F3" w14:textId="77777777" w:rsidR="007E04A6" w:rsidRPr="00E75587" w:rsidRDefault="007E04A6" w:rsidP="00AE24CE">
      <w:pPr>
        <w:pStyle w:val="Heading1"/>
        <w:numPr>
          <w:ilvl w:val="0"/>
          <w:numId w:val="39"/>
        </w:numPr>
        <w:spacing w:before="240" w:after="160" w:line="240" w:lineRule="atLeast"/>
        <w:ind w:left="709" w:hanging="709"/>
      </w:pPr>
      <w:bookmarkStart w:id="94" w:name="_Toc349034378"/>
      <w:bookmarkStart w:id="95" w:name="_Toc388712189"/>
      <w:bookmarkStart w:id="96" w:name="_Toc445803579"/>
      <w:bookmarkStart w:id="97" w:name="_Toc461615726"/>
      <w:r w:rsidRPr="00E75587">
        <w:t>Program</w:t>
      </w:r>
      <w:bookmarkEnd w:id="94"/>
      <w:r w:rsidRPr="00E75587">
        <w:t xml:space="preserve"> Context</w:t>
      </w:r>
      <w:bookmarkEnd w:id="95"/>
      <w:bookmarkEnd w:id="96"/>
      <w:bookmarkEnd w:id="97"/>
    </w:p>
    <w:p w14:paraId="5DAA80E8" w14:textId="77777777" w:rsidR="007E04A6" w:rsidRPr="00974857" w:rsidRDefault="007E04A6" w:rsidP="00ED0631">
      <w:pPr>
        <w:pStyle w:val="BodyCopy"/>
        <w:spacing w:before="70" w:after="70"/>
      </w:pPr>
      <w:r w:rsidRPr="00974857">
        <w:t>The Kiribati Education Improvement Program (KEIP) is the framework within which major donors</w:t>
      </w:r>
      <w:r w:rsidRPr="00EF271C">
        <w:rPr>
          <w:rStyle w:val="FootnoteReference"/>
        </w:rPr>
        <w:footnoteReference w:id="24"/>
      </w:r>
      <w:r w:rsidRPr="00974857">
        <w:t xml:space="preserve"> to the education sector are supporting the Kiribati Ministry of Education (MoE) to implement its plans for education to support human resource development, KEIP was designed to be implemented in </w:t>
      </w:r>
      <w:r w:rsidRPr="00974857">
        <w:br/>
        <w:t>three phases.</w:t>
      </w:r>
    </w:p>
    <w:p w14:paraId="7120381E" w14:textId="77777777" w:rsidR="007E04A6" w:rsidRPr="006B7737" w:rsidRDefault="007E04A6" w:rsidP="00ED0631">
      <w:pPr>
        <w:pStyle w:val="BodyCopy"/>
        <w:spacing w:before="70" w:after="70"/>
        <w:rPr>
          <w:lang w:eastAsia="en-AU"/>
        </w:rPr>
      </w:pPr>
      <w:r w:rsidRPr="006B7737">
        <w:rPr>
          <w:lang w:eastAsia="en-AU"/>
        </w:rPr>
        <w:t>The Phase II approach was to build on the achievements of Phase I within the context of the program having a third, four year phase (2016 – 2019). While Phase I supported developments in the broad priority areas of physical facilities, legislation and policy, workforce development and curriculum and assessment, Phase II was strategically focused on improvement to teaching and learning in the early years (Years 1-4) and Phase 3 is intended to complete the early years initiatives and extend them into junior secondary levels.</w:t>
      </w:r>
    </w:p>
    <w:p w14:paraId="7C15D00E" w14:textId="77777777" w:rsidR="007E04A6" w:rsidRPr="006B7737" w:rsidRDefault="007E04A6" w:rsidP="00ED0631">
      <w:pPr>
        <w:pStyle w:val="BodyCopy"/>
        <w:spacing w:before="70" w:after="70"/>
      </w:pPr>
      <w:r w:rsidRPr="006B7737">
        <w:t xml:space="preserve">Phase II was structured around five strategies aligned with the goals of the Education Sector Strategic Plan (ESSP) 2012-2015: </w:t>
      </w:r>
    </w:p>
    <w:p w14:paraId="6BDB9E59" w14:textId="77777777" w:rsidR="007E04A6" w:rsidRPr="00C317A4" w:rsidRDefault="007E04A6" w:rsidP="00AE24CE">
      <w:pPr>
        <w:pStyle w:val="ListBullet"/>
        <w:numPr>
          <w:ilvl w:val="0"/>
          <w:numId w:val="34"/>
        </w:numPr>
        <w:spacing w:before="60" w:after="60"/>
        <w:ind w:left="284" w:hanging="284"/>
      </w:pPr>
      <w:r w:rsidRPr="00C317A4">
        <w:t xml:space="preserve">Supporting curriculum development and implementation (ESSP Goal 1 – improved curriculum); </w:t>
      </w:r>
    </w:p>
    <w:p w14:paraId="6356A082" w14:textId="77777777" w:rsidR="007E04A6" w:rsidRPr="00C317A4" w:rsidRDefault="007E04A6" w:rsidP="00AE24CE">
      <w:pPr>
        <w:pStyle w:val="ListBullet"/>
        <w:numPr>
          <w:ilvl w:val="0"/>
          <w:numId w:val="34"/>
        </w:numPr>
        <w:spacing w:before="60" w:after="60"/>
        <w:ind w:left="284" w:hanging="284"/>
      </w:pPr>
      <w:r w:rsidRPr="00C317A4">
        <w:t xml:space="preserve">Strengthening the capacity of teachers (ESSP Goal 3 – competent teachers); </w:t>
      </w:r>
    </w:p>
    <w:p w14:paraId="0D5895E3" w14:textId="77777777" w:rsidR="007E04A6" w:rsidRPr="00C317A4" w:rsidRDefault="007E04A6" w:rsidP="00AE24CE">
      <w:pPr>
        <w:pStyle w:val="ListBullet"/>
        <w:numPr>
          <w:ilvl w:val="0"/>
          <w:numId w:val="34"/>
        </w:numPr>
        <w:spacing w:before="60" w:after="60"/>
        <w:ind w:left="284" w:hanging="284"/>
      </w:pPr>
      <w:r w:rsidRPr="00C317A4">
        <w:t xml:space="preserve">Improving school infrastructure (ESSP Goal 2 – improved environment for learning); </w:t>
      </w:r>
    </w:p>
    <w:p w14:paraId="1A7AE635" w14:textId="77777777" w:rsidR="007E04A6" w:rsidRPr="00C317A4" w:rsidRDefault="007E04A6" w:rsidP="00AE24CE">
      <w:pPr>
        <w:pStyle w:val="ListBullet"/>
        <w:numPr>
          <w:ilvl w:val="0"/>
          <w:numId w:val="34"/>
        </w:numPr>
        <w:spacing w:before="60" w:after="60"/>
        <w:ind w:left="284" w:hanging="284"/>
      </w:pPr>
      <w:r w:rsidRPr="00C317A4">
        <w:t xml:space="preserve">Enhancing the school-community partnership (ESSP Goal 6 – stakeholder collaboration); and </w:t>
      </w:r>
    </w:p>
    <w:p w14:paraId="77DE3054" w14:textId="77777777" w:rsidR="007E04A6" w:rsidRPr="006B7737" w:rsidRDefault="007E04A6" w:rsidP="00AE24CE">
      <w:pPr>
        <w:pStyle w:val="ListBullet"/>
        <w:numPr>
          <w:ilvl w:val="0"/>
          <w:numId w:val="34"/>
        </w:numPr>
        <w:spacing w:before="60" w:after="60"/>
        <w:ind w:left="284" w:hanging="284"/>
      </w:pPr>
      <w:r w:rsidRPr="00C317A4">
        <w:t>Strengthening MoE’s capacity to plan, monitor and improve sector performance (ESSP Goals 4 -</w:t>
      </w:r>
      <w:r w:rsidRPr="006B7737">
        <w:t xml:space="preserve"> planning and policy, Goal 5 - legislative framework and Goal 7 – school support services). </w:t>
      </w:r>
    </w:p>
    <w:p w14:paraId="21F105BF" w14:textId="77777777" w:rsidR="007E04A6" w:rsidRPr="006B7737" w:rsidRDefault="007E04A6" w:rsidP="00ED0631">
      <w:pPr>
        <w:pStyle w:val="BodyCopy"/>
        <w:spacing w:before="70" w:after="70"/>
      </w:pPr>
      <w:r w:rsidRPr="006B7737">
        <w:t xml:space="preserve">It was within this program context for KEIP Phase II that the revised GD&amp;SI Strategy was implemented. The GD&amp;SI’s targets for integrating gender equality and social inclusion were aligned with the five KEIP Phase II strategies and were closely linked to the program’s outputs and KEF supported activities. </w:t>
      </w:r>
    </w:p>
    <w:p w14:paraId="36763459" w14:textId="77777777" w:rsidR="007E04A6" w:rsidRDefault="007E04A6" w:rsidP="00AE24CE">
      <w:pPr>
        <w:pStyle w:val="Heading1"/>
        <w:numPr>
          <w:ilvl w:val="0"/>
          <w:numId w:val="39"/>
        </w:numPr>
        <w:spacing w:after="160" w:line="240" w:lineRule="atLeast"/>
        <w:ind w:left="709" w:hanging="709"/>
      </w:pPr>
      <w:bookmarkStart w:id="98" w:name="_Toc388712190"/>
      <w:bookmarkStart w:id="99" w:name="_Toc445803580"/>
      <w:bookmarkStart w:id="100" w:name="_Toc461615727"/>
      <w:r w:rsidRPr="001E36D8">
        <w:lastRenderedPageBreak/>
        <w:t xml:space="preserve">Gender, Disability and Social Inclusion Achievements </w:t>
      </w:r>
      <w:bookmarkEnd w:id="98"/>
      <w:r>
        <w:t>KEIP - Phase I and Phase II</w:t>
      </w:r>
      <w:bookmarkEnd w:id="99"/>
      <w:bookmarkEnd w:id="100"/>
      <w:r>
        <w:t xml:space="preserve"> </w:t>
      </w:r>
    </w:p>
    <w:p w14:paraId="6FC30A81" w14:textId="77777777" w:rsidR="007E04A6" w:rsidRPr="00974857" w:rsidRDefault="007E04A6" w:rsidP="00ED0631">
      <w:pPr>
        <w:pStyle w:val="BodyCopy"/>
        <w:spacing w:before="60" w:after="60"/>
        <w:rPr>
          <w:spacing w:val="-2"/>
          <w:lang w:val="en-US"/>
        </w:rPr>
      </w:pPr>
      <w:r w:rsidRPr="00974857">
        <w:rPr>
          <w:spacing w:val="-2"/>
        </w:rPr>
        <w:t xml:space="preserve">A major early success for KEIP was to provide support to the MoE so that inclusiveness was embedded from the start of the ESSP rollout. Gender, disability and social inclusion mainstreaming is now clearly integrated into the MoE’s reform agenda. </w:t>
      </w:r>
      <w:r w:rsidRPr="00974857">
        <w:rPr>
          <w:bCs/>
          <w:spacing w:val="-2"/>
          <w:lang w:val="en-US"/>
        </w:rPr>
        <w:t>With KEIP support gender, disability and s</w:t>
      </w:r>
      <w:r w:rsidRPr="00974857">
        <w:rPr>
          <w:spacing w:val="-2"/>
          <w:lang w:val="en-US"/>
        </w:rPr>
        <w:t xml:space="preserve">ocial inclusion considerations were mainstreamed into the principles underpinning the Kiribati Education Act (2014). </w:t>
      </w:r>
    </w:p>
    <w:p w14:paraId="2876DE57" w14:textId="77777777" w:rsidR="007E04A6" w:rsidRPr="00375B65" w:rsidRDefault="007E04A6" w:rsidP="00ED0631">
      <w:pPr>
        <w:pStyle w:val="BodyCopy"/>
        <w:spacing w:before="60" w:after="60"/>
      </w:pPr>
      <w:r w:rsidRPr="00375B65">
        <w:t xml:space="preserve">Support for this agenda </w:t>
      </w:r>
      <w:r>
        <w:t xml:space="preserve">as a priority </w:t>
      </w:r>
      <w:r w:rsidRPr="00375B65">
        <w:t>was demonstrated again in Cabinet’s 2015 endorsement of the inaugural Kiribati Inclusive Education Policy and the explicit integration by the MoE of inclusive education as one of seven goals in the Education Sector Strategic Plan 2016-19.</w:t>
      </w:r>
      <w:r>
        <w:t xml:space="preserve"> </w:t>
      </w:r>
      <w:r w:rsidRPr="00375B65">
        <w:t xml:space="preserve">The MoE’s commitment is also reflected in their 2014 joint release, in partnership with the Ministry of Women, Youth and Social Affairs, of the School Wellbeing and Counselling Good Practice Guidelines which operationalise the new Family Peace Act. </w:t>
      </w:r>
    </w:p>
    <w:p w14:paraId="733C8399" w14:textId="77777777" w:rsidR="007E04A6" w:rsidRDefault="007E04A6" w:rsidP="00ED0631">
      <w:pPr>
        <w:pStyle w:val="BodyCopy"/>
        <w:spacing w:before="60" w:after="60"/>
      </w:pPr>
      <w:r w:rsidRPr="00375B65">
        <w:t>The active participation of the MoE in the KEF supported Inclusive Practice Showcase Workshops (held in 2014 and 2015) is also indicative of the integration of this area into the MoE’s reform agenda. These workshops offered the opportunity for different divisions and work groups within the MoE, as well as key stakeholders such as the Ministry of Women Youth and Social Affairs</w:t>
      </w:r>
      <w:r>
        <w:t xml:space="preserve"> (MWYSA)</w:t>
      </w:r>
      <w:r w:rsidRPr="00375B65">
        <w:t>, Ministry of Health</w:t>
      </w:r>
      <w:r>
        <w:t xml:space="preserve"> (MoH)</w:t>
      </w:r>
      <w:r w:rsidRPr="00375B65">
        <w:t xml:space="preserve">, women’s groups, </w:t>
      </w:r>
      <w:r>
        <w:t xml:space="preserve">and </w:t>
      </w:r>
      <w:r w:rsidRPr="00375B65">
        <w:t>Te Toa Matoa to present their efforts, achievements, challenges and future plans to peers as well as donors, including DFAT, for feedb</w:t>
      </w:r>
      <w:r>
        <w:t xml:space="preserve">ack. </w:t>
      </w:r>
    </w:p>
    <w:p w14:paraId="7391762C" w14:textId="77777777" w:rsidR="007E04A6" w:rsidRDefault="007E04A6" w:rsidP="00ED0631">
      <w:pPr>
        <w:pStyle w:val="BodyCopy"/>
        <w:spacing w:before="60" w:after="60"/>
      </w:pPr>
      <w:r w:rsidRPr="00375B65">
        <w:t>Other notable gender, disability and social inclusion KEIP Phase I and KEIP Phase II achievements mapped against each of the five abovementioned KEIP Phase II strategies are as follows:</w:t>
      </w:r>
    </w:p>
    <w:p w14:paraId="2E6F5DE9" w14:textId="77777777" w:rsidR="007E04A6" w:rsidRPr="00DE4ACE" w:rsidRDefault="007E04A6" w:rsidP="00ED0631">
      <w:pPr>
        <w:pStyle w:val="BodyCopy"/>
        <w:spacing w:before="0" w:after="0"/>
        <w:contextualSpacing/>
        <w:rPr>
          <w:spacing w:val="-4"/>
          <w:sz w:val="6"/>
        </w:rPr>
      </w:pP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CellMar>
          <w:right w:w="57" w:type="dxa"/>
        </w:tblCellMar>
        <w:tblLook w:val="04A0" w:firstRow="1" w:lastRow="0" w:firstColumn="1" w:lastColumn="0" w:noHBand="0" w:noVBand="1"/>
      </w:tblPr>
      <w:tblGrid>
        <w:gridCol w:w="9072"/>
      </w:tblGrid>
      <w:tr w:rsidR="007E04A6" w14:paraId="224EA3DC" w14:textId="77777777" w:rsidTr="00ED0631">
        <w:tc>
          <w:tcPr>
            <w:tcW w:w="9072" w:type="dxa"/>
            <w:shd w:val="clear" w:color="auto" w:fill="D9D9D9" w:themeFill="background1" w:themeFillShade="D9"/>
            <w:hideMark/>
          </w:tcPr>
          <w:p w14:paraId="01728B17" w14:textId="77777777" w:rsidR="007E04A6" w:rsidRPr="001E36D8" w:rsidRDefault="007E04A6" w:rsidP="00ED0631">
            <w:pPr>
              <w:pStyle w:val="BodyCopy"/>
              <w:spacing w:before="80" w:after="80"/>
              <w:rPr>
                <w:rFonts w:eastAsia="Times New Roman" w:cs="Times New Roman"/>
                <w:b/>
                <w:bCs/>
              </w:rPr>
            </w:pPr>
            <w:r w:rsidRPr="001E36D8">
              <w:rPr>
                <w:b/>
              </w:rPr>
              <w:t>Supporting curriculum development and implementation</w:t>
            </w:r>
            <w:r w:rsidRPr="001E36D8">
              <w:rPr>
                <w:b/>
                <w:bCs/>
              </w:rPr>
              <w:t xml:space="preserve"> </w:t>
            </w:r>
          </w:p>
        </w:tc>
      </w:tr>
      <w:tr w:rsidR="007E04A6" w14:paraId="41D46A14" w14:textId="77777777" w:rsidTr="00ED0631">
        <w:tc>
          <w:tcPr>
            <w:tcW w:w="9072" w:type="dxa"/>
            <w:shd w:val="clear" w:color="auto" w:fill="F2F2F2" w:themeFill="background1" w:themeFillShade="F2"/>
          </w:tcPr>
          <w:p w14:paraId="3DF0F2BC" w14:textId="77777777" w:rsidR="007E04A6" w:rsidRPr="009C70E9" w:rsidRDefault="007E04A6" w:rsidP="00AE24CE">
            <w:pPr>
              <w:pStyle w:val="ListBullet"/>
              <w:numPr>
                <w:ilvl w:val="0"/>
                <w:numId w:val="34"/>
              </w:numPr>
              <w:spacing w:before="60" w:after="60" w:line="236" w:lineRule="atLeast"/>
              <w:ind w:left="318" w:hanging="284"/>
              <w:rPr>
                <w:rFonts w:eastAsia="Times New Roman"/>
              </w:rPr>
            </w:pPr>
            <w:r w:rsidRPr="009C70E9">
              <w:t xml:space="preserve">Teacher Guides include an explicit section guiding teachers in implementing an inclusive curriculum. The inclusion of a section on multi-grade teaching has also been agreed. </w:t>
            </w:r>
          </w:p>
          <w:p w14:paraId="5F9CE409" w14:textId="77777777" w:rsidR="007E04A6" w:rsidRPr="00DE4ACE" w:rsidRDefault="007E04A6" w:rsidP="00AE24CE">
            <w:pPr>
              <w:pStyle w:val="ListBullet"/>
              <w:numPr>
                <w:ilvl w:val="0"/>
                <w:numId w:val="34"/>
              </w:numPr>
              <w:spacing w:before="60" w:after="60" w:line="236" w:lineRule="atLeast"/>
              <w:ind w:left="318" w:hanging="284"/>
              <w:rPr>
                <w:rFonts w:eastAsia="Times New Roman"/>
                <w:spacing w:val="-6"/>
              </w:rPr>
            </w:pPr>
            <w:r w:rsidRPr="00DE4ACE">
              <w:rPr>
                <w:spacing w:val="-6"/>
              </w:rPr>
              <w:t xml:space="preserve">Curriculum writers at Curriculum Development </w:t>
            </w:r>
            <w:r>
              <w:rPr>
                <w:spacing w:val="-6"/>
              </w:rPr>
              <w:t>Resource Centre (CDR</w:t>
            </w:r>
            <w:r w:rsidRPr="00DE4ACE">
              <w:rPr>
                <w:spacing w:val="-6"/>
              </w:rPr>
              <w:t>C) have undertaken gender and disability analysis in education training and actively contributed to the development the Gender Equality and Disability Inclusion in Curriculum Checklist to guide the development of curriculum and teaching materials. An improvement in the performance of some key staff members at CDRC has been observed and numerous achievements in t</w:t>
            </w:r>
            <w:r>
              <w:rPr>
                <w:spacing w:val="-6"/>
              </w:rPr>
              <w:t>his area were evident in the CDR</w:t>
            </w:r>
            <w:r w:rsidRPr="00DE4ACE">
              <w:rPr>
                <w:spacing w:val="-6"/>
              </w:rPr>
              <w:t>C’s presentations at the Inclusive Education Showcase Workshops and follow-up workshops. Nonetheless gender and disability awareness and sensitivity amongst this target group (as well as other groups) has been identified as an ongoing area for further development. To ensure that all materials move from gender blind or gender neutral to gender sensitive, and from disability invisible to disability inclusive, requires substantial ongoing knowledge and skills development amongst both key male and female staff. This capacity development process, as expected, is very challenging because it requires change at the attitude, belief and value levels. Recent staff turnover and new leadership means that ongoing training will be very important to ensure that the improvements and achievements are sustained.</w:t>
            </w:r>
          </w:p>
          <w:p w14:paraId="20E5053D" w14:textId="77777777" w:rsidR="007E04A6" w:rsidRPr="00974857" w:rsidRDefault="007E04A6" w:rsidP="00AE24CE">
            <w:pPr>
              <w:pStyle w:val="ListBullet"/>
              <w:numPr>
                <w:ilvl w:val="0"/>
                <w:numId w:val="34"/>
              </w:numPr>
              <w:spacing w:before="60" w:after="60" w:line="236" w:lineRule="atLeast"/>
              <w:ind w:left="318" w:hanging="284"/>
              <w:rPr>
                <w:rFonts w:eastAsia="Times New Roman"/>
                <w:spacing w:val="0"/>
              </w:rPr>
            </w:pPr>
            <w:r w:rsidRPr="00974857">
              <w:rPr>
                <w:spacing w:val="0"/>
              </w:rPr>
              <w:t xml:space="preserve">A number </w:t>
            </w:r>
            <w:r>
              <w:rPr>
                <w:spacing w:val="0"/>
              </w:rPr>
              <w:t xml:space="preserve">of </w:t>
            </w:r>
            <w:r w:rsidRPr="00974857">
              <w:rPr>
                <w:spacing w:val="0"/>
              </w:rPr>
              <w:t xml:space="preserve">school readers, poems and songs focused on gender or disability have been developed including a set of readers written in partnership with the Te Toa Matoa (Kiribati’s disabled peoples’ organisation). To date one of these readers “Power On My Knees” has been developed into a disability specific reader for the Year 4 set of big books. Whilst the majority of these gender or disability specific readers are gender and disability neutral or sensitive there are several examples of materials that would have benefited from a peer review process undertaken by gender and disability stakeholders prior to production. The introduction of a gender and disability specialist peer review process will be a next step for Phase III. </w:t>
            </w:r>
          </w:p>
          <w:p w14:paraId="0D06B215" w14:textId="77777777" w:rsidR="007E04A6" w:rsidRPr="009C70E9" w:rsidRDefault="007E04A6" w:rsidP="00AE24CE">
            <w:pPr>
              <w:pStyle w:val="ListBullet"/>
              <w:numPr>
                <w:ilvl w:val="0"/>
                <w:numId w:val="34"/>
              </w:numPr>
              <w:spacing w:before="60" w:after="60" w:line="236" w:lineRule="atLeast"/>
              <w:ind w:left="318" w:hanging="284"/>
              <w:rPr>
                <w:rFonts w:eastAsia="Times New Roman"/>
              </w:rPr>
            </w:pPr>
            <w:r w:rsidRPr="009C70E9">
              <w:rPr>
                <w:bCs/>
              </w:rPr>
              <w:t>Gender and s</w:t>
            </w:r>
            <w:r w:rsidRPr="009C70E9">
              <w:t>ocial inclusion considerations have been mainstreamed as one of the key principles underpinning the National Curriculum and Assessment Framework (NCAF). The NCAF promotes the school curriculum as something that should provide “all groups of students, irrespective of education settings and locations, with access to a wide range of knowledge, skills and values. It recognises the different starting points, abilities, gender, interests, religious and socioeconomic backgrounds of an individual student or groups of students” (NCAF).</w:t>
            </w:r>
          </w:p>
          <w:p w14:paraId="54EA7697" w14:textId="77777777" w:rsidR="007E04A6" w:rsidRPr="001E36D8" w:rsidRDefault="007E04A6" w:rsidP="00AE24CE">
            <w:pPr>
              <w:pStyle w:val="ListBullet"/>
              <w:numPr>
                <w:ilvl w:val="0"/>
                <w:numId w:val="34"/>
              </w:numPr>
              <w:spacing w:before="60" w:after="60" w:line="236" w:lineRule="atLeast"/>
              <w:ind w:left="318" w:hanging="284"/>
              <w:rPr>
                <w:rFonts w:eastAsia="Times New Roman"/>
              </w:rPr>
            </w:pPr>
            <w:r w:rsidRPr="009C70E9">
              <w:t xml:space="preserve">Representatives from the Exams and Assessment Unit (EAU) actively participated in a number of gender </w:t>
            </w:r>
            <w:r w:rsidRPr="00CC2561">
              <w:t>and disability awareness and analysis training workshops. The EAU now</w:t>
            </w:r>
            <w:r w:rsidRPr="00CC2561">
              <w:rPr>
                <w:rFonts w:eastAsiaTheme="minorEastAsia"/>
              </w:rPr>
              <w:t xml:space="preserve"> has a policy and procedure to provide equitable access to reasonable adjustment to assessment processes and requirements. A next step for Phase III will be a peer review process of the policy and procedure by stakeholders with disability expertise including representation from Te Toa Matoa.</w:t>
            </w:r>
          </w:p>
        </w:tc>
      </w:tr>
    </w:tbl>
    <w:p w14:paraId="0CF65856" w14:textId="77777777" w:rsidR="007E04A6" w:rsidRDefault="007E04A6" w:rsidP="00E24C01">
      <w:pPr>
        <w:spacing w:after="0"/>
      </w:pPr>
      <w:r>
        <w:rPr>
          <w:noProof/>
          <w:lang w:eastAsia="en-AU"/>
        </w:rPr>
        <w:lastRenderedPageBreak/>
        <w:drawing>
          <wp:inline distT="0" distB="0" distL="0" distR="0" wp14:anchorId="6870F365" wp14:editId="08959293">
            <wp:extent cx="5760000" cy="3226144"/>
            <wp:effectExtent l="0" t="0" r="0" b="0"/>
            <wp:docPr id="112" name="Picture 112" descr="Examples of Big Books with a gender or disability inclusion focu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91.jpg"/>
                    <pic:cNvPicPr/>
                  </pic:nvPicPr>
                  <pic:blipFill rotWithShape="1">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5760000" cy="3226144"/>
                    </a:xfrm>
                    <a:prstGeom prst="rect">
                      <a:avLst/>
                    </a:prstGeom>
                    <a:ln>
                      <a:noFill/>
                    </a:ln>
                    <a:extLst>
                      <a:ext uri="{53640926-AAD7-44D8-BBD7-CCE9431645EC}">
                        <a14:shadowObscured xmlns:a14="http://schemas.microsoft.com/office/drawing/2010/main"/>
                      </a:ext>
                    </a:extLst>
                  </pic:spPr>
                </pic:pic>
              </a:graphicData>
            </a:graphic>
          </wp:inline>
        </w:drawing>
      </w:r>
    </w:p>
    <w:p w14:paraId="61A79144" w14:textId="77777777" w:rsidR="007E04A6" w:rsidRDefault="007E04A6" w:rsidP="00ED0631">
      <w:pPr>
        <w:spacing w:before="120"/>
        <w:rPr>
          <w:i/>
          <w:sz w:val="16"/>
        </w:rPr>
      </w:pPr>
      <w:r w:rsidRPr="00DD2CE2">
        <w:rPr>
          <w:i/>
          <w:sz w:val="16"/>
        </w:rPr>
        <w:t xml:space="preserve">Examples of Big Books with a gender or disability inclusion focus </w:t>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72"/>
      </w:tblGrid>
      <w:tr w:rsidR="007E04A6" w14:paraId="57BD6C29" w14:textId="77777777" w:rsidTr="00ED0631">
        <w:tc>
          <w:tcPr>
            <w:tcW w:w="9072" w:type="dxa"/>
            <w:shd w:val="clear" w:color="auto" w:fill="D9D9D9" w:themeFill="background1" w:themeFillShade="D9"/>
            <w:hideMark/>
          </w:tcPr>
          <w:p w14:paraId="6F63839F" w14:textId="77777777" w:rsidR="007E04A6" w:rsidRPr="001E36D8" w:rsidRDefault="007E04A6" w:rsidP="00ED0631">
            <w:pPr>
              <w:pStyle w:val="BodyCopy"/>
              <w:spacing w:before="80" w:after="80"/>
              <w:rPr>
                <w:rFonts w:eastAsia="Times New Roman"/>
                <w:b/>
                <w:bCs/>
              </w:rPr>
            </w:pPr>
            <w:r w:rsidRPr="001E36D8">
              <w:rPr>
                <w:b/>
              </w:rPr>
              <w:t>Strengthening the capacity of teachers</w:t>
            </w:r>
          </w:p>
        </w:tc>
      </w:tr>
      <w:tr w:rsidR="007E04A6" w14:paraId="24E69C22" w14:textId="77777777" w:rsidTr="00ED0631">
        <w:tc>
          <w:tcPr>
            <w:tcW w:w="9072" w:type="dxa"/>
            <w:shd w:val="clear" w:color="auto" w:fill="F2F2F2" w:themeFill="background1" w:themeFillShade="F2"/>
          </w:tcPr>
          <w:p w14:paraId="18EB5569" w14:textId="2EA0A524" w:rsidR="007E04A6" w:rsidRPr="00DE4ACE" w:rsidRDefault="007E04A6" w:rsidP="00AE24CE">
            <w:pPr>
              <w:pStyle w:val="ListBullet"/>
              <w:numPr>
                <w:ilvl w:val="0"/>
                <w:numId w:val="34"/>
              </w:numPr>
              <w:spacing w:before="60" w:after="60"/>
              <w:ind w:left="318" w:hanging="284"/>
              <w:rPr>
                <w:spacing w:val="-2"/>
              </w:rPr>
            </w:pPr>
            <w:r w:rsidRPr="00DE4ACE">
              <w:rPr>
                <w:spacing w:val="-2"/>
              </w:rPr>
              <w:t>Gender and social inclusion has been mainstreamed into the school leaders’ program thro</w:t>
            </w:r>
            <w:r>
              <w:rPr>
                <w:spacing w:val="-2"/>
              </w:rPr>
              <w:t>ugh the School Improvement Plan</w:t>
            </w:r>
            <w:r w:rsidRPr="00DE4ACE">
              <w:rPr>
                <w:spacing w:val="-2"/>
              </w:rPr>
              <w:t>s (SIP), Pillars, Standards and Indicators that has “Inclusive and Gender Sensitive” as</w:t>
            </w:r>
            <w:r w:rsidRPr="00DE4ACE">
              <w:rPr>
                <w:i/>
                <w:iCs/>
                <w:spacing w:val="-2"/>
              </w:rPr>
              <w:t xml:space="preserve"> </w:t>
            </w:r>
            <w:r w:rsidRPr="00DE4ACE">
              <w:rPr>
                <w:spacing w:val="-2"/>
              </w:rPr>
              <w:t>the first of five development pillars, which provide a set of standards to guide practice. In addition, pillars 2, 4 and 5 each include a standard that relates to gender, disability and/or social inclusion. Regular training is conducted with key stakeholders to support the implementation of SIP</w:t>
            </w:r>
            <w:r>
              <w:rPr>
                <w:spacing w:val="-2"/>
              </w:rPr>
              <w:t>s</w:t>
            </w:r>
            <w:r w:rsidRPr="00DE4ACE">
              <w:rPr>
                <w:spacing w:val="-2"/>
              </w:rPr>
              <w:t xml:space="preserve"> and in the most recent SIP Report Review process </w:t>
            </w:r>
            <w:r w:rsidRPr="00DE4ACE">
              <w:rPr>
                <w:rFonts w:eastAsiaTheme="minorEastAsia"/>
                <w:spacing w:val="-2"/>
              </w:rPr>
              <w:t>consideration was given to gender and disability dimensions to ensure they were included and referred to in practice.</w:t>
            </w:r>
          </w:p>
          <w:p w14:paraId="173861EE"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 xml:space="preserve">Representatives from KTC lecturing staff have participated in gender and disability analysis workshops. It is noteworthy that following one of the gender workshops </w:t>
            </w:r>
            <w:r>
              <w:rPr>
                <w:spacing w:val="0"/>
              </w:rPr>
              <w:t>two</w:t>
            </w:r>
            <w:r w:rsidRPr="00DE4ACE">
              <w:rPr>
                <w:spacing w:val="0"/>
              </w:rPr>
              <w:t xml:space="preserve"> female lecturers decided to undertake and complete gender studies via distance studies at the University of South Pacific. These gender studies graduates have since been teaching in the team delivering the inclusive education training topics at KTC and actively participating as members of the Eliminating Sexual and Gender Based Violence in Education Committee.</w:t>
            </w:r>
          </w:p>
          <w:p w14:paraId="6911B78F"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A new Inclusive Education course has been developed for the Professional Studies Unit in the Diploma in Primary School Teaching with support from KEF, the AVID Inclusive Education Volunteer and the Commonwealth Secretariat. The course has now been approved by the Course Approval Committee, University of South Pacific the Kiribati Teacher’s College (KTC) for the first time at 3</w:t>
            </w:r>
            <w:r w:rsidRPr="00DE4ACE">
              <w:rPr>
                <w:spacing w:val="0"/>
                <w:vertAlign w:val="superscript"/>
              </w:rPr>
              <w:t>rd</w:t>
            </w:r>
            <w:r w:rsidRPr="00DE4ACE">
              <w:rPr>
                <w:spacing w:val="0"/>
              </w:rPr>
              <w:t xml:space="preserve"> Year level in Term 2, 2016. </w:t>
            </w:r>
            <w:r w:rsidRPr="00DE4ACE">
              <w:rPr>
                <w:rFonts w:eastAsiaTheme="minorEastAsia"/>
                <w:spacing w:val="0"/>
              </w:rPr>
              <w:t>One of the next steps will be an external course peer review process by stakeholders with gender, disability and inclusive education expertise including representation from Te Toa Matoa, the gender sector and agencies such as the Pacific Disability Forum and/or CBM Nossal. The A/Principal of KTC has also requested that another next step be the provision of coaching support for the lecturers in the team teaching this course.</w:t>
            </w:r>
          </w:p>
          <w:p w14:paraId="67BBC974"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 xml:space="preserve">KTC lecturers and Teacher Professional Development (TPD) Coaches worked collaboratively with the two Australian Volunteers for International Development (AVID) (the Inclusive Education Volunteer and the Literacy and Numeracy Volunteer) and the KEF Gender and Social Inclusion Coordinator to develop their understanding of gender, disability and inclusive education. KTC has reported that by furthering their understanding, KTC lecturers and TPD Coaches were better able to incorporate and promote inclusive practices when planning and delivering TPD workshops and developing the pre-service program. </w:t>
            </w:r>
          </w:p>
          <w:p w14:paraId="2A2C658C"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 xml:space="preserve">TPD cycles of training for all year 1, 2, 3 &amp; 4 teachers across Kiribati featured inclusive education and gender awareness in education sessions as major content in stand-alone sessions as well as integrated cross cutting content. </w:t>
            </w:r>
          </w:p>
          <w:p w14:paraId="04406FC0" w14:textId="77777777" w:rsidR="007E04A6" w:rsidRPr="00DE4ACE" w:rsidRDefault="007E04A6" w:rsidP="00AE24CE">
            <w:pPr>
              <w:pStyle w:val="ListBullet"/>
              <w:numPr>
                <w:ilvl w:val="0"/>
                <w:numId w:val="34"/>
              </w:numPr>
              <w:spacing w:before="60" w:after="60"/>
              <w:ind w:left="318" w:hanging="284"/>
              <w:rPr>
                <w:spacing w:val="-2"/>
              </w:rPr>
            </w:pPr>
            <w:r w:rsidRPr="00DE4ACE">
              <w:rPr>
                <w:spacing w:val="-2"/>
              </w:rPr>
              <w:t xml:space="preserve">In preparation for the recent TESOL roll-out KTC lecturers and TPD coaches conducted an internal review of the TESOL curriculum to ensure gender and disability inclusion issues were </w:t>
            </w:r>
            <w:r w:rsidRPr="00DE4ACE">
              <w:rPr>
                <w:spacing w:val="-2"/>
              </w:rPr>
              <w:lastRenderedPageBreak/>
              <w:t>considered. KTC has reported that course content is regularly reviewed and lecturers are asked to demonstrate their understanding of inclusivity practices when in the field discussing strategies for example, multi-grade teaching, which requires good planning and a focus on child centered and inclusive learning.</w:t>
            </w:r>
          </w:p>
          <w:p w14:paraId="370BBB98"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 xml:space="preserve">As a component of the Island Education Coordinators (IECs) induction program in late 2015, involving the newly recruited IECs as well as members from the SIU primary professional development group, the KEF Gender and Social Inclusion Mentor and Gender and Inclusive Education Coordinator presented a two day workshop on the principals of inclusive education with a focus on gender equality and how to promote the inclusion of children with disability within the formal mainstream school system. At the workshop IECs and </w:t>
            </w:r>
            <w:r>
              <w:rPr>
                <w:spacing w:val="0"/>
              </w:rPr>
              <w:t>District Education Officers (</w:t>
            </w:r>
            <w:r w:rsidRPr="00DE4ACE">
              <w:rPr>
                <w:spacing w:val="0"/>
              </w:rPr>
              <w:t>DEOs</w:t>
            </w:r>
            <w:r>
              <w:rPr>
                <w:spacing w:val="0"/>
              </w:rPr>
              <w:t>)</w:t>
            </w:r>
            <w:r w:rsidRPr="00DE4ACE">
              <w:rPr>
                <w:spacing w:val="0"/>
              </w:rPr>
              <w:t xml:space="preserve"> wanted to fully appreciate how to assess children with a disability for formal school admission. One of the next steps will be to encourage and support this target group to continue discussions through workshops and advocacy to assess the problems and constraints that affect both children with a disability and teachers in the learning and physical environments of the schools.</w:t>
            </w:r>
          </w:p>
          <w:p w14:paraId="58287B74"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 xml:space="preserve">A new agreement was reached in 2013 between the School and Centre for Children with Special Needs (Special School) and KTC that selected Special School staff members are eligible to attend training at the KTC as part of the teachers’ professional development program. This opportunity which has required only a minimum level of support from KEF assists the </w:t>
            </w:r>
            <w:r>
              <w:rPr>
                <w:spacing w:val="0"/>
              </w:rPr>
              <w:t xml:space="preserve">Special School </w:t>
            </w:r>
            <w:r w:rsidRPr="00DE4ACE">
              <w:rPr>
                <w:spacing w:val="0"/>
              </w:rPr>
              <w:t xml:space="preserve">to up-skill their staff in the mainstream curriculum. </w:t>
            </w:r>
          </w:p>
          <w:p w14:paraId="2414E4B0" w14:textId="77777777" w:rsidR="007E04A6" w:rsidRPr="00DE4ACE" w:rsidRDefault="007E04A6" w:rsidP="00AE24CE">
            <w:pPr>
              <w:pStyle w:val="ListBullet"/>
              <w:numPr>
                <w:ilvl w:val="0"/>
                <w:numId w:val="34"/>
              </w:numPr>
              <w:spacing w:before="60" w:after="60"/>
              <w:ind w:left="318" w:hanging="284"/>
              <w:rPr>
                <w:spacing w:val="0"/>
              </w:rPr>
            </w:pPr>
            <w:r w:rsidRPr="00DE4ACE">
              <w:rPr>
                <w:spacing w:val="0"/>
              </w:rPr>
              <w:t xml:space="preserve">In Phase II KTC agreed to initiate and lead the development of an affirmative action strategy to create two places in each intake for eligible Special School staff members to enroll in the pre-service training program at KTC. At the completion of Phase II there were 6 Special School staff successfully undertaking their studies. This initiative reflects KTC’s ongoing commitment to the building an education system for all school aged children. </w:t>
            </w:r>
          </w:p>
          <w:p w14:paraId="5095FBB8" w14:textId="77777777" w:rsidR="007E04A6" w:rsidRPr="00EF552E" w:rsidRDefault="007E04A6" w:rsidP="00AE24CE">
            <w:pPr>
              <w:pStyle w:val="ListBullet"/>
              <w:numPr>
                <w:ilvl w:val="0"/>
                <w:numId w:val="34"/>
              </w:numPr>
              <w:spacing w:before="60" w:after="60"/>
              <w:ind w:left="318" w:hanging="284"/>
            </w:pPr>
            <w:r w:rsidRPr="00DE4ACE">
              <w:rPr>
                <w:spacing w:val="0"/>
              </w:rPr>
              <w:t>KEF is funding specialised disability specific training for Special School staff. One example of this support was the provision of funding for the training of 2 staff members on teaching and hearing impairment at the Royal Institute for Deaf and Blind Children (RIDBC) in Sydney. The Special School reported that after they returned to work the two staff members initiated after hours sessions in order to share what they had learned with their colleagues. A noteworthy reflection on these extra follow-up sessions is from Teannako Teikaoti, Teacher for Hearing Impaired at the Special School, who shares: "</w:t>
            </w:r>
            <w:r w:rsidRPr="00DE4ACE">
              <w:rPr>
                <w:i/>
                <w:spacing w:val="0"/>
              </w:rPr>
              <w:t>We were just amazed at how fast the teachers and students were with Auslan signing. We're going to have to really work hard on that or our kids will be so far ahead of us - that's because kids think faster than us</w:t>
            </w:r>
            <w:r w:rsidRPr="00DE4ACE">
              <w:rPr>
                <w:spacing w:val="0"/>
              </w:rPr>
              <w:t>"</w:t>
            </w:r>
          </w:p>
        </w:tc>
      </w:tr>
    </w:tbl>
    <w:p w14:paraId="3E009978" w14:textId="77777777" w:rsidR="007E04A6" w:rsidRDefault="007E04A6" w:rsidP="00184429">
      <w:pPr>
        <w:pStyle w:val="BodyCopy"/>
        <w:ind w:left="142"/>
        <w:rPr>
          <w:i/>
        </w:rPr>
      </w:pPr>
      <w:r>
        <w:rPr>
          <w:i/>
          <w:noProof/>
          <w:lang w:val="en-AU" w:eastAsia="en-AU"/>
        </w:rPr>
        <w:lastRenderedPageBreak/>
        <w:drawing>
          <wp:inline distT="0" distB="0" distL="0" distR="0" wp14:anchorId="4E3C5965" wp14:editId="6D24C5A0">
            <wp:extent cx="5722620" cy="3059746"/>
            <wp:effectExtent l="0" t="0" r="0" b="7620"/>
            <wp:docPr id="113" name="Picture 9" descr="Children at the School and Centre for Children with Special Need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82367" cy="3091691"/>
                    </a:xfrm>
                    <a:prstGeom prst="rect">
                      <a:avLst/>
                    </a:prstGeom>
                    <a:noFill/>
                    <a:ln>
                      <a:noFill/>
                    </a:ln>
                    <a:extLst>
                      <a:ext uri="{53640926-AAD7-44D8-BBD7-CCE9431645EC}">
                        <a14:shadowObscured xmlns:a14="http://schemas.microsoft.com/office/drawing/2010/main"/>
                      </a:ext>
                    </a:extLst>
                  </pic:spPr>
                </pic:pic>
              </a:graphicData>
            </a:graphic>
          </wp:inline>
        </w:drawing>
      </w:r>
    </w:p>
    <w:p w14:paraId="380C779F" w14:textId="0895C5FC" w:rsidR="00E24C01" w:rsidRDefault="007E04A6" w:rsidP="00184429">
      <w:pPr>
        <w:pStyle w:val="BodyCopy"/>
        <w:spacing w:before="120" w:after="0"/>
        <w:ind w:left="142"/>
        <w:rPr>
          <w:i/>
          <w:sz w:val="16"/>
        </w:rPr>
      </w:pPr>
      <w:r w:rsidRPr="00DD2CE2">
        <w:rPr>
          <w:i/>
          <w:sz w:val="16"/>
        </w:rPr>
        <w:t>Children at the School and Centre for Children with Special Needs</w:t>
      </w:r>
    </w:p>
    <w:p w14:paraId="74D91492" w14:textId="77777777" w:rsidR="00E24C01" w:rsidRDefault="00E24C01">
      <w:pPr>
        <w:spacing w:line="276" w:lineRule="auto"/>
        <w:rPr>
          <w:rFonts w:ascii="Arial" w:hAnsi="Arial" w:cs="Arial (TT)"/>
          <w:i/>
          <w:color w:val="000000"/>
          <w:sz w:val="16"/>
          <w:lang w:val="en-GB"/>
        </w:rPr>
      </w:pPr>
      <w:r>
        <w:rPr>
          <w:i/>
          <w:sz w:val="16"/>
        </w:rPr>
        <w:br w:type="page"/>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72"/>
      </w:tblGrid>
      <w:tr w:rsidR="007E04A6" w14:paraId="6661DDC8" w14:textId="77777777" w:rsidTr="00ED0631">
        <w:tc>
          <w:tcPr>
            <w:tcW w:w="9072" w:type="dxa"/>
            <w:shd w:val="clear" w:color="auto" w:fill="D9D9D9" w:themeFill="background1" w:themeFillShade="D9"/>
            <w:hideMark/>
          </w:tcPr>
          <w:p w14:paraId="5155DF3C" w14:textId="77777777" w:rsidR="007E04A6" w:rsidRPr="001E36D8" w:rsidRDefault="007E04A6" w:rsidP="00ED0631">
            <w:pPr>
              <w:pStyle w:val="BodyCopy"/>
              <w:spacing w:before="100" w:after="100"/>
              <w:rPr>
                <w:rFonts w:ascii="Calibri" w:eastAsia="Times New Roman" w:hAnsi="Calibri" w:cstheme="minorHAnsi"/>
                <w:b/>
              </w:rPr>
            </w:pPr>
            <w:r w:rsidRPr="001E36D8">
              <w:rPr>
                <w:b/>
              </w:rPr>
              <w:lastRenderedPageBreak/>
              <w:t>Improving school infrastructure</w:t>
            </w:r>
          </w:p>
        </w:tc>
      </w:tr>
      <w:tr w:rsidR="007E04A6" w14:paraId="52076A3B" w14:textId="77777777" w:rsidTr="00184429">
        <w:trPr>
          <w:trHeight w:val="2698"/>
        </w:trPr>
        <w:tc>
          <w:tcPr>
            <w:tcW w:w="9072" w:type="dxa"/>
            <w:shd w:val="clear" w:color="auto" w:fill="auto"/>
          </w:tcPr>
          <w:p w14:paraId="53862B74" w14:textId="77777777" w:rsidR="007E04A6" w:rsidRPr="002E1457"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before="0" w:after="0"/>
              <w:ind w:left="318" w:hanging="318"/>
              <w:rPr>
                <w:rFonts w:eastAsia="Times New Roman"/>
              </w:rPr>
            </w:pPr>
            <w:r w:rsidRPr="009C70E9">
              <w:t xml:space="preserve">All school upgrades undertaken to date comply with accessibility requirements in ‘Accessibility Design Guide: Universal Design Principles for the Australia’s Aid Program’ and the National Infrastructure standards (NIS). </w:t>
            </w:r>
          </w:p>
          <w:p w14:paraId="5D3DED43" w14:textId="77777777" w:rsidR="007E04A6" w:rsidRPr="002E1457"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after="0"/>
              <w:ind w:left="318" w:hanging="318"/>
              <w:rPr>
                <w:rFonts w:eastAsia="Times New Roman"/>
              </w:rPr>
            </w:pPr>
            <w:r w:rsidRPr="009C70E9">
              <w:t xml:space="preserve">All new </w:t>
            </w:r>
            <w:r>
              <w:t xml:space="preserve">single level school </w:t>
            </w:r>
            <w:r w:rsidRPr="009C70E9">
              <w:t xml:space="preserve">classrooms built to date have been designed for </w:t>
            </w:r>
            <w:r>
              <w:t xml:space="preserve">improved </w:t>
            </w:r>
            <w:r w:rsidRPr="009C70E9">
              <w:t>accessibility. For example design considerations have been included for disability access and other criteria in the form of ramps, wider doors, grab rails and appropriate wash hand basin heights</w:t>
            </w:r>
            <w:r w:rsidRPr="002E1457">
              <w:rPr>
                <w:rFonts w:eastAsia="Times New Roman"/>
              </w:rPr>
              <w:t>.</w:t>
            </w:r>
            <w:r w:rsidRPr="009C70E9">
              <w:t xml:space="preserve"> Immediate landscaping and pathways have, wherever possible, been constructed in such a manner as to enable reasonable mobility for wheelchairs.</w:t>
            </w:r>
          </w:p>
          <w:p w14:paraId="2BC4014D" w14:textId="77777777" w:rsidR="007E04A6" w:rsidRPr="008171EC" w:rsidRDefault="007E04A6" w:rsidP="00AE24CE">
            <w:pPr>
              <w:pStyle w:val="BodyCopy"/>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uppressAutoHyphens w:val="0"/>
              <w:autoSpaceDE/>
              <w:autoSpaceDN/>
              <w:adjustRightInd/>
              <w:spacing w:before="100" w:after="0" w:line="240" w:lineRule="atLeast"/>
              <w:ind w:left="318" w:hanging="318"/>
              <w:textAlignment w:val="auto"/>
              <w:rPr>
                <w:rFonts w:eastAsia="Times New Roman"/>
                <w:color w:val="auto"/>
              </w:rPr>
            </w:pPr>
            <w:r>
              <w:t xml:space="preserve">In some cases, due to severe overcrowding and limited school area, a two level KitSet school building can be </w:t>
            </w:r>
            <w:r w:rsidRPr="008171EC">
              <w:rPr>
                <w:color w:val="auto"/>
              </w:rPr>
              <w:t xml:space="preserve">considered. Two level buildings are requested and constructed only where land is at a premium and many more students need to be accommodated. The ground level classrooms are all accessible to students with disability and there remains the need to hold discussions with school leadership on how best to accommodate and mainstream students with disabilities. The reduced foot print of a kitset two storey solution offers benefits in compactness, land use, durability and low maintenance. The lower level classrooms are in keeping with the NIS and are 48m2, large enough for all curricular activities, accommodating one child using mobility aids and a wheelchair, with access to some or all of the space, depending on the layout. The NIS states that at least 50% of available classrooms must be accessible to children/people with a disability. For any two storey kitset classrooms, they provide four lower level classrooms and an additional four at the upper level. </w:t>
            </w:r>
          </w:p>
          <w:p w14:paraId="1972B846" w14:textId="77777777" w:rsidR="007E04A6" w:rsidRPr="008171EC"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after="0"/>
              <w:ind w:left="318" w:hanging="318"/>
              <w:rPr>
                <w:rFonts w:eastAsia="Times New Roman"/>
                <w:color w:val="auto"/>
              </w:rPr>
            </w:pPr>
            <w:r w:rsidRPr="008171EC">
              <w:rPr>
                <w:color w:val="auto"/>
              </w:rPr>
              <w:t xml:space="preserve">Input sought during the design and sitting exercise with the community consultation group that has a gender balance within the group and pays attention to ensuring a gender balance in the consultation process. </w:t>
            </w:r>
          </w:p>
          <w:p w14:paraId="61140BFA" w14:textId="77777777" w:rsidR="007E04A6" w:rsidRPr="002E1457"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after="0"/>
              <w:ind w:left="318" w:hanging="318"/>
              <w:rPr>
                <w:rFonts w:eastAsia="Times New Roman"/>
              </w:rPr>
            </w:pPr>
            <w:r w:rsidRPr="008171EC">
              <w:rPr>
                <w:color w:val="auto"/>
              </w:rPr>
              <w:t xml:space="preserve">In Phase II the KEF Gender and Inclusive Education Coordinator has assisted the Facilities Management Unit (FMU) to enhance accessibility to existing older education buildings with the construction of three ramps at KTC and </w:t>
            </w:r>
            <w:r w:rsidRPr="009C70E9">
              <w:t xml:space="preserve">ramp/s at five primary schools. School communities were provided with design support where needed and cement and wood for form work while the community provided local materials (sand &amp; gravel) and labour. One of the primary schools has completed three ramps and requested more cement for the office and toilet. Work at the other schools is still in progress. </w:t>
            </w:r>
          </w:p>
          <w:p w14:paraId="591C58A6" w14:textId="77777777" w:rsidR="007E04A6" w:rsidRPr="002E1457"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after="0"/>
              <w:ind w:left="318" w:hanging="318"/>
              <w:rPr>
                <w:rFonts w:eastAsia="Times New Roman"/>
                <w:spacing w:val="-6"/>
              </w:rPr>
            </w:pPr>
            <w:r w:rsidRPr="002E1457">
              <w:rPr>
                <w:spacing w:val="-6"/>
              </w:rPr>
              <w:t>Proactively sought and supported the participation of female students from the Kiribati Institute of Technology in the work experience program to re-roof schools. In written feedback about her work experience with KEF on the Bikenibeu West Primary School re-roofing activity one female student shares that she “</w:t>
            </w:r>
            <w:r w:rsidRPr="002E1457">
              <w:rPr>
                <w:i/>
                <w:spacing w:val="-6"/>
              </w:rPr>
              <w:t>was happy to see the job was successful completed … I just encourage girls to make a mighty effort and remind themselves that working with others, sharing experiences is a good idea</w:t>
            </w:r>
            <w:r w:rsidRPr="002E1457">
              <w:rPr>
                <w:spacing w:val="-6"/>
              </w:rPr>
              <w:t>.”</w:t>
            </w:r>
          </w:p>
          <w:p w14:paraId="2F81C88C" w14:textId="77777777" w:rsidR="007E04A6" w:rsidRPr="002E1457"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after="0"/>
              <w:ind w:left="318" w:hanging="318"/>
              <w:rPr>
                <w:rFonts w:eastAsia="Times New Roman"/>
              </w:rPr>
            </w:pPr>
            <w:r w:rsidRPr="009C70E9">
              <w:t>All school upgrades to date addressed the need for accessible, adequate and separate toilets for boys and girls</w:t>
            </w:r>
            <w:r w:rsidRPr="009C70E9">
              <w:rPr>
                <w:rStyle w:val="FootnoteReference"/>
                <w:rFonts w:asciiTheme="minorHAnsi" w:hAnsiTheme="minorHAnsi" w:cstheme="minorHAnsi"/>
                <w:szCs w:val="20"/>
              </w:rPr>
              <w:footnoteReference w:id="25"/>
            </w:r>
            <w:r w:rsidRPr="009C70E9">
              <w:t xml:space="preserve"> including </w:t>
            </w:r>
            <w:r w:rsidRPr="002E1457">
              <w:rPr>
                <w:rFonts w:eastAsiaTheme="minorHAnsi"/>
              </w:rPr>
              <w:t>design considerations for girls and boys to ensure adequate privacy and separation of the individual facilities.</w:t>
            </w:r>
          </w:p>
          <w:p w14:paraId="20F78072" w14:textId="77777777" w:rsidR="007E04A6" w:rsidRDefault="007E04A6" w:rsidP="00AE24CE">
            <w:pPr>
              <w:pStyle w:val="ListBullet"/>
              <w:numPr>
                <w:ilvl w:val="0"/>
                <w:numId w:val="34"/>
              </w:num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between w:val="single" w:sz="4" w:space="1" w:color="F2F2F2" w:themeColor="background1" w:themeShade="F2"/>
              </w:pBdr>
              <w:shd w:val="clear" w:color="auto" w:fill="F2F2F2" w:themeFill="background1" w:themeFillShade="F2"/>
              <w:spacing w:after="0"/>
              <w:ind w:left="318" w:hanging="318"/>
            </w:pPr>
            <w:r w:rsidRPr="009C70E9">
              <w:t>Gender equality criterion affirming the employment of women was included in the selection criteria for all KEF infrastructure tender processes. It is noteworthy that Kiricraft Central Pacific who is manufacturing the Kitset modular designed classroom system for KEF employs a number of women in what are usually male orientated manufacturing roles.</w:t>
            </w:r>
          </w:p>
        </w:tc>
      </w:tr>
    </w:tbl>
    <w:p w14:paraId="0131F8B1" w14:textId="77777777" w:rsidR="00E24C01" w:rsidRPr="00E24C01" w:rsidRDefault="00E24C01">
      <w:pPr>
        <w:rPr>
          <w:sz w:val="4"/>
          <w:szCs w:val="4"/>
        </w:rPr>
      </w:pP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72"/>
      </w:tblGrid>
      <w:tr w:rsidR="007E04A6" w14:paraId="7E8D81E4" w14:textId="77777777" w:rsidTr="00ED0631">
        <w:tc>
          <w:tcPr>
            <w:tcW w:w="9072" w:type="dxa"/>
            <w:shd w:val="clear" w:color="auto" w:fill="D9D9D9" w:themeFill="background1" w:themeFillShade="D9"/>
          </w:tcPr>
          <w:p w14:paraId="3A80E993" w14:textId="77777777" w:rsidR="007E04A6" w:rsidRPr="001A1782" w:rsidRDefault="007E04A6" w:rsidP="00ED0631">
            <w:pPr>
              <w:pStyle w:val="BodyCopy"/>
              <w:spacing w:before="100" w:after="100"/>
              <w:rPr>
                <w:rFonts w:eastAsia="Times New Roman"/>
                <w:b/>
                <w:bCs/>
              </w:rPr>
            </w:pPr>
            <w:r w:rsidRPr="001A1782">
              <w:rPr>
                <w:b/>
              </w:rPr>
              <w:br w:type="page"/>
              <w:t xml:space="preserve">Enhancing the school-community partnership </w:t>
            </w:r>
          </w:p>
        </w:tc>
      </w:tr>
      <w:tr w:rsidR="007E04A6" w14:paraId="16D27125" w14:textId="77777777" w:rsidTr="00ED0631">
        <w:trPr>
          <w:trHeight w:val="983"/>
        </w:trPr>
        <w:tc>
          <w:tcPr>
            <w:tcW w:w="9072" w:type="dxa"/>
            <w:shd w:val="clear" w:color="auto" w:fill="F2F2F2" w:themeFill="background1" w:themeFillShade="F2"/>
          </w:tcPr>
          <w:p w14:paraId="15BD11B3" w14:textId="77777777" w:rsidR="007E04A6" w:rsidRPr="00227C55" w:rsidRDefault="007E04A6" w:rsidP="00AE24CE">
            <w:pPr>
              <w:pStyle w:val="ListBullet"/>
              <w:numPr>
                <w:ilvl w:val="0"/>
                <w:numId w:val="34"/>
              </w:numPr>
              <w:spacing w:before="58" w:after="0"/>
              <w:ind w:left="318" w:hanging="318"/>
              <w:rPr>
                <w:spacing w:val="0"/>
              </w:rPr>
            </w:pPr>
            <w:r w:rsidRPr="00227C55">
              <w:rPr>
                <w:spacing w:val="0"/>
              </w:rPr>
              <w:t>A key strategy during the school rehabilitation program and community consultation team (CCT) island visits has been to ensure that the CCT comprise a balance of both male and female team members. Paying attention to the venue for consultations has proved effective with more women actively participating when discussions are held in church mwaneabas rather than traditional village mwaneabas.</w:t>
            </w:r>
          </w:p>
          <w:p w14:paraId="115CBBE6" w14:textId="77777777" w:rsidR="007E04A6" w:rsidRPr="00227C55" w:rsidRDefault="007E04A6" w:rsidP="00AE24CE">
            <w:pPr>
              <w:pStyle w:val="ListBullet"/>
              <w:numPr>
                <w:ilvl w:val="0"/>
                <w:numId w:val="34"/>
              </w:numPr>
              <w:spacing w:before="58" w:after="0"/>
              <w:ind w:left="318" w:hanging="318"/>
              <w:rPr>
                <w:spacing w:val="0"/>
              </w:rPr>
            </w:pPr>
            <w:r w:rsidRPr="00227C55">
              <w:rPr>
                <w:spacing w:val="0"/>
              </w:rPr>
              <w:lastRenderedPageBreak/>
              <w:t>A review of attendance and participation in community consultations highlighted that, despite attempts by the CCT to promote disability inclusion in consultation processes, people with disability have not been attending. To improve both attendance and participation levels the CCT has, wherever possible, been recruiting a representative from Te Toa Matoa to join CCT team during Island visits.</w:t>
            </w:r>
          </w:p>
          <w:p w14:paraId="2DA11F0D" w14:textId="77777777" w:rsidR="007E04A6" w:rsidRPr="00227C55" w:rsidRDefault="007E04A6" w:rsidP="00AE24CE">
            <w:pPr>
              <w:pStyle w:val="ListBullet"/>
              <w:numPr>
                <w:ilvl w:val="0"/>
                <w:numId w:val="34"/>
              </w:numPr>
              <w:spacing w:before="58" w:after="0"/>
              <w:ind w:left="318" w:hanging="318"/>
              <w:rPr>
                <w:spacing w:val="0"/>
              </w:rPr>
            </w:pPr>
            <w:r w:rsidRPr="00227C55">
              <w:rPr>
                <w:spacing w:val="0"/>
              </w:rPr>
              <w:t>The MoE’s Quality Education Promotional DVD presents a vision of quality education that is explicit about inclusiveness and the DVD focusing explicitly on Inclusive Education is being used to promote the roll out of the MoE’s Inclusive Education Policy. Other KEF supported communication strategies to promote the roll out of the policy to stakeholders and the community have been the CCT Island visits; tailored inclusive education messages on local radio; and a commissioned song by a local music group about inclusive education which has also been played on local radio and key community events (the song has also been used as the backing track on the Inclusive Education Promotional DVD.</w:t>
            </w:r>
          </w:p>
          <w:p w14:paraId="19310DEA" w14:textId="77777777" w:rsidR="007E04A6" w:rsidRPr="00227C55" w:rsidRDefault="007E04A6" w:rsidP="00AE24CE">
            <w:pPr>
              <w:pStyle w:val="ListBullet"/>
              <w:numPr>
                <w:ilvl w:val="0"/>
                <w:numId w:val="34"/>
              </w:numPr>
              <w:spacing w:before="58" w:after="0"/>
              <w:ind w:left="318" w:hanging="318"/>
              <w:rPr>
                <w:spacing w:val="0"/>
              </w:rPr>
            </w:pPr>
            <w:r w:rsidRPr="00227C55">
              <w:rPr>
                <w:spacing w:val="0"/>
              </w:rPr>
              <w:t>The MoE Inclusive Education Working Group (IEWG), with support through KEF, fostered research informed policy development. Two research studies have been undertaken with the oversight of IEWG which includes: operational research in the area of disability inclusion conducted by CB</w:t>
            </w:r>
            <w:r>
              <w:rPr>
                <w:spacing w:val="0"/>
              </w:rPr>
              <w:t>M</w:t>
            </w:r>
            <w:r w:rsidRPr="00227C55">
              <w:rPr>
                <w:spacing w:val="0"/>
              </w:rPr>
              <w:t xml:space="preserve">-Nossal in partnership with the local Disabled People’s Organisation, Te Toa Matoa; and applied research on student absenteeism conducted by a local research team. The case study below titled ‘A successful story of inclusion’ is drawn from the CBM and Te Toa Matoa research. In addition the IEWG has overseen the development, implementation and review of three applied research trials that have been informed by the research studies. One of these trials initially resulted in 18 new students (8 girls and 10 boys) either re-attending or attending school for the first time. </w:t>
            </w:r>
          </w:p>
          <w:p w14:paraId="09EF9BD5" w14:textId="77777777" w:rsidR="007E04A6" w:rsidRPr="00227C55" w:rsidRDefault="007E04A6" w:rsidP="00AE24CE">
            <w:pPr>
              <w:pStyle w:val="ListBullet"/>
              <w:numPr>
                <w:ilvl w:val="0"/>
                <w:numId w:val="34"/>
              </w:numPr>
              <w:spacing w:before="58" w:after="0"/>
              <w:ind w:left="318" w:hanging="318"/>
              <w:rPr>
                <w:spacing w:val="0"/>
              </w:rPr>
            </w:pPr>
            <w:r w:rsidRPr="00227C55">
              <w:rPr>
                <w:spacing w:val="0"/>
              </w:rPr>
              <w:t>A Quality and Inclusive Education Pilot School was initiated with Bareaumai Primary School in 2015. The pilot will enable quality and inclusive education activities as well as access and participant initiatives to be trialled in close partnership with school staff, students, parents and the local community.</w:t>
            </w:r>
          </w:p>
          <w:p w14:paraId="4839FB57" w14:textId="77777777" w:rsidR="007E04A6" w:rsidRPr="00227C55" w:rsidRDefault="007E04A6" w:rsidP="00AE24CE">
            <w:pPr>
              <w:pStyle w:val="ListBullet"/>
              <w:numPr>
                <w:ilvl w:val="0"/>
                <w:numId w:val="34"/>
              </w:numPr>
              <w:spacing w:before="60" w:after="0"/>
              <w:ind w:left="318" w:hanging="318"/>
              <w:rPr>
                <w:spacing w:val="0"/>
              </w:rPr>
            </w:pPr>
            <w:r w:rsidRPr="00227C55">
              <w:rPr>
                <w:spacing w:val="0"/>
              </w:rPr>
              <w:t>KEF supported both the MoE to submit a proposal to Cabinet for the registration of the Special School so that it is formally recognised as a school. Cabinet gave approval in 2015 for provisional registration subject to specified conditions being met within a specified time period.</w:t>
            </w:r>
          </w:p>
          <w:p w14:paraId="736C24F3" w14:textId="77777777" w:rsidR="007E04A6" w:rsidRPr="00D6641E" w:rsidRDefault="007E04A6" w:rsidP="00AE24CE">
            <w:pPr>
              <w:pStyle w:val="ListBullet"/>
              <w:numPr>
                <w:ilvl w:val="0"/>
                <w:numId w:val="34"/>
              </w:numPr>
              <w:spacing w:before="60" w:after="0"/>
              <w:ind w:left="318" w:hanging="318"/>
              <w:rPr>
                <w:rFonts w:eastAsia="Times New Roman"/>
              </w:rPr>
            </w:pPr>
            <w:r w:rsidRPr="00227C55">
              <w:rPr>
                <w:spacing w:val="0"/>
              </w:rPr>
              <w:t>KEF and MoE staff with KEF assistance have actively initiated and participated in gender and disability awareness raising events such as Black Thursdays, White Ribbon Day, International Women’s Day and International Day of People with Disability. Case studies highlighting KEF and MoE pro-active involvement on Black Thursdays and White Ribbon Days are provided below.</w:t>
            </w:r>
          </w:p>
        </w:tc>
      </w:tr>
    </w:tbl>
    <w:p w14:paraId="6981250A" w14:textId="1E9B1BBB" w:rsidR="00184429" w:rsidRPr="00E24C01" w:rsidRDefault="00184429" w:rsidP="00184429">
      <w:pPr>
        <w:spacing w:after="0"/>
        <w:rPr>
          <w:sz w:val="12"/>
          <w:szCs w:val="12"/>
        </w:rPr>
      </w:pPr>
    </w:p>
    <w:p w14:paraId="53ABD0AF" w14:textId="77777777" w:rsidR="00E24C01" w:rsidRDefault="00E24C01" w:rsidP="00184429">
      <w:pPr>
        <w:spacing w:after="0"/>
        <w:rPr>
          <w:sz w:val="4"/>
        </w:rPr>
      </w:pPr>
    </w:p>
    <w:p w14:paraId="0171AE22" w14:textId="77777777" w:rsidR="00E24C01" w:rsidRPr="00184429" w:rsidRDefault="00E24C01" w:rsidP="00184429">
      <w:pPr>
        <w:spacing w:after="0"/>
        <w:rPr>
          <w:sz w:val="4"/>
        </w:rPr>
      </w:pP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shd w:val="clear" w:color="auto" w:fill="F2F2F2" w:themeFill="background1" w:themeFillShade="F2"/>
        <w:tblLook w:val="04A0" w:firstRow="1" w:lastRow="0" w:firstColumn="1" w:lastColumn="0" w:noHBand="0" w:noVBand="1"/>
      </w:tblPr>
      <w:tblGrid>
        <w:gridCol w:w="5103"/>
        <w:gridCol w:w="3969"/>
      </w:tblGrid>
      <w:tr w:rsidR="007E04A6" w:rsidRPr="001A1782" w14:paraId="17A39201" w14:textId="77777777" w:rsidTr="00184429">
        <w:tc>
          <w:tcPr>
            <w:tcW w:w="9072" w:type="dxa"/>
            <w:gridSpan w:val="2"/>
            <w:shd w:val="clear" w:color="auto" w:fill="D9D9D9" w:themeFill="background1" w:themeFillShade="D9"/>
          </w:tcPr>
          <w:p w14:paraId="61B171CD" w14:textId="77777777" w:rsidR="007E04A6" w:rsidRPr="001A1782" w:rsidRDefault="007E04A6" w:rsidP="00ED0631">
            <w:pPr>
              <w:pStyle w:val="BodyCopy"/>
              <w:rPr>
                <w:b/>
              </w:rPr>
            </w:pPr>
            <w:r w:rsidRPr="001A1782">
              <w:rPr>
                <w:b/>
              </w:rPr>
              <w:t>A successful story of inclusion</w:t>
            </w:r>
          </w:p>
          <w:p w14:paraId="753DB2E5" w14:textId="10B49050" w:rsidR="007E04A6" w:rsidRPr="001A1782" w:rsidRDefault="007E04A6" w:rsidP="00ED0631">
            <w:pPr>
              <w:pStyle w:val="BodyCopy"/>
              <w:spacing w:before="60" w:after="60"/>
            </w:pPr>
            <w:r w:rsidRPr="001A1782">
              <w:t>During a visit to the War Memorial Primary School in Bikenebau, the Head Teacher shared a positive experience of successful inclusion of a young girl with a disability transitioning from the special school into the mainstream school. He was approached by the Head Teacher of the special school to accept the young girl with a physical impairment last year. He shared very honestly that he wanted to say no when first asked. “I felt underprepared, I was worried how the other students would respond, and I</w:t>
            </w:r>
            <w:r w:rsidR="00E24C01">
              <w:t xml:space="preserve"> </w:t>
            </w:r>
            <w:r w:rsidRPr="001A1782">
              <w:t>thought maybe there would be more and more after saying yes once, I was worried about the costs and the extra hard work for my teachers, and I had concerns that the other students would be cruel and not accept the new girl.”</w:t>
            </w:r>
          </w:p>
          <w:p w14:paraId="5B04F9BE" w14:textId="77777777" w:rsidR="007E04A6" w:rsidRPr="001A1782" w:rsidRDefault="007E04A6" w:rsidP="00ED0631">
            <w:pPr>
              <w:pStyle w:val="BodyCopy"/>
              <w:spacing w:before="60" w:after="60"/>
            </w:pPr>
            <w:r w:rsidRPr="001A1782">
              <w:t>At first some of these things did happen, however the Head Teacher commented that sometimes people fear and worry about the unknown and the best lesson was new knowledge and attitudes. The Head Teacher reflected on the experience and says now they would be very happy to include more children with disabilities. “I admit I was worried, but there was nothing to worry about, it has been a very positive experience for me, for the teachers, for the other students, and of course for the girl and her family.”</w:t>
            </w:r>
          </w:p>
          <w:p w14:paraId="68EDE648" w14:textId="37C9EA4D" w:rsidR="007E04A6" w:rsidRPr="00227C55" w:rsidRDefault="007E04A6" w:rsidP="00ED0631">
            <w:pPr>
              <w:pStyle w:val="BodyCopy"/>
              <w:spacing w:before="60" w:after="60"/>
              <w:rPr>
                <w:spacing w:val="-2"/>
              </w:rPr>
            </w:pPr>
            <w:r w:rsidRPr="00227C55">
              <w:rPr>
                <w:spacing w:val="-2"/>
              </w:rPr>
              <w:t>The Head Teacher reported that it was a very good learning experience for the other students. At first some of the children assumed that the girl was not very smart, but he laughed as he spoke about how the new student is getting better grades than many of the other students in her class. “I am very proud that we have started a small step towards a very important issue of inclusive education</w:t>
            </w:r>
            <w:r w:rsidR="00471345">
              <w:rPr>
                <w:spacing w:val="-2"/>
              </w:rPr>
              <w:t>.</w:t>
            </w:r>
            <w:r w:rsidRPr="00227C55">
              <w:rPr>
                <w:spacing w:val="-2"/>
              </w:rPr>
              <w:t>”</w:t>
            </w:r>
          </w:p>
          <w:p w14:paraId="09A84674" w14:textId="7A10FD9D" w:rsidR="007E04A6" w:rsidRPr="001A1782" w:rsidRDefault="007E04A6" w:rsidP="00ED0631">
            <w:pPr>
              <w:pStyle w:val="BodyCopy"/>
              <w:spacing w:before="60" w:after="60"/>
            </w:pPr>
            <w:r w:rsidRPr="001A1782">
              <w:t>From Operational Research on Disability and Inclusive Education in Kiribati, CBM-Nossal Institute Partnership for Disability Inclusive Development in partnership with Te Toa Matoa, April 2012 and overseen by the IEWG</w:t>
            </w:r>
            <w:r w:rsidR="00E24C01">
              <w:t>.</w:t>
            </w:r>
          </w:p>
        </w:tc>
      </w:tr>
      <w:tr w:rsidR="007E04A6" w:rsidRPr="001A1782" w14:paraId="22C16E35" w14:textId="77777777" w:rsidTr="00184429">
        <w:trPr>
          <w:gridAfter w:val="1"/>
          <w:wAfter w:w="3969" w:type="dxa"/>
          <w:trHeight w:val="1123"/>
        </w:trPr>
        <w:tc>
          <w:tcPr>
            <w:tcW w:w="5103" w:type="dxa"/>
            <w:shd w:val="clear" w:color="auto" w:fill="D9D9D9" w:themeFill="background1" w:themeFillShade="D9"/>
          </w:tcPr>
          <w:p w14:paraId="1B13F4F0" w14:textId="77777777" w:rsidR="007E04A6" w:rsidRPr="001A1782" w:rsidRDefault="007E04A6" w:rsidP="00ED0631">
            <w:pPr>
              <w:pStyle w:val="BodyCopy"/>
              <w:spacing w:before="100" w:after="100"/>
              <w:rPr>
                <w:b/>
              </w:rPr>
            </w:pPr>
            <w:r>
              <w:rPr>
                <w:noProof/>
                <w:lang w:val="en-AU" w:eastAsia="en-AU"/>
              </w:rPr>
              <w:lastRenderedPageBreak/>
              <mc:AlternateContent>
                <mc:Choice Requires="wpg">
                  <w:drawing>
                    <wp:anchor distT="0" distB="0" distL="114300" distR="114300" simplePos="0" relativeHeight="251826175" behindDoc="0" locked="0" layoutInCell="1" allowOverlap="1" wp14:anchorId="7DB38CBB" wp14:editId="36BE7C1E">
                      <wp:simplePos x="0" y="0"/>
                      <wp:positionH relativeFrom="column">
                        <wp:posOffset>3309479</wp:posOffset>
                      </wp:positionH>
                      <wp:positionV relativeFrom="paragraph">
                        <wp:posOffset>10090</wp:posOffset>
                      </wp:positionV>
                      <wp:extent cx="2078856" cy="2889956"/>
                      <wp:effectExtent l="0" t="0" r="0" b="5715"/>
                      <wp:wrapNone/>
                      <wp:docPr id="106" name="Group 106" descr="Ministry of Education White Ribbon Day Event Poster 2013" title="Image"/>
                      <wp:cNvGraphicFramePr/>
                      <a:graphic xmlns:a="http://schemas.openxmlformats.org/drawingml/2006/main">
                        <a:graphicData uri="http://schemas.microsoft.com/office/word/2010/wordprocessingGroup">
                          <wpg:wgp>
                            <wpg:cNvGrpSpPr/>
                            <wpg:grpSpPr>
                              <a:xfrm>
                                <a:off x="0" y="0"/>
                                <a:ext cx="2078856" cy="2889956"/>
                                <a:chOff x="0" y="0"/>
                                <a:chExt cx="2372810" cy="3298785"/>
                              </a:xfrm>
                            </wpg:grpSpPr>
                            <pic:pic xmlns:pic="http://schemas.openxmlformats.org/drawingml/2006/picture">
                              <pic:nvPicPr>
                                <pic:cNvPr id="107" name="Picture 107" descr="Ministry of Education White Ribbon Day Event 2013 Poster" title="Photo"/>
                                <pic:cNvPicPr>
                                  <a:picLocks noChangeAspect="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372810" cy="3298785"/>
                                </a:xfrm>
                                <a:prstGeom prst="rect">
                                  <a:avLst/>
                                </a:prstGeom>
                                <a:ln>
                                  <a:noFill/>
                                </a:ln>
                                <a:effectLst/>
                              </pic:spPr>
                            </pic:pic>
                            <wps:wsp>
                              <wps:cNvPr id="108" name="Rectangle 108"/>
                              <wps:cNvSpPr/>
                              <wps:spPr>
                                <a:xfrm>
                                  <a:off x="1273215" y="2893671"/>
                                  <a:ext cx="543447" cy="39353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26" alt="Title: Image - Description: Ministry of Education White Ribbon Day Event Poster 2013" style="position:absolute;margin-left:260.6pt;margin-top:.8pt;width:163.7pt;height:227.55pt;z-index:251826175;mso-width-relative:margin;mso-height-relative:margin" coordsize="23728,329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5nW6GBAAAswoAAA4AAABkcnMvZTJvRG9jLnhtbJxW227jNhB9L9B/&#10;IPSeWL7FF8RZuM4FC2R3jWSLPNMUZRErkSpJx/EW/feeISXHSYxumgBWOLzM5cyZIc8/PVUle5TW&#10;KaNnSfc0TZjUwmRKr2fJn9+vT8YJc57rjJdGy1myky75dPH7b+fbeip7pjBlJi2DEu2m23qWFN7X&#10;007HiUJW3J2aWmos5sZW3EO0605m+Rbaq7LTS9OzztbYrLZGSOcwexkXk4ugP8+l8N/y3EnPylkC&#10;33z42vBd0bdzcc6na8vrQonGDf4BLyquNIzuVV1yz9nGqjeqKiWscSb3p8JUHZPnSsgQA6Lppq+i&#10;ubFmU4dY1tPtut7DBGhf4fRhteLr49IylSF36VnCNK+QpGCXhYlMOgG4viitnLc7ZnJ2lW0E98g3&#10;eyiUl+xOrVYQLvmOXT1K7dnSOI+kIqA+EFe+hMrPFV9LQntbr6cwemPr+3ppm4l1lAjAp9xW9B/Q&#10;sKeQp90+T/LJM4HJXjoaj4dwV2CtNx5PJhBCJkWBdL85J4qr9mR/1Bt3QQQ62e9NxqPxkE52WsMd&#10;8m/vTq3EFL8GeIzeAP9rguKU31iZNEqqd+mouP2xqU/AkRpQr1Sp/C7wHWwgp/TjUomljcJhDkdt&#10;DrFOZpFFTH0ki5S+JpX7LC4L4w3hRT6Q2egEJ5BujfjhmDaLguu1nLsatQdWBXRfbu+Q+CKCVanq&#10;a1WWlHgaN1iBeK94fgTuWEOXRmwqkC82BSvLwFBXqNolzE5ltZLguP2cdZF7NCQPToLZUsayBbNu&#10;nSfzxLFQuH/3xvM0nfT+OFkM08XJIB1dncwng9HJKL0aDdLBuLvoLv6hou8OphsnET8vL2vV+I7Z&#10;N94frdKmn8X6D30k8hGOBF62roGiBA356Ky4A7qB8ahK6UVB0zkQbOaxeb8Q4H5GmMB3KD222n4x&#10;GWDgG+SUzr+r9H5VQOCCdf5GmorRAJjD06CePwLiGFu7hayWmr7aUP7japyRoXs3R1qngQgN8aNO&#10;givDtVyB9D686cI41mzvC15LOEpqDysKF1jsigQtqF1STY2J1s3OfR9zAdcjSHZ7o36vO0xYaFeT&#10;/tkolEUkGzW04aA/GKBOQ1ea9If9yYum9L8xdaZUWVtQ4S6Vi9KyR45b0D/FmgRDDncdTwPaYRtV&#10;GPldKWPS7mSOa4OacUjuKyNcCBRjNy4VPJPR9jDFXxPa/kRgeamhkDRHEje6GwX0GHgOoNUdydLs&#10;p6ORMXvH0v9yLB7enwiWjfb7w5XSxh5TUCKqxnLcD/cPoKHhymQ71Jc1YD+uGleLa4VSuOXOL7nF&#10;8wKTeDL5b/jkpdnOEtOMElYY+/PYPO0Hv7GasC2eK+hef204XSvlZw3mT7qDAb1vgjAYjnoQ7OHK&#10;6nBFb6qFARfQDOFdGNJ+X7bD3JrqAYUyJ6tY4lrA9iwR3rbCwkPGEt5mQs7nYRzvq1t9X+OWi8mj&#10;Uv/+9MBt3fQDj4b21bTVxqev2kLcS/nQZo7OlKvQM55xbfBG5YdReBkFCjWvOHp6Hcph1/Nb8+J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GU0yILfAAAACQEAAA8AAABkcnMvZG93&#10;bnJldi54bWxMj8Fqg0AQhu+FvsMyhd6aVRutWNcQQttTKDQphNwmOlGJuyvuRs3bd3pqbzN8P/98&#10;k69m3YmRBtdaoyBcBCDIlLZqTa3ge//+lIJwHk2FnTWk4EYOVsX9XY5ZZSfzRePO14JLjMtQQeN9&#10;n0npyoY0uoXtyTA720Gj53WoZTXgxOW6k1EQJFJja/hCgz1tGiovu6tW8DHhtH4O38bt5by5Hffx&#10;52EbklKPD/P6FYSn2f+F4Vef1aFgp5O9msqJTkEchRFHGSQgmKfLlIeTgmWcvIAscvn/g+IHAAD/&#10;/wMAUEsDBBQABgAIAAAAIQCUzhY5TWABAJzkDgAUAAAAZHJzL21lZGlhL2ltYWdlMS5lbWbsnQdY&#10;VcfW9//3uzfv97zfFVQ0dmMnmNiVGLtiQ0WNmhhj1KgxdmOPGnuLBU3sGnvvYkONjdgRQcUeVEAR&#10;e+/dfOs/OMfDCYciqIDD82x2m5m99+y153fWmjVr/gWgvSz6b96/APf/o/eAgBJy/gsge+WaVYB/&#10;YXq4I/4tpyVZ5L8PZPc/wC450cbm5Llz/4Msgz9AHUmSRfLrP9tr6ePzJX81uYcv5ICLLD1lmX8u&#10;Il92BECf57k5L9P+C9ll71U6tfPyn4ODA8xi6sDIgJEBIwNGBowMGBkwMmBkwMiAkQEjA0YGjAwY&#10;GTAyYGTAyICRASMDRgaMDBgZMDJgZMDIgJEBIwNGBowMGBkwMmBkwMiAkQEjA0YGjAwYGTAyYGTA&#10;yICRASMDRgaMDBgZMDJgZMDIgJEBIwNGBowMGBkwMmBkwMiAkQEjA0YGjAwYGTAyYGTAyICRASMD&#10;yVcGUqRIiRQOTkl+cZBncJTFwSGliZtjYgcZGTAy8Noy0L17d3To0AF169bFp59+in79+uHHH39E&#10;1qxZ8cUXX6B27dpInTo1fvnlF3W8WLFiGDZsmNp2cXFB//790bdvX+TLlw/fffed5T4qVaqEtGnT&#10;wt3dHZkzZ0anTp2QLVs2/Pzzz2jXrp0qm6z96KOPVP5BgwYhS5Ys6j5++uknVVbevHlRsWJF/PDD&#10;D8iTJw+qVq2KOnXqWO6V19P3zHtIlSoVeF3eb9u2bVGrVi11P59//jkyZcqk7pH3zGvxGcuVK4dv&#10;vvkG7du3V/f5NthPBjk4pE36S4q0cEyRRp7DMOhtyI25xj9/l7548QJRLc/k+KNnz3H/wRMcu3QL&#10;Cw6cRd/tp9Fxw2k02xCMlltD0GvLX5h+IASHw6/i0eMHePTkaZRl/fnnn6oNMfX/z/pPqDoZMWKE&#10;qmOyp1q1aooNTk78fesAnhswYADSpEmj2mkeT5kypWq/eb5Lly5wdnZWx4YPH46RI0cqZrCdJx/S&#10;p0+v+NGmTRuVlmmyZ8+uOMHrsQwyKUOGDMiZMyc8PDwUq3icnCpbtixatWoF5mN5LVq0QLdu3dC1&#10;a1c0bdpU3V/v3r0V63ierOGafCFXyT2WVbNmTVV+qVKlVBpPT0/wWcisMmXK4LPPPlMcZNo3vSQb&#10;BimOphF9zjDoTcuMKT/q79KaP8+fP8ezZ8/A9YNHj3HkwnX03vYXym04ieJrz6Lo/OMotuQkCqwN&#10;Q37vMBSdewKuGy6h1MoT6LXjJEIvXcOTJ09U/qdPn6o1yzcMirruE1ImNYPYblevXl3pQdQ1yBFy&#10;oHHjxmp7/PjxSgfJlSuXhUHUPajb8H6GDBmiGFSiRAm1Td2FDJo0aZJiAHlAZlE3KlmypGIV8w0c&#10;OFAxjJyjrkPm8Dj1GDJx9erVSleaPHmyYtC0adNQpUoVNGvWTDFIc6Zhw4YgY0aNGoX69esrFulz&#10;tgyaM2eOehZyj+V99dVX6hkTsl7tlWUY9OZl2l7dm+PJq+41gx49foxj4ZexdF8QDpw4jT+OheHr&#10;FYdQcsFRVNp0Ab12n8HiE+HwO3MRR0LOw08Wr6NnMWBPGMqvC0HxZUH4atFBrD1yFrv8DmLatkMI&#10;u3odZJE1g5ykXSpf3hlZnVxRzc0VRd1qoLSzE7K6uqG8qxPKupZHYdluUt8NbvWboqj8PndydkVW&#10;yVda0rs4OEue8rJ2Umvas41MRug6rVu3VvoK7WzUZcgjtvFso9OlS6fa64kTJ6rjTNOkSRNVd7Rv&#10;kUNcKlSoANr1mLdjx47KXsa8bO9Zz9RPyCsyp1evXsqGxuMff/yx4h71GW7Xq1dP6Tosp1ChQpgy&#10;ZYrKz32yYsaMGYpZ5cuXV+WwXJZDHYr3NmbMGLVPjlJXKly4sHqmnj17KrsiyyTPWB5tcczfo0cP&#10;df9vQx4Mg5JXO/g2ZMZcI2qZIYOo99y8fRfLN+9GzVZ9UKltf1RechDlFh1Cly0n4Rt6BeduXMNR&#10;371YN2Uqlg0fiQ1Tp8r+bly+cxuHhF1t/jiB4tN3o7LXUZRqORCVm3aCX+AxPBJ9yppBbtLOHA/w&#10;xPrJ3gg9fRpe4Rfh69ka/bzCcNp3KA7v8IW36FhBNwNwYocPLpw7h4m+lzHzh+bYeiUQngV7wCss&#10;AJ7OTdXawaGpaqvM+436/Zp6eTP1Yhj0ZurVyOv7V6+aQZevXMG02fNQtn4rfDZ8DUrOPo6WW87i&#10;4OnzOLJrN+b1+hnjv6qP6c2bY3G3rpjR/DuMqf815vbsj6P7DuL01ato4n0cJabtR6kp21GqZnMs&#10;X7sJ9+7f/weDrguD9lx5iDG1PBVH/IRBR0/exOZLIfD9rV8kBq3dEIqLd/fgyonj+GnjNWFPVsMg&#10;4bjtt0p9gjYy9otQl3B0dFRp2BdDWxb1Beov9BOgLkH/AuZxc3NT6Wizs9ZdtE/A999/r+xpuXPn&#10;VrY09tXw2tSvWCb7kbhP/Ym6CdPRHkcfCNt7TE77cWVQCtXvz77/t+nHwOvpa+p1VNc3/UHJSTaT&#10;2rNoBl26JAxavBqV+/wO1wXHUXtLOFYeDMWJ43/Bf7cfdnitgv+6jdi5YiU2z5+P3atW4cAWH+xa&#10;sQoH9/rjaOBBbD0UisreQfh8biBqDp2DtZu24d69e/9gULgw6FhwGOb84qN4slcYtMDnIk6HeSPA&#10;y1sxyOdiAI4uHoMeXuE479MDoQ8fwqWZlzDIwTAoCgbRFvXhhx8q+xR939jfw332BbE/h3JJnwIy&#10;grY1+pGRTS1btlTrefPmgX0x5BLTcps2NbKlQIECys6WP39+xR7mp28br0F7HNOzLHKHjKJ/gvZV&#10;SGrfQ2zvN/YMiuBA4cKfSb1nesmE6HgQFSNe7xi5lyljNnT8sRscFAPtlWMYFNv3btL98/dvfOtE&#10;M4g2s7MXr8HrYDD6/RmE330OYNmocZjXqSPWjhiO1UOHYGbLFpjyTUNM+epbTGnYGL9Lf/Xcrl0w&#10;t0tnTG7aCHOHj8BC/78wZOtx7DhxFpev3VQ+Cta2OFdpr5bN64T233jCZ910eK73wcJO9RAcchi9&#10;VwRiduca0hewDiGH52Nd0Hlkr9gfY+s7wXPjVoyt4oGz530RGnQSx0MvwPOPAPmmPVQbGN96SOr5&#10;m4t+Sg6QF2TQt99+i7Fjx6o+Gfb70D+bPNL6EXUVpmdfUYMGDTB06FDly2DNIPq50Z+O/Uzc1gxi&#10;XVGXoh6UI0eOSAwif8gi+r0l9TqN7v7jxCDH1Jg5a7b0V/VEStV/+XYYRB1oQP9BOHUyGGmc+DvE&#10;MCi6d2rOJTxfYlOnZJDm0BPxibsp+kaQ+BIcPnEK25etxGrPkVgofdVLZPzIht/GYt/K1Tjs8ycC&#10;1q7FxgkTsbhvPyyWc39MmQD/TZtxJOg0Qq5fx53HD/FEfLufPzd+cbF5D/FNQz2IPmj0Zea4GfKF&#10;Y364Tx6QF/Q3o89AR/E1oI8Zz/G67P+n7Y1jgGi747Gvv/5ajcXhmBsyjXY68mjmzJkqHa9H3uj0&#10;LItl0n+O+Xn9+D5TYs4fFwblyJkHd+7excWLF/Fh2gwx6CT2OBG349SB0qfLgitXruK5fIdNmki/&#10;qRyLsAnalmX0oMQsa8n93jSDFIdePMdTkdfz4eexbtoMrPQchT/k99t2L7G/LViAhYMHY07Xbpjf&#10;sxeWyu/mddNnYOvSZVg1YRIWDRiI2T91x3zJc0P8FJ49p493BN+s9aDkXp/v8vn0eKCY7oFjP2NK&#10;o89zHBHH3+h963Vsr2edJ7lsx4pByv7lhMFDfpHv4TleyPfQpLGwQOlCthxIoH0Zc6rsbimc8H3z&#10;lpaxFnt8fV9eNyodzDAouchlUnwOawZx+4n4Up88cgS/d/sJMzt1xbS27TFL+hGmt2iJ3xp+i2kd&#10;2mHhoAGY0/NnTG3dDtN/aIVJjb7DOLHNTRObzZiOXREadk7Jvi7bmkHaN9tFfLPpY02/bPpiu8p2&#10;+fIuMuaQPtvO+NTZTZ33cE0HV49G6vspLX1B9OHWa/pyp3NmPukXl3y6/j3kuFt9+h07W9LyHK/9&#10;lZTdRHx9S7jVt/h/Mx3PM5++lquT7DfyQFEX12h9w7NKe9LQQ3zGpTz9bPoZnOQZ9D2Z9bvR899U&#10;vceKQWILy54tF65du6Z8T//++2/s2LFD7KEcT5BAzLEtRxiUUtjn6JAae3b7gtdUvy+FfxUrVZHr&#10;RnVtw6A3JSem3Ji/e80JvX4o44T+CgrFqnkbsH7JVmxauApb587BRvGZW790FRau+xOztuzD7PU7&#10;4b3cG1tmz4XPnLnYsmi19PNswoLpG3Bc8j99+swSM8GaQfTNPiY+CT5TVsP/0XXsnTQ2wgdB/K2P&#10;BXhhdHsv3L7vixljxTc7PAA7/PxxKnA96o47KD7czmgtPtxca1/uhv12qPKcm3qp9n5Vp6zwDzmD&#10;Qz7rpF8qSNJ6qDyUBV6b/hCrfYLgNXaZ+H8fwOGNPpgjfVfTv22OAyFHcDJwMyZPP4LTZ1Zhx3p/&#10;XDgdYNc3/A+55xMrp2CzfwiOHvXBD/23qnvRz+Dmyf6qmN+BSZP06ig2DHIUBo0Y5om/X/ytWEAe&#10;cLxchQqVxSYWFQsSgEsvY+9UruSOp0+eWa77Qu5h7rwFhkHme0x0bZJmj14/ePgYvgcuo++oMPT5&#10;7SIGTD2EEev9MMjbDz39L6HZgTuoF3AXDWTdZf81DFnpi+Eb96H/b4HoPuoKegwPw97Ac+KLYJ9B&#10;IcKBs0FBOBN0CiHSf8TxQD7SngcJg874+uH6w/uKQSvl2LimbXAu2EcYFGhhkJ8wSPtyt8jeA5fP&#10;LobbUF84i3wd82oKtv0/ih6z94I3/KVf/trdhxjre14YVEUxyEsYNLvfDOVfV03GF50IHKv88cg3&#10;r6YOYrcPg2fABXlXzhiQXfbv7ojSN/yQ3J+vLA7OnvBu7YQZkicoYKzlGZI7gxhDgWNI30eG2mdQ&#10;hB8c45lm+ygXbty4GYlBHIu3YcMm0YVEV6GtjrYzW10mHvtkW6qUTtgqPqu0hZN7EbrQ37h1+w7y&#10;5M4r17O1xxk96H2U4cTyzJo9en3/wWNs2nUVtdteQK22l+DewR9VRm9B1YUBKLk2FPn8HiBvwFMU&#10;2vcAJTeeR5WZe1Bj2i5UarYP1drcxheSZ7v/eTyOhkF3qQfd/hszPHrg6fMgYdBFxaC7wiD/+3/j&#10;+PrFikFs46kL1emwQuxhxS0M2isM0r7cfkvW49Spq1h85pzEXmiIwzPc0dk7HKNLu2DbFX/4jhka&#10;SQ86KdduPtQHv7l5KAb1K94MRy5txT7R8zSDgk6HYeu1YJQu2BP1ZEz/eZ+eUfqGkz8ng3xQqo03&#10;9nqWxvgdV3A3YIzlGZI7g/766y+sWLHCMCgSM6R9F1tbCrGF9ejxs7JJaw5EsOCF0oVKlyyrbGYJ&#10;zSDyhTGQyDrb6/LY6FG/iZ3OMCixtL/mPhws9rJXDHqCTTuvoVabS7LcEK6EwK3bbpQb54cy8wNR&#10;bP0ZFF99Bq5ep1Bi2TGUm7oHbv39UPn7EFRreVvYdRk7hEH29CD6Zm8T3+wWk7ehrENWbFvcQ/yy&#10;NmLyunnYOM8TdfutwDLP2ujXfR7GyLF1/Vsj4GwQArxXyfih8zgXEoTA46Hiy30Uw8WXe+X8IahW&#10;fxxWLO+BrFU8UU30n/0remJb0FlU6TRD/L5zIVz8vqkHuYoeFDC/E85fCMGCNeK/d3gRdon/d7Ue&#10;8zBb0tXzXAdPDwd0n7cOy3rWwKEzgajWa434hqez6xveu2ItnA5cgRk7glDWrZM8QyfLM7h2mpes&#10;22fNII575aK/J2v9iHqS1pU4dojndDqdT4975Tm9bZ2W20yrz+n873IdrR4kDEqZKq3YZ49H4oBm&#10;An0TJk6YLH7awoI3oAetFZ9Vfs/6epa12OOuXrmGDOIvF1n3MnrQu5Sl9/3amj16zTjZikGtL6NW&#10;69vwaH0N7m1Po0LnfagwbA/KTd+PsqO3o8TEAyg90g8VB/qjYutgVP3hOmr8QAZdUXqQPQa97/X9&#10;Jp+fvtgbN25UPtr0p+a1OE6V8ao3bNiAzp07W8YHcayq9RgejmNlnnXr1oF+3BxHxPFAmh8cN7Ro&#10;0SIsEP9Ijk9l2WTQ5cuXERYWpvrduSYnNJuYhnqS1pXIEZ7jces89yWWBq/Dc5pltmmZ3ppfLONd&#10;LtEySHSgr79uqHzhLO3/S5sY9/mtXbt2Hdmy5ozwYYukR72ebY52Pc4D5Or6OR5Ln676noV11H3I&#10;PO5z+5n4vbZp017Ne/TKJmcY9C5l6X2/tmaPXj8QBm3eJXpQa9GDWt+CR5ubqN7mCqq2CkPldsdQ&#10;oe8BlOnqi7J9glCp3VFUbR8u+s9NOX9L1rdQs/VVbN9n3xb3vtf3m3p+xhtlHFCyZfTo0bgr41F4&#10;LcYoJWs4h8/s2bMt3OnTpw9CQkLUHAxMN1Xi/3HsENORNSyP8a4Zv5rHzkncPs7jw1hAoaGh0ta5&#10;KmZoppA99P+aMGFCjAwi65hW6zXkps4XFYPYdurjb6r+4lquXQZJf0xK0YMOHjj4D3vYKx6RCc8x&#10;eNAQYVDC+CYoX7gUqWV81mQLb/bs2SNxXkfh1k0ZK/H0Ofz8/JRtcJ+/v9gLU4lfBH30yTzDoLi+&#10;f5M+4X4Davbo9YOHT7Bl13XFoJptXjKo1VW4t7qIql3DUaGf2N8GHEPpfqfg3ikEFb47AfeWV1FN&#10;GFRdFg9h0DbDoLf+G/3YsWNqzgR+G5xX4ebNm+oeDhw4oMaRciwpx6B++eWXKl718ePHVdwdsoZ5&#10;AgMDLenIHo5J1QzieFOOY9XfHef9YVwFa32H5/S+XvNYVHoQj1H3YTq9aAZp/c1aD0pKDHKUNr12&#10;zTpqXCi/qVfceeUb9/ffopvIucsSHytjxo/sjBuNmz7k+N80+ChrDlyT8eW8Juvszp07mDtnHurV&#10;/QqNGzVRv0F4XepC7tVqvNSFDIO0XJt1wnElLnVJmbReyKDNu4VBbS6jelvRgVpdQ5WmwaLjHIbb&#10;4KOoMO0oKs4+jFKzj8JtQADcvluDKs1PCntugMyqJba7P/2MHhSXd5AQaU+ePKliirIsjim9ceOG&#10;YsZpiU3OeRO4LFmyBLt27ULlypXh5eWlWLV//36V7ujRo5Z0y5Ytw+bNmyMxiLEX9H3SVsc4QOQH&#10;2aePU7fhHA88Tt2Gx8kbcpDbmivkzEOJx8F9LszHdNb5mIb7zJeUGOQgusU673WRfOH+yaFXtrHO&#10;MgaPeeLrI+co+tTAAYMtPhBnzpyRPtIVyj/7scThqlixktKN9be+edPWCN8E1R9l9CAtw2b99jmk&#10;ZVKv6Re3edcV1G0bhlrtLqJ2yzBUaxYgPnJ7UbvvflQZuh91hx5CtaH+cJf9up19ULPFHtRpexZ1&#10;O1zGl+3CxRYXbtcvzrzjN/OOaWdje8765Xx1jBXLbcYi1fF0fv/9dwyWWBe//fabmm+H52l3o35E&#10;PpFNPEadhHF4tB7E+UmpN3G+bsaZI8c4ZzgZcVXipZMx7K+hbqP7g7jN41xzYR6yRvOI/UjMHyQ+&#10;+jyv+4PIG52Wa7KMx5JKf9DHH3+q+PpP7ljrQa+2jxw+gtTivxDBIPFRULaxuOlAzJMpQ1alV7Gu&#10;+C2fOnVKYsrmxldf1sevo8dIPW5S9ai/8+vXbiBj+qxyXaMHUebN8u7qQMukXj989AT7D1/FsHHB&#10;GDohHMMmnMMvE4IxZHIQhs86JeOFTmPY5HMY/Hswhk0LkSUIoyYfwdBJIRj6+3mMnBqMYycv2R2j&#10;at71m3nXjGXNPh3qL9QhrkvMPtY1Y1/PmjVL+RpQl6GOxDlHmZ7n6cfL/iLGwNbphg0bpubI1gxi&#10;Os7hQB6sknjpnFOOx+gjwOPUffScpvo4maKPk0vW20zDGKo8Rh8u7ffA8mzz8RjbVabV/UfM/64X&#10;e/1BqYQn5HVsGUS7WIP6DeH4X+kX4nih12RQxw5dxP4XoV+xn4+/LdiXN23qdKxZvRZ379y13BN9&#10;FEYM91TxUw2D3r0svWtZftfX1+zRa8Z5e/DoHm5Jn/Yt+X16+8FD3L3/GLcePsJdWe7JclvsKA/u&#10;y/rRfdyV5Z6MKX0gxx88krTi0/D40SPxxYn4PcZyreMkvOvnfV+uT50jvs9qzaD4lhWf/GSQ1vHi&#10;U05C5rXHIMbC6dOnn0XniIlFfLadO3aJPiJjiuLonxDhC0dupcbevX7K/43lHTl8VPwdBov+W076&#10;iLIh7GyY3E9EzAR+j/fvPxDflZdjVY0eFO/vJCHlypRlfhMkFxlYv359vL+tEiVKWGJrJ5d6Sajn&#10;sMsg0WWyf5RT6aHkQUwMIhMY16p2rbpx1oO0L1x18S9gDCCWxdjcjRt/h5DgUBwKPIxJEycre+eL&#10;FxEMeiax8eeIn4L2h9PrFA4p4y0vCVW3phzTDhsZMDJgZCB6GbDLIDXuNJX4RHsqXSgmBvE82bFr&#10;554o4hdE3y8UEZvUCX/6bLP4wo0e/Su2b9uBDu07Spm7JVZDr5c6UAQPyaAyZcq9ZJAu3/gkGHmP&#10;Xt5N/Zj6iUkG2C/DMTv0vdbzczOPp6en+n1LfwP6u5UuXRpFihTB4sWLsXXrVjWfKtPR/5pjUrnN&#10;eYa6d+9u+V2sy+CcQuxvok8d58WjvwPT007GPiaOY23VqpU6xr4b+rrRDst7YjqObeW8Q9zmMl/m&#10;4+Wacw/t3LlTjWViXxP9wNlPxblcddrEto6WQWIby5aNutANxZeYOEQGPRNdqHIVd3lejheKXb8Q&#10;7Xfly7kpHYjXoK/huHHjUUt8wwsVKAr63PnLWCCWr5cNGzbK+CXb8g2DEpt8mfsxbX5SkwH2P7P/&#10;hjywbrv37t2r2vGFCxeq+U0zZsyI7du3K8588skn4DhG8oJ+deQTn5s+b+zT1nWgy7hw4QJonytU&#10;qBAOHToEzt3KNLt371b84vzg48ePV/4OR2T+D3KvcOHCauwRfRDISY4r0uWyz4q+dvSfcHaWeTbk&#10;+vQlr1Gjhhq7xLgPOm1iW0fLoJfx4iZIPJ7Y2uOonyxeslTGjnLcqC0jtL4SeU0GzZ41V/ljkzF8&#10;Z/RvfPL4Kbb9uQP9+w20nOP5p0+eCrMqRqFvGQYlNvky92MYlNRkICYGsW0iO+inTV2G86ZyYewD&#10;ciI2DFq+fLmKn1CxYkWlq3C+cNaTr5ofzUHpVGQQ5/JmeboOORcrrx8VgzgPHn+rc55x3hvHMZFd&#10;zZo1U/PA6jIS2zpmBjmJvukaJz/te+IrkPeTArFmUO5cLrgjsbCpAz0SPyAynD5x5J7We7QOxn3q&#10;pCmFcSZmqWnfEtv3ZO4n6cukNYPayJyD+p1qHUYziDoPYyL06tVLLdu2bVNrMoO6CvNRD6K9zbYM&#10;jg0it3r27Kn8j+0xyMPDQ8UN0vlpa1u9erViEGPX6ePad48x7ZiHeg9jAiV5BqnYN9RlnLB40ZIY&#10;xqu+Giv0XDgx9fdpwojo/LRpq2Ncbif8+uuvyheOnGHMhUULF4ueUwGMYxEcHGzRwcgfcunrBo1U&#10;TO8Ie5+1TmX0IC2TZp3020LzDt/NO7RmkLe3txoHRN7QPy5DhgyKAdRf2N6z7yVPnjwqVhzjIxQs&#10;WFDpLRz/wzRkEGP9sH8oS5Ys0LEUaOvR3OF4Hfbz5MyZEwEBAaosbYsjqzhGhnoXbX+MU0b7IPUg&#10;puX9sO+KPlyUF9oDOQ6Wc4yTVUmbQVZtu/jIlSpRxmIP0zqJvTVZcUfG8eTMnkfqxZ49LmJeiPQZ&#10;slh875hvwviJKFe2PFavWqP6/ViP2g7I86ESNyFN2gyGQSJvpo0ydWBkIOFlgG08bWo1a9ZU/f5k&#10;xKZNm1SMUZ5jPwt1G/bnFC1aFLSrcbwpbXF8H/QlKFeunPIzILvokzBy5Ej88ccfyv+AacgtxlBg&#10;PsbqIWsmT56sWMLYC7QFaZ8D6ku8B/ol6GP0lSDDaG8j79jvw3J5Pxxfy3aT8VbJyaRri7NmkJOM&#10;+0mF5cuWx8o3gWwiL/r83C9GBnX4sYvFF+7s2bP4uVdvGYvqjQH9B6qxw+xf0qwjizp0+DGCP9JX&#10;ZfSghP/+TJtm6vR9lwG27+zXt1cP2hZn73x8juv+oHz58ikdJj5l6bzJgkHUZaTNL1K0uMyn9dTC&#10;BM2GqNZk0OnTwUiVmvYx8iKyPkQ7Hft0Dh8+bGEQGb9i+Up8Xb8Bxo+boPzkyB2WxSXs7DmkcUr/&#10;siyWF7lM7pvxQaYN1d+eWRtZeB0ZYB8Q9Rd7eTnnAucIsnc+PsfpR838tOMxnml8ytJ5q1evbtGf&#10;9LHEtLbvk2ClB71kEOdUXS3xcsiDqLhjfYxpyI9mzb9Hiih85MigL+vVt8QmZVraRJcuWYauXbrh&#10;++YtXs0f9JJB9I+jD539OECGQYlJtsy9GAYYGXh9GaCf25UrV1Tc7pUrV6r+ouRYn3FlkLt7DUv/&#10;jDVz7G3/FXRSzcVqq7Nw7lX/ffstPCOz6Nsefi4clStVUXoQj+mF80jlyJ7LMEh+IyVHOTTPZN6r&#10;kYHIMsCYqPTX4nys/I1OX+3kWEexZpAw478SjzSlY1qJ43Ys1j5yT6U/p3btOi/n+46wnaUQH4fy&#10;5d1EB3plZ9M2N73W7NHradNmSv2ntporyFpP09tGD0qOMmqeKXLbZOrjzdcHbXH0GaAfABfGz7at&#10;d8ah1ufpM6BjVtumi+8+/QroW3fp0iXloxff8hJb/tgxKKKNJzs4X2rDbxpb5tW2p//o42TI2jXe&#10;Fj9tVYbwjLHeyBumY5wLjjfmPnVP1jXz8RzXDx5EjDeiLfCffgiaP1wbBiU2+TL38+bbS1PHCVvH&#10;ZAnH27A9sl44B4+ua25bn9Pb5JZOw/kbdAweHiPX1qxZY4mJwGOc94Hxew4ePKjmAKLOo33fdDlc&#10;cxwSr9GgQQNL+dbnk/J2XBik44KmFBYcPnzEwgnNG3vrJ4+foEjhzyyxTHPkcJF5oe5b8nOOoNat&#10;W6t+uEaNGqn6tmbQokWLRf+hDmQYlJRlzdx7wraVpj7fTH1yPji295zrjfoPucK54XiM21w0c6j/&#10;MKaPNZO0PsT5N/l7Wr8n+k8z34gRI9Qx9vfQD47H6EvN2G6aNW3btrXk45gjxnJmOv5e1+Ull3Wc&#10;GSS6EP0CGEuU8/fY4471cfKEMZZSKv+4VDL34BjFHx5nXAT62+s1Y/mxrjWDGH+uYgX6ilDHoS0v&#10;wp4XtV+C0YOSi1ya53gz7aup1+jrlfxg+8NFs4R1RtbwGOcu1YyiHc66Pm2Px8QgxuFhmRzjo8uh&#10;XsRyODbf0dFRHe/bt69KR549efIEefNyvpronyMpnX9dBmVIn0liGly2sMKaObbb5AnjkBbMXwS5&#10;cubB7du3VT7WP/VOcqdkyZJqjC/jYTA9F57/02d7hB0vVnPiGQYlJdkz95p82pHk8i6p07DdoQ5k&#10;75m0nY5prdOQScxLhvB4TAyi3sP0ZF3mzJn/saRMGTEPDblHnyyOfWV6rUdZX1tvU2/j/VFvs2Wk&#10;TpPY1nFlEOcr5VwLDilSyjzpvVWd2DLHdl8z5dfRYzHmt3EqD48xJlzv3r2Vf/a+ffuUP7xOyzX1&#10;T/cq1WLwhTP9QYlNpsz9GLYkVRnQDNLx16J6joRikNatyJWolgIFCqhYDGwHOS42bdq0yk+bcXlo&#10;x7O9N2sdTpeXFDgUVwZZ28DSfZgZFy9cjrWPHN8deU5GPRefuFs3b6NChYrYtHELJk+agokTJlls&#10;e2TQH5s2v/SDi87+ZhhkK4tm3zDAyMDryQD9BnT7bW2Lo35B/YZxcaiXMA1jt1nXc1xtccOGDVPl&#10;cL4h2uX0wvkbaHPLlSuX8sfmtfQcEowzx33GJbW+NrejYlp0LLXN/67248Mgxq0eO2a8xXZmq//Y&#10;7msdh8fPhJ5Br569sXWLD1q0aIk+vfvi8aPHFl84+m1Xq+Hx0g/BMOhdyYe57uu1Zabekm69aZbQ&#10;Hke9SNu32PaTQdon4d69e6rdZ5rX8Ulwd3dXtp6JEydaeMK+nlu3bqlYqIzFcPXqVeXXQP9syhRj&#10;0vE+rOdz0LLG++Q528XWZqjTJ5Z1fBlUMH9hPHzwUHHIljnR7V+/dgMFCxRG3Tr10L5dB5mzO8Ti&#10;40BWqTjpKcUPTsWFMwxKLPJi7iPptq3m3cXu3VH/0fY26/acTNIxfMgcMsj6PLfJJ86dSv819slw&#10;XAm3uTBmNtPQ34D75I3WazjvA2ON0u/gzp07KmYpYwYxvZ4jle+PfgrMz/ujbc72nVqzUN+b7huy&#10;1uts873L/XgxSPqG6CM3b+6CWDOI9cI66dunn4pN2q5tB4SGhqpxQZpZz5+9QPNmLRExlsja1hbT&#10;tvFJeJeyZK4duzbO1FPSqCfyhP0pXLht+966dOliOU87mG7j6V9FfYmMIoO4zYV93mz/OBaF+y4u&#10;LmqOBc71c+LECcUezgXBeHS8Fm11TKfjcevrd+7cWR3Xc7VyrKz21yODOOcN12xnNYf0muk0R3V5&#10;73qdEAwqVLCI8nuj/qI5Ym/NNIyFvXPHLrT8oZXMFZ5DzUnHOmIeng8NPoN0H2YyDBI5fNfyYa5v&#10;3oGRgdeTAdr0OOZe+1hXqFBBMYHzE0VVp9oPLqpz0R2z1dnIH6Ynm6LiEHkZXXlv+1x8GcS4b44O&#10;qWSun+Wqfu2xx/b4cxlb9Ozpc5w+Fax8GDWDyKeOP3Z6OZYoJr3H9rzRg962/JjrvV77ZOot+deb&#10;jvPGeZ8ZA5tz2FEv4tiUBQsWqPm24ysH1L20jqPXZJ8ul3qUPq7X1ud1une5jg+DrH3kKrm549kT&#10;0WVevJpP9Z/cea7mO2dsUtYHxwxxbKp1ujOhZ5EubUax8cW2D8iaQ4ZB71KWzLWTf7tq3nHs3zFt&#10;ZewDoo+BHodKO9mFCxdUfGb6wcW3PrUvueYL19aM4bb1OW5rPSm+106o/AnFIPYLbd+2Uz2vPZsc&#10;dZyZM2eiePHiGDRoEIYMGaLixJFBzMP6GThgkBqTahgUe1lPKFkw5Zg6NzKQtGSA9jZrxtD2Rv84&#10;6kfsx7I+x22eZ57E9J4TjEFik6tb50tLXCNr3UZv8/nJIa75u4Dzzj5+/MofW8UmdflE+TkYBiWt&#10;byExybS5FyM775MM0MeA+hCX6dOnqxgPtuzhPvUf7TeRmOon4RiUFqlkXoddO3bb9ZFr17Y9Gnzd&#10;UPzh1qq4PEuXLrWkZey5GdNmqfkhrG18cds2trjEJFvmXgwLjAy8PRmwNz6IPuWJkT1aNhKMQYzh&#10;IzFJq72c487aHsdt9vsEHjyECjJv0IgRnuAc52Qzz3HhGKO8H+d7DV840x+k36VZv73v3dS1qevE&#10;JgP2bG+JmT+sw4RkEPuEHGV+Bd89voov1v08nEujWdPmEmOiFkYMHymxKJ4qu5xOs3jRErHBcW4G&#10;a6bEddvoQYntuzD3Y9pqIwNvRwaiYhCPJfb6TygGWbOjqbCGOg75wvXRo0cxadIk8Qe5iGG/DEe+&#10;T/NH8odjH5GbxI2LmNshrtyxTm8YlNjlzdzf22mPTD2/f/XMfiHa3djmckls/m/2ZDIhGcS4Blxq&#10;1frCwiDypWfPnjh79ix+6t4D+wMO4MD+g5Z+IHKK8fmKFimmfBGsWRb3bcMge+/ZHH//2iTzzt/P&#10;d06/t8Tm+xadLCYYg6Q/yEHN6eAk89WuVQxiP89jmUO1XNlyaNeuPcaNHYdvGjRU+pDWk7SuNGni&#10;ZGOLM3EREr3dILpvyZx7P9t8897j994TikGcV4j9QZ/kzWeJ20MGzZwxS/kijBs7Xs1Tx/HC5A/P&#10;kT8Ry3MV0yJ9uoymP8hwyHDIyICRgfdIBhKaQdOnz7T4ujEmRb26MmaI/gcSl4fjghgjITJ/yKEI&#10;Jv3cq4/xi3uPZM/8fozf70dTf6b+koMMJByD0oivQSE8uB8xjwM5wzixRYu6qvnpHj54FIX+80oP&#10;4vigSxcv40OZFy/Cpmdi9SQH+TLPYNpJIwNGBqKTgYRjkBNmzZxj0YFob9u8eTOmTZuufLFr1qyN&#10;8PDzFl+FV3Y4zaGIeD0/duio/ONMnAQjt9HJrTln5MPIQPKQgYRiUF6XAnj0QOLuSMxS6kDe3t5o&#10;1aqV4k+VylVx/94DC5+i4g+PMd+hwMPCoDRISR+HOI8VMn5x5rtMfN8lY/enSZNW5hz7UOaLcTJ9&#10;HTb25tSpU6v64VrPc2DkOPHJ8Zt6J/FnEG1maSTW6FAZcxoRN5s6UNu27RD0V5D0Az3DoIGDceTw&#10;EcUYe/zRx9lv5FG9tvg3GFvcm3rnpty3+30bBkVf34ZB0ddPcv9eE4JBTmnTyfifMAtjGHdnw/o/&#10;1DzdjKHXoEEDNW+G5kx0a+pCu3buRkpHwyDKXtYsWZE160cxLpkyZUL69BnUvIxxkVnOWa/Lz5gx&#10;U4L+Rk+dKrWlbF4jUzTl8z4yyP1zSZUqVZzvg8+ekM+RKVNmS3ksN63oMXGpV6bPmTM3ChcqAtdi&#10;n0VaOBbu449dVH0k9O9+1p+uh6xZs8Zar7CWg1f5Y5Y7e2kpj9HVV7oP0yFPHmcULhy5flhfuXPl&#10;ln7hdNHmj65scy5pMS2+DEohMeLatuuAZ6L7kC1kyKRJk1GjRk0sXLgYCxcslH6gcHWc56Ljj87P&#10;ubwrV6wmMhhXDiUfW5xuj4uJT4dtGxbTfsGChZA7dx5hUvpov2NHB0fkz5/fUn6RIkVj3WbF5jv/&#10;SNpu63tlmxNVPrb31s+ZMSN99GP/HbEdL1SgkOVan+T9NE75ba+VJk0aNWba+t75W8A2XVT7/E3P&#10;6zNvDY986D84HX4dlwoz5/+vWiZOdcAvI9OgeYucKPF5MRQqWBgJxX5yr3ChwpZ64D2kSxe7tjxH&#10;jpyR8lk/++ts589XwG59UTZZZuNGTbBl8xY1t/VFiaHCOa63bvXBDy1+UOfz5MmToPIY1fsyx2L/&#10;nb2puooXg8Rellbmmzt1OgTPhS9kDO1wtKedOP4Xunf7CY0aNVbzOcTEHuvz9JFbttRLZFhs52rc&#10;a2xZlHwYpH9fdurYSdUp6zW65fLly2pO+p07d2H27Dno1rW7jA0uD7YF0f2m5Hm/vX4qVkWlipVj&#10;5FZc5DCvS16sXrVa3Tfbm8yZxecxCrZkz55D+a7w+fr07iNtctwYxDmQS5YoCu/NwMAhHyoGRHWd&#10;2B5zcXFB4+9yq/JYZqMmeZQ+GlN+Pl8R+V3f7PtcmDr7/1nys4yoluVr/41uPTKhVMmiyCW//eOr&#10;E+WQemzTLpvlWm3aZwPZEtN983y2bNnRvftP0cpYdPJnfW758uVK7myvy+f75JNPFXsOHTpkudbN&#10;mzfh57dPze2my+Hca983b6HKIddtyzL7754dCfUO4scgJzT9LiI2HPnDxdPTE2VKlwX9EDg2aO1a&#10;b0tsUmvORLdNOWScbcaVYwy52PcNvb8M0t+u9frOnTsYN268+k2fM2euKL9jHvf0HKXag19+GRbr&#10;Nism+WN741r0M3Cu+6tXr6L4Z5/btRMmJgZRlyj+mSvmLPq/lrY8NgzKLm34Z66uGDI8rSXfstX/&#10;xsChH6Lht874vHgx9dve3T0/uv6UGTPn/a8l3fyl/4PKlQsqdsaHQ/xeho1yspQ74tfUUbIgqnfH&#10;eabbtmlr4YK1HMV12x6DKGs1PWqBzGGZISGh6NmjZyT9q2oVd0z9faplzuvmzb9Xz8DfGVHdtzmW&#10;9FkUHwY5iq1s905fi52NDAoNDUVtiRe3Y/tOhIacwZ07d9V5MufevXuRYpXa45Dm2ayZs1X8HsOg&#10;5xLrdVikbzUq+0jdOvXE/2OQxKaYifPnI/zg+a37+/ujerUacI7CFpYhQ0Z4iN2U6bZv3y6/U/Ml&#10;yLeePl16NPzmW1Xu1i1bUSB/QbvlJiYG5cnzMVq2zm5px2OjB9GW5lqsKEaPTaXyLVrxAdp1+Ejp&#10;NwXFRkjbk9ZryapPP42w1X35lQumzPivyjNXmFepUsEo31Fs2ln2oRUr5oqFyz/AsjX/xlLh32Kv&#10;/yguxkaPYF8d5YdyMHTI0BhlLSr5sz5GO5r1fWcUOWNc4uDgYDVmferUaWKLLIm8Mmcl9V4nJyex&#10;qaQF7bess7p16gqjQhSLqA+5iE5tXZ7ZTvrs0e/w9RhEfcNJdJ1qFl848oTsoAyfOxeu5MvXd28k&#10;Ps2aNQeLFi6yHLPHIF0WfRsKF5Q+CokBFDs/7eSrB5FBHzt/bOm31/1F1mv2A+fJ7YwCYl/7vHgJ&#10;sYV2t7CIugj1Utpc9Lvnmr+7ixQuiuPHj6vvvXSpMkiVMu4+AdZlcjt3rjwYO2askofBgwaDnLFN&#10;o/cTC4OoA5UsURhLV/0n1gxif0uxosXgOSa1yjNusiPKlCkinMmnfET0M9qu2ebmEr2gmMwl3KHj&#10;R1izEcKMD1C1agGQU7bpY9onQ2rW/FTdQ1uxwX1V30Vtf/HFJ8gs/W0x5Sen2CdHOVm5cpXypbCW&#10;rbhuW+tz3C4gXNFzC0wYPwHss4yuvzJXrlyoUd0DtDGHS3tCu3Js+7ZielZzPnHx63UZ5OCYGqvX&#10;rFFtjC1LyKEzZ84gMDDQwhvGz67kVlXsdOVU3wN5ZZvPel/zbNrUGTInkWEQGRRb2z6/Mf6mdBHf&#10;q7JlyiHAP0C9p4MHA1U7Qx3F+jtk/8fcufNUms6dOiNL5iz/n70zD9OjKNd+6XWuczznEBAEjZ+M&#10;KHDClkASDGEzQCQStiQECEsCBAgQBUEhEohI2Ldh/ZTdEQICQnQgGpYIDhCQRYeABzAOKksAo8YY&#10;Yg4C8uXke341qaGmprvfft8ZkpnJ/Udf3W93VXV19f0+dz9LPdXuely27DG+9qfMzwQWRtn8ZPqT&#10;V7e7cNAWm23hTjA+QPfBjgYnVNKDth6wtecQyqHT4JcirivvWdPzzBkiTm7K1M/4e9EGXLDBBhuU&#10;boM24XxsfPQDfQrb349nf9R98zS+S9rrJGkfwm/iU5hXjv0UHeUT6+GH7by84tvowAPGeb/ws88+&#10;65+X+VKV2uZ9TDlliscQuj14rlRH1zv/vlb1GNbKQdsN3dH98/332zjmscce89/SyBz8EOA42NTY&#10;NzU1tfp2+qzjZs2a5a/FnJN1TL23/+dtt6XNf5UeVB0HBRzhp8Y/F9YVxOeDXzhcZ48v/cQTT/L/&#10;9Vtm3OLjhuPr1R7DNzvtuLNbtmyZfYu85r+pi9roDhxEn4du9wV328x/9XIcOxn6SREHYYPDvzPr&#10;/o+4O+/+F7frrq12t6JnzboG32DLI2aO+x33lc91eEdZ9eJzA/pv467//n+6W374b8ZhX/CxEVff&#10;sJa74ab/sNjH/Bi1uA30r/POPc/j4ATLc1+LPha3F46xRV537XWegyYdfYy3t4VrRXt0RZ7lxRd/&#10;47G06y671RS3X3QPXVv9nFU9B/FttJ67zvyGgWPgHXLDjdp3lBs9eow7+eST3Zw5c9pitZmnOmLE&#10;Ht6mxlqpO+80zM9dpX4W98TnlluM3EUXXuLvuVbFWO3ebYurRg+K/1vIeGIC/rrorz5vLL6hWBfC&#10;34u+9I9//MM9//zzXn7FtpS4rTLH9PMEi9cHFzMsRq9fv83acV7aRnfgIOyc2LDggMsslhrfRiUO&#10;6m82zwvrW2MATjp5Q+87r3Xc+FbADodNDlvgzjsPLtQd4zHEjjZs2CBf95wL1ndb2TcGvr+p0z7t&#10;n2eXXQblxoPE7eBTQs6/9dZbtsbXPG+jrfV54nYHWrz4q2YXIdbNrxNmtrn4etEx4zJ9+lkeS2ed&#10;dbb3qxWV17XVzynVvoNqOYg4hM9/blO35G+tsS3wCLJmmcUeLLc8CS++8Bv7L41si8fm2uOP/6LV&#10;noZf5z9bt6afP1xKF6I+84s++SnidSvZ5MRBee9/yy229DFynhdM10l9vMQizH10rq339J4bucee&#10;nZqzQvzBPffc43Fx5JFHmZ5VbNtb3RyEzWmHHQZ7XQYO2Hvv/o65UkUc1LdvX4dsv8d0IGKsqV/G&#10;vpT3fpD1+OIvWhnXdvI3P+P9RXnl4/PMXSJ2D/4kNhv9hTlXBx+ymT93xMRNS8WW0+Zm/TZ3F198&#10;iX93xKwx16kzPAQ/Dt9tuG/vh3f80HC3ZWn+oT/oQuAR3DY23m06umIT4nffG45r4aBLL7m8LS8c&#10;a6BOmDDBvtu+6OOxWSf1/vvv95hBnwE7Rxw+cWV8W2ucNXFuhxxyaFuZWO/JOobnppx6mjio5FyP&#10;LFxia/rS8N19XOIrL7/iv0fjeFd0F3xOvC9i68r6ENJ7kRthuyFDvS/5b3/7W2FMdqi7ujko1oEu&#10;tdg25nluarEdRRyEbyLoTfhh+ln58Dy17vGbjN1/C88b6EKDBg4s1SZy+VvTP+Xr7bnnAO9LIq5k&#10;B4uvgCO/ffanHL6VMv0CJ+iAzzzzjOP9ETO58cYbl6qb1T4xb8w5BVfMPyJ3Q1a5onNwM/r5/Pm/&#10;9Tp6UVld6616EPa31m2jjTYxHeitNg7C7zz9zOmm9/w/98jDj7ThLdjpXmr5neU5+dRKO9wHHLT+&#10;ep+0edG/L6UL0dbrpgv17buh6VP0A39m1iY9qOg/iByaeddMP1+LeRp8K4fyxCgxR5VvCmKpiSkI&#10;16rZ41tiPioyhznvW2+dH5Md2l2dHEROhHg+0H5jt3Cf/exGbpPPb5LLQegF2JTwvzTe+1Hztw12&#10;5J4Jz9OZPfL22u+t5fnkkEP7tbOZZrVLX4hrxO+DL4tcN6Ec84+vsz4yX3Zb0+vC+Ur7je17hPl9&#10;CxYs8P/R3UyPSeMpK7URroOxr0z+isfDV79yvCNGO1wru+d7iPz7+JjhR3SjsnVVrvtzUjk9yOT+&#10;2utZPPa6burU0z2eWnWc/3V/sBwJxPO+8MILbubMme7MM89s5yeafOzxbm2zv6H7tN/WNWwe39ZW&#10;lv4TzsFBxNV99SsneC7L5h84SRxU9J9jHuLklfLgevPnbWH2uVDeyzKTU3xvEkuAX2ADi9kK18vu&#10;0SmIv4eDzj3nvFJ+7dXJQdiegr6DDrSNcSZjUcRBxCKMGNHqu7n0yo+bz78yz5YdP/TRYyd/3nPQ&#10;GabbMF+pqC7fDsRC/PRnzp15zie9LS2UJ/fCN6Zs6GY98BHvL6omtpn5Pccee5zHwrx5z7rddh3u&#10;NrX8d6HtsnvGKs7DtF4NsXbw32mnne6/j4jRLorpLtsvles+3FQNB8FDL7w4vy2OYNFfFlluuOvc&#10;nAd+5saM2c+v1cAc6KAD4cdZf72+CfcELlrPvh37uoULF7a1Fzgnb//kE0+JgzoRK8s3P7IEXYcY&#10;2fibmf8ksQM32txB+IP/PLoQ8rWaje/tBZa/ljaY84htp9L/fXVxEOOx/dBB7ocW04YfCDtWsBUV&#10;cRDzevDX4H8h1w6/Kz1j2evwxDCbX0R/iNNO31HaDr6fSce2ctbBpjeF/lMO2x6+LfpJ/qBq4tzg&#10;Yfx66DDEqpDLjTmm2Ci5lvaj6Df2OPQhtmrr0m7gIDDVWV9lUT91bfXwUjkOMj3GdKCDDsKH0xrL&#10;Bh4W/eWvNhdvgM19PND0n+l+fhvnAwede875njPa6z+Bg2ytkLU+7uovubStfB73hPPY+/Ycubfh&#10;H30HfTy1y0kPqvQ/wm7z2quv+e9b5rESCxXqILOCnkRuhUsuqa96IzcQOisx2YMHf2AXCvfI2q8u&#10;DtrcbJNBByKvDfI+yMgiDtpi863clVev7WX7mP1snn8N9qWsceAc98fOd/NtH/Pze7ATxn67tB4x&#10;A5dY3/H7pLF0+OawXZEzgTypaRxK2lb6m+8HvkOmWmwC3y34Y/YcuZeP3S/qU9pOZ3+Lg1YPN3T2&#10;vZWtX4qDLJ7t46YDhTmncMLixYvdFZdf4W6+6RZ3xhlnuieeeMLbawNf/MNyHGy6idkRMu1w8BAc&#10;ZDmGNx/g/eTwVqibt6fMI4886u2C6GQd4+TEQZXe+wD7Znj88ce9njJm9H7t5kIiV4jhxhbHt0Rn&#10;NmKy8/Jkp31cHRyEnZH8brfe2ZoXDi6Jc2MXcRA+G3LiYP/acccPeCt9rlp/k2OBPHPoL8w3zZuv&#10;Cl8NGTLYx+WhM/F9kd6TObTYGMnfU41PKLQDD8HNZ1ucCt8W5FEgxoj5rLXY1UK71ezhoAvOv8DH&#10;bDKHQLa43sVJZTlo/KGHe30l8AP6+cyZP3Ljxx/mbWpPPPGkl1lchyvIx4Hu5H1B8FC6reQgeOjW&#10;W29t13a4R7qnXXSh4V/aYyX/wENxbII4qNJ/Gzs/4w2/HHbY4R1isJlb0tT0sL9+2w9uq1oP+uMf&#10;/+jrHnvMsW7DkusdrA4OQs5P/mprXrirrrG4aMsdE3QgxjCPgyizw/aDPT/MuONjPp660phXe505&#10;nSec2Do/9hDLd5qXtwJfy1iLoYCrTv9233a+oHBPniPkfhg1eivLd9O3A0+Fsnl7OHDgNoO9PvS+&#10;zUsnXu4ky+cON9XiM8y7T9554vJutTweiknoXdwT3ncZDlpn7Q3cfz/3QjuegA/8d7LNCWpubvb5&#10;BTkHb/C9xHfwZZdd4S67NN0ut3PttzvuaPVhp5yT/qZ9tjvuuMvWdLB87qzrIA6qSqawrlrIk40c&#10;IQYsYIE9fHD6adP8u603WxxyZkAJnxAyfMcddvJzYPEJYucrG7+0qjmI+bnk1CG3KLoMPpONNmo/&#10;DnkctMEnNvC6CXL/yu+uY7nduybHa/oOxh3UOrcHvxPzNOPr4ZjvCfxR9AWuylobA86BeygDF/Fc&#10;oX41e94lc01Psdw5b7/9tv+Pn2s5FQYN3NZh86umrWrLMqfoUbN/YAv0c1z7VOePqvZ+Kr9qua4M&#10;B32670bub4tb47HzeCHwD9c5hocCZ1Taw2Vx/fQe8W/K/e6l35ttEHterANxLD2o0v8HzjnjjG97&#10;jjnd4g6wc8R1WGuIeUTvvPOOxVYX57uO62HHIr8L7/LHP24szJMd1+MYP8W9997r6950081+LZ20&#10;TNFvbIjVrB9EPGDIrcb6cvBs6t/I4yBiBohdQKYTh/Zh5DAjrmAfW/+Oe2CTy7Np4qv5zvV9fNwb&#10;uVZj314YL/S27bYb7H1LPobPcvqEa9XumW86oP8Ax7zjYK8lxzZ2uQ+Lh1r7P9TbAJlDzb2q7bfK&#10;r1pOqXa8y3AQ+saF519cmidizujqYzjorOnn+LwL4qDqsfWZz2zYlkfnyiuuzJT3yORHHnnE21zK&#10;6jOsTX3XXXd5HkG/yvt2T/GJnYf4OTgP/kK2MU+pmpwD1XAQHLLbbgNdo+XzRAcaNdr8QBnzJvM4&#10;iLiNgw7+QEfBbpY+U2d/E+MwbNhg3z84KIvnmI+0o619d899H/HzieCGvPuGuAV8QvjA1lsXG3b1&#10;2KHO2muv47baor8bd+A4HyvHe2OtStYuim2ZcfvMNyLGjg2dN75W6Ri8Hr/y2+a7373a5svWpsdV&#10;uo+u14aHrhi3shy04f/ZyC3+699WKw/BP0uX/t3kG/97s8NJD6rq/wxe8CHgq0He47PLkqHMCTzH&#10;1lugzPFfPT5TRqfYI7cAviD8hMwXy/Ojp/WYTzRnzs/8veY8MMfvseNWE8NVDQcRx3nq6a32qyuv&#10;Xsf7c7JkZx4Hsb7N4Zb7Bh3la18329aHIBNZQ4J4NmLd8jgIuT7hsNb8PNjrinJ1E5N9zHGt8dv7&#10;H7BFrn8pfTd5vxmv/pbbac+Re3r9hJg5viPy8inAO+hOV131f30OjU+YPTOv7fg898HG+9BDD3lc&#10;jD90vOIRavx2iMe1ux2X5SDW8Pn2GdM9FrpatynbHjKReOG1TC9ja+8Lki2uDLZiDrr77uz8W5Rh&#10;PUtkC/NN4YmituGbA/Y/0GNj7tzHSvvp8TEceMCB/j6/t5wZ5PhpaWnxax1WWu8h7k9ZDsIPRPwy&#10;Oa5nPeDcPrbeDpwStxWO8zgI22WQ56uCg1p9Th11HGxS51zQGjvHukGsHxT6nu7jeaynn9E317aX&#10;1iv6zZizVjvfKODkxRdf9Os9ZM0HY14Qa1nx/yUPFD60LN5P74fOc9C4g337rG81yNZJL1MvbUe/&#10;V5+OU2bsy3AQNq91TOZ/uu9n3F9sXmpZzujqcvi6P/tZ/BepHyj8lj+o0juPOShPD+J/TpzvC8+/&#10;YPN8XjV/yaBc+cb9+M4+z/wCyBjmBxV9k8f9w8ZEHkrqEf9A3tTQzk9+8lPL/VzMfaGtshyEzAxz&#10;S8+7eH2fe4y6oZ14n8tB5k878qhNVqkeRL/jvuGXwaZGfDhrHHHMubhMfMz7ZA0E1nVosDXEiS2P&#10;r9d6TLvY175j75x3ePXV12SuA4v98+CDDvFlyIl7+GFH+PVTi/gETJGr47XXXvP5j8cfOqGqOba1&#10;PpPqrXq+KsNB3ubl9Y713CUXX+b+189TJQau8pyeruAhbHDc8+rvXGtxCGk8duAf6UFl/j8pB5HP&#10;Jase/p3vf/8mLzdGjRpt/hn0zmx88l177733+bLYXMgpnVc2nEd32neffX2M1V//uth8Gzt5n/qO&#10;O+zoY3D/+d4/3X6We6NMbF0ZDuJ+u+wy0M+ludt8KMy7ydOB6GMeB8X+oA9LD2LNUvQ1ciVk2eLo&#10;w76jWmPdmJ9axk+PD+fcC9f3PqbhwweWGtfwror26FjYDdGD+EYkniX1NxErwbwe+Ie8bw9bXknm&#10;BeB3hGt4x2zwKNhhfSvy1f3ql7/ymPqRzQGhbFbMRVHfdC37/9rdxqUUB63UO7B/bbbZViY3/rGS&#10;f1YVB61w7737T7fNANPFM21wgYekB1XCV6W4uFAf285xx072MgDfUJ4vmXgo8oGx5vKf/vQnkxXb&#10;lrKXwFuzZ8/27V9af2lbfB62rgsvvMifn3XPrMw5L6GPYV+Gg7hf8AMRz8bczaLv8DwOQuaGNbPT&#10;/GyhP53dk9ePtYRCXBw57eI28dexPirXj7d5RGXWlYJvJ67U346atLHbKInJj9uv9pj4k1O/eap/&#10;Z5dddrnpwR3jNNCrycvFevLjxh3k8cJ3y4TxEzyHwWNscNill17m+Qzd6sGfPehttJqX2jP4pFrs&#10;UL4aDmq1ga3nbr/tdotNWL5K9aB77p7Vug5rhziEwD/Sg8q8f+RVWCtzyinfbJP9aV3kM+s5L126&#10;1PuEkdlpGX4zf/Loo4728ufukuu79LU5K4euXLsD3tph+w9yBq1jcVfkagjxDSPN712kg9GHShwU&#10;9IofWVwYfqAvf3lri80ozt+cx0HMD6I+8v8yyz8At2WNS2fOwcPEDnAPuIb4g7i9rbfext044z/8&#10;dfShMvKZOIfAa/iRmIsct9mZY7ACf/z5z39xT1sefXSWtD3w8+y8Z/36DfAR/sM332ydzwwGyEf3&#10;+uuvexzBPWyNFuMPBuP8FWm7+t3zualaDmLtBPSRdywXDzayrrC1FbXBPd599z2b47CT4TorFk4c&#10;VM3/EF9Nw/ca/H8cewj+4rz6rHtHrBr5WeCFdTNiepkn+f2G7/v2ptj8xXTOa1bbrCExd+5cX+eG&#10;62/oIGORueefd4G/Ti4O8mRmtRPOVeIg/ClBb0D+sqZBqJu3z+Mg5O2OOw708p81FsrYwfLukXee&#10;WEXW84aDyDUa55vAXrXrroP8tTttjaFtLSdfkT4X32PgwEGWm+hf29b7XmedD3IF0kad6UptW8kc&#10;F6H9fv36OdaoI1Ybu1sam4Dv7/777vexccQabGHzTpnTzJpVv/71rz3/4Hv89a//23PPMRa7CVfF&#10;zx7upX3P5534HVbNQeghlndn5l0/WiUcxPcQOnt+LJw4KH6flY7JURNioPkW/ZT5HvLqYGM589tn&#10;tvKVrQmUxVesddDy2xbv1/nizsM6yJ60bXQa/MvMYX733XfdiN1HdJgfCqcQI8f3MTFXe+21d6HP&#10;vYiDQh5qfEBszA3Cn5L2K/2dx0GUY225mZYHlPa+sG3Hb/60rWp/w/3Y+eCgvfbq324NIeYyhdjw&#10;C+o/4WPTyraPTS+0iz8sjaUbbHFnwSbGcdl2KQdXhLnPRx89qUPbxG032LfKvbPvtbi8Vlsdvsn+&#10;/Qe03TPcm/gJvjvk/+ldXJOHp1o4iBi53b/0ZZMj2ONWfKgbHLSP+a7zY+HEQXnvNus8suUPf/iD&#10;5wy+Qz9ekGfF+/GH7eK/ba+95toOdn78yOTSJ4cY+QLLrHu3+eabu/vua41f+MGtP7A5sptkyjr4&#10;j7g93v+tVg4fSNbzcK6Ig5ifGXIi4JMnJqyM3lDEQcTvkSMUjiCfQS052PKehfN8/99o684xP2iH&#10;7b/Qjn/JW3Pm2a38VO16DPAX6+LRb9aATfMvDLAYN/wvjz32mI+DLupjeo1vmUMPGe/f19lnndNh&#10;jjIcdYHpPKxPxTuJ68M12BOxmTL3lvcZX9dx7+aiajkoxMitZfFpd9/9E/eSzetga1m5f+n3f2g7&#10;99LvW6+FMv53es7q/Y46cb3Qlu3vvf8Bt/Y6xJ3GXJN3rJiEov8rnLHTjjt7/eMPNt7IuqLyfSwv&#10;F7b95559zsuOAUmeF+w2IbfcNcZRRTzBfchvydrQxEeRcwz/c56vB57gO4dy+KRY9ygv/jiPg0Je&#10;OOYDEWM2cuSATF0uawyKOIjnPPu81rk5J528YQd5m9Ve2XPYsHawXHbwz022fkP8jhgT8qU13PLv&#10;/nl23WVQVeu30vbOOw32PrErLNdd6rfpbzrJ/fZ/I3bA52Wz+5XtN++RucnvWTzjVVdeZfzWPq7+&#10;kzY364QTvuZzb5D/tGy7Kte7+Yf3WzUHtXEBsbrrfbCOAmsprL2uX2uV9VZr2cJaraFu/FscdGGp&#10;+Kei/yy2j2MmHeO/Ve/84Z3ml67sT0eWXHfd9d52hs4TcwZ51/DXoKscdeTRFf38/f6rn/vJrJ/4&#10;8viQKs3/IQcBubtpn5jevHn4eRyEzhXmA1146XpV+W6KOKiv5dLZf//WmIGLrN3+JruLxr2aa8Sr&#10;BVvbWed9st1at3AqviD4FD2pWp6Aw9CDWd+bNcjJsRfnLEA/ucvWekevZb3SPM7Peh5wgS0N+yoc&#10;lOYXoq2x++3v3yXfE2V00az76Fzv46TaOQhdBB5aVVue7hOflx5U9B8l38FNN93k+YQ5g0XzY0I7&#10;2EeOnHiUlx2sU0jMFteQ+8jAV155xccscBzqZO2RUQcddLCXb+T+33mnYRXnqBADwdqdb731lrcH&#10;krshy3aYxUF8d+9iesLd933Uy9tWP1B+/EXa5yIOCs/O2kM/bPwXN3ToFyo+S9p+3m/i7OqvWNfb&#10;y8hLF6/bQExjWG8C+2I1+YzC/eD9qd/6tG9/wuH/5WMQwjX0O2yucP4EW5MFzgvXKu3RsdCx0XGJ&#10;J+F7I61DXAu5nCYecWS7b5m0nH73Pp4peqdrr7WO5f+0HNQ9fTMfVevcod5hSw7xSV+3/J/IBOKH&#10;yswDyXvXfIfi/yEnKHHPzOkp851LrDRlWbuF+TrMdeQe+LP33WeU55Sf/vSnJg+37CBz4r605kRo&#10;9M8yY8YtpXMp4JsmXxBjgE87K2dlFgdttdVWbfOBzjK7GfP54/5UOi7iIOoS2/yt6X29LD/y6I27&#10;xB6H/41YAfw1xDtsP7R9Pm/0VuLBuU5Mdi0xy8SVHGrrPNAGfqU4DxP5Qb817Qw/1tPte4P5o5XG&#10;KVyn7le/cryvy1yhrPlH5DUl9u3006d1iFkI7Wi/ZvFP6/te22S38VCP3z5uz/Bxsy2Wt2F3Z7x3&#10;NQdhl2IuKLKc/DjMRS/7/MQ2E5v4+oLXPR8h84ltYm1L2ptiucCCfpTVJt/I2PHw7WCrIT9CGf6j&#10;LcodeMA4Hx8HD2b5hVIOGjx4W7fTTtv6vHA/sflArLWQFdOX1ddwrhIHEVs3YsQ23i42445/s3XL&#10;B1lfzR5tfa51451Ms7Xo4Af28dxUbFdDbQ0G8n2je5X9hkj7wngOGzbI50tAjxtoOUFDGa7xXUHM&#10;4s9/3uRzJ4VrlfaM13XXXufxMHrU6Mw5S3yHEO9wpdnqquG3SvfW9doxp7HT2OVhoCs5iG9U7CRv&#10;vvmm11uIycY3lHfv9Dxzfr5+0je8fBkzeozlU/m092czx4f5ILQd+4nS+thl7rnnnjb+S+Ox0vLp&#10;b77Vm5qafP3vfQ+/0Cbt+p5yEH6J4Ac676L1S80HSu9ZiYMoT4zd5d9Zx3PGEZZLO433Stss+o1d&#10;FP8M82jx1WA7jOeesp5D8EGxDlD/EnOc8u6HTohPCK5jvm3sEyK28ZVXXvU2M+aHluFV+BFOfPXV&#10;1xy5Z/P8VLy322x+O99AacxCXl91XjJSGFg9GOgqDkKOIZNnmq8ZneXOO++qWiYjo5j7gy3/8suv&#10;8N/HzENEr/nlL3/p19fMwwkybPSoMd5PgA5EPmxyDeSVzzqPX2LcgQd5/vz73//uc1nCO6FsykH4&#10;7X9s+gL2rBEjtq5pnmMZDiLeeMx+W3qd4ubbP2Y+rm1dXk6j0NesPfoHsQIXXPIJzwvfmLKhX48n&#10;Lkv+G87DGyd+oy43pj2uk3fMPOXA0eQAj3VY4kBYYwGsXHThxT62oFL8AN8UIT4SnDH/NOve8OzF&#10;F13snnryKVv7YUBmmax6Ord6ZJDGfc0e985yEHKDuTfwzy233OJlCn4guKMaHSjgkDjep556yudb&#10;oc2gFxGT3a8gjwH+nNtX+nNm2/zENAd0aL/SHv/Oo48+6p/jmquvaed/iTmIuaOs0Y2srmY+UHr/&#10;MhzEGKMLkVeU+xFLQA7rMrEe4X7oj4ztsZNb1/e5weLdGF/0nlCGPfrJVdes7e8D7xXNLY7rZR2z&#10;5vf+B2zu20JPZGxDOfqD3xC7JzkAWU8wbw4XdbCpEUP3qvl54C3mH6dzX0Pb5EfCZ4SexTPD19Vs&#10;WWsNhra1X7Plpd5/17//LA7iWzjkGM7ak4cNuxt2Dv7jxL698MILXjZgMzvK8rrFPuhq3hv5tVmX&#10;gbwFxKrNnNmqVxGTjW0uqy36iAxDd0E+EV/HHKGsspXOoQud+LWTfDsL/7jQy8mwfnTMQXABG/HL&#10;e+/dv11cWaV7xNfLcBDlyfO8vcXFkbeH+55vusx22w3xawPGulrcdjjGpwS3HHbEpt7Pw5yg/cZu&#10;6ch7E8qwhxe4BzY61kIdMqR8fp64nXDMe6GPd1muH3xC2M7ivm5muZTgCmK0f2e2tX323sfsjFua&#10;Prmhn48ElzCHeGvj37332sfNszxwvN/rLe9SUR4k/ILowW//z9s+X9x+Y8ZabvRyG/fJy1kYnkv7&#10;rpdDGtM1d0xTDiImgO/jStto89dg7/j5z3/u7V/IBtZgYQ47sVyV7Cp5mMOmxzcu7b215C1vhyPG&#10;mv7ktUmsL/OQqIPvCNmW136Z88RVkfeS9vw6RSv1rywOQgcqWt+60v3KchDtoPcQA3H9Sh/L93/w&#10;7+6AAzf380uxU4V3Gfbkw9t6wEAfG8D8IriLdYBGjd4q06cU5zdgnlOeravSM8XXkefoQNwbro7z&#10;F2EbJFZh+pln+bFevHixu9biDY44fKLnfuIWpllsG74d4ix5Hz/60Y89FoiJj+8TH/OewAs2XOpU&#10;s/EtJQ5ac+VhjCMdrxocBHkVYrNbv0l/5/MLk2M4awvyIPy30VnIPcz8dfKE5nFF2XfK9/IiW8Mw&#10;tE9Mdp48ZB4POa/pA33vinWYsfGccPzX/P15VtY4w9+UctCsBz7iWCMHm1PZZ0vLVcNB1CVOkJgC&#10;chsg19kuMdscc3DItxN/O4yyuGrm96DTUA79hzzZ6BXI/7QvcZ63avPzpG2F3/h9jjiydS2+k07u&#10;6F/yPDRwkI/Vjt95ePdhz5pB+I+ISYh5LNwn3Q+0Nn/x+C8y8ZuF6XDuZ7beuzho1cie9J3p95o5&#10;7ikHhf98pT1zBH/zm9/4uYbkxcEmV4v/Jwt36DHMow99+OaUU3PzZGM3nDFjhi/72GOPm4+9cq7q&#10;rHum5/C/8Hz04eabZ3hfRcpBp9kczLJ54dL2w+9qOYh66DzDvjjY6xfYAgMXFe2vuXEtP9eHWLUs&#10;/qFd5DY2M9qBWzvjCwrPx9xjYu/o59U39Mm0oWE3JdaPePizzjrbfc/yrTNXi411Os4793xvl6Xv&#10;ZeezMr8s5uNqjsVBa6YsDJjVftW+/8BB1fxH47L4GZgn2FndJ37vxIHF9+AYG39chmPW0ST38ZjR&#10;+/l4thG7f7m0jErbSn/TB9bYJE6OOHHyqeHfSPtV7Xyg9D5wUNxm2fmg6Gr0idi8b5yyoc9tOsNi&#10;5gIPES+BzW76uZ90Yy3fD/dAz4FH0z7wm3V/4n5sa+PaFe+UNtBrQ9voMeQOzeqDX9vU/EE8VyjP&#10;WoXkavpMwdofWW3Bs5+wZ6pl4z1ntalzq1Y2abzXjPHGD80WuKjsHhnN//vDwAnyI+1H1n3Wt+/n&#10;uBx9yipX6zn8I3H78GD8uyvux5oPcZtwQdn+Mk74iPC/IduD3I736A7oTeSJLmqX+8b96Cy3xveC&#10;L+O26Xd8XcdrhqzRe9Z7FgZ6LwbQb+BIbF9s5OOJ147Tu++9717vVu9WGBAGhAFhQBgQBoQBYUAY&#10;EAaEAWFAGBAGhAFhQBgQBoQBYUAY+PAwwJo78aax/vDGWmOrsRUGej8GRu4x0h1++BF+47iad76B&#10;xV0deMCBbfVDHrI4Ritub9S+o9rKhnvm7cfuN9aNG3eQzdHZ1Hzt2fFd5NzOq5+epz3uv/vuIzrk&#10;S4v7mHU8dOhQX5fnOu64ye6s6Wf5jWPO0S5lsuqGc/FYUT6cL7sfO3b/tmflGcrWU7ne/x/WO9Y7&#10;7skYOPTQ8e6GG27wG8fVPAv8gDx+4oknvSxm7g71kcvM82Qft8fvl156qfQ2y9bmvuyyy307e+25&#10;l58bFLfHug30vUybzzzzjO/n7bff7saPn+DnAcXriMbthmM41fPmYYf7uiEPTLgfz8g5nv9wKwPP&#10;BR4ObYQ995p09CTf13RcQpm8PfxGn7nvQw89ZGsW7dVuXPPq6bxkkzAgDHR3DMA7yHq2ajlozJgx&#10;vh4ymFxy4VmLOAi5jRwNukTenv5QjhzLbHARfBB4jnvBQZTjel474Txrm1H2ueee8/xI26x9l6e/&#10;wCXkRKUOPEP54796vOfDcQeOs3ms4/wx57hGGcpSJ4uH4KCvf711naRqOIjnJa9n6Dc8JA6SXAn/&#10;Ne2FhZ6Ogc5wEPYh5K+XvZF9qBIHwQvoULFfJT7GxjZ0u6GO9pHp6C7IeHSeWP4GDkIuj7D7x22k&#10;x9wPztxz5F5ep3j99dcdG31NOQO7GfeFWykzfvwEz7H0K33fnKNPlKEsdbJ4iP7UwkHY3c4449ue&#10;N+FvcZBkTopB/RYmejIGOsNByF5kIhwEH4RxKMNByORQvmiPHoD+gx4ED6G7hLoxB8XcVNQe1+A3&#10;2oEz6Hvqnzn0kEM973Hd60pWvmKbZi8rarMWDoILGUv0PLiNTRwkeVMJi7oujPQkDHSGg7C/IRPR&#10;a2IdoSs5iLGEh8htCSegE+27z76eE2rlINpEvwi8Rn/DOwu+F3SOE792ouercK3SHm5DH4Ir8Q/F&#10;dr5aOAhehSPhIPrIsThI8qUSDnVdGOlJGOgMBxF7Fjgo6CY8e1dzEG3CO0EGE4vHuc5wUNAx4Bri&#10;20L/sdXNmTPH3yv2cZV9p9Shn/hvaCvUq5aD4PTAZ3D80O22b3v+anS+cH/tJZeEAWGgO2KgMxyE&#10;bsI3Ov6KIMN5xg+Dg5DJyGJ0IXz03KczHET90H/apf/4hbCnLVq0yE2YcFi7Zyr77miHNuA2OCTo&#10;h9VwUByHAJfRz81tbYvAweIgyZKyeFQ5YaW7Y6BWDor1CGKOP2wOon24As5DJjOuneUgYttiPQ77&#10;HHEPv/rVr9zoUR/E+VX7DvEvwR2x3bAaDgpxCNj04DFsep191mqfQeUlu4QBYWBVYKBWDvr85zb2&#10;+g9yMvan0OcPQw/C1xLmAhEzwH06K5dDP4mvhiNoF+648cYbbT23L7XZ0ap9D3AI/AO/MWeI+mU5&#10;KHA7XIveE+yBnX3Wap9B5SV/hAFhYFVgoBYOwlaEryPEaqVxZUG253FTsH1V83ysLcf9kO3MV6Vu&#10;Z+QyugUxB4FDeSb6y+8pU77ZZkOrpo+hLHxz+mmnt7XN+bIclMYhhLjxzjxr6Jf2kinCgDDQ3TAQ&#10;cxDzcZCVRRv+DdbxhkeQ12n8F8/X1RwE5wS+4Jj+cZ9a5TL1mcODnoKuETg09HuPL++Rmx+ozPsL&#10;fIZPiDbRbbhnpflBaRxCrIvV+qxl+qsykkvCgDCwujAQOAgdg+9/5GTedsopU/z3/VVXXeV1Evgn&#10;6CRx/4MsZ591Hv4qmqMaOBCbFvEHxDzAd52Zo0qb2A+JqYNjeF7iG+gjugbXyU8XeCPudy3HYQwY&#10;y/A8RRwU4hDoF/ZAfF6cC/cWB0lGBCxoLyz0JgwEDkL2VtreffddX+b88873snvXXXZrk5HxmAT5&#10;m8dB2NPyeC6cP23qaZ5zkMfoK/AQ+kqWXIZLKvHnqaee6ucDPfTQQ27x4sVe/6F/YQ4PPFHEEfHz&#10;lTkOY0CbZTgoKw4hvo84SHInxoOOhYfegoHAQchm5Gal7ZCDD3G333a7e/755719LCtOOMhf9vE4&#10;hfOVuI7rxEezn3jERN+n3XbdrR3/0G6Qy2XaC2XCc+66y67tcvSsTg4KcQhwaRyHEI9deFb4OGvM&#10;47I6lnwSBoSBnoKBwEHIPo4r9RtZ7dcRMDvcm2++6Xko9ltQP3BNHgdhi+Nape2Siy9xjz32mNeH&#10;uEfwz4c+xnK5Ultchz9nzLjFPfLIo24PW6citiPCA9jo4CrKhnvUuqcN2gpx60UcB6egGxILRx/S&#10;56QP8bOKgyRfasWl6gk73Q0D1XJQ6D/yG/sYchN5G9vIgvxNZXk4XyYujvawk+EXwQ+E/kIsXnyf&#10;auUysh17HnNIm5ubPQcFWxzPFfqHXyiLB8KzV9pn8VkeBxGHwFji7yJ3UMrn4V7VPmuop71kjjAg&#10;DHRnDNTKQXDB6FGjvV8f2Ym/PzxnkOWd4aDQFveBh4JPiHlC4Vqtchk5P9X8Tfj/Q84F2uQYe1j6&#10;POF+ZffwSuDnMJ82i4N4Nu5JP3i+NA4hvl+tzxq3oWPJImFAGOhuGKiVg3gO9AVseGwch2frSg6i&#10;TXgHXiA+IcRRc74zcvlLw3f3Otx4y0MAP9AeMXPwATpXbKcLz1V2T13GhLbCHNMsDgpxCNjs6Ees&#10;k6X36syzpm3pt+SQMCAMdBcMdIaD8uRiV3NQkN/Yq2LdKu/+ZcYWbkD3wM5HO9QJXId9kflDZdrJ&#10;KoOehT5F20FvC88Q/E1l4hDitjvzrHE7OpbsEQaEge6Egc5wUFhHNY3V+rA4KMjvMH6dkcvoPPQb&#10;fSVwUOAFuA5bWpFeEvqQ7qkT5tPGc11TDioThxC33ZlnjdvRseSPMCAMdCcMdIaDsIthH0OOEysX&#10;nqurOQhfE7a4ruSgoKsQjxY4iP7zTDxPJf9MeNZ4H/w7YUzi+LWUg8rEIcRti4MkN2I86Fh46C0Y&#10;qJWDkKl854d4rmBzYly6moPgBXwryPaQA5T71CqX0VXwv8BpIV9peJ/Ew/Fc2OOwpQV/TrhetKef&#10;cGWIsWaMQvmUg8rEIYS67Gt91rgNHUtuCQPCQHfDQC0chDzFX4IcDbHZ2LHCs3UVB9Emch3bFnyB&#10;fMePH+5Ti1yGK+k7fIaukxULzXp5wZ7GHn0mfr5w/7D3MYLmXwp1sOOFtV5DmZiDGDeep1IcQqjL&#10;vpZnjevrWLJHGBAGuiMGYg5i/g3yNm9DJyCWGNmJHEUHQu6mcrwMB40wLsm7D+dZ24d20EW4D/fj&#10;Psj7MI6xXN5l2K6F7bEuA/XJcQf3hL7H+ltolz194N7k9cFeR1+wnxF3DZ+whbk9cFroJ3t4M+4n&#10;7cUcBP9g76tGx4qflb7FfdWxZIswIAz0VAwEDkImI5srbcR7IUMpV2vOUtqodB+u06dgE4M/0nmj&#10;QS6X7Ttt0Xf4DB4tir+GQ5D1cCx9oS68wfzakNOO45DfgGcKOlPKP2Aj5iDaysuHkIej8Kz0RRwk&#10;eZOHE50XNnoaBuAgZCnytcxGWXLeoDPlxY2hM4QtHg/OlblHkPXHHTfZt0O8Q5YtDLlctu/oJ9jI&#10;6ANrEcVzauM+psfBdkdduCtwMFzGMee8jdB0odhOmLYDB4X5VPQ51R3T8unv8Kw8hzhIcibFh34L&#10;Ez0VA+gWyLeyG/anVB8p++zUreY+yO2ituGlsu2FtSKyuKzoHlxDr4GLiOfGFhn4lWPOcS1L94nb&#10;5XroK32pVD6uy3H8nhjH9Lp+SwYJA8KAMCAMCAPCgDAgDAgDwoAwIAwIA8KAMCAMCAPCgDAgDAgD&#10;woAwIAwIA8KAMCAMCAPCgDAgDAgDwoAwIAwIA8KAMCAMCAPdBwN1FgM8v2GkW7FiuW0r2raGluUW&#10;CzwyNx64aWqdlV3aVp66TUtXuD51U3Pr8N5rvV81dafV9XHLlza169ty69+0pqXWt7rC/nGfcba9&#10;09LQrv47Vn9cQ0vFutRnyxqfeHyrOZ6/fIWrG9lQ+t6hD9q3vguNg8ZBGOi+GEDeLjB5O2RqU5uM&#10;axhpMnSJydscPqmzOvOMt8Y1zG+rQzvz5jdUlJXUfdHqTmtaYnXrfH3kdUMLv/M5DwyldfkNfza0&#10;vN+uLhz0Z+Og8ExpPdoq2tIxGWLlFzRNrZqDyjxTUT+4xrO8uKSp4rhWakfXi9+5xkfjIwysHgwg&#10;4x5cYPwT8U0qg9N3k3W9rJyuM7kqDir/rsVB5ccqxal+a+yEge6PgQdNB5nWtMD0gro23aASn2Tx&#10;Fu+6jD5TJw5qG+cy/w9xUPf/D5V5jyqj9ygMdMRAEddkcVMYwzyuKSMv69ZQDsK+uWJ5SzsfU1mf&#10;kPxBHbEbsKi9xkYY6LkYKOKMPJ9QFocEDMBpL5rfJPhhwvl4n1U/j9PiehyndfndU/xBeeOZPqN+&#10;99z/k96d3p0wUB0GkIsN84kr6BgLkBdjUMQzdRk6TvpOssqIg6p7b+mY6rfGTxgQBnoaBuoy+AJ+&#10;6Td8uPdX5NnpUt0prsMYVPrez7qvOEj/n572/1F/hVlhoHMYyIptu9H0omkPPm0cVOd5KMsnlOpO&#10;aZ08/Sm8r7oM7hMHde5dhrHVXuMoDAgDPQUD6DNxTHadcUPqW0n5hjJpXPVsi6u7tpm4ulZ7HmXS&#10;uUPxmGS1IQ7S/ybGiI6FB2Gg92Mg1XHQX5qfbnDzWprb5kOmOk3qC+L30w9OdXObP6gDdoo4pc6u&#10;pzxWVD7GYlqX3ylvUh5+7W5zVCvZKOPn1HHv///pHesdr8kYyPL1ILdvf/pBi2u7oi2uLeWclJP4&#10;Pdt4a/a0aZZDABteK65SHSucZ19n25rKQdXGZi+y/EBFMYbxuOpYMk0YEAZ6CgZSLqHfQS96cGq/&#10;tjmrdQlfpLa58LthpOXLieLrUu6KxyVtk2voQWnuuby5M3HeN9rqKXpQPAZljnlHaQ6lMvVURnJI&#10;GBAGujsGAncEH07MGem1+HfgqTRmYVpdXQffUqrrhDGpS3gtnK9lT1viIP3fasGO6gg3wsDqwQBy&#10;O+WHWC+Kj3lHwa42xPLJxXk7Y96Kj8N7jbkrnGNfl3H/+Ho1x7QlDlo9OKrmPams3pEwIAwEDFTi&#10;i/R6+D3Z8mrHebFTrkp1pPR6uH/dGspBcLL8Qfofhv+B9sLCmoqBoNeEPNlwQhxLnff7xpvnt7O3&#10;pXpO+jttJ4w351M9bE3wBzE+RethhPHRXrJJGBAGejMGUn0l6Dlx/FXKJ8xDbW5+2uavNufOX83S&#10;e7JirutyOKjMWjtpXX73FFucOEhypTfLFT2b8F0GA/BN7NOhTqoXZZ2jzJ/feNDir+f5+OusdrLO&#10;ZbVdZ/fM0oPEQcJwGQyrjHAiDPRcDJTVVVLdiN+zZp5ic1ev8ByU1Q64KKNj1YmD2uZR6b/Uc/9L&#10;end6d8JA9RhIbWzwQewLCmOanuf3RRdZLp66U7z8zLMrpXoP9VKdJ+tcls2uj9VNt7Quv2WL6zhO&#10;6bjpt8ZIGBAGVjcG6jL4IE+foa8pX8X9T/WdcI320nmVaTtZ/VjVHIRet8jWOcqbB8v5OEdBmfLp&#10;OnPpMzEO1cbF0Y93bBvX0NKBj8OYay/ZIgwIAz0BA6l9jT7n6TNcS3Wa8Iy0k/qUwrU6u5bqVSnP&#10;USbVjVJ5HdpL92ldfteiB/EMfzYOmta01GR7XaflO2P14pKmtjx79LvsM6XPGP9m7Ja0NIiDbBzi&#10;cdGxxkMY6HkYyOKUPH2G95ul04Tz8TyhFAup7K2ztmJe4rc4qBx+xEHlxinFoH5r3ISB7oeBlBuK&#10;9BneX13CHeGdFulOlMnSCWKuo11xUDl8iIPKjVPApvYaL2Gge2JgG5P7rzZOMv/H8nY+kNSHkb4/&#10;eCsrl2hDy3KzjXRc/5v6cFuWr6Vp6QqLaZjquQ37WdqXojZDv+qs7TJ14cHlS5vaPWuc6zSvj0X+&#10;oUrX0rHMG7tK7aTX5Q/qnv+pgEnt9X6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gT7uiuF93PJlzW7FihXuwYXL&#10;Xd3waU7jov+GMCAMCAOrBgP1/fq4999vdtc2LnTvLWx005qWuuF96tyy5no3e+EKt6Cx3jUtXeH6&#10;1E11zfX93IIV77vZ9Y1u0YqFbsjUJtc4sY9rXLjQ1feb2KGd+n51rvmdZje8X71baO01XNXsGhc0&#10;u6apx7hlK5a6WY3zTP7Pd8tN/t88f5lrPGaib2t4n4nuRe5/aaNb9vZCt2L5Ms8PXzN+WGZ9fH/Z&#10;MvfG8hXuoGlN7vmGicYfrb/Psd8v2/UhExvdy40T3WR7ptC/myce4+/1nt3rgqaFdn2Kvz6pro9b&#10;Or/Bc9AiuzbVnok2xlkbS6wPcBPb1c3vu1cbT7C+LndvL3vb1Te/Z1zVT3zVZ9XgVPJA4ywM9E4M&#10;NE01vlm2xDU/t9QtW/qca1qyzE3bfKpbtqTJzV+6zC16rtktNJm/t8nmhU1T3SI7nt/8nNVZany1&#10;xGRwnZfDWe3Ub2O8lcFBzfWT3VXN75hMn+w5L7TRuJLPYg56etlCN3Z4vVtgfHBmfbNbZPww1vZP&#10;1w93j8xb4l5eMtcNmdTof89tWWr88Ug7DgK3Q2x7w/p+QuMbpvfUud8sbXYvPzDLcxD9bnxjiTuh&#10;3yS3+I1GN9zaps5k2xbavSbac8NFDcZBC5uvcuPog7VVb7/FQb3zPyFZp/cqDKwaDNSZnH2+YaSb&#10;PfsNt+L9ZjenZbmbN3+Wu3lyg2t6o8V0oUbXYvrGc7NmudMa5ruWlgb3XONs947pQnNmtbiG+fNN&#10;Do90ee1cMbbBzX+v2Y0f2eAWWN1rzzS9yfSgwEELjIOCnjHf7jPrW1Z++UI30soHPShwEHpUfUNL&#10;Ow6a93vjnCXz2nHQMuOgiVYu6EFgKYuDFhgHNdjzNk3dN5ODtrF6t9dPNN6ZZX1c3sZBcBT6YL1x&#10;qDho1eBU8kDjLAz0TgwMNzn7ssl27E/Y4S4yO9zLTdO8nnN202Kzw03ydrimadPcA/MWu6bFz7jG&#10;SaYLmR3uIrN7Pb24yfUxO1teO9je4DZ45ullK9wV+5hdzzgIbltm54ItDvvY2WYfa5w43MouNI5b&#10;4V42fasWW9z79hzcb4lt+xhfBOzePLGunS1ugdniKPcrszMu/e0cf88lds+gB420sXnDxgL+oa3j&#10;rC14UBzUO/8LASfa6/0KA70HA/iasMXBU7xXfgc9qEiPgNOCHoSvqY/5h6iPfQxfTT/z1QgnvQcn&#10;epd6l8KAMCAMCAPCgDAgDAgDwoAwIAwIA8KAMCAMCAPCgDAgDAgDwoAwIAwIA8KAMCAMCAPCgDAg&#10;DAgDwoAwIAwIA8KAMCAMCAPCgDDQkzHw1FNPuSeeeMI9+eSTfj937lz38MMPu4ceesjNmTPHPfDA&#10;A+6++/4/e/cd7FdV9gt8/WvBgr1EsUSxYgMbCZyTRugkoQTSSAKpdAiEHkIoIYQWQORAEJTqESvO&#10;xcjIBTTGio4YO4pRscWoDONkMnPXZ4XveXfOm/DivTP3fc34xzNr7bVX22s9z/f7PGvv3zn3lC9+&#10;8YtNXMt/9rOfLX19fWXZsmVl6dKlZcmSJeWMM84oCxcuLBdddFH56Ec/Wm688cZy2WWX1d+enVpm&#10;zZpVZsyY0WTmzJnlrLPOKrfddlv5TP3t8+c///ny5S9/uXz3u98tf/7zn+vf3/hb+fvf/76FdMue&#10;/exnF/Lc5z63vPCFL2ySsuc85zkl4v7zn//8dv+lL31pecMb3tCuX/ayl5WhQ4eWnXbaqQwZMqS8&#10;6U1vKq9+9avLS17yktavvrRT5r627rnWVv41r3lNk4yvzute97ry5je/ufX9qle9qtXbcccdWztt&#10;X/7yl7cydXt6esrZZ5/d1mnlypVl+fLlbQ2PP/74tl4LFiwop5xySjnttNOKvHTu3LnluOOOa9dn&#10;nnlmW+/cV9c6W39lJ5xwQqt30kkntX5OPvnkVnbiiSeWadOmtfGnTJlSZs+eXY455pgyf/781v+x&#10;xx7bxtDeWOYjr13y6qRM6nrSpEmlt7e32Ftl5kKMa27akh122HG7EftJH175ylcW+23/CZ1xT/lb&#10;3/rW8sY3vrG84hWvaHtP7973vvc1XVTn7W9/e2vzlre8pZXRLXXe+c53tnp08x3veEfZfffdy5gx&#10;Y8ree+9d9ttvvzJq1Kiy6667ll122aXdt/YjR44se+65ZxkxYkS59NJLy09/+tPys5/9bEB+/vOf&#10;l8gvfvGLQlwn/8tf/rK1o4ts+Pzzzy8XX3xx083LL7+83bvkkvp3Aqqwe/VSrt6FF17Y2mnrGi7I&#10;K8+1FCZo6768uUqJsgsuuKClqaMPddxbtGhR69Mc9JtUv/IZ27X7+uqWwSnywQ9+sLz//e8vu+22&#10;W1tHKRlcZo1T7p52H/rQh8qHP/zhJh/4wAfKsGHDyvDhw9seKXfffskrl2qnrnvyEfX22GOPtm9S&#10;1+rYc3pizIybsdN/xnB9zqLF5exzzysLTju9zJo9t8ydd0yZU+Woo2eXOXPnl+kzjy5Tpk0vR06f&#10;2WT6jKPK5KlHlsMnTSlHTJ5aJh4xueWn1jpTavnkKdPKtCNnlCNrPem02o5oN/OoiuWk9kmUuTez&#10;jmUMferDvaNnzWnzmT1nXpuL8Y0xtfZpTtpsjYPuu+++xkH33ntv46Dwj3QwB9l3+01fw0H2/rrr&#10;ris33HBD07UuB02fPr3hFPwdzEEPP/zwf8lBuCh8889wENv+f+UgOLMtDtL/1jgIR+GfcBD+IXDi&#10;nHPOaev038FBMGvq1KkDHDRv3rx/c9A/yY//5qB/c9D/FA7CP2eds6gsOHXhf+Ig+L81DppUeeb/&#10;FwfhRXwYDsJr4SDxz4MPPjggYp8vfOELLQYSm+Aj6Ze+9KUm4iM8dPvttzffBI6eXv+GBt+bv8vv&#10;JXx33MMnnjNnTuMd/jffG97xn/r7+8vnPve5Nt5XvvKV8uMf/7hs2LBhi/hHPPTXv/61xUb4R16c&#10;g3+e97znlRe96EVbxEHPetaztuCoF7zgBS2mEY/wL1/84hc3n/X1r3994ww+Kn5QLvbRp/6147vy&#10;afmzOEYf4h/1lBE4pNw83OPP4iLlmZt4yz319SkvLrzyyiubP8nH46vhceuV9bSOWVdxiHXM2uL7&#10;3LPW4h11khdzZD8SwygTS+GeQw45pMU+xjv66Ooj1X3Rv5hGPeKeWEh7eaJcHWVSYj8PPfTQss8+&#10;+7Q+E3t1YyGxFtme4iD+SOIge8rHsdd8FftPd+hDfBd1xC3vfve7mx689rWvbfe1EffQDe3ETm97&#10;29uaL0yX3vWudzVf2/oedNBBLRbiM7/3ve9tdfjM4qL40d04SJyTWCgxUDf2SQwkffTRR1ssQR+v&#10;uOKK5ltGN8U98nxO98QsKZMqF6ckdklcIg4h/NLEJYmhXCd20bc2qZv+XLMLbdhI2hhf3pjSxDpS&#10;opxkfH2If9QliUsSZ+CS5LsxkTL31E+MI+4giWvEOmIhoky9pOol5lFGEteIY7QVu9o77RMHqSMG&#10;09b+pw9p+kx8JRXLiEHmzT+2xShHPxULScUaR9V4pBvXiF327BnRYiEx0GGHTyqHTjyiHF7z4iNx&#10;inhFG/kWC9VUXNTinxoH4RDxkFhH2q5rmXnoI+OlDh6aVflQjEZwo5jqgQceGBBxz6c//el21oZr&#10;wkHO5nBR+Ojuu+8uV111VTnvvPOKM6FgIeyBUc514BmcPeqoGrvV8xnncEceeWQTOClG0k84CA/+&#10;+te/bhyEa7pnb+GepDBffIEvpPgC93SlGyuph0PgAb5h1+xfyv71p05X8Ic2cEGdcBRcUa6ueAav&#10;ucZLsCbnetoTmGIc+JTxDjvssBYDsTlnC87PnE2ee+65DdtznmadCN6B9dbUPRwlxQPB++TDE1Jl&#10;2srjEu3xhdQeKdd+WvUNnPPYH/eNhS/sZThImnL5nN+pj8PwGlGuX/PGQZm/Mcn2xEGJaXELn4ae&#10;yPM1cBPdsOfRITzznve8p+khneH/aEfwjjJ66TzXPfrkHs6CUfvvv3+ZMGFCO3ODVfrTDq+5H9zr&#10;qee8uIBPF/5xLrctDsI9Ee3oZTghWK48527honCQcnl13QtXhDfwQO6roy8cohzXsAG6D0/kCb5Q&#10;d/HixQNco9/wiHZ4JZzinrH1af7hM9fqpCz1wyHWDOdIlXV5pov3wf2kWevwj5SkH/VwSpc73Ovy&#10;jz3DP9rZz/CPNpkT/yIclLHTh3rmq73zNrg+/5jjGs7DdhgP9+XxRItBcMq0zWdyPSNGld6Roxun&#10;KDvksMPL+IMPLQcfOrGdxbUzs1qe1PlaeAWH4SL8Fo4LJ0nDW+qFm8ylzanOa3adrzkT8Yd3QPff&#10;f39xJvTJT36y4KJwjvsED0ndu/7665tuxF/nb8M72BMOwj3hHBzkOu+DtLvlllsa/3gXJK761re+&#10;Vf70pz/9p5gnvCP+ESOtX7++2XRw37s4cctg/um+E1IHd9hjtg0X2DfBE+kj74/wlHLXuAe2wBG8&#10;I1WG94Iz+AcXwiQclH71oQ4coWsHHHBAw2v2xrasA5y2duITnI0zlIXX5a1reEMbMZBy/BHOwA/6&#10;kRLl9iLi2h4Yh7hWH5/IT5w4sfkK7uERZVJ9qYOzlKVt8ualTN/eLaV+YjCpeW6PHEQH+Rj2l44k&#10;ZlaGh3beeedWRudgCa6AJ3SIruS+FHdph3/oH71RhpPEO2IbMRAegjt8ZLEScR++wS24B9vEKt33&#10;QU/HQYmB8BAcxylEHncQ+Qj+cD+xinIYjwfUVS4vVY43UoY3cItyXIMj6Drdl7INOi513zmLNvrD&#10;H+Eg48iHh/STOt2x5Y2nrbx6BJ6HE4L3rsM7XS6CG7mWqqe9dSbKpN169iGckb1J39mjtFVPmX7w&#10;S/rnY9CNvBey59376huTwHQyt8ZBBC/A/5ZWTsADLT6p52/e9Uyv72VGVA4aO3afGkOPqTZcY5Pa&#10;fsqUI8u48YeUAw8aX5zVTav1uu3wEE5Shmfwmr4j4iRjin3UwVmNAyv/iMXEZXgogoNwD27xrsfZ&#10;kDhIDISDlLufOso+9alPNT9G/MMXh4XBG1gDL+FVfOPJkye3cx4+sndBsEq7j33sY+1bBOd+xuGz&#10;/e53vyu///3v6//L+G35zW9+Ux5//PHyl7/8pfESDpL3zQL7FLvkWxBcIe7BQ7jHNZFXB3fghvHj&#10;xze/kV3DjPThvvZSfcOCcBBuCV/pSx4HwRtY4lp9PKTcOMpd4yn90CNnXdaG7YkN2BC/z/rBePfw&#10;D0kMYV3l8Uj4iX1aP/aqbu5Z867gj8Qr9oIfQMJl+EJb1+rK4xXjqB9uCfe4zj3306fytJPHQfqi&#10;C+HTcCyu2t7iILqEg/CGfY8owyc5V4Mn4hmxEb1THzfRIzqDk+T5R7iNaI+HYJA4ddy4cS32gVHK&#10;8A/dgm3wKdjF37n66qufloO653G4J2dy4RkcQ1dxBxG7OPuQDyfJJ65RlvrBeml4I/ek6rrHl8I1&#10;bIAO0Ve6Q4eUEXrujADX4By8lDz7SZwUDkoankvck+twUHgBpnc5KNfK5BNrwPtwCsxP3KM8XKDP&#10;XKubMdJ/2tkf/JM62hiHpI4yvgWfRXv7K4aWV09bdTNezrfmH1vP2ysHwfZ8L9C4qHIC7jhiUv1e&#10;oHLL1Mo1o0aOLvvsvW8ZM3psGTlidDlqJtuvPPHU2ZrzuYlVvDNyRifFSwT/6Ld9s1B5qBsT4Rln&#10;bjgHR+Ej30eYl/LGV7WtcZThF3HQXXfdVa699tr2DVxinoceeqh9K+e8Tj3vhHzrZu/jj0vpCayE&#10;NfAMbknhnFgIDxEcBLtg00c+8pEWB+E+3LZmzZryk5/8pKxdu7bFRD/60Y/a2RxOEv8QHCQOgvts&#10;FD8Q3BGugfvhIGl4yl7SbfbO1tm8dupItcMb+ASO6Dft8QjM0FcwBvaoYx583nAQ3FCmrj7xEn1h&#10;W+wFz7M7fmrsml2wSzYe3sEz1sl1cN46h3sSC6WeOjgGT6Q+u7befGfvf9x3jQsi9o2vyc4TR/ET&#10;1NOXPZQn4th8U+JaPWNJ3VPXvusnHKR/ZeZCtjcOwhl0g95I+Tb4R9wTjnAGjH98A0fvcJA6dIku&#10;Rx+VuU/f9JP4CP54F2Qf6ZJ3b76NI7hNWXAJJj1TDsI9gyXxT+IcPIOX6Ko0HJR6iWXwAz2G+erg&#10;GHyTGCRcEH7yTRJdhiVsg57TQTZKt+KX0SP34AzuYUPaGE+eL+w67wSUhe8yljTja0fwi3WF6aTL&#10;Pd2y8Lo0HCNmyfmZ9bb+2mcflOkDh8Q3wBd4h2if8aREuX0je+21V+MXnMPXyNgwTN1wlX6Mqe/E&#10;QQ3rvWupHCQe8V5G3IMzxCWHTTyiYnF9d1Rl9Ki9yl5jNvPP6FFjyojekVW3JrbzO98PtHc8lSva&#10;93OVgw6tZ3V4aVJtS9oZXe23nc+Jh2rdcNHAOaB+Zm7+Pm5ePSc89vj6fe2J1XeuIo+D8I84xDmc&#10;8zFnbcp8r51v5nAQXvL+BlbGF4eD8vwVeMmXp0PhIbrkXcMRRxzRvt2Vh4Pu01P9GQvvxC/7wQ9+&#10;0LjIuyH884c//GGAg3IWx5dkt2IWeA//w0F4wXV4KFxAJ8wz5+zKEzPJa6NP+BA+EVfpB5fAi3Cd&#10;+zgIv8Ae81CmLb83/GYu2u67775tfdgxDme/bAIPr1ixon3jfvPNNxeS2AF2sz02CNvhOhtV7jmk&#10;1l4ZHlKX3eINnKANvhg7dmz7DtseKLcH7vET9BmbZZf2Ex7Yw9TlQ+gz/BNfIjFt6tlX/WqvX89h&#10;jkRZYrTtiYPwB5+GLohX6BYfBHfgG3k8lBgIx9AROoO7wkXq4BwcRp/pFUyCQfqlu/jGe0TrP3r0&#10;6HLwwQc3vIJzXeyDjb7Rplt8Ou+DcibXfR+UfOKfpPnegK+Ec7pxDtunu10+wiP0jg7iAZwU7Kdb&#10;9Bx3JH7RHx+MTtA3+kG/nDXCD/XwE32O30J31Ncu3GU8dqANGzEHYxnT+MYJ94Q3u3xoTfFDeCic&#10;AO/lg/tSmC8N3sP8nJ3hm9SJH9DlH2XqJGbRh/7DJTiHjfrm3p5bB9+X6NP+6yv9Sl3rj6Rc34kz&#10;WhxUOQh/4BFnZ3hDHIODxk84pHJ85aZJU5/in1EVH0ZUPhrT4qKePXvL3vvs19rqo8UxlUOcp+Ex&#10;/Xhv5DuGFlPV/nGQezgpHNS+Ce9wofbeBx1zXOWIyj3HnVC/oTq5fktVxbcAzt7E7jhBvPP1r3+9&#10;fOMb32ip+3hCDOQ9EJ/Z3tM9eiClL3QBt/Cv6RTsgnveoTpDYDOHH354K8dNsNO7IH7YH//4x/Yu&#10;SOocDv/kXG7dunXlV7/6VSsXA4mF+APxEYP/OACXwH02jC8iyvihcBRm8DNzD0cQvAEb3IMN2uiP&#10;uG8cbXLe59o42hF14EewxXz04Z5x2affTLGH+GTO1cWeziXxPw5iT7jFmrJPayrWgOlsVrl1Z5P6&#10;ZJPqyyvXHj/AKrjFVpxB5t0cDtKnfviPcMY8pLBCOXvGQzAAr2jTjWc9T2IqqX225+aprTkQekL0&#10;FdmeOAg/0Cd7njzeIcrpKH7xHii+Cb3ANfwd+sOfyvd0UveIdYRXuAnusCHn2fwZ53J8ZeME0+CQ&#10;7+1hGGGr4aB8lxDeib8X3pGyQ4JjCN+IXuAdKb2F4fSEKE/KD0nsTbfCRThDbESv6Cl+oMP0x/PR&#10;NfziWeCv56JP2qlLr+Pb0i+6pExb+i/VF8zJeyO+lHmab7hQKjaSRrr8Y33DC7C/y0GJY6xzMD/8&#10;k7Xv1pfnF+gz3NTtW5twiOfmV9hbHGTf8hsv/CMGMqb62hk3c5CScNvxFdOPq9gO3/FQNwZq37xV&#10;3sAfeGJ25YJJNb85BhpVz+FGNQ4SB/X29FY92qxDzk5m1fMy/NF4BsfUvBjIN3TtO7p6Ppd74i08&#10;N71yFg4SC/lGwjmha2dzuNJcTzipfkNQ+YfgHN9Z33TTTe1MDPf4rShxPuY8TpzkO2rYCRfpDu4h&#10;fF6cgl8OPPDAtpbW1nrSK34ZrnetXB2/Z8RZYoJvfvObRexDvv/977drvxN65JFH2pncd77zncaH&#10;zuZ8s4CD7In9YYPsFc7DfzyAQ3AJ+yZ4wFmZvXKGAStwTCT1tEteX9rhnPAazlHmvZH4yZjKtIvv&#10;6tp8tDMX/cEg68QmrDE/kx1Yy9gLvPBbqTvuuGOAg4LhbBt+6wPHsEl5e8BW2bZytkncY5u+MfDM&#10;dBtH4CRcwnbVYeMwxPkfnxfumCP8sKfGlxI2bn/1qR84AXeUe89lXeVxlrG1iZ6YrzFhE9meOAiP&#10;4BBxEEkcpAwHOYMTD+V3qNFPnEV/xNZ4Rz/0Bt/gKlhDN3CKfmEYH87awyhYrW82EFxSh52xOX70&#10;P8NBuCc8hG/CQfQh72+C63Qm58j0Blepw57pKr2gr/THvtODxOp0i37QU+X00Vxhg2clngHP0hX1&#10;6BT9plM42LUxYI46xsFx5kqnCftynfmb+2Dp8kLyUpwjxSHy4YBgPl4JH6Wee8nn7CxtpfqCWezR&#10;ftlDNsN22BQOIuJb97QJBxkr40nDa8bMPemJFdNPqOdbeIh4H4Qb8h5H7II7Gk/hqHpu5l3QiN5R&#10;Lf7xPkgMtMcee7Z9sCdNRo4q4ybUc/zKId3fq+rvwHETygEHjiv7H3BQi68Oqed4xJmdsXGQ8zdj&#10;Sr0L0g8uwkMnn1LPc047vcVAfHExibM3mP+9732vcZBrHOQb7Wuuuab5IXSNPgRb4JHvdaxdT/0m&#10;lNAr2EcSZ/LJ6ZYUD1l/frjfI+EX5wVS53Lf/va3mw/32GOPtW8T2IffcPsewXmcPu0lO2e7eAXP&#10;hEfynYCUnfND2a955QxeSmABwRf4Bo9EcIsy9/EaDHFN8IwxlWmbOtq6r9x8xIFskN0m3mG3eb/L&#10;5q2/OIgvYG35e9aXfYlDpOEX3MN+8Qjfj127x061Cz+xU+sd3sARsEFdvin7NA9jO7chMIUN68OY&#10;4RJ7bp+Dg+EgmMOPw0/pH+5oa47ama9UOdmeOIjuhX/CQXRyMP+4ph98GPqBa1xrQ3f1Q1dde4/E&#10;NuwTH9/5HdzhkxJ6L75SD9/AvuAiLIJzsNzZ+jONg7oc5DyErtIFsU7iIOdvdAYH5SwOV9EfuqwM&#10;ztMfepi4mB67pqf0gM7QA++28A3xHFJzh9WeEf7BFbpGl+g33tGv65z5hW/wIN4mysyFnydPzFud&#10;cJM1I9Yv4robE2Uu1jUck/XucpR2eCP8k37DQ57H83mnxx5zJiHPptgQ8cy4xd5qayxz6PLfYO6x&#10;1/isxRaVg5xtiYXwkW8DvP/BF2IWPOX+STWdO2d+2bt+E9fbM7LiYj2Hq9Jb46CeGgfBcPOVDt+j&#10;p+w+rO5PvXfQ+OoH1Vhn4DdCMzd/Dyc2ImIsMdcBB40v++x3QBtT+TGV805eUDGlco55eQdkbs7j&#10;cBDccwbkvM330eIfIj7J3+9xRocvulgihmYr+Js+4RYpUQbznQnxdeTVTd6aWX8Y5/dBvoET4ziL&#10;y3mcd0E4R9yTMzh5oh9j8BXYKOFL4hRcgRvYdu7ZR7bAx2TnYhO+KmH/wYfEQdLwmRQ+6FO5+Cl5&#10;bV3jKgJfnLXgJ+XmxP7YqTjSN4f8U3jPbsWBruGFczo8b57WheAM9hob1FewXTr4HE4Z/If7UvbK&#10;d8RH+mXHbBB2GN+Yfqflby7Jx6eFf3zMjG1cefEUHIALsETe3sLK1OfnZg6ewVy0jXQ5aEj9uwT9&#10;C3rLxg1ry6ZNm8r6Kgv711ae6i3uPdI3tjyxaWM5uG9tObheP7G2r6xav6nsMOTUxmVjatnqlaeW&#10;TRvXtfZrN2wqU5feW3bZYafycN+0WrahbKx93r+2ftO/dlVr21PbblhTz5XW/KP2sfMAJ87S/7r+&#10;Mqt/3UBZd65by9MlIq6RioPwA6FrRKzuHn0g4Ru6opwuxR/CTc6Z+S14nY3BL/qrjI3hM33yp5R3&#10;cQ5WOncQJ4m5B3PQts7kcFCErtIPgotwEDyH38FwfhNMV4fOEvqkXBspLrDn9t/5G92DvfxP/r55&#10;ErwjzXNKPYdnUw636VS4jM7DIvxClxPf8KuIcc0z83Y/PCUfDjKucYLv0i4HuU+Ud/knHCUN18gP&#10;7idc5TlwC9thh2wFFvIn8A77IfKeN3Fz9tUYGUef4SX9OmO3D/4mzSkV4wlMP6X+rQRnXXB+XOUN&#10;4j0MzHc2NqfGIxMmHFI5BufUd0Gj6/cII0ZV3qlx0PB6djXsP36vNKxeDxte/QPlNUYaOWp0OXDc&#10;+M1c9NR32XjGeV0k526+exOPHVvHFvOccWbdu8X1W5IlF5azzj638aEYCe7gAe+AcBARh+Af3yL4&#10;Zo1PRAfgTGJha4rDraU8XqBjUhgFP4OFdIg9aU9gl3r2hF6It/Iddr5/k/oeO5JyHETH4Kt9Yu9s&#10;Et/gHbjPlnMuAgfsm/FghbNa3EX/xG44CzbgGjwixSEEN8EHHETCVcbSF/yAJcrDT2Ig/Skzrrni&#10;GByEy2E9O7emH//4x9v525133tkwwz1rBrutGXHNfsUmscOcdeAKIs4K//ATUi/coT9+KPuDFQQP&#10;mocUD9JjPjB71Z82MASfJC4S64jL7FtSe539Nl9tjB8JZyonXSxfOKTi/vpV5dxV6yrn9Jb/tbC3&#10;PF75ZNcFq8qulRMeX1X5pXIIvlg6dOey6R9ryqP1eujU/sZRq5f2lnUbN5Spy1cP8M4j9Xr5QX3l&#10;yVp3Xv9jA+X4SD89lXe2xkHdeT3TPF2jB933Oc7IwkP4wj06IgaiI4nZo1f0hA66xkkwCA7TTbzD&#10;V4NhfDs6azzYyEelX/ApWCqftvzK/xsOooP0AL8QOhMMh3eucYx7Yh91cVBie3m6hIvwBd2hk/QJ&#10;b4p5+O7mL0/CQZ5LHr4Gd5VZA7pHf+ims7fEO7gm3KNMHj+Fb8xd3pwTv3kOY3R5o5vPupoDwTER&#10;9+STwiB1tLcPJG3EEnxluMjvdi7k2b2TsLfw07PBT/W8s/b9Ss7hMo/Mzd5aL3Wtq7Xna5DTz6jf&#10;Jp1+Zjn1tNPb343DNc7E/ObUGZj4x9/xEZM4C1O+2wcqBtb4J/uS/rMH1l7Z8Kf2yfOkzuYzlor7&#10;T3173XjHOVsV3NO+z64caB7458Q6vhT/XH7FVeXa664vfTesLDeu/FjzgX0Lh4O8//E+SJq/nyBO&#10;gnN0INyBs3GPdfVuRzlcJDiGvsFN7aTBVXhG1MMhsEtdei/uym9UwzuDUzxE6DhOowviX/bKRum1&#10;fQz/iGn5lXjHProW39MFvxfFXXgnHAQncIh3PsrgQvzW8I1yOIKT3IMvsCU8pExeOR2zbs7Z4Dz7&#10;pDdwv2u/7uEk9m194Lfns24w3BriE2slFYMop4euiTaJU7Wz9tLk9Z3x2WPXJuFFuEk95xz6Z/NS&#10;fQVLsm/8OfuHj5SZr30ND5mrtuYlb25kW/iemGZD5aCepWtK+OkP635b+tdtLKsWzCx/27i+/v2M&#10;DS0u6qkchUv61m6sfY7dot95uO2x/nJfjX8+Ubn/xKmXlH/UGOfpOEgc9GSts3DV+trXTlv0t605&#10;83VwDJ8Ef+AHHMTvwT/K6Qm/Judw9CicQ0foHz2LiM2dHcMf9h6sZv/KYKd4iB5LlcMMEhyEc3Qu&#10;38Ml/kk6+NuExEDS+CM4JTxDJ+A4vOdTwXD6S9Tjy9Af+iUvvlc3vhEbYG/mGAxr2Fav4VzEs0WC&#10;457JGtAx+kgXvQfFLbjIvMwJ75BwTubcvTZvdYlxwt3B+owJV5J3j+Ca5N2DO6kXjlBOXMMkcQq+&#10;4EPgFXoBj/CIZ7JP+eZebAi7jEP0bzxz1AcbN2+2Ci/xTs72pZddXt/pVmy//MoVZVGNNbx/8W7G&#10;9wlwf8kF1bessYd4yDsZZ2bvfd9uZUTloN46v+iQvTD/PKu8tVKeeaduT289Lx03oXj3IwYKDw1w&#10;UOW+xEHO4cRn4rRF553f5nlD5Z/+uz8z8N2B9z6k+z227+XoEnyBN2JIvEOcFXTPYeAMvIF54R/r&#10;BoeCReEguhRO40+rb01/+MMftrM2sc7W4qBwEt02dnwO/GOOzv7sNz/UeZt95FfIwwR7nnec5mlv&#10;YQIcyHd1vnsTA+EVuJAYCG6kHp4hMAbfkJyr4D99urYe8Dx2GnthO+ISZ+fsmO2yGeXWCFZbn6xX&#10;1tC66RPnu2d9cYMybXCAcs/m/MO1OvxDGJH4y1hsk07Hn2S/sU82rh/+hNQYBL/YL+vMd5MS+IAX&#10;ra19UE+78I55JN/F8yEV9/vqWZxzMvHOk1VWrK5nYUOmlf6p9Syu8tF9y28qayv3rL27/g2pykWP&#10;r+prvNNTeQcHadeVDfUahy3oqed8/X3lvspBOet7Og5K3LW6nucN6bnkGXMQ3rHXYiIp3cMj+Cmx&#10;Mw6iT/QiXBOfhU5Ft9ynP3gs/hPsil8Mt2EWvWV/OUsIvsMKdfi1W+Mg3IOHBn8X1+UgGBcuobeu&#10;6SidgeHwQKqc36Qu4VsRHAYj6Re+gAt8scwtfCMNbwbv4Ld80uRhvXfA9Is+ew/a1V1zIzmPM7Z5&#10;pjxp4iN2mLNMGBvuMJ6xuuN2r9XFD3xadVyT1M89/elfW9hjL+2hdjhImXiXr4GL+MTq46DwkD7g&#10;mrXGMeJa5ya+Xbr11lvb/n7iE59oeeU45oILq39w2RXllo/fWm67465y3Uf7Wtm5ixa3v2d6xlnn&#10;tHcyYpTJ9b1Obz1/e/8H/+NvPMBTc85ZUeYjVeaeOuHP3Xevvk99X7Rvffejv3YmV/mtfXdQ0/xt&#10;Ht/C4cTj67ug02qs5m98L7v0soKDbr39zvYNtPcx3vn7HsHvghIDOT+iRzCGvosb6b53DOJLvAR7&#10;YAx87PIQDIJFcEwaDFIXvnbPcuRhsrOqX9fvsgdz0GA+gnvOla0FzrF/5kXwjj22XnScPSe+NVcY&#10;aSwYzYdXD//41i3fvPmeAC6Ef+AGzBAD+b0QTCHuuycvxXPwR5xEL51FxH7ZKbvIu1Rn2vCfXbAR&#10;9wj+MEdzzZpZV+VSZWIQaeIjeWtsbbucgZvwSfgHpoh/jJnzDPNQx1yJPI7Xj32yf/Ehcg6L/+mC&#10;fTAXnEisp7mbB1Hf3Ky3dSBdDhLrbKxncWsqtyzo+3S919vu4ybvgsQ/S4dOK0/Uc7Una/wrRlm1&#10;YOfKTevL7mP62lld/7r6fmiHaa0d3np007p2VtcdR4wzOA7aWvw0o85n/SN95eHKQ7tM7Wt9dvsZ&#10;nMc5uAb/4A98RAdSFm7BP/LqSEl0CAcRdfTHrxFb4TK6S5dhAExyhsO3tvbsj11aW5gMx+A6DlIP&#10;Pg2OgwbHP/k2u8tBOc+C8XQFr+Aae5fYmb66FifRKXE9cT4hBuLr0DF8ASPMCXaR4HbwvOv3s13X&#10;bCfS5Qd+D73yzPTXHPFNuDHncPGvlKuHc8zZfBPvmz/csGbmFR6BB8S11PjhmfgDqZtUHXMPr3gG&#10;/YptcG/awyNj8iO0wUf2Vj/BLdfqsR1r7zf83iPjHn9HwN9S63IPXwM/nXnmWdV+KzfXZ73hxpXl&#10;a6vXlDvu6i8rb7q5xUhiIX9bGw95V4Qv/FYID8FR881zmAPBO10+Co9aF8/V09Nb4/D63UJ9X7Tv&#10;fvu33yIlFpKGg9rvZysPzcVDdezzzl9S+qqe3FK5tK/OFd579+8cLDyEg3yj4F01DIE1cCfvfXIG&#10;A3fgFNyxZtJgoXL3Uze+cvjHPfiFz/AbHqInzgF9lxAeGsw/YiH+gXMI/p+8vcZFziXii4gb2aX1&#10;tV5iN3OBp/DcPDwXncA/+d2PMxN8g18S7+AXOCE+ym9Wpd3vD+AKvMBB6vP92GFiIHYM44P/+AGH&#10;sHm2zU7YEC7PWsmzOWuqPg5S1uUgz6IseO8av0pxCTuED/SZ3bFP8RcuDA/Jq2s+xBoZCw/ap4yL&#10;j6wZDMy+ua+MwEVt1DMn2MjmxbhsiHRxPOdteW/z8/6Z9buB+g1C/W7gb2v7GufMqudi+OOJGt/4&#10;NmHp0PqeqHLS7vWdkfdB6+t7nhl9j5QZQ3Zq/NH/mPYz2/cL8jvU/MqpO9VY6JEtzuK2Fe/sW/nq&#10;T9s44+vOXZ5+8Dek9hz34JDERcqct0nVkadbdCnnv7hHnr5pT3KW7KyYD83m6bf4hw3SY3pBn+iV&#10;uMNas4VwkLX2PoiEi54JB/FJ6APJu386FM7pxhf01vg5v5PiIHtuPvSWDQbHw0GuPVMwGN7xE3PN&#10;ht0PDwSj2Tc9o6Pmh4PYjfklLnLNplwrxzv8P/xIYBpxxuM9LTvxbqPLFcbL2IPnEQ71DMRczdte&#10;OWuz/vzjvKsQvxEYj1ucoXoGeGpPjYO7+C72Wv/21dz8XTTviqX4x283iPcjYqEIDko8Cm/kH3jw&#10;q+VT9Zxr6bJq8xdf0mKiy+pZ3cVLl5Xza8zkOzXxypj6bZx1DU96HnyIb8JDrknWwpw9u/2Es55r&#10;+PA9yti9923xUDuLq++EGgfVbxI2c1D1q+fX35jU91aXX7WiXFnneWHdo2vrnvg7BH4XCvfxkN+E&#10;4gG/CYJbwR1rhity/g8n4Y8Uf8B0dqG+PCwKL7lWV9u0cT+xEOyCq/TBGvtNqm/h8M/WOEi8Yz7O&#10;BuGhfaVHuMh6Whd5+o+n3LPvfHtYy4a9E+RTqodPxEDeBcEUfi1MkMbHhR84KPXUDQ/xaeEKPYYh&#10;9MkY/EB2yU7ZLszHD2wbp8BpZ1wwHu6LOfG4dbI28upYV3NXTx7+y7PF3FeXv6AffqJ+cVrOVmAI&#10;/mOfOIgkz57pvfHN2Vj60qc1NgaBKfbKO0CpNTVPzyrVRj+elR04Q+j6b3y4Lo4PqTje/S5u3cb6&#10;XVv9vmDp0J0az3S/TXi8cpBr38eFn8ZUfup+F/dAjZt2mbo51lpeeWf92nsHzulyz3uk9ZVjfrtu&#10;Q723ofysfmf35G/XDrwHGlrvP9o/bYvv77pz7ubDQYmHEsPQgcTI+CdncHn/Q1/yjQL+wUv0jO7p&#10;g/6IgWATTKDP+IXeW3N7b//gDayC+/DV/nlXyz9jR/4GY/gn74K2dRaX3wclLhYPd7koMUZiIPpE&#10;r4lvK40fDlKHHtLTYDXbILCMbw3fYLfzKPwDfz2vVLl6sC7YB/+0wcP6Nk88Q9fMgS7Tb4J38CMd&#10;xDfmhaeVa0NwEBFjWEPt6Ho4JvPNdZ4D7hLz8Rx4x37bN/PDP/wEOAcv+aJwxnsA74jsoXtwkt2I&#10;iYzFfyXGY2v2z9zwj/MotoOHnBXhHjxE2JezOLEsf8O3ZL5r/urXVpe7+u9usY9vtX0z553RzfWc&#10;7soV15Tza1ykbOTovRp/hE+7sU837unyjjmqLzV3HLRHxd09e+r3FpXTJtdzOe+BcI/Ut9jHnnBS&#10;WVzPCvs/87ly/4MP1XO4leXU0xeWsxed2747C877G9Wwn+767SoOsh74AeZYM9yBU2COtSTxfbsc&#10;pA5OYRfw1pprA19J+lEvfIaz6LbfJ3U5KFyU1DzYoj3GRXjIPoeHxDaELaobHk3/9ABvae8ebEh8&#10;wweFH3AjuCCFJXAjf78HB4mDcA8MoYd0EC7xgRKDwAkY4bnguzUyD+tJP2EGnbUOMBzOy6sjT5QT&#10;64gXPBOeYIvmr65+3cc9OAiG8AnZJ3+QjbJbuIIL5ZMq47dqp097TozNLjO3rKO1t++Zoz02lnhL&#10;zMMm2BAfLrbDfkgXw/8n5HepnCP+engD/uorKyp3PbFudVm+ZkOd6+azwW3NE2fgn7wTogOJi+gP&#10;PSJiZDoWDsI7dEkqDlKH3mhP/5zDwWP4i3/gFB2nr2zRPtgne2wPYSuMxRP2jJ1Za3bcjYPCQ1t7&#10;HzSYg8I/UuMQOpOzr7wPol/0m8B6eI4X8CTM9QzBK3yKb/AOroG5npWII3CvPFxXJ2df8c2VwX/P&#10;6LnpHK4xl/hb8nAL99BF68L23MfbeRZY7n84ExhPX3GptRWfwNWc0xkzHJTUnMzT/hPnH/bKPsEk&#10;NmOv2DescR5DYI869ogN42m4JX7Sh/VSx7z5cN1zN3blWtzj2YjnVDf/9819v+e8/38/UG6/85Pl&#10;9DPPbt+ozZ4zt34zt7B9H+3d0TXXXleWLb+sjKocNGzY8IHzSNzqGXEOwTPWwfw2xztbfkeSe3t6&#10;vt76W+MR9beh++zXzuX8LyPfxfkO4uQ69vIr6+9Rbq7/L+Geer5Y/w/3wuqPH1dxzf+Ic+7ljCv/&#10;J8Fvc3ynxo+w3zDHelo3e0Sscfx0+AizXKsTboKL1lmKc3APTMuZHu5JP1J1YDf/ZPDfiQv/SNmi&#10;vdNX+oP7Yh5xrz219+FN4+JDugijEysbi13hqtg9HIAfpOvnwhZ4EQ7CP67VY0/Ghx/sRr9wgb57&#10;djpFPK85mR/7lHqW4Lm67IqtiHHYMbG24SF19INvrK01J+57NmLc2Cg86NoeTPHMytRxLXZJHGSd&#10;7G/21jrbf3xjj4g6npE/6dwF/jiX5peFd8I97Lsr28Lz/87yqUN2LOtWL69x0cb2e6L++j3dkJ7N&#10;v0F6unnFR6Eb8oTOhFOU0w/cg4f4K2Ig7xvxj3zqwrHEQLAZ3vIxxekwDG45T6bXdMm+8EXsi/30&#10;Doavwf7ohjUP/yQW6p7FJZ93Qs+Eg8JL/Bl6SrdwAO6Bl2IhqTiIzvDJ4Dcsg9mJe2A3vGUv+Jt4&#10;9uTdCw+Fi/jn8riZ/puDcfh4eBD38IHMJbjMBtXr8ihfi4gxyGcrFkbwEpzXp+djl/govBP/PzGQ&#10;OcMLMSv+Yc+wLXtjDeyV8xj7KJbld8Kf+OHGUO43XTgYF+MqOOGZ8AvOsa6R8I8Ub7J5/ejTmOzy&#10;a6u/Xu68q799q+3dDHtWZ8aM+j+5a99H1zW8oMZ+cIieEXvlGSM5P/Rs1oFfr76zpoh7TWpZT4v1&#10;/D+IsfVd08HtOznfIfgm/Jz6Lmrpskvru6ALyvU33FgeqvHa1VVn58yf1866nMN5J5S/0eaaD2VP&#10;YR7+oe/wx3V4CD4GC5WpZ/2D/ewh2OX54a09CgepT5+CeThIf7g853Fbey/kmfmG6cfZkLM1tpp9&#10;Np79FrvTOXvJZvI82oq/+UfyOIgNwJDgCHyAI/TMPTiS7xZgiPv0Dxd4D0x/xGPO28QGntf4dMp8&#10;+a6emQ6as/VUl99k/vDFPOEJ/WNjbEh8Eo63nlknvKMP+mUv6KJxwy+ejf3hCyJvLaT4R73ufW3N&#10;UX/2pbtW9t8Y1pBe0H326iwA7/C7B/OOa2cJXXk6TP9Xu0c3oi/4hz7Ef3HPNZ0RJ+MhnENvwkHK&#10;wlvwLDEArIYD7B428a2i2/wl+oOP2BnbsY90Bh/AIHZHf/zOD//8MxwUnaAXET4NcZ00foy4iD7A&#10;RzohZVfswXPANhzEv8dJ+BXW+u4i3CPv+Yk8DpKyLbyjXdrjJnZlDP4PvvHsUvxjLrgncU/mnHlL&#10;SeIG/7tM3t/DlPqdSu7RaTEVTLUfwWhz8WzhTPOzT2w8/iabZs8wSHnsm69qD+0f3OFD4y4chV/1&#10;iW/tsedgY+xLnMbWcgbnWh5Was9n5RuyXb72gw99tdx62x0D32TbV1jDX3QeAytc4xJ7FL7xjMQ1&#10;3Ar3mJ89leIhZ4tEnYi+lJnPuPET2u+TnMX5bap3Ut5D+Q3TpcsvL1+o31p8/p57Ki8tG/h7oPgn&#10;uurbNH8zx/rDIfgD0+GfuIgoxxdw0LVnZxPWNNwSfNQOpunHPSlbIfBUX+qwHXl67e90m9PWOAiu&#10;e156YE3wP2yFj9YXXmd+9oU++r4E7hrPODDZvpi3GJNP1vVlYQkMgTHxUd3P9wvwhM3wiTynfdMX&#10;DIflfFL+lPHxjWeF4dYq3GntzNPeip/YGx1hy12bYmv4iN3r31rpi8gTz03EM2xMXSJvbZR7Zim7&#10;dE8afqKPJBxkjzyXfeODu8aFMIYtsIHwDp9bviv4J/GPfORfjWeebr7hmfCO89rojLIu/+Q7hPBP&#10;zuDUp1/0L/EPnaLfcA3+wSM4Jp9rvp79t4cw2BkYnYPP7vGLxKZ+75B3QIl9umnin3wbtzUOMsbW&#10;JHrGvnAe3aC/6sJpzwG7E0cog7O4lr/mmXENXpHPWVw4Spr3Q+xDLKW9Z2Tr3ouIBfhtbE0Zn80z&#10;mNu25uyesxaYQMJD91RMTF5K/H6fDbBvzxEuxDuewfzNLdhsr/jBfFE4hXNy5m7ebB8H2VuiXdrC&#10;MzqFe92zh55RvMaWYkPhJClsoDd0AZ4QevDl+77Svs++aGn9P2WLlzSOYs8wHf7BIVjMn8952kBM&#10;U8von3lF58RyxLW54SH8FC6Sj+BbZ3/+BoIYCPdcdXX1q69cUcxHPHRRjTOXVD9i8QVL2rdw/i6b&#10;bxGk+MdZHL0V48I3GB8Ogu/mT3CQFI5K4bt6nhEeWw91iHbBS/X0GV/bPfVda6s+mzKHvBfCReEj&#10;mG4N6C09sC78QXhKD/kOMNJZopiaLRIYa92NQW9d0xO6zfey//FLYUjeJyuLz+YMzlm+usroE52D&#10;82Jg/MMm6T/esC50kO7ZG3xj7vaXTuJsexudxj04iC0TNiaNv8fW+YDhWmvq2flBnge3SM1HPvZo&#10;bcwNj5gbO1TGH8KTUn1I7Sd/Au/o2xztq36dC+Aa+h+bGJyyF7GP8vBS6jwdpv+r3Uucg2u6uqI8&#10;13kHRGciYiH6xb+hW/QY7sAgusgvpSP8Sdwj/T/c3dvTV9V5B/D9jziTm870rhedTi965SRKIkhA&#10;QAQBE431FBWNigTwACgqispJDi/nMx7QxAQFNKQeS6fWVmtJbXJV67SdBMm0F4460+ezX7909ddX&#10;4IUcJBdr9t5rn9Z6nu/z/T5r7f3bv/AVvMGTmMG3mQvja5wlNuTich7+8mwgueWg9mQeLvpjORoN&#10;Co5gyXnm4uTl7iuXx2meIySnNh6iIQpt0Wdx5xkRHm2fEalX5GVsgvujZ+I3YyBLMZ5xvbYoI+lP&#10;217jHZrjPzQtFd/MVOiO+qwbj+Bk7adF+kZftZkGqbdfXy3FOD8Zv/IVfxgThQPwlbGD4/kaF+Bv&#10;18MryW3pF54SS4MxlxgTn9owb159N/Lz8sCDD3WHXvpJ9+RTz3T3LFzcmQ+bfYv8t37jW8dcV1pE&#10;s7RDG9JubY+OWMIc/IXjLBXnwWf0J3x24QWlpxeMKX69rnyytPywsPLYem5zQ/0+p+5/2x1z6vez&#10;i/v3IW6rXHpe8c/S0kvvwimev2SdHplL5l/agH+iQfgJ76mH+WivpXr4sLQtp8ZrmeNxLi2mQYpt&#10;/Kfg6vZ8/O072q0G5ZkQPMqdxK94F8OwChfsQt/yrJKOwhNuVS92cThcuT+bym9cTz4a/mhzWFxh&#10;Ps598v6B4+Sy4sY16Kc4wAs01DaNwQWwZy4F3mDYvCp/s6Fj5a20EGZb/aHDckslWmS/WBd3bMae&#10;+sHGYo/24AD6IuZwg3WaxR/xSfSG7dlE0Rb7rdNq7XJtduNX+2ghPaFBGee0S/sSH5bRnmjRuaYz&#10;J2svDMAJPYHFlOQv9AdejJnpT8ZA6pLvwJV8Hw+H43ACjMBDijwFJ9jmGz6Vj8ACnoIDWgVzmQOS&#10;Q8jDMhZqx0PRn7MZB7U8D3tyL/kSDNKfwXxZXWJAzBk/0F35lyKu8bt1OiUmbYsZ55mvYAe8g5vc&#10;T8y17TjVunYqxjjRGUuF9iieD2XpnQVYN39AS/CLtljSRjqqjfRR+/WLvvCF3BQ3WM+4SPtplGNw&#10;QPrlGq5Ff2BC32FA/BoLmXug7ykZA7IpXvLO9ZKa7/KNBPNeLx6od/7qHbQ1a+s7XOuLM9ZVblu/&#10;xRmqZzFrCy9y0fRFjuA62nNCT0oXtZMGwRz+wlGW+pOxW8ZKY8eO68aNvbj/FvdNN97cPfbo8u6m&#10;G2cP/yfEV+s5UunT2PEX9+8gLL6/3smbU+8D33ZHvS9xXT+28Cwo3wf1e1Vzo/iDjzM+wanRDnwE&#10;8xnn4DH8ZFs9LcFjsJJ9dNe+jH+iYcnNnR9OdX0+9xul9rdC+U4CrRDvyTWzVMd/4ln+AWs4E460&#10;RXzSIvqjXWIUTuDGeIrWRHvMndAYS3X4xrVxB04xBoIR59NnfddH3GDJb+r1zzbe4D/3pAfGFjg/&#10;9lWvfRn/0BoaRHtaHYoW4R44YlN2ozviz/3pS8Y7tvXVvdSzK46wZB/H2cdfyR3iKxqUsamlPrId&#10;PaEt8rPoT7Qny3ZfjrfvZJx+ru2DQ3hQrA/mMMFPngHRIHXBKTzJ9fEN/goXWOJveDG3I+bDWcbS&#10;8RP/wRK/wJfYkgPZ7zy5D5/L+TMWarVnUH/OZBwUzocp7TEXIH/EvfhWkTfLq3GemFFwl228h7/1&#10;GR8nL1dHk1OHI50nbvCS+Xr3S0k7TrXM8ebgMs7J+If25F056+bAUmge++qHNmqPEg2lIXiHLjlG&#10;vy21mS2MaRS+xPP28alr0Fjzkwo9wS34iA3EojkcmmN+J3M65iPEcM4x3vH9gTlz53XzF9zdz8Ud&#10;/ukr/TcT9uytufB6T/uHP9rf/3b1wMFDPZdrh/vTdkv+UKfNfJZCh/Bc8iHb/Oc4OqVPvU5NqP+g&#10;mDip/hP8L7t77r63u7m+EzTpkim1r57TFx6n1xh9frV5Y+XUS2qs5v9Z/fedcYbfBynW/X8CHoQl&#10;+MZxGQdlSSOMAXEbDsN/CrzjsmhV9EguLS7wWLTM+XQnXOh818t4yL3hIe0yBooG0YPkmvQnRb34&#10;5kOYwOnyQLkD7TEm0T7z53jXfBM7G0M5r9WfPD8Of1jSI/cSG3BFX7SbDfQHxjxrpCtyJhyg3+6t&#10;P/bhCutswhb2s1NsRXeUaBH9GXwvRp1j6IH+0FdtUPjA9XGCYl1fLdnaGNAYSgxbyrP0gS+0SYF7&#10;vKZ9bMTv8bk5n8RE9KbVodRFgzJnZ1tpdcZvff776ND/+V52u//Lvg5ncCN3ybgGLo1zYCV5TDBk&#10;LGRslFw3z0LgD6by7iveFedyZzqEi3CdXIk2qc87CWKN7/geHuQm4sgxMMifxku+gWIc1GpQOweX&#10;dXg4FY+PtD/cDh+eiZsTxEv4SazgK7yb3Fr/9EVdtAb/pUSfwpH42vH4gQaN1IbTqUs7jXOiN5bR&#10;mnYJr/In8/rmVei/9mgvn1inOcZzGcvRJ/2N73CC/DLzPmLJPsdEo2kQzZGL0DHjYut8zo7y6Ix/&#10;LMUfDqALchg48u1Qxf8n+G3ogYMvdQcPvdxt2Vrvc+/c3WvQe0f/ufvo+K+7/6x3znAhX7BzcMfG&#10;tvmExrC3Y5TokTbbF1+e0J/CKf25dMrU7or6fZCx0HXX3tBdPt3vOL9V83H1HYPiyGsKr97Jnl/f&#10;rvMtVf+76hmLObh8t9q7CHAsfw5PRnss8RKOxVE4mN/5NRwI//a3fOZajoUf9ZY5H+bh1jF4Ev/h&#10;c9yqHd7Py1goGhTNsRTzKfhALirGYYKf+T/cqw3u47p0wbsr7M+H9EdxTZzimrbxSObx6ZJtuQpf&#10;6Kf+soHr6ZO26wetMRaDEzjkc3xibEETHCevgk1tpFfmUIxzUuhMNCh1tlPiJ21wf1zk3jRFnOor&#10;TdJvesTONCi5ajSIffjP+exvqfAVHadD8bt7JQ/1HlLGOHQo8SpmaZGiTix771UZ1JXzSod8l+cX&#10;n9Tvc656+v/tHzz+y7SNV2EHXuQ/SvSH1gw+C6JFjk2ui2vMORkD4SFjgRTYhR/zH/Ipx+A8uMOF&#10;sAtTfARL/EyD5FxyEjwHUzDK9zjXWMgzoegQ3RkcC52pBrX8D2PGK9pgPEaL8Bh7aT8+s43H6KpY&#10;1UdjInWOi2ZFiyydI65cH+e09zzddecp5t7yHCjPhfIegm3joLyTQJc858e3/ER3LOkNv9AKOiSX&#10;oKHsLubFjhjXZn4SfziUT9kmYwt6BgfBQOYijXHoAE03BqI/lor2eA4AQ/CEz/Ofcd4D+NGPX+h/&#10;o+r71Ovr+9TPPvtc5fD/1X1av/XGo9rGF+xMe/QFF2qD9siDFJizL/v1T5sU5+sDH0+YMLGbWOMg&#10;GjRjxqzSwvot+0zL+k3bd67uvn1l/WdFcd/lM2eURl5b342rZ9c1j7r04Uf69tChaJD/L8UtOAk/&#10;sh87sl3m4GgIHnWMfFqOYInL4F9M4GPrYoPtxYFzaIuC63BlMOFa+NM5rq/gSL9T8nzKGG0kDUrs&#10;W8pF6Q/fyLPwpj7gUG1zPc+HzHO5t1wSdmgXzTE34rmgeMjzUf61H5/QJ/exDXc0hV20lQaIX/Fh&#10;jjpza7DIT/iCXdTHjtoVHsmYI7oj17FOezIOanXIPn1x39iT7dgwz6XYXL+jP+rpR1vELq1if1rl&#10;fNsKH2kvvoOB5Bbq3YuWmadux0F5X67VppNpEE0ZGlPfjfvkf79VoM53tN972n83+J7BZ92b9Q2E&#10;MXds7jWq/T2Pbyt8UP83cuTj+i7PH53et0Z/Uzpm7ApnclG4oC9yFLlLNCjPgugPfaJZjs8cHBx5&#10;jpm5KPGPC2AGT9Eb/IsncDA+hyn5cYrjYEl7+E+e4Dw6ABvm5/jIM95oUMY9WfpOl/Kb0CDXwMPR&#10;IH3RdrxFY/BaqzW0R51+W1fsx3c4Uv8t2Zouj/YZUKtP4Rv64h3sLK3n2wnm6eiQbVpFj3C+NiRH&#10;4A/jAXpEhxQaZKmfdJavrOsHf4gluQU+18fwPL4x/nF957AFXMAIm4hL8d7OxYlHY6dokG8g+F7p&#10;/Q/U77b6d59f7L+JsKzqV6xa3b+n/+mnw9/3lYvgPm3TB+1zT3YO1vSPDzL+Yft2zKOdGeNaH39x&#10;zdWNn9BNmVzYvHxmvZc9rb7NPb2fe9tamvnsc6XpZWPvO79Z/9Hg3ewnC5Pv1P9n+10qDTLn5ZmQ&#10;72Z7x16/6U/yLX3G59EXebJj6AtuV2Cd5phfUqJV6hS8hcfEitgQL66B/2iCdfFjn3PVezbFZtqW&#10;dxLacUo0gS7QH2NYWk6j6XPGF3hfm/E2f7qXY/jR2IkvcYFYyTiZj+CFDtE3GoVDbHt+yEc0xH3y&#10;22f8TGv1kf3Mh7Ab++lTtFxepN756ixxRnSHBrWak7GPpXrjc7HoOmzNL+6tX/IBcRc+oSd0SPw5&#10;x376oTiGnfnHuQqfOi5jIRjAce4RHXJfPjNnmDEPnstcHA2yTX9OpkHnldb47hutyf/TpS7/DZRv&#10;weUbb4fu+Er3y8+OdePq+9j3nO8/F+q7px/Xt0t/xxoUf4pBuSscRXsyHqI9eS4Eo3CWuX+8Iwcy&#10;t4PbkoPiHbEvxzE2xl9y54yL4A0n4AvnwaHjtIffzDXTJ/iCA9u41jx7OwaiP9GeLIOZlrdHuw5L&#10;4iEahKuiQbhXTNFabbetv4oxUTvmw4+K/lm6jmvC8mjblOOjQXkWlGdAxjp5BmT+WC7l9zfiUM4q&#10;JvCydmtzuJkPojPREjqkb/ZFZ7SdFuN7PMPvjuNz287lY7Hm2upoEI3Did47oUHyUYVm4C7Fcd5B&#10;8C7cK6+90e2rdxEO1bvZvp+9bceu7uXDf9Xn7/m+vG+xsaO2RIOs00B+St9a3YFBuY9Cv2zDvWP6&#10;clHNuY4bX/U0qL6hNr1++1RjoHuLX2jQi6Xnf//uO937v/h5d7Tmtl7+6eHumbK536r6TgJup0Hm&#10;vPxnHc2nA/gb7pMH41U4x3X4KUUujsf4F4fhKZybZwiOZ0djI3U41zHJ253jfEu6pN79cTkuEzvm&#10;C6NBtEA8G7tY0h34hQ22FLtsyf/sE03P80waKz7hCSfQE+tiO/blB9fEE+b9M87ibxxivIR39Mdx&#10;/KGIfXytr+zjnviaxpiHo0nGwdEntnVfMesYnE6HokEZA9EedbZpUPIEdtQGvmFnPoi2WIo9dqUX&#10;xkQ4ypxNfl8ud1CvrckJjOUck7EQX2qne9GhFP5xXMY80Ztokm06lHm4kebiPBP65dGhbv++o/X/&#10;dUf7b8KN9N9Avol9vL6J7X8Zjjz0x6U59T+opTn5vtvvQ4P4lS3Ynt9hDk7oj0J7jIOsq4c1uDHv&#10;osAPjsnzEHyk4Gg4xllwAUMwo+AOnAzTeMhx+A2e5BbGpTgUvnE1rHje4f0e78cNatCgDp2tBuFq&#10;OMw4SCyGp+R8+NoS34lX2qMfOFsRs+FvMei4FP3E03AK59GV0Sydp+AjvAXDCvxnToFP5XV4Shyz&#10;vz7QBT7DFdEebcp7iPrjGP7UJ35ynCXOdpziOPqjr/YrbGKcpIR78Iz7aQ8dFP8p/G8/W+GVg6U/&#10;r73+Zvfhv/9H/fbzhe7HLxzotmzb0f3Tz97vfnXso34u4dNPP+0UWssvsNNqfMZFWdrvPtEmuTn7&#10;40i6gO+0m20urnHQ+BoHTZrkdygz+3m4aysu5hcGFz+wpHu4eGLNxg3d3n01L1/zwluqL+urTzsK&#10;r/lWj/kuxbgDT+Eb93F992QbdbSBRvAZP8KbutTblzEAH7a6xZb4TOHjzNc5x7Vgy9I2rYvtPRNq&#10;NQgG5BG0g0awE9uIT3bBl2ISPrSfj9lTXMjRzK/Sc9ph/GzezbqYdz4fwJBrG/fQOfMrxl/hEefg&#10;EdfWHtcXT/CluAa7pWgL/dE2tmIDnGKp7fFtNChak3HP4DhInsBOfBI72+Y741GFvkSD9Bsnqac/&#10;5lv9Xs07TDSI3cUircJlcmcapg7XikNaF9611A+cY56avkRzaFDGPpZyzJTBeTDzcO99fLSbPmbo&#10;xLdI861s//eT/9v2vezjHx/pxz6+KdpqTqtJg9f/bW6zWXDL9uzB9+ZsjYdoj7k523AEMzCVIveF&#10;HbwV/bEMB4t5mJGbwDMfyFdg0z5YUqeIQz41f2Sszy8w5PdB/htZ7uu3Dr8tDQq3u6/YpcniEddp&#10;q7gSX4kxdfgL3yb3xocp4kfM2Jdc3TYuxz25n+WZaJD2aJuineLUUvu0DW8o6vBLfGaJM+QJtCV+&#10;4B99dj3tzJgBh2qzvBRGtD35Su5Ll8QwvjMnzyZw4D6wwc98y5/JQ+WHuEPsiueN9R8N/jPob/72&#10;74rX99QY4wf9XNzP3v9596uPft39S40//vXfPuier7lFWsv22k9fcBgbs7Vt+KKP+mhd/y1xHLvp&#10;T2zFRmx2ycThd+Km1POgmfU86PIZM7vp1e5b55Sv7r+vW7Co/qvmoQe7ocqldxc/rB3a0D2xvt61&#10;2L23H1t41hINevXVV3vuYi/30Sb8SIPCO/Ce+MsymkRX6E40PbylHl+qZ2/rrmfpeHkbXco9LJ3r&#10;nR7joHYujq3EKTywDZuITUv+4uPwvW24oD9ilc9wLL+ze3SIpvEF28tj+Md9rOMKYyFzLcZBxl0K&#10;DaRDjoFh5ypyHGPktE1/tQ8OtcE2e8AtjCruh4/krcZBrfaoa7fhkZ6wEZuxqSUf0CBxST/0EyfQ&#10;FbiLDqmnYZau4zzt4VdjJjrlXVS2d559eNB98CyOSXFN84I0yJhncA4uWpSxUKsJ53nmU+8jDB39&#10;uP6b+xv9uv9uOL/+u2HwP1IzDjL/9mXRoIwvM34PL5gTpjt5xwV25Kwwppjrl9/iF3jh92DHErbF&#10;u9iGZVwjRuAGbsUkvIkP+LZfG8zXmGOylF/AjXzAHLz/BfNu3Mk0yPexznQcBHPONS6GS+3CwzgE&#10;b8F/eDn6gwejM9bFI+0Rd45xjnp10SQxDq9yJ9h13zPRIPdiR0uc7z5sjgMUvKvIKXAEn+EBBe/w&#10;k3bykdgIb+Ez23yF08S4uOe/4EWs4if7xJTj5Hpiyjq+ct+8+4Az6AwNSi6KI+SJclZ+fnCpbw/U&#10;b4QeeKjXIL8NMg6iR/TJd6pffeP17rs331Tf0Rmeh8M56X9yATZIYXP944e2aJ96xTp9mDyp/pt8&#10;8qXdZVNrnqfeub788tLjus/MyrNn317jzHn12/3KiTdsrfmcXbu7dfVbpdXrhro9T+/rf5uK383F&#10;eS+BBnnHgAbBDj/EzmzHxvQaF+EmJeuW9iVe2FecsC1+U8/uluoca786YwJjyvjLPr7Eqe++++6J&#10;d+M8uzLekCeIYzhyDbEanMI9vMM3bMGt6yn4FT9rW7ifr/EB28OY+RK8ILZhy7WMf8wB0iFLvOK5&#10;kGPhkx+0RdtcT86LS2AVb7iGduijos9wiEvcR8xqDzwFV9aDuXZJH2A29oN3fqEH4lFsilG2o0HG&#10;l+zP5nIGXMkO9pkDVWe/67muuDYfBwc0W138JP5dj68V52pP9IcGZTyU50EZI6lvNch/bh+r/9z2&#10;v0DqjYnMx+W/gUZ6HvQn9R+nXxYNos/0nd3ZhV3ZBHbyzDJjZ7mK3AS+4ENxXDBimSJ3wQ3iGy7E&#10;i+vzFdvDD0zBPNzhKPFKd+gP3/ELv/Ex7NCmQQ3yrjZtaufjzlaDtE/MiGfziDAtHmE/eaC4FCuK&#10;mMXlYi95udzaeWIG99h2jnXX0Vf4hdPR6I9jnaNEXyyjOewufuX/fIFj+EneQBPU8aFtvsOP+pac&#10;Ut/FS3AgJo1r8m4UH/KLbb6jN/oi9hR242t2YhfcoQ140Nw7DWoLflDokf/E9vxn7rwF3aYt2/r3&#10;sb0Tt6B+p+M9uTsrR9n79FPdlMumdheNG9vb2j3YVj/Ylh/U0X91wZ/2wJu+8kP28REf9/w2pZ4T&#10;XVrfgpg+o7vqynrPt5aT6/gL63oTp0zu7lwwv3tiaH33zA/rd1c1FhvaXN+4rd/L7j9wqPOb1Lyb&#10;7fts3gnB0fSGNrIDHodztsNFCltZsn+2ncOuth2b/E0ssL9zcK/jokE0B9ZcHydbd4zz9Y1fvCfh&#10;+0HGazSILeA146DYh/1gmZ3Sdpjhx2gRDGiL64pl9oQ9GLMOZ7TFOAYe+YU+RX/My9EhuW40iA65&#10;vvP5Dz7pozrX0x6xYyk24c+2JVvBGJvAI76AqZRWe+CPPvEP+8E4G7uGXECeJQbEGg1KzOmz4/Gj&#10;vuNNPJVxEg51DJuIhTzbM5cnXp1Dn+i2dRrnONfTZvfy/LYdA9GflIyBLFsN8m6B/0Q9r+bh1Hs2&#10;9EX/DZT34kZ6/vP7motjCzZnO/a3zSZ0wzss7fyteRV8RoPgUW4ttuCjLerwIvzCiPjgOzY3djXO&#10;4BP343s84DhxJy/mf7jO80VtkyPQJnNy7TjIuz6eDagzBjqbcRCsed8ShrRNu+E7WiJGxbi24bvk&#10;4OE0cUYLxLD9jsN9Yh0Xii31rqdP8Msm7juawnZK5pnEvfjnE3XRn/B/fMbGfGLOQx1u0DY5pLjg&#10;IzGRGJSf2MZj4UKxouAA/RNTbMV3jhHH+NQ+fWYP7WC7zMVFg/AC/QlfPPeD5/t3sVetru8Jb9xc&#10;/xG0qn6zWs/minvn31V2Wryo21/vpV197TXdmLL1BRcOvyePr/QN706YMLE4y3cJh9+5Vq8tyY/Z&#10;n7/0W5sy1zRrVvlqeunU1KqbNr379rfqfy6nTuvGjxv+Bs2FXx/T3V250IbSnV2Voz5Vc/Nbtu+o&#10;36pu7Z6p9+VokHEQjjcfB5NyITrABmyO190P5tnIEm/CCJxZKvaxp/0p7Izj8Jp12HQcPWJ3/WNv&#10;/VJgjI/c3/iPbXCX79i1GgQPuF6+6By2xPmwzD7sBSfwRethzLHaq41yFkv9cp7iPP1wLN2BT9dV&#10;cIc5fdpjaU7O2Chzco5xLh/pj7GRtijix/XlrPYndxCTbGGbXbQnmIoGBWfRIlwihsQhjLMzW9J5&#10;2iIH4792riJjHX22X26MzzwXo2eul1zedR3vOJwizsOt/IVj5aDqxJ0Ycj3v7NCcjHkyBrL0LCg6&#10;1GrQub4ezbaUQ7ANm7AlHYETGMk8HEzRG/tgrNUe29Ek/AwnLb/Fr3zFz8Gv+IA3ODJutYR3XO4a&#10;4TnaZI6jfTeb9tAl78SdrQZpF7xEk/GD2NYHRZyJazgXZ4l3644TG9qtL7hP/Od827hAHLmW/ic/&#10;cl/ldHUox7N9ck88gefURYOs4xc5LL+Fp+iPY8MzYl6fxCAcsDccKHJEdqBRlurgwzmuJ97pjr7y&#10;m20xxk76yYfao9+D46DwgSWO2FpjIP/bvXzFqvpv0vo+z7r19b89Ndc0u+Y+7pzTz8W9W7+7WXjf&#10;4l6DwkvsPu0y/y0zo1/6jU/m5/hIWxXH4VR+0DacRW9mzaz/wf587u3SS8vXVWbNnNX78MIa57LX&#10;pPLfI8vqPz7qd0rmBTdv295/w9TcIa30Llzm4nyzlAbxsfuLCT4QM+7JlrEnLndM2qZ92srWfGKJ&#10;H9kc/vGUHIC92dh1ov2OdX3xBJO0Vx1ep3948h/rPXJtpUOub59ckk66N+wqcGyfOu023o+24Gmc&#10;CQuwiMO1w331Q/vt0y74wcU4mD1wBD7BK4oxUN6Ro0PxqXtpB41MPPFb8hnt1abe99VnOsSWcOYc&#10;eBqci2tzH/Mt4hwn4Tq41VbaoV5bxSObWSZX1BdFv2kIDaJTeW/B9TK35Bj+wil859rsIs5wrXr3&#10;4Vv1zhULrQaZdxt8FjQ4DjrXNQh/sAe7KOyBg9iOXWBBfgSn4giv4RUaAw/4xRK2UtTBB+zAoxji&#10;X9d2P7GR+LIf3mmNeJF7qIMj+ZPYCT/yOX+Y1/Z+nN+i5/+F8i1TmnSmc3FwBk/iS36i3XAtrnu+&#10;Kg1KXKdOW9MfMSgG9Nv+aJB1nBeuYVM4ZmP4hlVltBpEX2JzS/7hJ+v2Wcef5t2s4wm+NL9hm831&#10;L2O7aFDGgfzPb7iO3iiO4UPX0W88E/yIY/st3Uuf5a0wgz88DxJjLRdYP6FF23Z064Y29v9Zd++i&#10;xf1/8/gugXLzrbf0/5399jv/0M27a0E/PwY37K0tfs8z7bL6XW29T+DdAhiFQfvZW8FX2tGWSZfU&#10;tzim0dN637eWUyYPj8nTdlim3zTo8eUrep3URmXpI4/2/yvhv/S874zXjYPkQ97thB/8HR9Y1w44&#10;hw1LNk37LPnCeQrcK+yN9+EDb8EOv7gG/ymuJQfgq2AtORM7iVE+8fsG47RokNyIfxSaY5udaIEY&#10;l+Not3hUT29wu9+RG8eLSbkkDGir/mgPbMCReSr+NVbQLvN+NIj2GAvRH+vqzPVrJ91zjczlW9cv&#10;sWYfzIkx3KBdwYD4037F+Mcz/oyDgjnvw9AnczG0Rwxasqf2thokJtlbH9k+vEJPFHyhznH0gx3w&#10;hqJO3/FJ3lmwH7eIEX1wjBJtcg3tzLOgjHkyJmq3z3XdaduPL3CNJQzBCfzzTfwj7+Jn42JxjVfk&#10;IXgMdsN54US4DWbFAQwl1vAwrKhzr2iN66nnH+e4n3spqYcDeUnyDrmHcZN36PIcyfu/wcrpcnqO&#10;gwfXh3e4ZAdtoSHar+AI+7Ud96mzrR728bo+OU8c6qfYUXKOfXItdhXHuf/pLoNd3EZ3UmhL1rNU&#10;x2/iVQ6gHeqMg/jRtnYqMJBcQdvwnnPYIf5yDO7jE5yGH1vdUWc/PsSptABO2EbO187HRY+iQcZB&#10;69Zv6L53ez2rre9kL6gY9x+lxkG33n5b/5/ZG4s/xk+c0H31gq/1nBneNH65eFx9y2KM90KGcySY&#10;wr/8pC14i3/wK36zHFu/CZpQ34LzLsLk0p9vfnNYoxzrfHZiZzw8b/6Cbnt9M8izqg2btvRt3VjL&#10;5+sbdr49QIc8E/IONGxmjCEHYHNxwW7ijI0s4UaxzpY4SmFHNleP94NNePe/CrZxF384H7Zcm53x&#10;tHvDLWzyMx2FS7FjLGTMpn90hn9ghN7GNtoq9sQ07Lie69Ia3E6DtANmcau8VfuTZ4pz91VnHl1b&#10;2cBYJ7/t8D6cbRrkuZF68/36I674rc8vyg7w5FqxF9u4hz5pG39pOz/TY9qDC+iNgtvzPqZ97JA8&#10;UNv0S9vph3oao2/iEyfwJ16hR/ZFb2CaFolnfmIHcUO7vA+nOBeXOtY+8cK/ruPafOlcx3g/mwbl&#10;vex2/o0G2VZaDj/X1/lVPMCuuIQ5eGZ/No++OwZG4BaviEm4zhgIjhV6ZB/80RE5Jx5wDizDvPuo&#10;d4xjjXfgH5ZgS9zgadvOgX3b+FF7wifRM7GmH+JRfnGmGuQ8+IN/eIF763jaMrGhjRnbaJd96sSB&#10;mNBfbXSMc52H462zraXxujbDJwwqo9WgcJvYFruKdfUpqdM+eR5OMyfPz9qpPdqvfexuPxuydXiF&#10;HcS1Y7U5xzkWLvTH9a2n36nnPzhxrvvLFTL2aXnB+vYdO2uea3N378L6T7TiA/rzveKE79e4x7OY&#10;W2osNKV49k9Ld//i87xdH5SL6vkPDvr6mPo91tcu6DEFV3gUDvEzzMGeejjkK+d9oz/X+/XD7xY6&#10;DuZgkq3YlBZNLZ/6Ls/2em68oXL71fVMYcXqJ7pVa9b24wpzXJ63eG9GXpcYiZ/kazACD2zH5vAT&#10;jKjDTZbq2BBO8KW8Pc9Sw2vwivtoFh+5LvuLC9zt+vxGd/MM1/X99sG7exnj0QGxyza0R0wr7GmO&#10;V8yzh7a7Nv/j6/AD3tZfPC5uYNl9XMs18Szd0la44i+2YFeckrl+60riLP1w78QSu2iX/uEsuOJH&#10;+9U5ly3oDq2R31iP/ljXFm3C+dqq7bhDn9gbB6jXP8fRfToqVmmQfcnR5KrqvDsXLbPkM+N+vrJO&#10;k6LX7CSvo0GubT/b8HH7jTg6lLEP3flD1SCxKR5pB0zAI21gZ3al8fyCP4yjxaLYgi88Bkvwq94S&#10;dsU4zYEV11Ynl5RriUfruMl9HOcazodNcQen/ATHtuUN4oz+8JM4wyvmBuAUDuFHvNmGndPl8/Y4&#10;WMC7cKzPsIwPcDSugPnEBbsp7i0uxIA2RXsdmxixzzVyHUs41b+8l8DebVtOtu5Yhb7wCbtmPZrD&#10;l+rtNyZiPzbVN8ewN27SRu3RB9yLZ9iVLelNtIUuxTfxiXP03zmuw1Z8wy6uiRNgRVvkE/aLuYx/&#10;okH4Qdldv0veVd92WFu/2zD3dn354ru3zO7fR1tQOZG24yjXw6m4B47wJAxZpznq4VOd+7u3NuEy&#10;eMyxcOpcXOx4+NMPx7oGfLsPG7qn424obA5t3tStr7JsxfL+Xe2FS+7v3832XrZ5Ys8sYcc16a9r&#10;wL34gA940BcFrtyPrSzZj3awPW43j4PHzGXBiphUYByHJgeXX+PS5Nh8hOfohX4lJ7FufGAOW19h&#10;QLvYhf/Zg10U2oMXYEUsaysbKO6DV4NFfCqXNz6glbbhwnXEprlJ34547bXX+r7oJ7tkXs5YyDNn&#10;/MMuGaO5hjbDmfu7L9yJHe1PrkDrcInrwi6M0SAYa7XIPKLnkvREO9lQzNMg9hP3eEY9e+ME9jfu&#10;oynOYf9oEO2wzRb6jifpkvOiL3zoWnxmn/vBh3XH8K1r0EbPghT6k+dCGfu0z4XO9bFP237+NQ/r&#10;PXycBY9iGbaj+WwFX/BJP8QWbDkWPuHbueINZh0XnaI/jnGeOHYOfOEF+HcsLKoXg3AAAzCsDXwH&#10;A95jgSfvLuIy5+N8hS6og0nccTYaJGZxgJgWx64rJmDbPRW4D1+7Z7gkGmS/2Mkx6h3nGuIIr2e+&#10;JbmYWD6Z7rT7Eve4sS38aJvGRJPUsb1YEWe4jq/5gq20S5sU7dV27aUh+q+tYjrjIu1wHXpGl+xX&#10;2IytLF2LjuEE/sct+Jzf8SpOiO60y70Vd3tqHmKoeOL24oLZNR949fV1r+KwW+s8bfP8QB/1IZoD&#10;czAIZ7AU/aE11qO1sK4NqYc5BQaTW+M3OHRteHZd92JHNrui8PHYyhXdY6vqP28ff6wvK9eu6efg&#10;PGfxLQ+/IWAL96H/iQ9+wJX4FGaCNfZzX0vnsS388ZkYCEbEhRzdWMM+SwVvsqtzcGM4lQbxo76x&#10;ixilH65DD8SNEr53HD9po/jW/sQvX/Ite6nj+7wPJi80ThCrro1zcQatdS221C//3eF9DTZyPrvm&#10;uVB+J0STYJIvtRUWo6eW+hcsart2ajPf0NHEJw2iN1nSXbizpCXaiP/hOTmvmGRLNschxkC0Sv+M&#10;3+kQLlLvOG3hh+QDNMg1+Ms5jqMtthWcJvfkH/23bj7TcZZigc7Qn2hQ9OcPeRwkrhO/dEOeZglL&#10;7McfbEsb8Go0hu/FFD4wr2s+F87thx2xD6u24Uk8w699ru98287BAbiRb/Ar/yn87bvq3lfkG7Gt&#10;8DP+FDOW2gyPGYOcqQbJZaIR8AHzeEJMsJP7aTdOcy9LRWziFMeIudSLh/CkGMbx+AfXZJzHzqNt&#10;b6tB0RrxbIwQ/ckSd/Ivm9ES7VCHj7RNP7RZ2/kAF+IuOiMXV5Lz4RWxiO/kJOrV6QuOCZe6juuy&#10;Fd/jFTjBE2wIUxkD8W106Iny9cqK80U1t+E9uEU1vrhtbo1HK/e9sdrPnq4lV6ZrsMT/0RXbeNM2&#10;jFkq2gK7/GKcZJ9inS7hOfthSNut289u0Tv2tX5lYWLFE6u75VU279je7Xyy/ou55kmMgbwng2dh&#10;13UyjtJv9hYD7knj4IXNYExOj5Oi7XJp/qIpbM3GOE/JunpFbFrCq+P5pdUg/nTPaCH7uBd+1m82&#10;YTdYsM5ejhe3MMHm9tsnd6crtuUYcn3PYvG6b2uJUUv91y++FuPshiv0l/YZJ7KPfMLvhRQaFB3K&#10;3Ik28YXzkiuxDTuxmXjSPu3VL9va6fyMgyyNL7QR5szF4RUxR4doCPzSIRzHvvBJmxyDA/WT/ih0&#10;13n0hN35RK5OY9jfNWyLE7pi3XXErHNcn2/FFd/hHPu1yTycsU/7+6BoT/sfLdbbccS5vo4T+Qxf&#10;4Cc+5FP8wg/wzK7sCwt8DYMwKkbpT3IZvBedcT3a4tjkUvhIXFoq9rsnXBuv8xH8wkwKjuKH/E+o&#10;d17hQnzgDxhUYFrBg3yq7aMtzpM34ggxnbk48aY/iljG2WwWHQyfiAHaaz8b4r7YS1+1WSw5Hn5d&#10;3z3hF0ZPt72OVfAaDecHhf0ttTFFnfjHReIZD4p9nMpX2qtf2gsL2qRt8mvtopFZyglxjrjSVvHE&#10;F7BBt+DDfVyHT9iIv/MtFm3Cx3Q9GkR/rCtLl/lOwkPd3Pn1nLeuv7xi/sGK+bsW1nO6e+7t/ZLn&#10;2LRIv/CU+8ARPCjxCw7kA1zL7vzIB/brLz/Zb9u6kmvwF9vRO9qORxVzcU8/92x9G+Hpbv/BA90r&#10;r7/WPf/C/v73aW+99VbPO/jFvdmaf1LYW1u1Rd4iJ2A3moAHxRqOFQtijp7AIa6K/rRjH/XRoOiP&#10;86JBeNrYm42CB/2SZxlPsRk7qNN37VLiu9iMLjlWbMGHY12X771jwod40Tt3xjjmLOyHT1jL+2/s&#10;53x4Ygvak+91+y2i36zKLdwLb8CRvMC1+MmS/tALdtMefRSz4QH9gWlak7k4+pMxkTocI360A9bN&#10;70X3aRIeokPRIuMUv1uMBtm2L/anI67FX64jPvIsiF6xk/1Z5p58mvsYk9Fv45/2vTjcp7Av7osW&#10;neu607Yfb4hRsUkL8INYZU/8I58RB/iG/8OpdAUHiNHkMPJr2gI/4TbLtsCzOBTrMCUWxSy/8B0/&#10;w0swwy/+N8j4Jz5wDL7HHSmwCpfweKYahFfFP4zru/7iVNeGbbkxvhYj4lqd2HBPdopW6Z84xUPO&#10;0X914sS1cE9yMEvxoIxWg3Acf/CFgmdwfraTJ1hqs3ocjhPEuvP1gy+0jf/1QxyJL7GlffJA8SN2&#10;bdMideJKDMGGnMV5OEH/8JdruzcOxj9sQN/x6Ega9NS++j7ws/XuT32HYF/F29Cmzd2yeh96++49&#10;3cP1nw7aCWPajttwHNvCGx61zh5s7liam7yEj6KP6tnDOQqfKtoXPLEVnWYvGmTdvf1vkHHP1p07&#10;qn2bup17dvfvkPuttPfNPC/QR9cTH9EfuQF7a5v7aw87sRdexoOtBsmVxV20h2bgRjhh83ZOzjHJ&#10;wfkAfl2PL/VfW2Aj9xfv4hw+4yNxyWfiyn55kvPhFa7ZhU3tF7PuI0ZwvXe5jP88Z4EZccgXfv9D&#10;V3xnRYE7NoQJOYS6/JcQDXI8W7sX/7iOttAibYNPes1u2oC7rDtOOxW2hWVag0Poozam0CM+YkcF&#10;ztmdvWEYNvXLPvhWYN24xnyjsY1t+3Ek3jIHibsSA2LFcZmb5CtFveP4VT8cr979Wg3Kc6C8gxDd&#10;iQ7hwZbDz/V1WOJLeKMF7JOY4GfrcgO4hksxK84t5TI0CH4U3CDmYCw6BItiILxsnAXH0Z/cN5zH&#10;z/Io+IFteUH7LI4ewZO4wPNiSPy4rvwOZs9Ug+BKfMOJa8hN4Vr73UOJ/uAShXbjNjYU7+G2HK+N&#10;+q6ocz3XHRynu/doNQhPakO4F8+xfYp8AHfSJT6zLvZTtInd9EGc8y9uwou0mLaII2OfaBHbyANx&#10;jfZGg3AgLNFtmOFf/c2Y1/jHPfQbP2T+LWMgyyP1P2tvHPnr7oUaX9Aj3yRYU98FfXLfs/Ve3OL+&#10;WjjKvC8NwmexMxsEm3xAB/C8PukP/+ibbf7CabgKrypyCYU9+Axfu1fGXe6ljC98PVB9WLnmifqd&#10;Ur2jWzYyb+j30XQIXsWN9mTcp+802FI9e8Oq46JDYg8Xsnvm4fATXLSFvRV6hLscQ4PCf+IUvlxP&#10;f/WR/+k1X7ANjnd/PrKf3cSRuNR/hc1cix3ZjC1pgCVbKnxuvmJXvW9gvgJOjE30ka3kpr7JY6yj&#10;4AhzJmxqqc43kX0b2bpxEZtrDxuxjziPf7RPu8QZreFD+xyjzZbaqm04IjhrMYZXYJnd4Jfm4DxF&#10;f3CdOtqDA9jZuvyL9iQvs6RBeMv1oi18YV7N/Z0nJlzXcfEbH+M9+7RDPf3OHFz7LtzgOIj+fJEG&#10;+Sb2Jx8f6eYeOlYa9ZVep+bWt+Q+OXaoG+nb2e3/N5xf/9/g+6btcb8rbWPvjN3FA/yzj3jEb/zN&#10;rzBryfe0R4Ht5DOwhhfwnPjFg3gvWoTv5F0w7xqwnTiUx/CTPEGOIueAH7mVdxDyviLfmJPDX3gE&#10;JmEV/qwrxiZnqkHRAHgS32LZffQleaQ+67s4YaOMHdlMzNAY8Ww/jdB/5zuPPfUbXxhLhE9gFc/k&#10;/qdahpNcX3+je+yuTeKSTcIF7K4eB/IXDsARzmM/uq2f+sAX+EsbxZO2ibcUtuUn9oEdOiV+xZXc&#10;W36HJ/Cb/moT7qOP6sUmvkrhy3DEwZdf6ue1VtazlkV1z/X1TdCtO3d1jzz2eHfN9Tf0c2PyHBoU&#10;LqNB4SjY0hfcpD9XzPK+uVz5qn45q7avuKLeOanlzJm0aEa1s74rMKXeS5s8pfAz/A6Wdsul5Ffu&#10;FXux2Z+X72+46cZuWfGM//P2/aAHH17av5NAgw4fPtzbTbtcw3ye4lxLPqMB4XY6Ie7YLWMh82ls&#10;ysbBBi7EV4r62J+P5OKZB6Ib8gC+pPmwyPbuD8Paxe/OYTfYEI/aQV/YDaaDa/tgGg8ojnENOg0n&#10;no/kOQYt0j7niv3MkRjvRIOMdTKOpUntd5Ft02o2SkyzkzaKI1inM7CsXxkv2d8eD3tw5lkQfMFa&#10;cEaDxDetSZyxIf6BYbZnG/0QZ+wsDztw4EA/Vwb7YkEeluPMu/GTa7gmLfGNcvwVnXIPsWKbn/nI&#10;8e4hprQ1+XZ0p122Y6Av0iDfjfvss2Mn/sOOhvhO9mf1f0H5Xzt1+f+GL4sGsQH74BxxAD/JZfAH&#10;LuVveEueCwt4FS4yp2vMDV/iFY7gXgziXsfRINiHHzwB17AC07iJ73Ey38o55FewA9fBONubczae&#10;dh58uo6CdyzPdhwUTLAJDcIPuE0fxIYxkX6IBZqj7fDEPpaO1y/cLk7xGS2wVMe++EXupL+wG55J&#10;TJxqqY0KTYkf+Mo2X7mvNtqHB9xbkR+YD+Gj5ORil834XP4YDRKPYiTz4+JQEb/RIHFqP+zIY9jA&#10;GIgNwn/8D0Pux570JpyAF8IN6nfs3dNt272r/g9hXb3z/GC3qeqerOfcxhtXXv2dExqUcRwuw3W4&#10;KFoKA7hyan3rbVrpi+8nzJxR2jOrOHZGfc+lthXfI/VdBN/4UXwre9Ilw3k1f2kvO7UaJEenI36j&#10;9P3SH2OgVTUe+kHlRb4B+vbbb/fz9fIL9sf5xh/iwbnJz/jnhE4WhtgdjtgvOiQXhBM4VPCdIp/G&#10;ZanjI/Z3PJ/RID7gTzaB29xfTMIwPONHMQkv2sJ/YtD95ZpiS5v4MRpAe1xT/LsG3eJ/+SK+lB+a&#10;O5dHahdfiBd20H85Kp/RQ9vRIuMlPGIbZyjaDbPa4V6uA0faos3awc+wC8PRSrwAfzQoOpQcx1Jb&#10;jcVpC+6nJ2zKhuzHDnTCdnTIs6B8/wI/wb8Y5QMx7JmY6/CXXAFfwYNvKSdX4DvXdX0+Yh85nDbA&#10;i1w78z1sOTgWaufjrA+OUf6stOXDQ3O6Dz84Xt8vPd5/v/S8qvOfDh8e/6TKB/3/2n0ZNciYA+ez&#10;LZvwOZ/wI3/DqXxJHbxlHxzAtvwm/8OY91qSa8NZdAiexB6+gBscDt/wDuv84v54DkbMx9GfPKcz&#10;B+dbxP4bzNwprDkfDsVQinjm11Px+Ej7w+32wRNOcB+6YYyl3WmzPNN+JRokfm2znX45Txy2/Gjs&#10;J9ZpkPvh9Pa+I7VrsC7H5zmc+LUuD5BLphib0hxLddlvDIFLjU/4WL+0NZqKw/hDHIox8WUeQqzg&#10;F8top/3iKRpEw3ATv/A3DcJ7+FcctuOfQQ1as6F+f1/68+jKFd2SGlusWL2q5uM2dffV/8ctKU1y&#10;LTxFF1JobzhRP/gJtib/D3v3Hb1pVd0L/BkGGBAm0dhicjWYYqImMc1y4zX2qBC7omJDjUFNrHBB&#10;lC6iwtBEVBBFiqI0pYgNVCRGRdEAiRfFKBawxVgQ0eXKWnd/3h9f5sw7v6ETZmD/cdY5Tz/POd/z&#10;/e69z3mft757sGV9A5vOPH2r+g1uaZDk23ALWlS+/dP4QQv685Qtn1bf+HniDJ90Tft4lgTHEj33&#10;HjCM83cuvtm7sHryB069knPEkvWXMcNfhn/jBO/GFzGm1FGbw5d2jw5pe3jS/to0tnlyz9UvUnSH&#10;bejcMQbn/p6jfVJ3GqQN2UjWDngmPDpXDrswrP9sO84vwu/eR9vq1/C/MaAeYnDGqf+S923uz1dM&#10;9ayzzprFM/C08/QNDVEfeKDRcu2sLxNbVUdtLtcP+Cg6yDbwTtEc7+2djX118wz1Vv9oUHSInyHZ&#10;pil0BNfAMp2g6/hNfdO++MhY4+eY6xNvFWdzrf362djw/vzBjAmc+rnPfW4WM3OcLuW++tH9PSvn&#10;w0zWIcT3iQbJs2/M5zVom9Kbiy8+YXrdjqdPl1bszf84+H72ZRfU+q76D7vvnX3glf/tsLb5QbCT&#10;ftG+2gvP0CTtBpPGA/4It9MhuMRrfGkpPIcLM+dtzLEncR07Bu74Qa6F+9EPgiU4wMn42Zpsc3OZ&#10;n6M/ft8t6T9jIxo06hDuTz3nufvqtuFKgg0aFHtSPY0FiX0ZruY34tyk6BFNzfhVN+8bfnQv7wr/&#10;eZZcurr65XjOp/++a55vm2eOV3+wCxJjV3ZMf8n5q8a9OXM6wc6Mtqp7NEgbGEPGF7tAnWGDHukn&#10;7QQv8EBXcafr8ar+dW+cg4dhwdhlf5vnixaNPpHffPrdzcGHHjK99g31G5OdKx5Szzi8uOPM4jT1&#10;5JtEG7wDrgovpY0fV9/beUL5NPkfhnyT1LewJd8nlWgSn4hObfnkp86+2UPP4BVvu7/n0R7JPhoE&#10;x9tV2xxUXHNo6aa5K3bvp+s/vdnO+pdO8UP5AMYAHZK0hbEQHqdDeBNuceeoRcGTMeie0SQ8JtmO&#10;3RMssn9gTB3pjWdre/VOLE6/nnvuubN7Oh+HZyzCdp7j+amf8yQ4MYblnokj2LDsiWgQvvbNPN8S&#10;Ztub64APY4eWaRsY8cz46tpaPWkSPaI/nqNunqtf+EbaTh3ZwPZ7fnw+9pQx6jh/R9yN7ox+kLI4&#10;CjzjOHlwzJ6iR+5Jf2J/sXm9h3Xl3sW2MSHHmTSIjmgH40PZ83GY7eiQe7LXcKnn2G8sqw+eG/2g&#10;UW/4PeO28rwG5X9UH1H/3/CjmtcxJ7TjnTeb6dFWh11w5X/cLa//uFvbNIjfqJ/EvrL2I23JRtBP&#10;YxtqO32Db/g7+Y873MbOZpNLeAKejDk448fDCB7hG0hwDIvspGgQPOAqtkpsATE4+IYB/QH78Ivf&#10;3QdOcR6ut+/6apD3hRPaQuvg2jMkY9K+6BDOVX91wt2use24c9VPvdhp0V28gcO1Iwwmj8ZcXe4a&#10;ibaMNkB8UvsldoE+sV9ZUjbGJX1jbOND7em91F3fsjGNF/2hPbSpZ6qbsjobq86RcKLrXI9TvXP8&#10;IPEoyZjl265Jh+jO6/YpX6vGsu/zvHTb+oZWtdPHzjyz/kP1a7P2pAOJkeEt92Vf4yvYmulQadCT&#10;nuQbcQuxuGhQtGdBi5430yPfxxaLe+ITKw63+RZ1rwfOdA1+489Hg3AkHXlcvRu/zH8ZnfaRD9c6&#10;vlNm34rzjR5tot/hPX4QnVRP19KE+AHaXTvBSNo/Ng4tCu9r0/hH0SPjRXsHb86nY9reffkMbAzP&#10;pT/GIk1SN+3v277KxovkWbAMA7TQ82zDvjHquHp4Ds3X3s4LRnCHuTDxJ2vUzzvvvMl/e4lPWtOK&#10;N9TPda6HDX1F77Wv9lZPbazdaY3x5vnek+8DqziDrarOytpDndyLtsEn/mdXjxoUn1vuOCwag/ht&#10;9GvgWl1h3X72Fr3Jel3xGbE3WoSjJJrj/Z3DZ1KW6BONY1MbR+7NXlN/tpvnqy+bLPoTzov/M58n&#10;Jjdq0J2viLnN/4/q6Tu+6sr/FTIv9KVfXTyL0a1tGiQOGbuUHkval7bTcO2vn/AO/4P/rx3ZSvCD&#10;06JD4Ty8B0dwbxzgCJhjA2XMwZAxAJewbkyxz2J/6EO2gTaHYbFmZfponEYXjF/3kuN4uL2+GkR7&#10;+csZkxmrngH3tqOd0R2+Ij4wVo1NGoRXol2uVcYR3jV+EKwnXZ325HjOp/vaP/off8d2+iK6k33O&#10;EYvD5bhRv+gTdfVe6k5Pvc84n6rP8atkDOmr2OJsXO/kOu+tb9wT17Bd8S7+gyX8N+pQsIcbtq17&#10;+q8g3+l5SeHslfU7IWvQzvjkmdMFX71w1scwhbPgS8JbfK3RxsFH4SjvNJsTeuZCDE4czvzQ7L+6&#10;a05If6orbEY3aAV9c396hxclz/qzarOnP/tZ0yHvePv0gdKfM//lU9OHzjh99r0433HXN57Pjod9&#10;vod2jg7FLqNDnodX+Syps36AEVoA5/GPogEwCXPRCP0V7dHu7qPdtTcbw7tIyvpa/cSJ/M+etnGN&#10;tpI8W+48WqFdlCX9qI2cw6Z0f1pHl2AFz5599tmzb+XRIL9DNY9v7OJi2HDP+IbRG32pjeERTthG&#10;2sj7e2djhsZoE8/23rgbHukfnYBF5zsXb+GJ6BD7GrbiCynTJtqCa9hXsbHwBq2IHYwHaJV70hZ6&#10;gxtpEC1SjtbQoWiR3DXwHn/LM7S98cNXpkfGMx7gB9Ag/g3NiR5lW560mAY9uDQovs/yWg9Hby4o&#10;vbmg1pP6T+/l9Z/e1sd9p2J0996+1sjV+rmf/PLsaW1ZkyAWpw2sycAH+GGMzUWL9Jm2wzdsZFiA&#10;zdjZ4cJwn3gPXNGp2E18gXAy7Mfmwt1sHZyG9/gg9A9W1I1O8mthL/GBcfy4Zzjefa+vBhlP3lO9&#10;jG96g6syTlNv48/YknCwuuEIPBwNUp8kYwiveE/YhMnoyrXJXSfF39H2+sE61/SDuBt/lJ+UffrG&#10;NeKlxjt+FNPANeponHtf782+1Ab6wxg33uXZljsOCzjIu7tOv7AF+CR4VsK/cmMaxvRnfKFokJjc&#10;Gwpjryt7Z6dddykNetm0x16vnQ6qOf8P1hzgef/vSzM/Wr3xVzQi3OX+5hzxOa6EtWDCXM9WpTdP&#10;LX8naxAW/uPBf6o+eoZj14Yfo0H4MPa5fbjRurjn17uatzqlfpv6pQu/Mp37pX+frYvzDTZcpQ20&#10;K+zjfkkbqLt7SLZpJy6nV56fubnR1oEXOgNPcGhbnm3Pgkvvi+P5D/G/1FlbeZZ3gz8cxwfy3w1s&#10;Q8/lY9ATzzdW+VDGttw7uJ6e0kzPUW/vQJdgR51wg2/l+Wa49YH8HzYkvmbzGzO5Z+KT6kZ/tDGN&#10;57PBLH8GHowJmgqbcOmd8Q5OMD/sHGU41GbahQ0tXj/6QPRnjMnRJ3Y1TOOUxHuUaVp0CQexefUp&#10;HycpPlC0xjl0Vo4v6Rb9cT3edH/3TOyA9hm/tM51mQuKzzPG5UY9iv7IRz9o1Bf7sx77V//931eu&#10;0x7/W5VO5fr8d+pNuTZbH9IduT7FCTRIe2tTbalNtZW2i+2Lc3A/rcFt7OzY2nCE5/CE8YAXEneY&#10;52PjKzZefAg5P4StAxMwTKPGa/Gl8Wdcjbpm+/pqEGzANU6lKepoDHmeZMypo2POoUHaIzwczkj9&#10;1EnZOKJbbCG4hMNroz0513USPdH2kjbnjypn/YE+oD+OSbZzDQ7BK3gGB+Ex7+jd2J3GOl+XxtAb&#10;/q/cNgxI2sg5iQl5b1xAf3Aw7sI3+MU2OxLW4gfB25iOECcpu/WAGsfbbl9rworX9qp2Ov6k909n&#10;l229eWlLeBxvSexoXIsXcTkO5lvgY5jDmda7mRvackt2RKVar/D4x/vdycJ3XXBpuFa70DX6w1/0&#10;DPskz35QcfbOu+82ve/UU2Ya9Pni2vNLH3/wgx/M+FfcGB5wJ36H/3Cu66NH+FYKv6t/dBRXR0f1&#10;C/tHu3of75Vj3g1fRzc8y/3UFb9LnuHdjEFxDD6KuvqvCc9URzaDZ7if89yTtihrz7QrfOh/WkQ7&#10;XO9cdYQNc0z0zTfhLrroollsDq+y9Y0T53kHmFNXdRvjcO7JlvIcfhScwBl84QP48vwzKzbL56R5&#10;5pyiczhKvJ7+0Rm6I+EzKb4RfWIDshtppzKeY3vSIXqhzniPzuDC6I4yHMvpTbTHufPa477GueR+&#10;mTsVR6BHnqPu0ZzoTXK+j7Lj0Se5FA2Rz/+XtzVy36s1cj8pDeLrOOfOlayRO+HiX5UftPVa5Qfp&#10;ZzzALo2/qo+0LQ1nL8j1EQzDRGx+mICj8KAchvCddQliGXjOmILv2Hc4mYbgO9wMm44bX3Avz7hz&#10;njJeY6c5lxbZ5z6Sbfvtc7/rqkE4PvzO5sfD/IH4NvGJ1Nu7G1cS7cE7zncunXE8ujX6F3gbztXR&#10;s6Ir1yZPHbUxrtTOchoTbpazAfCocS7hVnYC38j5+BCP6B99o+1SVxrrnbw/nUnCAfZ5Z9zgfbWL&#10;ftCHtAZv4T1cSB9wCzvBuIWzpFF/lF+/ovygmg/ardrmhS+udTCFt9fU2H3viSdMHylu2bra9V7F&#10;4zDnXST3ltsHa7gtnAlLCzZ+rcOsNW/+r04dH/MY3zcXe1v47xztMPK2+41+lmMSfvcf4up5+ic+&#10;Pr3vlJNn3+u5oPwf/9uAd3EiG0Z7ale+hjqpW/TGdp6p3rRJolX6Q8p74GuJPmlT93Gc/8S3UXat&#10;dqb16p64of2Ou54PwX723xL+O4gGaR9aCaf62zn6kT+hXzPPYnzxdfEwHxbO0+b6W9/SIHO2fhdD&#10;4/hZvuFK83AH3Luv9qeZ6qWecJqYJ/xKxg6dca04DV7Cw+6jbN3dl+r/dK19kNM+mmW/eShpMd0R&#10;PzPvjffF0GBavWmPe+M5ZdogZ4NHc6JBrpPsp0/RoNjrfB/a417K+FMy5umdGA9uMefkWjb/vAZF&#10;Z+SJU+X3q+JV0qhB63oZpox/bREN0kfxH40nnMcf4ZfQIBwU2xeO6Y402t+whOeMDXYmXWFvRSvk&#10;ximbzhgxpowv/MHOcj4bi90kZT2DMYIn8WU4Phokd/z6aFC0AF5orbHjXY1PY0PCufEV5n0g+mP8&#10;GtPOkxJD0HbaEkblUp53bfJcG/2J1sRujw6FR7NtzNOtrJujS7gVv9H4sX+0Mc7wntFV75F20M7O&#10;10cwgGtxJE7V51JscXylv4xTOEua1yD/gbB7xd923KXWJlX771T+hm/G+S71m4r/dth5p+kebPvi&#10;Vu+yWIpWBEvsfDwJP7Amt62+zkk8iJa5X+quzpL7RSOc/5ji0O1fVd+PKI7Z/40HTieWrXpBxZ9w&#10;ujkW3y3F9TTa82AZ/uEb72ojGI92uLc2y3NGP0ndUp+05WLvrJ6xMxx3L/fxLM/Wt+xwfE0rreG7&#10;9NJLZ1g2hvQ1jGeuHL7Evs2dGPe48rTTTpv5F+Z8bEdDaCWdZ4vhDHNAtNj/E+Ub2Z6N7+GFj6pe&#10;MAm/4igwiS9wiH7B79Z3qK9E18T4lOnOmHKOnF8knX/++TMN4gPFH2JXeyc6JF6H47wnm8rYU0fv&#10;mmSbhowa5Ho+UNYdyPlCcM0Hcj4tSzLOo2mJw9E8MQW8qk7RFjo0ahH/RxKfis3m3KR1XXfG+nsn&#10;78gfokF4Qf9Eu/VP1sLRcO0XPwhucW186Hk/CMZgzZjAc5l/xVvK+AHm4NmYCW+wo3OucRzugOFo&#10;kByvyaM90aLrq0GwCTPeV8yYdhhj9MX7hpejP3IpfpBzw9ty7QR7cAen7CzPkK6N9uTcXMt+pDOS&#10;th41KfpDl7IfT+krvpC4HZvBNn7Di2wBnImntb/EFmArswP0l3PkscvDne6TZ3qesr7HiThW27BB&#10;M57k0SI53Pld0L7F6/id5rx6t12n95xw/HRg/U7ogBrvK4r7/uq+95lpkDrn3uqAh9Uh2uFdnYPj&#10;+RfxK7xntNI5qbO6ujZcL3dfvovrYdN7P7/eY1frcyo+vEuNDb9f+twXzpl+9rOfzbid7Y8/8ROc&#10;aDd2v+fSISltB/PRn/lnee6oP95Vfcf3877ZJx/1x/saW/pQPawN4APxT+glDYpNAaP0h+b4XY81&#10;C+F0voXYFh2Q8DuuYD8at+rtWcYsLYNxdro1cn7Lpx3YrGxO7aDt1VushOYkhi/3buxcz6Pl0Rdl&#10;sTfbyjkWPyjn2Y4O0Zn4QniNHsEfTbFNm/gxxjd70/tnvYDxRYv4Ms6hO9EvuXvwhbwbPZYSh5NH&#10;k1zvPtEfz6LF4orO047aKvoj5/tEf1KODmVdgnzk8HW9PPpB+kxfsRViF8CUNpQyJ505aFqkPfEW&#10;WyZ+EHyxb6TwH3wZb4lHGH/GNkwa37gCltlt8Gy8Gz/0SsKFcE9nojXRn+yXiwvcEBoUHMZ/pkNs&#10;21FnlOkL/aE7ye1XdoydRcu0J2zS9miIPLpybfJcT4Nwp6SchFfDrWn/6ILxr1+M+axlYIPa53pc&#10;po/0lTIeVNZXo654puP26Vvb7qHv4UDZs/Ai3sUtsEVvokPRnuQ0h++zy2vqd0eVXl5zQnygvfff&#10;bzr6ve+p/y09ZHr8FdwHL+6trrAUHbKPfqib91E/5fCz85TVLW2k7ra9h2u9c7QLNqXM6e9RnLJ3&#10;2RE7Vixlu3qnfap86gdPmy677LLZ+mxxKBzKF8Jp/GA2FDzDtvtoD1iHfe3qHTwvYwK3j/vVxzuo&#10;pzra9g7KUt459XZvtgL/1HjAg3iaD+T/xumPBKdwKxcrMpcSrZnP+SES/qcveFef0hVtBiM0L2sU&#10;cK0Ygvt7fxrsPb0Huwj22EGSOUrvZozTBjpCc6I1o+7Yn2PZn9w7xkfiY8BbEm6zj55kH1vbuMNr&#10;uMx4ZWMbr8a9NqEVdIj2SInJ0Z81xeL4QbE12e9wwAbFBe7vvt5TnC2+T3QouiOP5vAT8DRMJa3r&#10;ujPWn/3JZpBoj3am8Wz1cHk4j45ry2gQnMEhOwu28I+E0+AMD8lxAYw5x5gx3uAx41tZigYZr3Qo&#10;+gPD4glsytjkytnOcRiWUu9rw+vz53pn96EdyuykxCHpS/SGLhln0SD7jWm2nzFoDm1ef+afdW23&#10;0x9pV22rHM61LYVj5dGiHNM38YdwgLK+01/ps8RH2KuOyXPM9e4l16fhlsRVPA+v40X9Q3thLRok&#10;j/Yk33XP+u/4PYoTqq1fVON1q1oD/aKXVqyk4nPWoB1V36o2hh9c2Lhf8TfuC5aiQeFkz057qFtS&#10;3t+2c6I9rpPC4/RACi7x+YurLm8s7jn8yCNm3+h5dcUM96p5A9/rufzyy2c69MMf/nDGg2JSeAgO&#10;6AD8wiYf0zwRfNOj6JD3yLtkXNCh6Cudkbyn8+SS+ko0QF3pFy3wHGMFr1pDxj+LD8Rnk+DTmIZz&#10;ayn8nof2hOfHfF6THDP3JRYltunZ3sd78fPso4P2qa+2hQk4Ei+hPb5VKi4MQ+qJ931ngaakHtEX&#10;OY0Z65Ryzok/JE8MLnY13bGPL6Rsv7J4GUwZv/xCcQ5lmkSbjE3xNJpLd7zvuBYhcTe5e4lHOp/O&#10;sNvxo3bGE5L74VqaQlvi8ySnPUnRoOiTPkoaOXxdLxv/NEcbR78zFwSb/KBw5OgH4Vp6hJvlbDvj&#10;GQdJuArm5Bn34YeMt4zzbNMg9hIcs69wl1iz8SsZU0mjBimzv7LvhtCg+H7BoNy7Zk5+Md3RJnBm&#10;PMEd/dGWsAuXacfrm0eDaEt4NHqTtk4enXJcsj+8y1/BBfQnvpA+sx9PxFdis9onOe6eeGO8p7Jj&#10;SXkObqTJxjyszftAdCnpuPrfhhNOLlvvtA9Mr993xbRN8YDcN+TO/uIXZvut335ycTrfG1fjvnAx&#10;jvZu6iKP7sCdctok7x9ep2XuIU8ZJsPpbKJn1NzYzsUphxZvnfWpT00fK1+AT/TK6mNryX/xi19M&#10;P//5z2d+hpiXeBbuwFd4iG3NJuaTwIV5GO9g3MTvyXigPd4tvpA2VD91co79Seoo2TZ+jB3jhv+F&#10;R41rfgX/jA8kDhcNglU4FTMSN+PnhNeTh/vl9o18r2x+CLZpdOKNNIj+5B3UWZvDDZyxeWgRXMGL&#10;OJ1vB6kDPybPTj7/zOwf6zOeQ4PwPI3h+8CeRIMkZfsdNzbpBVtBm5kDteZI/9Ak++k0PnAee9KY&#10;TvLu4z62u3P1tX5P/ARfiBnBgzHABxKHi/bIx206FJ8n5eiPfF3XnbH+YpL6QZyI3aZttamkzUc+&#10;N45GP4iPiZdpE7uL/WUMw1rsZRgz9vFCuMDYd15sTuPLOINZ+I3+0J1Rh0YfiOZI1tmYJ0qyb6zz&#10;deX78HzytEXel87EtlE23vmFMKeNYJDtjwOu7/zP/DukTuHa8G62w73aXT+Ec2P7O08f0JHoS2wG&#10;9gP7VIp/FL9Wv+pP93Oe69PX7ul5nqEce8NzYMNYFYcfNSj+TzToa/U9rm9ccvH0gx//aDrrM5+e&#10;fTPuLRUvObLGLF06qr5pKjbnd6zirvwJeMHBeA5He676pQ2Sj/tTNxhUv+AwtpB78U/og/gZTO1Y&#10;urFfxWX8z+tJ5Ve8u+xY+rN9jQG/raU/khiXOX/fuPxafdsBp/qGT9ZtidPhWtgQP9A24W4aQo88&#10;W4rGRntsO+6dE9tzjXPtE7vmc7kvHMKdb1zRRHXKPFA0iD2FL3GceZ74Efg8PK9s/7gv3C+nb97H&#10;uDBeaaC68X/UVftpR3W0rT/gRq4ftC17P/eXJ6U+Y55jqYPtHB/L4jn8EvE2id4k3kN/lOWOmd/B&#10;GcawuTHrjrSh+V85/TC2adH42x72ubForBujtrP+Ggfog8RLXKs+NND8Dg3iB7FTaI9kO/vsjx+U&#10;/OaqQTiBHyTuqY2MjWg7HQqfa1+6zm9NLI7vrE9oEx8EL7CH4I2uwBiOCj+FB8JVtp2XWIIxBsNi&#10;Fu43alC2o0PJYTj64/lS6jzP3ddlG8aM01yrfdIWcAVn8KldbI9xZHruOvfI9TdE7n6Sdg3HKtMH&#10;23hV22pn4z2cnH36xHmuEV+jJ66lNYnPRYfEShx3Te6jv9Kv4z1TH+fhTdzjuDqwK2BFPD0xueTR&#10;ost++ctJ+unlP5++9d3vTMeWbWhtwj4H7D/t9to9pyOOefds238lvKB0X9yEn4zDJdoBT94/beD5&#10;47Zy7B/nSurKj4A/2FVv9hQ/5dGFw5dV364o+2xFxVushTvyXUdPhxV/+ZbqLrvvVuvIXzzTH/E4&#10;OmRuKFrE9zAPY82c//sWE8Ofvvth3MGN3xSIO3um56cOcrytXrRGUjdxLrg3BhLvwvX0jC2vndk+&#10;eE68zHPHeaBokLHv95x0ZORxXK6Oa+J5+xMrcx1fSB8aJ3icD4EHvBM7Qb3pI11S37S1NQzsXzod&#10;bUk95PbLFzs27ndezs317Gn+Jk5jX/M/zN9o8/y+R57kuHEdG5vvjuf0jzHOXzS+cSDb273ljjvm&#10;On6OMpsUNiU6Zh9+ZYOx+WmQWFx0SJ4yDYomJQbHRogOJR/9iHW9rF3wAizArbbSf/xzWiR2EN6k&#10;NdoTzhLbhHd9wR8xlthhNAHm2GbGD8xFa3DCyAv2J+YR/Yn2xAdKPE5Oi+yPJnmuFP3h19/QGhTO&#10;jxbR5ui09+cHSso0Svs5fmPoT+6pTnQktjxN4MtclQY5Rpfiy9CKaJfrJZok5pY5Y5pEg8LjnqfP&#10;9CEtkuc+7u08nI6/8aQ+dZwOuc64ZHdGd+S4UH5Zcfilxd//+aP/mr5bsaNP1rfH3sp+rfmXdxbv&#10;f+KsT858EP9xd1jZsa+oMc9G3bJwBw/4mQ7xqdVBro5S8Jey43AHn3jetfiRVsIujG1dNvCuNT9l&#10;Dujg4ivrD3yj9Nx/O3+66FvfnM4+5/Ozej33BdusokHxiWiRhPOjSX6bc8kll8zWzlnvzA435nCY&#10;Z+LpaCB/IlrILsvvjXA7Wx1PWp+jvs6lQfbDnziONW70xTrpMQanLuo0z+2j9kR/wunJc814HP97&#10;jt/z+F0P3wuv6GfxA5ygnt4Bf8AAPmfXf/zjH5/9nif3l0dPkueY7TzLvtQl+8c8fojcsyTPlid+&#10;Q0eM2djSiXE4Tk/oi3Mclxv/xl3Oo014EAYzD8yPEsPLul16ZMxmXUN+o8QvG2OD5qi0mWR9Yuwz&#10;YyN6Fa2Sr+u6M9bf2M97x19lG7ALYBnfRoPYAPqRfaDN9Yukz3AAnMFbtAgHSTTC+GGrzccd2Eh4&#10;yjhyjnFkjMErzZGMTSnbjo37PJtN6DnSjaVB0SL2krLnZO0lH1zsI5qdc9N2N2See+P2aMOoQdEF&#10;++gHnaEPUs7LtnvYR5dynpyeidmPPlB4HLcr43DPj+7Zh8/1o3Xz4urscnrkGs/0PDZMdCcaZJsG&#10;/bS48bsVx5J8g8C34r7y9a9NX73o69O/l33u26XfKl/iuBOOn444+qjpjWXX7lE+Es6AIXiiK+wf&#10;to86SrRJis/jPMl5cEl/YA/G2FB45e3l63yh6nB6rRc7vnwy33A4oWzSb3z7W9P3fvD96ZsV4/p4&#10;8fye++y9mgbFJ5KnPGpR5oysF8jvcPgF3kE9lGkMTsN1+lwO6zBuHMKa/d4d72lr27j9UzVn5bea&#10;vl+d36TG/0lOR0YtCa9nf7h/zMPz475cJ3c82+7j96N0iP+BJ9j0+lxMUv2cT7/GnLaM988zc07O&#10;jwblueNxbcIulEvaS/toU+1IXyQaJY3+jOvojER/aI/xneQ4DLsXnPB1tD/9t01jPct+MRL3x52u&#10;y73dVwxPirbhFTwRXsG9bFrxFFwsZQ3EyOHretnYN0dHd8VHaTOt5hd5X20Q+z8aFD+IDaGf+Ec0&#10;IfYOLZLy3QK+uTLbIPrEbxFT4LNHb9yD/iTZdsx2yvKU+UuSMRkNwh83pAYtph3GueRYyuP2Ytfc&#10;kPvyTFqB03E7zaAXtESZ3yG2Jinbl/3Oyzb9iQa51rmScnSJpkVn8Hp8DboSnme/0x59YV5X0u90&#10;KDjQ1zif7RgNkqf81frOC425sNJ/1O8cP1rc/62KI13y/e9NF9Kh2v+zinXRqXOKwz5UcaSPfPxj&#10;0zvKT4JR+IKpzbdYsFH4EDQxKT4POyjaw39Qb9wPQ/xotuveFQd4f/kS/8be/sqXpy+ed+70Wb/P&#10;L179cc3r/7R8ia8Xv3+sfLPDjjpyFQ3i+8QXkkeDss9xuoAzxeSMOVyEt8w/eBfzGeI2bF4+jW8Q&#10;OA+fsgGNTbGa/KcJ3cHtbGZr8szviMFlLVz8MfqjLI0cPvK4emU7WjC/b9QJx7KtLNEJGmNtBv9I&#10;4vPQJLG7nJPc+UnjPcbj2Z88WjRep+zdtR8ekxLnwVd0RNvRRByXxE/JWuvEg/inylLmKYw9nEfT&#10;6Is5NZqGE+nYqFvGfOaRXedciRbrY3WJBtnOuJbbHvkldm94ZF3XnbH+xj/t4Qvyg5T5Qdqd7tLg&#10;tM18LI4PpM1pO10wfuMLKbOF2XO4CD8oZ82JY2vyd9iBtCdp1B12IN3BF3J+Ft3Bfcp08MbWoOAg&#10;7RLMyHPsxszz3FFLojfjPloSXaIzNEtOf+TZR2uy7T6uyXX0RxLD4vPwKeJL4HF9pS/0K7tQH+NS&#10;/a3f9TNON56NcX2DF6I9eDYadOIpJ8++w/bh0p7Pnfuvs2/hfLt49Lz6Jqi1aF8s/uIfXV5zRj/+&#10;2aWlT5dM36w1DB8+44zpkIppveSlL5meXbboDq/cYTZf9NjCxANKh9QzupN420NLq+J7P7EwAz/q&#10;7Deo/ptur7JBD65Y0geLz9993LHT24545/SJ+h7MRbVu4ufl2/ykdOhTtdbgiLLd3ln+WPwdeTg+&#10;Oe1JObn5Gd9Ww8d0I/EecwV4m5+At83n+J2odQ043G9N+U3mDfxPgmM42bpqc07WQkjWiI/rEPLc&#10;MY++RG/C9+F4+XhsLOec7JPP61Cudyw6QR+iE/Nl22NyXp6TPPfJ9nye48FUcCZnZ0vKcCdpe22u&#10;Pem98nyyP/fDk9YzwHDmkpTFVB1znntlXsf8Dd/PHA9dNMeBZ3OOe2c9grL6SKmb++XZ+t0zpJHD&#10;1/WyOJw2pD04gl1gDi/r48SX8CkdntcgOk6H7KcXicNFi9i/0R3jG0/ZjjZFa2hR4myjD+R4YnFy&#10;z5DH54nd6t50SLqpNCi6cGNpz6hvbCSJbtAH2qBMW/grUmJsdEg5+xJn4zspJyU2Zzsxs8TW+BMz&#10;/+KKPtbe7HW2oHqIGcAO3LA1YSdxBvaJc6I1GVPZTm7/yfUboFM/Uv8T9c9nTf989menT3/u7Okz&#10;lT5Q+88rPvp2zaN8pb7J/LPLaw3aL39R/tJ/TD++9Kez2NwxpRMH17zm3vvV99ZLL6wV2LpiIpsX&#10;Xh5efo55Hj4PfNGcLeGRr1aYfF7FT8wt7VL1fHOtu/O/QOZ/Dqh49FuLW/Y58IBp91p/sP+bD559&#10;J+47xfXfK54/x/xHxeIk2mN99rzPE/3JfhrAFzE/Y17It7Y/+9nPzuJn5m98c9r+rF+Qm8+R+/aN&#10;8+mReRf867s4tCfxNnM9Wf+mnLmfUXtSpg3RkHkuz/Y10YGcEw2KDsxrD78oMTj+kG2aI5eyb77s&#10;HPVJXZN7TjQr5dwLrsYUbo/mRGeiAeP6tKwJkGddQHRC7ppo1niu9dU0h0+a3JwfX1eyn0+b/6Lh&#10;w0p83A996EOr5HxZ6w3XlNZ13RnrT1vF4uSZ/8EptIcfKeYssV/F4vibYgHinubdcQ0Nog20J7G2&#10;+EHRm+iRbRxGi2iMlHicMo7I/tEPcv/4P7QnOsR+FdejPdINvS7uxtKUa3tfGpT+iN7RnOiFcnyX&#10;xNHoT2Jxykk5zzXxgWiP/ZL9/B7rsvgw7A/zg+wV4yx2nXFmPsO4ksMRnIhbqCPtgRl5bLnM/4z8&#10;EB36cmnKheUbWJ8tHnfOv35x9jucL5RPZO5F7Es87psXf3umR/TpR+VP+F7bYRWPO+2M06ezzv5M&#10;/afPv8zmb/YsDD+35lO2usIP559tW3PSexa+V5RevqaO71EY3758eTnt4vf4b25rD95W9ipN2vuA&#10;/aY9V1Q8oHTo4LcdOp1+5idm9bu41u5d8r3vzjSQ1tAg/J6YG91Jyu+Hokl0iJ9izRx/yDozesKH&#10;ET+jKfIk5+Z8Pg8fyXwLfeJTJcYmj+4oZ3+eG/2R4/IxjbqD26Mta+J85+ccZRokjy7IaYKcvviG&#10;kXrL7adHOZbj0R/+n+POdSzPkY/1iebYL+XZ8BbdoTcwNm5Hg+KvRG+iKdGk/H4nWiR3zfzxrF0z&#10;FoyL3Jf2RIeMEWW6k1yZztCc6BFNsu+M8u/z39G+YWE7aeTwdb2ME3AHDeIn0h7aIikn4RZxTPNr&#10;frclpm+uiN1rrQmNoAH0JfE4OkN77EseDbJPHJ7+SPF/5LRH7p6SWBzNyRoHWpSUWBwfKP6Xul5b&#10;jl+Xzo8GRS/oiHI0Jjn9sa4gcbrk4z5l+uOafA/BvczzsAXE0o1dY8rYYsMZS7bZdcpyiS9Nr9gy&#10;iV/TIP5y/B/5vP5k21zPT8p2/07xujmf7//wP6cvf/XCyRo0ubUBn604Fb9DHOwb5Rd8vzj8jIpR&#10;rXjTQdPRxx87ffoL50znnH/e9MEax+8rPvB/pzTRe8D4ieIitV86/F1HT2+sbxysOLC+oVT+k28B&#10;HV31O654xm+APlmxt5NOPWX2vbrXrthn2vl1ZZPtu6J0qL63X9d/suKD5xa//tdPflyxkeWdug0a&#10;A42BxkBjoDHQGGgMNAYaA42BxkBjoDHQGGgMNAYaA42BxkBjoDHQGGgMNAYaA42BxkBjoDHQGGgM&#10;NAYaA42BxkBjoDHQGGgMNAYaA42BxkBjoDHQGGgMNAYaA42BxkBjoDHQGGgMNAYaA42BxkBjoDHQ&#10;GGgMNAYaA42BxkBjoDHQGGgMNAYaA42BxkBjoDHQGGgMNAYaA42BxkBjoDHQGGgMNAYaA42BxkBj&#10;oDHQGGgMNAYaA42BxkBjoDHQGGgMNAYaA42BxkBjoDHQGGgMNAYaA42BxkBjoDHQGGgMNAYaA42B&#10;xkBjoDHQGGgMNAYaA42BxkBjoDHQGGgMNAYaA42BxkBjoDHQGGgMNAYaA42BxkBjoDHQGGgMNAYa&#10;A42BxkBjoDHQGGgMNAYaA42BxkBjoDHQGGgMNAYaA42BxkBjoDHQGGgMNAYaA42BxkBjoDHQGGgM&#10;NAYaA42BxkBjoDHQGGgMNAYaA42BxkBjoDHQGGgMNAYaA42BxkBjoDHQGGgMNAYaA42BxkBjoDHQ&#10;GGgMNAYaA42BxkBjoDHQGGgMNAYaA42BxkBjoDHQGGgMNAYaA42BxkBjoDHQGGgMNAYaA42BxkBj&#10;oDHQGGgMNAYaA42BxkBjoDHQGGgMNAYaA42BxkBjoDHQGGgMNAYaA42BxkBjoDHQGGgMNAYaA42B&#10;xkBjoDHQGGgMNAYaA42BxkBjoDHQGGgMNAYaA42BxkBjoDHQGGgMNAYaA42BxkBjoDHQGGgMNAYa&#10;A42BxkBjoDHQGGgMNAYaA42BxkBjoDHQGGgMNAYaA42BxkBjoDHQGGgMNAYaA42BxkBjoDHQGGgM&#10;NAYaA42BxkBjoDHQGGgMNAYaA42BxkBjoDHQGGgMNAYaA42BxkBjoDHQGGgMNAYaA42BxkBjoDHQ&#10;GGgMNAYaA42BxkBjoDHQGGgMNAYaA42BxkBjoDHQGGgMNAYaA42BxkBjoDHQGGgMNAYaA42BxkBj&#10;oDHQGGgMNAYaA42BxkBjoDHQGGgMNAYaA42BxkBjoDHQGGgMNAYaA42BxkBjoDHQGGgMNAYaA42B&#10;xkBjoDHQGGgMNAYaA42BxkBjoDHQGGgMNAYaA42BxkBjoDHQGGgMNAYaA42BxkBjoDHQGGgMNAYa&#10;A42BWwQG/uFFm0zPfM4mt4h3Xd6Y7n5uDDQGGgNrDQae/NRNplM/Ok1vPmzDtaZOrRPLuy+aIxoD&#10;jYFbBAZoDw3a58Bli77vb/zG8ulZWy+b7vibmy56vPWi9aIx0BhoDDQGrgsG7n7P5TP9oUGHHbm4&#10;H/SHf7TJdPKHp+lOd2oNui5t3Nf02GwMNAYaA4tjYIedNp5p0HEnLZ2OOGaDRf2cR26x0XTw29Zb&#10;5djDHrHxdP+/2Xi6y11alxpbi2Or26XbpTHQGLg6DLzj6A0nSTxuTRr0jGcvm7Z95ar6tMde609v&#10;fft6M/16zwlLpn0OWDo9/JEbr6JTefaTnrJseujfLn4s53TeWG0MNAYaA7csDCQO99LtbjWbCzrm&#10;xPUX1ZBX7rLB9Pgnb7TosdvdftPpPve91fTUZyybHl6+0WIYetfxS6bHPmHx653/Nw/aePqdzVb3&#10;p+7/gI2n3/+DXqu3WJv2vlvWWO3+7v6+OWIgcThaZD3CmjRIHO6+97vVavryR3ffZKY7d7/HmnXi&#10;zhWrM9e0mMakTVuDenwFC503FhoDtxwMiMEdfdxCjM16hKPeu2q8LVg44dRpuk2tjcv2bW6zfHpG&#10;rZM78QPTdOg715uOO3nJRI9yfMwf+vCNK8636lxSjm92102nAw9eOrvP6/ddutr1B7x56RR9+7Vf&#10;Wz7d7Q8Xf0bu1/nKPuq26LZoDDQG1mYMjHE49TzwLcsWnQ+6559sUuvlVmrI7e+w6bTXPutPb6m5&#10;oD/78wXf6O9fsOG0y2sWj+O9bLsNpuc+f/X1dvyjI9+zZHrpthtMd7/nwro7+8Y2O/K9SybaY99W&#10;z1w2vWG/1XUq59/udptO966YYLY77/HXGGgMNAbWXgyYAxIju/8DFnj/yPdssKgGbfHojabd91yp&#10;L49+7Ea1hmG9Ceenf2996+XTMbUu4bd+e+W+HLNu4YEPWX2eaOvnLZvedOh6k98e3br8KnW51xWa&#10;5trb3nbTmY+V+7zjqPWme5ZWZXvM+UpHHLNktn78VbuurOt4zk1d5juaL+MXXlVc8qauZz9/7R2z&#10;3TfdNzcnDIjDved9K/n63cevv+h3Ep5fPs6LXrzSj7E+Thxuvi323n/p9H9qrfb8/veeWNr0W6tr&#10;k/M3L31zvuM06E/vtdKP+fO/vNX0uhULfo91CWJ+8/e2/dv/a9PpqGOXTDvttv7sevf5g7ttMkuL&#10;nX9T7WsNav64qbDXz23srW0YmI/Dqd9xJ62/6HcStn9VaU6tzc477F/zN5v/3epr3HYrX+mJW648&#10;z/nmiPhMuTa52NsxtVbu1399ARt/UXpz4mlT+T4rsSL29k8vW9C+h5TvoB65fsxfscMG0067r3/l&#10;vd5Sc0+PftxGszSel7J33/uAjWbzYPEBc+zGzF+1y/ozHT3orUsnunzfv16ptzfmc/veKzHVbXHL&#10;bAtj/lFbrG4HNx5uOjzMx+H0xZo0yFzQAx640r85/F3rTX9579X5c983ru4HPbP8pR1rXfd8Xz9v&#10;mw2nF7985f7HPH6jibaN5+28x/rTE65YD06Ltn7uqvrmXD7QibVe4k6Dn+U+Lyy/TRrvpwyLfL+T&#10;PrTeLP1PfR/vcU9aeD/xRfV44IM3nt5ZscNxncd8XXv7phsf3fY3r7bfdc+Np+NPWZVfuo9v2j62&#10;Fk4sbuyHxTSIXyK2lbVpzjfv49s947XK76r99/jjVffTkSc/dXXt2O+gpZNvL+Qe7v/HtfYh23L+&#10;033/94LW+f2r7zKMx5Wf/8INpx12Wqll9u1b9+aPzftkjtEc+sMmgkvl+XveGNv0+WFzv9EVP7zf&#10;Fe93Yzyz73nTjrFu/7Wn/Y37rP/tfrnp+yVxuBe+ZFVf5n2nLZ32fMNKXdBX5mFo0B3vuNKPPeTw&#10;Wg/3F6te+7gnbjSJMc33L56dX6tmndsJpyyZtnjMRmv8Bupmm20ynfTBabbuwXqF42vt9/xvVc0h&#10;WRM++mie/96Tlkz3qd8ySWN9xN28Cx/Q/lfvtvCNovGca1qmYcecsH6tKV86bbfjraY3HbJsOvTw&#10;VTV9vJd2mF+7bi165sPGc7t804+R7oObVx+Y67but/t17ehX2jPzbSouNfaJfXh53PeQhy3EjMZ9&#10;/I4nVGwp+/hKR9Ua6vlvJNz1dxf0y1runCu/Z/lKvn8qeaZvKMzHzR5U6+gOrjVzzre+4P2lR+M9&#10;lD0Pt2dOKee652/Wt1Wl8Rr6evKHV/o9r993ozX+Jne8br5Mw0/5yJKJZr+r/MlTP2o93nqr6fd4&#10;3Yryg0a/z7G3vqP8vJ4TWqWPxjbr8qrjs9vjurcHW1HcY74N2Y78I37StjtsXDGbVWMx8+f39nXv&#10;g7Ht/Fedth/3KePurZ+3ah88u9ZP7zqsy3be39XabGvUfKtU2ufApdMer1u5JiD3fcTmxfHvW7La&#10;c8yF4F/n3fWum0xb//2G04FzPtR2O24wPeeK3xT5Xs9iv3H1G6V/fOmqvod7W8OdOoz5CacuXeW9&#10;xSLX9H288br58tHHbjDTIFrk2JH1u15tN+9XjtfR0dGXvEPpMl29w+Bfjud3+YbBerdjtyMMLMZt&#10;9uM7/hE/yTnSmr4Vc02whC8XWwN8Ta7tc5bP7Pjwatrj935/kyvnZLKP34H/02d7vH796fb1zbgc&#10;T77NP25Y91y59jv7n1bflRu/ifCs5yyb/U41x2exulpn8Nf3X4iZiVeN5ztPHXA4fynXya0NtyZu&#10;3KecONyoseaC5mOP89fNby/cZ8ks/pZj2XdVNpR4Ir30Hn6va02H39/mHp03VzYGbhwM5P85r8m6&#10;OOdck/MW6yv/rYYTM6+NozZb5BuYi13b+65b32tf9v2a2g/fPnuRtWzb/NOG0+71zW3X0Rvr7vhW&#10;uY8+9A0gv3u17ylbLZusbchxubkVsby7/M7q2jeel3Lij9mWw9q85o7HFysvdp8FjC9Zox8vVkmL&#10;fUfCe3pf68zTBuNzxrjiZuUjLqbt4/ldvm7Y7Xa75bSbGBttWFOf733AsppXXjq9+W0bXms+GO/5&#10;J/XbRnPR2fes4j7fIct25//zmDuu+mN+PYJ+8JvXl//fhbVs5nT8Tui2t1tZv3940Yaz7wClz3yz&#10;27eAsi33rQHzSOO+qyrvd9BGs/kbGnJV/spV3cMx33WdX0sXO2tN19JcuuM3qs7xfXFj4unDb67s&#10;f/BDa+7t3Utm7+XbFHTrcVfxrfE1Pa/3r8RSt0W3RWJt81gQvzBPZCyKr5vXvS6x+dzXf9PsX2ty&#10;bfuGzFHHLZn+6j6rrovKuZ1fPS59x1pazFa/Ju1nDRs/Jb+HGa+x/oAG4WTfnBNDHY/7fY81Dtln&#10;fsc8T7bl1l07b9x3VWXzjtYNwFuSebGrumaxY+Yu4XY8dlV2lv+1oJXmtHKNd1GH8ZsS96u1Cdb4&#10;0R66rMwXvNsia+Dpcb6h557WKM6vT8+zOr96rHcb3bzb6Nj3r/79l6wryu80YGCn3Y3LNcczrg4n&#10;T6vf1O96xTczrTWa/89PHCD+seXTls3WIl3d97r8JvJRi3wL4OrqcXM5jielZy4SS7sm77imdQSu&#10;/dtHLfgwYnU0yPx87mk+j/7gaOvafMP0lI+s/r8PvjXnuwy5TgwLN4/z/jkmh7Ws+RODoyPWxY3n&#10;XJMyDZr/rZv1Nuq72PXWFc5/J8Jvnuhzflfre3lH1u9Vt3rWSi32217fjZi/5+/+Xn1fon6HNe5/&#10;6tOXTQcMeux3VIv5n+M1Xb5582737/LZbyWyFpadOLbJbq9dGLPzsXh2qpjceO41LW9X3zCzvsr5&#10;5rxfsf2qv1s0ty7Gs1d9f8xaLZxx+DHrTfdYwzcwD3rL0pkfcE2f3+etOqZ922dN39Zhw/vdqn4a&#10;v3uqDfkGfC9rHnCr/83zXbn59n162RzbD79NfWStwTu2Yn+L+V2u1d+JwcHd/2fvzoJuS6o6gX+g&#10;RZUY3dp0aIgMgnargMyIiPZgOzKIyKhWIyUok4IM2oBCI06ADAFCt2VhSEFTxVgNhYbdRvjkg/1q&#10;hG/66KO8+mhE5++7d937/9bdZz7nm+5+OJH77J07d+bKzPXPNeRK/5f5sfXv1X+6Y37Z9V/6sbtu&#10;HXq+aV885/Z1WdIaic6tynjmD17xMYdFdU9s1i9NYNB/Hvq6Tg8y0NvfeWW8ixtRe6+qrEqfNvwg&#10;9MntA+vYT+v+nF6n+0yLy0MLZ9FYe5rrftaP1b+fG7LRZyfO6+Qft61fnNiWtVfRGdNijdX3plKY&#10;JH/aISofHZH9kX1PZD2f09Xj9G2DL9aaYBN6kU+tC/glsKHAlerXLAdvL3sfmcv5Rsvk1sSg8iug&#10;D84y17kmQ5HX7Uut/HTIHZfqGdms+4//+LNuOxI3ofKQeX5zxFut/1K6uU+Ocy26TwJfw9e/6fpc&#10;kpdO8hWvunIPzZ25lLo64xmmf3rspaIHlf/eoR8s/538bl1n3L66N6erx/1Mo/NFI36w5r596bU3&#10;XR9ZM1o79v6665MPOvZP6PfX+U9/87CHXeEpnxnxILvPrjLoddiHf33sPXlo27+Y3+Drpd55b5dr&#10;cWjYL26mec3v2LlDu9BNLDVn3E2VgaZf+b9Hx/rXL46YC31/bH8nMUi8uF3idtw9MEd5cOfKOusB&#10;Y6/sSbm7vv+y4XfeMQgOVCxW+TyHLfWOdMof3X36y4qhV/nvGdhStiU6aPJlPZM+d8SjoA/MvcK+&#10;CZcyX17bU9u/k8/n6/PFa+f+mO6PRbFQzN+pPaufH3GbnWGzKT35sOJD3qNjV34/b5N9HTaZW+KJ&#10;2fOYuo/8pvlsDZr3drm+2TCILMOmvgvN1nmX3MNetcw/vMopDCoZqPRy9XzT1Pt0zWxKX7j/axb6&#10;08CDvseX70zydzG/u9zOH/13xr6rXi++hoU3nvFNZ1sis5N9PO9nrtO/Zdxz75knnxs66bJJ9e/c&#10;9+cn/Sj68/n/NM+b6XK+6LIoJiR+UPbh6rPyU3jPBza3E4u5bH2oLHobexdznwUbrVj5z7u6d5E8&#10;Ig5Mn5dVF3oeZ9HU/11S+nv4SPdB/tqlrIvyLr7WeepZ152t0Tnl0l38L6faQaZaFIuKnpBfXOnG&#10;yh8h10hsOfRxWfbPj//Oesh7JZ+nPw3fA/GK5LNnytzq+7T/cMSgePrE+bLi+03pL5UP1x7xiGkZ&#10;NOvUr7WTnJd6bGvEb7i616vnn/+fL5592fpDLJQpnQc+8KGPnpxz7x+2Xnr2bXT0eLv9QOgHP/pZ&#10;Z3eOGJs9ZrGzQBfJOs6efumwh+/aH8dn4gw7Bf2/9Spb8aJ1567fOk/vn0cMogtmbxSjqPvCrEs7&#10;tqCMs1Dv0cdNyfWek7VhEF0h/DEGXveGk3o3stLbG97Q1dUeqvoOP0V6t8Iz9+0fYv907RsVA6ne&#10;kX7sjx949KM/cdIvyH3rLDEqMq9rexr4Q9R+pv582X/vwsE6i/B4v/EoK2W3Ze/Pz2ZM2ucYMBbf&#10;+o4bx/69X7xlxEG+bpMtGeiuu0/OzXXqQqahY6t4kPTcdG31Lh24NV39r/RJ48xo9ZuaZ3zidp0z&#10;6mV9WrZi3+WHnDEqyWrfMvyTkqdU/eb0/M3FK3q3k7JJ7U+FT4v6zLoITyefv+ilN/J8Phj2AsEY&#10;45FvG58Fa6EsU/w8cfny3hvecsu1eK/OtrWfN5+7Jot997Cf9ftw7vXj1+/DMv4g/f46/+0/Tgyy&#10;PvSfPnqd9+c852/cX9Q+WTY3rUmNS3nIPWJJsu9uIwPRvSmrYj+at/TrRTf+RX2vkGfWad7jp1B5&#10;pfDAmWhdn5F51rm2Z5aclb7CfGoLK5VBXvj80MnTy/NVsu6lw+r8gg6GTeFbr/pc5PcX+ZZnnvl6&#10;P/O6fGxyXcX/016jVTT+rqEnW+YHw1ed3wCcsi+IXUc8hSyXfSh9GTyzrqn10m+8a8g1TaeX7/fr&#10;Xx349apx/lK/b6/dtntenQtlXtG/WYdZ//kvhnp+RzvUlX5i2Vx7cjsjJMuYr/czri8rHZftHdfm&#10;wh3jE/684CUnsWBduoiv7Dybyv97w9en4i27J37l+z50I4+gI/DtshvRgbMXiZey7Rqw6iAV3yz3&#10;HLr30TsfeIO/HsxzHpy5+LKxp0b9+xmldPZdB6M8PI3t377F/PZ8fbi5SZdn3Pg5u0GaPp+70p7u&#10;jixkzJb9ssq0ny3lqIc7Q3bIT7XHivz/rDgXsN5blPKNcL5rf052sZe731/1X93pGtFEXr6prvnN&#10;d1nf3i9rRb5B7KV0Bt02BZtgcl8nKhuGFfauqtf8/HDz4TzT1n4g+vdldSQH+W2rn1e2tWPuQ2cL&#10;+rHQfdOX9z2C3nO/Yvv4j++TU/B0c4KOfVsZg73ZXvbcsy/+prKn1nz0cezJfZ4W7d7y1lsmdSx8&#10;q2BW5ZOSlRb53KLLvx1xjDL/fL35/KR341/Hr2Yb2X0dmpNv6OYqr7jbeHnKBXDCvrjKY+z39Us9&#10;6yn5XHzFb5uI+cp+Sn/Q31n1/3uv2oLq7Iy3jH3jbGHKW/WuddjDmw+EMwj7mR7Kcf4UbJs6y3fV&#10;d+bnm4/3i0oz+LPIV2hfbbKX3Fj0w1vZ/V2n3xBdeNqHfFveTw092dRaj06djsIZbf3cy3XrzcdJ&#10;jOTMb75kDLR6xiZsrafeXc9See4c/Ei8gPpfKZtBvy9eAHtW5am0bMPb4mqVM6f7ncPsl31vE3+0&#10;+8fep9RfPf4JV8Z6nsvHF1Tsj+oT4yv97er+U5/24GP5/ttDH0b3V3t8K5/UOsi+4IyflM+XXdsD&#10;Zxx/dPhAyGevrLHYbVie8ZOzB4oP3SIsoSfsfhneNWforpfVhSyJrrkOlN95V1PzfllZ87P9jvnT&#10;oqex2GP07Pvbxjw5gE2F7yn7/0fGuM/vPGTopJ0DnbYUsUpSf5f56fZ2jVXMF5YdOsslg+ScJxeJ&#10;L0SG4y/F5nPPiLPa/ffMJfHSKv4qnKVnd5/dquOkPfSvf9ONdmln1kzxgjteOXjAkMGyrq7Fzly2&#10;j35X+bV/72b9L6ZU9z2w1+CTI35c0uT7f+CkTxzZmd3oRQNL5PPfnt2MwUPPzPdNPnuG6e1gj9hA&#10;bJD8Nesb4oY4c/CZQ/4pOaaerZu+ecjr5j27FAyjT6BTtC88y7BGpIMg64m3RFaaspWxf9knle+6&#10;JvsZt/1+/p8x6GLiRvbhLtf0E8YiPrVLOaveFQ+SjR/P/djY73P3mLfmWH9PDPyy1dpPQQcxFf/F&#10;e7tiUJ2P2dej5n3O+Ve++gpepsxGN08/njq5JzzpwUdfHjyErp3en75d/AH4wN5rrmV72bLwkrzn&#10;+gPjrFMyUr8PA1O/U8+tZadiTXiuf/nXH1rOrbpc5tQaAg82bskrPzD2R//pPQ88Mj6y3dZFKc+L&#10;fWCO1R4365i+J8H5FvS/FWtCnvd/+GuO1z29fHPJPGGXMd7oc8XjzjosuzYO7cGDK+ajdZ6YstaE&#10;uaYzbslr5B9jWpmvGTEi3nj1LI/6BvxEl/IjFfNIfcwNWLpobHr/iWPOwFHzw3eqTCkdY+oj6FLU&#10;o+qSeefrk7zlItED9pgfu9h5NmkvWceYN97KxyDf5wNH92Y9aP2X56VlPtf2V6yz776/V//JK+Z9&#10;x4Z6Xqm52vez8yU6plv4sT5n8Br7ab33xOFPTm9Hl48H9bWy2GLmXckvtU+QLYGsmLFalEc2VF5i&#10;nvvkLPeX7WUS749PWLVnTrefr9YndFbGJtn2l4YOqs7vK7rSublf/9nz9VHFbSXnpj+ofM7EmIq1&#10;UGVMpfx5rMPIH13Gnspf9+AdDLR2oZ8wj+gCpGmfZWftch8ZzrhP/V/txyWfmdPmFPyo+/QB9e1M&#10;xeviv4MXHJ/HNPw48jn9X8V8NV/uHs/RNWmb+efr7cf1WdLOOvkirpHZOvtaclM62vtKD77sPWMf&#10;/3C2TOYz18zFtCv/4lgP//qItSIf/XbVj92KH2y+b50Ig2AynYxv2JcBk8RpyLyunzHWxVN+62Qz&#10;a9qeP//bl7lPf7As+2a+Tj6cdCBL5LigX7Y3CM83bqbkX/bF3xx6sSwHj+aTlvfymuySvnf5bNk1&#10;vxmylXjgZCh6OGsc41GcrHrXuHrKkPfqf6XwN/0gyGXkIM/5fZoX7GPWk8qs93r6yqGPL4yhi6DH&#10;zjXWL4yYrhVT31oURlqj+fWy5v8zTU57DPANtQbc5bvOtXln7E+aKstaborH85Uw10oHcqzfGHOz&#10;YovZO1R+cL881nl93UsHV35E4vSbq+aWuUYH0+tCdpyKH0Q+W2Qv62XM/09/npKRYBI5VfxD9kf6&#10;qdojV32ifwuj6p64Vcv2Hhgn29jsjRc2RBhk3JWsYzwX5vAP8D/9Kqpe1kKpX2PXpD/2/Jk/8OBj&#10;HQYsEe9h2dhUzn+4innfc9WPo74hZR8rfT0ZsuKrZJ75+vTH9EzzKzTnDze1X2IT+ojDkr489Myp&#10;+1YWfCh5Jstm5yG7VLx+6zhzlg5OPnr2ivMC5/hU5ftiL/OHdQ8fqW+wGUztOeS75xyeLMM1m/gU&#10;NvV8u/6nU8QTZ1+97ee8sWKNIu5H7w/2Q3sE4AHMEsPb3tfuL1Pvkac+O/KzS9W9dVL7DY7XTqMO&#10;8IdvBD0eXxf3S7Yjw9CHT5WpXuw4nmkT+aXG9wtfctsxznpGzwdXp8owf/j1lNwzdX6guEV0n95X&#10;Tq33psqb720/LmfabUc7OvlnDv+jXejHdlprQOXAtK7vMle6LUde79KF1Pf5rMKkspe+4c23XIvx&#10;/9/HHtiao/Kb5+Z/8ZdXD/vBb1+Nu6w+hV1VttR6Mtee9Qxmph257u8zxaOsmfHIKV9yfmDivvRv&#10;djtJf34Z//OjYW/Zpm30sHRyfzDkG7E2iv9OlWU/kvMdM7bHVL5+j92JPIafwxz6LnnYgXLvXp3z&#10;1N83FrxX45wNyH+2G3mtrWqM0DPUdS+Hb0Pub1CProuk36OPhFPm1tT5Yb3c+f92/HSm2+Z043Nm&#10;/O9CO/qP0peJmW2c/5fGP+gi6MvZbepb/ADYR9NHzdrWuWOVZxkG1f6RWsPal1u4w9+p21zVAWbx&#10;C6ryK6XPF2+1/u87dS4QPXzJh/yUuv3b/qx+rhs7Ff/HtBvsu27nsTx89bWDvx66bvwenD24yXfI&#10;TmJSWfvwgdFnFbfBXok631WZZcvp6wjjOtde7D4wqPYN0SsU7sCgt0/ExFO+POl7CrdLtvLc+PnE&#10;8Dl0TbdQ9ib/599Mg7MeA/ReYp/uWg+2FD5odFnwg+5gqkz7JvgveAZ/nPHS403+9AtvO8awep/9&#10;p/akdjkIBsG78sd77yg/MYgPQ5UjFecE5lb+fEaHV/rAvL+va75+6YPOhtXlMT5NfzT81Oub1q32&#10;5Nob0nlY5bGOZ+vgw8zXqu5f9FTbu//KIdpkrdLHyarv2E/En7tkmMzv7Ik7rsazd1+/fWbIISmL&#10;8dW0JxY+1bviI8AgfqLuwaCKtwWDpvTEaCSOBB1DldPTZw97b/kJkrHS173nnf/PmHTaY+DHnK/c&#10;/My2qYN1IZ2aNeDUvrsqk/8AWYhdh582nUXPz4ZDVvEOucW6rWQA68bUxVnvmYNVPgyqsznxlozf&#10;LQ85I/XqeLZYKdKyI1VZ+05hTukMlW1tWjav+hY5LPdKWtPa17XIJ5dPPN8qcT7toe9yX5U7p4t5&#10;izVYja916cSm39dO9a5+rv09dc9aq+yldH7WFSkrySfGIwwqXIJlbLWewaAuH7v/+CdcwS3vWYeI&#10;19jjz/EvfflVTCSDV5lVtzldPDZm2hyeNuz95bN5GvS2bsNX7fd+/pB3+jrSf7p59l36ObqqjE8p&#10;BtdPDd+Bqiu7dGIQfCn/HxhEZ195peZgxhPib0Ruo1exrrUe3uYMs/zG1DVsgb3ibXpOBtSuLrfA&#10;pNRD4mdlH+jl0rGgVcXrtP+49lTJ++ixntYe/g/0O5vaO/r3LuN/vprk6NKjrdtGvmfpM57vWWc9&#10;avRN3qNvoHO27uL/AE/KZ6Hy8YmDJdYV/LuNl9pfzf8bvlTeSum96WnJi+xS8KbHiYRN//FqDD46&#10;hTuu2q2qjDk9PJ+dabyYxvbeTPkWnRXNju23gzezBfz+0D+ZM/bp/eshZ9W+C2u/qp+1ojNq8HR2&#10;aPyk4vtMYdAHhszX98ory7wkm4m7coh43GS333//dT9xdfyTsae92lEpnqi9/ttfgn/A7Xqeadnc&#10;6x4bV+6Fh3v4Ft4H78iW/LDIvfCp3pPyb6Y/ovuxX3NTnpxlXaRrPmT2cZ9WnY1Rv6nv8V0j01o3&#10;0a3Bo7LTwpYp39Xct6BMYzv9E+Ckfq+1D9uRtd/U9+d70/Nspsth6XLeMMh63brdnGEnFuuNDcX+&#10;BviAJ5ddhMxkztJV8fvmU2a/fcU5oFuDadfG0ODl9PI/NPjOtXtj3rqma6cL6ff39Z98lnMfbyms&#10;zG/QuRUG2ScyFTdMfnYr+fKcUBjEJpfluabP5AeFtiWD0p1WPnWBXehlHye/QXq9onPlu4yp9pat&#10;5CzbB5fYh+wPoHtGfxj02LF/XL2Mnym5i5xbcr21ij7Ms7rox8nS1Ta6b/Or/s/p9Xkw02KmxaIx&#10;QP6hz+a3lvOQLR7+0CfaY2je0k3xPyuf7bLvKpsfgnlNj9K/RTcytc7s+bb5j/+LRYa/9Dj9vbzC&#10;IFgBTzIWZ+aln8NvEifQAw0qH9mGnKgcMhf/LXta6G8qjxTOkxkLl/gtkofsvc98l/H6V4f/vnjU&#10;Z90247X2tNIvWxPpEzpiMpB4H9U/WVd2orIz8WcxH9KPg22x/FWNf3HJy+8uy5mvZ/47j4HNx8Dj&#10;h08RvzIYRdfF1mq9KDYxTEn/MvQVB5UuqvvEmdvmKr+kQ/QDecfeQ/YmqbUovj+lY4NB9Gb2Ub10&#10;SWwZGNEx09kZ6WP8tnfeckwLuEc/w07AVoa3VTvp3Oyf7Oei+W8PEzyvvD11npCz7d7x7pOY1vOd&#10;5//8N8nQ57GOYn3QFRrbi3wmEoPo8l4bsbrZGq25qr/LR7zboc5j2+c6LZ53M23ON23ERRErwfkQ&#10;/WwGcsiUD6D1J3xImWKf/UzfWWdrwJjjs5MG3++xVH2z4rrcNfRhHSurTjDl+Kyb0da6J+WndfuI&#10;DeHau2zadRYP2xL/L+3nI17vidWAT3WfdHVjR1i0Zq5z6cXP8/6hzrSres7p9LwjM4nTaP3F7pdy&#10;c/nZVYwf649VMR1nOk/TeabLTJd9jIHyw+5l/ezwaz6kbyBcyFh65Be+Eb0e/lfsvEVnbMhjv8cU&#10;lopL8cPjbHR5nFdgXVzfIOPx1+C/wUer7sMzcteUXwo5KPc+1jt1hsVdn7iiq4NBhz4zq749pyd5&#10;AVufOBB8d8p/oWhkHea+/qGXZVfddB9UlTWnJ+k+02Omxz7HgLgmh4zRY95XPDv1Ft940T4efk14&#10;RuJEbyvdzOuGj3m/T6dYMSicG4X/VB5xb5TLj737w9NFTekFF/EsseHJP3VGiXKd713fWjflK15y&#10;2rJ3tEtM65vFV28ZLTZ5xt+CDfA949xZOmr9RA7fpIw578xr5zGwnzGAXy46W5B9pvYFHoLevzzi&#10;ucINZX/3OFOCPNLXrJ4dyypDTuHbV/bpqfrwzRBLYupZ3WMXyn0ghUHps1B5F6X20FZMi8zzpb/4&#10;mnF+xvXv4213vPK6bJV5l13PGLSfsb2Mxp7Rs8JwtqVVeefnp9MnM51vPjq/9g1X5IDe94945BW7&#10;h/1F/dm+/tsXWxgkBgQ/vl42/z02KX4Fx7Hhhi6t56n//CrE9a//U6l1L9+6eiaWEqzIOA31bCoV&#10;35I9CGbmc1ijnLL/SP1fhO/5br9mn/ANezbfN2RD/l1TfsNi3Nz358v9I3rZ8//DjeeZtjNt5zGw&#10;+RjgwzV19py95eKIHpKm7D/8qPnY2vtBh9+/Z49K+bSJR7TovDV+t91XoOMnvyf+dxmf/0eGnQhW&#10;rKP7Ujf7qqb2bvKD+/yXr+v4CttLL9fbteo/3ZAzBe2Dsp+2zmHL99jrPhp7XPLZfL35XJhpNtNs&#10;HgPnZwywA/U49/vuH5iDv8KZKT9gcZvpvfjE+Xbq7npd7L+FJWkvImM5K6ny1pkAZLy6J+ars567&#10;3YeeRuwjMkn6wLElkd/q/Uq/cP/XntDDwR44VM+3SeklxR1a9K4z1/YV4+yt7/i6ybXIom/P98/P&#10;XJ37Yu6LyzgG8Fn896zaRt7hl5b2KPFXnHszVSf+4/JXbH6+1WIcPDnOnOCH/alxL/GGDwQ7UpYp&#10;JhFZR/zM3xh+GfZBykdXKB6FfVeZ3zX8e/9Hbhsx6m581vOu+s/HQJ2UqU0ZVzrf5RuxKA575lvn&#10;+t4virtxI7au8+6cZ+aB8xiYx8C+x4A42hl7Yd/lryoPhvS9seK8ibO86N0/GXo9PtNszPYJdQwV&#10;N7zHWH7LiHP0+nFeTZYpPpwYSHVPHD72Knsap84CYPOBF/n7X587WWaVtSqlE/zE2M9C90YGsqeL&#10;zafHULfPyR7ax12NWbOq3FXP1X32I5/5yKpxcrM9/6Zv+uZrfOBma/vc3s35AdmNTUhcFry70/DD&#10;I16PuKN5336ijlXi+PT3U3bK912X7cc1POKPjadvagvyDWfJOgvqG4ZcV98RT/NF7dwpejp+hN2f&#10;vN7ZJCW7qe8m/hN0lc5FTT3lJt+c817v35kW55MWj37Utx899SlPO/repz396ClPfurREx7/xKPv&#10;/PffeeT+Q7/lodfm59x/57P/zqJfxBDnbzB1FgP+TjbqshXfszyrVr1/e8TuqbMBqx380hbt14U5&#10;7EGV912/+3XH+4Tq/7opOU/csh6bgV+COmU5/2nEYuInmPe2vS6fvnXfJ6PSVd7zhRFDdGJPsVhz&#10;FY86y5z3Mc1zNcfDeb+GPat+cGmWleZxve5YpttKXznxW6z/xR/LMvhC8NWre/CLT17GdKhn0vd/&#10;5NYR7+c6Rnz2S187Yt+dlLcy/6Lr545zdKdw5dhHcZyvk++Ja7TorLjMt871777vtmF3mraz9ffZ&#10;3Zz182sjdigZjK0s93eypZFFv2Ok+S4akue6zJl55uuT43Cmx9nRA66swp96Tjaa++rs+uoi017c&#10;0SmfbOesOfsC5rx22JCcFWHNn+czZbth0Cc/cwWzyja0jU/c7T9/6zHWZdmuxSfqe2jfO/b421/Z&#10;827zn+1qXcwkD/LLqJh9dw48yj1ZYuWKaf2vBuZkXSouaJ0fks+UVfcfM/ZdJaZlvvn6JE1nehyO&#10;Ho985Lddw6B777336F/+5V+O/vEf//Hob//2b4/uv/8rR3e8/I5rz7/jO/7dibE+98vh+uVmoi3f&#10;A37d/LvxenHFFrU/MQg/v+/P15MpenkZ6zmf/dzApowvROdoP+6+fEbEFyIL5TcXXcPClwzdYD23&#10;fzjPniM/1n6uyiN93YiJAcvznms0dq4IPalz1z8wfBFnWWmew32cnPZ/sk3JOX/zN//vGIPgUP3u&#10;uuuua88f/rCH3zCuT7u+8/du7jmDf+Pjf/KpKzHt2Fe2GRMwqO/3ISOIufq8OEfQflw6xNo3tc23&#10;6h1+E+v6Izhr4/7hB/Gwq+eu08WJs5d2Hvuap84XFB+929jEq3B24mMH3ovfBofo8bq8Wb7qebYC&#10;f/Xu41htmtObez7uo/+/53GPv4Yxf//3f38NewqDfutdv3Xt+UP+zUO2mu/7qOdcxjzWjQF8vOSf&#10;qZgT644T5+/1MwSc/WmfU/JfWAA39uETV2dNVIyhZXWFkc5ErDxi9zlfqv47k9B+JrHJ3WPbsier&#10;Ylg8fcSHrbzircKrPEO3zlSgC618UuXx1Uhbntizbwif+leMcwWd957vzdfz/Nx2DDzpiU++hjGF&#10;O5mWjMRvbttvzO/N4/O8jQGyADmgbCPsIuxSv/CLJ/0b7N2CQc5o37UN9qWS4dYpp/sU0AWmTYot&#10;51g+G74e8ILvOJlG7ArtckZIfceZGHV+T91jM/J+xxLf6GdyiKH348++oj+kC6SbnDpno8qe03m+&#10;bzIGCmPYfRJ7XH/1q1+9hk/84jYpd847j8PzPgbEVP3Q8HfGd8k/4kJ0eYc/nBji9tLu2h6+FJ/+&#10;wnUfwEXlVRyKrifL/M5ML7kI7sATuEOOcU5g5hULqvv1OaMW5nbfdLEqnOGd7/NVL3mLTYm9KZ9v&#10;ek0O3HQ/16bfmPNfDP5j709hEJ1bxyC6uXr+3d/1mJ3G3TwmLsaYuJn6if+4M5DY9e0BndrrhE+z&#10;G/GR3pU24qyug0FkNJjCF5tPHl+N1KOphxgW5TvBXsOX0P1njbMFxRXKuopZ4UyovMfnbso3XczA&#10;vkeXDPXIq3H/6AefOOSqLGvda9hDFtQ2P9czFt3cfCF94vjAdQxyrzDIftV1x9qc7+YeV5el/+mp&#10;8Ep6ry985QGTZzqs29byRzgub9i0lr3nHFq+EXzZf+iHv+74PAm6tvLR9i5sLN2cmOi//4ErtiNn&#10;FcKtLN/+Iudx5D1ynW/kPf4I6ldxAD0jk12LXT58wH13CquznKlr7aeHtDeKXUzc1q/85QOPbXtT&#10;+ed7y8fIZaHPKp+4D37wQ9cw6LL7xJEJYTKaLPp5ftnpcFnG9j7a8fODT9ufo6znPu+2o68MWz1d&#10;Vfc5W+dbFR8Bj18Vp0e8WPHyqtznjZjieW7Esa5uxK+rvUIvH/4Lv3c1Fix7Vo8LS47qukR+BWKo&#10;1zek9ud+bujx7HGt++IDlW8EuXFbebBiLKU/Ru3vmqLHez5w29HLfmH2e6h+uKzpKp+4N73xTdcw&#10;6LLRwN5c+53QoOIUlcy3TiqmkXeVMcczus6zLtM4IRfk+XnigvNXWxRbe1nb3/vBK/ERyAHOIV+W&#10;lyyTsSPYctKPHEbw04YJynnlwJPEIHEmsnx+FaW3q/vKE6s1Y+XRRybWyctX8M0j1qxr+3d72VXe&#10;qvTOP33QkZgWPZ/9XVP0gNVkpZ4fliWO9efz/4s1F/HR4rddD+d/PZPvsvQtOSaxt9q4a4pGj33M&#10;42Y8GrzqsoyVfbaDP7k9TX/w4SFPDR3UMj4qXkSdm+TcJ3jjHPSqT9mLEoPe9TtX+Ds5qOvi+PzZ&#10;m/o9T/j6Y30eXRrZpu/5ecWIMZvY53u/9rZbjmCia+f4sS1VPTZJnVcxhTVsQp5lWYviuqIZbFoU&#10;F4M/iTjuU+czip+b513l9+brs5uzxXfJOx2DxEqo55fBJ47cox3Vpp7yyWD/+qu/+qsjvhj9577n&#10;9JMpH/Zy/IdH5KN5P9XZje3zxlfYQqzryy4Chz5xzzQ/pzvz0wa48L4PnbTvsBfhxRUzgX6wcAIG&#10;vbvFXFUO32p7hPj43Tf2FX3xz4Yf+ig76QST6B/zHl1kxYggA9lXlM/XvYY/cLjnF3OWbJj3S2+Z&#10;91zX/UV+DDMGXaz5Rh4o/omvdgwSq6ees4/08XCR/sODakulz33OTx6JATG1L7fTYtF/78KlRZhE&#10;x3fRaXeR+vk819Xavnin9Tx56K5PnMSAqj/bzdvfectxjHE+AM6krWdSvtMwqM7D5S8hdpxn5JTS&#10;neU7dc2v4SFDDhJLgVxT96UfGbGBnj386uoejCODlf/2H46zzJ2vXs83Tav9+V6dvZH3xML40l+c&#10;xCXPP/TR247u+7Mb73vGf+SPhj/gFwct7GfK8siB6PXwR1zRXX7TOGfeeRyZZ74+ffzi51b8GB/t&#10;fNa9en6RfeLox6odUtijbf/8z/98Q5s7DTb5by8VWSnj69V3yUWzL8Ppj/GLylfEROAH5/fqXzmJ&#10;U2xB/NT4bbMDPerRV3z3Ciec1544sogGzk6yRyif88v+9ojBTbayh0qcBfng4ROedF0nmO9uez0V&#10;R5y89KnPnsQR5cMlONS/5axd+7vEcuA3LsZRxrqwt+nTI9Zevcff4z3Nd9Aze5+e+cwHH/8q75we&#10;bt5anxePJPN0fnsZfOI6/mjTutjTdXH1v9Np6r+8GeOo6GyP1ayfO9yYvkz8Qnw6dp/eJnoxMXrs&#10;73F+INnEGr/OYac7y/Ne5Ss9XZVFLhBLIcuve7lH155dMVy995CrsRh6XIUqc9u07GT5PqzpcV3L&#10;FkQfl3ldO1vjI4MOrtnI0KNsZe7ZM8X/wjUMdVYu7PY/f85n+omhs/TL+/P1STrtix5pG2H76bw0&#10;1/P7+uZpltPxh4zS25j/xWulm8t2F3b0VB54pkzyT5aT17Colyc20nwO02HG9GmOr7P6lvOXrPXJ&#10;Q88aPmtsOvwI6OPwWbETSm5RR3alHiPBnqMeu0fs8j/99PX9QuQqchj+rRw8XRw5fuH7ajvdHLxI&#10;/7e617Gm/LinfDnENRI3Qr3o2JSZsV3Z1JwP77l44e+5upeqt4NfOjkwZcGeZ/6/v/6nHyremnyz&#10;rusZnnnR6N7tP1PxwLWTTEQvRz9X7d0mZQ+CR4tkrNRrKp+daPbn3t9Yvmjjc9/1hUf85sgDYqxm&#10;+f5b979wnE/OL+wx41xWPLvLRvyy0/fhR8d/vFyqPPamHn8hv7PsGq6wf4lV9LE/vnVg5xW7DFnH&#10;NxJXFmEN3wV+HP074hnRw6GBZ9872gtLMp+YEi948RUsde6sGKz53HXZjPr9bf4/bOgGK64EPSBd&#10;4TblXPZ3itdO+cRZv9dzfswXiRYZf0gbFuEP/eMi7IG72t33qpIdPSva9HSZrQlN83twaJaHZhw6&#10;jbnFj4C/AbmGDo5clLKSOvAFf034XYut8L/HPtji168e592Wr96mdbYvCH7wTbcfCO7U2RuwJct7&#10;y1uvYF/ec33PF2+5dnZhPuPH95ar+5fcFzuin53kHKbve8YVbGbfmtrfRUfnfKYse5vrl4/6FJ2f&#10;M/Y1OyODfS/L4hdCNst7N9t1+sTRP5XsUym+Xfz1ovl1JUZMtU0b3a/2VQpz+F6sa69BQ/adlCer&#10;LFgzZWOj80wcUtd1v7ePMQqf1fs0v7mPes9l7AernfdgvT9FzzuGT3f6KNx19wOPXjUwyV4j5/h9&#10;8jMP2Cp2OJkH5pRujUxE/iETkY16XcRH+PL/uVHeUUbq7Oo9spk9QfVfXIdnRoxzWAsH7Imix6Sz&#10;rDOZ6h3pjwx/d7FZ896m188YMo/yYY5zNPgU+p8xlpRJNuIX8V3D39G+34dfPSNq0+9d5Pypq6In&#10;KuypNHVH4tNclLamrx9eP6Ub6/hDttlVL4avp32tsGgKAzsOsVudBn37vlxymDrDUeNBG06jHvM3&#10;9oMnh6bjy4Zejw8z/zu+dnzmuuy0Th1Kt7ZOXnn4w32uxVOoMkqHV2U5s4Jct8xfHL8v+Ubcv7s/&#10;cyO+KU88vR5Tr76zTkoXyN9dXKXK/+b/dsuIO3Hj937ptQ86+vzwMXSmICy6Z8hfP/3C6+/V+5c5&#10;xXeKT9IRFfZUmj5du/Ln06RjyiRTOriOP/uW8fDxlMPQmK6zY2HqOuU5NP9XfvX3snS2U10MfDjN&#10;OcV/jN4o4zRs8v3Cj/6OPbsdU+ShqyMLZf6KNZf3XFdMWTISnk7P1v3Sf+b2cTb72Hsrv729Ffuu&#10;lyV2Ol+Nfn/d//xEyI6Z/znjnMSKN5j33zv2HPP/KPnnKSMG1JeG3vPJI15f5rvM17lm/+pXb/Tr&#10;Sl+ui0KHlIGmzqGgG0v+e8g9T+n37ptT9UlZE3Yeks7Z3zAx1xhJE9fyHrIuc9nnD+foxl71uht9&#10;lffRV6WLyzNv6dTgxhQGud9j8Yix4NyLXp8fHX7nfNMfOuIZ0X/9yhsfdAPGiO1Qe3F/8TUPOo45&#10;28vxn82o/Aimnq+6J45tYV3lFXu2x0MiS4pRkfKS/GIilR98vc8n8cU/c+sx/n/z8NWv+5chtd4t&#10;3lOyT6b1zJr+orQ35Y8uA5FD0g6zb/lnikaJiejZdZ7qlFh/KFkoZaCun7T+IJMlHhobU+2Z750/&#10;7NhXn7C/vOPd28sAq+rB9gNb+CbAEtf84/p7tQeI7JTP7r3va4/PGsp7rl/8s7cevfPd17Hp9rGX&#10;iS9F5XNGLl0dOcM9z8ScredsROQ7Oj32rrq/TSo+RZ53rgxnU71q6N2yPH7f2p/n3Hp+xysfdEN8&#10;B3Ib+Qw+OpeQ330/B+r2sa/2lwa2Opv+B4dtiT3Mee75zbp+7PCJdB5I/T+rlD26MGZqfZ56oovi&#10;E5e+cPh64qnr5LGniasdh7rMyZ+7+uJQdqFl2Jx0StnorMbm/N2zwbn0jT5EH/BD4O/2kf/pbCNr&#10;+2k+yG8Bf5Y/6/GVv3zAUfef85xP3OvfdB1z+MP9VNhjnG3BH6HK4nNQfn7uiUUk5sSXhx7Mfl+x&#10;YvkrTPksVBmLUvuPyFn5XEylfmYGH4Tch1X5+Y73GEP1TMreJIY7jMn7/DH4NNobpq3oxy8PPmc+&#10;13eOcxhf+OIb7/d8h/6f6+Ipm3nyxdOQF/bR3rRv3XvvvScwqMtAh5I3FrUjfQE6vdWtMOgQ8kdi&#10;4BQ2L8Kg2Wf8JA9c1Lfz/f3SCQb12Nqly5vCrTeOvT4VX5wtBe/N+AjiHOG71U/2RfGXrv+VvvTn&#10;bj0+c+n1b3rQcWy+Hp+v8i1L+R+8avivZx4Y1M+/pVsTYzbzudaOLjO5/6hHff2xv7mznfo79d++&#10;L354YlzYm/vUoZfMGBjyeYY+eT5hvX/a6SqfODy8+OJp8+ttaZFr/e5jkX7mZ2HrwM+LnnRhyfdd&#10;p/yxb/+PVT4aWZfT7ndtLTsV/HVtLQE3L8q423a8zu+tj12L/BHQ0N7T2rP04eGTxh6UtOUPUPtq&#10;6dvEDH/61X1CmY/8kjq6fLbutXOWum83n7du9yG3vWRCRnHuoDLye+JgkM/o4vh4f9+IZZfPXdPX&#10;sS/xsavYguxfFZ+18pf/xiOunsle988izRg2nV93nnhR1sPF4zPF2/FVNvi6f1Z+5ikLdZqnnnCf&#10;9dtEBtLvh6rHojFe+FN9M5XCUO1YVMZ8f31eflFpRXf3hftvlBu0h4zhPAp2HrESku/y52MLElsP&#10;/tC7+T91Djn5ZRe/bHURi5yOjY+1sw7FDvrk0PN1Xzv7rfoeWbLbFwbWpAz3miHDfea+BxzLN8q3&#10;91b59jhVXzoPCq6KccHOJD6Eb9PH9bh+7sMqtKj3zyrNuU8XlGth12m7P6s6bvrd9LGY4mV1b9Ny&#10;95U//eS6v8ShdJ/LZCD93mMEprx4aB1s6oNzvFU/9XTf8uG++nUuZ3/8rPaudppOxTStPPDEebDi&#10;PnRbO1mDD7R9ovRYZKR+xnmVw44ktmv93zalA/vgiHsKT8hg/MXrjCdlqiN5hW9AfoP/XJ75xM8b&#10;XoirVPnsc7XPKTGNTJX6v4/d9cDjMz/ExKj3KhWHlQ9h/T/LtOb3lF4o7ROw6izrucm3+VnQMdLl&#10;qPcUJh3K5r9OPRODyBuJ++kDsi/ev0wGKszT/4lDh6jHItqkLF70SB898WBPw2dwUf3m+/vDlnVp&#10;WfuIuj+CfURT/giryhVHTtyHV4zzLfiT0WWJhdDf+7arMcTFeOvPdv3/Pz7+wGHPuV4uPRgZJX0e&#10;yC/OuP3+iO3gHMKpM9Odx55+cfY68Yereor7zb8icameKbPrKuvZaaZpm1jlE3eWPHsfNNFW6218&#10;/az1OYlBXQ7aN++HxykDZcwga4yUO4r/w0R4VOuTQ64/cgyqy5Qsrj6Fleq0L2zex7iayzgMPsEe&#10;/gdJ30W+2plnnesfe9ZtxzFLp+I8kA/YW9YpZ9M8ZKE8C4NMBIPEllWX5w7/CLLNy4Z/X5bNzuUs&#10;o7znGoaUD4b/nx76x9Tf/d6wKSk/ZaUqA375Xv0/qzR1IN1/bJ73h5lb+jrX/d0etG9em3jX1xn5&#10;Lby9Pz8NDEpaJAambOg6sZl8e1ZzZv7u4ebFKtpW/NIuG616b5PneLqzADd5J/Pak+T3/Bec5O98&#10;1XqMBH7j4vnwB4cV4h91nwVlO1ui+ye4L2YSuc61uH/kp6wLW5PzNfL8vnrujNnUC9b9006TP+FH&#10;fd6ftm/Uabf/rL6XusG+7seHi/fv6g9GBspvdbxL/dYyDFLGIWiVMpDvd1rkeKSbK7ocUi47RDvn&#10;MveDWx/941uPPjcRH2Gf9OVPJ97CtmXyQfDL2N3K4u9Nnsly7WO1P8nZTPSEKSNlPjGHpvSGznyq&#10;szTEyCufv3qXPWhKpuPHYO9Q+jPUO6ed5hq08yfz37q45j1+dtr1u4zfS9sMO0fy2U7zXW3vucbo&#10;Mk76HFQf9z1D6UN4iL7I8df3SnW6+F/1pFs8RH32UaZ1gx+fRvT3qxiw7sPdfXznZiyDbq7r5/ZN&#10;B7b/XeQD+3D8+D7wXeN39ujhkyc2Kr/prK99pM9/0Ul5KZ/X9ftGvrTzuO9sXPt7yrf6BaMc+rV6&#10;R0ruIpPVPfHo6Pl+8vlD5zf0dnX/LFPryZrXU2vQenaodfBZtv0svg1TUi7ptiB8Nu0zu9RxExko&#10;65S8P9cg++adXQYi5+S3p64PjYnb0NuaApamza3mzbLUHjbveX/ftN2mHfM7V/Z/8lXYBy2eMfbu&#10;wAT6tbtH3B9yULc/wYg8H2PRd/kUvGH4++VzMXtqL5T7dIjiOmSe+waeisNQ9/hn8xsUS5VfOj92&#10;Ptr1/CzSmiP4Xp/zs+5jP/qD6ldr4OT1XS5B/4yjumtcpHVlIOuQRWuRjCuu/tWWfaTLZCD6SGOy&#10;64cTE3eVEXdpg2+rf/ZnzaVtUxjGznWW7dqFJpfhXbHiPnKK/sr3DL/svm9nio5wSvy60tWReT41&#10;/mccuA8NP4o6G1YZ5C84U3JSlnuMVwOz+N71OHWZ79DXxnrNlyl+ONuA94NB1rjJb9Ecf51a9yeP&#10;3cV3bxMZCLZk/VInm7apfe6XXSYD5bhDq1wbZX32jYnrzDdzJvG65k+l5DT6VfWsHxyta/ZVfdzt&#10;cPV+pWSkXfp/nbbMeW6c3851+PVmszkUnZznTU7pstHU98TbIbuQm/hfs+WkfOOdTw9/ujxPw9lI&#10;zr39xm+8sZ3iN0zFZpj69iHv4Sk15s2RnOuu3avn9NmHrMtlKht/RVtr2owZVLTEp3IfTtE9ea/1&#10;9S72N9+u73WbU9qByq6SMlNiUPrNybOvfkrM63agxGFtSFodqj6r2qUvkqZFWyn6oumULrv6diqV&#10;n9zbY3dk2frnLLB2FT0u63P6s9PSTTlL6H1jz+y6tIRZfOPIOl22edzw8T62DT3iui+7WAni4U2V&#10;/57hL/fCYauaenaa95LvTNklDqmHOc12bvstWGL+58/aFN3yR2dmbTyFN8lPXOM3U7zKvVwb78Lv&#10;l8kYeGF+p9baORZS/5W4uEudsg+6jJbyYH6vaJeYmM/3VZ+s29Q12af3LTnWGm2qL6fwZp176KDM&#10;7J+igTG2y5pkql3zvRvlg9OkiXhCbET7+CZcEo8hy3LuOptR3nNNLnIW7lScvJ730P+XxSwzZ3I9&#10;elnHv3bBGPyssGSfOn48BE/BW5LXdp6UeG/tuwu9l8kYUzKQcYYGxe/UteqXPB/O7mNMJt6tkoHU&#10;KddHp7VvttqJLn08qPO62IN++Vv3PW3uWKQe6lN1m9OzxZBd6c9n+mlP348/wLeOc5G6/ObsiNtH&#10;zJ9eT7HpxJ2b0tH1vIf+n2u74jmZFk8y9g9dl9Ms37p2kZ6s2rxtan0Mu8k7+Mgy3ClaJ/747i58&#10;ZhsZCO0TgzouFC32gUGwNXl60ifxrr4pTUxEs3pm/B5y3JAR61tSfauO1W89hS/6nG6u40eW45o+&#10;Fp3p4pbhkrb7br5fsush2z6XfXh8+8Tw1T5kvNAnjRhzjwjdXPUpO5D43fX/LNMa1+ZLn0+nvd48&#10;DTqYu4m71f6pFI74dfsynoDP5NrW9TI+0mlb//Hf9DVWj135yzYyENrDhqKDdlcdpXW/bEe79FXK&#10;QP07icVp9++YmPx9l7ose7fjj35a1Mf6Mete9Nok9f4ifDMX9z1OlrV9fnZ4/LEn9c6xv/QsaG2f&#10;7HnwR1jlE2d9VnPotPTuh+qPKX1+tQ0/M/8LV5L3HuoaLzvE+nZbGajoXjTp2JD8r/Juk3YZKHku&#10;Pl7fJydlW3p9/K+88m1Tl2XvGC8pqy3CH/1I3q269BSO+pk/ftYH/sPynrf+a1vSpcagb1kPVT7p&#10;ruuVZTSoZ2iRe22rLZWqAxl6F91xfetmSsUl/akWy+e02s/3nO/FaX1v0Xc28Yk7jbG+qJ673u/r&#10;WXMX7sCA1APVXD9kaj2LZ3XdCn6nP3Zt67YyUH03+W7SIXn+LrwG3yoe2nEl5Qh6UnWqvF1OT76/&#10;i96y2p2p9iVGLMIffZnyWNVVH6zTl75jbGafVRlSbcw+qOukk/6CEVn/Xa+rXmkrznotu0Y37/Gh&#10;PcTaYNe2ze9fke8+M84UyrimZ0WX5Adknhrjleaaa9/z/LTa3PEH7yfvVBsPlVqzWsv68THDN6b4&#10;lflszu5jvqY9RzvVIduX31+0pkj9V76bfG/bsYC3JcblWj9lIDQpeiQWZH2sH4oX7nvPQPLeKTqq&#10;hzHU1xGwpOq96fhGG/Mx6aN9i/Av5VI08v6m3+z5laENvQ5F521Seu8Zjw6v1+t9uew/+es8xuix&#10;pss57jrH+bI2nddnKeeZPzC18+Xe5vxfGILf1Q8vtn7PX+dF685V/H5bfj5F88QP9c224JlVLzxr&#10;6n33sowcE8nzt61zrnmWyUD4YNUv65N9p2+qPcqt/LumfcwkDYqeSUt1QM9tadLrCwf6HqQpHEKL&#10;XFPsSgM4MYU9xra+0v/aXXOiUvc8My+SX1TfZLoLRnc6zf+3xzVnuTqf7zzQcNEas+ZajZ9lPOs8&#10;tGOqDuZyzilzpNo1lZrT5pN8ObeLBvtKD7UuxAOrjlNr92zTIhkIHRMn8Jmi1T72hWZ/ZNmLZCD1&#10;wbeqXfkObKj7cGpqDGx6r4+ZjuNooQ71Xan+9N6m31qVHxYmvaZwqNdlGxlM3VPuq7aZB1O6kRoP&#10;y1L1okfMMVflSnfFy1W0m58vx6eXjXOKeuzus6JZjQvju4+pQ8zx02xn8q6p9lV78T/zbVtZpmiI&#10;F+GF+TO3zTc/GHEIXlU0TXmh885ct69aTyQGJQ9KfrcND0mdaJeB1LfomDKQti2qj/6rd/aFQSl/&#10;TI0ZcyLHyaHwp/q0+0VMraPcKzp02lU5i1LjURvqfenb3va2o3/4h3+4gR/UfNk0RbOsY33Ld/dt&#10;x1rUzvn+SUwSZ+E8+CPkupmOqo8t/KfGyzY85yz73Xqw6i5d5HeQvC/zuzZHCkPoKdCrfudt7mRf&#10;7iID6bPEisSyxCB02bR/U+ZWVo038mfy9b6WR/vqm6yP9/O9TevT8/cxk3WsusKlqsuh8afql33r&#10;27kuUK8uQ26yzsl1i7LJuv/0T/90/Ks2T6X6DH3yN5Uv79Var+gnJeet47tRtJjTk1hy0emxiNfU&#10;uEn+vEx3cx7pkGvnqbWjOZT8pOaFdaQ5sck8Pg/tT17S+TQ+Ue1bJQNpS/K8XlaVs6nckWOtyxc5&#10;zqawbVl9yFNVp137LOXmqTGT9cQ7O1YechzkeKbfqjlaacoZMHuduqTMh4ZkZeVNYVDpqa1VE/eL&#10;9pWqmzzKWrTuMx57GevwF/1rbqJF/tw7b2vCdeg/51mu4zAWc35ftD5O/QJdQM3VSnPOmj/4z2ny&#10;lH2Ov+TR5jZ+Ue3s/bjOXNfXxVO6zqzur4Nl2caUgYrXqZu6Jj/SlnzP9bL6ZD9OvdvLWvQff0vb&#10;S+ef/mc9z2LtvoiG6Jh683X6JseMPs0+6RgEe7PtNQbWSa03suwal1NrwEU8Rt/Ay+yfqW97bg2z&#10;zhhfNA7m+6crZ+XaeYpPpz3xIvWNMVtjdGrNmDpG+S76mF3GmzaVgaqfi34dg1J2rLyrUvSt8np/&#10;pGyxTLaq93t98v1d+jH1fVN66cS6KVltFQ328XwZHfH2nK+r1lM59/sepMIgPCH7u/pA6n3rtpJH&#10;0CTXfZnXtbp1LOo4BEPM3aSV/8vK7d+p/8vGEqxbRZ+sw3x9OFzKdUWtTzKt/jQGLlI/WKNW3fGO&#10;bJPrnFfr6i3Oa/tX8aWUZTfh0UW/jhlZXucXi2i0DCOTby6TY6o+0uzPXE/gh4vqsOp+1hFu5zfI&#10;QPn9s+RfWc++bsw9u8vGdcpAU3IzDPq7v/u7G2QffH0d+U8eckvWtehn7mW9Ow517PC/3pWaz7BM&#10;H/m5tg7JcVn5p+QqY6SeS5WvruiFLuuO6VXjaX6+GrfQuvqiry3Nv1w/n9W6b9t+zHGW5w9oV/IT&#10;c2Tbb5yX93Ke93Vm9uGmbc21Z/LjlAeWYUbRZxlGqm+Nwc576v1KkxdlfbKN247T1PV1zPWtbLO1&#10;f9XpLNKU17r8si4t0u6Ffyc9XcOfZz/r2df6xlp1HeyZoof+z7FU/Z3fhUmp66u1Uo4dz7Wv17X/&#10;zzXNVH1yvlRderoMv6fKnO+txpspGuVaaEpWSP6wy/py6tuHvpcY1Mdttsv659B1OWT5OUeneGeu&#10;DTedV8nzrVVrrqfuax0MyjnfMTL5xaqysj65jlav4iGrcGxRXxgHVUZfs2h7PZOepQyk/r5f9SFT&#10;VL9UWs/gxlR7c+0pb/atMvy//fb/eu0b8GMfsoGxmmPBt/Gd+j66Z919M/P3fqn29rTK8O5U++s5&#10;TEvcq/vSRbSbKm++tx3+oFuup3JNUn2avGbbNdBZ9c8yDMp21XrrtOqJ5mg5pSPYpg45Rzt/zzWx&#10;ObUpHyFT1LxMHE9esWptkuucjpG5FljEL5Imy/o0eUm+s+510rH7ImQ9z1oGqvZkfWu+Vprrjqk+&#10;N/6qX6fWnjk/fGeqjKrHpqmyUgZTDzhaOJR1z/HXx061tafWJtW2qfVIjsey+elv4zvbrYxN2zbn&#10;3xyLcu2XPKb6NcfDvnjmafXTMn6VY23V2nuf9Z3SR7hnTqrvpnXZRAZahRVT7VxEw8S2VeWm7NIx&#10;MmWgddYCWZ++Js6xOtWWZfdSrpjidVn2eVmLJX/uczf1hlNjKud97xNYkHg+9f4yWq77LMcufl9Y&#10;mGOrsETa+xuPgjfey/rmmJoam/ldfKB4nVTb65tT+LVu2+Z862NR8oe+9tMn2Z8Xja7Jr/ocTQxa&#10;h/fto+3mco3vZem662zryVwL9z2LOZe3kYG0OWmYPCDLXmZ/yTZ33p6yhXasQ+Ncv3f+YU1bdN2U&#10;byZf6vaVXFefJ/1M9k3HkVXje9m8z345NB9Ouuu76tPE0OrTrnv1P7Gn8mU6NbeTbsvmzLrzcJ1x&#10;O+dZjEnmVPVZrgf6msBa/aLRMcda8k9tSz+q0xprufbEL62tE+OrH9ad99k+ZfX+y7W7vNv0X2JI&#10;8Yf6zjr1TV7X+yDrN8Urpuqb9al1c9Un+e6msooxUO3pfOmv//qvrz07rbEy1fZ+L/GYLkv71d1a&#10;Ulrtmer7eoaHF/0qTf6/KR17Hdf533HI+kYbqo7SqXr2uWOs5ZrMe1O6mxyTHdeM0fruFN3Wac+c&#10;ZzHedNpYRxe9p3hYrnXP09zr7Vj0P/lV6X1rnuUY31ZGWPTdqftonXifMif5P/1pYdVUGXmvl6ev&#10;qm3S7Ltd2pc07Dy/xs4iGSbfxUNK39/rt+j9bG9dLxuzuX7flH8k78p6quvHP/7xa/NkXays+h4y&#10;TfpWX0ylU7SofFPzHp7Vc/Q+ZBuq7FwDlI9FyrW9ntnX+i7riS7avKivsq9zzrjOeaicqt+cro8r&#10;m9Aqx3DnL/rjMqwJai5JO2/Jdfg6fH8T2va85kTVpc8ntM75ts7ac1V52bYpHtTrt+h/2kl6vZNX&#10;Tb2f680uQ2X9NvXVKzp23V7i7iZrpsS14n/Jm8TurG/Cc+0yXvC4s+ZTyburjj3tutL0Qe99qt31&#10;vrZO9esh7umDxAYYk7o2/7NPUlZbhDWL6lntm+rrHJdn7fu4qP6X6X7ysa4n0d+XYU2QdtvOB5Nn&#10;GZebjuV1x4I5nzJQl1lgY80L6apyzddl5WW75Ms14qqyp55X3Tq/yvnav5Hrm2Uy0Db1S7+O5EtJ&#10;Rzgx1Zape1nXqbVYYlDRoqf4p2+aU8bRlA5o6tv7uqcNvuv76pHjo69psr29TxODNqHhPtqh/kXX&#10;wgf6gtQZVH8vG3vL6pJtn+rr+j76LStnfrYfuSjXUJ0v6uvs54u6Jsgx13mhNibOGn+brslXjcW+&#10;vus6QXVIO8Y66/dcO0zxkOw3eVfVcdXz5GfFA6S5FkXnLAf/qvncsX/X+mXZXbatb27CQ1btT7BX&#10;U1uz3vWdVSm8tA7SD7DgNLHJ2OtrA32Uc2Jq/FSbzsIGnLJQt9Xk2Ks6btLP2r6sr1M/f9r4m3Pn&#10;ZrpeNpf1N55dfX2R6ZLtnMKAzlvk3wfm4jc5p6YwEA9NOnde3umOpyQm9LXDvmUg30/6JR9I7Mx6&#10;a3eNm95mfKWeaccUj+xt7v+XrZ2yL/t7i/4npnd6aq+YNdluvIrNX/uNp9RJVttWpfi7dvg22u1j&#10;vC1q39T9qt8UBqWtf5v+mfreuveyL6wPk+51vQtWpF9Q7+ucO4fWza9Lj8uer8YhPlH9W+m2eo3z&#10;SLPkidrc9Y7ammv6oov1a9djrNM+8zbnkvLQeGpdl3wcr19Vfs6hVXiqDqvKW+d5YlC2YZG9MDGi&#10;y0BJ523rl7SFBTVmpWhS/Ze4uKydi9pX5XYMqvs9RZvCJrw9eXnVaVWqLuhnva7+h8KAqsfU3E8a&#10;Hko/vag/YHHVbQof/z9755YkS2oE0VmBTB/alLQuzaJmI7Me6Xz43DNhJAlZmf2quGZtVOUDgsBx&#10;JwK6Lz5/RSs81jXH57l4dz7kqL/vfP1srD3OzInv7ivH4GC87nGCbTiVOZk5kJL1+hkvoHPMV/Nv&#10;3j/SH8cEPHvGmR4znq9zyGN2NcYYjbN1jzbCvW4vemIb6bdzZV6/vmKf9w2qxplHVtcP5qX0zeWf&#10;f/75t3743spn/ATesO2KNuErbGQc7tIm99nrCvqDjga7xPEjTDx5jf6m/ZF/Pca7Gjmr2+ujs7n4&#10;ZP/fpW58nHEexbxe4/6UNUHVh1G/4UwwPtKi+GunBNfm4cwprnmdvBL7237qTV0pvX6NJtyB56O4&#10;wxqUs1e2ET/GNkrPcZ67apuxW9swbld9YD62vdVmMIGGgBs0xXpc3zv7zvjzPvZSH/XuYq6eg9jh&#10;TY9p9SG2G5uvjNWVMfZ41HUWthnnO30mpszcHcVYXMv9p+LPK/74qe8Yg8yDOmfMFzvj/NX9ZY4E&#10;b+BuhHM4Ap4x3oPPlRL/HXEUdXsPgb2BM8w7vqD9avNdMcZo/GZxR3wBb8xstH28w7OjtlauObda&#10;ucS6uKLrtJc+UNZ54HtHn+Fr7IDLwUyNK2qds+/WJjBkXjxqv15Hm87yyPYh9tOu7XIsRP0fqUOe&#10;o6M55Lmzgpc847ULvnV/+Rw/EivlnS7vOf828uPZOBv7Z/w4qv8rX3PfwR3rT/ijzsNgNLzAM+EF&#10;/FN/uM/cPaqH+uAnrzHBO3xw5i/bPJo/XMscWl3/n7WZ+5679DF+8byF92Y22j6eS91Xy/SVMbA9&#10;1jp0caX+1MW4uC73zzmcPH9WwpWsYYKLV7SJfsHHwaB5eGbHDFusffJuHVf6TnyW+5SM20dwgdfH&#10;Iw2KTbt5Qufja3+v4GYFW/3MsYYZfyPOzDj/1DUBa/vKK3AQ2Bz5o3LTle/U7XzLqv7M4gvs8Pyh&#10;zrt5whpUOf+IC7EpPsKf7vcrMVDmtMcu7aQMdlc5Ks/XvlFf7kXPsB1/wJPEGp5HefasxGdoMniA&#10;Y+2r9GG1RNdY91AXelfHY7Ye8bhi80gjvXbgGXy6us+WsdotZxqEjfFvxmS1/qN9TXyND1PvzGer&#10;bfVzx9oT38Tfo7WfOW13nFP/dyjhE3gkvkgJXzL3wOUqF8yeIz/j2Id2mMuzNar9N4svaNc88dT8&#10;iW8qT/M991Jij/0BP+beHTEQvgGXqdNt8dk8bD8efU49lLWu3DubB4wl3Iz/wRTjm3dXS3yJ78iN&#10;o01X10KOX9CZo35z3fgH9yMd8h5b+oI/zuqetTu757GtcdArWuF6q2+N0d1zDrO+9L2xFjFfgqXK&#10;KcxBxj33V3Pq39nXzCXjM32nZF6yvgwvVI4afQffzBX4xOv/1Mu8X41VvFalrjp3vF6g/tV6d8cr&#10;ttc1i/Uvz3hdj732waruntnn8aq8aV1caS92U9bxzD3irjObRvcZPzgNbcLmXW3Cd/QHXVnFoPt/&#10;FnOCF9tEe9Wf+IRr1vb4hXfp352489jW8XhFK2Izfaz1et/3KW0d4eNdr7Fey3gwpnU8PM4/5Uzc&#10;yliDPccc8VEtwwvM9frDvfp8vjNfd/MYno+jsbIG3BVjjHzlnJPxYqzQT+w5uk9fRnVfuQanx691&#10;rWybVvjEPrbtfDbvXrFz9A58jV3MLdZ4tO/cYvo1K1kL4Ou6JsHmvLeqm+i02wfDrKGqL/iODo4w&#10;zvvgb8XfI5/4WuynnWrDVa1Ai1Mvc7bW+8Q4u0/9+e/xkOcveaI6Hua1OzD13fwPR7C2c54i+L1S&#10;wjFX4nt8n/aYj5Vvagx0tuZ9ZRzM07aj5mlmMdCdWDKGscEYtk08d9Zv98318Hknpjhr5+x+tAmb&#10;4XPbFRzUsuqvcxjg96zN3EeHHA/RDnzv8bRvRvnl2EY9aOtKDJr2U55phXPaeWel9FwipnRf+Gzb&#10;V+rrZ/6uKbv+MLdWDDMeXhPcGWPv2vlVnge/8AJ+W+EFnoFDXs1RuK3PjIEYhyPMwFFZF9e5bS2g&#10;L3eOpzml+sY8vJJLPuobc2Fnb+XO/rkueNkYdMxS569jwN0cBnPd8S68zNhSp9cd5m/iJccm4fKU&#10;6BFzYTX+97hWPFkrsNM+Ovs8W7OQZ4y9d+P0zK53vW+cGU/5nPEAP+/qo5V+Z916Zb13Vj91Zhwo&#10;WY/DBXAOvM+P7z8ZA2Gr53DlPeZwvQaWvGaFW876vHPfXFXzf/bNCqe4bzUHZR3luR0bn3rWGpQ5&#10;m9Jx21Vc2h/BGFqEJuDbtOUSjcJXXr/m3ZTJ1830yG1Tn9sAY6mLdcOOf9HBvFuxypjn3lcZ452+&#10;fcdn4++6v8x495rgtRjzLjyYYzNeRyXz6652j+qZcYN5Ip/J1cTeFR04avfoOvqf+kf5/dxbWS8T&#10;r+b5GlN9tfngvVzij/ibEh1IP+D7I9+tXGdN4/gw9VLSbtVq24FOrepR1Um3WbXCmNrVCjCYPtSY&#10;zrHjlZz5ij/7mV+86vV1xTA46jXBL199Jm7gWLSl5ugzj1w+HQPhB2ti5WnzTz47BnpqXscHo7WU&#10;2z8bR/yXukZ69u9//+ev+2d1PX3f6/m6l2uOvmtdwribv+MnSmIjYtCqFcEAZfRolq9jnRCMzHI0&#10;1opZLDUag9iNzbaPz7atauKorr72GkfO1nyMh8c5uGifv+bzO/wHF9RzVOjT7ly8aos1qOa+6pw2&#10;Fz6Zz53xlXNSKxo9y2/9/t/f/9Kgz5wTjv3g1Lqed5/vxgU+RNfsp/C69WgWH2Ev2LCdrsPjOVpX&#10;+L0drThbY+ysV67On37vF4c6pzLCi9cE8E777pfv3tkXZ/PYOuQ5/SRne31e+Xj3LIFzQHVe/PHH&#10;H39p0BN5xVVcee7WdYD3wJ7UfXSQMbXvrSP5DI+QjzvaP+I6611jJe9SojfGFJ/97KrPeM75y1EM&#10;n3bRwJ16+9lr3GjsEJcy1sxX8EJM7T3F9vE1H/9Uv2WujvghfOFc7pNciI+dl6r5IMfzK+fD4NX0&#10;r/I7/38QcyX3V+KquzEA9zsGqf215q6cBbzDPvyAb80p8ZFLOAX7qs3BDLGR/cu7d2qFtZu20i4l&#10;NsXW3XMOd/jwHevwei++H5VP88c7+v6799kcCEcwf+s61/mSJ2MgfGluqbGLuYXnznzvPBd86LgK&#10;DTLHfwZXWW/rGgBbzeGfpZGMN74xTiq3YCcaX8eLPjjOmWnF7l6XOa/qIO3ExhWcnOGo75+v28En&#10;Y3i2dvmMedbjdz5+n+mjGWbgRbgl8/kj1jCOXeq6+cp5NnOVORANqjz/kXlq78XhX/rmtbxjvjN+&#10;Zh+FZ+grnEvdT2gW9RKPgYNgopboEbZH7+kXMVM9k01fuZb3d7XC+0z2G5/tu7v30D5zrn6ntsEf&#10;eGFcwSbjBT5ZF36nfrStz+sX/DVb44YjKHd54sr4mZurBsEvsWc1z+/6WJOHr/J/eZuv4NaPmCM1&#10;B1f7SRzqGIg+zHxpnY1/UrLGgAN29vtnbeUeHEPO7qhtfF11Nb5P6Tj0rI9pN2X65zFNvY7b7+53&#10;2u/yeW5qH7+Pj+FEOKCe0cs8p/wofoYz0m7NT8Exzu2sYtTr9qzHo0E1XwSnrtZ75Tl87TU8MUK4&#10;M6VjzxV7ZrFsfEmbT+kr9RK/VjvQ0ZkOWSt24rYnMHJlLPud9+HIHuvPGevE00/vAdXxDW+ONMi8&#10;tcqpPkMFL6I70SB4H55Mm5Rnua9q7+r3qj8jjvaeF7ascLO5H40lvsBPjqVW61rty9FzrGWs+aM4&#10;JVpr+47qG133eNYYkrozlqux8qiNvvY5nNN+b79/BQw4Nxi+SukYYSd/Y57mjLE1iLq9jx0dWtW4&#10;FZ+hJY5/aKPGCDUmW819mvPjp5TW7BU773imaq334WIXfY1WMDY77eKXvFvrtoavxJA77fazzY+N&#10;gffAgPWintHz/s1OfOb8DfzF7weFD1NWHUIzdnTuCJ+s262rtF+5Exv8e3w7uc/wMWX6kvIzNAg/&#10;OFZh3RB7UlorduNO70FVHXe9qxp+NG59/T34pse5x7liwBoEr5KzgUvJMZmndznG62fqrfwFP1Yd&#10;4rmre/ro16gv8GS4OKXPiNHmzl6620h9KT9Lg4iF6Ac/2BB7Urq/u+M4i/v8u2y79VYc9vfmpsbA&#10;e2LAa+jw2Ki8kmvxGnq0HwNHohE++5C2iYs4tzGLjdAOnql5N+rg/EGN62iv6t4ud65q0Mre0p1z&#10;Ln4badDVnCr2pd7ReQ7Hybt+vLPvXdd7cleP+88Zd3SI30Uxv4Z7Uu7mcMBH3atAh0ZxCfsV5rO0&#10;6ZL8GvbxM9KcPEsbo73zkf5c6ZN1tfbF55/x6UfNkbM4yPEZz67ahf7Hr8TEiatSdhz0czhgFRP9&#10;XI/5R2AgZ/RY28LTV/Nj2Fp1CE7Lme1wWUriFvRjFBeFC49K3uFd9Cz1uawad0V/6A8+iQ11n8kx&#10;1tX6r4yvtWK0HxR70fGd+me/w4xv0eDU3XFQc9MOtvrZxstHYmCkQ6zNR7my6Ab7R+gG62+v48N5&#10;aA7XeWa015R6aMP7Wrz/ij44d1n5nrZiH3y/E3O8Mh7kI9Mu/kjfKW0TMeROO9bb+reBqNsa9FF/&#10;Y2/H/n62ea4x0BgIBuBjuD9cmRIen2mR+XT3M/EWubm0RfmK/tAX+uH6atxlvfuo2GCWH3RstqsT&#10;zs2OdP4VfQsuumyOaAw0Bj4SA8QR9ew0nI4Wjdbau7qDJsC7NZ9Hmzvny2c+MefXfJxjA/q1c+Zu&#10;1ubRPWsielv9hV+jmbt7VLMzcWnHGn9kY19vjmkMNAa+EgaOYiK4Ek6DN+H20do73OeS9TjP8545&#10;MdzLev7Oc2rOx6F1toXPjoXQvid1yPky+l9tsRbj9x0cxH+jM3Fpx32dnWHcabefbb5qDDQGPgID&#10;6AK5sVFcFP6jzN4P+z/1Z6Q5eZd1/O7af7XfjhHqGQtiMXM//XuCn9G29JWy5jQdk3GWcLVvPHd2&#10;ziEa5N892s317djTzzYnNQYaA09hgPU5++rOcZlbdz9Tz1PaEx84FkIHa8zG96qP6O1uLJL2akk9&#10;1sFRDMS1+A7/1jpm32fnHNBY9I3Se0Jo7azOvtcc0hhoDHx1DMCtrMHJMZFDM8+GT2vJc6zB0YW7&#10;OH7FT9ZM8lVwcuIDSr5z3fbC02jRK/k5/OPYkZirtm1toP1dv+DP2I3euF85p5gcXb7z/F17biv+&#10;72eazxoDjYGPxAC8Df/ys8upT9iJDdaCkQ7B3f7d1fA6JfqKHsHb9GlmI3lLnvNZNeoYxWC06X0a&#10;2pjVPbrndmqOz31An5zzo09fYWxGfeprzVeNgcbAT8MAulh1qObl0AR43Lkx83j9zN4NGpCfej/f&#10;0bxRW/77Bdh25TyG++QYyHqDHdkLcyzU+0I9z3/aPO/+NKa/MgaqDhGbhJvN39Ei7tUcXXRlpaT+&#10;+ruoaafuQ135HSXimNiBtqRuSs4f5h5l8nFVm87iuq88nm1b801joDHw3TBQdQh+hr/hZnO4P7OH&#10;Q8zivwdRzzFQD9eoi5wez7sOf676s3sWLj5HP6Iz9azDKK+YXJ3vEUfhk9TZZc/pxkBjoDHwLAbI&#10;eXkfJTx+pkXWkauf0SbrFxpwdV9mdiaOvqRfKROT1TMYaOCVPGDj9Fmctn/bv42Bn40BONz7KeFq&#10;zq+Rhxvt4VzVHmIQnz+grVdjkNmZOOtc+sW12F9jsVdt6bnys+dKj2+Pb2PgGQwQg7AXM9IiuBs9&#10;Is+FJs3ydeF2l8Qb7MtU7aFeYo+r8U+w4FjOZ775HN2p5yW8/1V1iHd2fz8ptnT5DD7br+3XxsB7&#10;YAA9gH9Xfs8JXSLXhbaQ3/IPey3c45nogEu07sr5gxEOU6/jGzTQ5w447+19I561XqFD1VZ0q88q&#10;vAfuR7jqaz32jYHPxQB79OS5iFXC86+WaA913rXvQj2xCc1z/EWsk3vRO8dMaKefR5NGsRrv8LtO&#10;r8ZrjefPxXP7v/3fGPi+GIB/iQngcv7ewo4u8Sy688TfI3JsQ+xlTfG5t8Qz1iz0yTm5vFvPS0TH&#10;KNEjfEB9fY7u++K5uajHrjHwMzAQbYKT689dsc4MK+hBNKLqic/E2Rafo+Pd0flxYiJyizU/l7ZS&#10;9t/6+Rk4nmGs7/UYNwYaA0cYYJ8nekDcwx5Q9nlynfxffd/vsTc0O2eBRnEeg+dSZ0riolp3f2+8&#10;NgYaA42B98CA/w5rdIHSejHSCeK3mk/k7F7ycUclZxf8N4yyz9R4ew+89Tj3ODcGGgPGwOjvPViL&#10;+MxelN/J55EOcSYhcdSRDpGjSxudi2s8Bk9dNhYaA++JAfZ62IsiJiHHRtwTjaDk3hE20KEaSxFD&#10;1b0l65HPzs3qPmqzr78nTnvce9wbA++FAbQJjVkZd59tiH6hRcQ8+fty0SH//daVuvuZ98Jdj3eP&#10;d2OgMXAFA+T1agwVPUJ3OPPA+YRc4/d4r7TT7zQ+GwONgcZAY+AIA+TXjrQo+kNJDu+ojr7e+GoM&#10;NAYaA42BVzCQvxNx9HeL+m/KNb5ewVe/2/hpDDQGVjHA3hJn4DhjR4zU+tPYWcVOP9dYaQw0BhoD&#10;jYHGQGOgMdAYaAw0BhoDjYHGQGOgMdAYaAw0BhoDjYHGQGOgMdAYaAw0BhoDjYHGQGOgMdAYaAw0&#10;BhoDjYHGQGOgMdAYaAw0BhoDjYHGQGOgMdAYaAw0BhoDjYHGQGOgMfALA//47bff/vX/H/798/8/&#10;fP6fAAAAAP//AwBQSwECLQAUAAYACAAAACEApuZR+wwBAAAVAgAAEwAAAAAAAAAAAAAAAAAAAAAA&#10;W0NvbnRlbnRfVHlwZXNdLnhtbFBLAQItABQABgAIAAAAIQA4/SH/1gAAAJQBAAALAAAAAAAAAAAA&#10;AAAAAD0BAABfcmVscy8ucmVsc1BLAQItABQABgAIAAAAIQCReZ1uhgQAALMKAAAOAAAAAAAAAAAA&#10;AAAAADwCAABkcnMvZTJvRG9jLnhtbFBLAQItABQABgAIAAAAIQCOIglCugAAACEBAAAZAAAAAAAA&#10;AAAAAAAAAO4GAABkcnMvX3JlbHMvZTJvRG9jLnhtbC5yZWxzUEsBAi0AFAAGAAgAAAAhAGU0yILf&#10;AAAACQEAAA8AAAAAAAAAAAAAAAAA3wcAAGRycy9kb3ducmV2LnhtbFBLAQItABQABgAIAAAAIQCU&#10;zhY5TWABAJzkDgAUAAAAAAAAAAAAAAAAAOsIAABkcnMvbWVkaWEvaW1hZ2UxLmVtZlBLBQYAAAAA&#10;BgAGAHwBAABq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alt="Ministry of Education White Ribbon Day Event 2013 Poster" style="position:absolute;width:23728;height:3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XKh3DAAAA3AAAAA8AAABkcnMvZG93bnJldi54bWxET01rwkAQvQv9D8sUvOmmUqymrqJCwYAF&#10;jYoeh+w0Cc3Ohuxq4r93CwVv83ifM1t0phI3alxpWcHbMAJBnFldcq7gePgaTEA4j6yxskwK7uRg&#10;MX/pzTDWtuU93VKfixDCLkYFhfd1LKXLCjLohrYmDtyPbQz6AJtc6gbbEG4qOYqisTRYcmgosKZ1&#10;QdlvejUKLtfk+5y+706rpN3bZLuctno0Var/2i0/QXjq/FP8797oMD/6gL9nw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cqHcMAAADcAAAADwAAAAAAAAAAAAAAAACf&#10;AgAAZHJzL2Rvd25yZXYueG1sUEsFBgAAAAAEAAQA9wAAAI8DAAAAAA==&#10;">
                        <v:imagedata r:id="rId43" o:title="Ministry of Education White Ribbon Day Event 2013 Poster"/>
                        <v:path arrowok="t"/>
                      </v:shape>
                      <v:rect id="Rectangle 108" o:spid="_x0000_s1028" style="position:absolute;left:12732;top:28936;width:5434;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aMMMA&#10;AADcAAAADwAAAGRycy9kb3ducmV2LnhtbESPQWvCQBCF7wX/wzKCt7qpQqmpqxRR8FQwFfE4ZKfZ&#10;kOxsyK4x/nvnUOhthvfmvW/W29G3aqA+1oENvM0zUMRlsDVXBs4/h9cPUDEhW2wDk4EHRdhuJi9r&#10;zG2484mGIlVKQjjmaMCl1OVax9KRxzgPHbFov6H3mGTtK217vEu4b/Uiy961x5qlwWFHO0dlU9y8&#10;gep62A9j4yic4rK4Nd3q/H2xxsym49cnqERj+jf/XR+t4GdCK8/IBHr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aMMMAAADcAAAADwAAAAAAAAAAAAAAAACYAgAAZHJzL2Rv&#10;d25yZXYueG1sUEsFBgAAAAAEAAQA9QAAAIgDAAAAAA==&#10;" fillcolor="black [3213]" stroked="f" strokeweight="2pt"/>
                    </v:group>
                  </w:pict>
                </mc:Fallback>
              </mc:AlternateContent>
            </w:r>
            <w:r w:rsidRPr="001A1782">
              <w:rPr>
                <w:b/>
              </w:rPr>
              <w:t>Walking the Talk</w:t>
            </w:r>
          </w:p>
          <w:p w14:paraId="67A864B1" w14:textId="77777777" w:rsidR="007E04A6" w:rsidRDefault="007E04A6" w:rsidP="00ED0631">
            <w:pPr>
              <w:pStyle w:val="BodyCopy"/>
              <w:spacing w:before="100" w:after="100"/>
            </w:pPr>
            <w:r w:rsidRPr="000F1B73">
              <w:rPr>
                <w:i/>
                <w:noProof/>
                <w:lang w:val="en-AU" w:eastAsia="en-AU"/>
              </w:rPr>
              <mc:AlternateContent>
                <mc:Choice Requires="wps">
                  <w:drawing>
                    <wp:anchor distT="0" distB="0" distL="114300" distR="114300" simplePos="0" relativeHeight="251827199" behindDoc="0" locked="0" layoutInCell="1" allowOverlap="1" wp14:anchorId="46573D39" wp14:editId="43AB8512">
                      <wp:simplePos x="0" y="0"/>
                      <wp:positionH relativeFrom="column">
                        <wp:posOffset>3238500</wp:posOffset>
                      </wp:positionH>
                      <wp:positionV relativeFrom="paragraph">
                        <wp:posOffset>2646821</wp:posOffset>
                      </wp:positionV>
                      <wp:extent cx="2303780" cy="260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0985"/>
                              </a:xfrm>
                              <a:prstGeom prst="rect">
                                <a:avLst/>
                              </a:prstGeom>
                              <a:noFill/>
                              <a:ln w="9525">
                                <a:noFill/>
                                <a:miter lim="800000"/>
                                <a:headEnd/>
                                <a:tailEnd/>
                              </a:ln>
                            </wps:spPr>
                            <wps:txbx>
                              <w:txbxContent>
                                <w:p w14:paraId="68756D8F" w14:textId="77777777" w:rsidR="001E5A4B" w:rsidRPr="00DD2CE2" w:rsidRDefault="001E5A4B">
                                  <w:pPr>
                                    <w:rPr>
                                      <w:i/>
                                      <w:sz w:val="16"/>
                                    </w:rPr>
                                  </w:pPr>
                                  <w:r w:rsidRPr="00DD2CE2">
                                    <w:rPr>
                                      <w:i/>
                                      <w:sz w:val="16"/>
                                    </w:rPr>
                                    <w:t>MoE White Ribbon Day Event 2013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46573D39" id="_x0000_t202" coordsize="21600,21600" o:spt="202" path="m,l,21600r21600,l21600,xe">
                      <v:stroke joinstyle="miter"/>
                      <v:path gradientshapeok="t" o:connecttype="rect"/>
                    </v:shapetype>
                    <v:shape id="Text Box 2" o:spid="_x0000_s1026" type="#_x0000_t202" style="position:absolute;margin-left:255pt;margin-top:208.4pt;width:181.4pt;height:20.55pt;z-index:251827199;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AYDQIAAPQ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ctnyxWaONqKm3y9WqQUrHyJts6HjwI0iYeKOux9Qmen&#10;Rx9iNax8cYnJDOykUqn/ypCuoutFsUgBI4uWAcdTSV3RVR7XMDCR5AdTp+DApBrOmECZC+tIdKAc&#10;+n2PjlGKPdRn5O9gGEP8Nnhowf2ipMMRrKj/eWROUKI+GdRwPZ3P48ymy3yxLPDixpb92MIMR6iK&#10;BkqG431Icx65enuHWu9kkuG1kkutOFpJncs3iLM7viev18+6/Q0AAP//AwBQSwMEFAAGAAgAAAAh&#10;ABiAOuPgAAAACwEAAA8AAABkcnMvZG93bnJldi54bWxMj81OwzAQhO9IvIO1SNyokyppSohTIX4k&#10;jrQFiaMbb+KIeB3FbhvenuVUbrs7o9lvqs3sBnHCKfSeFKSLBARS401PnYKP/evdGkSImowePKGC&#10;Hwywqa+vKl0af6YtnnaxExxCodQKbIxjKWVoLDodFn5EYq31k9OR16mTZtJnDneDXCbJSjrdE3+w&#10;esQni8337ugUfNLX8NZmxmKRv2fb8eW5zeNeqdub+fEBRMQ5Xszwh8/oUDPTwR/JBDEoyNOEu0QF&#10;WbriDuxYF0seDnzJi3uQdSX/d6h/AQAA//8DAFBLAQItABQABgAIAAAAIQC2gziS/gAAAOEBAAAT&#10;AAAAAAAAAAAAAAAAAAAAAABbQ29udGVudF9UeXBlc10ueG1sUEsBAi0AFAAGAAgAAAAhADj9If/W&#10;AAAAlAEAAAsAAAAAAAAAAAAAAAAALwEAAF9yZWxzLy5yZWxzUEsBAi0AFAAGAAgAAAAhAOKOYBgN&#10;AgAA9AMAAA4AAAAAAAAAAAAAAAAALgIAAGRycy9lMm9Eb2MueG1sUEsBAi0AFAAGAAgAAAAhABiA&#10;OuPgAAAACwEAAA8AAAAAAAAAAAAAAAAAZwQAAGRycy9kb3ducmV2LnhtbFBLBQYAAAAABAAEAPMA&#10;AAB0BQAAAAA=&#10;" filled="f" stroked="f">
                      <v:textbox style="mso-fit-shape-to-text:t">
                        <w:txbxContent>
                          <w:p w14:paraId="68756D8F" w14:textId="77777777" w:rsidR="001E5A4B" w:rsidRPr="00DD2CE2" w:rsidRDefault="001E5A4B">
                            <w:pPr>
                              <w:rPr>
                                <w:i/>
                                <w:sz w:val="16"/>
                              </w:rPr>
                            </w:pPr>
                            <w:r w:rsidRPr="00DD2CE2">
                              <w:rPr>
                                <w:i/>
                                <w:sz w:val="16"/>
                              </w:rPr>
                              <w:t>MoE White Ribbon Day Event 2013</w:t>
                            </w:r>
                          </w:p>
                        </w:txbxContent>
                      </v:textbox>
                    </v:shape>
                  </w:pict>
                </mc:Fallback>
              </mc:AlternateContent>
            </w:r>
            <w:r>
              <w:t>The GD&amp;SI strategy required</w:t>
            </w:r>
            <w:r w:rsidRPr="001A1782">
              <w:t xml:space="preserve"> KEF to implement internal gender mainstreaming strategies such as actively initiating and participating in gender and disability awareness raising events. Responsibility for organising White Ribbon Day in 2013 was taken up by KEF White Ribbon Ambassador </w:t>
            </w:r>
            <w:r w:rsidRPr="001A1782">
              <w:rPr>
                <w:rStyle w:val="Strong"/>
              </w:rPr>
              <w:t>Mr Michael Anterea,</w:t>
            </w:r>
            <w:r w:rsidRPr="001A1782">
              <w:t xml:space="preserve"> from the Facilities Management Unit (FMU) infrastructure team. In line with the spirit of White Ribbon (which strives to be a male led campaign to end violence against women) Mr Anterea arranged a morning tea for KEF and MoE staff; developed a poster featuring KEF and MoE male staff members (a c</w:t>
            </w:r>
            <w:r>
              <w:t>opy of the poster is shown aside</w:t>
            </w:r>
            <w:r w:rsidRPr="001A1782">
              <w:t>); and was interviewed on the national radio program about the campaign. The keynote speaker at the morning tea, Mr Tabotabo Auatabu, Teacher and Counsellor, King George V School spoke about the impact of this issue on his own lived experience and the urgent need to address gendered violence in Kiribati.</w:t>
            </w:r>
          </w:p>
          <w:p w14:paraId="422BBB68" w14:textId="77777777" w:rsidR="007E04A6" w:rsidRPr="003D776C" w:rsidRDefault="007E04A6" w:rsidP="00ED0631">
            <w:pPr>
              <w:pStyle w:val="BodyCopy"/>
              <w:spacing w:before="140" w:after="140"/>
            </w:pPr>
            <w:r>
              <w:t xml:space="preserve">By 2015 the MoE was taking an even more active role in this annual event. </w:t>
            </w:r>
            <w:r w:rsidRPr="009004EA">
              <w:rPr>
                <w:rFonts w:cs="Arial"/>
                <w:lang w:val="en-US"/>
              </w:rPr>
              <w:t xml:space="preserve">After MoE announcements about the plans for </w:t>
            </w:r>
            <w:r>
              <w:rPr>
                <w:rFonts w:cs="Arial"/>
                <w:lang w:val="en-US"/>
              </w:rPr>
              <w:t xml:space="preserve">White Ribbon day </w:t>
            </w:r>
            <w:r w:rsidRPr="009004EA">
              <w:rPr>
                <w:rFonts w:cs="Arial"/>
                <w:lang w:val="en-US"/>
              </w:rPr>
              <w:t>on radio many youth gathered in the MoE grounds on the morning of the event where they were joined by the KEF team and MoE staff. The Kiribati Police Band led the group on a march from the MoE grounds along the main road through Bikenibeu. Those marching wore T- Shirts printed in white with the words “Stand up Speak out’. The Minister for Education, Hon. Maere Tekanene gave</w:t>
            </w:r>
            <w:r>
              <w:rPr>
                <w:rFonts w:cs="Arial"/>
                <w:sz w:val="24"/>
                <w:szCs w:val="24"/>
                <w:lang w:val="en-US"/>
              </w:rPr>
              <w:t xml:space="preserve"> </w:t>
            </w:r>
            <w:r w:rsidRPr="009004EA">
              <w:rPr>
                <w:rFonts w:cs="Arial"/>
                <w:lang w:val="en-US"/>
              </w:rPr>
              <w:t>a speech on the national White Ribbon Day theme ‘Promoting peace through respectful relationships’ after the marchers returned to the ministry grounds. She encouraged participants and spectators to spread the word about respectful relationships within their families and communities.</w:t>
            </w:r>
          </w:p>
        </w:tc>
      </w:tr>
    </w:tbl>
    <w:p w14:paraId="71ADB088" w14:textId="77777777" w:rsidR="007E04A6" w:rsidRDefault="007E04A6" w:rsidP="00ED0631">
      <w:pPr>
        <w:pStyle w:val="BodyCopy"/>
      </w:pPr>
    </w:p>
    <w:p w14:paraId="2F5A43F9" w14:textId="77777777" w:rsidR="007E04A6" w:rsidRDefault="007E04A6" w:rsidP="00ED0631">
      <w:pPr>
        <w:pStyle w:val="BodyCopy"/>
      </w:pPr>
      <w:r>
        <w:rPr>
          <w:noProof/>
          <w:lang w:val="en-AU" w:eastAsia="en-AU"/>
        </w:rPr>
        <w:drawing>
          <wp:inline distT="0" distB="0" distL="0" distR="0" wp14:anchorId="46D6680B" wp14:editId="44AC6171">
            <wp:extent cx="5845466" cy="3093720"/>
            <wp:effectExtent l="0" t="0" r="3175" b="0"/>
            <wp:docPr id="116" name="Picture 3" descr="Ministry of Education White Ribbon Day Event 2015"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850615" cy="3096445"/>
                    </a:xfrm>
                    <a:prstGeom prst="rect">
                      <a:avLst/>
                    </a:prstGeom>
                    <a:ln>
                      <a:noFill/>
                    </a:ln>
                    <a:effectLst/>
                    <a:extLst>
                      <a:ext uri="{53640926-AAD7-44D8-BBD7-CCE9431645EC}">
                        <a14:shadowObscured xmlns:a14="http://schemas.microsoft.com/office/drawing/2010/main"/>
                      </a:ext>
                    </a:extLst>
                  </pic:spPr>
                </pic:pic>
              </a:graphicData>
            </a:graphic>
          </wp:inline>
        </w:drawing>
      </w:r>
    </w:p>
    <w:p w14:paraId="34EE76F5" w14:textId="77777777" w:rsidR="007E04A6" w:rsidRPr="00DD2CE2" w:rsidRDefault="007E04A6" w:rsidP="00ED0631">
      <w:pPr>
        <w:pStyle w:val="BodyCopy"/>
        <w:spacing w:before="120" w:after="120"/>
        <w:rPr>
          <w:i/>
          <w:sz w:val="16"/>
          <w:szCs w:val="16"/>
        </w:rPr>
      </w:pPr>
      <w:r w:rsidRPr="00DD2CE2">
        <w:rPr>
          <w:i/>
          <w:sz w:val="16"/>
          <w:szCs w:val="16"/>
        </w:rPr>
        <w:t>MoE White Ribbon Day Event 2015</w:t>
      </w:r>
    </w:p>
    <w:tbl>
      <w:tblPr>
        <w:tblStyle w:val="TableGrid"/>
        <w:tblW w:w="351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CellMar>
          <w:top w:w="57" w:type="dxa"/>
          <w:bottom w:w="57" w:type="dxa"/>
        </w:tblCellMar>
        <w:tblLook w:val="04A0" w:firstRow="1" w:lastRow="0" w:firstColumn="1" w:lastColumn="0" w:noHBand="0" w:noVBand="1"/>
        <w:tblCaption w:val="Black Thursdays"/>
        <w:tblDescription w:val="KEF and MoE male and female staff participate in the weekly event known in Kiribati as Black Thursdays. Black Thursdays were initiated by I-Kiribati women a few years ago to raise awareness about the very high and unacceptable levels of violence against women and children in Kiribati. Along with many other people in Kiribati every Thursday KEF and MoE male and female staff demonstrate their support for the campaign by wearing black clothes to work. &#10;"/>
      </w:tblPr>
      <w:tblGrid>
        <w:gridCol w:w="3510"/>
      </w:tblGrid>
      <w:tr w:rsidR="007E04A6" w14:paraId="0E59E61B" w14:textId="77777777" w:rsidTr="00DD2CE2">
        <w:trPr>
          <w:trHeight w:val="3761"/>
        </w:trPr>
        <w:tc>
          <w:tcPr>
            <w:tcW w:w="3510" w:type="dxa"/>
            <w:shd w:val="clear" w:color="auto" w:fill="D9D9D9" w:themeFill="background1" w:themeFillShade="D9"/>
          </w:tcPr>
          <w:p w14:paraId="3B566421" w14:textId="77777777" w:rsidR="007E04A6" w:rsidRPr="001A1782" w:rsidRDefault="007E04A6" w:rsidP="00ED0631">
            <w:pPr>
              <w:pStyle w:val="BodyCopy"/>
              <w:spacing w:before="100"/>
              <w:rPr>
                <w:b/>
              </w:rPr>
            </w:pPr>
            <w:r w:rsidRPr="001A1782">
              <w:rPr>
                <w:noProof/>
                <w:lang w:val="en-AU" w:eastAsia="en-AU"/>
              </w:rPr>
              <w:lastRenderedPageBreak/>
              <w:drawing>
                <wp:anchor distT="0" distB="0" distL="114300" distR="114300" simplePos="0" relativeHeight="251825151" behindDoc="0" locked="0" layoutInCell="1" allowOverlap="1" wp14:anchorId="1A44CD91" wp14:editId="2422FE06">
                  <wp:simplePos x="0" y="0"/>
                  <wp:positionH relativeFrom="column">
                    <wp:posOffset>2252980</wp:posOffset>
                  </wp:positionH>
                  <wp:positionV relativeFrom="paragraph">
                    <wp:posOffset>-33020</wp:posOffset>
                  </wp:positionV>
                  <wp:extent cx="3437948" cy="2514600"/>
                  <wp:effectExtent l="0" t="0" r="0" b="0"/>
                  <wp:wrapNone/>
                  <wp:docPr id="117" name="Picture 117" descr="KEF and MoE male and female staff participate in the weekly event known in Kiribati as Black Thursdays. "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nne_Yale\AppData\Local\Microsoft\Windows\Temporary Internet Files\Content.Outlook\A0HM2HQ7\Photo0182.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3447817" cy="2521819"/>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782">
              <w:rPr>
                <w:b/>
              </w:rPr>
              <w:t>Black Thursdays</w:t>
            </w:r>
          </w:p>
          <w:p w14:paraId="7C4C18A1" w14:textId="77777777" w:rsidR="007E04A6" w:rsidRDefault="007E04A6" w:rsidP="00ED0631">
            <w:pPr>
              <w:pStyle w:val="BodyCopy"/>
              <w:spacing w:before="100"/>
            </w:pPr>
            <w:r w:rsidRPr="001A1782">
              <w:t>KEF and MoE male and female staff participate in the weekly event known in Kiribati as Black Thursdays. Black Thursdays were initiated by I-Kiribati women a few years ago to raise awareness about the very high and unacceptable levels of violence against women and children in Kiribati.</w:t>
            </w:r>
            <w:r>
              <w:t xml:space="preserve"> </w:t>
            </w:r>
            <w:r w:rsidRPr="001A1782">
              <w:t xml:space="preserve">Along with many other people in Kiribati every Thursday KEF and MoE male and female staff demonstrate their support for the campaign by wearing black clothes to work. </w:t>
            </w:r>
          </w:p>
        </w:tc>
      </w:tr>
    </w:tbl>
    <w:p w14:paraId="29DD58FA" w14:textId="77777777" w:rsidR="007E04A6" w:rsidRPr="00DD2CE2" w:rsidRDefault="007E04A6" w:rsidP="00ED0631">
      <w:pPr>
        <w:pStyle w:val="BodyCopy"/>
        <w:rPr>
          <w:sz w:val="4"/>
          <w:szCs w:val="4"/>
        </w:rPr>
      </w:pP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72"/>
      </w:tblGrid>
      <w:tr w:rsidR="007E04A6" w14:paraId="6004A722" w14:textId="77777777" w:rsidTr="00ED0631">
        <w:tc>
          <w:tcPr>
            <w:tcW w:w="9072" w:type="dxa"/>
            <w:shd w:val="clear" w:color="auto" w:fill="D9D9D9" w:themeFill="background1" w:themeFillShade="D9"/>
          </w:tcPr>
          <w:p w14:paraId="2BAB2705" w14:textId="77777777" w:rsidR="007E04A6" w:rsidRPr="001A1782" w:rsidRDefault="007E04A6" w:rsidP="00ED0631">
            <w:pPr>
              <w:pStyle w:val="BodyCopy"/>
              <w:spacing w:before="100" w:after="100"/>
              <w:rPr>
                <w:rFonts w:eastAsia="Times New Roman"/>
                <w:b/>
                <w:bCs/>
              </w:rPr>
            </w:pPr>
            <w:r w:rsidRPr="001A1782">
              <w:rPr>
                <w:b/>
              </w:rPr>
              <w:t>Strengthening MoE’s capacity to plan, monitor and improve sector performance</w:t>
            </w:r>
          </w:p>
        </w:tc>
      </w:tr>
      <w:tr w:rsidR="007E04A6" w14:paraId="2E4790A1" w14:textId="77777777" w:rsidTr="00ED0631">
        <w:trPr>
          <w:trHeight w:val="841"/>
        </w:trPr>
        <w:tc>
          <w:tcPr>
            <w:tcW w:w="9072" w:type="dxa"/>
            <w:shd w:val="clear" w:color="auto" w:fill="F2F2F2" w:themeFill="background1" w:themeFillShade="F2"/>
          </w:tcPr>
          <w:p w14:paraId="2D8CA5A9" w14:textId="77777777" w:rsidR="007E04A6" w:rsidRPr="00492940" w:rsidRDefault="007E04A6" w:rsidP="00AE24CE">
            <w:pPr>
              <w:pStyle w:val="ListBullet"/>
              <w:numPr>
                <w:ilvl w:val="0"/>
                <w:numId w:val="34"/>
              </w:numPr>
              <w:spacing w:before="70" w:after="70"/>
              <w:ind w:left="318" w:hanging="284"/>
              <w:rPr>
                <w:rFonts w:eastAsia="Times New Roman"/>
                <w:spacing w:val="0"/>
              </w:rPr>
            </w:pPr>
            <w:r w:rsidRPr="00492940">
              <w:rPr>
                <w:bCs/>
                <w:spacing w:val="0"/>
              </w:rPr>
              <w:t>With KEIP support gender, disability and s</w:t>
            </w:r>
            <w:r w:rsidRPr="00492940">
              <w:rPr>
                <w:spacing w:val="0"/>
              </w:rPr>
              <w:t xml:space="preserve">ocial inclusion considerations were mainstreamed into the principles underpinning the Kiribati Education Act (2014) including the principle of inclusive education and that a child of compulsory school age or above school age with a disability must, where practicable, be enrolled and attend a school. Key sections explicitly refer to several gender and disability inclusion considerations including: an emphasis on school safety and security; and requirements for the immediate student suspension for the use of violence or threats of violence, sexual harassment or indecent assault. In addition the Act states that; a school may not exclude a student on the basis of a student’s disability; the Minister may establish centres for special education; disciplinary action must be administered in a non-discriminatory manner; school rules must be "applied without discrimination on the basis of a student’s sex, religion, race or disability"; and that pregnancy or status as a parent is no longer grounds for disciplinary action. </w:t>
            </w:r>
          </w:p>
          <w:p w14:paraId="07BC03DD" w14:textId="77777777" w:rsidR="007E04A6" w:rsidRPr="00492940" w:rsidRDefault="007E04A6" w:rsidP="00AE24CE">
            <w:pPr>
              <w:pStyle w:val="ListBullet"/>
              <w:numPr>
                <w:ilvl w:val="0"/>
                <w:numId w:val="34"/>
              </w:numPr>
              <w:spacing w:before="70" w:after="70"/>
              <w:ind w:left="318" w:hanging="284"/>
              <w:rPr>
                <w:rFonts w:eastAsia="Times New Roman"/>
                <w:spacing w:val="0"/>
              </w:rPr>
            </w:pPr>
            <w:r w:rsidRPr="00492940">
              <w:rPr>
                <w:spacing w:val="0"/>
              </w:rPr>
              <w:t>The MoE’s Inclusive Education Working Group (IEWG) (advisory to the Secretary of Education), established in Phase I, initiated and then actively worked towards the development and finalisation of an Inclusive Education Policy which is available in both English and I-Kiribati as well as a range of accessible formats including braille, large font and audio. As mentioned above the inaugural policy for this area was endorsed by Cabinet in 2015. Following endorsement the IEWG with support from the KEF Gender and Social Inclusion Coordinator has been working towards the development and wide consultation of as strategic work plan to guide policy implementation plan. Key external partners are represented on the IEWG including representatives from the disability and women’s civil society sector. A case study of Disabled People’s Organisation, Te Toa Matoa involvement with the IEWG and other KEF and MoE activities is provided below.</w:t>
            </w:r>
          </w:p>
          <w:p w14:paraId="52ECE2FE" w14:textId="77777777" w:rsidR="007E04A6" w:rsidRPr="00492940" w:rsidRDefault="007E04A6" w:rsidP="00AE24CE">
            <w:pPr>
              <w:pStyle w:val="ListBullet"/>
              <w:numPr>
                <w:ilvl w:val="0"/>
                <w:numId w:val="34"/>
              </w:numPr>
              <w:spacing w:before="70" w:after="70"/>
              <w:ind w:left="318" w:hanging="284"/>
              <w:rPr>
                <w:rFonts w:eastAsia="Times New Roman"/>
                <w:spacing w:val="0"/>
              </w:rPr>
            </w:pPr>
            <w:r w:rsidRPr="00492940">
              <w:rPr>
                <w:spacing w:val="0"/>
              </w:rPr>
              <w:t>The KEF Gender and Social Inclusion Coordinator has worked closely with the Ministry of Women, Youth and Social Affairs and MoE to support the establishment and facilitate the MoE’s Eliminating Sexual and Gender Based Violence in Education Committee (ESGBVE Committee). The Committee met to oversee the development of the School Wellbeing &amp; Counselling Good Practice Guidelines (which operationalise Kiribati’s Family Peace Bill). New terms of reference for the committee have recently been developed to enable the ESGBVE Committee to continue its work and oversee the implementation of the guidelines as well as other initiatives that respond and prevent sexual and gender based violence in education.</w:t>
            </w:r>
          </w:p>
          <w:p w14:paraId="64CCFC78" w14:textId="77777777" w:rsidR="007E04A6" w:rsidRPr="00492940" w:rsidRDefault="007E04A6" w:rsidP="00AE24CE">
            <w:pPr>
              <w:pStyle w:val="ListBullet"/>
              <w:numPr>
                <w:ilvl w:val="0"/>
                <w:numId w:val="34"/>
              </w:numPr>
              <w:spacing w:before="70" w:after="70"/>
              <w:ind w:left="318" w:hanging="284"/>
              <w:rPr>
                <w:rFonts w:eastAsia="Times New Roman"/>
                <w:spacing w:val="0"/>
              </w:rPr>
            </w:pPr>
            <w:r w:rsidRPr="00492940">
              <w:rPr>
                <w:spacing w:val="0"/>
              </w:rPr>
              <w:t xml:space="preserve">The school survey form used for MoE’s annual collection of Kiribati Education Management Information System (KEMIS) data was reviewed and revised annually, with special attention to gender, disability and inclusion monitoring. </w:t>
            </w:r>
            <w:r w:rsidRPr="00492940">
              <w:rPr>
                <w:bCs/>
                <w:spacing w:val="0"/>
              </w:rPr>
              <w:t>For example,</w:t>
            </w:r>
            <w:r w:rsidRPr="00492940">
              <w:rPr>
                <w:b/>
                <w:bCs/>
                <w:spacing w:val="0"/>
              </w:rPr>
              <w:t xml:space="preserve"> </w:t>
            </w:r>
            <w:r w:rsidRPr="00492940">
              <w:rPr>
                <w:spacing w:val="0"/>
              </w:rPr>
              <w:t xml:space="preserve">the scope of the form has been expanded to capture details about classroom accessibility, and the availability of accessible toilets. In the most recent review the MoE, with support from KEF and SPC have updated the survey so that key questions will capture data for reporting on gender parity dimensions and based on advice from stakeholders such as Te Toa Matoa and the Kiribati Statistics Office the Washington Questions. A next step will be to invite one of the leaders from Te Toa Matoa who </w:t>
            </w:r>
            <w:r w:rsidRPr="00492940">
              <w:rPr>
                <w:spacing w:val="0"/>
              </w:rPr>
              <w:lastRenderedPageBreak/>
              <w:t>has been trained in the Washington Questions to provide training for the key MoE staff who will oversee survey implementation. Collecting accurate data on disability upon registration of children by schools is another next step.</w:t>
            </w:r>
          </w:p>
          <w:p w14:paraId="26FE6B66" w14:textId="77777777" w:rsidR="007E04A6" w:rsidRPr="00492940" w:rsidRDefault="007E04A6" w:rsidP="00AE24CE">
            <w:pPr>
              <w:pStyle w:val="ListBullet"/>
              <w:numPr>
                <w:ilvl w:val="0"/>
                <w:numId w:val="34"/>
              </w:numPr>
              <w:spacing w:before="70" w:after="70"/>
              <w:ind w:left="318" w:hanging="284"/>
              <w:rPr>
                <w:rFonts w:eastAsia="Times New Roman"/>
                <w:spacing w:val="0"/>
              </w:rPr>
            </w:pPr>
            <w:r w:rsidRPr="00492940">
              <w:rPr>
                <w:spacing w:val="0"/>
              </w:rPr>
              <w:t xml:space="preserve">Ongoing mentoring has been undertaken for MoE staff involved in the update of digital media for the MoE website in best practice for the production of accessible digital media and adherence to M3C guidelines where feasible, including PDF files that retain metadata for use with assistive technologies. </w:t>
            </w:r>
          </w:p>
          <w:p w14:paraId="096AFFCD" w14:textId="77777777" w:rsidR="007E04A6" w:rsidRPr="00492940" w:rsidRDefault="007E04A6" w:rsidP="00AE24CE">
            <w:pPr>
              <w:pStyle w:val="ListBullet"/>
              <w:numPr>
                <w:ilvl w:val="0"/>
                <w:numId w:val="34"/>
              </w:numPr>
              <w:spacing w:before="70" w:after="70"/>
              <w:ind w:left="318" w:hanging="284"/>
              <w:rPr>
                <w:rFonts w:eastAsia="Times New Roman"/>
                <w:spacing w:val="0"/>
              </w:rPr>
            </w:pPr>
            <w:r w:rsidRPr="00492940">
              <w:rPr>
                <w:spacing w:val="0"/>
              </w:rPr>
              <w:t>The MoE-KEIP Research being undertaken in the later part of 2015 has been designed to provide key information about the prevalence and school access for children with mild and severe disabilities including learning difficulties. This research data, most of which will be analysed under KEIP III, will be used to inform evidence-based policy decisions by MoE to ensure children with disabilities are better supported in the their right to education. The case studies being rolled-out under the MoE-KEIP Research have been designed to be able to cater for understanding gender, disability and social inclusion. The case studies are looking at a range of school-level changes potentially influenced by KEIP and understanding the perspective of school leaders, teachers and school committees with regards equality will be very useful for understanding how behaviours can be changed over the next four years.</w:t>
            </w:r>
          </w:p>
          <w:p w14:paraId="68E4037B" w14:textId="77777777" w:rsidR="007E04A6" w:rsidRPr="00492940" w:rsidRDefault="007E04A6" w:rsidP="00AE24CE">
            <w:pPr>
              <w:pStyle w:val="ListBullet"/>
              <w:numPr>
                <w:ilvl w:val="0"/>
                <w:numId w:val="34"/>
              </w:numPr>
              <w:spacing w:before="70" w:after="70"/>
              <w:ind w:left="318" w:hanging="284"/>
              <w:rPr>
                <w:rFonts w:eastAsia="Times New Roman"/>
                <w:spacing w:val="-2"/>
              </w:rPr>
            </w:pPr>
            <w:r w:rsidRPr="00492940">
              <w:rPr>
                <w:spacing w:val="-2"/>
              </w:rPr>
              <w:t>The ESSP M&amp;E framework has been reviewed at intervals since the inception of KEIP in consultation with MoE Heads of Divisions. Indicators relating to pupils and teachers are disaggregated by gender where meaningful and new indicators were added to enhance gender, disability and social inclusion monitoring including percentage of schools with mixed (M/F) Parent's Committee membership; number of children with disability accessing school by disability type; and number of children in the school catchment area with disabilities not attending school.</w:t>
            </w:r>
            <w:r w:rsidRPr="00492940">
              <w:rPr>
                <w:b/>
                <w:bCs/>
                <w:spacing w:val="-2"/>
              </w:rPr>
              <w:t xml:space="preserve"> </w:t>
            </w:r>
            <w:r w:rsidRPr="00492940">
              <w:rPr>
                <w:rFonts w:eastAsiaTheme="minorEastAsia"/>
                <w:spacing w:val="-2"/>
              </w:rPr>
              <w:t>Gender and disability disaggregated and specific indicators continue to be integrated into the ESSP and M&amp;E framework and are monitored to inform decision making.</w:t>
            </w:r>
            <w:r w:rsidRPr="00492940">
              <w:rPr>
                <w:b/>
                <w:bCs/>
                <w:spacing w:val="-2"/>
              </w:rPr>
              <w:t xml:space="preserve"> </w:t>
            </w:r>
            <w:r w:rsidRPr="00492940">
              <w:rPr>
                <w:rFonts w:eastAsiaTheme="minorEastAsia"/>
                <w:spacing w:val="-2"/>
              </w:rPr>
              <w:t>The KEIP M&amp;E framework, and new information developed under the MoE-KEIP Research, continue to allow for gender disaggregated information. The Research is providing another dimension to MoE's ability to analyse important performance information by gender to help inform MoE policy and decision-making. KEIP has worked with MoE to redevelop relevant ESSP indicators to allow for better gender disaggregation, and potential gender specific indicators. This will also provide additional opportunities or the inclusion of more gender specific and disaggregated indicators for KEIP III.</w:t>
            </w:r>
          </w:p>
          <w:p w14:paraId="0E6685BD" w14:textId="77777777" w:rsidR="007E04A6" w:rsidRPr="00492940" w:rsidRDefault="007E04A6" w:rsidP="00AE24CE">
            <w:pPr>
              <w:pStyle w:val="ListBullet"/>
              <w:numPr>
                <w:ilvl w:val="0"/>
                <w:numId w:val="34"/>
              </w:numPr>
              <w:ind w:left="318" w:hanging="284"/>
              <w:rPr>
                <w:spacing w:val="0"/>
              </w:rPr>
            </w:pPr>
            <w:r w:rsidRPr="00492940">
              <w:rPr>
                <w:spacing w:val="0"/>
              </w:rPr>
              <w:t>The gender focal point role for the MoE was explicitly embedded into the new job description for the Director for Policy, Planning and Development for the first time in 2014. Working with the MoE to encourage an understanding and commitment for the importance of explicitly embedding disability as a focal point role in this job description (or the job description of another staff member at a high level within the MoE) is the next step forward.</w:t>
            </w:r>
          </w:p>
          <w:p w14:paraId="0E256766" w14:textId="77777777" w:rsidR="007E04A6" w:rsidRPr="00492940" w:rsidRDefault="007E04A6" w:rsidP="00AE24CE">
            <w:pPr>
              <w:pStyle w:val="ListBullet"/>
              <w:numPr>
                <w:ilvl w:val="0"/>
                <w:numId w:val="34"/>
              </w:numPr>
              <w:ind w:left="318" w:hanging="284"/>
            </w:pPr>
            <w:r w:rsidRPr="00492940">
              <w:rPr>
                <w:spacing w:val="0"/>
              </w:rPr>
              <w:t>A number of professional development workshops on gender and disability analysis have been offered to KEF and MoE staff by the Gender and Social Inclusion Mentor, Gender and Social Inclusion Coordinator and disability awareness in partnership with CBM Nossal. An outcome of the 2015 training facilitated by CBM has been the identification of Disability Inclusion Champions group from various divisions and work groups within the MoE. A next step will be to identify processes to ensure the sustainably of this group and their advocacy. A case study highlighting some of the notable feedback from the gender workshops is provided below.</w:t>
            </w:r>
          </w:p>
          <w:p w14:paraId="4BFC6F53" w14:textId="77777777" w:rsidR="007E04A6" w:rsidRPr="00D97D18" w:rsidRDefault="007E04A6" w:rsidP="00AE24CE">
            <w:pPr>
              <w:pStyle w:val="ListBullet"/>
              <w:numPr>
                <w:ilvl w:val="0"/>
                <w:numId w:val="34"/>
              </w:numPr>
              <w:ind w:left="318" w:hanging="284"/>
            </w:pPr>
            <w:r>
              <w:t xml:space="preserve">The assessment measures and tests are indicating that there are a proportionally lower number of boys that attend and complete basic education, including several of their test scores in relation to girls. This trend is of concern, and the community liaison, IECs, school leadership and the ongoing curriculum revisions must each address this as a priority. This could become even more evident as the reform moves through into senior Primary schooling and then leads into the JSS level during KEIP Phase III. </w:t>
            </w:r>
          </w:p>
        </w:tc>
      </w:tr>
    </w:tbl>
    <w:p w14:paraId="0A84434A" w14:textId="77777777" w:rsidR="007E04A6" w:rsidRDefault="007E04A6">
      <w:pPr>
        <w:rPr>
          <w:rFonts w:cs="Arial (TT)"/>
          <w:b/>
          <w:noProof/>
          <w:color w:val="000000"/>
          <w:lang w:eastAsia="en-AU"/>
        </w:rPr>
      </w:pPr>
      <w:r>
        <w:rPr>
          <w:b/>
          <w:noProof/>
          <w:lang w:eastAsia="en-AU"/>
        </w:rPr>
        <w:lastRenderedPageBreak/>
        <w:br w:type="page"/>
      </w:r>
    </w:p>
    <w:p w14:paraId="22FDBC69" w14:textId="77777777" w:rsidR="00AA73E1" w:rsidRDefault="007E04A6" w:rsidP="00DD2CE2">
      <w:pPr>
        <w:pStyle w:val="BodyCopy"/>
        <w:spacing w:after="0"/>
        <w:rPr>
          <w:spacing w:val="-2"/>
          <w:lang w:eastAsia="en-AU"/>
        </w:rPr>
      </w:pPr>
      <w:r>
        <w:rPr>
          <w:b/>
          <w:noProof/>
          <w:lang w:val="en-AU" w:eastAsia="en-AU"/>
        </w:rPr>
        <w:lastRenderedPageBreak/>
        <w:drawing>
          <wp:inline distT="0" distB="0" distL="0" distR="0" wp14:anchorId="75516648" wp14:editId="6D77FB14">
            <wp:extent cx="5806440" cy="4355149"/>
            <wp:effectExtent l="0" t="0" r="3810" b="7620"/>
            <wp:docPr id="118" name="Picture 5" descr="The Inaugural Kiribati Inclusive Education Policy was launched in May 2015 and published in accessible formats including Braill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21543" cy="4366477"/>
                    </a:xfrm>
                    <a:prstGeom prst="rect">
                      <a:avLst/>
                    </a:prstGeom>
                    <a:noFill/>
                    <a:ln>
                      <a:noFill/>
                    </a:ln>
                  </pic:spPr>
                </pic:pic>
              </a:graphicData>
            </a:graphic>
          </wp:inline>
        </w:drawing>
      </w:r>
    </w:p>
    <w:p w14:paraId="0F161659" w14:textId="4E7C42CF" w:rsidR="007E04A6" w:rsidRPr="00DD2CE2" w:rsidRDefault="007E04A6" w:rsidP="00ED0631">
      <w:pPr>
        <w:pStyle w:val="BodyCopy"/>
        <w:spacing w:after="500"/>
        <w:rPr>
          <w:i/>
          <w:spacing w:val="-2"/>
          <w:sz w:val="16"/>
          <w:lang w:eastAsia="en-AU"/>
        </w:rPr>
      </w:pPr>
      <w:r w:rsidRPr="00DD2CE2">
        <w:rPr>
          <w:i/>
          <w:spacing w:val="-2"/>
          <w:sz w:val="16"/>
          <w:lang w:eastAsia="en-AU"/>
        </w:rPr>
        <w:t xml:space="preserve">The </w:t>
      </w:r>
      <w:r w:rsidR="00DD2CE2">
        <w:rPr>
          <w:i/>
          <w:spacing w:val="-2"/>
          <w:sz w:val="16"/>
          <w:lang w:eastAsia="en-AU"/>
        </w:rPr>
        <w:t>i</w:t>
      </w:r>
      <w:r w:rsidRPr="00DD2CE2">
        <w:rPr>
          <w:i/>
          <w:spacing w:val="-2"/>
          <w:sz w:val="16"/>
          <w:lang w:eastAsia="en-AU"/>
        </w:rPr>
        <w:t>naugural Kiribati Inclusive Education Policy was launched in May 2015 and published in accessible formats including Braille</w:t>
      </w:r>
    </w:p>
    <w:tbl>
      <w:tblPr>
        <w:tblStyle w:val="TableGrid"/>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Caption w:val="Actively engaging with the Disabled People’s Organisation"/>
        <w:tblDescription w:val="KEF and the MoE active engagement with the local Disabled People’s Organisation, Te Toa Matoa has been steadily increasing. For instance, Te Toa Matoa has become a representative on the MoE’s Inclusive Education Working Group (IEWG) and partnered with CBM-Nossal to undertake KEIP’s Operational Research on Disability and Inclusive Education in Kiribati. A representative from Te Toa Matoa also been joins where possible the CCT on Island visits. &#10;Te Toa Matoa’s representative on the IEWG, Ms Teewata Rokete has been particularly instrumental in building KEF and MoE awareness about disability inclusion and inspiring action in this area. &#10;For example on a visit to Kiritimati Island Ms Rokete identified a 13 year old boy with a disability who had not attended school since he was 6 years old. After working with the boy and his family to identify key barriers and facilitators to his education she linked the family to the Head Teacher of the local primary school. From this linkage the school developed a plan of action for his inclusion in class, school and sporting activities. To address some of the identified barriers KEF provided a laptop and designed a desk for him to be able to ease the pain in his back and hands when writing. As a result this student can read and write and is now in class 6 and enjoying going to school.&#10;This story of success features in the MoE’s Inclusive Education Promotional DVD which was developed to support the promotion of the Kiribati Inclusive Education Policy following its approval by Cabinet. The Big Book below which has been written by Ms Rokete was inspired by her involvement in this success story and her commitment to promote the value and importance of disability inclusive education."/>
      </w:tblPr>
      <w:tblGrid>
        <w:gridCol w:w="9072"/>
      </w:tblGrid>
      <w:tr w:rsidR="007E04A6" w14:paraId="17F8B387" w14:textId="77777777" w:rsidTr="00ED0631">
        <w:tc>
          <w:tcPr>
            <w:tcW w:w="9072" w:type="dxa"/>
            <w:shd w:val="clear" w:color="auto" w:fill="D9D9D9" w:themeFill="background1" w:themeFillShade="D9"/>
          </w:tcPr>
          <w:p w14:paraId="5D640B1A" w14:textId="77777777" w:rsidR="007E04A6" w:rsidRPr="00134CE6" w:rsidRDefault="007E04A6" w:rsidP="00ED0631">
            <w:pPr>
              <w:pStyle w:val="BodyCopy"/>
              <w:spacing w:before="100" w:after="100"/>
              <w:rPr>
                <w:rFonts w:eastAsia="Times New Roman"/>
                <w:b/>
                <w:spacing w:val="-4"/>
              </w:rPr>
            </w:pPr>
            <w:r w:rsidRPr="00134CE6">
              <w:rPr>
                <w:b/>
                <w:spacing w:val="-4"/>
              </w:rPr>
              <w:t>Actively engaging with the Disabled People’s Organisation</w:t>
            </w:r>
          </w:p>
          <w:p w14:paraId="620ADC2E" w14:textId="77777777" w:rsidR="007E04A6" w:rsidRPr="00134CE6" w:rsidRDefault="007E04A6" w:rsidP="00ED0631">
            <w:pPr>
              <w:pStyle w:val="BodyCopy"/>
              <w:spacing w:before="60" w:after="60" w:line="238" w:lineRule="atLeast"/>
              <w:rPr>
                <w:spacing w:val="-4"/>
              </w:rPr>
            </w:pPr>
            <w:r w:rsidRPr="00134CE6">
              <w:rPr>
                <w:spacing w:val="-4"/>
              </w:rPr>
              <w:t xml:space="preserve">KEF and the MoE active engagement with the local Disabled People’s Organisation, Te Toa Matoa has been steadily increasing. For instance, Te Toa Matoa has become a representative on the MoE’s Inclusive Education Working Group (IEWG) and partnered with CBM-Nossal to undertake KEIP’s </w:t>
            </w:r>
            <w:r w:rsidRPr="00134CE6">
              <w:rPr>
                <w:rFonts w:eastAsia="Calibri"/>
                <w:i/>
                <w:iCs/>
                <w:spacing w:val="-4"/>
              </w:rPr>
              <w:t xml:space="preserve">Operational Research on Disability and Inclusive Education in Kiribati. </w:t>
            </w:r>
            <w:r w:rsidRPr="00134CE6">
              <w:rPr>
                <w:rFonts w:eastAsia="Calibri"/>
                <w:iCs/>
                <w:spacing w:val="-4"/>
              </w:rPr>
              <w:t>A representative from</w:t>
            </w:r>
            <w:r w:rsidRPr="00134CE6">
              <w:rPr>
                <w:rFonts w:eastAsia="Calibri"/>
                <w:i/>
                <w:iCs/>
                <w:spacing w:val="-4"/>
              </w:rPr>
              <w:t xml:space="preserve"> </w:t>
            </w:r>
            <w:r w:rsidRPr="00134CE6">
              <w:rPr>
                <w:spacing w:val="-4"/>
              </w:rPr>
              <w:t xml:space="preserve">Te Toa Matoa also been joins where possible the CCT on Island visits. </w:t>
            </w:r>
          </w:p>
          <w:p w14:paraId="55ADB497" w14:textId="77777777" w:rsidR="007E04A6" w:rsidRPr="00134CE6" w:rsidRDefault="007E04A6" w:rsidP="00ED0631">
            <w:pPr>
              <w:pStyle w:val="BodyCopy"/>
              <w:spacing w:before="60" w:after="60" w:line="238" w:lineRule="atLeast"/>
              <w:rPr>
                <w:spacing w:val="-4"/>
              </w:rPr>
            </w:pPr>
            <w:r w:rsidRPr="00134CE6">
              <w:rPr>
                <w:spacing w:val="-4"/>
              </w:rPr>
              <w:t xml:space="preserve">Te Toa Matoa’s representative on the IEWG, Ms Teewata Rokete has been particularly instrumental in building KEF and MoE awareness about disability inclusion and inspiring action in this area. </w:t>
            </w:r>
          </w:p>
          <w:p w14:paraId="03F5E392" w14:textId="77777777" w:rsidR="007E04A6" w:rsidRPr="00134CE6" w:rsidRDefault="007E04A6" w:rsidP="00ED0631">
            <w:pPr>
              <w:pStyle w:val="BodyCopy"/>
              <w:spacing w:before="60" w:after="60" w:line="238" w:lineRule="atLeast"/>
              <w:rPr>
                <w:spacing w:val="-4"/>
              </w:rPr>
            </w:pPr>
            <w:r w:rsidRPr="00134CE6">
              <w:rPr>
                <w:spacing w:val="-4"/>
              </w:rPr>
              <w:t>For example on a visit to Kiritimati Island Ms Rokete identified a 13 year old boy with a disability who had not attended school since he was 6 years old. After working with the boy and his family to identify key barriers and facilitators to his education she linked the family to the Head Teacher of the local primary school. From this linkage the school developed a plan of action for his inclusion in class, school and sporting activities. To address some of the identified barriers KEF provided a laptop and designed a desk for him to be able to ease the pain in his back and hands when writing. As a result this student can read and write and is now in class 6 and enjoying going to school.</w:t>
            </w:r>
          </w:p>
          <w:p w14:paraId="0B27FBEF" w14:textId="77777777" w:rsidR="007E04A6" w:rsidRPr="00134CE6" w:rsidRDefault="007E04A6" w:rsidP="00ED0631">
            <w:pPr>
              <w:pStyle w:val="BodyCopy"/>
              <w:spacing w:before="60" w:after="60" w:line="238" w:lineRule="atLeast"/>
              <w:rPr>
                <w:spacing w:val="-4"/>
              </w:rPr>
            </w:pPr>
            <w:r w:rsidRPr="00134CE6">
              <w:rPr>
                <w:spacing w:val="-4"/>
              </w:rPr>
              <w:t>This story of success features in the MoE’s Inclusive Education Promotional DVD which was developed to support the promotion of the Kiribati Inclusive Education Policy following its approval by Cabinet. The Big Book below which has been written by Ms Rokete was inspired by her involvement in this success story and her commitment to promote the value and importance of disability inclusive education.</w:t>
            </w:r>
          </w:p>
        </w:tc>
      </w:tr>
    </w:tbl>
    <w:p w14:paraId="25287094" w14:textId="77777777" w:rsidR="00184429" w:rsidRDefault="00184429">
      <w:r>
        <w:br w:type="page"/>
      </w:r>
    </w:p>
    <w:tbl>
      <w:tblPr>
        <w:tblStyle w:val="TableGrid"/>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Caption w:val="Power on my knees"/>
        <w:tblDescription w:val="Hello, my name is Johnnie.&#10;I live on Kiritimati Island.&#10;I am 11 years old.&#10;I walk on my knees.&#10;Oops! the sand is so hot.&#10;All the other boys my age can go to school&#10;I am very good with fixing broken eclectic wires.&#10;I want to learn more&#10;Wow, there is so much I want to learn.&#10;I want to go to school, too!&#10;A woman from Te Toa Matoa, visits my island.&#10;She has an artificial leg.&#10;I watch her walking.&#10;Look! She drives a car! I get in the car.&#10;Wow, one day I can be like her. &#10;I can drive with my hands. &#10;I watch my friend use her laptop.&#10;She talks to me about school&#10;I want to go to school, but how?&#10;I ask her to help me talk to Mum and Dad.&#10;“No” my mum says. “How can Johnnie go to school?&#10;We live a long way away from the school. &#10;We don’t have a car or other transport.&#10;I have many things to do in the home, so I can’t take him to school.”&#10;My friend taps my mum on the shoulder,&#10;“Please send your son to school. &#10;He has special talents.&#10;Please give him a chance.”&#10;“No”, my mum says, “other children will bully him.”&#10;Other children will make him cry.&#10;My friend says to my mother, “Don’t worry, the teachers will help him.”&#10;Now I am in school&#10;I am happy and I am learning &#10;I will stay at school until I finish every year, and learn what I need to live a good life."/>
      </w:tblPr>
      <w:tblGrid>
        <w:gridCol w:w="9072"/>
      </w:tblGrid>
      <w:tr w:rsidR="007E04A6" w14:paraId="6222350B" w14:textId="77777777" w:rsidTr="00ED0631">
        <w:tc>
          <w:tcPr>
            <w:tcW w:w="9072" w:type="dxa"/>
            <w:shd w:val="clear" w:color="auto" w:fill="D9D9D9" w:themeFill="background1" w:themeFillShade="D9"/>
          </w:tcPr>
          <w:p w14:paraId="0878D4B7" w14:textId="77777777" w:rsidR="007E04A6" w:rsidRPr="003603B6" w:rsidRDefault="007E04A6" w:rsidP="00ED0631">
            <w:pPr>
              <w:pStyle w:val="BodyCopy"/>
              <w:spacing w:before="80" w:after="80"/>
              <w:rPr>
                <w:b/>
              </w:rPr>
            </w:pPr>
            <w:r w:rsidRPr="003603B6">
              <w:rPr>
                <w:b/>
              </w:rPr>
              <w:lastRenderedPageBreak/>
              <w:t>Power on my knees</w:t>
            </w:r>
          </w:p>
          <w:p w14:paraId="1E8531AC" w14:textId="77777777" w:rsidR="007E04A6" w:rsidRDefault="007E04A6" w:rsidP="00ED0631">
            <w:pPr>
              <w:pStyle w:val="BodyCopy"/>
              <w:spacing w:before="80" w:after="80"/>
            </w:pPr>
            <w:r>
              <w:t>Hello, my name is Johnnie.</w:t>
            </w:r>
            <w:r>
              <w:br/>
            </w:r>
            <w:r w:rsidRPr="003603B6">
              <w:t>I live on Kiritimati Isla</w:t>
            </w:r>
            <w:r>
              <w:t>nd.</w:t>
            </w:r>
            <w:r>
              <w:br/>
            </w:r>
            <w:r w:rsidRPr="003603B6">
              <w:t>I am 11 years old</w:t>
            </w:r>
            <w:r>
              <w:t>.</w:t>
            </w:r>
            <w:r>
              <w:br/>
              <w:t>I walk on my knees.</w:t>
            </w:r>
            <w:r>
              <w:br/>
              <w:t>Oo</w:t>
            </w:r>
            <w:r w:rsidRPr="003603B6">
              <w:t>ps</w:t>
            </w:r>
            <w:r>
              <w:t>!</w:t>
            </w:r>
            <w:r w:rsidRPr="003603B6">
              <w:t xml:space="preserve"> the sand is so hot</w:t>
            </w:r>
            <w:r>
              <w:t>.</w:t>
            </w:r>
          </w:p>
          <w:p w14:paraId="76CF4802" w14:textId="77777777" w:rsidR="007E04A6" w:rsidRPr="003603B6" w:rsidRDefault="007E04A6" w:rsidP="00ED0631">
            <w:pPr>
              <w:pStyle w:val="BodyCopy"/>
              <w:spacing w:before="80" w:after="80" w:line="235" w:lineRule="auto"/>
            </w:pPr>
            <w:r>
              <w:t xml:space="preserve">All the other boys my age can </w:t>
            </w:r>
            <w:r w:rsidRPr="003603B6">
              <w:t>go to school</w:t>
            </w:r>
            <w:r>
              <w:br/>
              <w:t xml:space="preserve">I am very good with fixing broken eclectic </w:t>
            </w:r>
            <w:r w:rsidRPr="003603B6">
              <w:t>wires</w:t>
            </w:r>
            <w:r>
              <w:t>.</w:t>
            </w:r>
            <w:r>
              <w:br/>
              <w:t>I want to</w:t>
            </w:r>
            <w:r w:rsidRPr="003603B6">
              <w:t xml:space="preserve"> learn more</w:t>
            </w:r>
            <w:r>
              <w:br/>
              <w:t>Wow, there is so much I want to learn.</w:t>
            </w:r>
            <w:r>
              <w:br/>
              <w:t>I want to go to school, too!</w:t>
            </w:r>
          </w:p>
          <w:p w14:paraId="090A5B3B" w14:textId="77777777" w:rsidR="007E04A6" w:rsidRDefault="007E04A6" w:rsidP="00ED0631">
            <w:pPr>
              <w:pStyle w:val="BodyCopy"/>
              <w:spacing w:before="80" w:after="80" w:line="235" w:lineRule="auto"/>
            </w:pPr>
            <w:r>
              <w:t>A woman from Te Toa Matoa, visits my island.</w:t>
            </w:r>
            <w:r>
              <w:br/>
              <w:t>She has</w:t>
            </w:r>
            <w:r w:rsidRPr="003603B6">
              <w:t xml:space="preserve"> an artificial leg</w:t>
            </w:r>
            <w:r>
              <w:t>.</w:t>
            </w:r>
            <w:r>
              <w:br/>
              <w:t>I watch her walking.</w:t>
            </w:r>
          </w:p>
          <w:p w14:paraId="6D5AAC7D" w14:textId="77777777" w:rsidR="007E04A6" w:rsidRDefault="007E04A6" w:rsidP="00ED0631">
            <w:pPr>
              <w:pStyle w:val="BodyCopy"/>
              <w:spacing w:before="80" w:after="80" w:line="235" w:lineRule="auto"/>
            </w:pPr>
            <w:r>
              <w:t>Look! She drives a car! I ge</w:t>
            </w:r>
            <w:r w:rsidRPr="003603B6">
              <w:t>t in the car</w:t>
            </w:r>
            <w:r>
              <w:t>.</w:t>
            </w:r>
            <w:r>
              <w:br/>
            </w:r>
            <w:r w:rsidRPr="003603B6">
              <w:t xml:space="preserve">Wow, </w:t>
            </w:r>
            <w:r>
              <w:t>one day I can be like her.</w:t>
            </w:r>
            <w:r w:rsidRPr="003603B6">
              <w:t xml:space="preserve"> </w:t>
            </w:r>
            <w:r>
              <w:br/>
            </w:r>
            <w:r w:rsidRPr="003603B6">
              <w:t>I can drive with my hands</w:t>
            </w:r>
            <w:r>
              <w:t>.</w:t>
            </w:r>
            <w:r w:rsidRPr="003603B6">
              <w:t xml:space="preserve"> </w:t>
            </w:r>
          </w:p>
          <w:p w14:paraId="4A98313E" w14:textId="77777777" w:rsidR="007E04A6" w:rsidRDefault="007E04A6" w:rsidP="00ED0631">
            <w:pPr>
              <w:pStyle w:val="BodyCopy"/>
              <w:spacing w:before="80" w:after="80" w:line="235" w:lineRule="auto"/>
            </w:pPr>
            <w:r>
              <w:t>I watch my friend use her laptop.</w:t>
            </w:r>
            <w:r>
              <w:br/>
              <w:t>She talks to me about school</w:t>
            </w:r>
            <w:r>
              <w:br/>
            </w:r>
            <w:r w:rsidRPr="003603B6">
              <w:t>I</w:t>
            </w:r>
            <w:r>
              <w:t xml:space="preserve"> want to go to school, but how?</w:t>
            </w:r>
            <w:r>
              <w:br/>
              <w:t>I ask her to help me talk to Mum and Dad.</w:t>
            </w:r>
          </w:p>
          <w:p w14:paraId="4BA5FED9" w14:textId="77777777" w:rsidR="007E04A6" w:rsidRDefault="007E04A6" w:rsidP="00ED0631">
            <w:pPr>
              <w:pStyle w:val="BodyCopy"/>
              <w:spacing w:before="80" w:after="80" w:line="235" w:lineRule="auto"/>
            </w:pPr>
            <w:r>
              <w:t>“No” my mum says. “How can Johnnie go to school?</w:t>
            </w:r>
            <w:r>
              <w:br/>
              <w:t xml:space="preserve">We live a long way away from the school. </w:t>
            </w:r>
            <w:r>
              <w:br/>
              <w:t>We don’t have a car or other transport.</w:t>
            </w:r>
            <w:r>
              <w:br/>
              <w:t>I have many things to do in the home, so I can’t take him to school.”</w:t>
            </w:r>
          </w:p>
          <w:p w14:paraId="3A2EB72E" w14:textId="438D767C" w:rsidR="007E04A6" w:rsidRDefault="007E04A6" w:rsidP="00ED0631">
            <w:pPr>
              <w:pStyle w:val="BodyCopy"/>
              <w:spacing w:before="80" w:after="80" w:line="235" w:lineRule="auto"/>
            </w:pPr>
            <w:r>
              <w:t>My friend taps my mum on the shoulder</w:t>
            </w:r>
            <w:r w:rsidR="0078330D">
              <w:t>,</w:t>
            </w:r>
            <w:r w:rsidR="00145B37">
              <w:t xml:space="preserve"> </w:t>
            </w:r>
            <w:r w:rsidR="00145B37">
              <w:br/>
            </w:r>
            <w:r>
              <w:t xml:space="preserve">“Please send your son to school. </w:t>
            </w:r>
            <w:r>
              <w:br/>
              <w:t>He has special talents.</w:t>
            </w:r>
            <w:r>
              <w:br/>
              <w:t>Please give him a chance.”</w:t>
            </w:r>
          </w:p>
          <w:p w14:paraId="2D362C37" w14:textId="76525964" w:rsidR="007E04A6" w:rsidRDefault="007E04A6" w:rsidP="00ED0631">
            <w:pPr>
              <w:pStyle w:val="BodyCopy"/>
              <w:spacing w:before="80" w:after="80" w:line="235" w:lineRule="auto"/>
            </w:pPr>
            <w:r>
              <w:t xml:space="preserve">“No”, my mum says, </w:t>
            </w:r>
            <w:r w:rsidR="0078330D">
              <w:t>“other children will bully him.”</w:t>
            </w:r>
            <w:r w:rsidR="0078330D">
              <w:br/>
            </w:r>
            <w:r>
              <w:t>Other children will make him cry.</w:t>
            </w:r>
            <w:r>
              <w:br/>
              <w:t>My friend says to my mother, “Don’t worry, the teachers will help him.”</w:t>
            </w:r>
          </w:p>
          <w:p w14:paraId="124AFEEB" w14:textId="77777777" w:rsidR="007E04A6" w:rsidRPr="006A593C" w:rsidRDefault="007E04A6" w:rsidP="00ED0631">
            <w:pPr>
              <w:pStyle w:val="BodyCopy"/>
              <w:spacing w:before="80" w:after="80" w:line="235" w:lineRule="auto"/>
            </w:pPr>
            <w:r>
              <w:t>Now I am in school</w:t>
            </w:r>
            <w:r>
              <w:br/>
              <w:t xml:space="preserve">I am happy and I am learning </w:t>
            </w:r>
            <w:r>
              <w:br/>
              <w:t>I will stay at school until I finish every year, and learn what I need to live a good life.</w:t>
            </w:r>
          </w:p>
        </w:tc>
      </w:tr>
      <w:tr w:rsidR="007E04A6" w14:paraId="6F0B4621" w14:textId="77777777" w:rsidTr="00ED0631">
        <w:tc>
          <w:tcPr>
            <w:tcW w:w="9072" w:type="dxa"/>
            <w:shd w:val="clear" w:color="auto" w:fill="FFFFFF" w:themeFill="background1"/>
          </w:tcPr>
          <w:p w14:paraId="5559BF43" w14:textId="77777777" w:rsidR="007E04A6" w:rsidRPr="003603B6" w:rsidRDefault="007E04A6" w:rsidP="00ED0631">
            <w:pPr>
              <w:pStyle w:val="BodyCopy"/>
              <w:spacing w:before="80" w:after="80"/>
              <w:rPr>
                <w:b/>
              </w:rPr>
            </w:pPr>
          </w:p>
        </w:tc>
      </w:tr>
      <w:tr w:rsidR="007E04A6" w14:paraId="58F90ED9" w14:textId="77777777" w:rsidTr="00ED0631">
        <w:tblPrEx>
          <w:shd w:val="clear" w:color="auto" w:fill="D9D9D9" w:themeFill="background1" w:themeFillShade="D9"/>
        </w:tblPrEx>
        <w:tc>
          <w:tcPr>
            <w:tcW w:w="9072" w:type="dxa"/>
            <w:shd w:val="clear" w:color="auto" w:fill="D9D9D9" w:themeFill="background1" w:themeFillShade="D9"/>
          </w:tcPr>
          <w:p w14:paraId="1E8E4332" w14:textId="77777777" w:rsidR="007E04A6" w:rsidRPr="008171EC" w:rsidRDefault="007E04A6" w:rsidP="00ED0631">
            <w:pPr>
              <w:pStyle w:val="BodyCopy"/>
              <w:spacing w:line="235" w:lineRule="auto"/>
              <w:rPr>
                <w:rFonts w:eastAsia="Times New Roman"/>
                <w:b/>
                <w:spacing w:val="-2"/>
              </w:rPr>
            </w:pPr>
            <w:r w:rsidRPr="008171EC">
              <w:rPr>
                <w:b/>
                <w:spacing w:val="-2"/>
              </w:rPr>
              <w:t>Gender awareness and analysis workshops</w:t>
            </w:r>
          </w:p>
          <w:p w14:paraId="52B49B85" w14:textId="77777777" w:rsidR="007E04A6" w:rsidRPr="008171EC" w:rsidRDefault="007E04A6" w:rsidP="00ED0631">
            <w:pPr>
              <w:pStyle w:val="BodyCopy"/>
              <w:spacing w:before="100" w:after="100" w:line="235" w:lineRule="auto"/>
              <w:rPr>
                <w:spacing w:val="-2"/>
              </w:rPr>
            </w:pPr>
            <w:r w:rsidRPr="008171EC">
              <w:rPr>
                <w:spacing w:val="-2"/>
              </w:rPr>
              <w:t xml:space="preserve">A number of professional development workshops on gender awareness and analysis have been designed and delivered to KEF and MoE staff. These workshops were very well attended by both female and male staff. The gender analysis exercises which required participants to apply gender analysis concepts and tools to education and school related case studies generated the most engaging discussions and debate on a number of key gender and education issues. </w:t>
            </w:r>
          </w:p>
          <w:p w14:paraId="75BF2CA8" w14:textId="77777777" w:rsidR="007E04A6" w:rsidRPr="008171EC" w:rsidRDefault="007E04A6" w:rsidP="00ED0631">
            <w:pPr>
              <w:pStyle w:val="BodyCopy"/>
              <w:spacing w:before="100" w:after="100" w:line="235" w:lineRule="auto"/>
              <w:rPr>
                <w:spacing w:val="-2"/>
              </w:rPr>
            </w:pPr>
            <w:r w:rsidRPr="008171EC">
              <w:rPr>
                <w:spacing w:val="-2"/>
              </w:rPr>
              <w:t>It is noteworthy, one workshop inspired one male MoE participant to enrol in post graduate level gender studies:</w:t>
            </w:r>
          </w:p>
          <w:p w14:paraId="42212616" w14:textId="77777777" w:rsidR="007E04A6" w:rsidRPr="008171EC" w:rsidRDefault="007E04A6" w:rsidP="00ED0631">
            <w:pPr>
              <w:pStyle w:val="BodyCopy"/>
              <w:spacing w:before="100" w:after="100" w:line="235" w:lineRule="auto"/>
              <w:rPr>
                <w:spacing w:val="-2"/>
              </w:rPr>
            </w:pPr>
            <w:r w:rsidRPr="008171EC">
              <w:rPr>
                <w:i/>
                <w:iCs/>
                <w:spacing w:val="-2"/>
              </w:rPr>
              <w:t>The Gender Analysis workshop gives me insights. Now I have enrolled for Postgraduate Certificate in Gender Studies at the University of the South Pacific, I will be the first person to study in this field.</w:t>
            </w:r>
            <w:r w:rsidRPr="008171EC">
              <w:rPr>
                <w:spacing w:val="-2"/>
              </w:rPr>
              <w:t xml:space="preserve"> (male participant in post workshop email to Gender and Social Inclusion Mentor)</w:t>
            </w:r>
          </w:p>
          <w:p w14:paraId="0CBEF9FB" w14:textId="77777777" w:rsidR="007E04A6" w:rsidRPr="008171EC" w:rsidRDefault="007E04A6" w:rsidP="00ED0631">
            <w:pPr>
              <w:pStyle w:val="BodyCopy"/>
              <w:spacing w:before="100" w:after="100" w:line="235" w:lineRule="auto"/>
              <w:rPr>
                <w:spacing w:val="-2"/>
              </w:rPr>
            </w:pPr>
            <w:r w:rsidRPr="008171EC">
              <w:rPr>
                <w:spacing w:val="-2"/>
              </w:rPr>
              <w:t>In addition one of the gender analysis tools introduced at a workshop has since been taken up as a pilot analysis tool by the newly established MoE Eliminating Violence Against Women in Education Committee (EVAWE) which will be peer reviewing some of the recently developed education materials for their gender sensitivity. Feedback from participants after the first pilot testing session was very positive:</w:t>
            </w:r>
          </w:p>
          <w:p w14:paraId="1588B973" w14:textId="77777777" w:rsidR="007E04A6" w:rsidRPr="008171EC" w:rsidRDefault="007E04A6" w:rsidP="00ED0631">
            <w:pPr>
              <w:pStyle w:val="BodyCopy"/>
              <w:spacing w:before="100" w:after="100" w:line="235" w:lineRule="auto"/>
              <w:rPr>
                <w:spacing w:val="-2"/>
              </w:rPr>
            </w:pPr>
            <w:r w:rsidRPr="008171EC">
              <w:rPr>
                <w:i/>
                <w:iCs/>
                <w:spacing w:val="-2"/>
              </w:rPr>
              <w:t xml:space="preserve">It was a great discussion and sharing on the terminologies –‘gender, sex, gender blind, gender neutral and gender sensitive. Positive contributions were shared on how the concepts are/were used in traditional practices. Everyone found the session useful and interesting and looking forward to a practical part where we are going to look at Year 4 materials </w:t>
            </w:r>
            <w:r w:rsidRPr="008171EC">
              <w:rPr>
                <w:spacing w:val="-2"/>
              </w:rPr>
              <w:t>(female participant).</w:t>
            </w:r>
          </w:p>
          <w:p w14:paraId="393F2B26" w14:textId="77777777" w:rsidR="007E04A6" w:rsidRPr="008171EC" w:rsidRDefault="007E04A6" w:rsidP="00ED0631">
            <w:pPr>
              <w:pStyle w:val="BodyCopy"/>
              <w:spacing w:before="100" w:after="100" w:line="235" w:lineRule="auto"/>
              <w:rPr>
                <w:spacing w:val="-2"/>
              </w:rPr>
            </w:pPr>
            <w:r w:rsidRPr="008171EC">
              <w:rPr>
                <w:i/>
                <w:iCs/>
                <w:spacing w:val="-2"/>
              </w:rPr>
              <w:lastRenderedPageBreak/>
              <w:t xml:space="preserve">Yesterday's session went really well! People were so much more engaged and interested in having discussions about gender than I expected them to be. I wasn't quite sure what the plan was going to be, or what experience the group had with gender training in the past, so we just started with some general gender vs sex discussions and how we see gender roles in the family and community here, identifying the advantages/disadvantages experienced by women/men boys/girls in Kiribati </w:t>
            </w:r>
            <w:r w:rsidRPr="008171EC">
              <w:rPr>
                <w:spacing w:val="-2"/>
              </w:rPr>
              <w:t>(female participant).</w:t>
            </w:r>
          </w:p>
          <w:p w14:paraId="47671763" w14:textId="77777777" w:rsidR="007E04A6" w:rsidRDefault="007E04A6" w:rsidP="00ED0631">
            <w:pPr>
              <w:pStyle w:val="BodyCopy"/>
              <w:spacing w:before="100" w:after="100" w:line="235" w:lineRule="auto"/>
            </w:pPr>
            <w:r w:rsidRPr="008171EC">
              <w:rPr>
                <w:spacing w:val="-2"/>
              </w:rPr>
              <w:t>To date the facilitation of the gender awareness and analysis workshops has been led by the KEF Gender and Social Inclusion Mentor (International) with support from the KEF Gender and Social Inclusion Coordinator (local). Over time, as capacity is built, the workshops will be led by the KEF Gender and Social Inclusion Coordinator (local) with support from MoE staff member/s until they have the knowledge and skills to take up the lead facilitation role.</w:t>
            </w:r>
          </w:p>
        </w:tc>
      </w:tr>
    </w:tbl>
    <w:p w14:paraId="65BB8B86" w14:textId="77777777" w:rsidR="007E04A6" w:rsidRPr="00BE399B" w:rsidRDefault="007E04A6" w:rsidP="00AE24CE">
      <w:pPr>
        <w:pStyle w:val="Heading1"/>
        <w:numPr>
          <w:ilvl w:val="0"/>
          <w:numId w:val="39"/>
        </w:numPr>
        <w:spacing w:before="240" w:after="240" w:line="240" w:lineRule="atLeast"/>
        <w:ind w:left="709" w:hanging="709"/>
      </w:pPr>
      <w:bookmarkStart w:id="101" w:name="_Toc445803581"/>
      <w:bookmarkStart w:id="102" w:name="_Toc461615728"/>
      <w:r w:rsidRPr="001E36D8">
        <w:lastRenderedPageBreak/>
        <w:t>Gender, Disability a</w:t>
      </w:r>
      <w:r>
        <w:t>nd Social Inclusion Lessons Learned</w:t>
      </w:r>
      <w:r w:rsidRPr="001E36D8">
        <w:t xml:space="preserve"> </w:t>
      </w:r>
      <w:r>
        <w:t>KEIP - Phase I and Phase II</w:t>
      </w:r>
      <w:bookmarkEnd w:id="101"/>
      <w:bookmarkEnd w:id="102"/>
    </w:p>
    <w:p w14:paraId="66E474B6" w14:textId="77777777" w:rsidR="007E04A6" w:rsidRDefault="007E04A6" w:rsidP="00ED0631">
      <w:pPr>
        <w:pStyle w:val="BodyCopy"/>
        <w:rPr>
          <w:b/>
        </w:rPr>
      </w:pPr>
      <w:r>
        <w:rPr>
          <w:b/>
        </w:rPr>
        <w:t>Supportive DFAT policy and policy implementation context improves gender and disability interest and commitment levels</w:t>
      </w:r>
    </w:p>
    <w:p w14:paraId="655E4C92" w14:textId="77777777" w:rsidR="007E04A6" w:rsidRPr="00D23ABA" w:rsidRDefault="007E04A6" w:rsidP="00ED0631">
      <w:pPr>
        <w:pStyle w:val="ListBullet"/>
        <w:numPr>
          <w:ilvl w:val="0"/>
          <w:numId w:val="0"/>
        </w:numPr>
        <w:ind w:left="34"/>
      </w:pPr>
      <w:r>
        <w:t>The aid</w:t>
      </w:r>
      <w:r w:rsidRPr="004175F1">
        <w:t xml:space="preserve"> program’s increasing leadership, particularly over the past </w:t>
      </w:r>
      <w:r>
        <w:t>two</w:t>
      </w:r>
      <w:r w:rsidRPr="004175F1">
        <w:t xml:space="preserve"> years, to promote the needs of women and girls and people with disability</w:t>
      </w:r>
      <w:r>
        <w:t xml:space="preserve"> has </w:t>
      </w:r>
      <w:r w:rsidRPr="004175F1">
        <w:t xml:space="preserve">provided KEIP with the necessary policy and policy implementation context to better support the </w:t>
      </w:r>
      <w:r>
        <w:t>institutionalis</w:t>
      </w:r>
      <w:r w:rsidRPr="004175F1">
        <w:t xml:space="preserve">ation of gender equality and disability inclusion in the KEIP program. Steps taken by DFAT include the delivery of gender and disability training for their staff; an increase in the number of gender and disability advisers working full time within DFAT Canberra at levels that can have institutional influence; the appointment of DFAT regional gender </w:t>
      </w:r>
      <w:r>
        <w:t xml:space="preserve">and disability </w:t>
      </w:r>
      <w:r w:rsidRPr="004175F1">
        <w:t>advisers; conducting gender and disability reviews; proactive gender and disability foc</w:t>
      </w:r>
      <w:r>
        <w:t>al points at DFAT p</w:t>
      </w:r>
      <w:r w:rsidRPr="004175F1">
        <w:t>ost</w:t>
      </w:r>
      <w:r>
        <w:t xml:space="preserve"> in Kiribati</w:t>
      </w:r>
      <w:r w:rsidRPr="004175F1">
        <w:t xml:space="preserve">; inclusion of a new </w:t>
      </w:r>
      <w:r>
        <w:t xml:space="preserve">specific </w:t>
      </w:r>
      <w:r w:rsidRPr="004175F1">
        <w:t>reporting requirements</w:t>
      </w:r>
      <w:r>
        <w:t>; the inclusion of gender equality and empowering women and girls as</w:t>
      </w:r>
      <w:r w:rsidRPr="0056429E">
        <w:t xml:space="preserve"> 1 of o</w:t>
      </w:r>
      <w:r>
        <w:t xml:space="preserve">nly 6 investment priorities; the </w:t>
      </w:r>
      <w:r w:rsidRPr="004175F1">
        <w:t>80% gender target for effective gender mainstreaming</w:t>
      </w:r>
      <w:r>
        <w:t xml:space="preserve">; and increased funding to gender equality and women’s empowerment through initiatives such as </w:t>
      </w:r>
      <w:r w:rsidRPr="007C0C19">
        <w:rPr>
          <w:i/>
        </w:rPr>
        <w:t>Pacific Women Shaping Pacific Development</w:t>
      </w:r>
      <w:r w:rsidRPr="004175F1">
        <w:t xml:space="preserve">. </w:t>
      </w:r>
      <w:r>
        <w:t xml:space="preserve">Key KEF staff including the Gender, Disability and Social Inclusion Mentor (International) and the Gender Equality and Social Inclusion Coordinator (National) attribute the abovementioned steps to a noticeable improvement in the gender and disability interest levels amongst KEF mainstream advisors and local partners. </w:t>
      </w:r>
    </w:p>
    <w:p w14:paraId="6DAC70CD" w14:textId="77777777" w:rsidR="007E04A6" w:rsidRDefault="007E04A6" w:rsidP="00ED0631">
      <w:pPr>
        <w:pStyle w:val="BodyCopy"/>
        <w:spacing w:before="120" w:after="120"/>
        <w:rPr>
          <w:b/>
        </w:rPr>
      </w:pPr>
      <w:r>
        <w:rPr>
          <w:b/>
        </w:rPr>
        <w:t xml:space="preserve">Investing in the resourcing </w:t>
      </w:r>
      <w:r w:rsidRPr="007C0C19">
        <w:rPr>
          <w:b/>
        </w:rPr>
        <w:t xml:space="preserve">of a </w:t>
      </w:r>
      <w:r w:rsidRPr="007C0C19">
        <w:rPr>
          <w:b/>
          <w:spacing w:val="-4"/>
          <w:lang w:val="en-AU"/>
        </w:rPr>
        <w:t xml:space="preserve">Gender, Disability and Social Inclusion </w:t>
      </w:r>
      <w:r w:rsidRPr="007C0C19">
        <w:rPr>
          <w:b/>
        </w:rPr>
        <w:t xml:space="preserve">Mentor (International) and </w:t>
      </w:r>
      <w:r w:rsidRPr="007C0C19">
        <w:rPr>
          <w:b/>
          <w:spacing w:val="-4"/>
        </w:rPr>
        <w:t>Gender Equality and Social Inclusion Coordinator</w:t>
      </w:r>
      <w:r w:rsidRPr="007C0C19">
        <w:rPr>
          <w:b/>
        </w:rPr>
        <w:t xml:space="preserve"> (National</w:t>
      </w:r>
      <w:r>
        <w:rPr>
          <w:b/>
        </w:rPr>
        <w:t>) supports gender equality and disability inclusion efforts and mainstreaming achievements</w:t>
      </w:r>
    </w:p>
    <w:p w14:paraId="0B705AAB" w14:textId="77777777" w:rsidR="007E04A6" w:rsidRDefault="007E04A6" w:rsidP="00ED0631">
      <w:pPr>
        <w:pStyle w:val="BodyCopy"/>
        <w:spacing w:before="140" w:after="140"/>
        <w:ind w:right="-187"/>
        <w:rPr>
          <w:spacing w:val="-4"/>
          <w:lang w:val="en-AU"/>
        </w:rPr>
      </w:pPr>
      <w:r>
        <w:rPr>
          <w:spacing w:val="-4"/>
          <w:lang w:val="en-AU"/>
        </w:rPr>
        <w:t xml:space="preserve">A </w:t>
      </w:r>
      <w:r w:rsidRPr="00F13E6E">
        <w:rPr>
          <w:spacing w:val="-4"/>
          <w:lang w:val="en-AU"/>
        </w:rPr>
        <w:t>Gender</w:t>
      </w:r>
      <w:r>
        <w:rPr>
          <w:spacing w:val="-4"/>
          <w:lang w:val="en-AU"/>
        </w:rPr>
        <w:t>, Disability</w:t>
      </w:r>
      <w:r w:rsidRPr="00F13E6E">
        <w:rPr>
          <w:spacing w:val="-4"/>
          <w:lang w:val="en-AU"/>
        </w:rPr>
        <w:t xml:space="preserve"> and Social Inclusion Mentor (International), based at Coffey </w:t>
      </w:r>
      <w:r>
        <w:rPr>
          <w:spacing w:val="-4"/>
          <w:lang w:val="en-AU"/>
        </w:rPr>
        <w:t>in Adelaide,</w:t>
      </w:r>
      <w:r w:rsidRPr="00F13E6E">
        <w:rPr>
          <w:spacing w:val="-4"/>
          <w:lang w:val="en-AU"/>
        </w:rPr>
        <w:t xml:space="preserve"> provide</w:t>
      </w:r>
      <w:r>
        <w:rPr>
          <w:spacing w:val="-4"/>
          <w:lang w:val="en-AU"/>
        </w:rPr>
        <w:t>d</w:t>
      </w:r>
      <w:r w:rsidRPr="00F13E6E">
        <w:rPr>
          <w:spacing w:val="-4"/>
          <w:lang w:val="en-AU"/>
        </w:rPr>
        <w:t xml:space="preserve"> </w:t>
      </w:r>
      <w:r>
        <w:rPr>
          <w:spacing w:val="-4"/>
          <w:lang w:val="en-AU"/>
        </w:rPr>
        <w:t xml:space="preserve">ongoing distance </w:t>
      </w:r>
      <w:r w:rsidRPr="00F13E6E">
        <w:rPr>
          <w:spacing w:val="-4"/>
          <w:lang w:val="en-AU"/>
        </w:rPr>
        <w:t>mentoring support to stakeholders, staff and advisors on gender, disability and social inclusion issues.</w:t>
      </w:r>
      <w:r>
        <w:rPr>
          <w:spacing w:val="-4"/>
          <w:lang w:val="en-AU"/>
        </w:rPr>
        <w:t xml:space="preserve"> </w:t>
      </w:r>
      <w:r w:rsidRPr="00F13E6E">
        <w:rPr>
          <w:spacing w:val="-4"/>
        </w:rPr>
        <w:t>The G</w:t>
      </w:r>
      <w:r>
        <w:rPr>
          <w:spacing w:val="-4"/>
        </w:rPr>
        <w:t xml:space="preserve">D&amp;SI Mentor (International) also made short in-country </w:t>
      </w:r>
      <w:r w:rsidRPr="00F13E6E">
        <w:rPr>
          <w:spacing w:val="-4"/>
        </w:rPr>
        <w:t>visit</w:t>
      </w:r>
      <w:r>
        <w:rPr>
          <w:spacing w:val="-4"/>
        </w:rPr>
        <w:t>s</w:t>
      </w:r>
      <w:r w:rsidRPr="00F13E6E">
        <w:rPr>
          <w:spacing w:val="-4"/>
        </w:rPr>
        <w:t xml:space="preserve"> Kiribati to support </w:t>
      </w:r>
      <w:r>
        <w:rPr>
          <w:spacing w:val="-4"/>
        </w:rPr>
        <w:t xml:space="preserve">work as needed. The investment in this specialist role (averaging out to just under </w:t>
      </w:r>
      <w:r w:rsidRPr="00D2368C">
        <w:rPr>
          <w:spacing w:val="-4"/>
        </w:rPr>
        <w:t>40 d</w:t>
      </w:r>
      <w:r>
        <w:rPr>
          <w:spacing w:val="-4"/>
        </w:rPr>
        <w:t xml:space="preserve">ays per year) ensured that </w:t>
      </w:r>
      <w:r>
        <w:rPr>
          <w:rFonts w:cs="Arial"/>
          <w:spacing w:val="-4"/>
        </w:rPr>
        <w:t xml:space="preserve">inclusiveness was on the agenda from inception and that efforts to improve were supported. A review at the end of Phase I determined that gender and disability efforts and achievements would be further enhanced through the engagement of </w:t>
      </w:r>
      <w:r>
        <w:rPr>
          <w:spacing w:val="-4"/>
        </w:rPr>
        <w:t xml:space="preserve">a full-time </w:t>
      </w:r>
      <w:r w:rsidRPr="00F13E6E">
        <w:rPr>
          <w:spacing w:val="-4"/>
        </w:rPr>
        <w:t xml:space="preserve">Gender </w:t>
      </w:r>
      <w:r>
        <w:rPr>
          <w:spacing w:val="-4"/>
        </w:rPr>
        <w:t xml:space="preserve">Equality </w:t>
      </w:r>
      <w:r w:rsidRPr="00F13E6E">
        <w:rPr>
          <w:spacing w:val="-4"/>
        </w:rPr>
        <w:t>and Social Incl</w:t>
      </w:r>
      <w:r>
        <w:rPr>
          <w:spacing w:val="-4"/>
        </w:rPr>
        <w:t xml:space="preserve">usion Coordinator (National). The GESI Coordinator </w:t>
      </w:r>
      <w:r>
        <w:rPr>
          <w:spacing w:val="-4"/>
          <w:lang w:val="en-AU"/>
        </w:rPr>
        <w:t xml:space="preserve">was subsequently approved and mostly worked within </w:t>
      </w:r>
      <w:r w:rsidRPr="00F13E6E">
        <w:rPr>
          <w:spacing w:val="-4"/>
          <w:lang w:val="en-AU"/>
        </w:rPr>
        <w:t xml:space="preserve">the Ministry </w:t>
      </w:r>
      <w:r>
        <w:rPr>
          <w:spacing w:val="-4"/>
          <w:lang w:val="en-AU"/>
        </w:rPr>
        <w:t>of Education alongside MoE staff but was also available to work with advisors and stakeholders by providing them with</w:t>
      </w:r>
      <w:r w:rsidRPr="00F13E6E">
        <w:rPr>
          <w:spacing w:val="-4"/>
          <w:lang w:val="en-AU"/>
        </w:rPr>
        <w:t xml:space="preserve"> advice and assistance to support their gender, disability and social inclu</w:t>
      </w:r>
      <w:r>
        <w:rPr>
          <w:spacing w:val="-4"/>
          <w:lang w:val="en-AU"/>
        </w:rPr>
        <w:t xml:space="preserve">sion work. </w:t>
      </w:r>
    </w:p>
    <w:p w14:paraId="7052FEB3" w14:textId="77777777" w:rsidR="007E04A6" w:rsidRPr="0054674C" w:rsidRDefault="007E04A6" w:rsidP="00ED0631">
      <w:pPr>
        <w:pStyle w:val="BodyCopy"/>
        <w:spacing w:before="140" w:after="140"/>
        <w:ind w:right="-187"/>
        <w:rPr>
          <w:spacing w:val="-4"/>
        </w:rPr>
      </w:pPr>
      <w:r>
        <w:rPr>
          <w:spacing w:val="-4"/>
        </w:rPr>
        <w:t xml:space="preserve">Having this small gender and disability core team in place ensured </w:t>
      </w:r>
      <w:r w:rsidRPr="005741E2">
        <w:rPr>
          <w:rFonts w:cs="Arial"/>
        </w:rPr>
        <w:t xml:space="preserve">that gender </w:t>
      </w:r>
      <w:r>
        <w:rPr>
          <w:rFonts w:cs="Arial"/>
        </w:rPr>
        <w:t xml:space="preserve">and disability </w:t>
      </w:r>
      <w:r w:rsidRPr="005741E2">
        <w:rPr>
          <w:rFonts w:cs="Arial"/>
        </w:rPr>
        <w:t xml:space="preserve">capacity building </w:t>
      </w:r>
      <w:r>
        <w:rPr>
          <w:rFonts w:cs="Arial"/>
        </w:rPr>
        <w:t xml:space="preserve">could be undertaken </w:t>
      </w:r>
      <w:r w:rsidRPr="005741E2">
        <w:rPr>
          <w:rFonts w:cs="Arial"/>
        </w:rPr>
        <w:t xml:space="preserve">and </w:t>
      </w:r>
      <w:r>
        <w:rPr>
          <w:rFonts w:cs="Arial"/>
        </w:rPr>
        <w:t xml:space="preserve">that </w:t>
      </w:r>
      <w:r w:rsidRPr="005741E2">
        <w:rPr>
          <w:rFonts w:cs="Arial"/>
        </w:rPr>
        <w:t xml:space="preserve">gender </w:t>
      </w:r>
      <w:r>
        <w:rPr>
          <w:rFonts w:cs="Arial"/>
        </w:rPr>
        <w:t>and disability support and advocacy was provided to</w:t>
      </w:r>
      <w:r w:rsidRPr="005741E2">
        <w:rPr>
          <w:rFonts w:cs="Arial"/>
        </w:rPr>
        <w:t xml:space="preserve"> enhance the </w:t>
      </w:r>
      <w:r>
        <w:rPr>
          <w:rFonts w:cs="Arial"/>
        </w:rPr>
        <w:t xml:space="preserve">mainstream </w:t>
      </w:r>
      <w:r w:rsidRPr="005741E2">
        <w:rPr>
          <w:rFonts w:cs="Arial"/>
        </w:rPr>
        <w:t xml:space="preserve">implementing team and </w:t>
      </w:r>
      <w:r>
        <w:rPr>
          <w:rFonts w:cs="Arial"/>
        </w:rPr>
        <w:t>partners</w:t>
      </w:r>
      <w:r w:rsidRPr="005741E2">
        <w:rPr>
          <w:rFonts w:cs="Arial"/>
        </w:rPr>
        <w:t xml:space="preserve">’ shared understanding of the importance and relevance of </w:t>
      </w:r>
      <w:r>
        <w:rPr>
          <w:rFonts w:cs="Arial"/>
        </w:rPr>
        <w:t>gender equality and disability inclusion to the program.</w:t>
      </w:r>
    </w:p>
    <w:p w14:paraId="3B021C27" w14:textId="77777777" w:rsidR="007E04A6" w:rsidRPr="00470B14" w:rsidRDefault="007E04A6" w:rsidP="00ED0631">
      <w:pPr>
        <w:pStyle w:val="BodyCopy"/>
        <w:spacing w:before="120" w:after="120"/>
        <w:rPr>
          <w:rFonts w:cs="Arial"/>
          <w:b/>
        </w:rPr>
      </w:pPr>
      <w:r w:rsidRPr="00470B14">
        <w:rPr>
          <w:rFonts w:cs="Arial"/>
          <w:b/>
        </w:rPr>
        <w:t xml:space="preserve">Foundational </w:t>
      </w:r>
      <w:r>
        <w:rPr>
          <w:rFonts w:cs="Arial"/>
          <w:b/>
        </w:rPr>
        <w:t xml:space="preserve">level </w:t>
      </w:r>
      <w:r w:rsidRPr="00470B14">
        <w:rPr>
          <w:rFonts w:cs="Arial"/>
          <w:b/>
        </w:rPr>
        <w:t xml:space="preserve">capacity development to promote gender and disability awareness needs to be regular and on-going </w:t>
      </w:r>
    </w:p>
    <w:p w14:paraId="5AFED936" w14:textId="77777777" w:rsidR="007E04A6" w:rsidRDefault="007E04A6" w:rsidP="00ED0631">
      <w:pPr>
        <w:pStyle w:val="BodyCopy"/>
        <w:spacing w:before="140" w:after="140"/>
        <w:rPr>
          <w:rFonts w:cs="Arial"/>
          <w:spacing w:val="-4"/>
        </w:rPr>
      </w:pPr>
      <w:r w:rsidRPr="00470B14">
        <w:rPr>
          <w:rFonts w:cs="Arial"/>
          <w:spacing w:val="-4"/>
        </w:rPr>
        <w:t>Despite improvements in the gender and disability awareness of MoE staff</w:t>
      </w:r>
      <w:r>
        <w:rPr>
          <w:rFonts w:cs="Arial"/>
          <w:spacing w:val="-4"/>
        </w:rPr>
        <w:t>,</w:t>
      </w:r>
      <w:r w:rsidRPr="00470B14">
        <w:rPr>
          <w:rFonts w:cs="Arial"/>
          <w:spacing w:val="-4"/>
        </w:rPr>
        <w:t xml:space="preserve"> including KTC lecture</w:t>
      </w:r>
      <w:r>
        <w:rPr>
          <w:rFonts w:cs="Arial"/>
          <w:spacing w:val="-4"/>
        </w:rPr>
        <w:t>rs and curriculum writers at CDR</w:t>
      </w:r>
      <w:r w:rsidRPr="00470B14">
        <w:rPr>
          <w:rFonts w:cs="Arial"/>
          <w:spacing w:val="-4"/>
        </w:rPr>
        <w:t>C</w:t>
      </w:r>
      <w:r>
        <w:rPr>
          <w:rFonts w:cs="Arial"/>
          <w:spacing w:val="-4"/>
        </w:rPr>
        <w:t>,</w:t>
      </w:r>
      <w:r w:rsidRPr="00470B14">
        <w:rPr>
          <w:rFonts w:cs="Arial"/>
          <w:spacing w:val="-4"/>
        </w:rPr>
        <w:t xml:space="preserve"> regular and on</w:t>
      </w:r>
      <w:r>
        <w:rPr>
          <w:rFonts w:cs="Arial"/>
          <w:spacing w:val="-4"/>
        </w:rPr>
        <w:t>-</w:t>
      </w:r>
      <w:r w:rsidRPr="00470B14">
        <w:rPr>
          <w:rFonts w:cs="Arial"/>
          <w:spacing w:val="-4"/>
        </w:rPr>
        <w:t>going foundatio</w:t>
      </w:r>
      <w:r>
        <w:rPr>
          <w:rFonts w:cs="Arial"/>
          <w:spacing w:val="-4"/>
        </w:rPr>
        <w:t>nal capacity development in these</w:t>
      </w:r>
      <w:r w:rsidRPr="00470B14">
        <w:rPr>
          <w:rFonts w:cs="Arial"/>
          <w:spacing w:val="-4"/>
        </w:rPr>
        <w:t xml:space="preserve"> area</w:t>
      </w:r>
      <w:r>
        <w:rPr>
          <w:rFonts w:cs="Arial"/>
          <w:spacing w:val="-4"/>
        </w:rPr>
        <w:t>s</w:t>
      </w:r>
      <w:r w:rsidRPr="00470B14">
        <w:rPr>
          <w:rFonts w:cs="Arial"/>
          <w:spacing w:val="-4"/>
        </w:rPr>
        <w:t xml:space="preserve"> is essential. To ensure that key staff move from gender b</w:t>
      </w:r>
      <w:r>
        <w:rPr>
          <w:rFonts w:cs="Arial"/>
          <w:spacing w:val="-4"/>
        </w:rPr>
        <w:t xml:space="preserve">lind or gender neutral </w:t>
      </w:r>
      <w:r w:rsidRPr="00470B14">
        <w:rPr>
          <w:rFonts w:cs="Arial"/>
          <w:spacing w:val="-4"/>
        </w:rPr>
        <w:t>to gender sensitive</w:t>
      </w:r>
      <w:r>
        <w:rPr>
          <w:rFonts w:cs="Arial"/>
          <w:spacing w:val="-4"/>
        </w:rPr>
        <w:t xml:space="preserve"> practice</w:t>
      </w:r>
      <w:r w:rsidRPr="00470B14">
        <w:rPr>
          <w:rFonts w:cs="Arial"/>
          <w:spacing w:val="-4"/>
        </w:rPr>
        <w:t>, and from disability invisible to disability inclusive practice, requires substantial on</w:t>
      </w:r>
      <w:r>
        <w:rPr>
          <w:rFonts w:cs="Arial"/>
          <w:spacing w:val="-4"/>
        </w:rPr>
        <w:t>-</w:t>
      </w:r>
      <w:r w:rsidRPr="00470B14">
        <w:rPr>
          <w:rFonts w:cs="Arial"/>
          <w:spacing w:val="-4"/>
        </w:rPr>
        <w:t xml:space="preserve">going awareness, knowledge and skills development amongst both male and female staff. This capacity development process, as expected, is </w:t>
      </w:r>
      <w:r w:rsidRPr="00470B14">
        <w:rPr>
          <w:rFonts w:cs="Arial"/>
          <w:spacing w:val="-4"/>
        </w:rPr>
        <w:lastRenderedPageBreak/>
        <w:t>very challenging because it requires change at the attit</w:t>
      </w:r>
      <w:r>
        <w:rPr>
          <w:rFonts w:cs="Arial"/>
          <w:spacing w:val="-4"/>
        </w:rPr>
        <w:t xml:space="preserve">ude, belief and value levels and includes the need to challenge overt and covert resistance and patterns </w:t>
      </w:r>
      <w:r w:rsidRPr="00470B14">
        <w:rPr>
          <w:rFonts w:cs="Arial"/>
          <w:spacing w:val="-4"/>
        </w:rPr>
        <w:t xml:space="preserve">of thinking that are counter to equality behavioural change. </w:t>
      </w:r>
    </w:p>
    <w:p w14:paraId="7DDFCCAC" w14:textId="77777777" w:rsidR="007E04A6" w:rsidRPr="007A1195" w:rsidRDefault="007E04A6" w:rsidP="00ED0631">
      <w:pPr>
        <w:pStyle w:val="BodyCopy"/>
        <w:spacing w:before="140" w:after="140"/>
        <w:rPr>
          <w:rFonts w:cs="Arial"/>
          <w:spacing w:val="-4"/>
        </w:rPr>
      </w:pPr>
      <w:r w:rsidRPr="00470B14">
        <w:rPr>
          <w:rFonts w:cs="Arial"/>
          <w:spacing w:val="-4"/>
        </w:rPr>
        <w:t xml:space="preserve">Quite high levels of staff turnover </w:t>
      </w:r>
      <w:r>
        <w:rPr>
          <w:rFonts w:cs="Arial"/>
          <w:spacing w:val="-4"/>
        </w:rPr>
        <w:t>in key areas and amongst some key stakeholder groups as well as</w:t>
      </w:r>
      <w:r w:rsidRPr="00470B14">
        <w:rPr>
          <w:rFonts w:cs="Arial"/>
          <w:spacing w:val="-4"/>
        </w:rPr>
        <w:t xml:space="preserve"> new leadership means that on</w:t>
      </w:r>
      <w:r>
        <w:rPr>
          <w:rFonts w:cs="Arial"/>
          <w:spacing w:val="-4"/>
        </w:rPr>
        <w:t>-</w:t>
      </w:r>
      <w:r w:rsidRPr="00470B14">
        <w:rPr>
          <w:rFonts w:cs="Arial"/>
          <w:spacing w:val="-4"/>
        </w:rPr>
        <w:t xml:space="preserve">going </w:t>
      </w:r>
      <w:r>
        <w:rPr>
          <w:rFonts w:cs="Arial"/>
          <w:spacing w:val="-4"/>
        </w:rPr>
        <w:t xml:space="preserve">foundational level </w:t>
      </w:r>
      <w:r w:rsidRPr="00470B14">
        <w:rPr>
          <w:rFonts w:cs="Arial"/>
          <w:spacing w:val="-4"/>
        </w:rPr>
        <w:t xml:space="preserve">training </w:t>
      </w:r>
      <w:r>
        <w:rPr>
          <w:rFonts w:cs="Arial"/>
          <w:spacing w:val="-4"/>
        </w:rPr>
        <w:t xml:space="preserve">workshops </w:t>
      </w:r>
      <w:r w:rsidRPr="00470B14">
        <w:rPr>
          <w:rFonts w:cs="Arial"/>
          <w:spacing w:val="-4"/>
        </w:rPr>
        <w:t>will be very important to ensure that the improvements and achievements are sustained.</w:t>
      </w:r>
      <w:r>
        <w:rPr>
          <w:rFonts w:cs="Arial"/>
          <w:spacing w:val="-4"/>
        </w:rPr>
        <w:t xml:space="preserve"> These ongoing foundational level efforts need to be complemented by capacity development efforts that are more specialised and advanced for identified staff (including identified gender and disability “change agents” or “champions” and in identified emerging areas of need and/or where momentum within the MoE and partners is building (areas identified in the Investment Design Document for Phase III include: countering gender based violence; addressing boys engagement; helping girls’ economic empowerment; and disability inclusion in classrooms and schools).</w:t>
      </w:r>
    </w:p>
    <w:p w14:paraId="0DBBDD72" w14:textId="77777777" w:rsidR="007E04A6" w:rsidRPr="000F1B73" w:rsidRDefault="007E04A6" w:rsidP="00ED0631">
      <w:pPr>
        <w:pStyle w:val="BodyCopy"/>
        <w:spacing w:before="120" w:after="120"/>
        <w:rPr>
          <w:b/>
        </w:rPr>
      </w:pPr>
      <w:r>
        <w:rPr>
          <w:b/>
        </w:rPr>
        <w:t>Importance of GD&amp;SI Strategy and the mainstreaming of GD&amp;SI reporting and GD&amp;SI targets in annual planning</w:t>
      </w:r>
    </w:p>
    <w:p w14:paraId="7B2B14BC" w14:textId="77777777" w:rsidR="007E04A6" w:rsidRPr="00002670" w:rsidRDefault="007E04A6" w:rsidP="00ED0631">
      <w:pPr>
        <w:pStyle w:val="BodyCopy"/>
        <w:spacing w:before="140" w:after="140"/>
      </w:pPr>
      <w:r>
        <w:t xml:space="preserve">The GD&amp;SI Strategy was the key document used to </w:t>
      </w:r>
      <w:r w:rsidRPr="003603B6">
        <w:t xml:space="preserve">promote </w:t>
      </w:r>
      <w:r>
        <w:t xml:space="preserve">gender and disability </w:t>
      </w:r>
      <w:r w:rsidRPr="003603B6">
        <w:t>mainstreaming</w:t>
      </w:r>
      <w:r>
        <w:t>. During Phase II a</w:t>
      </w:r>
      <w:r w:rsidRPr="003603B6">
        <w:t xml:space="preserve"> number of the </w:t>
      </w:r>
      <w:r>
        <w:t>GD&amp;SI targets were also selected for integration</w:t>
      </w:r>
      <w:r w:rsidRPr="003603B6">
        <w:t xml:space="preserve"> into the mainstream pla</w:t>
      </w:r>
      <w:r>
        <w:t xml:space="preserve">nning and reporting process via </w:t>
      </w:r>
      <w:r w:rsidRPr="003603B6">
        <w:t xml:space="preserve">the </w:t>
      </w:r>
      <w:r>
        <w:t xml:space="preserve">KEF </w:t>
      </w:r>
      <w:r w:rsidRPr="003603B6">
        <w:t>Annual Work Pl</w:t>
      </w:r>
      <w:r>
        <w:t xml:space="preserve">an. This mainstreaming strategy was in addition to the requirement for all key activity areas to explicitly report on GD&amp;SI progress for </w:t>
      </w:r>
      <w:r w:rsidRPr="003603B6">
        <w:t>Quarterly</w:t>
      </w:r>
      <w:r>
        <w:t>/Six Monthly</w:t>
      </w:r>
      <w:r w:rsidRPr="003603B6">
        <w:t xml:space="preserve"> and Annual </w:t>
      </w:r>
      <w:r>
        <w:t>Reports</w:t>
      </w:r>
      <w:r w:rsidRPr="003603B6">
        <w:t>.</w:t>
      </w:r>
      <w:r>
        <w:t xml:space="preserve">  This strategy resulted in an improved level of explicit planning and reporting on gender equality and disability inclusion. Increasing the number of explicit GD&amp;SI targets in annual work plans has the potential to result in further gains and improvements.</w:t>
      </w:r>
    </w:p>
    <w:p w14:paraId="3EC76496" w14:textId="77777777" w:rsidR="007E04A6" w:rsidRDefault="007E04A6" w:rsidP="00ED0631">
      <w:pPr>
        <w:pStyle w:val="BodyCopy"/>
        <w:spacing w:before="120" w:after="120"/>
        <w:ind w:right="-187"/>
        <w:rPr>
          <w:b/>
          <w:spacing w:val="-4"/>
        </w:rPr>
      </w:pPr>
      <w:r>
        <w:rPr>
          <w:b/>
          <w:spacing w:val="-4"/>
        </w:rPr>
        <w:t>Importance of internal</w:t>
      </w:r>
      <w:r w:rsidRPr="00983962">
        <w:rPr>
          <w:b/>
          <w:spacing w:val="-4"/>
        </w:rPr>
        <w:t xml:space="preserve"> </w:t>
      </w:r>
      <w:r>
        <w:rPr>
          <w:b/>
          <w:spacing w:val="-4"/>
        </w:rPr>
        <w:t>GD&amp;SI mainstreaming s</w:t>
      </w:r>
      <w:r w:rsidRPr="00983962">
        <w:rPr>
          <w:b/>
          <w:spacing w:val="-4"/>
        </w:rPr>
        <w:t>trategies</w:t>
      </w:r>
    </w:p>
    <w:p w14:paraId="026AA4BD" w14:textId="77777777" w:rsidR="007E04A6" w:rsidRPr="00002670" w:rsidRDefault="007E04A6" w:rsidP="00ED0631">
      <w:pPr>
        <w:pStyle w:val="BodyCopy"/>
        <w:spacing w:before="140" w:after="140"/>
        <w:ind w:right="-187"/>
        <w:rPr>
          <w:b/>
          <w:spacing w:val="-4"/>
        </w:rPr>
      </w:pPr>
      <w:r>
        <w:rPr>
          <w:spacing w:val="-4"/>
        </w:rPr>
        <w:t>The requirement in the GD&amp;SI Strategy for KEF to implement internal GD&amp;SI mainstreaming strategies proved effective. Internal ge</w:t>
      </w:r>
      <w:r w:rsidRPr="00F13E6E">
        <w:rPr>
          <w:spacing w:val="-4"/>
        </w:rPr>
        <w:t xml:space="preserve">nder, disability and social inclusion </w:t>
      </w:r>
      <w:r>
        <w:rPr>
          <w:spacing w:val="-4"/>
        </w:rPr>
        <w:t xml:space="preserve">mainstreaming strategies implemented by KEF included a requirement for KEF advisors and all KEF staff to </w:t>
      </w:r>
      <w:r w:rsidRPr="00F13E6E">
        <w:rPr>
          <w:spacing w:val="-4"/>
        </w:rPr>
        <w:t>receive induction training on:</w:t>
      </w:r>
    </w:p>
    <w:p w14:paraId="503E9CC2" w14:textId="77777777" w:rsidR="007E04A6" w:rsidRPr="00F13E6E" w:rsidRDefault="007E04A6" w:rsidP="00AE24CE">
      <w:pPr>
        <w:pStyle w:val="ListBullet"/>
        <w:numPr>
          <w:ilvl w:val="0"/>
          <w:numId w:val="34"/>
        </w:numPr>
        <w:spacing w:before="80" w:after="80"/>
        <w:ind w:left="284" w:hanging="284"/>
      </w:pPr>
      <w:r w:rsidRPr="00F13E6E">
        <w:t>The concepts of social exclusion and social inclusion;</w:t>
      </w:r>
    </w:p>
    <w:p w14:paraId="0D109DDE" w14:textId="77777777" w:rsidR="007E04A6" w:rsidRPr="00F13E6E" w:rsidRDefault="007E04A6" w:rsidP="00AE24CE">
      <w:pPr>
        <w:pStyle w:val="ListBullet"/>
        <w:numPr>
          <w:ilvl w:val="0"/>
          <w:numId w:val="34"/>
        </w:numPr>
        <w:spacing w:before="80" w:after="80"/>
        <w:ind w:left="284" w:hanging="284"/>
      </w:pPr>
      <w:r w:rsidRPr="00F13E6E">
        <w:t>Gender equality, HIV/AIDS and disability and why they are important development issues;</w:t>
      </w:r>
    </w:p>
    <w:p w14:paraId="5184FA88" w14:textId="77777777" w:rsidR="007E04A6" w:rsidRPr="00F13E6E" w:rsidRDefault="007E04A6" w:rsidP="00AE24CE">
      <w:pPr>
        <w:pStyle w:val="ListBullet"/>
        <w:numPr>
          <w:ilvl w:val="0"/>
          <w:numId w:val="34"/>
        </w:numPr>
        <w:spacing w:before="80" w:after="80"/>
        <w:ind w:left="284" w:hanging="284"/>
      </w:pPr>
      <w:r w:rsidRPr="00F13E6E">
        <w:t>Kiribati Government and Coffey policies and procedures that exist in relation to anti-discrimination and equal opportunities in the workplace;</w:t>
      </w:r>
    </w:p>
    <w:p w14:paraId="758C05AD" w14:textId="77777777" w:rsidR="007E04A6" w:rsidRPr="00F13E6E" w:rsidRDefault="007E04A6" w:rsidP="00AE24CE">
      <w:pPr>
        <w:pStyle w:val="ListBullet"/>
        <w:numPr>
          <w:ilvl w:val="0"/>
          <w:numId w:val="34"/>
        </w:numPr>
        <w:spacing w:before="80" w:after="80"/>
        <w:ind w:left="284" w:hanging="284"/>
      </w:pPr>
      <w:r w:rsidRPr="00F13E6E">
        <w:t>Child protection; and</w:t>
      </w:r>
    </w:p>
    <w:p w14:paraId="17C2A8A0" w14:textId="77777777" w:rsidR="007E04A6" w:rsidRPr="00F13E6E" w:rsidRDefault="007E04A6" w:rsidP="00AE24CE">
      <w:pPr>
        <w:pStyle w:val="ListBullet"/>
        <w:numPr>
          <w:ilvl w:val="0"/>
          <w:numId w:val="34"/>
        </w:numPr>
        <w:spacing w:before="80" w:after="80"/>
        <w:ind w:left="284" w:hanging="284"/>
      </w:pPr>
      <w:r w:rsidRPr="00F13E6E">
        <w:t xml:space="preserve">Why </w:t>
      </w:r>
      <w:r>
        <w:t>gender and social inclusion were</w:t>
      </w:r>
      <w:r w:rsidRPr="00F13E6E">
        <w:t xml:space="preserve"> imp</w:t>
      </w:r>
      <w:r>
        <w:t>ortant to KEIP</w:t>
      </w:r>
      <w:r w:rsidRPr="00F13E6E">
        <w:t>.</w:t>
      </w:r>
    </w:p>
    <w:p w14:paraId="21CBAF75" w14:textId="77777777" w:rsidR="007E04A6" w:rsidRPr="00D23ABA" w:rsidRDefault="007E04A6" w:rsidP="00ED0631">
      <w:pPr>
        <w:pStyle w:val="BodyCopy"/>
        <w:ind w:right="-187"/>
        <w:rPr>
          <w:spacing w:val="-4"/>
        </w:rPr>
      </w:pPr>
      <w:r>
        <w:rPr>
          <w:noProof/>
          <w:spacing w:val="-4"/>
          <w:lang w:eastAsia="en-AU"/>
        </w:rPr>
        <w:t xml:space="preserve">KEF also </w:t>
      </w:r>
      <w:r>
        <w:rPr>
          <w:spacing w:val="-4"/>
        </w:rPr>
        <w:t xml:space="preserve">included </w:t>
      </w:r>
      <w:r w:rsidRPr="00F13E6E">
        <w:rPr>
          <w:spacing w:val="-4"/>
        </w:rPr>
        <w:t xml:space="preserve">responsibility for integrating </w:t>
      </w:r>
      <w:r>
        <w:rPr>
          <w:spacing w:val="-4"/>
        </w:rPr>
        <w:t xml:space="preserve">gender and social inclusion in the terms of reference for KEF advisers. In addition </w:t>
      </w:r>
      <w:r>
        <w:rPr>
          <w:spacing w:val="-4"/>
          <w:lang w:val="en-AU"/>
        </w:rPr>
        <w:t>all advisors engaged by KEF</w:t>
      </w:r>
      <w:r w:rsidRPr="00F13E6E">
        <w:rPr>
          <w:spacing w:val="-4"/>
          <w:lang w:val="en-AU"/>
        </w:rPr>
        <w:t xml:space="preserve"> receive</w:t>
      </w:r>
      <w:r>
        <w:rPr>
          <w:spacing w:val="-4"/>
          <w:lang w:val="en-AU"/>
        </w:rPr>
        <w:t>d</w:t>
      </w:r>
      <w:r w:rsidRPr="00F13E6E">
        <w:rPr>
          <w:spacing w:val="-4"/>
          <w:lang w:val="en-AU"/>
        </w:rPr>
        <w:t xml:space="preserve"> a c</w:t>
      </w:r>
      <w:r>
        <w:rPr>
          <w:spacing w:val="-4"/>
          <w:lang w:val="en-AU"/>
        </w:rPr>
        <w:t>opy of the GESI or GD&amp;SI Strategy and were</w:t>
      </w:r>
      <w:r w:rsidRPr="00F13E6E">
        <w:rPr>
          <w:spacing w:val="-4"/>
          <w:lang w:val="en-AU"/>
        </w:rPr>
        <w:t xml:space="preserve"> </w:t>
      </w:r>
      <w:r>
        <w:rPr>
          <w:spacing w:val="-4"/>
          <w:lang w:val="en-AU"/>
        </w:rPr>
        <w:t xml:space="preserve">actively </w:t>
      </w:r>
      <w:r w:rsidRPr="00F13E6E">
        <w:rPr>
          <w:spacing w:val="-4"/>
          <w:lang w:val="en-AU"/>
        </w:rPr>
        <w:t xml:space="preserve">encouraged to work in partnership with the KEIP Gender and Social Inclusion Coordinator (National) and Gender and Social Inclusion Mentor (International). </w:t>
      </w:r>
      <w:r>
        <w:rPr>
          <w:spacing w:val="-4"/>
        </w:rPr>
        <w:t xml:space="preserve"> </w:t>
      </w:r>
      <w:r>
        <w:t xml:space="preserve">Another internal gender and disability mainstreaming strategy was </w:t>
      </w:r>
      <w:r w:rsidRPr="007439A0">
        <w:t xml:space="preserve">KEF </w:t>
      </w:r>
      <w:r>
        <w:t xml:space="preserve">leadership to proactively support and participate </w:t>
      </w:r>
      <w:r w:rsidRPr="007439A0">
        <w:t xml:space="preserve">in gender and disability awareness raising events such as Black Thursdays, White Ribbon Day, International Women’s Day and International Day of People with Disability. </w:t>
      </w:r>
      <w:r>
        <w:t>Case studies highlighting KEF’s</w:t>
      </w:r>
      <w:r w:rsidRPr="007439A0">
        <w:t xml:space="preserve"> pro-active involvement on Black Thursdays and </w:t>
      </w:r>
      <w:r>
        <w:t>support to MoE to celebrated events such as White Ribbon Day</w:t>
      </w:r>
      <w:r w:rsidRPr="007439A0">
        <w:t xml:space="preserve"> ar</w:t>
      </w:r>
      <w:r>
        <w:t>e highlighted earlier in this document.</w:t>
      </w:r>
    </w:p>
    <w:p w14:paraId="1E16F139" w14:textId="77777777" w:rsidR="007E04A6" w:rsidRDefault="007E04A6" w:rsidP="00ED0631">
      <w:pPr>
        <w:rPr>
          <w:rFonts w:cs="Arial"/>
          <w:b/>
          <w:color w:val="212121"/>
          <w:shd w:val="clear" w:color="auto" w:fill="FFFFFF"/>
        </w:rPr>
      </w:pPr>
      <w:r w:rsidRPr="009C70E9">
        <w:rPr>
          <w:rFonts w:cs="Arial"/>
          <w:b/>
          <w:color w:val="212121"/>
          <w:shd w:val="clear" w:color="auto" w:fill="FFFFFF"/>
        </w:rPr>
        <w:t>Fostering strong partnerships and engaging with key stakeholders is essential</w:t>
      </w:r>
    </w:p>
    <w:p w14:paraId="7130E9C0" w14:textId="77777777" w:rsidR="007E04A6" w:rsidRDefault="007E04A6" w:rsidP="00ED0631">
      <w:pPr>
        <w:pStyle w:val="BodyCopy"/>
        <w:spacing w:before="100" w:after="100"/>
        <w:rPr>
          <w:rFonts w:cs="Arial"/>
          <w:color w:val="212121"/>
          <w:shd w:val="clear" w:color="auto" w:fill="FFFFFF"/>
        </w:rPr>
      </w:pPr>
      <w:r w:rsidRPr="009C70E9">
        <w:rPr>
          <w:rFonts w:cs="Arial"/>
          <w:color w:val="212121"/>
          <w:shd w:val="clear" w:color="auto" w:fill="FFFFFF"/>
        </w:rPr>
        <w:t xml:space="preserve">Proactively building partnerships between KEF and the MoE with key gender and disability stakeholders has proven essential to fostering </w:t>
      </w:r>
      <w:r>
        <w:rPr>
          <w:rFonts w:cs="Arial"/>
          <w:color w:val="212121"/>
          <w:shd w:val="clear" w:color="auto" w:fill="FFFFFF"/>
        </w:rPr>
        <w:t xml:space="preserve">improved levels of </w:t>
      </w:r>
      <w:r w:rsidRPr="009C70E9">
        <w:rPr>
          <w:rFonts w:cs="Arial"/>
          <w:color w:val="212121"/>
          <w:shd w:val="clear" w:color="auto" w:fill="FFFFFF"/>
        </w:rPr>
        <w:t>support in the MoE for gender equality, disability inclusion and in</w:t>
      </w:r>
      <w:r>
        <w:rPr>
          <w:rFonts w:cs="Arial"/>
          <w:color w:val="212121"/>
          <w:shd w:val="clear" w:color="auto" w:fill="FFFFFF"/>
        </w:rPr>
        <w:t>clusive education initiatives. </w:t>
      </w:r>
      <w:r w:rsidRPr="009C70E9">
        <w:rPr>
          <w:rFonts w:cs="Arial"/>
          <w:color w:val="212121"/>
          <w:shd w:val="clear" w:color="auto" w:fill="FFFFFF"/>
        </w:rPr>
        <w:t>In the gender area the Kiribati Ministry of Women, You</w:t>
      </w:r>
      <w:r>
        <w:rPr>
          <w:rFonts w:cs="Arial"/>
          <w:color w:val="212121"/>
          <w:shd w:val="clear" w:color="auto" w:fill="FFFFFF"/>
        </w:rPr>
        <w:t xml:space="preserve">th and Social Affairs MWYSA assisted </w:t>
      </w:r>
      <w:r w:rsidRPr="009C70E9">
        <w:rPr>
          <w:rFonts w:cs="Arial"/>
          <w:color w:val="212121"/>
          <w:shd w:val="clear" w:color="auto" w:fill="FFFFFF"/>
        </w:rPr>
        <w:t>in leading change that promotes a gender sensitive approach to education. Their support and leadership to develop the School Wellbeing and Counse</w:t>
      </w:r>
      <w:r>
        <w:rPr>
          <w:rFonts w:cs="Arial"/>
          <w:color w:val="212121"/>
          <w:shd w:val="clear" w:color="auto" w:fill="FFFFFF"/>
        </w:rPr>
        <w:t xml:space="preserve">lling Good Practice Guidelines </w:t>
      </w:r>
      <w:r w:rsidRPr="009C70E9">
        <w:rPr>
          <w:rFonts w:cs="Arial"/>
          <w:color w:val="212121"/>
          <w:shd w:val="clear" w:color="auto" w:fill="FFFFFF"/>
        </w:rPr>
        <w:t xml:space="preserve">was pivotal to building momentum within the MoE to address gender and sexual based violence and child protection issues. </w:t>
      </w:r>
    </w:p>
    <w:p w14:paraId="7C8466FA" w14:textId="77777777" w:rsidR="007E04A6" w:rsidRDefault="007E04A6" w:rsidP="00ED0631">
      <w:pPr>
        <w:pStyle w:val="BodyCopy"/>
        <w:spacing w:before="100" w:after="100"/>
        <w:rPr>
          <w:rFonts w:cs="Arial"/>
          <w:color w:val="212121"/>
          <w:shd w:val="clear" w:color="auto" w:fill="FFFFFF"/>
        </w:rPr>
      </w:pPr>
      <w:r w:rsidRPr="009C70E9">
        <w:rPr>
          <w:rFonts w:cs="Arial"/>
          <w:color w:val="212121"/>
          <w:shd w:val="clear" w:color="auto" w:fill="FFFFFF"/>
        </w:rPr>
        <w:t xml:space="preserve">The participation of </w:t>
      </w:r>
      <w:r>
        <w:rPr>
          <w:rFonts w:cs="Arial"/>
          <w:color w:val="212121"/>
          <w:shd w:val="clear" w:color="auto" w:fill="FFFFFF"/>
        </w:rPr>
        <w:t xml:space="preserve">personally </w:t>
      </w:r>
      <w:r w:rsidRPr="009C70E9">
        <w:rPr>
          <w:rFonts w:cs="Arial"/>
          <w:color w:val="212121"/>
          <w:shd w:val="clear" w:color="auto" w:fill="FFFFFF"/>
        </w:rPr>
        <w:t>committed and adequately</w:t>
      </w:r>
      <w:r>
        <w:rPr>
          <w:rFonts w:cs="Arial"/>
          <w:color w:val="212121"/>
          <w:shd w:val="clear" w:color="auto" w:fill="FFFFFF"/>
        </w:rPr>
        <w:t xml:space="preserve"> trained</w:t>
      </w:r>
      <w:r w:rsidRPr="009C70E9">
        <w:rPr>
          <w:rFonts w:cs="Arial"/>
          <w:color w:val="212121"/>
          <w:shd w:val="clear" w:color="auto" w:fill="FFFFFF"/>
        </w:rPr>
        <w:t xml:space="preserve"> </w:t>
      </w:r>
      <w:r>
        <w:rPr>
          <w:rFonts w:cs="Arial"/>
          <w:color w:val="212121"/>
          <w:shd w:val="clear" w:color="auto" w:fill="FFFFFF"/>
        </w:rPr>
        <w:t>MWYSA</w:t>
      </w:r>
      <w:r w:rsidRPr="009C70E9">
        <w:rPr>
          <w:rFonts w:cs="Arial"/>
          <w:color w:val="212121"/>
          <w:shd w:val="clear" w:color="auto" w:fill="FFFFFF"/>
        </w:rPr>
        <w:t xml:space="preserve"> staff in gender workshops </w:t>
      </w:r>
      <w:r>
        <w:rPr>
          <w:rFonts w:cs="Arial"/>
          <w:color w:val="212121"/>
          <w:shd w:val="clear" w:color="auto" w:fill="FFFFFF"/>
        </w:rPr>
        <w:t>(</w:t>
      </w:r>
      <w:r w:rsidRPr="009C70E9">
        <w:rPr>
          <w:rFonts w:cs="Arial"/>
          <w:color w:val="212121"/>
          <w:shd w:val="clear" w:color="auto" w:fill="FFFFFF"/>
        </w:rPr>
        <w:t xml:space="preserve">as </w:t>
      </w:r>
      <w:r>
        <w:rPr>
          <w:rFonts w:cs="Arial"/>
          <w:color w:val="212121"/>
          <w:shd w:val="clear" w:color="auto" w:fill="FFFFFF"/>
        </w:rPr>
        <w:t xml:space="preserve">both </w:t>
      </w:r>
      <w:r w:rsidRPr="009C70E9">
        <w:rPr>
          <w:rFonts w:cs="Arial"/>
          <w:color w:val="212121"/>
          <w:shd w:val="clear" w:color="auto" w:fill="FFFFFF"/>
        </w:rPr>
        <w:t>guest trainers or participants themselves</w:t>
      </w:r>
      <w:r>
        <w:rPr>
          <w:rFonts w:cs="Arial"/>
          <w:color w:val="212121"/>
          <w:shd w:val="clear" w:color="auto" w:fill="FFFFFF"/>
        </w:rPr>
        <w:t>)</w:t>
      </w:r>
      <w:r w:rsidRPr="009C70E9">
        <w:rPr>
          <w:rFonts w:cs="Arial"/>
          <w:color w:val="212121"/>
          <w:shd w:val="clear" w:color="auto" w:fill="FFFFFF"/>
        </w:rPr>
        <w:t xml:space="preserve"> has assisted gender workshop facilitators to respectfully challenge overt resistance to gender equality efforts (usually by a vocal minority of participants). In the disability area Te Toa Matoa </w:t>
      </w:r>
      <w:r>
        <w:rPr>
          <w:rFonts w:cs="Arial"/>
          <w:color w:val="212121"/>
          <w:shd w:val="clear" w:color="auto" w:fill="FFFFFF"/>
        </w:rPr>
        <w:t xml:space="preserve">(the disabled </w:t>
      </w:r>
      <w:r w:rsidRPr="00B170D3">
        <w:rPr>
          <w:rFonts w:cs="Arial"/>
          <w:color w:val="212121"/>
          <w:shd w:val="clear" w:color="auto" w:fill="FFFFFF"/>
        </w:rPr>
        <w:t>people’s organisation</w:t>
      </w:r>
      <w:r>
        <w:rPr>
          <w:rFonts w:cs="Arial"/>
          <w:color w:val="212121"/>
          <w:shd w:val="clear" w:color="auto" w:fill="FFFFFF"/>
        </w:rPr>
        <w:t xml:space="preserve"> in Kiribati</w:t>
      </w:r>
      <w:r w:rsidRPr="009C70E9">
        <w:rPr>
          <w:rFonts w:cs="Arial"/>
          <w:color w:val="212121"/>
          <w:shd w:val="clear" w:color="auto" w:fill="FFFFFF"/>
        </w:rPr>
        <w:t>) has been particularly instrumental in building KEF and MoE awareness about disability inclusion and inspiring action in this area. CBM Nossal, who were engaged to conduct research on inclusive education and other capacity development activities</w:t>
      </w:r>
      <w:r>
        <w:rPr>
          <w:rFonts w:cs="Arial"/>
          <w:color w:val="212121"/>
          <w:shd w:val="clear" w:color="auto" w:fill="FFFFFF"/>
        </w:rPr>
        <w:t>,</w:t>
      </w:r>
      <w:r w:rsidRPr="009C70E9">
        <w:rPr>
          <w:rFonts w:cs="Arial"/>
          <w:color w:val="212121"/>
          <w:shd w:val="clear" w:color="auto" w:fill="FFFFFF"/>
        </w:rPr>
        <w:t xml:space="preserve"> have also been a valuable partner and their provision of both advocacy and technical support has assisted KEF to build MoE and local partner momentum for disability inclusion and inclusive education </w:t>
      </w:r>
      <w:r w:rsidRPr="00B170D3">
        <w:rPr>
          <w:rFonts w:cs="Arial"/>
          <w:color w:val="212121"/>
          <w:shd w:val="clear" w:color="auto" w:fill="FFFFFF"/>
        </w:rPr>
        <w:t>initiatives. </w:t>
      </w:r>
    </w:p>
    <w:p w14:paraId="7E6F8B50" w14:textId="77777777" w:rsidR="007E04A6" w:rsidRPr="003A55FD" w:rsidRDefault="007E04A6" w:rsidP="00ED0631">
      <w:pPr>
        <w:pStyle w:val="BodyCopy"/>
        <w:spacing w:before="100" w:after="100"/>
        <w:rPr>
          <w:rFonts w:cs="Arial"/>
          <w:spacing w:val="2"/>
        </w:rPr>
      </w:pPr>
      <w:r w:rsidRPr="009C70E9">
        <w:rPr>
          <w:rFonts w:cs="Arial"/>
          <w:color w:val="212121"/>
          <w:shd w:val="clear" w:color="auto" w:fill="FFFFFF"/>
        </w:rPr>
        <w:lastRenderedPageBreak/>
        <w:t>Another example of the benefits of strong partnership and engagement with key stakeholders including teachers and parents was the policy development process for the Kiribati Inclusive Education Policy. This process was initiated small policy writing groups of stakeholder to draft key sections</w:t>
      </w:r>
      <w:r w:rsidRPr="00B170D3">
        <w:rPr>
          <w:rFonts w:cs="Arial"/>
          <w:color w:val="212121"/>
          <w:shd w:val="clear" w:color="auto" w:fill="FFFFFF"/>
        </w:rPr>
        <w:t xml:space="preserve"> of the policy. Supported by an</w:t>
      </w:r>
      <w:r w:rsidRPr="009C70E9">
        <w:rPr>
          <w:rFonts w:cs="Arial"/>
          <w:color w:val="212121"/>
          <w:shd w:val="clear" w:color="auto" w:fill="FFFFFF"/>
        </w:rPr>
        <w:t xml:space="preserve"> Australian Volunteer for International Development </w:t>
      </w:r>
      <w:r w:rsidRPr="00B170D3">
        <w:rPr>
          <w:rFonts w:cs="Arial"/>
          <w:color w:val="212121"/>
          <w:shd w:val="clear" w:color="auto" w:fill="FFFFFF"/>
        </w:rPr>
        <w:t>Program on assignment with KTC</w:t>
      </w:r>
      <w:r w:rsidRPr="009C70E9">
        <w:rPr>
          <w:rFonts w:cs="Arial"/>
          <w:color w:val="212121"/>
          <w:shd w:val="clear" w:color="auto" w:fill="FFFFFF"/>
        </w:rPr>
        <w:t xml:space="preserve"> these writing groups established a level of local ownership amongst these stakeholder groups and within the MoE for the development of the Kiribati Inclusive Education Policy (endorsed May, 2015).</w:t>
      </w:r>
    </w:p>
    <w:p w14:paraId="18407E11" w14:textId="77777777" w:rsidR="007E04A6" w:rsidRPr="00456EF6" w:rsidRDefault="007E04A6" w:rsidP="00ED0631">
      <w:pPr>
        <w:pStyle w:val="BodyCopy"/>
        <w:rPr>
          <w:b/>
        </w:rPr>
      </w:pPr>
      <w:r w:rsidRPr="00456EF6">
        <w:rPr>
          <w:b/>
        </w:rPr>
        <w:t>Peer review</w:t>
      </w:r>
      <w:r>
        <w:rPr>
          <w:b/>
        </w:rPr>
        <w:t xml:space="preserve"> an important next step for Phase III</w:t>
      </w:r>
    </w:p>
    <w:p w14:paraId="7D310B58" w14:textId="77777777" w:rsidR="007E04A6" w:rsidRDefault="007E04A6" w:rsidP="00ED0631">
      <w:pPr>
        <w:pStyle w:val="BodyCopy"/>
      </w:pPr>
      <w:r w:rsidRPr="003603B6">
        <w:t xml:space="preserve">To ensure the sustainability and continuous quality improvement an emerging priority </w:t>
      </w:r>
      <w:r>
        <w:t xml:space="preserve">area for </w:t>
      </w:r>
      <w:r w:rsidRPr="003603B6">
        <w:t xml:space="preserve">action </w:t>
      </w:r>
      <w:r>
        <w:t>in Phase III will be</w:t>
      </w:r>
      <w:r w:rsidRPr="003603B6">
        <w:t xml:space="preserve"> the establishment of peer review mechanisms and tools</w:t>
      </w:r>
      <w:r>
        <w:t xml:space="preserve"> to monitor the quality, appropriateness and effectiveness of gender and disability efforts</w:t>
      </w:r>
      <w:r w:rsidRPr="003603B6">
        <w:t>.</w:t>
      </w:r>
      <w:r>
        <w:t xml:space="preserve"> </w:t>
      </w:r>
      <w:r w:rsidRPr="003603B6">
        <w:t xml:space="preserve">The </w:t>
      </w:r>
      <w:r>
        <w:t xml:space="preserve">MoE’s </w:t>
      </w:r>
      <w:r w:rsidRPr="003603B6">
        <w:t>I</w:t>
      </w:r>
      <w:r>
        <w:t xml:space="preserve">nclusive </w:t>
      </w:r>
      <w:r w:rsidRPr="003603B6">
        <w:t>E</w:t>
      </w:r>
      <w:r>
        <w:t xml:space="preserve">ducation </w:t>
      </w:r>
      <w:r w:rsidRPr="003603B6">
        <w:t>W</w:t>
      </w:r>
      <w:r>
        <w:t xml:space="preserve">orking </w:t>
      </w:r>
      <w:r w:rsidRPr="003603B6">
        <w:t>G</w:t>
      </w:r>
      <w:r>
        <w:t xml:space="preserve">roup (with representation from groups such as Te Toa Matoa) has been suggested as a </w:t>
      </w:r>
      <w:r w:rsidRPr="003603B6">
        <w:t>potential mechanism for the review of materials, policies</w:t>
      </w:r>
      <w:r>
        <w:t>, plans</w:t>
      </w:r>
      <w:r w:rsidRPr="003603B6">
        <w:t xml:space="preserve"> and initiatives for </w:t>
      </w:r>
      <w:r>
        <w:t>their disability sensitivity. The MoE’s Eliminating Sexual and Gender Based Violence in Education Committee</w:t>
      </w:r>
      <w:r w:rsidRPr="003603B6">
        <w:t xml:space="preserve"> </w:t>
      </w:r>
      <w:r>
        <w:t>(with representation from the Ministry of Women and other women’s groups)</w:t>
      </w:r>
      <w:r w:rsidRPr="003603B6">
        <w:t xml:space="preserve"> has been identified </w:t>
      </w:r>
      <w:r>
        <w:t xml:space="preserve">as the potential mechanism </w:t>
      </w:r>
      <w:r w:rsidRPr="003603B6">
        <w:t>for gender equality review of materials, policies</w:t>
      </w:r>
      <w:r>
        <w:t xml:space="preserve">, plans and initiatives for their gender sensitivity. </w:t>
      </w:r>
    </w:p>
    <w:p w14:paraId="5D8D1F82" w14:textId="77777777" w:rsidR="007E04A6" w:rsidRDefault="007E04A6" w:rsidP="00ED0631">
      <w:pPr>
        <w:pStyle w:val="BodyCopy"/>
      </w:pPr>
      <w:r>
        <w:t xml:space="preserve">Regardless of the final peer review mechanism/s it will be essential for members to have very high levels of gender and disability sensitivity and commitment to these areas. </w:t>
      </w:r>
    </w:p>
    <w:p w14:paraId="60DA10AD" w14:textId="77777777" w:rsidR="007E04A6" w:rsidRDefault="007E04A6" w:rsidP="0060082A">
      <w:pPr>
        <w:rPr>
          <w:rFonts w:asciiTheme="majorHAnsi" w:hAnsiTheme="majorHAnsi" w:cstheme="majorHAnsi"/>
          <w:color w:val="EB6E08" w:themeColor="text2"/>
        </w:rPr>
        <w:sectPr w:rsidR="007E04A6" w:rsidSect="00ED0631">
          <w:pgSz w:w="11906" w:h="16838" w:code="9"/>
          <w:pgMar w:top="993" w:right="1247" w:bottom="1247" w:left="1247" w:header="709" w:footer="709" w:gutter="0"/>
          <w:pgNumType w:start="1"/>
          <w:cols w:space="708"/>
          <w:docGrid w:linePitch="360"/>
        </w:sectPr>
      </w:pPr>
    </w:p>
    <w:p w14:paraId="17873F59" w14:textId="77777777" w:rsidR="00AC362E" w:rsidRPr="00DC233C" w:rsidRDefault="00AC362E" w:rsidP="00DD2CE2">
      <w:pPr>
        <w:pStyle w:val="Heading1"/>
      </w:pPr>
      <w:bookmarkStart w:id="103" w:name="_Toc461615729"/>
      <w:r>
        <w:lastRenderedPageBreak/>
        <w:t>Annex 3</w:t>
      </w:r>
      <w:bookmarkEnd w:id="103"/>
    </w:p>
    <w:p w14:paraId="3A95FD11" w14:textId="77777777" w:rsidR="00AC362E" w:rsidRPr="00FF5E82" w:rsidRDefault="00AC362E" w:rsidP="00DD2CE2">
      <w:pPr>
        <w:pStyle w:val="Heading1"/>
        <w:ind w:left="0" w:firstLine="0"/>
        <w:rPr>
          <w:spacing w:val="-2"/>
        </w:rPr>
        <w:sectPr w:rsidR="00AC362E" w:rsidRPr="00FF5E82" w:rsidSect="00ED0631">
          <w:footerReference w:type="default" r:id="rId47"/>
          <w:footerReference w:type="first" r:id="rId48"/>
          <w:pgSz w:w="11906" w:h="16838" w:code="9"/>
          <w:pgMar w:top="993" w:right="1247" w:bottom="1247" w:left="1247" w:header="709" w:footer="709" w:gutter="0"/>
          <w:pgNumType w:start="1"/>
          <w:cols w:space="708"/>
          <w:docGrid w:linePitch="360"/>
        </w:sectPr>
      </w:pPr>
      <w:bookmarkStart w:id="104" w:name="_Toc461615730"/>
      <w:r w:rsidRPr="00FF5E82">
        <w:t>Breakdown of Program Activity Costs by Strategy to 31 March 2016</w:t>
      </w:r>
      <w:bookmarkEnd w:id="104"/>
    </w:p>
    <w:tbl>
      <w:tblPr>
        <w:tblW w:w="9412" w:type="dxa"/>
        <w:tblLook w:val="04A0" w:firstRow="1" w:lastRow="0" w:firstColumn="1" w:lastColumn="0" w:noHBand="0" w:noVBand="1"/>
      </w:tblPr>
      <w:tblGrid>
        <w:gridCol w:w="4460"/>
        <w:gridCol w:w="360"/>
        <w:gridCol w:w="4370"/>
        <w:gridCol w:w="222"/>
      </w:tblGrid>
      <w:tr w:rsidR="00AC362E" w:rsidRPr="00FF5E82" w14:paraId="388110AD" w14:textId="77777777" w:rsidTr="00AC362E">
        <w:trPr>
          <w:trHeight w:val="799"/>
        </w:trPr>
        <w:tc>
          <w:tcPr>
            <w:tcW w:w="9412" w:type="dxa"/>
            <w:gridSpan w:val="4"/>
            <w:tcBorders>
              <w:top w:val="nil"/>
              <w:left w:val="nil"/>
              <w:bottom w:val="nil"/>
              <w:right w:val="nil"/>
            </w:tcBorders>
            <w:shd w:val="clear" w:color="auto" w:fill="auto"/>
            <w:noWrap/>
            <w:vAlign w:val="center"/>
            <w:hideMark/>
          </w:tcPr>
          <w:p w14:paraId="271A56CF" w14:textId="77777777" w:rsidR="00AC362E" w:rsidRPr="00AC362E" w:rsidRDefault="00AC362E" w:rsidP="00ED0631">
            <w:pPr>
              <w:pStyle w:val="Heading1"/>
              <w:rPr>
                <w:rFonts w:asciiTheme="minorHAnsi" w:hAnsiTheme="minorHAnsi" w:cstheme="minorHAnsi"/>
                <w:sz w:val="26"/>
                <w:szCs w:val="26"/>
                <w:lang w:eastAsia="en-AU"/>
              </w:rPr>
            </w:pPr>
            <w:bookmarkStart w:id="105" w:name="RANGE!A1:D40"/>
            <w:bookmarkStart w:id="106" w:name="_Toc461615731"/>
            <w:r w:rsidRPr="00AC362E">
              <w:rPr>
                <w:rFonts w:asciiTheme="minorHAnsi" w:hAnsiTheme="minorHAnsi" w:cstheme="minorHAnsi"/>
                <w:color w:val="auto"/>
                <w:sz w:val="26"/>
                <w:szCs w:val="26"/>
                <w:lang w:eastAsia="en-AU"/>
              </w:rPr>
              <w:lastRenderedPageBreak/>
              <w:t xml:space="preserve">Breakdown of Program Activity Costs by Strategy for KEIP Phase </w:t>
            </w:r>
            <w:r w:rsidRPr="00AC362E">
              <w:rPr>
                <w:rFonts w:asciiTheme="minorHAnsi" w:hAnsiTheme="minorHAnsi" w:cstheme="minorHAnsi"/>
                <w:color w:val="auto"/>
                <w:spacing w:val="-2"/>
                <w:sz w:val="26"/>
                <w:szCs w:val="26"/>
                <w:lang w:eastAsia="en-AU"/>
              </w:rPr>
              <w:t>II</w:t>
            </w:r>
            <w:bookmarkEnd w:id="105"/>
            <w:bookmarkEnd w:id="106"/>
          </w:p>
        </w:tc>
      </w:tr>
      <w:tr w:rsidR="00AC362E" w:rsidRPr="00FF5E82" w14:paraId="050139FB" w14:textId="77777777" w:rsidTr="00AC362E">
        <w:trPr>
          <w:trHeight w:val="469"/>
        </w:trPr>
        <w:tc>
          <w:tcPr>
            <w:tcW w:w="4820" w:type="dxa"/>
            <w:gridSpan w:val="2"/>
            <w:tcBorders>
              <w:top w:val="single" w:sz="4" w:space="0" w:color="FFFFFF"/>
              <w:left w:val="single" w:sz="4" w:space="0" w:color="FFFFFF"/>
              <w:bottom w:val="single" w:sz="4" w:space="0" w:color="FFFFFF"/>
              <w:right w:val="single" w:sz="4" w:space="0" w:color="FFFFFF"/>
            </w:tcBorders>
            <w:shd w:val="clear" w:color="000000" w:fill="A25EA6"/>
            <w:noWrap/>
            <w:vAlign w:val="center"/>
            <w:hideMark/>
          </w:tcPr>
          <w:p w14:paraId="4A698FA5" w14:textId="77777777" w:rsidR="00AC362E" w:rsidRPr="00FF5E82" w:rsidRDefault="00AC362E" w:rsidP="00ED0631">
            <w:pPr>
              <w:spacing w:after="0"/>
              <w:rPr>
                <w:rFonts w:ascii="Arial" w:eastAsia="Times New Roman" w:hAnsi="Arial" w:cs="Arial"/>
                <w:b/>
                <w:bCs/>
                <w:color w:val="FFFFFF"/>
                <w:lang w:eastAsia="en-AU"/>
              </w:rPr>
            </w:pPr>
            <w:bookmarkStart w:id="107" w:name="RANGE!A2"/>
            <w:r w:rsidRPr="00FF5E82">
              <w:rPr>
                <w:rFonts w:ascii="Arial" w:eastAsia="Times New Roman" w:hAnsi="Arial" w:cs="Arial"/>
                <w:b/>
                <w:bCs/>
                <w:color w:val="FFFFFF"/>
                <w:lang w:eastAsia="en-AU"/>
              </w:rPr>
              <w:t>Description of Expenditure</w:t>
            </w:r>
            <w:bookmarkEnd w:id="107"/>
          </w:p>
        </w:tc>
        <w:tc>
          <w:tcPr>
            <w:tcW w:w="4370" w:type="dxa"/>
            <w:tcBorders>
              <w:top w:val="single" w:sz="4" w:space="0" w:color="FFFFFF"/>
              <w:left w:val="nil"/>
              <w:bottom w:val="single" w:sz="4" w:space="0" w:color="FFFFFF"/>
              <w:right w:val="single" w:sz="4" w:space="0" w:color="FFFFFF"/>
            </w:tcBorders>
            <w:shd w:val="clear" w:color="000000" w:fill="A25EA6"/>
            <w:vAlign w:val="center"/>
            <w:hideMark/>
          </w:tcPr>
          <w:p w14:paraId="4EB87BC4" w14:textId="77777777" w:rsidR="00AC362E" w:rsidRPr="00FF5E82" w:rsidRDefault="00AC362E" w:rsidP="00ED0631">
            <w:pPr>
              <w:spacing w:after="0"/>
              <w:jc w:val="center"/>
              <w:rPr>
                <w:rFonts w:ascii="Arial" w:eastAsia="Times New Roman" w:hAnsi="Arial" w:cs="Arial"/>
                <w:b/>
                <w:bCs/>
                <w:color w:val="FFFFFF"/>
                <w:lang w:eastAsia="en-AU"/>
              </w:rPr>
            </w:pPr>
            <w:r w:rsidRPr="00FF5E82">
              <w:rPr>
                <w:rFonts w:ascii="Arial" w:eastAsia="Times New Roman" w:hAnsi="Arial" w:cs="Arial"/>
                <w:b/>
                <w:bCs/>
                <w:color w:val="FFFFFF"/>
                <w:lang w:eastAsia="en-AU"/>
              </w:rPr>
              <w:t>Actual Expenditure to 31 March 2016</w:t>
            </w:r>
          </w:p>
        </w:tc>
        <w:tc>
          <w:tcPr>
            <w:tcW w:w="222" w:type="dxa"/>
            <w:vAlign w:val="center"/>
            <w:hideMark/>
          </w:tcPr>
          <w:p w14:paraId="1670EB58"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126330EB"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1B1A0FB4"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General Management of KEIP</w:t>
            </w:r>
          </w:p>
        </w:tc>
        <w:tc>
          <w:tcPr>
            <w:tcW w:w="222" w:type="dxa"/>
            <w:vAlign w:val="center"/>
            <w:hideMark/>
          </w:tcPr>
          <w:p w14:paraId="51D924BC"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80053EE" w14:textId="77777777" w:rsidTr="00AC362E">
        <w:trPr>
          <w:trHeight w:val="360"/>
        </w:trPr>
        <w:tc>
          <w:tcPr>
            <w:tcW w:w="9190" w:type="dxa"/>
            <w:gridSpan w:val="3"/>
            <w:tcBorders>
              <w:top w:val="single" w:sz="4" w:space="0" w:color="FFFFFF"/>
              <w:left w:val="single" w:sz="4" w:space="0" w:color="FFFFFF"/>
              <w:bottom w:val="single" w:sz="4" w:space="0" w:color="FFFFFF"/>
              <w:right w:val="nil"/>
            </w:tcBorders>
            <w:shd w:val="clear" w:color="000000" w:fill="D9D9D9"/>
            <w:vAlign w:val="center"/>
            <w:hideMark/>
          </w:tcPr>
          <w:p w14:paraId="02585B13"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Program Office set up and operation</w:t>
            </w:r>
          </w:p>
        </w:tc>
        <w:tc>
          <w:tcPr>
            <w:tcW w:w="222" w:type="dxa"/>
            <w:vAlign w:val="center"/>
            <w:hideMark/>
          </w:tcPr>
          <w:p w14:paraId="12AAA81E"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4C68605" w14:textId="77777777" w:rsidTr="00AC362E">
        <w:trPr>
          <w:trHeight w:val="540"/>
        </w:trPr>
        <w:tc>
          <w:tcPr>
            <w:tcW w:w="4460" w:type="dxa"/>
            <w:tcBorders>
              <w:top w:val="nil"/>
              <w:left w:val="single" w:sz="4" w:space="0" w:color="FFFFFF"/>
              <w:bottom w:val="single" w:sz="4" w:space="0" w:color="FFFFFF"/>
              <w:right w:val="single" w:sz="4" w:space="0" w:color="FFFFFF"/>
            </w:tcBorders>
            <w:shd w:val="clear" w:color="000000" w:fill="F2F2F2"/>
            <w:vAlign w:val="center"/>
            <w:hideMark/>
          </w:tcPr>
          <w:p w14:paraId="7FA09172"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Program Office Operations and Program Management</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4DF8C743"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11,183,339.94</w:t>
            </w:r>
          </w:p>
        </w:tc>
        <w:tc>
          <w:tcPr>
            <w:tcW w:w="222" w:type="dxa"/>
            <w:vAlign w:val="center"/>
            <w:hideMark/>
          </w:tcPr>
          <w:p w14:paraId="5C013120"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02C1363D"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D9D9D9"/>
            <w:noWrap/>
            <w:vAlign w:val="center"/>
            <w:hideMark/>
          </w:tcPr>
          <w:p w14:paraId="3F104F26"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Subtotal: KEIP Management</w:t>
            </w:r>
          </w:p>
        </w:tc>
        <w:tc>
          <w:tcPr>
            <w:tcW w:w="4730" w:type="dxa"/>
            <w:gridSpan w:val="2"/>
            <w:tcBorders>
              <w:top w:val="nil"/>
              <w:left w:val="nil"/>
              <w:bottom w:val="single" w:sz="4" w:space="0" w:color="FFFFFF"/>
              <w:right w:val="single" w:sz="4" w:space="0" w:color="FFFFFF"/>
            </w:tcBorders>
            <w:shd w:val="clear" w:color="000000" w:fill="D9D9D9"/>
            <w:noWrap/>
            <w:vAlign w:val="center"/>
            <w:hideMark/>
          </w:tcPr>
          <w:p w14:paraId="6FB93CC5"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11,183,339.94</w:t>
            </w:r>
          </w:p>
        </w:tc>
        <w:tc>
          <w:tcPr>
            <w:tcW w:w="222" w:type="dxa"/>
            <w:vAlign w:val="center"/>
            <w:hideMark/>
          </w:tcPr>
          <w:p w14:paraId="305D34D9"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2495C22A" w14:textId="77777777" w:rsidTr="00AC362E">
        <w:trPr>
          <w:trHeight w:val="319"/>
        </w:trPr>
        <w:tc>
          <w:tcPr>
            <w:tcW w:w="4460" w:type="dxa"/>
            <w:tcBorders>
              <w:top w:val="nil"/>
              <w:left w:val="single" w:sz="4" w:space="0" w:color="FFFFFF"/>
              <w:bottom w:val="single" w:sz="4" w:space="0" w:color="FFFFFF"/>
              <w:right w:val="single" w:sz="4" w:space="0" w:color="FFFFFF"/>
            </w:tcBorders>
            <w:shd w:val="clear" w:color="auto" w:fill="auto"/>
            <w:noWrap/>
            <w:vAlign w:val="center"/>
            <w:hideMark/>
          </w:tcPr>
          <w:p w14:paraId="494A67A0"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4730" w:type="dxa"/>
            <w:gridSpan w:val="2"/>
            <w:tcBorders>
              <w:top w:val="nil"/>
              <w:left w:val="nil"/>
              <w:bottom w:val="single" w:sz="4" w:space="0" w:color="FFFFFF"/>
              <w:right w:val="single" w:sz="4" w:space="0" w:color="FFFFFF"/>
            </w:tcBorders>
            <w:shd w:val="clear" w:color="auto" w:fill="auto"/>
            <w:noWrap/>
            <w:vAlign w:val="center"/>
            <w:hideMark/>
          </w:tcPr>
          <w:p w14:paraId="46763813"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222" w:type="dxa"/>
            <w:vAlign w:val="center"/>
            <w:hideMark/>
          </w:tcPr>
          <w:p w14:paraId="4051FE4E"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6015DE8F"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20469835"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Strategy 1: Supporting Curriculum Development and Implementation</w:t>
            </w:r>
          </w:p>
        </w:tc>
        <w:tc>
          <w:tcPr>
            <w:tcW w:w="222" w:type="dxa"/>
            <w:vAlign w:val="center"/>
            <w:hideMark/>
          </w:tcPr>
          <w:p w14:paraId="4F49DFA7"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12D18FC2"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14:paraId="42080C6F" w14:textId="77777777" w:rsidR="00AC362E" w:rsidRPr="00FF5E82" w:rsidRDefault="00AC362E" w:rsidP="00ED0631">
            <w:pPr>
              <w:spacing w:after="0"/>
              <w:rPr>
                <w:rFonts w:ascii="Arial" w:eastAsia="Times New Roman" w:hAnsi="Arial" w:cs="Arial"/>
                <w:b/>
                <w:bCs/>
                <w:lang w:eastAsia="en-AU"/>
              </w:rPr>
            </w:pPr>
            <w:r w:rsidRPr="00FF5E82">
              <w:rPr>
                <w:rFonts w:ascii="Arial" w:eastAsia="Times New Roman" w:hAnsi="Arial" w:cs="Arial"/>
                <w:b/>
                <w:bCs/>
                <w:lang w:eastAsia="en-AU"/>
              </w:rPr>
              <w:t>Output 1.1 - All Children in Years 1-4 have access to the new curriculum and materials</w:t>
            </w:r>
          </w:p>
        </w:tc>
        <w:tc>
          <w:tcPr>
            <w:tcW w:w="222" w:type="dxa"/>
            <w:vAlign w:val="center"/>
            <w:hideMark/>
          </w:tcPr>
          <w:p w14:paraId="49D1DB29"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5E66025"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F2F2F2"/>
            <w:noWrap/>
            <w:vAlign w:val="center"/>
            <w:hideMark/>
          </w:tcPr>
          <w:p w14:paraId="0C84D37B"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1.1.1 - Curriculum Development</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5EB1CC88"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510,382.47</w:t>
            </w:r>
          </w:p>
        </w:tc>
        <w:tc>
          <w:tcPr>
            <w:tcW w:w="222" w:type="dxa"/>
            <w:vAlign w:val="center"/>
            <w:hideMark/>
          </w:tcPr>
          <w:p w14:paraId="660055BF"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2F93C434"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D9D9D9"/>
            <w:vAlign w:val="center"/>
            <w:hideMark/>
          </w:tcPr>
          <w:p w14:paraId="62034A86"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Subtotal: Strategy 1</w:t>
            </w:r>
          </w:p>
        </w:tc>
        <w:tc>
          <w:tcPr>
            <w:tcW w:w="4730" w:type="dxa"/>
            <w:gridSpan w:val="2"/>
            <w:tcBorders>
              <w:top w:val="nil"/>
              <w:left w:val="nil"/>
              <w:bottom w:val="single" w:sz="4" w:space="0" w:color="FFFFFF"/>
              <w:right w:val="single" w:sz="4" w:space="0" w:color="FFFFFF"/>
            </w:tcBorders>
            <w:shd w:val="clear" w:color="000000" w:fill="D9D9D9"/>
            <w:noWrap/>
            <w:vAlign w:val="center"/>
            <w:hideMark/>
          </w:tcPr>
          <w:p w14:paraId="334EE3C7"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510,382.47</w:t>
            </w:r>
          </w:p>
        </w:tc>
        <w:tc>
          <w:tcPr>
            <w:tcW w:w="222" w:type="dxa"/>
            <w:vAlign w:val="center"/>
            <w:hideMark/>
          </w:tcPr>
          <w:p w14:paraId="74850EC0"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AC362E" w14:paraId="1F77FD56" w14:textId="77777777" w:rsidTr="00AC362E">
        <w:trPr>
          <w:trHeight w:val="319"/>
        </w:trPr>
        <w:tc>
          <w:tcPr>
            <w:tcW w:w="4460" w:type="dxa"/>
            <w:tcBorders>
              <w:top w:val="nil"/>
              <w:left w:val="single" w:sz="4" w:space="0" w:color="FFFFFF"/>
              <w:bottom w:val="single" w:sz="4" w:space="0" w:color="FFFFFF"/>
              <w:right w:val="single" w:sz="4" w:space="0" w:color="FFFFFF"/>
            </w:tcBorders>
            <w:shd w:val="clear" w:color="auto" w:fill="auto"/>
            <w:vAlign w:val="center"/>
            <w:hideMark/>
          </w:tcPr>
          <w:p w14:paraId="52DABA75" w14:textId="77777777" w:rsidR="00AC362E" w:rsidRPr="00AC362E" w:rsidRDefault="00AC362E" w:rsidP="00ED0631">
            <w:pPr>
              <w:spacing w:after="0"/>
              <w:rPr>
                <w:rFonts w:ascii="Arial" w:eastAsia="Times New Roman" w:hAnsi="Arial" w:cs="Arial"/>
                <w:b/>
                <w:bCs/>
                <w:color w:val="000000"/>
                <w:sz w:val="12"/>
                <w:szCs w:val="12"/>
                <w:lang w:eastAsia="en-AU"/>
              </w:rPr>
            </w:pPr>
            <w:r w:rsidRPr="00AC362E">
              <w:rPr>
                <w:rFonts w:ascii="Arial" w:eastAsia="Times New Roman" w:hAnsi="Arial" w:cs="Arial"/>
                <w:b/>
                <w:bCs/>
                <w:color w:val="000000"/>
                <w:sz w:val="12"/>
                <w:szCs w:val="12"/>
                <w:lang w:eastAsia="en-AU"/>
              </w:rPr>
              <w:t> </w:t>
            </w:r>
          </w:p>
        </w:tc>
        <w:tc>
          <w:tcPr>
            <w:tcW w:w="4730" w:type="dxa"/>
            <w:gridSpan w:val="2"/>
            <w:tcBorders>
              <w:top w:val="nil"/>
              <w:left w:val="nil"/>
              <w:bottom w:val="single" w:sz="4" w:space="0" w:color="FFFFFF"/>
              <w:right w:val="single" w:sz="4" w:space="0" w:color="FFFFFF"/>
            </w:tcBorders>
            <w:shd w:val="clear" w:color="auto" w:fill="auto"/>
            <w:noWrap/>
            <w:vAlign w:val="center"/>
            <w:hideMark/>
          </w:tcPr>
          <w:p w14:paraId="2C3003DB" w14:textId="77777777" w:rsidR="00AC362E" w:rsidRPr="00AC362E" w:rsidRDefault="00AC362E" w:rsidP="00ED0631">
            <w:pPr>
              <w:spacing w:after="0"/>
              <w:jc w:val="right"/>
              <w:rPr>
                <w:rFonts w:ascii="Arial" w:eastAsia="Times New Roman" w:hAnsi="Arial" w:cs="Arial"/>
                <w:b/>
                <w:bCs/>
                <w:color w:val="000000"/>
                <w:sz w:val="12"/>
                <w:szCs w:val="12"/>
                <w:lang w:eastAsia="en-AU"/>
              </w:rPr>
            </w:pPr>
            <w:r w:rsidRPr="00AC362E">
              <w:rPr>
                <w:rFonts w:ascii="Arial" w:eastAsia="Times New Roman" w:hAnsi="Arial" w:cs="Arial"/>
                <w:b/>
                <w:bCs/>
                <w:color w:val="000000"/>
                <w:sz w:val="12"/>
                <w:szCs w:val="12"/>
                <w:lang w:eastAsia="en-AU"/>
              </w:rPr>
              <w:t> </w:t>
            </w:r>
          </w:p>
        </w:tc>
        <w:tc>
          <w:tcPr>
            <w:tcW w:w="222" w:type="dxa"/>
            <w:vAlign w:val="center"/>
            <w:hideMark/>
          </w:tcPr>
          <w:p w14:paraId="4910AADF" w14:textId="77777777" w:rsidR="00AC362E" w:rsidRPr="00AC362E" w:rsidRDefault="00AC362E" w:rsidP="00ED0631">
            <w:pPr>
              <w:spacing w:after="0"/>
              <w:rPr>
                <w:rFonts w:ascii="Times New Roman" w:eastAsia="Times New Roman" w:hAnsi="Times New Roman" w:cs="Times New Roman"/>
                <w:sz w:val="12"/>
                <w:szCs w:val="12"/>
                <w:lang w:eastAsia="en-AU"/>
              </w:rPr>
            </w:pPr>
          </w:p>
        </w:tc>
      </w:tr>
      <w:tr w:rsidR="00AC362E" w:rsidRPr="00FF5E82" w14:paraId="73B1E41B"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593E9B4A"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Strategy 2: Strengthening the Capacity of Teachers</w:t>
            </w:r>
          </w:p>
        </w:tc>
        <w:tc>
          <w:tcPr>
            <w:tcW w:w="222" w:type="dxa"/>
            <w:vAlign w:val="center"/>
            <w:hideMark/>
          </w:tcPr>
          <w:p w14:paraId="51D857EC"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7C137FEA"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14:paraId="0A88C4D1" w14:textId="77777777" w:rsidR="00AC362E" w:rsidRPr="00FF5E82" w:rsidRDefault="00AC362E" w:rsidP="00ED0631">
            <w:pPr>
              <w:spacing w:after="0"/>
              <w:rPr>
                <w:rFonts w:ascii="Arial" w:eastAsia="Times New Roman" w:hAnsi="Arial" w:cs="Arial"/>
                <w:b/>
                <w:bCs/>
                <w:lang w:eastAsia="en-AU"/>
              </w:rPr>
            </w:pPr>
            <w:r w:rsidRPr="00FF5E82">
              <w:rPr>
                <w:rFonts w:ascii="Arial" w:eastAsia="Times New Roman" w:hAnsi="Arial" w:cs="Arial"/>
                <w:b/>
                <w:bCs/>
                <w:lang w:eastAsia="en-AU"/>
              </w:rPr>
              <w:t xml:space="preserve">Output 1.2 -  All teachers of single and multigrade classes in Yrs 1-4 have increased capacity </w:t>
            </w:r>
          </w:p>
        </w:tc>
        <w:tc>
          <w:tcPr>
            <w:tcW w:w="222" w:type="dxa"/>
            <w:vAlign w:val="center"/>
            <w:hideMark/>
          </w:tcPr>
          <w:p w14:paraId="3BF333B5"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169C4A5D"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F2F2F2"/>
            <w:vAlign w:val="center"/>
            <w:hideMark/>
          </w:tcPr>
          <w:p w14:paraId="131F3A0F"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1.2.1 - Early years literacy &amp; numeracy</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30030347"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992,281.78</w:t>
            </w:r>
          </w:p>
        </w:tc>
        <w:tc>
          <w:tcPr>
            <w:tcW w:w="222" w:type="dxa"/>
            <w:vAlign w:val="center"/>
            <w:hideMark/>
          </w:tcPr>
          <w:p w14:paraId="7EA18C9C"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2AC3E032"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F2F2F2"/>
            <w:vAlign w:val="center"/>
            <w:hideMark/>
          </w:tcPr>
          <w:p w14:paraId="04DD97D9"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1.2.2 - Kiribati English Language Program</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44170CF0"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1,415,483.09</w:t>
            </w:r>
          </w:p>
        </w:tc>
        <w:tc>
          <w:tcPr>
            <w:tcW w:w="222" w:type="dxa"/>
            <w:vAlign w:val="center"/>
            <w:hideMark/>
          </w:tcPr>
          <w:p w14:paraId="43583A5D"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2FEB4DD5"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F2F2F2"/>
            <w:vAlign w:val="center"/>
            <w:hideMark/>
          </w:tcPr>
          <w:p w14:paraId="377CB2E9"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1.2.3 - KTC Strengthening</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45E858D4"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118,400.73</w:t>
            </w:r>
          </w:p>
        </w:tc>
        <w:tc>
          <w:tcPr>
            <w:tcW w:w="222" w:type="dxa"/>
            <w:vAlign w:val="center"/>
            <w:hideMark/>
          </w:tcPr>
          <w:p w14:paraId="7DA4A217"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1D4F6576"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F2F2F2"/>
            <w:vAlign w:val="center"/>
            <w:hideMark/>
          </w:tcPr>
          <w:p w14:paraId="7115B96B"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1.2.4 - SLPD Program to support TPD</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6977444A"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290,064.82</w:t>
            </w:r>
          </w:p>
        </w:tc>
        <w:tc>
          <w:tcPr>
            <w:tcW w:w="222" w:type="dxa"/>
            <w:vAlign w:val="center"/>
            <w:hideMark/>
          </w:tcPr>
          <w:p w14:paraId="1F83C5FE"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74D5ACF"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D9D9D9"/>
            <w:noWrap/>
            <w:vAlign w:val="center"/>
            <w:hideMark/>
          </w:tcPr>
          <w:p w14:paraId="09F41E96"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Subtotal: Strategy 2</w:t>
            </w:r>
          </w:p>
        </w:tc>
        <w:tc>
          <w:tcPr>
            <w:tcW w:w="4730" w:type="dxa"/>
            <w:gridSpan w:val="2"/>
            <w:tcBorders>
              <w:top w:val="nil"/>
              <w:left w:val="nil"/>
              <w:bottom w:val="single" w:sz="4" w:space="0" w:color="FFFFFF"/>
              <w:right w:val="single" w:sz="4" w:space="0" w:color="FFFFFF"/>
            </w:tcBorders>
            <w:shd w:val="clear" w:color="000000" w:fill="D9D9D9"/>
            <w:noWrap/>
            <w:vAlign w:val="center"/>
            <w:hideMark/>
          </w:tcPr>
          <w:p w14:paraId="7546153D"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2,816,230.42</w:t>
            </w:r>
          </w:p>
        </w:tc>
        <w:tc>
          <w:tcPr>
            <w:tcW w:w="222" w:type="dxa"/>
            <w:vAlign w:val="center"/>
            <w:hideMark/>
          </w:tcPr>
          <w:p w14:paraId="1CA9C092"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42BE1576" w14:textId="77777777" w:rsidTr="00AC362E">
        <w:trPr>
          <w:trHeight w:val="319"/>
        </w:trPr>
        <w:tc>
          <w:tcPr>
            <w:tcW w:w="4460" w:type="dxa"/>
            <w:tcBorders>
              <w:top w:val="nil"/>
              <w:left w:val="single" w:sz="4" w:space="0" w:color="FFFFFF"/>
              <w:bottom w:val="single" w:sz="4" w:space="0" w:color="FFFFFF"/>
              <w:right w:val="single" w:sz="4" w:space="0" w:color="FFFFFF"/>
            </w:tcBorders>
            <w:shd w:val="clear" w:color="auto" w:fill="auto"/>
            <w:noWrap/>
            <w:vAlign w:val="center"/>
            <w:hideMark/>
          </w:tcPr>
          <w:p w14:paraId="2DA192C3"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4730" w:type="dxa"/>
            <w:gridSpan w:val="2"/>
            <w:tcBorders>
              <w:top w:val="nil"/>
              <w:left w:val="nil"/>
              <w:bottom w:val="single" w:sz="4" w:space="0" w:color="FFFFFF"/>
              <w:right w:val="single" w:sz="4" w:space="0" w:color="FFFFFF"/>
            </w:tcBorders>
            <w:shd w:val="clear" w:color="auto" w:fill="auto"/>
            <w:noWrap/>
            <w:vAlign w:val="center"/>
            <w:hideMark/>
          </w:tcPr>
          <w:p w14:paraId="2A881B55"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222" w:type="dxa"/>
            <w:vAlign w:val="center"/>
            <w:hideMark/>
          </w:tcPr>
          <w:p w14:paraId="428D5336"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478195C6"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114A175A"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Strategy 3: Improving School Infrastructure</w:t>
            </w:r>
          </w:p>
        </w:tc>
        <w:tc>
          <w:tcPr>
            <w:tcW w:w="222" w:type="dxa"/>
            <w:vAlign w:val="center"/>
            <w:hideMark/>
          </w:tcPr>
          <w:p w14:paraId="626E961C"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59CD757E"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14:paraId="515BB275" w14:textId="77777777" w:rsidR="00AC362E" w:rsidRPr="00FF5E82" w:rsidRDefault="00AC362E" w:rsidP="00ED0631">
            <w:pPr>
              <w:spacing w:after="0"/>
              <w:rPr>
                <w:rFonts w:ascii="Arial" w:eastAsia="Times New Roman" w:hAnsi="Arial" w:cs="Arial"/>
                <w:b/>
                <w:bCs/>
                <w:lang w:eastAsia="en-AU"/>
              </w:rPr>
            </w:pPr>
            <w:r w:rsidRPr="00FF5E82">
              <w:rPr>
                <w:rFonts w:ascii="Arial" w:eastAsia="Times New Roman" w:hAnsi="Arial" w:cs="Arial"/>
                <w:b/>
                <w:bCs/>
                <w:lang w:eastAsia="en-AU"/>
              </w:rPr>
              <w:t>Output 1.3 - More children are learning in rehabilitated classrooms</w:t>
            </w:r>
          </w:p>
        </w:tc>
        <w:tc>
          <w:tcPr>
            <w:tcW w:w="222" w:type="dxa"/>
            <w:vAlign w:val="center"/>
            <w:hideMark/>
          </w:tcPr>
          <w:p w14:paraId="45DA1110"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6447994" w14:textId="77777777" w:rsidTr="00AC362E">
        <w:trPr>
          <w:trHeight w:val="360"/>
        </w:trPr>
        <w:tc>
          <w:tcPr>
            <w:tcW w:w="4820" w:type="dxa"/>
            <w:gridSpan w:val="2"/>
            <w:tcBorders>
              <w:top w:val="nil"/>
              <w:left w:val="single" w:sz="4" w:space="0" w:color="FFFFFF"/>
              <w:bottom w:val="single" w:sz="4" w:space="0" w:color="FFFFFF"/>
              <w:right w:val="single" w:sz="4" w:space="0" w:color="FFFFFF"/>
            </w:tcBorders>
            <w:shd w:val="clear" w:color="000000" w:fill="F2F2F2"/>
            <w:noWrap/>
            <w:vAlign w:val="center"/>
            <w:hideMark/>
          </w:tcPr>
          <w:p w14:paraId="3A214514"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1.3.1 - Primary School Rehabilitation Plan</w:t>
            </w:r>
          </w:p>
        </w:tc>
        <w:tc>
          <w:tcPr>
            <w:tcW w:w="4370" w:type="dxa"/>
            <w:tcBorders>
              <w:top w:val="nil"/>
              <w:left w:val="nil"/>
              <w:bottom w:val="single" w:sz="4" w:space="0" w:color="FFFFFF"/>
              <w:right w:val="single" w:sz="4" w:space="0" w:color="FFFFFF"/>
            </w:tcBorders>
            <w:shd w:val="clear" w:color="000000" w:fill="F2F2F2"/>
            <w:noWrap/>
            <w:vAlign w:val="center"/>
            <w:hideMark/>
          </w:tcPr>
          <w:p w14:paraId="2963F618"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6,849,372.01</w:t>
            </w:r>
          </w:p>
        </w:tc>
        <w:tc>
          <w:tcPr>
            <w:tcW w:w="222" w:type="dxa"/>
            <w:vAlign w:val="center"/>
            <w:hideMark/>
          </w:tcPr>
          <w:p w14:paraId="7AE4CAC9"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79163DCC" w14:textId="77777777" w:rsidTr="00AC362E">
        <w:trPr>
          <w:trHeight w:val="360"/>
        </w:trPr>
        <w:tc>
          <w:tcPr>
            <w:tcW w:w="4820" w:type="dxa"/>
            <w:gridSpan w:val="2"/>
            <w:tcBorders>
              <w:top w:val="nil"/>
              <w:left w:val="single" w:sz="4" w:space="0" w:color="FFFFFF"/>
              <w:bottom w:val="single" w:sz="4" w:space="0" w:color="FFFFFF"/>
              <w:right w:val="single" w:sz="4" w:space="0" w:color="FFFFFF"/>
            </w:tcBorders>
            <w:shd w:val="clear" w:color="000000" w:fill="D9D9D9"/>
            <w:noWrap/>
            <w:vAlign w:val="center"/>
            <w:hideMark/>
          </w:tcPr>
          <w:p w14:paraId="7BF906A4"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Subtotal: Strategy 3</w:t>
            </w:r>
          </w:p>
        </w:tc>
        <w:tc>
          <w:tcPr>
            <w:tcW w:w="4370" w:type="dxa"/>
            <w:tcBorders>
              <w:top w:val="nil"/>
              <w:left w:val="nil"/>
              <w:bottom w:val="single" w:sz="4" w:space="0" w:color="FFFFFF"/>
              <w:right w:val="single" w:sz="4" w:space="0" w:color="FFFFFF"/>
            </w:tcBorders>
            <w:shd w:val="clear" w:color="000000" w:fill="D9D9D9"/>
            <w:noWrap/>
            <w:vAlign w:val="center"/>
            <w:hideMark/>
          </w:tcPr>
          <w:p w14:paraId="1B80C6A7"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6,849,372.01</w:t>
            </w:r>
          </w:p>
        </w:tc>
        <w:tc>
          <w:tcPr>
            <w:tcW w:w="222" w:type="dxa"/>
            <w:vAlign w:val="center"/>
            <w:hideMark/>
          </w:tcPr>
          <w:p w14:paraId="3651BEEC"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44BA8B5" w14:textId="77777777" w:rsidTr="00AC362E">
        <w:trPr>
          <w:trHeight w:val="319"/>
        </w:trPr>
        <w:tc>
          <w:tcPr>
            <w:tcW w:w="4820" w:type="dxa"/>
            <w:gridSpan w:val="2"/>
            <w:tcBorders>
              <w:top w:val="nil"/>
              <w:left w:val="single" w:sz="4" w:space="0" w:color="FFFFFF"/>
              <w:bottom w:val="single" w:sz="4" w:space="0" w:color="FFFFFF"/>
              <w:right w:val="single" w:sz="4" w:space="0" w:color="FFFFFF"/>
            </w:tcBorders>
            <w:shd w:val="clear" w:color="auto" w:fill="auto"/>
            <w:noWrap/>
            <w:vAlign w:val="center"/>
            <w:hideMark/>
          </w:tcPr>
          <w:p w14:paraId="654DA1AF"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4370" w:type="dxa"/>
            <w:tcBorders>
              <w:top w:val="nil"/>
              <w:left w:val="nil"/>
              <w:bottom w:val="single" w:sz="4" w:space="0" w:color="FFFFFF"/>
              <w:right w:val="single" w:sz="4" w:space="0" w:color="FFFFFF"/>
            </w:tcBorders>
            <w:shd w:val="clear" w:color="auto" w:fill="auto"/>
            <w:noWrap/>
            <w:vAlign w:val="center"/>
            <w:hideMark/>
          </w:tcPr>
          <w:p w14:paraId="6E40AA09"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222" w:type="dxa"/>
            <w:vAlign w:val="center"/>
            <w:hideMark/>
          </w:tcPr>
          <w:p w14:paraId="41C817F3"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23D8E124"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55940304"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Strategy 4: Enhancing the School Community Partnership</w:t>
            </w:r>
          </w:p>
        </w:tc>
        <w:tc>
          <w:tcPr>
            <w:tcW w:w="222" w:type="dxa"/>
            <w:vAlign w:val="center"/>
            <w:hideMark/>
          </w:tcPr>
          <w:p w14:paraId="2A44936F"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557405F2" w14:textId="77777777" w:rsidTr="00AC362E">
        <w:trPr>
          <w:trHeight w:val="630"/>
        </w:trPr>
        <w:tc>
          <w:tcPr>
            <w:tcW w:w="9190" w:type="dxa"/>
            <w:gridSpan w:val="3"/>
            <w:tcBorders>
              <w:top w:val="single" w:sz="4" w:space="0" w:color="FFFFFF"/>
              <w:left w:val="single" w:sz="4" w:space="0" w:color="FFFFFF"/>
              <w:bottom w:val="single" w:sz="4" w:space="0" w:color="FFFFFF"/>
              <w:right w:val="nil"/>
            </w:tcBorders>
            <w:shd w:val="clear" w:color="000000" w:fill="F2F2F2"/>
            <w:vAlign w:val="center"/>
            <w:hideMark/>
          </w:tcPr>
          <w:p w14:paraId="5241F76C"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Output 2.1 - More schools have effective partnerships with their communities to develop quality education</w:t>
            </w:r>
          </w:p>
        </w:tc>
        <w:tc>
          <w:tcPr>
            <w:tcW w:w="222" w:type="dxa"/>
            <w:vAlign w:val="center"/>
            <w:hideMark/>
          </w:tcPr>
          <w:p w14:paraId="47BDBFCD"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1D2D88EE" w14:textId="77777777" w:rsidTr="00AC362E">
        <w:trPr>
          <w:trHeight w:val="360"/>
        </w:trPr>
        <w:tc>
          <w:tcPr>
            <w:tcW w:w="4820" w:type="dxa"/>
            <w:gridSpan w:val="2"/>
            <w:tcBorders>
              <w:top w:val="nil"/>
              <w:left w:val="single" w:sz="4" w:space="0" w:color="FFFFFF"/>
              <w:bottom w:val="single" w:sz="4" w:space="0" w:color="FFFFFF"/>
              <w:right w:val="single" w:sz="4" w:space="0" w:color="FFFFFF"/>
            </w:tcBorders>
            <w:shd w:val="clear" w:color="000000" w:fill="F2F2F2"/>
            <w:noWrap/>
            <w:vAlign w:val="center"/>
            <w:hideMark/>
          </w:tcPr>
          <w:p w14:paraId="5F14F306"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2.1.1 - Community Engagement Program</w:t>
            </w:r>
          </w:p>
        </w:tc>
        <w:tc>
          <w:tcPr>
            <w:tcW w:w="4370" w:type="dxa"/>
            <w:tcBorders>
              <w:top w:val="nil"/>
              <w:left w:val="nil"/>
              <w:bottom w:val="single" w:sz="4" w:space="0" w:color="FFFFFF"/>
              <w:right w:val="single" w:sz="4" w:space="0" w:color="FFFFFF"/>
            </w:tcBorders>
            <w:shd w:val="clear" w:color="000000" w:fill="F2F2F2"/>
            <w:noWrap/>
            <w:vAlign w:val="center"/>
            <w:hideMark/>
          </w:tcPr>
          <w:p w14:paraId="41BC0C6A"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313,256.75</w:t>
            </w:r>
          </w:p>
        </w:tc>
        <w:tc>
          <w:tcPr>
            <w:tcW w:w="222" w:type="dxa"/>
            <w:vAlign w:val="center"/>
            <w:hideMark/>
          </w:tcPr>
          <w:p w14:paraId="6635132D"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1C55B2BA" w14:textId="77777777" w:rsidTr="00AC362E">
        <w:trPr>
          <w:trHeight w:val="360"/>
        </w:trPr>
        <w:tc>
          <w:tcPr>
            <w:tcW w:w="4820" w:type="dxa"/>
            <w:gridSpan w:val="2"/>
            <w:tcBorders>
              <w:top w:val="nil"/>
              <w:left w:val="single" w:sz="4" w:space="0" w:color="FFFFFF"/>
              <w:bottom w:val="single" w:sz="4" w:space="0" w:color="FFFFFF"/>
              <w:right w:val="single" w:sz="4" w:space="0" w:color="FFFFFF"/>
            </w:tcBorders>
            <w:shd w:val="clear" w:color="000000" w:fill="F2F2F2"/>
            <w:noWrap/>
            <w:vAlign w:val="center"/>
            <w:hideMark/>
          </w:tcPr>
          <w:p w14:paraId="76EAD54B"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2.1.2 - Research on Improving Access</w:t>
            </w:r>
          </w:p>
        </w:tc>
        <w:tc>
          <w:tcPr>
            <w:tcW w:w="4370" w:type="dxa"/>
            <w:tcBorders>
              <w:top w:val="nil"/>
              <w:left w:val="nil"/>
              <w:bottom w:val="single" w:sz="4" w:space="0" w:color="FFFFFF"/>
              <w:right w:val="single" w:sz="4" w:space="0" w:color="FFFFFF"/>
            </w:tcBorders>
            <w:shd w:val="clear" w:color="000000" w:fill="F2F2F2"/>
            <w:noWrap/>
            <w:vAlign w:val="center"/>
            <w:hideMark/>
          </w:tcPr>
          <w:p w14:paraId="2A059F59"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157,553.44</w:t>
            </w:r>
          </w:p>
        </w:tc>
        <w:tc>
          <w:tcPr>
            <w:tcW w:w="222" w:type="dxa"/>
            <w:vAlign w:val="center"/>
            <w:hideMark/>
          </w:tcPr>
          <w:p w14:paraId="34BEF1F9"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5A3B363C" w14:textId="77777777" w:rsidTr="00AC362E">
        <w:trPr>
          <w:trHeight w:val="360"/>
        </w:trPr>
        <w:tc>
          <w:tcPr>
            <w:tcW w:w="4820" w:type="dxa"/>
            <w:gridSpan w:val="2"/>
            <w:tcBorders>
              <w:top w:val="nil"/>
              <w:left w:val="single" w:sz="4" w:space="0" w:color="FFFFFF"/>
              <w:bottom w:val="single" w:sz="4" w:space="0" w:color="FFFFFF"/>
              <w:right w:val="single" w:sz="4" w:space="0" w:color="FFFFFF"/>
            </w:tcBorders>
            <w:shd w:val="clear" w:color="000000" w:fill="D9D9D9"/>
            <w:noWrap/>
            <w:vAlign w:val="center"/>
            <w:hideMark/>
          </w:tcPr>
          <w:p w14:paraId="1EB6582C"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Subtotal: Strategy 4</w:t>
            </w:r>
          </w:p>
        </w:tc>
        <w:tc>
          <w:tcPr>
            <w:tcW w:w="4370" w:type="dxa"/>
            <w:tcBorders>
              <w:top w:val="nil"/>
              <w:left w:val="nil"/>
              <w:bottom w:val="single" w:sz="4" w:space="0" w:color="FFFFFF"/>
              <w:right w:val="single" w:sz="4" w:space="0" w:color="FFFFFF"/>
            </w:tcBorders>
            <w:shd w:val="clear" w:color="000000" w:fill="D9D9D9"/>
            <w:noWrap/>
            <w:vAlign w:val="center"/>
            <w:hideMark/>
          </w:tcPr>
          <w:p w14:paraId="54615837"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470,810.19</w:t>
            </w:r>
          </w:p>
        </w:tc>
        <w:tc>
          <w:tcPr>
            <w:tcW w:w="222" w:type="dxa"/>
            <w:vAlign w:val="center"/>
            <w:hideMark/>
          </w:tcPr>
          <w:p w14:paraId="358213B7"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1E4698E" w14:textId="77777777" w:rsidTr="00AC362E">
        <w:trPr>
          <w:trHeight w:val="319"/>
        </w:trPr>
        <w:tc>
          <w:tcPr>
            <w:tcW w:w="4820" w:type="dxa"/>
            <w:gridSpan w:val="2"/>
            <w:tcBorders>
              <w:top w:val="nil"/>
              <w:left w:val="single" w:sz="4" w:space="0" w:color="FFFFFF"/>
              <w:bottom w:val="single" w:sz="4" w:space="0" w:color="FFFFFF"/>
              <w:right w:val="single" w:sz="4" w:space="0" w:color="FFFFFF"/>
            </w:tcBorders>
            <w:shd w:val="clear" w:color="auto" w:fill="auto"/>
            <w:noWrap/>
            <w:vAlign w:val="center"/>
            <w:hideMark/>
          </w:tcPr>
          <w:p w14:paraId="2C9C8513"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4370" w:type="dxa"/>
            <w:tcBorders>
              <w:top w:val="nil"/>
              <w:left w:val="nil"/>
              <w:bottom w:val="single" w:sz="4" w:space="0" w:color="FFFFFF"/>
              <w:right w:val="single" w:sz="4" w:space="0" w:color="FFFFFF"/>
            </w:tcBorders>
            <w:shd w:val="clear" w:color="auto" w:fill="auto"/>
            <w:noWrap/>
            <w:vAlign w:val="center"/>
            <w:hideMark/>
          </w:tcPr>
          <w:p w14:paraId="0BA9E540"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 </w:t>
            </w:r>
          </w:p>
        </w:tc>
        <w:tc>
          <w:tcPr>
            <w:tcW w:w="222" w:type="dxa"/>
            <w:vAlign w:val="center"/>
            <w:hideMark/>
          </w:tcPr>
          <w:p w14:paraId="0FCC7656"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31094FC"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22B23BCA"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 xml:space="preserve">Strategy 5: Strengthening MoE capacity to plan, monitor and improve sector performance </w:t>
            </w:r>
          </w:p>
        </w:tc>
        <w:tc>
          <w:tcPr>
            <w:tcW w:w="222" w:type="dxa"/>
            <w:vAlign w:val="center"/>
            <w:hideMark/>
          </w:tcPr>
          <w:p w14:paraId="2AAC67A3"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4A7C1733" w14:textId="77777777" w:rsidTr="00AC362E">
        <w:trPr>
          <w:trHeight w:val="360"/>
        </w:trPr>
        <w:tc>
          <w:tcPr>
            <w:tcW w:w="9190" w:type="dxa"/>
            <w:gridSpan w:val="3"/>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14:paraId="1E3046F0"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Output 2.2 - MoE has greater capacity to plan and monitor the delivery of quality education services</w:t>
            </w:r>
          </w:p>
        </w:tc>
        <w:tc>
          <w:tcPr>
            <w:tcW w:w="222" w:type="dxa"/>
            <w:vAlign w:val="center"/>
            <w:hideMark/>
          </w:tcPr>
          <w:p w14:paraId="3D1E324A"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27F0464"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F2F2F2"/>
            <w:noWrap/>
            <w:vAlign w:val="center"/>
            <w:hideMark/>
          </w:tcPr>
          <w:p w14:paraId="1592E2F6" w14:textId="77777777" w:rsidR="00AC362E" w:rsidRPr="00FF5E82" w:rsidRDefault="00AC362E" w:rsidP="00ED0631">
            <w:pPr>
              <w:spacing w:after="0"/>
              <w:rPr>
                <w:rFonts w:ascii="Arial" w:eastAsia="Times New Roman" w:hAnsi="Arial" w:cs="Arial"/>
                <w:color w:val="000000"/>
                <w:lang w:eastAsia="en-AU"/>
              </w:rPr>
            </w:pPr>
            <w:r w:rsidRPr="00FF5E82">
              <w:rPr>
                <w:rFonts w:ascii="Arial" w:eastAsia="Times New Roman" w:hAnsi="Arial" w:cs="Arial"/>
                <w:color w:val="000000"/>
                <w:lang w:eastAsia="en-AU"/>
              </w:rPr>
              <w:t>Activity 2.2.1 - Support for MoE functions</w:t>
            </w:r>
          </w:p>
        </w:tc>
        <w:tc>
          <w:tcPr>
            <w:tcW w:w="4730" w:type="dxa"/>
            <w:gridSpan w:val="2"/>
            <w:tcBorders>
              <w:top w:val="nil"/>
              <w:left w:val="nil"/>
              <w:bottom w:val="single" w:sz="4" w:space="0" w:color="FFFFFF"/>
              <w:right w:val="single" w:sz="4" w:space="0" w:color="FFFFFF"/>
            </w:tcBorders>
            <w:shd w:val="clear" w:color="000000" w:fill="F2F2F2"/>
            <w:noWrap/>
            <w:vAlign w:val="center"/>
            <w:hideMark/>
          </w:tcPr>
          <w:p w14:paraId="3F19AC44" w14:textId="77777777" w:rsidR="00AC362E" w:rsidRPr="00FF5E82" w:rsidRDefault="00AC362E" w:rsidP="00ED0631">
            <w:pPr>
              <w:spacing w:after="0"/>
              <w:jc w:val="right"/>
              <w:rPr>
                <w:rFonts w:ascii="Arial" w:eastAsia="Times New Roman" w:hAnsi="Arial" w:cs="Arial"/>
                <w:color w:val="000000"/>
                <w:lang w:eastAsia="en-AU"/>
              </w:rPr>
            </w:pPr>
            <w:r w:rsidRPr="00FF5E82">
              <w:rPr>
                <w:rFonts w:ascii="Arial" w:eastAsia="Times New Roman" w:hAnsi="Arial" w:cs="Arial"/>
                <w:color w:val="000000"/>
                <w:lang w:eastAsia="en-AU"/>
              </w:rPr>
              <w:t>233,156.36</w:t>
            </w:r>
          </w:p>
        </w:tc>
        <w:tc>
          <w:tcPr>
            <w:tcW w:w="222" w:type="dxa"/>
            <w:vAlign w:val="center"/>
            <w:hideMark/>
          </w:tcPr>
          <w:p w14:paraId="56F28FAF"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34E67A5A"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D9D9D9"/>
            <w:noWrap/>
            <w:vAlign w:val="center"/>
            <w:hideMark/>
          </w:tcPr>
          <w:p w14:paraId="4DD845AC" w14:textId="77777777" w:rsidR="00AC362E" w:rsidRPr="00FF5E82" w:rsidRDefault="00AC362E" w:rsidP="00ED0631">
            <w:pPr>
              <w:spacing w:after="0"/>
              <w:rPr>
                <w:rFonts w:ascii="Arial" w:eastAsia="Times New Roman" w:hAnsi="Arial" w:cs="Arial"/>
                <w:b/>
                <w:bCs/>
                <w:color w:val="000000"/>
                <w:lang w:eastAsia="en-AU"/>
              </w:rPr>
            </w:pPr>
            <w:r w:rsidRPr="00FF5E82">
              <w:rPr>
                <w:rFonts w:ascii="Arial" w:eastAsia="Times New Roman" w:hAnsi="Arial" w:cs="Arial"/>
                <w:b/>
                <w:bCs/>
                <w:color w:val="000000"/>
                <w:lang w:eastAsia="en-AU"/>
              </w:rPr>
              <w:t>Subtotal: Strategy 5</w:t>
            </w:r>
          </w:p>
        </w:tc>
        <w:tc>
          <w:tcPr>
            <w:tcW w:w="4730" w:type="dxa"/>
            <w:gridSpan w:val="2"/>
            <w:tcBorders>
              <w:top w:val="nil"/>
              <w:left w:val="nil"/>
              <w:bottom w:val="single" w:sz="4" w:space="0" w:color="FFFFFF"/>
              <w:right w:val="single" w:sz="4" w:space="0" w:color="FFFFFF"/>
            </w:tcBorders>
            <w:shd w:val="clear" w:color="000000" w:fill="D9D9D9"/>
            <w:noWrap/>
            <w:vAlign w:val="center"/>
            <w:hideMark/>
          </w:tcPr>
          <w:p w14:paraId="7CF5AD0D" w14:textId="77777777" w:rsidR="00AC362E" w:rsidRPr="00FF5E82" w:rsidRDefault="00AC362E" w:rsidP="00ED0631">
            <w:pPr>
              <w:spacing w:after="0"/>
              <w:jc w:val="right"/>
              <w:rPr>
                <w:rFonts w:ascii="Arial" w:eastAsia="Times New Roman" w:hAnsi="Arial" w:cs="Arial"/>
                <w:b/>
                <w:bCs/>
                <w:color w:val="000000"/>
                <w:lang w:eastAsia="en-AU"/>
              </w:rPr>
            </w:pPr>
            <w:r w:rsidRPr="00FF5E82">
              <w:rPr>
                <w:rFonts w:ascii="Arial" w:eastAsia="Times New Roman" w:hAnsi="Arial" w:cs="Arial"/>
                <w:b/>
                <w:bCs/>
                <w:color w:val="000000"/>
                <w:lang w:eastAsia="en-AU"/>
              </w:rPr>
              <w:t>233,156.36</w:t>
            </w:r>
          </w:p>
        </w:tc>
        <w:tc>
          <w:tcPr>
            <w:tcW w:w="222" w:type="dxa"/>
            <w:vAlign w:val="center"/>
            <w:hideMark/>
          </w:tcPr>
          <w:p w14:paraId="77FCB631" w14:textId="77777777" w:rsidR="00AC362E" w:rsidRPr="00FF5E82" w:rsidRDefault="00AC362E" w:rsidP="00ED0631">
            <w:pPr>
              <w:spacing w:after="0"/>
              <w:rPr>
                <w:rFonts w:ascii="Times New Roman" w:eastAsia="Times New Roman" w:hAnsi="Times New Roman" w:cs="Times New Roman"/>
                <w:lang w:eastAsia="en-AU"/>
              </w:rPr>
            </w:pPr>
          </w:p>
        </w:tc>
      </w:tr>
      <w:tr w:rsidR="00AC362E" w:rsidRPr="00FF5E82" w14:paraId="6652281E" w14:textId="77777777" w:rsidTr="00AC362E">
        <w:trPr>
          <w:trHeight w:val="360"/>
        </w:trPr>
        <w:tc>
          <w:tcPr>
            <w:tcW w:w="4460" w:type="dxa"/>
            <w:tcBorders>
              <w:top w:val="nil"/>
              <w:left w:val="single" w:sz="4" w:space="0" w:color="FFFFFF"/>
              <w:bottom w:val="single" w:sz="4" w:space="0" w:color="FFFFFF"/>
              <w:right w:val="single" w:sz="4" w:space="0" w:color="FFFFFF"/>
            </w:tcBorders>
            <w:shd w:val="clear" w:color="000000" w:fill="BFBFBF"/>
            <w:noWrap/>
            <w:vAlign w:val="center"/>
            <w:hideMark/>
          </w:tcPr>
          <w:p w14:paraId="08F08E9D" w14:textId="77777777" w:rsidR="00AC362E" w:rsidRPr="00FF5E82" w:rsidRDefault="00AC362E" w:rsidP="00ED0631">
            <w:pPr>
              <w:spacing w:after="0"/>
              <w:rPr>
                <w:rFonts w:ascii="Arial" w:eastAsia="Times New Roman" w:hAnsi="Arial" w:cs="Arial"/>
                <w:b/>
                <w:bCs/>
                <w:lang w:eastAsia="en-AU"/>
              </w:rPr>
            </w:pPr>
            <w:r w:rsidRPr="00FF5E82">
              <w:rPr>
                <w:rFonts w:ascii="Arial" w:eastAsia="Times New Roman" w:hAnsi="Arial" w:cs="Arial"/>
                <w:b/>
                <w:bCs/>
                <w:lang w:eastAsia="en-AU"/>
              </w:rPr>
              <w:t>KEIP Phase II Total Expenditure</w:t>
            </w:r>
          </w:p>
        </w:tc>
        <w:tc>
          <w:tcPr>
            <w:tcW w:w="4730" w:type="dxa"/>
            <w:gridSpan w:val="2"/>
            <w:tcBorders>
              <w:top w:val="nil"/>
              <w:left w:val="nil"/>
              <w:bottom w:val="single" w:sz="4" w:space="0" w:color="FFFFFF"/>
              <w:right w:val="single" w:sz="4" w:space="0" w:color="FFFFFF"/>
            </w:tcBorders>
            <w:shd w:val="clear" w:color="000000" w:fill="BFBFBF"/>
            <w:noWrap/>
            <w:vAlign w:val="center"/>
            <w:hideMark/>
          </w:tcPr>
          <w:p w14:paraId="0F9BCE31" w14:textId="77777777" w:rsidR="00AC362E" w:rsidRPr="00FF5E82" w:rsidRDefault="00AC362E" w:rsidP="00ED0631">
            <w:pPr>
              <w:spacing w:after="0"/>
              <w:jc w:val="right"/>
              <w:rPr>
                <w:rFonts w:ascii="Arial" w:eastAsia="Times New Roman" w:hAnsi="Arial" w:cs="Arial"/>
                <w:b/>
                <w:bCs/>
                <w:lang w:eastAsia="en-AU"/>
              </w:rPr>
            </w:pPr>
            <w:r w:rsidRPr="00FF5E82">
              <w:rPr>
                <w:rFonts w:ascii="Arial" w:eastAsia="Times New Roman" w:hAnsi="Arial" w:cs="Arial"/>
                <w:b/>
                <w:bCs/>
                <w:lang w:eastAsia="en-AU"/>
              </w:rPr>
              <w:t>22,063,291.39</w:t>
            </w:r>
          </w:p>
        </w:tc>
        <w:tc>
          <w:tcPr>
            <w:tcW w:w="222" w:type="dxa"/>
            <w:vAlign w:val="center"/>
            <w:hideMark/>
          </w:tcPr>
          <w:p w14:paraId="6741E745" w14:textId="77777777" w:rsidR="00AC362E" w:rsidRPr="00FF5E82" w:rsidRDefault="00AC362E" w:rsidP="00ED0631">
            <w:pPr>
              <w:spacing w:after="0"/>
              <w:rPr>
                <w:rFonts w:ascii="Times New Roman" w:eastAsia="Times New Roman" w:hAnsi="Times New Roman" w:cs="Times New Roman"/>
                <w:lang w:eastAsia="en-AU"/>
              </w:rPr>
            </w:pPr>
          </w:p>
        </w:tc>
      </w:tr>
    </w:tbl>
    <w:p w14:paraId="09BB11B7" w14:textId="77777777" w:rsidR="00AC362E" w:rsidRDefault="00AC362E" w:rsidP="0060082A">
      <w:pPr>
        <w:rPr>
          <w:rFonts w:asciiTheme="majorHAnsi" w:hAnsiTheme="majorHAnsi" w:cstheme="majorHAnsi"/>
          <w:color w:val="EB6E08" w:themeColor="text2"/>
        </w:rPr>
        <w:sectPr w:rsidR="00AC362E" w:rsidSect="00ED0631">
          <w:pgSz w:w="11906" w:h="16838" w:code="9"/>
          <w:pgMar w:top="993" w:right="1247" w:bottom="1247" w:left="1247" w:header="709" w:footer="709" w:gutter="0"/>
          <w:pgNumType w:start="1"/>
          <w:cols w:space="708"/>
          <w:titlePg/>
          <w:docGrid w:linePitch="360"/>
        </w:sectPr>
      </w:pPr>
    </w:p>
    <w:p w14:paraId="6A3E0BC5" w14:textId="77777777" w:rsidR="00AC362E" w:rsidRPr="009705A2" w:rsidRDefault="00AC362E" w:rsidP="00DD2CE2">
      <w:pPr>
        <w:pStyle w:val="Heading1"/>
      </w:pPr>
      <w:bookmarkStart w:id="108" w:name="_Toc461615732"/>
      <w:r w:rsidRPr="009705A2">
        <w:lastRenderedPageBreak/>
        <w:t>Annex 4</w:t>
      </w:r>
      <w:bookmarkEnd w:id="108"/>
    </w:p>
    <w:p w14:paraId="69567242" w14:textId="77777777" w:rsidR="00AC362E" w:rsidRPr="009705A2" w:rsidRDefault="00AC362E" w:rsidP="00DD2CE2">
      <w:pPr>
        <w:pStyle w:val="Heading1"/>
      </w:pPr>
      <w:bookmarkStart w:id="109" w:name="_Toc461615733"/>
      <w:r w:rsidRPr="009705A2">
        <w:t>KEIP Research Synthesis Report</w:t>
      </w:r>
      <w:bookmarkEnd w:id="109"/>
    </w:p>
    <w:p w14:paraId="346A4B2F" w14:textId="77777777" w:rsidR="00AC362E" w:rsidRDefault="00AC362E" w:rsidP="00DD2CE2">
      <w:pPr>
        <w:pStyle w:val="Heading1"/>
        <w:rPr>
          <w:rFonts w:eastAsiaTheme="majorEastAsia" w:cstheme="majorBidi"/>
          <w:color w:val="AF5206" w:themeColor="text2" w:themeShade="BF"/>
          <w:spacing w:val="5"/>
          <w:kern w:val="28"/>
          <w:sz w:val="52"/>
          <w:szCs w:val="52"/>
        </w:rPr>
        <w:sectPr w:rsidR="00AC362E" w:rsidSect="00ED0631">
          <w:footerReference w:type="first" r:id="rId49"/>
          <w:pgSz w:w="11906" w:h="16838" w:code="9"/>
          <w:pgMar w:top="993" w:right="1247" w:bottom="1247" w:left="1247" w:header="709" w:footer="709" w:gutter="0"/>
          <w:pgNumType w:start="1"/>
          <w:cols w:space="708"/>
          <w:titlePg/>
          <w:docGrid w:linePitch="360"/>
        </w:sectPr>
      </w:pPr>
    </w:p>
    <w:p w14:paraId="7855595D" w14:textId="77777777" w:rsidR="00AC362E" w:rsidRPr="00E24C01" w:rsidRDefault="00AC362E" w:rsidP="00E24C01">
      <w:pPr>
        <w:spacing w:after="0"/>
        <w:rPr>
          <w:rFonts w:ascii="Arial" w:eastAsia="Arial" w:hAnsi="Arial" w:cs="Times New Roman"/>
          <w:b/>
          <w:sz w:val="28"/>
        </w:rPr>
      </w:pPr>
      <w:r w:rsidRPr="00E24C01">
        <w:rPr>
          <w:rFonts w:ascii="Arial" w:eastAsia="Arial" w:hAnsi="Arial" w:cs="Times New Roman"/>
          <w:b/>
          <w:sz w:val="28"/>
        </w:rPr>
        <w:lastRenderedPageBreak/>
        <w:t>Kiribati Education Facility (KEF)</w:t>
      </w:r>
    </w:p>
    <w:p w14:paraId="7D522A76" w14:textId="19F27F62" w:rsidR="00AC362E" w:rsidRPr="00E24C01" w:rsidRDefault="00AC362E" w:rsidP="00E24C01">
      <w:pPr>
        <w:spacing w:before="240" w:after="240"/>
        <w:rPr>
          <w:rFonts w:ascii="Arial" w:eastAsia="Arial" w:hAnsi="Arial" w:cs="Times New Roman"/>
          <w:b/>
          <w:sz w:val="40"/>
        </w:rPr>
      </w:pPr>
      <w:r w:rsidRPr="00E24C01">
        <w:rPr>
          <w:rFonts w:ascii="Arial" w:eastAsia="Arial" w:hAnsi="Arial" w:cs="Times New Roman"/>
          <w:b/>
          <w:sz w:val="40"/>
        </w:rPr>
        <w:t xml:space="preserve">Research Synthesis </w:t>
      </w:r>
      <w:r w:rsidR="00E24C01">
        <w:rPr>
          <w:rFonts w:ascii="Arial" w:eastAsia="Arial" w:hAnsi="Arial" w:cs="Times New Roman"/>
          <w:b/>
          <w:sz w:val="40"/>
        </w:rPr>
        <w:br/>
      </w:r>
      <w:r w:rsidRPr="00E24C01">
        <w:rPr>
          <w:rFonts w:ascii="Arial" w:eastAsia="Arial" w:hAnsi="Arial" w:cs="Times New Roman"/>
          <w:b/>
          <w:sz w:val="40"/>
        </w:rPr>
        <w:t>Report</w:t>
      </w:r>
    </w:p>
    <w:p w14:paraId="22680E16" w14:textId="5FDF70AD" w:rsidR="00E24C01" w:rsidRPr="00184429" w:rsidRDefault="00E24C01" w:rsidP="00E24C01">
      <w:pPr>
        <w:spacing w:before="240" w:after="240"/>
        <w:rPr>
          <w:rFonts w:asciiTheme="majorHAnsi" w:eastAsiaTheme="majorEastAsia" w:hAnsiTheme="majorHAnsi" w:cstheme="majorBidi"/>
          <w:spacing w:val="5"/>
          <w:kern w:val="28"/>
          <w:sz w:val="52"/>
          <w:szCs w:val="52"/>
        </w:rPr>
      </w:pPr>
      <w:r w:rsidRPr="00E24C01">
        <w:rPr>
          <w:rFonts w:ascii="Arial" w:eastAsia="Arial" w:hAnsi="Arial" w:cs="Times New Roman"/>
          <w:b/>
          <w:sz w:val="28"/>
        </w:rPr>
        <w:t xml:space="preserve">KEIP </w:t>
      </w:r>
      <w:r>
        <w:rPr>
          <w:rFonts w:ascii="Arial" w:eastAsia="Arial" w:hAnsi="Arial" w:cs="Times New Roman"/>
          <w:b/>
          <w:sz w:val="28"/>
        </w:rPr>
        <w:t xml:space="preserve">– </w:t>
      </w:r>
      <w:r w:rsidRPr="00E24C01">
        <w:rPr>
          <w:rFonts w:ascii="Arial" w:eastAsia="Arial" w:hAnsi="Arial" w:cs="Times New Roman"/>
          <w:b/>
          <w:sz w:val="28"/>
        </w:rPr>
        <w:t>P</w:t>
      </w:r>
      <w:r>
        <w:rPr>
          <w:rFonts w:ascii="Arial" w:eastAsia="Arial" w:hAnsi="Arial" w:cs="Times New Roman"/>
          <w:b/>
          <w:sz w:val="28"/>
        </w:rPr>
        <w:t>hase II,</w:t>
      </w:r>
      <w:r w:rsidRPr="00E24C01">
        <w:rPr>
          <w:rFonts w:ascii="Arial" w:eastAsia="Arial" w:hAnsi="Arial" w:cs="Times New Roman"/>
          <w:b/>
          <w:sz w:val="40"/>
        </w:rPr>
        <w:t xml:space="preserve"> </w:t>
      </w:r>
      <w:r w:rsidRPr="00E24C01">
        <w:rPr>
          <w:rFonts w:ascii="Arial" w:eastAsia="Arial" w:hAnsi="Arial" w:cs="Times New Roman"/>
          <w:b/>
          <w:sz w:val="28"/>
        </w:rPr>
        <w:t>Literature Review, School Engagement Data and selected Case Studies</w:t>
      </w:r>
    </w:p>
    <w:p w14:paraId="64C2F32B" w14:textId="77777777" w:rsidR="00AC362E" w:rsidRPr="00E24C01" w:rsidRDefault="00AC362E" w:rsidP="00E24C01">
      <w:pPr>
        <w:spacing w:after="300"/>
        <w:rPr>
          <w:rFonts w:ascii="Arial" w:eastAsia="Arial" w:hAnsi="Arial" w:cs="Times New Roman"/>
          <w:sz w:val="28"/>
        </w:rPr>
      </w:pPr>
      <w:r w:rsidRPr="00E24C01">
        <w:rPr>
          <w:rFonts w:ascii="Arial" w:eastAsia="Arial" w:hAnsi="Arial" w:cs="Times New Roman"/>
          <w:sz w:val="28"/>
        </w:rPr>
        <w:t>June 2016</w:t>
      </w:r>
    </w:p>
    <w:p w14:paraId="25F79E87" w14:textId="77777777" w:rsidR="00AC362E" w:rsidRPr="00E24C01" w:rsidRDefault="00AC362E" w:rsidP="00E24C01">
      <w:pPr>
        <w:rPr>
          <w:rFonts w:ascii="Arial" w:eastAsia="Arial" w:hAnsi="Arial" w:cs="Times New Roman"/>
          <w:sz w:val="28"/>
        </w:rPr>
        <w:sectPr w:rsidR="00AC362E" w:rsidRPr="00E24C01" w:rsidSect="00ED0631">
          <w:pgSz w:w="11906" w:h="16838"/>
          <w:pgMar w:top="1440" w:right="1440" w:bottom="1440" w:left="1440" w:header="708" w:footer="708" w:gutter="0"/>
          <w:pgNumType w:fmt="lowerRoman"/>
          <w:cols w:space="708"/>
          <w:docGrid w:linePitch="360"/>
        </w:sectPr>
      </w:pPr>
    </w:p>
    <w:p w14:paraId="278955B8" w14:textId="77777777" w:rsidR="00AC362E" w:rsidRPr="00407B77" w:rsidRDefault="00AC362E" w:rsidP="00ED0631">
      <w:pPr>
        <w:pStyle w:val="Heading1"/>
        <w:rPr>
          <w:rFonts w:ascii="Arial" w:eastAsia="Arial" w:hAnsi="Arial" w:cs="Times New Roman"/>
          <w:color w:val="auto"/>
          <w:szCs w:val="20"/>
        </w:rPr>
      </w:pPr>
      <w:bookmarkStart w:id="110" w:name="_Toc442616737"/>
      <w:bookmarkStart w:id="111" w:name="_Toc461615734"/>
      <w:r w:rsidRPr="00407B77">
        <w:rPr>
          <w:rFonts w:ascii="Arial" w:eastAsia="Arial" w:hAnsi="Arial" w:cs="Times New Roman"/>
          <w:color w:val="auto"/>
          <w:szCs w:val="20"/>
        </w:rPr>
        <w:lastRenderedPageBreak/>
        <w:t>Amendment history</w:t>
      </w:r>
      <w:bookmarkEnd w:id="110"/>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18"/>
        <w:gridCol w:w="4111"/>
        <w:gridCol w:w="2091"/>
      </w:tblGrid>
      <w:tr w:rsidR="00AC362E" w:rsidRPr="00382778" w14:paraId="0F5B0EA4" w14:textId="77777777" w:rsidTr="00ED0631">
        <w:tc>
          <w:tcPr>
            <w:tcW w:w="1560" w:type="dxa"/>
          </w:tcPr>
          <w:p w14:paraId="5AAA41EB" w14:textId="77777777" w:rsidR="00AC362E" w:rsidRPr="00382778" w:rsidRDefault="00AC362E" w:rsidP="00ED0631">
            <w:pPr>
              <w:pStyle w:val="Heading3"/>
              <w:rPr>
                <w:rFonts w:eastAsia="Times New Roman"/>
                <w:szCs w:val="24"/>
                <w:lang w:eastAsia="en-AU"/>
              </w:rPr>
            </w:pPr>
            <w:bookmarkStart w:id="112" w:name="_Toc442616738"/>
            <w:bookmarkStart w:id="113" w:name="_Toc461615735"/>
            <w:r w:rsidRPr="00382778">
              <w:rPr>
                <w:rFonts w:eastAsia="Times New Roman"/>
                <w:lang w:eastAsia="en-AU"/>
              </w:rPr>
              <w:t>Version no.</w:t>
            </w:r>
            <w:bookmarkEnd w:id="112"/>
            <w:bookmarkEnd w:id="113"/>
          </w:p>
        </w:tc>
        <w:tc>
          <w:tcPr>
            <w:tcW w:w="1318" w:type="dxa"/>
          </w:tcPr>
          <w:p w14:paraId="50AFB88D" w14:textId="77777777" w:rsidR="00AC362E" w:rsidRPr="00382778" w:rsidRDefault="00AC362E" w:rsidP="00ED0631">
            <w:pPr>
              <w:pStyle w:val="Heading3"/>
              <w:rPr>
                <w:rFonts w:eastAsia="Times New Roman"/>
                <w:szCs w:val="24"/>
                <w:lang w:eastAsia="en-AU"/>
              </w:rPr>
            </w:pPr>
            <w:bookmarkStart w:id="114" w:name="_Toc442616739"/>
            <w:bookmarkStart w:id="115" w:name="_Toc461615736"/>
            <w:r w:rsidRPr="00382778">
              <w:rPr>
                <w:rFonts w:eastAsia="Times New Roman"/>
                <w:lang w:eastAsia="en-AU"/>
              </w:rPr>
              <w:t>Date</w:t>
            </w:r>
            <w:bookmarkEnd w:id="114"/>
            <w:bookmarkEnd w:id="115"/>
          </w:p>
        </w:tc>
        <w:tc>
          <w:tcPr>
            <w:tcW w:w="4111" w:type="dxa"/>
          </w:tcPr>
          <w:p w14:paraId="0047CD72" w14:textId="77777777" w:rsidR="00AC362E" w:rsidRPr="00382778" w:rsidRDefault="00AC362E" w:rsidP="00ED0631">
            <w:pPr>
              <w:pStyle w:val="Heading3"/>
              <w:rPr>
                <w:rFonts w:eastAsia="Times New Roman"/>
                <w:szCs w:val="24"/>
                <w:lang w:eastAsia="en-AU"/>
              </w:rPr>
            </w:pPr>
            <w:bookmarkStart w:id="116" w:name="_Toc442616740"/>
            <w:bookmarkStart w:id="117" w:name="_Toc461615737"/>
            <w:r w:rsidRPr="00382778">
              <w:rPr>
                <w:rFonts w:eastAsia="Times New Roman"/>
                <w:lang w:eastAsia="en-AU"/>
              </w:rPr>
              <w:t>Brief description of change</w:t>
            </w:r>
            <w:bookmarkEnd w:id="116"/>
            <w:bookmarkEnd w:id="117"/>
          </w:p>
        </w:tc>
        <w:tc>
          <w:tcPr>
            <w:tcW w:w="2091" w:type="dxa"/>
          </w:tcPr>
          <w:p w14:paraId="5DA1482F" w14:textId="77777777" w:rsidR="00AC362E" w:rsidRPr="00382778" w:rsidRDefault="00AC362E" w:rsidP="00ED0631">
            <w:pPr>
              <w:pStyle w:val="Heading3"/>
              <w:rPr>
                <w:rFonts w:eastAsia="Times New Roman"/>
                <w:szCs w:val="24"/>
                <w:lang w:eastAsia="en-AU"/>
              </w:rPr>
            </w:pPr>
            <w:bookmarkStart w:id="118" w:name="_Toc442616741"/>
            <w:bookmarkStart w:id="119" w:name="_Toc461615738"/>
            <w:r w:rsidRPr="00382778">
              <w:rPr>
                <w:rFonts w:eastAsia="Times New Roman"/>
                <w:lang w:eastAsia="en-AU"/>
              </w:rPr>
              <w:t>Author</w:t>
            </w:r>
            <w:bookmarkEnd w:id="118"/>
            <w:bookmarkEnd w:id="119"/>
          </w:p>
        </w:tc>
      </w:tr>
      <w:tr w:rsidR="00AC362E" w:rsidRPr="00382778" w14:paraId="1D004B56" w14:textId="77777777" w:rsidTr="00ED0631">
        <w:tc>
          <w:tcPr>
            <w:tcW w:w="1560" w:type="dxa"/>
          </w:tcPr>
          <w:p w14:paraId="334D6A18"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1</w:t>
            </w:r>
          </w:p>
        </w:tc>
        <w:tc>
          <w:tcPr>
            <w:tcW w:w="1318" w:type="dxa"/>
          </w:tcPr>
          <w:p w14:paraId="3BEBDD41"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07/02/2016</w:t>
            </w:r>
          </w:p>
        </w:tc>
        <w:tc>
          <w:tcPr>
            <w:tcW w:w="4111" w:type="dxa"/>
          </w:tcPr>
          <w:p w14:paraId="6293EBD7"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Draft Report</w:t>
            </w:r>
          </w:p>
        </w:tc>
        <w:tc>
          <w:tcPr>
            <w:tcW w:w="2091" w:type="dxa"/>
          </w:tcPr>
          <w:p w14:paraId="5FCB8027"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Simon Payne</w:t>
            </w:r>
          </w:p>
        </w:tc>
      </w:tr>
      <w:tr w:rsidR="00AC362E" w:rsidRPr="00382778" w14:paraId="71A40F3B" w14:textId="77777777" w:rsidTr="00ED0631">
        <w:tc>
          <w:tcPr>
            <w:tcW w:w="1560" w:type="dxa"/>
          </w:tcPr>
          <w:p w14:paraId="2F56DCB0"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2</w:t>
            </w:r>
          </w:p>
        </w:tc>
        <w:tc>
          <w:tcPr>
            <w:tcW w:w="1318" w:type="dxa"/>
          </w:tcPr>
          <w:p w14:paraId="325D197D"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20/2/2016</w:t>
            </w:r>
          </w:p>
        </w:tc>
        <w:tc>
          <w:tcPr>
            <w:tcW w:w="4111" w:type="dxa"/>
          </w:tcPr>
          <w:p w14:paraId="38A7AA2D"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Final Report</w:t>
            </w:r>
          </w:p>
        </w:tc>
        <w:tc>
          <w:tcPr>
            <w:tcW w:w="2091" w:type="dxa"/>
          </w:tcPr>
          <w:p w14:paraId="13384B0E"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Simon Payne</w:t>
            </w:r>
          </w:p>
        </w:tc>
      </w:tr>
      <w:tr w:rsidR="00AC362E" w:rsidRPr="00382778" w14:paraId="557787EF" w14:textId="77777777" w:rsidTr="00ED0631">
        <w:tc>
          <w:tcPr>
            <w:tcW w:w="1560" w:type="dxa"/>
          </w:tcPr>
          <w:p w14:paraId="3DE93EA6"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3</w:t>
            </w:r>
          </w:p>
        </w:tc>
        <w:tc>
          <w:tcPr>
            <w:tcW w:w="1318" w:type="dxa"/>
          </w:tcPr>
          <w:p w14:paraId="381535A8"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8/6/2016</w:t>
            </w:r>
          </w:p>
        </w:tc>
        <w:tc>
          <w:tcPr>
            <w:tcW w:w="4111" w:type="dxa"/>
          </w:tcPr>
          <w:p w14:paraId="20B82F39"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Incorporation of DFAT comments</w:t>
            </w:r>
          </w:p>
        </w:tc>
        <w:tc>
          <w:tcPr>
            <w:tcW w:w="2091" w:type="dxa"/>
          </w:tcPr>
          <w:p w14:paraId="54F8523B"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r>
              <w:rPr>
                <w:rFonts w:ascii="Arial" w:eastAsia="Times New Roman" w:hAnsi="Arial" w:cs="Arial"/>
                <w:szCs w:val="24"/>
                <w:lang w:eastAsia="en-AU"/>
              </w:rPr>
              <w:t>Simon Payne</w:t>
            </w:r>
          </w:p>
        </w:tc>
      </w:tr>
      <w:tr w:rsidR="00AC362E" w:rsidRPr="00382778" w14:paraId="1696A800" w14:textId="77777777" w:rsidTr="00ED0631">
        <w:tc>
          <w:tcPr>
            <w:tcW w:w="1560" w:type="dxa"/>
          </w:tcPr>
          <w:p w14:paraId="65A6C83E"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1318" w:type="dxa"/>
          </w:tcPr>
          <w:p w14:paraId="4A5CEC5B"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4111" w:type="dxa"/>
          </w:tcPr>
          <w:p w14:paraId="69E4463C"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2091" w:type="dxa"/>
          </w:tcPr>
          <w:p w14:paraId="75674A34"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r>
      <w:tr w:rsidR="00AC362E" w:rsidRPr="00382778" w14:paraId="77BEE5F4" w14:textId="77777777" w:rsidTr="00ED0631">
        <w:tc>
          <w:tcPr>
            <w:tcW w:w="1560" w:type="dxa"/>
          </w:tcPr>
          <w:p w14:paraId="2CB7CC43"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1318" w:type="dxa"/>
          </w:tcPr>
          <w:p w14:paraId="2223EC06"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4111" w:type="dxa"/>
          </w:tcPr>
          <w:p w14:paraId="5722792C"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2091" w:type="dxa"/>
          </w:tcPr>
          <w:p w14:paraId="608F6267"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r>
      <w:tr w:rsidR="00AC362E" w:rsidRPr="00382778" w14:paraId="44154409" w14:textId="77777777" w:rsidTr="00ED0631">
        <w:tc>
          <w:tcPr>
            <w:tcW w:w="1560" w:type="dxa"/>
          </w:tcPr>
          <w:p w14:paraId="7188A7FD"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1318" w:type="dxa"/>
          </w:tcPr>
          <w:p w14:paraId="22A199E9"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4111" w:type="dxa"/>
          </w:tcPr>
          <w:p w14:paraId="2C9A4302"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c>
          <w:tcPr>
            <w:tcW w:w="2091" w:type="dxa"/>
          </w:tcPr>
          <w:p w14:paraId="35096284" w14:textId="77777777" w:rsidR="00AC362E" w:rsidRPr="00382778" w:rsidRDefault="00AC362E" w:rsidP="00ED0631">
            <w:pPr>
              <w:widowControl w:val="0"/>
              <w:autoSpaceDE w:val="0"/>
              <w:autoSpaceDN w:val="0"/>
              <w:adjustRightInd w:val="0"/>
              <w:spacing w:before="80" w:after="120"/>
              <w:rPr>
                <w:rFonts w:ascii="Arial" w:eastAsia="Times New Roman" w:hAnsi="Arial" w:cs="Arial"/>
                <w:szCs w:val="24"/>
                <w:lang w:eastAsia="en-AU"/>
              </w:rPr>
            </w:pPr>
          </w:p>
        </w:tc>
      </w:tr>
    </w:tbl>
    <w:p w14:paraId="7EDFDE30" w14:textId="2C84DCF4" w:rsidR="00AC362E" w:rsidRDefault="00AC362E" w:rsidP="00ED0631">
      <w:pPr>
        <w:spacing w:before="6400" w:after="100" w:afterAutospacing="1"/>
        <w:rPr>
          <w:rFonts w:ascii="Arial" w:eastAsia="Times New Roman" w:hAnsi="Arial" w:cs="Times New Roman"/>
          <w:szCs w:val="24"/>
          <w:lang w:eastAsia="en-AU"/>
        </w:rPr>
      </w:pPr>
      <w:r w:rsidRPr="00382778">
        <w:rPr>
          <w:rFonts w:ascii="Arial" w:eastAsia="Times New Roman" w:hAnsi="Arial" w:cs="Times New Roman"/>
          <w:szCs w:val="24"/>
          <w:lang w:eastAsia="en-AU"/>
        </w:rPr>
        <w:t xml:space="preserve">This report was commissioned </w:t>
      </w:r>
      <w:r>
        <w:rPr>
          <w:rFonts w:ascii="Arial" w:eastAsia="Times New Roman" w:hAnsi="Arial" w:cs="Times New Roman"/>
          <w:szCs w:val="24"/>
          <w:lang w:eastAsia="en-AU"/>
        </w:rPr>
        <w:t>by Coffey International Development as Managing Contractor of the Kiribati Education Improvement Program Phase 2 (KEIP II)</w:t>
      </w:r>
      <w:r w:rsidR="00407B77">
        <w:rPr>
          <w:rFonts w:ascii="Arial" w:eastAsia="Times New Roman" w:hAnsi="Arial" w:cs="Times New Roman"/>
          <w:szCs w:val="24"/>
          <w:lang w:eastAsia="en-AU"/>
        </w:rPr>
        <w:t xml:space="preserve"> </w:t>
      </w:r>
      <w:r w:rsidRPr="00382778">
        <w:rPr>
          <w:rFonts w:ascii="Arial" w:eastAsia="Times New Roman" w:hAnsi="Arial" w:cs="Times New Roman"/>
          <w:szCs w:val="24"/>
          <w:lang w:eastAsia="en-AU"/>
        </w:rPr>
        <w:t>—an Australian Government initiative</w:t>
      </w:r>
      <w:r>
        <w:rPr>
          <w:rFonts w:ascii="Arial" w:eastAsia="Times New Roman" w:hAnsi="Arial" w:cs="Times New Roman"/>
          <w:szCs w:val="24"/>
          <w:lang w:eastAsia="en-AU"/>
        </w:rPr>
        <w:t xml:space="preserve"> funded under the Kiribati Education Facility</w:t>
      </w:r>
      <w:r w:rsidRPr="00382778">
        <w:rPr>
          <w:rFonts w:ascii="Arial" w:eastAsia="Times New Roman" w:hAnsi="Arial" w:cs="Times New Roman"/>
          <w:szCs w:val="24"/>
          <w:lang w:eastAsia="en-AU"/>
        </w:rPr>
        <w:t xml:space="preserve">. </w:t>
      </w:r>
    </w:p>
    <w:p w14:paraId="6D5BDE3B" w14:textId="77777777" w:rsidR="00AC362E" w:rsidRDefault="00AC362E" w:rsidP="00ED0631">
      <w:pPr>
        <w:spacing w:before="100" w:after="100" w:afterAutospacing="1"/>
        <w:rPr>
          <w:rFonts w:ascii="Arial" w:eastAsia="Times New Roman" w:hAnsi="Arial" w:cs="Times New Roman"/>
          <w:szCs w:val="24"/>
          <w:lang w:eastAsia="en-AU"/>
        </w:rPr>
      </w:pPr>
      <w:r>
        <w:rPr>
          <w:rFonts w:ascii="Arial" w:eastAsia="Times New Roman" w:hAnsi="Arial" w:cs="Times New Roman"/>
          <w:szCs w:val="24"/>
          <w:lang w:eastAsia="en-AU"/>
        </w:rPr>
        <w:t xml:space="preserve">The Literature Review was conducted by Merve Hosgelen, the School Engagement Data was collected under KEIP II and analysed by the KEIP II M&amp;E Adviser Andrew Kibblewhite and the Case Studies were conducted by Simon Payne, </w:t>
      </w:r>
      <w:r w:rsidRPr="00F169D1">
        <w:rPr>
          <w:rFonts w:ascii="Arial" w:eastAsia="Times New Roman" w:hAnsi="Arial" w:cs="Times New Roman"/>
          <w:szCs w:val="24"/>
          <w:lang w:eastAsia="en-AU"/>
        </w:rPr>
        <w:t>Tatai Teburoro and Tanguru</w:t>
      </w:r>
      <w:r>
        <w:rPr>
          <w:rFonts w:ascii="Arial" w:eastAsia="Times New Roman" w:hAnsi="Arial" w:cs="Times New Roman"/>
          <w:szCs w:val="24"/>
          <w:lang w:eastAsia="en-AU"/>
        </w:rPr>
        <w:t xml:space="preserve"> </w:t>
      </w:r>
      <w:r w:rsidRPr="00F169D1">
        <w:rPr>
          <w:rFonts w:ascii="Arial" w:eastAsia="Times New Roman" w:hAnsi="Arial" w:cs="Times New Roman"/>
          <w:szCs w:val="24"/>
          <w:lang w:eastAsia="en-AU"/>
        </w:rPr>
        <w:t>Borau</w:t>
      </w:r>
      <w:r>
        <w:rPr>
          <w:rFonts w:ascii="Arial" w:eastAsia="Times New Roman" w:hAnsi="Arial" w:cs="Times New Roman"/>
          <w:szCs w:val="24"/>
          <w:lang w:eastAsia="en-AU"/>
        </w:rPr>
        <w:t>. This report synthesising the three strands of research was prepared by Simon Payne.</w:t>
      </w:r>
    </w:p>
    <w:p w14:paraId="786974F1" w14:textId="77777777" w:rsidR="00AC362E" w:rsidRDefault="00AC362E" w:rsidP="00ED0631">
      <w:pPr>
        <w:spacing w:before="100" w:after="100" w:afterAutospacing="1"/>
        <w:rPr>
          <w:rFonts w:ascii="Times New Roman" w:eastAsia="Times New Roman" w:hAnsi="Times New Roman" w:cs="Times New Roman"/>
          <w:b/>
          <w:bCs/>
          <w:sz w:val="27"/>
          <w:szCs w:val="27"/>
          <w:lang w:eastAsia="en-AU"/>
        </w:rPr>
      </w:pPr>
      <w:r w:rsidRPr="00382778">
        <w:rPr>
          <w:rFonts w:ascii="Arial" w:eastAsia="Times New Roman" w:hAnsi="Arial" w:cs="Times New Roman"/>
          <w:szCs w:val="24"/>
          <w:lang w:eastAsia="en-AU"/>
        </w:rPr>
        <w:t>The views in the report are those of the authors and do not necessarily reflect the views of the Australian Government</w:t>
      </w:r>
      <w:r>
        <w:rPr>
          <w:rFonts w:ascii="Arial" w:eastAsia="Times New Roman" w:hAnsi="Arial" w:cs="Times New Roman"/>
          <w:szCs w:val="24"/>
          <w:lang w:eastAsia="en-AU"/>
        </w:rPr>
        <w:t>, the Kiribati Government, Coffey International Development</w:t>
      </w:r>
      <w:r w:rsidRPr="00382778">
        <w:rPr>
          <w:rFonts w:ascii="Arial" w:eastAsia="Times New Roman" w:hAnsi="Arial" w:cs="Times New Roman"/>
          <w:szCs w:val="24"/>
          <w:lang w:eastAsia="en-AU"/>
        </w:rPr>
        <w:t xml:space="preserve"> or of any other organisation or person</w:t>
      </w:r>
      <w:r>
        <w:rPr>
          <w:rFonts w:ascii="Arial" w:eastAsia="Times New Roman" w:hAnsi="Arial" w:cs="Times New Roman"/>
          <w:szCs w:val="24"/>
          <w:lang w:eastAsia="en-AU"/>
        </w:rPr>
        <w:t>.</w:t>
      </w:r>
      <w:r>
        <w:rPr>
          <w:rFonts w:ascii="Times New Roman" w:eastAsia="Times New Roman" w:hAnsi="Times New Roman" w:cs="Times New Roman"/>
          <w:b/>
          <w:bCs/>
          <w:sz w:val="27"/>
          <w:szCs w:val="27"/>
          <w:lang w:eastAsia="en-AU"/>
        </w:rPr>
        <w:br w:type="page"/>
      </w:r>
    </w:p>
    <w:sdt>
      <w:sdtPr>
        <w:rPr>
          <w:rFonts w:asciiTheme="minorHAnsi" w:hAnsiTheme="minorHAnsi" w:cstheme="minorBidi"/>
          <w:b w:val="0"/>
          <w:bCs/>
          <w:noProof/>
          <w:color w:val="auto"/>
          <w:sz w:val="22"/>
          <w:szCs w:val="22"/>
        </w:rPr>
        <w:id w:val="2083798587"/>
        <w:docPartObj>
          <w:docPartGallery w:val="Table of Contents"/>
          <w:docPartUnique/>
        </w:docPartObj>
      </w:sdtPr>
      <w:sdtEndPr>
        <w:rPr>
          <w:b/>
          <w:bCs w:val="0"/>
          <w:sz w:val="20"/>
        </w:rPr>
      </w:sdtEndPr>
      <w:sdtContent>
        <w:p w14:paraId="250A854E" w14:textId="5404B849" w:rsidR="00471345" w:rsidRPr="005F6159" w:rsidRDefault="00AC362E" w:rsidP="005F6159">
          <w:pPr>
            <w:pStyle w:val="TOCHeading"/>
            <w:spacing w:before="0" w:after="60" w:line="230" w:lineRule="auto"/>
            <w:rPr>
              <w:noProof/>
            </w:rPr>
          </w:pPr>
          <w:r w:rsidRPr="00407B77">
            <w:rPr>
              <w:rFonts w:ascii="Arial" w:eastAsia="Arial" w:hAnsi="Arial" w:cs="Times New Roman"/>
              <w:color w:val="auto"/>
              <w:szCs w:val="20"/>
            </w:rPr>
            <w:t>Contents</w:t>
          </w:r>
          <w:r>
            <w:rPr>
              <w:rFonts w:ascii="Arial" w:eastAsia="Arial" w:hAnsi="Arial" w:cs="Times New Roman"/>
              <w:color w:val="auto"/>
              <w:szCs w:val="20"/>
            </w:rPr>
            <w:fldChar w:fldCharType="begin"/>
          </w:r>
          <w:r w:rsidRPr="00407B77">
            <w:rPr>
              <w:rFonts w:ascii="Arial" w:eastAsia="Arial" w:hAnsi="Arial" w:cs="Times New Roman"/>
              <w:color w:val="auto"/>
              <w:szCs w:val="20"/>
            </w:rPr>
            <w:instrText xml:space="preserve"> TOC \o "1-3" \h \z \u </w:instrText>
          </w:r>
          <w:r>
            <w:rPr>
              <w:rFonts w:ascii="Arial" w:eastAsia="Arial" w:hAnsi="Arial" w:cs="Times New Roman"/>
              <w:color w:val="auto"/>
              <w:szCs w:val="20"/>
            </w:rPr>
            <w:fldChar w:fldCharType="separate"/>
          </w:r>
        </w:p>
        <w:p w14:paraId="3054C15D" w14:textId="77777777" w:rsidR="00471345" w:rsidRDefault="00B951C4">
          <w:pPr>
            <w:pStyle w:val="TOC1"/>
            <w:rPr>
              <w:rFonts w:eastAsiaTheme="minorEastAsia"/>
              <w:b w:val="0"/>
              <w:sz w:val="22"/>
              <w:lang w:eastAsia="en-AU"/>
            </w:rPr>
          </w:pPr>
          <w:hyperlink w:anchor="_Toc461615740" w:history="1">
            <w:r w:rsidR="00471345" w:rsidRPr="00004AED">
              <w:rPr>
                <w:rStyle w:val="Hyperlink"/>
                <w:rFonts w:asciiTheme="majorHAnsi" w:eastAsiaTheme="majorEastAsia" w:hAnsiTheme="majorHAnsi" w:cstheme="majorBidi"/>
                <w:bCs/>
              </w:rPr>
              <w:t>Abbreviations</w:t>
            </w:r>
            <w:r w:rsidR="00471345">
              <w:rPr>
                <w:webHidden/>
              </w:rPr>
              <w:tab/>
            </w:r>
            <w:r w:rsidR="00471345">
              <w:rPr>
                <w:webHidden/>
              </w:rPr>
              <w:fldChar w:fldCharType="begin"/>
            </w:r>
            <w:r w:rsidR="00471345">
              <w:rPr>
                <w:webHidden/>
              </w:rPr>
              <w:instrText xml:space="preserve"> PAGEREF _Toc461615740 \h </w:instrText>
            </w:r>
            <w:r w:rsidR="00471345">
              <w:rPr>
                <w:webHidden/>
              </w:rPr>
            </w:r>
            <w:r w:rsidR="00471345">
              <w:rPr>
                <w:webHidden/>
              </w:rPr>
              <w:fldChar w:fldCharType="separate"/>
            </w:r>
            <w:r w:rsidR="00F13DFB">
              <w:rPr>
                <w:webHidden/>
              </w:rPr>
              <w:t>v</w:t>
            </w:r>
            <w:r w:rsidR="00471345">
              <w:rPr>
                <w:webHidden/>
              </w:rPr>
              <w:fldChar w:fldCharType="end"/>
            </w:r>
          </w:hyperlink>
        </w:p>
        <w:p w14:paraId="3E8AD2FE" w14:textId="47C2496D" w:rsidR="00471345" w:rsidRDefault="00B951C4">
          <w:pPr>
            <w:pStyle w:val="TOC1"/>
            <w:rPr>
              <w:rFonts w:eastAsiaTheme="minorEastAsia"/>
              <w:b w:val="0"/>
              <w:sz w:val="22"/>
              <w:lang w:eastAsia="en-AU"/>
            </w:rPr>
          </w:pPr>
          <w:hyperlink w:anchor="_Toc461615741" w:history="1">
            <w:r w:rsidR="00471345" w:rsidRPr="00004AED">
              <w:rPr>
                <w:rStyle w:val="Hyperlink"/>
                <w:rFonts w:asciiTheme="majorHAnsi" w:eastAsiaTheme="majorEastAsia" w:hAnsiTheme="majorHAnsi" w:cstheme="majorBidi"/>
                <w:bCs/>
              </w:rPr>
              <w:t>Map</w:t>
            </w:r>
            <w:r w:rsidR="005F6159">
              <w:rPr>
                <w:rStyle w:val="Hyperlink"/>
                <w:rFonts w:asciiTheme="majorHAnsi" w:eastAsiaTheme="majorEastAsia" w:hAnsiTheme="majorHAnsi" w:cstheme="majorBidi"/>
                <w:bCs/>
              </w:rPr>
              <w:t>.</w:t>
            </w:r>
            <w:r w:rsidR="00471345">
              <w:rPr>
                <w:webHidden/>
              </w:rPr>
              <w:tab/>
            </w:r>
            <w:r w:rsidR="00471345">
              <w:rPr>
                <w:webHidden/>
              </w:rPr>
              <w:fldChar w:fldCharType="begin"/>
            </w:r>
            <w:r w:rsidR="00471345">
              <w:rPr>
                <w:webHidden/>
              </w:rPr>
              <w:instrText xml:space="preserve"> PAGEREF _Toc461615741 \h </w:instrText>
            </w:r>
            <w:r w:rsidR="00471345">
              <w:rPr>
                <w:webHidden/>
              </w:rPr>
            </w:r>
            <w:r w:rsidR="00471345">
              <w:rPr>
                <w:webHidden/>
              </w:rPr>
              <w:fldChar w:fldCharType="separate"/>
            </w:r>
            <w:r w:rsidR="00F13DFB">
              <w:rPr>
                <w:webHidden/>
              </w:rPr>
              <w:t>vi</w:t>
            </w:r>
            <w:r w:rsidR="00471345">
              <w:rPr>
                <w:webHidden/>
              </w:rPr>
              <w:fldChar w:fldCharType="end"/>
            </w:r>
          </w:hyperlink>
        </w:p>
        <w:p w14:paraId="6ECD3BAD" w14:textId="77777777" w:rsidR="00471345" w:rsidRDefault="00B951C4">
          <w:pPr>
            <w:pStyle w:val="TOC1"/>
            <w:rPr>
              <w:rFonts w:eastAsiaTheme="minorEastAsia"/>
              <w:b w:val="0"/>
              <w:sz w:val="22"/>
              <w:lang w:eastAsia="en-AU"/>
            </w:rPr>
          </w:pPr>
          <w:hyperlink w:anchor="_Toc461615742" w:history="1">
            <w:r w:rsidR="00471345" w:rsidRPr="00004AED">
              <w:rPr>
                <w:rStyle w:val="Hyperlink"/>
              </w:rPr>
              <w:t>Executive Summary</w:t>
            </w:r>
            <w:r w:rsidR="00471345">
              <w:rPr>
                <w:webHidden/>
              </w:rPr>
              <w:tab/>
            </w:r>
            <w:r w:rsidR="00471345">
              <w:rPr>
                <w:webHidden/>
              </w:rPr>
              <w:fldChar w:fldCharType="begin"/>
            </w:r>
            <w:r w:rsidR="00471345">
              <w:rPr>
                <w:webHidden/>
              </w:rPr>
              <w:instrText xml:space="preserve"> PAGEREF _Toc461615742 \h </w:instrText>
            </w:r>
            <w:r w:rsidR="00471345">
              <w:rPr>
                <w:webHidden/>
              </w:rPr>
            </w:r>
            <w:r w:rsidR="00471345">
              <w:rPr>
                <w:webHidden/>
              </w:rPr>
              <w:fldChar w:fldCharType="separate"/>
            </w:r>
            <w:r w:rsidR="00F13DFB">
              <w:rPr>
                <w:webHidden/>
              </w:rPr>
              <w:t>vii</w:t>
            </w:r>
            <w:r w:rsidR="00471345">
              <w:rPr>
                <w:webHidden/>
              </w:rPr>
              <w:fldChar w:fldCharType="end"/>
            </w:r>
          </w:hyperlink>
        </w:p>
        <w:p w14:paraId="52776125" w14:textId="77777777" w:rsidR="00471345" w:rsidRDefault="00B951C4">
          <w:pPr>
            <w:pStyle w:val="TOC1"/>
            <w:rPr>
              <w:rFonts w:eastAsiaTheme="minorEastAsia"/>
              <w:b w:val="0"/>
              <w:sz w:val="22"/>
              <w:lang w:eastAsia="en-AU"/>
            </w:rPr>
          </w:pPr>
          <w:hyperlink w:anchor="_Toc461615743" w:history="1">
            <w:r w:rsidR="00471345" w:rsidRPr="00004AED">
              <w:rPr>
                <w:rStyle w:val="Hyperlink"/>
                <w:rFonts w:eastAsia="Times New Roman"/>
                <w:lang w:eastAsia="en-AU"/>
              </w:rPr>
              <w:t>1.</w:t>
            </w:r>
            <w:r w:rsidR="00471345">
              <w:rPr>
                <w:rFonts w:eastAsiaTheme="minorEastAsia"/>
                <w:b w:val="0"/>
                <w:sz w:val="22"/>
                <w:lang w:eastAsia="en-AU"/>
              </w:rPr>
              <w:tab/>
            </w:r>
            <w:r w:rsidR="00471345" w:rsidRPr="00004AED">
              <w:rPr>
                <w:rStyle w:val="Hyperlink"/>
                <w:rFonts w:eastAsia="Times New Roman"/>
                <w:lang w:eastAsia="en-AU"/>
              </w:rPr>
              <w:t>Introduction</w:t>
            </w:r>
            <w:r w:rsidR="00471345">
              <w:rPr>
                <w:webHidden/>
              </w:rPr>
              <w:tab/>
            </w:r>
            <w:r w:rsidR="00471345">
              <w:rPr>
                <w:webHidden/>
              </w:rPr>
              <w:fldChar w:fldCharType="begin"/>
            </w:r>
            <w:r w:rsidR="00471345">
              <w:rPr>
                <w:webHidden/>
              </w:rPr>
              <w:instrText xml:space="preserve"> PAGEREF _Toc461615743 \h </w:instrText>
            </w:r>
            <w:r w:rsidR="00471345">
              <w:rPr>
                <w:webHidden/>
              </w:rPr>
            </w:r>
            <w:r w:rsidR="00471345">
              <w:rPr>
                <w:webHidden/>
              </w:rPr>
              <w:fldChar w:fldCharType="separate"/>
            </w:r>
            <w:r w:rsidR="00F13DFB">
              <w:rPr>
                <w:webHidden/>
              </w:rPr>
              <w:t>1</w:t>
            </w:r>
            <w:r w:rsidR="00471345">
              <w:rPr>
                <w:webHidden/>
              </w:rPr>
              <w:fldChar w:fldCharType="end"/>
            </w:r>
          </w:hyperlink>
        </w:p>
        <w:p w14:paraId="48D6A7AD" w14:textId="77777777" w:rsidR="00471345" w:rsidRDefault="00B951C4">
          <w:pPr>
            <w:pStyle w:val="TOC2"/>
            <w:rPr>
              <w:rFonts w:eastAsiaTheme="minorEastAsia"/>
              <w:spacing w:val="0"/>
              <w:sz w:val="22"/>
              <w:szCs w:val="22"/>
              <w:lang w:eastAsia="en-AU"/>
            </w:rPr>
          </w:pPr>
          <w:hyperlink w:anchor="_Toc461615744" w:history="1">
            <w:r w:rsidR="00471345" w:rsidRPr="00004AED">
              <w:rPr>
                <w:rStyle w:val="Hyperlink"/>
              </w:rPr>
              <w:t>1.1</w:t>
            </w:r>
            <w:r w:rsidR="00471345">
              <w:rPr>
                <w:rFonts w:eastAsiaTheme="minorEastAsia"/>
                <w:spacing w:val="0"/>
                <w:sz w:val="22"/>
                <w:szCs w:val="22"/>
                <w:lang w:eastAsia="en-AU"/>
              </w:rPr>
              <w:tab/>
            </w:r>
            <w:r w:rsidR="00471345" w:rsidRPr="00004AED">
              <w:rPr>
                <w:rStyle w:val="Hyperlink"/>
              </w:rPr>
              <w:t>The KEIP II program</w:t>
            </w:r>
            <w:r w:rsidR="00471345">
              <w:rPr>
                <w:webHidden/>
              </w:rPr>
              <w:tab/>
            </w:r>
            <w:r w:rsidR="00471345">
              <w:rPr>
                <w:webHidden/>
              </w:rPr>
              <w:fldChar w:fldCharType="begin"/>
            </w:r>
            <w:r w:rsidR="00471345">
              <w:rPr>
                <w:webHidden/>
              </w:rPr>
              <w:instrText xml:space="preserve"> PAGEREF _Toc461615744 \h </w:instrText>
            </w:r>
            <w:r w:rsidR="00471345">
              <w:rPr>
                <w:webHidden/>
              </w:rPr>
            </w:r>
            <w:r w:rsidR="00471345">
              <w:rPr>
                <w:webHidden/>
              </w:rPr>
              <w:fldChar w:fldCharType="separate"/>
            </w:r>
            <w:r w:rsidR="00F13DFB">
              <w:rPr>
                <w:webHidden/>
              </w:rPr>
              <w:t>1</w:t>
            </w:r>
            <w:r w:rsidR="00471345">
              <w:rPr>
                <w:webHidden/>
              </w:rPr>
              <w:fldChar w:fldCharType="end"/>
            </w:r>
          </w:hyperlink>
        </w:p>
        <w:p w14:paraId="6DEB6C84" w14:textId="77777777" w:rsidR="00471345" w:rsidRDefault="00B951C4">
          <w:pPr>
            <w:pStyle w:val="TOC2"/>
            <w:rPr>
              <w:rFonts w:eastAsiaTheme="minorEastAsia"/>
              <w:spacing w:val="0"/>
              <w:sz w:val="22"/>
              <w:szCs w:val="22"/>
              <w:lang w:eastAsia="en-AU"/>
            </w:rPr>
          </w:pPr>
          <w:hyperlink w:anchor="_Toc461615745" w:history="1">
            <w:r w:rsidR="00471345" w:rsidRPr="00004AED">
              <w:rPr>
                <w:rStyle w:val="Hyperlink"/>
              </w:rPr>
              <w:t>1.2</w:t>
            </w:r>
            <w:r w:rsidR="00471345">
              <w:rPr>
                <w:rFonts w:eastAsiaTheme="minorEastAsia"/>
                <w:spacing w:val="0"/>
                <w:sz w:val="22"/>
                <w:szCs w:val="22"/>
                <w:lang w:eastAsia="en-AU"/>
              </w:rPr>
              <w:tab/>
            </w:r>
            <w:r w:rsidR="00471345" w:rsidRPr="00004AED">
              <w:rPr>
                <w:rStyle w:val="Hyperlink"/>
              </w:rPr>
              <w:t>Scope of the Current Research</w:t>
            </w:r>
            <w:r w:rsidR="00471345">
              <w:rPr>
                <w:webHidden/>
              </w:rPr>
              <w:tab/>
            </w:r>
            <w:r w:rsidR="00471345">
              <w:rPr>
                <w:webHidden/>
              </w:rPr>
              <w:fldChar w:fldCharType="begin"/>
            </w:r>
            <w:r w:rsidR="00471345">
              <w:rPr>
                <w:webHidden/>
              </w:rPr>
              <w:instrText xml:space="preserve"> PAGEREF _Toc461615745 \h </w:instrText>
            </w:r>
            <w:r w:rsidR="00471345">
              <w:rPr>
                <w:webHidden/>
              </w:rPr>
            </w:r>
            <w:r w:rsidR="00471345">
              <w:rPr>
                <w:webHidden/>
              </w:rPr>
              <w:fldChar w:fldCharType="separate"/>
            </w:r>
            <w:r w:rsidR="00F13DFB">
              <w:rPr>
                <w:webHidden/>
              </w:rPr>
              <w:t>1</w:t>
            </w:r>
            <w:r w:rsidR="00471345">
              <w:rPr>
                <w:webHidden/>
              </w:rPr>
              <w:fldChar w:fldCharType="end"/>
            </w:r>
          </w:hyperlink>
        </w:p>
        <w:p w14:paraId="7BAEE788" w14:textId="77777777" w:rsidR="00471345" w:rsidRDefault="00B951C4">
          <w:pPr>
            <w:pStyle w:val="TOC2"/>
            <w:rPr>
              <w:rFonts w:eastAsiaTheme="minorEastAsia"/>
              <w:spacing w:val="0"/>
              <w:sz w:val="22"/>
              <w:szCs w:val="22"/>
              <w:lang w:eastAsia="en-AU"/>
            </w:rPr>
          </w:pPr>
          <w:hyperlink w:anchor="_Toc461615746" w:history="1">
            <w:r w:rsidR="00471345" w:rsidRPr="00004AED">
              <w:rPr>
                <w:rStyle w:val="Hyperlink"/>
              </w:rPr>
              <w:t>1.3</w:t>
            </w:r>
            <w:r w:rsidR="00471345">
              <w:rPr>
                <w:rFonts w:eastAsiaTheme="minorEastAsia"/>
                <w:spacing w:val="0"/>
                <w:sz w:val="22"/>
                <w:szCs w:val="22"/>
                <w:lang w:eastAsia="en-AU"/>
              </w:rPr>
              <w:tab/>
            </w:r>
            <w:r w:rsidR="00471345" w:rsidRPr="00004AED">
              <w:rPr>
                <w:rStyle w:val="Hyperlink"/>
              </w:rPr>
              <w:t>Research Questions</w:t>
            </w:r>
            <w:r w:rsidR="00471345">
              <w:rPr>
                <w:webHidden/>
              </w:rPr>
              <w:tab/>
            </w:r>
            <w:r w:rsidR="00471345">
              <w:rPr>
                <w:webHidden/>
              </w:rPr>
              <w:fldChar w:fldCharType="begin"/>
            </w:r>
            <w:r w:rsidR="00471345">
              <w:rPr>
                <w:webHidden/>
              </w:rPr>
              <w:instrText xml:space="preserve"> PAGEREF _Toc461615746 \h </w:instrText>
            </w:r>
            <w:r w:rsidR="00471345">
              <w:rPr>
                <w:webHidden/>
              </w:rPr>
            </w:r>
            <w:r w:rsidR="00471345">
              <w:rPr>
                <w:webHidden/>
              </w:rPr>
              <w:fldChar w:fldCharType="separate"/>
            </w:r>
            <w:r w:rsidR="00F13DFB">
              <w:rPr>
                <w:webHidden/>
              </w:rPr>
              <w:t>2</w:t>
            </w:r>
            <w:r w:rsidR="00471345">
              <w:rPr>
                <w:webHidden/>
              </w:rPr>
              <w:fldChar w:fldCharType="end"/>
            </w:r>
          </w:hyperlink>
        </w:p>
        <w:p w14:paraId="7FF535AD" w14:textId="77777777" w:rsidR="00471345" w:rsidRDefault="00B951C4">
          <w:pPr>
            <w:pStyle w:val="TOC2"/>
            <w:rPr>
              <w:rFonts w:eastAsiaTheme="minorEastAsia"/>
              <w:spacing w:val="0"/>
              <w:sz w:val="22"/>
              <w:szCs w:val="22"/>
              <w:lang w:eastAsia="en-AU"/>
            </w:rPr>
          </w:pPr>
          <w:hyperlink w:anchor="_Toc461615747" w:history="1">
            <w:r w:rsidR="00471345" w:rsidRPr="00004AED">
              <w:rPr>
                <w:rStyle w:val="Hyperlink"/>
              </w:rPr>
              <w:t>1.4</w:t>
            </w:r>
            <w:r w:rsidR="00471345">
              <w:rPr>
                <w:rFonts w:eastAsiaTheme="minorEastAsia"/>
                <w:spacing w:val="0"/>
                <w:sz w:val="22"/>
                <w:szCs w:val="22"/>
                <w:lang w:eastAsia="en-AU"/>
              </w:rPr>
              <w:tab/>
            </w:r>
            <w:r w:rsidR="00471345" w:rsidRPr="00004AED">
              <w:rPr>
                <w:rStyle w:val="Hyperlink"/>
              </w:rPr>
              <w:t>Methods</w:t>
            </w:r>
            <w:r w:rsidR="00471345">
              <w:rPr>
                <w:webHidden/>
              </w:rPr>
              <w:tab/>
            </w:r>
            <w:r w:rsidR="00471345">
              <w:rPr>
                <w:webHidden/>
              </w:rPr>
              <w:fldChar w:fldCharType="begin"/>
            </w:r>
            <w:r w:rsidR="00471345">
              <w:rPr>
                <w:webHidden/>
              </w:rPr>
              <w:instrText xml:space="preserve"> PAGEREF _Toc461615747 \h </w:instrText>
            </w:r>
            <w:r w:rsidR="00471345">
              <w:rPr>
                <w:webHidden/>
              </w:rPr>
            </w:r>
            <w:r w:rsidR="00471345">
              <w:rPr>
                <w:webHidden/>
              </w:rPr>
              <w:fldChar w:fldCharType="separate"/>
            </w:r>
            <w:r w:rsidR="00F13DFB">
              <w:rPr>
                <w:webHidden/>
              </w:rPr>
              <w:t>3</w:t>
            </w:r>
            <w:r w:rsidR="00471345">
              <w:rPr>
                <w:webHidden/>
              </w:rPr>
              <w:fldChar w:fldCharType="end"/>
            </w:r>
          </w:hyperlink>
        </w:p>
        <w:p w14:paraId="7D1935FD" w14:textId="77777777" w:rsidR="00471345" w:rsidRDefault="00B951C4">
          <w:pPr>
            <w:pStyle w:val="TOC2"/>
            <w:rPr>
              <w:rFonts w:eastAsiaTheme="minorEastAsia"/>
              <w:spacing w:val="0"/>
              <w:sz w:val="22"/>
              <w:szCs w:val="22"/>
              <w:lang w:eastAsia="en-AU"/>
            </w:rPr>
          </w:pPr>
          <w:hyperlink w:anchor="_Toc461615748" w:history="1">
            <w:r w:rsidR="00471345" w:rsidRPr="00004AED">
              <w:rPr>
                <w:rStyle w:val="Hyperlink"/>
              </w:rPr>
              <w:t>1.5</w:t>
            </w:r>
            <w:r w:rsidR="00471345">
              <w:rPr>
                <w:rFonts w:eastAsiaTheme="minorEastAsia"/>
                <w:spacing w:val="0"/>
                <w:sz w:val="22"/>
                <w:szCs w:val="22"/>
                <w:lang w:eastAsia="en-AU"/>
              </w:rPr>
              <w:tab/>
            </w:r>
            <w:r w:rsidR="00471345" w:rsidRPr="00004AED">
              <w:rPr>
                <w:rStyle w:val="Hyperlink"/>
              </w:rPr>
              <w:t>Authors</w:t>
            </w:r>
            <w:r w:rsidR="00471345">
              <w:rPr>
                <w:webHidden/>
              </w:rPr>
              <w:tab/>
            </w:r>
            <w:r w:rsidR="00471345">
              <w:rPr>
                <w:webHidden/>
              </w:rPr>
              <w:fldChar w:fldCharType="begin"/>
            </w:r>
            <w:r w:rsidR="00471345">
              <w:rPr>
                <w:webHidden/>
              </w:rPr>
              <w:instrText xml:space="preserve"> PAGEREF _Toc461615748 \h </w:instrText>
            </w:r>
            <w:r w:rsidR="00471345">
              <w:rPr>
                <w:webHidden/>
              </w:rPr>
            </w:r>
            <w:r w:rsidR="00471345">
              <w:rPr>
                <w:webHidden/>
              </w:rPr>
              <w:fldChar w:fldCharType="separate"/>
            </w:r>
            <w:r w:rsidR="00F13DFB">
              <w:rPr>
                <w:webHidden/>
              </w:rPr>
              <w:t>3</w:t>
            </w:r>
            <w:r w:rsidR="00471345">
              <w:rPr>
                <w:webHidden/>
              </w:rPr>
              <w:fldChar w:fldCharType="end"/>
            </w:r>
          </w:hyperlink>
        </w:p>
        <w:p w14:paraId="4B392CC3" w14:textId="77777777" w:rsidR="00471345" w:rsidRDefault="00B951C4">
          <w:pPr>
            <w:pStyle w:val="TOC2"/>
            <w:rPr>
              <w:rFonts w:eastAsiaTheme="minorEastAsia"/>
              <w:spacing w:val="0"/>
              <w:sz w:val="22"/>
              <w:szCs w:val="22"/>
              <w:lang w:eastAsia="en-AU"/>
            </w:rPr>
          </w:pPr>
          <w:hyperlink w:anchor="_Toc461615749" w:history="1">
            <w:r w:rsidR="00471345" w:rsidRPr="00004AED">
              <w:rPr>
                <w:rStyle w:val="Hyperlink"/>
              </w:rPr>
              <w:t>1.6</w:t>
            </w:r>
            <w:r w:rsidR="00471345">
              <w:rPr>
                <w:rFonts w:eastAsiaTheme="minorEastAsia"/>
                <w:spacing w:val="0"/>
                <w:sz w:val="22"/>
                <w:szCs w:val="22"/>
                <w:lang w:eastAsia="en-AU"/>
              </w:rPr>
              <w:tab/>
            </w:r>
            <w:r w:rsidR="00471345" w:rsidRPr="00004AED">
              <w:rPr>
                <w:rStyle w:val="Hyperlink"/>
              </w:rPr>
              <w:t>Limitations</w:t>
            </w:r>
            <w:r w:rsidR="00471345">
              <w:rPr>
                <w:webHidden/>
              </w:rPr>
              <w:tab/>
            </w:r>
            <w:r w:rsidR="00471345">
              <w:rPr>
                <w:webHidden/>
              </w:rPr>
              <w:fldChar w:fldCharType="begin"/>
            </w:r>
            <w:r w:rsidR="00471345">
              <w:rPr>
                <w:webHidden/>
              </w:rPr>
              <w:instrText xml:space="preserve"> PAGEREF _Toc461615749 \h </w:instrText>
            </w:r>
            <w:r w:rsidR="00471345">
              <w:rPr>
                <w:webHidden/>
              </w:rPr>
            </w:r>
            <w:r w:rsidR="00471345">
              <w:rPr>
                <w:webHidden/>
              </w:rPr>
              <w:fldChar w:fldCharType="separate"/>
            </w:r>
            <w:r w:rsidR="00F13DFB">
              <w:rPr>
                <w:webHidden/>
              </w:rPr>
              <w:t>3</w:t>
            </w:r>
            <w:r w:rsidR="00471345">
              <w:rPr>
                <w:webHidden/>
              </w:rPr>
              <w:fldChar w:fldCharType="end"/>
            </w:r>
          </w:hyperlink>
        </w:p>
        <w:p w14:paraId="6B77066F" w14:textId="77777777" w:rsidR="00471345" w:rsidRDefault="00B951C4">
          <w:pPr>
            <w:pStyle w:val="TOC1"/>
            <w:rPr>
              <w:rFonts w:eastAsiaTheme="minorEastAsia"/>
              <w:b w:val="0"/>
              <w:sz w:val="22"/>
              <w:lang w:eastAsia="en-AU"/>
            </w:rPr>
          </w:pPr>
          <w:hyperlink w:anchor="_Toc461615750" w:history="1">
            <w:r w:rsidR="00471345" w:rsidRPr="00004AED">
              <w:rPr>
                <w:rStyle w:val="Hyperlink"/>
                <w:rFonts w:eastAsia="Times New Roman"/>
                <w:lang w:eastAsia="en-AU"/>
              </w:rPr>
              <w:t>2</w:t>
            </w:r>
            <w:r w:rsidR="00471345">
              <w:rPr>
                <w:rFonts w:eastAsiaTheme="minorEastAsia"/>
                <w:b w:val="0"/>
                <w:sz w:val="22"/>
                <w:lang w:eastAsia="en-AU"/>
              </w:rPr>
              <w:tab/>
            </w:r>
            <w:r w:rsidR="00471345" w:rsidRPr="00004AED">
              <w:rPr>
                <w:rStyle w:val="Hyperlink"/>
                <w:rFonts w:eastAsia="Times New Roman"/>
                <w:lang w:eastAsia="en-AU"/>
              </w:rPr>
              <w:t>Background</w:t>
            </w:r>
            <w:r w:rsidR="00471345">
              <w:rPr>
                <w:webHidden/>
              </w:rPr>
              <w:tab/>
            </w:r>
            <w:r w:rsidR="00471345">
              <w:rPr>
                <w:webHidden/>
              </w:rPr>
              <w:fldChar w:fldCharType="begin"/>
            </w:r>
            <w:r w:rsidR="00471345">
              <w:rPr>
                <w:webHidden/>
              </w:rPr>
              <w:instrText xml:space="preserve"> PAGEREF _Toc461615750 \h </w:instrText>
            </w:r>
            <w:r w:rsidR="00471345">
              <w:rPr>
                <w:webHidden/>
              </w:rPr>
            </w:r>
            <w:r w:rsidR="00471345">
              <w:rPr>
                <w:webHidden/>
              </w:rPr>
              <w:fldChar w:fldCharType="separate"/>
            </w:r>
            <w:r w:rsidR="00F13DFB">
              <w:rPr>
                <w:webHidden/>
              </w:rPr>
              <w:t>4</w:t>
            </w:r>
            <w:r w:rsidR="00471345">
              <w:rPr>
                <w:webHidden/>
              </w:rPr>
              <w:fldChar w:fldCharType="end"/>
            </w:r>
          </w:hyperlink>
        </w:p>
        <w:p w14:paraId="503EC91C" w14:textId="77777777" w:rsidR="00471345" w:rsidRDefault="00B951C4">
          <w:pPr>
            <w:pStyle w:val="TOC1"/>
            <w:rPr>
              <w:rFonts w:eastAsiaTheme="minorEastAsia"/>
              <w:b w:val="0"/>
              <w:sz w:val="22"/>
              <w:lang w:eastAsia="en-AU"/>
            </w:rPr>
          </w:pPr>
          <w:hyperlink w:anchor="_Toc461615751" w:history="1">
            <w:r w:rsidR="00471345" w:rsidRPr="00004AED">
              <w:rPr>
                <w:rStyle w:val="Hyperlink"/>
                <w:rFonts w:eastAsia="Times New Roman"/>
                <w:lang w:eastAsia="en-AU"/>
              </w:rPr>
              <w:t>3</w:t>
            </w:r>
            <w:r w:rsidR="00471345">
              <w:rPr>
                <w:rFonts w:eastAsiaTheme="minorEastAsia"/>
                <w:b w:val="0"/>
                <w:sz w:val="22"/>
                <w:lang w:eastAsia="en-AU"/>
              </w:rPr>
              <w:tab/>
            </w:r>
            <w:r w:rsidR="00471345" w:rsidRPr="00004AED">
              <w:rPr>
                <w:rStyle w:val="Hyperlink"/>
                <w:rFonts w:eastAsia="Times New Roman"/>
                <w:lang w:eastAsia="en-AU"/>
              </w:rPr>
              <w:t>Literature Review</w:t>
            </w:r>
            <w:r w:rsidR="00471345">
              <w:rPr>
                <w:webHidden/>
              </w:rPr>
              <w:tab/>
            </w:r>
            <w:r w:rsidR="00471345">
              <w:rPr>
                <w:webHidden/>
              </w:rPr>
              <w:fldChar w:fldCharType="begin"/>
            </w:r>
            <w:r w:rsidR="00471345">
              <w:rPr>
                <w:webHidden/>
              </w:rPr>
              <w:instrText xml:space="preserve"> PAGEREF _Toc461615751 \h </w:instrText>
            </w:r>
            <w:r w:rsidR="00471345">
              <w:rPr>
                <w:webHidden/>
              </w:rPr>
            </w:r>
            <w:r w:rsidR="00471345">
              <w:rPr>
                <w:webHidden/>
              </w:rPr>
              <w:fldChar w:fldCharType="separate"/>
            </w:r>
            <w:r w:rsidR="00F13DFB">
              <w:rPr>
                <w:webHidden/>
              </w:rPr>
              <w:t>5</w:t>
            </w:r>
            <w:r w:rsidR="00471345">
              <w:rPr>
                <w:webHidden/>
              </w:rPr>
              <w:fldChar w:fldCharType="end"/>
            </w:r>
          </w:hyperlink>
        </w:p>
        <w:p w14:paraId="13B60985" w14:textId="77777777" w:rsidR="00471345" w:rsidRDefault="00B951C4">
          <w:pPr>
            <w:pStyle w:val="TOC1"/>
            <w:rPr>
              <w:rFonts w:eastAsiaTheme="minorEastAsia"/>
              <w:b w:val="0"/>
              <w:sz w:val="22"/>
              <w:lang w:eastAsia="en-AU"/>
            </w:rPr>
          </w:pPr>
          <w:hyperlink w:anchor="_Toc461615752" w:history="1">
            <w:r w:rsidR="00471345" w:rsidRPr="00004AED">
              <w:rPr>
                <w:rStyle w:val="Hyperlink"/>
                <w:rFonts w:eastAsia="Times New Roman"/>
                <w:lang w:eastAsia="en-AU"/>
              </w:rPr>
              <w:t>4</w:t>
            </w:r>
            <w:r w:rsidR="00471345">
              <w:rPr>
                <w:rFonts w:eastAsiaTheme="minorEastAsia"/>
                <w:b w:val="0"/>
                <w:sz w:val="22"/>
                <w:lang w:eastAsia="en-AU"/>
              </w:rPr>
              <w:tab/>
            </w:r>
            <w:r w:rsidR="00471345" w:rsidRPr="00004AED">
              <w:rPr>
                <w:rStyle w:val="Hyperlink"/>
                <w:rFonts w:eastAsia="Times New Roman"/>
                <w:lang w:eastAsia="en-AU"/>
              </w:rPr>
              <w:t>School Engagement Data</w:t>
            </w:r>
            <w:r w:rsidR="00471345">
              <w:rPr>
                <w:webHidden/>
              </w:rPr>
              <w:tab/>
            </w:r>
            <w:r w:rsidR="00471345">
              <w:rPr>
                <w:webHidden/>
              </w:rPr>
              <w:fldChar w:fldCharType="begin"/>
            </w:r>
            <w:r w:rsidR="00471345">
              <w:rPr>
                <w:webHidden/>
              </w:rPr>
              <w:instrText xml:space="preserve"> PAGEREF _Toc461615752 \h </w:instrText>
            </w:r>
            <w:r w:rsidR="00471345">
              <w:rPr>
                <w:webHidden/>
              </w:rPr>
            </w:r>
            <w:r w:rsidR="00471345">
              <w:rPr>
                <w:webHidden/>
              </w:rPr>
              <w:fldChar w:fldCharType="separate"/>
            </w:r>
            <w:r w:rsidR="00F13DFB">
              <w:rPr>
                <w:webHidden/>
              </w:rPr>
              <w:t>6</w:t>
            </w:r>
            <w:r w:rsidR="00471345">
              <w:rPr>
                <w:webHidden/>
              </w:rPr>
              <w:fldChar w:fldCharType="end"/>
            </w:r>
          </w:hyperlink>
        </w:p>
        <w:p w14:paraId="4997FEB2" w14:textId="77777777" w:rsidR="00471345" w:rsidRDefault="00B951C4">
          <w:pPr>
            <w:pStyle w:val="TOC1"/>
            <w:rPr>
              <w:rFonts w:eastAsiaTheme="minorEastAsia"/>
              <w:b w:val="0"/>
              <w:sz w:val="22"/>
              <w:lang w:eastAsia="en-AU"/>
            </w:rPr>
          </w:pPr>
          <w:hyperlink w:anchor="_Toc461615753" w:history="1">
            <w:r w:rsidR="00471345" w:rsidRPr="00004AED">
              <w:rPr>
                <w:rStyle w:val="Hyperlink"/>
                <w:rFonts w:eastAsia="Times New Roman"/>
                <w:lang w:eastAsia="en-AU"/>
              </w:rPr>
              <w:t>5</w:t>
            </w:r>
            <w:r w:rsidR="00471345">
              <w:rPr>
                <w:rFonts w:eastAsiaTheme="minorEastAsia"/>
                <w:b w:val="0"/>
                <w:sz w:val="22"/>
                <w:lang w:eastAsia="en-AU"/>
              </w:rPr>
              <w:tab/>
            </w:r>
            <w:r w:rsidR="00471345" w:rsidRPr="00004AED">
              <w:rPr>
                <w:rStyle w:val="Hyperlink"/>
                <w:rFonts w:eastAsia="Times New Roman"/>
                <w:lang w:eastAsia="en-AU"/>
              </w:rPr>
              <w:t>Case Studies</w:t>
            </w:r>
            <w:r w:rsidR="00471345">
              <w:rPr>
                <w:webHidden/>
              </w:rPr>
              <w:tab/>
            </w:r>
            <w:r w:rsidR="00471345">
              <w:rPr>
                <w:webHidden/>
              </w:rPr>
              <w:fldChar w:fldCharType="begin"/>
            </w:r>
            <w:r w:rsidR="00471345">
              <w:rPr>
                <w:webHidden/>
              </w:rPr>
              <w:instrText xml:space="preserve"> PAGEREF _Toc461615753 \h </w:instrText>
            </w:r>
            <w:r w:rsidR="00471345">
              <w:rPr>
                <w:webHidden/>
              </w:rPr>
            </w:r>
            <w:r w:rsidR="00471345">
              <w:rPr>
                <w:webHidden/>
              </w:rPr>
              <w:fldChar w:fldCharType="separate"/>
            </w:r>
            <w:r w:rsidR="00F13DFB">
              <w:rPr>
                <w:webHidden/>
              </w:rPr>
              <w:t>6</w:t>
            </w:r>
            <w:r w:rsidR="00471345">
              <w:rPr>
                <w:webHidden/>
              </w:rPr>
              <w:fldChar w:fldCharType="end"/>
            </w:r>
          </w:hyperlink>
        </w:p>
        <w:p w14:paraId="6712C229" w14:textId="77777777" w:rsidR="00471345" w:rsidRDefault="00B951C4">
          <w:pPr>
            <w:pStyle w:val="TOC1"/>
            <w:rPr>
              <w:rFonts w:eastAsiaTheme="minorEastAsia"/>
              <w:b w:val="0"/>
              <w:sz w:val="22"/>
              <w:lang w:eastAsia="en-AU"/>
            </w:rPr>
          </w:pPr>
          <w:hyperlink w:anchor="_Toc461615754" w:history="1">
            <w:r w:rsidR="00471345" w:rsidRPr="00004AED">
              <w:rPr>
                <w:rStyle w:val="Hyperlink"/>
                <w:rFonts w:eastAsia="Times New Roman"/>
                <w:lang w:eastAsia="en-AU"/>
              </w:rPr>
              <w:t>6</w:t>
            </w:r>
            <w:r w:rsidR="00471345">
              <w:rPr>
                <w:rFonts w:eastAsiaTheme="minorEastAsia"/>
                <w:b w:val="0"/>
                <w:sz w:val="22"/>
                <w:lang w:eastAsia="en-AU"/>
              </w:rPr>
              <w:tab/>
            </w:r>
            <w:r w:rsidR="00471345" w:rsidRPr="00004AED">
              <w:rPr>
                <w:rStyle w:val="Hyperlink"/>
                <w:rFonts w:eastAsia="Times New Roman"/>
                <w:lang w:eastAsia="en-AU"/>
              </w:rPr>
              <w:t xml:space="preserve">Synthesis of results </w:t>
            </w:r>
            <w:r w:rsidR="00471345">
              <w:rPr>
                <w:webHidden/>
              </w:rPr>
              <w:tab/>
            </w:r>
            <w:r w:rsidR="00471345">
              <w:rPr>
                <w:webHidden/>
              </w:rPr>
              <w:fldChar w:fldCharType="begin"/>
            </w:r>
            <w:r w:rsidR="00471345">
              <w:rPr>
                <w:webHidden/>
              </w:rPr>
              <w:instrText xml:space="preserve"> PAGEREF _Toc461615754 \h </w:instrText>
            </w:r>
            <w:r w:rsidR="00471345">
              <w:rPr>
                <w:webHidden/>
              </w:rPr>
            </w:r>
            <w:r w:rsidR="00471345">
              <w:rPr>
                <w:webHidden/>
              </w:rPr>
              <w:fldChar w:fldCharType="separate"/>
            </w:r>
            <w:r w:rsidR="00F13DFB">
              <w:rPr>
                <w:webHidden/>
              </w:rPr>
              <w:t>7</w:t>
            </w:r>
            <w:r w:rsidR="00471345">
              <w:rPr>
                <w:webHidden/>
              </w:rPr>
              <w:fldChar w:fldCharType="end"/>
            </w:r>
          </w:hyperlink>
        </w:p>
        <w:p w14:paraId="55AF9462" w14:textId="77777777" w:rsidR="00471345" w:rsidRDefault="00B951C4">
          <w:pPr>
            <w:pStyle w:val="TOC2"/>
            <w:rPr>
              <w:rFonts w:eastAsiaTheme="minorEastAsia"/>
              <w:spacing w:val="0"/>
              <w:sz w:val="22"/>
              <w:szCs w:val="22"/>
              <w:lang w:eastAsia="en-AU"/>
            </w:rPr>
          </w:pPr>
          <w:hyperlink w:anchor="_Toc461615755" w:history="1">
            <w:r w:rsidR="00471345" w:rsidRPr="00004AED">
              <w:rPr>
                <w:rStyle w:val="Hyperlink"/>
              </w:rPr>
              <w:t>6.1</w:t>
            </w:r>
            <w:r w:rsidR="00471345">
              <w:rPr>
                <w:rFonts w:eastAsiaTheme="minorEastAsia"/>
                <w:spacing w:val="0"/>
                <w:sz w:val="22"/>
                <w:szCs w:val="22"/>
                <w:lang w:eastAsia="en-AU"/>
              </w:rPr>
              <w:tab/>
            </w:r>
            <w:r w:rsidR="00471345" w:rsidRPr="00004AED">
              <w:rPr>
                <w:rStyle w:val="Hyperlink"/>
              </w:rPr>
              <w:t>Curriculum Reform</w:t>
            </w:r>
            <w:r w:rsidR="00471345">
              <w:rPr>
                <w:webHidden/>
              </w:rPr>
              <w:tab/>
            </w:r>
            <w:r w:rsidR="00471345">
              <w:rPr>
                <w:webHidden/>
              </w:rPr>
              <w:fldChar w:fldCharType="begin"/>
            </w:r>
            <w:r w:rsidR="00471345">
              <w:rPr>
                <w:webHidden/>
              </w:rPr>
              <w:instrText xml:space="preserve"> PAGEREF _Toc461615755 \h </w:instrText>
            </w:r>
            <w:r w:rsidR="00471345">
              <w:rPr>
                <w:webHidden/>
              </w:rPr>
            </w:r>
            <w:r w:rsidR="00471345">
              <w:rPr>
                <w:webHidden/>
              </w:rPr>
              <w:fldChar w:fldCharType="separate"/>
            </w:r>
            <w:r w:rsidR="00F13DFB">
              <w:rPr>
                <w:webHidden/>
              </w:rPr>
              <w:t>7</w:t>
            </w:r>
            <w:r w:rsidR="00471345">
              <w:rPr>
                <w:webHidden/>
              </w:rPr>
              <w:fldChar w:fldCharType="end"/>
            </w:r>
          </w:hyperlink>
        </w:p>
        <w:p w14:paraId="4BDC463F" w14:textId="77777777" w:rsidR="00471345" w:rsidRDefault="00B951C4">
          <w:pPr>
            <w:pStyle w:val="TOC3"/>
            <w:rPr>
              <w:sz w:val="22"/>
              <w:szCs w:val="22"/>
              <w:lang w:eastAsia="en-AU"/>
            </w:rPr>
          </w:pPr>
          <w:hyperlink w:anchor="_Toc461615756" w:history="1">
            <w:r w:rsidR="00471345" w:rsidRPr="00004AED">
              <w:rPr>
                <w:rStyle w:val="Hyperlink"/>
                <w:rFonts w:eastAsia="Times New Roman"/>
                <w:lang w:eastAsia="en-AU"/>
              </w:rPr>
              <w:t>6.1.1</w:t>
            </w:r>
            <w:r w:rsidR="00471345">
              <w:rPr>
                <w:sz w:val="22"/>
                <w:szCs w:val="22"/>
                <w:lang w:eastAsia="en-AU"/>
              </w:rPr>
              <w:tab/>
            </w:r>
            <w:r w:rsidR="00471345" w:rsidRPr="00004AED">
              <w:rPr>
                <w:rStyle w:val="Hyperlink"/>
                <w:rFonts w:eastAsia="Times New Roman"/>
                <w:lang w:eastAsia="en-AU"/>
              </w:rPr>
              <w:t>Experience with training in new curriculum</w:t>
            </w:r>
            <w:r w:rsidR="00471345">
              <w:rPr>
                <w:webHidden/>
              </w:rPr>
              <w:tab/>
            </w:r>
            <w:r w:rsidR="00471345">
              <w:rPr>
                <w:webHidden/>
              </w:rPr>
              <w:fldChar w:fldCharType="begin"/>
            </w:r>
            <w:r w:rsidR="00471345">
              <w:rPr>
                <w:webHidden/>
              </w:rPr>
              <w:instrText xml:space="preserve"> PAGEREF _Toc461615756 \h </w:instrText>
            </w:r>
            <w:r w:rsidR="00471345">
              <w:rPr>
                <w:webHidden/>
              </w:rPr>
            </w:r>
            <w:r w:rsidR="00471345">
              <w:rPr>
                <w:webHidden/>
              </w:rPr>
              <w:fldChar w:fldCharType="separate"/>
            </w:r>
            <w:r w:rsidR="00F13DFB">
              <w:rPr>
                <w:webHidden/>
              </w:rPr>
              <w:t>8</w:t>
            </w:r>
            <w:r w:rsidR="00471345">
              <w:rPr>
                <w:webHidden/>
              </w:rPr>
              <w:fldChar w:fldCharType="end"/>
            </w:r>
          </w:hyperlink>
        </w:p>
        <w:p w14:paraId="5C7FC623" w14:textId="77777777" w:rsidR="00471345" w:rsidRDefault="00B951C4">
          <w:pPr>
            <w:pStyle w:val="TOC3"/>
            <w:rPr>
              <w:sz w:val="22"/>
              <w:szCs w:val="22"/>
              <w:lang w:eastAsia="en-AU"/>
            </w:rPr>
          </w:pPr>
          <w:hyperlink w:anchor="_Toc461615757" w:history="1">
            <w:r w:rsidR="00471345" w:rsidRPr="00004AED">
              <w:rPr>
                <w:rStyle w:val="Hyperlink"/>
                <w:rFonts w:eastAsia="Times New Roman"/>
                <w:lang w:eastAsia="en-AU"/>
              </w:rPr>
              <w:t>6.1.2</w:t>
            </w:r>
            <w:r w:rsidR="00471345">
              <w:rPr>
                <w:sz w:val="22"/>
                <w:szCs w:val="22"/>
                <w:lang w:eastAsia="en-AU"/>
              </w:rPr>
              <w:tab/>
            </w:r>
            <w:r w:rsidR="00471345" w:rsidRPr="00004AED">
              <w:rPr>
                <w:rStyle w:val="Hyperlink"/>
                <w:rFonts w:eastAsia="Times New Roman"/>
                <w:lang w:eastAsia="en-AU"/>
              </w:rPr>
              <w:t>Views on quality and value of new curriculum including impact on students</w:t>
            </w:r>
            <w:r w:rsidR="00471345">
              <w:rPr>
                <w:webHidden/>
              </w:rPr>
              <w:tab/>
            </w:r>
            <w:r w:rsidR="00471345">
              <w:rPr>
                <w:webHidden/>
              </w:rPr>
              <w:fldChar w:fldCharType="begin"/>
            </w:r>
            <w:r w:rsidR="00471345">
              <w:rPr>
                <w:webHidden/>
              </w:rPr>
              <w:instrText xml:space="preserve"> PAGEREF _Toc461615757 \h </w:instrText>
            </w:r>
            <w:r w:rsidR="00471345">
              <w:rPr>
                <w:webHidden/>
              </w:rPr>
            </w:r>
            <w:r w:rsidR="00471345">
              <w:rPr>
                <w:webHidden/>
              </w:rPr>
              <w:fldChar w:fldCharType="separate"/>
            </w:r>
            <w:r w:rsidR="00F13DFB">
              <w:rPr>
                <w:webHidden/>
              </w:rPr>
              <w:t>9</w:t>
            </w:r>
            <w:r w:rsidR="00471345">
              <w:rPr>
                <w:webHidden/>
              </w:rPr>
              <w:fldChar w:fldCharType="end"/>
            </w:r>
          </w:hyperlink>
        </w:p>
        <w:p w14:paraId="2CE11218" w14:textId="77777777" w:rsidR="00471345" w:rsidRDefault="00B951C4">
          <w:pPr>
            <w:pStyle w:val="TOC3"/>
            <w:rPr>
              <w:sz w:val="22"/>
              <w:szCs w:val="22"/>
              <w:lang w:eastAsia="en-AU"/>
            </w:rPr>
          </w:pPr>
          <w:hyperlink w:anchor="_Toc461615758" w:history="1">
            <w:r w:rsidR="00471345" w:rsidRPr="00004AED">
              <w:rPr>
                <w:rStyle w:val="Hyperlink"/>
                <w:rFonts w:eastAsia="Times New Roman"/>
                <w:lang w:eastAsia="en-AU"/>
              </w:rPr>
              <w:t>6.1.3</w:t>
            </w:r>
            <w:r w:rsidR="00471345">
              <w:rPr>
                <w:sz w:val="22"/>
                <w:szCs w:val="22"/>
                <w:lang w:eastAsia="en-AU"/>
              </w:rPr>
              <w:tab/>
            </w:r>
            <w:r w:rsidR="00471345" w:rsidRPr="00004AED">
              <w:rPr>
                <w:rStyle w:val="Hyperlink"/>
                <w:rFonts w:eastAsia="Times New Roman"/>
                <w:lang w:eastAsia="en-AU"/>
              </w:rPr>
              <w:t>Extent of learner focus of the lesson plans and in the class room implementation</w:t>
            </w:r>
            <w:r w:rsidR="00471345">
              <w:rPr>
                <w:webHidden/>
              </w:rPr>
              <w:tab/>
            </w:r>
            <w:r w:rsidR="00471345">
              <w:rPr>
                <w:webHidden/>
              </w:rPr>
              <w:fldChar w:fldCharType="begin"/>
            </w:r>
            <w:r w:rsidR="00471345">
              <w:rPr>
                <w:webHidden/>
              </w:rPr>
              <w:instrText xml:space="preserve"> PAGEREF _Toc461615758 \h </w:instrText>
            </w:r>
            <w:r w:rsidR="00471345">
              <w:rPr>
                <w:webHidden/>
              </w:rPr>
            </w:r>
            <w:r w:rsidR="00471345">
              <w:rPr>
                <w:webHidden/>
              </w:rPr>
              <w:fldChar w:fldCharType="separate"/>
            </w:r>
            <w:r w:rsidR="00F13DFB">
              <w:rPr>
                <w:webHidden/>
              </w:rPr>
              <w:t>10</w:t>
            </w:r>
            <w:r w:rsidR="00471345">
              <w:rPr>
                <w:webHidden/>
              </w:rPr>
              <w:fldChar w:fldCharType="end"/>
            </w:r>
          </w:hyperlink>
        </w:p>
        <w:p w14:paraId="517FF357" w14:textId="77777777" w:rsidR="00471345" w:rsidRDefault="00B951C4">
          <w:pPr>
            <w:pStyle w:val="TOC3"/>
            <w:rPr>
              <w:sz w:val="22"/>
              <w:szCs w:val="22"/>
              <w:lang w:eastAsia="en-AU"/>
            </w:rPr>
          </w:pPr>
          <w:hyperlink w:anchor="_Toc461615759" w:history="1">
            <w:r w:rsidR="00471345" w:rsidRPr="00004AED">
              <w:rPr>
                <w:rStyle w:val="Hyperlink"/>
                <w:rFonts w:eastAsia="Times New Roman"/>
                <w:lang w:eastAsia="en-AU"/>
              </w:rPr>
              <w:t>6.1.4</w:t>
            </w:r>
            <w:r w:rsidR="00471345">
              <w:rPr>
                <w:sz w:val="22"/>
                <w:szCs w:val="22"/>
                <w:lang w:eastAsia="en-AU"/>
              </w:rPr>
              <w:tab/>
            </w:r>
            <w:r w:rsidR="00471345" w:rsidRPr="00004AED">
              <w:rPr>
                <w:rStyle w:val="Hyperlink"/>
                <w:rFonts w:eastAsia="Times New Roman"/>
                <w:lang w:eastAsia="en-AU"/>
              </w:rPr>
              <w:t>Teacher use and familiarity with English</w:t>
            </w:r>
            <w:r w:rsidR="00471345">
              <w:rPr>
                <w:webHidden/>
              </w:rPr>
              <w:tab/>
            </w:r>
            <w:r w:rsidR="00471345">
              <w:rPr>
                <w:webHidden/>
              </w:rPr>
              <w:fldChar w:fldCharType="begin"/>
            </w:r>
            <w:r w:rsidR="00471345">
              <w:rPr>
                <w:webHidden/>
              </w:rPr>
              <w:instrText xml:space="preserve"> PAGEREF _Toc461615759 \h </w:instrText>
            </w:r>
            <w:r w:rsidR="00471345">
              <w:rPr>
                <w:webHidden/>
              </w:rPr>
            </w:r>
            <w:r w:rsidR="00471345">
              <w:rPr>
                <w:webHidden/>
              </w:rPr>
              <w:fldChar w:fldCharType="separate"/>
            </w:r>
            <w:r w:rsidR="00F13DFB">
              <w:rPr>
                <w:webHidden/>
              </w:rPr>
              <w:t>11</w:t>
            </w:r>
            <w:r w:rsidR="00471345">
              <w:rPr>
                <w:webHidden/>
              </w:rPr>
              <w:fldChar w:fldCharType="end"/>
            </w:r>
          </w:hyperlink>
        </w:p>
        <w:p w14:paraId="34A73B87" w14:textId="77777777" w:rsidR="00471345" w:rsidRDefault="00B951C4">
          <w:pPr>
            <w:pStyle w:val="TOC3"/>
            <w:rPr>
              <w:sz w:val="22"/>
              <w:szCs w:val="22"/>
              <w:lang w:eastAsia="en-AU"/>
            </w:rPr>
          </w:pPr>
          <w:hyperlink w:anchor="_Toc461615760" w:history="1">
            <w:r w:rsidR="00471345" w:rsidRPr="00004AED">
              <w:rPr>
                <w:rStyle w:val="Hyperlink"/>
                <w:rFonts w:eastAsia="Times New Roman"/>
                <w:lang w:eastAsia="en-AU"/>
              </w:rPr>
              <w:t>6.1.5</w:t>
            </w:r>
            <w:r w:rsidR="00471345">
              <w:rPr>
                <w:sz w:val="22"/>
                <w:szCs w:val="22"/>
                <w:lang w:eastAsia="en-AU"/>
              </w:rPr>
              <w:tab/>
            </w:r>
            <w:r w:rsidR="00471345" w:rsidRPr="00004AED">
              <w:rPr>
                <w:rStyle w:val="Hyperlink"/>
                <w:rFonts w:eastAsia="Times New Roman"/>
                <w:lang w:eastAsia="en-AU"/>
              </w:rPr>
              <w:t>Assessment methods</w:t>
            </w:r>
            <w:r w:rsidR="00471345">
              <w:rPr>
                <w:webHidden/>
              </w:rPr>
              <w:tab/>
            </w:r>
            <w:r w:rsidR="00471345">
              <w:rPr>
                <w:webHidden/>
              </w:rPr>
              <w:fldChar w:fldCharType="begin"/>
            </w:r>
            <w:r w:rsidR="00471345">
              <w:rPr>
                <w:webHidden/>
              </w:rPr>
              <w:instrText xml:space="preserve"> PAGEREF _Toc461615760 \h </w:instrText>
            </w:r>
            <w:r w:rsidR="00471345">
              <w:rPr>
                <w:webHidden/>
              </w:rPr>
            </w:r>
            <w:r w:rsidR="00471345">
              <w:rPr>
                <w:webHidden/>
              </w:rPr>
              <w:fldChar w:fldCharType="separate"/>
            </w:r>
            <w:r w:rsidR="00F13DFB">
              <w:rPr>
                <w:webHidden/>
              </w:rPr>
              <w:t>13</w:t>
            </w:r>
            <w:r w:rsidR="00471345">
              <w:rPr>
                <w:webHidden/>
              </w:rPr>
              <w:fldChar w:fldCharType="end"/>
            </w:r>
          </w:hyperlink>
        </w:p>
        <w:p w14:paraId="0EA38B9A" w14:textId="77777777" w:rsidR="00471345" w:rsidRDefault="00B951C4">
          <w:pPr>
            <w:pStyle w:val="TOC2"/>
            <w:rPr>
              <w:rFonts w:eastAsiaTheme="minorEastAsia"/>
              <w:spacing w:val="0"/>
              <w:sz w:val="22"/>
              <w:szCs w:val="22"/>
              <w:lang w:eastAsia="en-AU"/>
            </w:rPr>
          </w:pPr>
          <w:hyperlink w:anchor="_Toc461615761" w:history="1">
            <w:r w:rsidR="00471345" w:rsidRPr="00004AED">
              <w:rPr>
                <w:rStyle w:val="Hyperlink"/>
              </w:rPr>
              <w:t>6.2</w:t>
            </w:r>
            <w:r w:rsidR="00471345">
              <w:rPr>
                <w:rFonts w:eastAsiaTheme="minorEastAsia"/>
                <w:spacing w:val="0"/>
                <w:sz w:val="22"/>
                <w:szCs w:val="22"/>
                <w:lang w:eastAsia="en-AU"/>
              </w:rPr>
              <w:tab/>
            </w:r>
            <w:r w:rsidR="00471345" w:rsidRPr="00004AED">
              <w:rPr>
                <w:rStyle w:val="Hyperlink"/>
              </w:rPr>
              <w:t>School Leadership and Management</w:t>
            </w:r>
            <w:r w:rsidR="00471345">
              <w:rPr>
                <w:webHidden/>
              </w:rPr>
              <w:tab/>
            </w:r>
            <w:r w:rsidR="00471345">
              <w:rPr>
                <w:webHidden/>
              </w:rPr>
              <w:fldChar w:fldCharType="begin"/>
            </w:r>
            <w:r w:rsidR="00471345">
              <w:rPr>
                <w:webHidden/>
              </w:rPr>
              <w:instrText xml:space="preserve"> PAGEREF _Toc461615761 \h </w:instrText>
            </w:r>
            <w:r w:rsidR="00471345">
              <w:rPr>
                <w:webHidden/>
              </w:rPr>
            </w:r>
            <w:r w:rsidR="00471345">
              <w:rPr>
                <w:webHidden/>
              </w:rPr>
              <w:fldChar w:fldCharType="separate"/>
            </w:r>
            <w:r w:rsidR="00F13DFB">
              <w:rPr>
                <w:webHidden/>
              </w:rPr>
              <w:t>14</w:t>
            </w:r>
            <w:r w:rsidR="00471345">
              <w:rPr>
                <w:webHidden/>
              </w:rPr>
              <w:fldChar w:fldCharType="end"/>
            </w:r>
          </w:hyperlink>
        </w:p>
        <w:p w14:paraId="332F5974" w14:textId="77777777" w:rsidR="00471345" w:rsidRDefault="00B951C4">
          <w:pPr>
            <w:pStyle w:val="TOC3"/>
            <w:rPr>
              <w:sz w:val="22"/>
              <w:szCs w:val="22"/>
              <w:lang w:eastAsia="en-AU"/>
            </w:rPr>
          </w:pPr>
          <w:hyperlink w:anchor="_Toc461615762" w:history="1">
            <w:r w:rsidR="00471345" w:rsidRPr="00004AED">
              <w:rPr>
                <w:rStyle w:val="Hyperlink"/>
                <w:rFonts w:eastAsia="Times New Roman"/>
                <w:lang w:eastAsia="en-AU"/>
              </w:rPr>
              <w:t>6.2.1</w:t>
            </w:r>
            <w:r w:rsidR="00471345">
              <w:rPr>
                <w:sz w:val="22"/>
                <w:szCs w:val="22"/>
                <w:lang w:eastAsia="en-AU"/>
              </w:rPr>
              <w:tab/>
            </w:r>
            <w:r w:rsidR="00471345" w:rsidRPr="00004AED">
              <w:rPr>
                <w:rStyle w:val="Hyperlink"/>
                <w:rFonts w:eastAsia="Times New Roman"/>
                <w:lang w:eastAsia="en-AU"/>
              </w:rPr>
              <w:t>Interactions between School Leaders and teachers</w:t>
            </w:r>
            <w:r w:rsidR="00471345">
              <w:rPr>
                <w:webHidden/>
              </w:rPr>
              <w:tab/>
            </w:r>
            <w:r w:rsidR="00471345">
              <w:rPr>
                <w:webHidden/>
              </w:rPr>
              <w:fldChar w:fldCharType="begin"/>
            </w:r>
            <w:r w:rsidR="00471345">
              <w:rPr>
                <w:webHidden/>
              </w:rPr>
              <w:instrText xml:space="preserve"> PAGEREF _Toc461615762 \h </w:instrText>
            </w:r>
            <w:r w:rsidR="00471345">
              <w:rPr>
                <w:webHidden/>
              </w:rPr>
            </w:r>
            <w:r w:rsidR="00471345">
              <w:rPr>
                <w:webHidden/>
              </w:rPr>
              <w:fldChar w:fldCharType="separate"/>
            </w:r>
            <w:r w:rsidR="00F13DFB">
              <w:rPr>
                <w:webHidden/>
              </w:rPr>
              <w:t>14</w:t>
            </w:r>
            <w:r w:rsidR="00471345">
              <w:rPr>
                <w:webHidden/>
              </w:rPr>
              <w:fldChar w:fldCharType="end"/>
            </w:r>
          </w:hyperlink>
        </w:p>
        <w:p w14:paraId="3A878E0F" w14:textId="77777777" w:rsidR="00471345" w:rsidRDefault="00B951C4">
          <w:pPr>
            <w:pStyle w:val="TOC3"/>
            <w:rPr>
              <w:sz w:val="22"/>
              <w:szCs w:val="22"/>
              <w:lang w:eastAsia="en-AU"/>
            </w:rPr>
          </w:pPr>
          <w:hyperlink w:anchor="_Toc461615763" w:history="1">
            <w:r w:rsidR="00471345" w:rsidRPr="00004AED">
              <w:rPr>
                <w:rStyle w:val="Hyperlink"/>
                <w:rFonts w:eastAsia="Times New Roman"/>
                <w:lang w:eastAsia="en-AU"/>
              </w:rPr>
              <w:t>6.2.2</w:t>
            </w:r>
            <w:r w:rsidR="00471345">
              <w:rPr>
                <w:sz w:val="22"/>
                <w:szCs w:val="22"/>
                <w:lang w:eastAsia="en-AU"/>
              </w:rPr>
              <w:tab/>
            </w:r>
            <w:r w:rsidR="00471345" w:rsidRPr="00004AED">
              <w:rPr>
                <w:rStyle w:val="Hyperlink"/>
                <w:rFonts w:eastAsia="Times New Roman"/>
                <w:lang w:eastAsia="en-AU"/>
              </w:rPr>
              <w:t>Professional development for teachers</w:t>
            </w:r>
            <w:r w:rsidR="00471345">
              <w:rPr>
                <w:webHidden/>
              </w:rPr>
              <w:tab/>
            </w:r>
            <w:r w:rsidR="00471345">
              <w:rPr>
                <w:webHidden/>
              </w:rPr>
              <w:fldChar w:fldCharType="begin"/>
            </w:r>
            <w:r w:rsidR="00471345">
              <w:rPr>
                <w:webHidden/>
              </w:rPr>
              <w:instrText xml:space="preserve"> PAGEREF _Toc461615763 \h </w:instrText>
            </w:r>
            <w:r w:rsidR="00471345">
              <w:rPr>
                <w:webHidden/>
              </w:rPr>
            </w:r>
            <w:r w:rsidR="00471345">
              <w:rPr>
                <w:webHidden/>
              </w:rPr>
              <w:fldChar w:fldCharType="separate"/>
            </w:r>
            <w:r w:rsidR="00F13DFB">
              <w:rPr>
                <w:webHidden/>
              </w:rPr>
              <w:t>15</w:t>
            </w:r>
            <w:r w:rsidR="00471345">
              <w:rPr>
                <w:webHidden/>
              </w:rPr>
              <w:fldChar w:fldCharType="end"/>
            </w:r>
          </w:hyperlink>
        </w:p>
        <w:p w14:paraId="7D61A3E5" w14:textId="77777777" w:rsidR="00471345" w:rsidRDefault="00B951C4">
          <w:pPr>
            <w:pStyle w:val="TOC3"/>
            <w:rPr>
              <w:sz w:val="22"/>
              <w:szCs w:val="22"/>
              <w:lang w:eastAsia="en-AU"/>
            </w:rPr>
          </w:pPr>
          <w:hyperlink w:anchor="_Toc461615764" w:history="1">
            <w:r w:rsidR="00471345" w:rsidRPr="00004AED">
              <w:rPr>
                <w:rStyle w:val="Hyperlink"/>
                <w:rFonts w:eastAsia="Times New Roman"/>
                <w:lang w:eastAsia="en-AU"/>
              </w:rPr>
              <w:t>6.2.3</w:t>
            </w:r>
            <w:r w:rsidR="00471345">
              <w:rPr>
                <w:sz w:val="22"/>
                <w:szCs w:val="22"/>
                <w:lang w:eastAsia="en-AU"/>
              </w:rPr>
              <w:tab/>
            </w:r>
            <w:r w:rsidR="00471345" w:rsidRPr="00004AED">
              <w:rPr>
                <w:rStyle w:val="Hyperlink"/>
                <w:rFonts w:eastAsia="Times New Roman"/>
                <w:lang w:eastAsia="en-AU"/>
              </w:rPr>
              <w:t>Use of monitors in the classroom</w:t>
            </w:r>
            <w:r w:rsidR="00471345">
              <w:rPr>
                <w:webHidden/>
              </w:rPr>
              <w:tab/>
            </w:r>
            <w:r w:rsidR="00471345">
              <w:rPr>
                <w:webHidden/>
              </w:rPr>
              <w:fldChar w:fldCharType="begin"/>
            </w:r>
            <w:r w:rsidR="00471345">
              <w:rPr>
                <w:webHidden/>
              </w:rPr>
              <w:instrText xml:space="preserve"> PAGEREF _Toc461615764 \h </w:instrText>
            </w:r>
            <w:r w:rsidR="00471345">
              <w:rPr>
                <w:webHidden/>
              </w:rPr>
            </w:r>
            <w:r w:rsidR="00471345">
              <w:rPr>
                <w:webHidden/>
              </w:rPr>
              <w:fldChar w:fldCharType="separate"/>
            </w:r>
            <w:r w:rsidR="00F13DFB">
              <w:rPr>
                <w:webHidden/>
              </w:rPr>
              <w:t>16</w:t>
            </w:r>
            <w:r w:rsidR="00471345">
              <w:rPr>
                <w:webHidden/>
              </w:rPr>
              <w:fldChar w:fldCharType="end"/>
            </w:r>
          </w:hyperlink>
        </w:p>
        <w:p w14:paraId="25D98F37" w14:textId="77777777" w:rsidR="00471345" w:rsidRDefault="00B951C4">
          <w:pPr>
            <w:pStyle w:val="TOC2"/>
            <w:rPr>
              <w:rFonts w:eastAsiaTheme="minorEastAsia"/>
              <w:spacing w:val="0"/>
              <w:sz w:val="22"/>
              <w:szCs w:val="22"/>
              <w:lang w:eastAsia="en-AU"/>
            </w:rPr>
          </w:pPr>
          <w:hyperlink w:anchor="_Toc461615765" w:history="1">
            <w:r w:rsidR="00471345" w:rsidRPr="00004AED">
              <w:rPr>
                <w:rStyle w:val="Hyperlink"/>
              </w:rPr>
              <w:t>6.3</w:t>
            </w:r>
            <w:r w:rsidR="00471345">
              <w:rPr>
                <w:rFonts w:eastAsiaTheme="minorEastAsia"/>
                <w:spacing w:val="0"/>
                <w:sz w:val="22"/>
                <w:szCs w:val="22"/>
                <w:lang w:eastAsia="en-AU"/>
              </w:rPr>
              <w:tab/>
            </w:r>
            <w:r w:rsidR="00471345" w:rsidRPr="00004AED">
              <w:rPr>
                <w:rStyle w:val="Hyperlink"/>
              </w:rPr>
              <w:t>Community Consultations</w:t>
            </w:r>
            <w:r w:rsidR="00471345">
              <w:rPr>
                <w:webHidden/>
              </w:rPr>
              <w:tab/>
            </w:r>
            <w:r w:rsidR="00471345">
              <w:rPr>
                <w:webHidden/>
              </w:rPr>
              <w:fldChar w:fldCharType="begin"/>
            </w:r>
            <w:r w:rsidR="00471345">
              <w:rPr>
                <w:webHidden/>
              </w:rPr>
              <w:instrText xml:space="preserve"> PAGEREF _Toc461615765 \h </w:instrText>
            </w:r>
            <w:r w:rsidR="00471345">
              <w:rPr>
                <w:webHidden/>
              </w:rPr>
            </w:r>
            <w:r w:rsidR="00471345">
              <w:rPr>
                <w:webHidden/>
              </w:rPr>
              <w:fldChar w:fldCharType="separate"/>
            </w:r>
            <w:r w:rsidR="00F13DFB">
              <w:rPr>
                <w:webHidden/>
              </w:rPr>
              <w:t>16</w:t>
            </w:r>
            <w:r w:rsidR="00471345">
              <w:rPr>
                <w:webHidden/>
              </w:rPr>
              <w:fldChar w:fldCharType="end"/>
            </w:r>
          </w:hyperlink>
        </w:p>
        <w:p w14:paraId="2657F0BF" w14:textId="77777777" w:rsidR="00471345" w:rsidRDefault="00B951C4">
          <w:pPr>
            <w:pStyle w:val="TOC3"/>
            <w:rPr>
              <w:sz w:val="22"/>
              <w:szCs w:val="22"/>
              <w:lang w:eastAsia="en-AU"/>
            </w:rPr>
          </w:pPr>
          <w:hyperlink w:anchor="_Toc461615766" w:history="1">
            <w:r w:rsidR="00471345" w:rsidRPr="00004AED">
              <w:rPr>
                <w:rStyle w:val="Hyperlink"/>
                <w:rFonts w:eastAsia="Times New Roman"/>
                <w:lang w:eastAsia="en-AU"/>
              </w:rPr>
              <w:t>6.3.1</w:t>
            </w:r>
            <w:r w:rsidR="00471345">
              <w:rPr>
                <w:sz w:val="22"/>
                <w:szCs w:val="22"/>
                <w:lang w:eastAsia="en-AU"/>
              </w:rPr>
              <w:tab/>
            </w:r>
            <w:r w:rsidR="00471345" w:rsidRPr="00004AED">
              <w:rPr>
                <w:rStyle w:val="Hyperlink"/>
                <w:rFonts w:eastAsia="Times New Roman"/>
                <w:lang w:eastAsia="en-AU"/>
              </w:rPr>
              <w:t>Support from parents for the school and participation in their children’s education</w:t>
            </w:r>
            <w:r w:rsidR="00471345">
              <w:rPr>
                <w:webHidden/>
              </w:rPr>
              <w:tab/>
            </w:r>
            <w:r w:rsidR="00471345">
              <w:rPr>
                <w:webHidden/>
              </w:rPr>
              <w:fldChar w:fldCharType="begin"/>
            </w:r>
            <w:r w:rsidR="00471345">
              <w:rPr>
                <w:webHidden/>
              </w:rPr>
              <w:instrText xml:space="preserve"> PAGEREF _Toc461615766 \h </w:instrText>
            </w:r>
            <w:r w:rsidR="00471345">
              <w:rPr>
                <w:webHidden/>
              </w:rPr>
            </w:r>
            <w:r w:rsidR="00471345">
              <w:rPr>
                <w:webHidden/>
              </w:rPr>
              <w:fldChar w:fldCharType="separate"/>
            </w:r>
            <w:r w:rsidR="00F13DFB">
              <w:rPr>
                <w:webHidden/>
              </w:rPr>
              <w:t>16</w:t>
            </w:r>
            <w:r w:rsidR="00471345">
              <w:rPr>
                <w:webHidden/>
              </w:rPr>
              <w:fldChar w:fldCharType="end"/>
            </w:r>
          </w:hyperlink>
        </w:p>
        <w:p w14:paraId="16BB98F8" w14:textId="77777777" w:rsidR="00471345" w:rsidRDefault="00B951C4">
          <w:pPr>
            <w:pStyle w:val="TOC3"/>
            <w:rPr>
              <w:sz w:val="22"/>
              <w:szCs w:val="22"/>
              <w:lang w:eastAsia="en-AU"/>
            </w:rPr>
          </w:pPr>
          <w:hyperlink w:anchor="_Toc461615767" w:history="1">
            <w:r w:rsidR="00471345" w:rsidRPr="00004AED">
              <w:rPr>
                <w:rStyle w:val="Hyperlink"/>
                <w:rFonts w:eastAsia="Times New Roman"/>
                <w:lang w:eastAsia="en-AU"/>
              </w:rPr>
              <w:t>6.3.2</w:t>
            </w:r>
            <w:r w:rsidR="00471345">
              <w:rPr>
                <w:sz w:val="22"/>
                <w:szCs w:val="22"/>
                <w:lang w:eastAsia="en-AU"/>
              </w:rPr>
              <w:tab/>
            </w:r>
            <w:r w:rsidR="00471345" w:rsidRPr="00004AED">
              <w:rPr>
                <w:rStyle w:val="Hyperlink"/>
                <w:rFonts w:eastAsia="Times New Roman"/>
                <w:lang w:eastAsia="en-AU"/>
              </w:rPr>
              <w:t>School committees</w:t>
            </w:r>
            <w:r w:rsidR="00471345">
              <w:rPr>
                <w:webHidden/>
              </w:rPr>
              <w:tab/>
            </w:r>
            <w:r w:rsidR="00471345">
              <w:rPr>
                <w:webHidden/>
              </w:rPr>
              <w:fldChar w:fldCharType="begin"/>
            </w:r>
            <w:r w:rsidR="00471345">
              <w:rPr>
                <w:webHidden/>
              </w:rPr>
              <w:instrText xml:space="preserve"> PAGEREF _Toc461615767 \h </w:instrText>
            </w:r>
            <w:r w:rsidR="00471345">
              <w:rPr>
                <w:webHidden/>
              </w:rPr>
            </w:r>
            <w:r w:rsidR="00471345">
              <w:rPr>
                <w:webHidden/>
              </w:rPr>
              <w:fldChar w:fldCharType="separate"/>
            </w:r>
            <w:r w:rsidR="00F13DFB">
              <w:rPr>
                <w:webHidden/>
              </w:rPr>
              <w:t>17</w:t>
            </w:r>
            <w:r w:rsidR="00471345">
              <w:rPr>
                <w:webHidden/>
              </w:rPr>
              <w:fldChar w:fldCharType="end"/>
            </w:r>
          </w:hyperlink>
        </w:p>
        <w:p w14:paraId="35E823CF" w14:textId="77777777" w:rsidR="00471345" w:rsidRDefault="00B951C4">
          <w:pPr>
            <w:pStyle w:val="TOC2"/>
            <w:rPr>
              <w:rFonts w:eastAsiaTheme="minorEastAsia"/>
              <w:spacing w:val="0"/>
              <w:sz w:val="22"/>
              <w:szCs w:val="22"/>
              <w:lang w:eastAsia="en-AU"/>
            </w:rPr>
          </w:pPr>
          <w:hyperlink w:anchor="_Toc461615768" w:history="1">
            <w:r w:rsidR="00471345" w:rsidRPr="00004AED">
              <w:rPr>
                <w:rStyle w:val="Hyperlink"/>
              </w:rPr>
              <w:t>6.4</w:t>
            </w:r>
            <w:r w:rsidR="00471345">
              <w:rPr>
                <w:rFonts w:eastAsiaTheme="minorEastAsia"/>
                <w:spacing w:val="0"/>
                <w:sz w:val="22"/>
                <w:szCs w:val="22"/>
                <w:lang w:eastAsia="en-AU"/>
              </w:rPr>
              <w:tab/>
            </w:r>
            <w:r w:rsidR="00471345" w:rsidRPr="00004AED">
              <w:rPr>
                <w:rStyle w:val="Hyperlink"/>
              </w:rPr>
              <w:t>School Improvement Plans</w:t>
            </w:r>
            <w:r w:rsidR="00471345">
              <w:rPr>
                <w:webHidden/>
              </w:rPr>
              <w:tab/>
            </w:r>
            <w:r w:rsidR="00471345">
              <w:rPr>
                <w:webHidden/>
              </w:rPr>
              <w:fldChar w:fldCharType="begin"/>
            </w:r>
            <w:r w:rsidR="00471345">
              <w:rPr>
                <w:webHidden/>
              </w:rPr>
              <w:instrText xml:space="preserve"> PAGEREF _Toc461615768 \h </w:instrText>
            </w:r>
            <w:r w:rsidR="00471345">
              <w:rPr>
                <w:webHidden/>
              </w:rPr>
            </w:r>
            <w:r w:rsidR="00471345">
              <w:rPr>
                <w:webHidden/>
              </w:rPr>
              <w:fldChar w:fldCharType="separate"/>
            </w:r>
            <w:r w:rsidR="00F13DFB">
              <w:rPr>
                <w:webHidden/>
              </w:rPr>
              <w:t>18</w:t>
            </w:r>
            <w:r w:rsidR="00471345">
              <w:rPr>
                <w:webHidden/>
              </w:rPr>
              <w:fldChar w:fldCharType="end"/>
            </w:r>
          </w:hyperlink>
        </w:p>
        <w:p w14:paraId="25B27B24" w14:textId="77777777" w:rsidR="00471345" w:rsidRDefault="00B951C4">
          <w:pPr>
            <w:pStyle w:val="TOC3"/>
            <w:rPr>
              <w:sz w:val="22"/>
              <w:szCs w:val="22"/>
              <w:lang w:eastAsia="en-AU"/>
            </w:rPr>
          </w:pPr>
          <w:hyperlink w:anchor="_Toc461615769" w:history="1">
            <w:r w:rsidR="00471345" w:rsidRPr="00004AED">
              <w:rPr>
                <w:rStyle w:val="Hyperlink"/>
                <w:rFonts w:eastAsia="Times New Roman"/>
                <w:lang w:eastAsia="en-AU"/>
              </w:rPr>
              <w:t>6.4.1</w:t>
            </w:r>
            <w:r w:rsidR="00471345">
              <w:rPr>
                <w:sz w:val="22"/>
                <w:szCs w:val="22"/>
                <w:lang w:eastAsia="en-AU"/>
              </w:rPr>
              <w:tab/>
            </w:r>
            <w:r w:rsidR="00471345" w:rsidRPr="00004AED">
              <w:rPr>
                <w:rStyle w:val="Hyperlink"/>
                <w:rFonts w:eastAsia="Times New Roman"/>
                <w:lang w:eastAsia="en-AU"/>
              </w:rPr>
              <w:t>SIP committees and Status and implementation of School Improvement Plans</w:t>
            </w:r>
            <w:r w:rsidR="00471345">
              <w:rPr>
                <w:webHidden/>
              </w:rPr>
              <w:tab/>
            </w:r>
            <w:r w:rsidR="00471345">
              <w:rPr>
                <w:webHidden/>
              </w:rPr>
              <w:fldChar w:fldCharType="begin"/>
            </w:r>
            <w:r w:rsidR="00471345">
              <w:rPr>
                <w:webHidden/>
              </w:rPr>
              <w:instrText xml:space="preserve"> PAGEREF _Toc461615769 \h </w:instrText>
            </w:r>
            <w:r w:rsidR="00471345">
              <w:rPr>
                <w:webHidden/>
              </w:rPr>
            </w:r>
            <w:r w:rsidR="00471345">
              <w:rPr>
                <w:webHidden/>
              </w:rPr>
              <w:fldChar w:fldCharType="separate"/>
            </w:r>
            <w:r w:rsidR="00F13DFB">
              <w:rPr>
                <w:webHidden/>
              </w:rPr>
              <w:t>18</w:t>
            </w:r>
            <w:r w:rsidR="00471345">
              <w:rPr>
                <w:webHidden/>
              </w:rPr>
              <w:fldChar w:fldCharType="end"/>
            </w:r>
          </w:hyperlink>
        </w:p>
        <w:p w14:paraId="4B2ADDBB" w14:textId="77777777" w:rsidR="00471345" w:rsidRDefault="00B951C4">
          <w:pPr>
            <w:pStyle w:val="TOC2"/>
            <w:rPr>
              <w:rFonts w:eastAsiaTheme="minorEastAsia"/>
              <w:spacing w:val="0"/>
              <w:sz w:val="22"/>
              <w:szCs w:val="22"/>
              <w:lang w:eastAsia="en-AU"/>
            </w:rPr>
          </w:pPr>
          <w:hyperlink w:anchor="_Toc461615770" w:history="1">
            <w:r w:rsidR="00471345" w:rsidRPr="00004AED">
              <w:rPr>
                <w:rStyle w:val="Hyperlink"/>
              </w:rPr>
              <w:t>6.5</w:t>
            </w:r>
            <w:r w:rsidR="00471345">
              <w:rPr>
                <w:rFonts w:eastAsiaTheme="minorEastAsia"/>
                <w:spacing w:val="0"/>
                <w:sz w:val="22"/>
                <w:szCs w:val="22"/>
                <w:lang w:eastAsia="en-AU"/>
              </w:rPr>
              <w:tab/>
            </w:r>
            <w:r w:rsidR="00471345" w:rsidRPr="00004AED">
              <w:rPr>
                <w:rStyle w:val="Hyperlink"/>
              </w:rPr>
              <w:t>Access and Participation Intervention</w:t>
            </w:r>
            <w:r w:rsidR="00471345">
              <w:rPr>
                <w:webHidden/>
              </w:rPr>
              <w:tab/>
            </w:r>
            <w:r w:rsidR="00471345">
              <w:rPr>
                <w:webHidden/>
              </w:rPr>
              <w:fldChar w:fldCharType="begin"/>
            </w:r>
            <w:r w:rsidR="00471345">
              <w:rPr>
                <w:webHidden/>
              </w:rPr>
              <w:instrText xml:space="preserve"> PAGEREF _Toc461615770 \h </w:instrText>
            </w:r>
            <w:r w:rsidR="00471345">
              <w:rPr>
                <w:webHidden/>
              </w:rPr>
            </w:r>
            <w:r w:rsidR="00471345">
              <w:rPr>
                <w:webHidden/>
              </w:rPr>
              <w:fldChar w:fldCharType="separate"/>
            </w:r>
            <w:r w:rsidR="00F13DFB">
              <w:rPr>
                <w:webHidden/>
              </w:rPr>
              <w:t>19</w:t>
            </w:r>
            <w:r w:rsidR="00471345">
              <w:rPr>
                <w:webHidden/>
              </w:rPr>
              <w:fldChar w:fldCharType="end"/>
            </w:r>
          </w:hyperlink>
        </w:p>
        <w:p w14:paraId="46893DFA" w14:textId="77777777" w:rsidR="00471345" w:rsidRDefault="00B951C4">
          <w:pPr>
            <w:pStyle w:val="TOC3"/>
            <w:rPr>
              <w:sz w:val="22"/>
              <w:szCs w:val="22"/>
              <w:lang w:eastAsia="en-AU"/>
            </w:rPr>
          </w:pPr>
          <w:hyperlink w:anchor="_Toc461615771" w:history="1">
            <w:r w:rsidR="00471345" w:rsidRPr="00004AED">
              <w:rPr>
                <w:rStyle w:val="Hyperlink"/>
                <w:rFonts w:eastAsia="Times New Roman"/>
                <w:lang w:eastAsia="en-AU"/>
              </w:rPr>
              <w:t>6.5.1</w:t>
            </w:r>
            <w:r w:rsidR="00471345">
              <w:rPr>
                <w:sz w:val="22"/>
                <w:szCs w:val="22"/>
                <w:lang w:eastAsia="en-AU"/>
              </w:rPr>
              <w:tab/>
            </w:r>
            <w:r w:rsidR="00471345" w:rsidRPr="00004AED">
              <w:rPr>
                <w:rStyle w:val="Hyperlink"/>
                <w:rFonts w:eastAsia="Times New Roman"/>
                <w:lang w:eastAsia="en-AU"/>
              </w:rPr>
              <w:t>Managing school attendance</w:t>
            </w:r>
            <w:r w:rsidR="00471345">
              <w:rPr>
                <w:webHidden/>
              </w:rPr>
              <w:tab/>
            </w:r>
            <w:r w:rsidR="00471345">
              <w:rPr>
                <w:webHidden/>
              </w:rPr>
              <w:fldChar w:fldCharType="begin"/>
            </w:r>
            <w:r w:rsidR="00471345">
              <w:rPr>
                <w:webHidden/>
              </w:rPr>
              <w:instrText xml:space="preserve"> PAGEREF _Toc461615771 \h </w:instrText>
            </w:r>
            <w:r w:rsidR="00471345">
              <w:rPr>
                <w:webHidden/>
              </w:rPr>
            </w:r>
            <w:r w:rsidR="00471345">
              <w:rPr>
                <w:webHidden/>
              </w:rPr>
              <w:fldChar w:fldCharType="separate"/>
            </w:r>
            <w:r w:rsidR="00F13DFB">
              <w:rPr>
                <w:webHidden/>
              </w:rPr>
              <w:t>19</w:t>
            </w:r>
            <w:r w:rsidR="00471345">
              <w:rPr>
                <w:webHidden/>
              </w:rPr>
              <w:fldChar w:fldCharType="end"/>
            </w:r>
          </w:hyperlink>
        </w:p>
        <w:p w14:paraId="1A1B8101" w14:textId="77777777" w:rsidR="00471345" w:rsidRDefault="00B951C4">
          <w:pPr>
            <w:pStyle w:val="TOC3"/>
            <w:rPr>
              <w:sz w:val="22"/>
              <w:szCs w:val="22"/>
              <w:lang w:eastAsia="en-AU"/>
            </w:rPr>
          </w:pPr>
          <w:hyperlink w:anchor="_Toc461615772" w:history="1">
            <w:r w:rsidR="00471345" w:rsidRPr="00004AED">
              <w:rPr>
                <w:rStyle w:val="Hyperlink"/>
                <w:rFonts w:eastAsia="Times New Roman"/>
                <w:lang w:eastAsia="en-AU"/>
              </w:rPr>
              <w:t>6.5.2</w:t>
            </w:r>
            <w:r w:rsidR="00471345">
              <w:rPr>
                <w:sz w:val="22"/>
                <w:szCs w:val="22"/>
                <w:lang w:eastAsia="en-AU"/>
              </w:rPr>
              <w:tab/>
            </w:r>
            <w:r w:rsidR="00471345" w:rsidRPr="00004AED">
              <w:rPr>
                <w:rStyle w:val="Hyperlink"/>
                <w:rFonts w:eastAsia="Times New Roman"/>
                <w:lang w:eastAsia="en-AU"/>
              </w:rPr>
              <w:t>Managing inclusiveness in education</w:t>
            </w:r>
            <w:r w:rsidR="00471345">
              <w:rPr>
                <w:webHidden/>
              </w:rPr>
              <w:tab/>
            </w:r>
            <w:r w:rsidR="00471345">
              <w:rPr>
                <w:webHidden/>
              </w:rPr>
              <w:fldChar w:fldCharType="begin"/>
            </w:r>
            <w:r w:rsidR="00471345">
              <w:rPr>
                <w:webHidden/>
              </w:rPr>
              <w:instrText xml:space="preserve"> PAGEREF _Toc461615772 \h </w:instrText>
            </w:r>
            <w:r w:rsidR="00471345">
              <w:rPr>
                <w:webHidden/>
              </w:rPr>
            </w:r>
            <w:r w:rsidR="00471345">
              <w:rPr>
                <w:webHidden/>
              </w:rPr>
              <w:fldChar w:fldCharType="separate"/>
            </w:r>
            <w:r w:rsidR="00F13DFB">
              <w:rPr>
                <w:webHidden/>
              </w:rPr>
              <w:t>20</w:t>
            </w:r>
            <w:r w:rsidR="00471345">
              <w:rPr>
                <w:webHidden/>
              </w:rPr>
              <w:fldChar w:fldCharType="end"/>
            </w:r>
          </w:hyperlink>
        </w:p>
        <w:p w14:paraId="2C30CD65" w14:textId="77777777" w:rsidR="00471345" w:rsidRDefault="00B951C4">
          <w:pPr>
            <w:pStyle w:val="TOC2"/>
            <w:rPr>
              <w:rFonts w:eastAsiaTheme="minorEastAsia"/>
              <w:spacing w:val="0"/>
              <w:sz w:val="22"/>
              <w:szCs w:val="22"/>
              <w:lang w:eastAsia="en-AU"/>
            </w:rPr>
          </w:pPr>
          <w:hyperlink w:anchor="_Toc461615773" w:history="1">
            <w:r w:rsidR="00471345" w:rsidRPr="00004AED">
              <w:rPr>
                <w:rStyle w:val="Hyperlink"/>
              </w:rPr>
              <w:t>6.6</w:t>
            </w:r>
            <w:r w:rsidR="00471345">
              <w:rPr>
                <w:rFonts w:eastAsiaTheme="minorEastAsia"/>
                <w:spacing w:val="0"/>
                <w:sz w:val="22"/>
                <w:szCs w:val="22"/>
                <w:lang w:eastAsia="en-AU"/>
              </w:rPr>
              <w:tab/>
            </w:r>
            <w:r w:rsidR="00471345" w:rsidRPr="00004AED">
              <w:rPr>
                <w:rStyle w:val="Hyperlink"/>
              </w:rPr>
              <w:t>Facilities Refurbishment</w:t>
            </w:r>
            <w:r w:rsidR="00471345">
              <w:rPr>
                <w:webHidden/>
              </w:rPr>
              <w:tab/>
            </w:r>
            <w:r w:rsidR="00471345">
              <w:rPr>
                <w:webHidden/>
              </w:rPr>
              <w:fldChar w:fldCharType="begin"/>
            </w:r>
            <w:r w:rsidR="00471345">
              <w:rPr>
                <w:webHidden/>
              </w:rPr>
              <w:instrText xml:space="preserve"> PAGEREF _Toc461615773 \h </w:instrText>
            </w:r>
            <w:r w:rsidR="00471345">
              <w:rPr>
                <w:webHidden/>
              </w:rPr>
            </w:r>
            <w:r w:rsidR="00471345">
              <w:rPr>
                <w:webHidden/>
              </w:rPr>
              <w:fldChar w:fldCharType="separate"/>
            </w:r>
            <w:r w:rsidR="00F13DFB">
              <w:rPr>
                <w:webHidden/>
              </w:rPr>
              <w:t>20</w:t>
            </w:r>
            <w:r w:rsidR="00471345">
              <w:rPr>
                <w:webHidden/>
              </w:rPr>
              <w:fldChar w:fldCharType="end"/>
            </w:r>
          </w:hyperlink>
        </w:p>
        <w:p w14:paraId="674460D9" w14:textId="77777777" w:rsidR="00471345" w:rsidRDefault="00B951C4">
          <w:pPr>
            <w:pStyle w:val="TOC3"/>
            <w:rPr>
              <w:sz w:val="22"/>
              <w:szCs w:val="22"/>
              <w:lang w:eastAsia="en-AU"/>
            </w:rPr>
          </w:pPr>
          <w:hyperlink w:anchor="_Toc461615774" w:history="1">
            <w:r w:rsidR="00471345" w:rsidRPr="00004AED">
              <w:rPr>
                <w:rStyle w:val="Hyperlink"/>
                <w:rFonts w:eastAsia="Times New Roman"/>
                <w:lang w:eastAsia="en-AU"/>
              </w:rPr>
              <w:t>6.6.1</w:t>
            </w:r>
            <w:r w:rsidR="00471345">
              <w:rPr>
                <w:sz w:val="22"/>
                <w:szCs w:val="22"/>
                <w:lang w:eastAsia="en-AU"/>
              </w:rPr>
              <w:tab/>
            </w:r>
            <w:r w:rsidR="00471345" w:rsidRPr="00004AED">
              <w:rPr>
                <w:rStyle w:val="Hyperlink"/>
                <w:rFonts w:eastAsia="Times New Roman"/>
                <w:lang w:eastAsia="en-AU"/>
              </w:rPr>
              <w:t>The impact of refurbished buildings on student and teacher behaviour</w:t>
            </w:r>
            <w:r w:rsidR="00471345">
              <w:rPr>
                <w:webHidden/>
              </w:rPr>
              <w:tab/>
            </w:r>
            <w:r w:rsidR="00471345">
              <w:rPr>
                <w:webHidden/>
              </w:rPr>
              <w:fldChar w:fldCharType="begin"/>
            </w:r>
            <w:r w:rsidR="00471345">
              <w:rPr>
                <w:webHidden/>
              </w:rPr>
              <w:instrText xml:space="preserve"> PAGEREF _Toc461615774 \h </w:instrText>
            </w:r>
            <w:r w:rsidR="00471345">
              <w:rPr>
                <w:webHidden/>
              </w:rPr>
            </w:r>
            <w:r w:rsidR="00471345">
              <w:rPr>
                <w:webHidden/>
              </w:rPr>
              <w:fldChar w:fldCharType="separate"/>
            </w:r>
            <w:r w:rsidR="00F13DFB">
              <w:rPr>
                <w:webHidden/>
              </w:rPr>
              <w:t>20</w:t>
            </w:r>
            <w:r w:rsidR="00471345">
              <w:rPr>
                <w:webHidden/>
              </w:rPr>
              <w:fldChar w:fldCharType="end"/>
            </w:r>
          </w:hyperlink>
        </w:p>
        <w:p w14:paraId="454457C6" w14:textId="77777777" w:rsidR="00471345" w:rsidRDefault="00B951C4">
          <w:pPr>
            <w:pStyle w:val="TOC1"/>
            <w:rPr>
              <w:rFonts w:eastAsiaTheme="minorEastAsia"/>
              <w:b w:val="0"/>
              <w:sz w:val="22"/>
              <w:lang w:eastAsia="en-AU"/>
            </w:rPr>
          </w:pPr>
          <w:hyperlink w:anchor="_Toc461615775" w:history="1">
            <w:r w:rsidR="00471345" w:rsidRPr="00004AED">
              <w:rPr>
                <w:rStyle w:val="Hyperlink"/>
                <w:rFonts w:eastAsia="Times New Roman"/>
                <w:lang w:eastAsia="en-AU"/>
              </w:rPr>
              <w:t>7</w:t>
            </w:r>
            <w:r w:rsidR="00471345">
              <w:rPr>
                <w:rFonts w:eastAsiaTheme="minorEastAsia"/>
                <w:b w:val="0"/>
                <w:sz w:val="22"/>
                <w:lang w:eastAsia="en-AU"/>
              </w:rPr>
              <w:tab/>
            </w:r>
            <w:r w:rsidR="00471345" w:rsidRPr="00004AED">
              <w:rPr>
                <w:rStyle w:val="Hyperlink"/>
                <w:rFonts w:eastAsia="Times New Roman"/>
                <w:lang w:eastAsia="en-AU"/>
              </w:rPr>
              <w:t>Discussion</w:t>
            </w:r>
            <w:r w:rsidR="00471345">
              <w:rPr>
                <w:webHidden/>
              </w:rPr>
              <w:tab/>
            </w:r>
            <w:r w:rsidR="00471345">
              <w:rPr>
                <w:webHidden/>
              </w:rPr>
              <w:fldChar w:fldCharType="begin"/>
            </w:r>
            <w:r w:rsidR="00471345">
              <w:rPr>
                <w:webHidden/>
              </w:rPr>
              <w:instrText xml:space="preserve"> PAGEREF _Toc461615775 \h </w:instrText>
            </w:r>
            <w:r w:rsidR="00471345">
              <w:rPr>
                <w:webHidden/>
              </w:rPr>
            </w:r>
            <w:r w:rsidR="00471345">
              <w:rPr>
                <w:webHidden/>
              </w:rPr>
              <w:fldChar w:fldCharType="separate"/>
            </w:r>
            <w:r w:rsidR="00F13DFB">
              <w:rPr>
                <w:webHidden/>
              </w:rPr>
              <w:t>21</w:t>
            </w:r>
            <w:r w:rsidR="00471345">
              <w:rPr>
                <w:webHidden/>
              </w:rPr>
              <w:fldChar w:fldCharType="end"/>
            </w:r>
          </w:hyperlink>
        </w:p>
        <w:p w14:paraId="69E812D4" w14:textId="77777777" w:rsidR="00471345" w:rsidRDefault="00B951C4">
          <w:pPr>
            <w:pStyle w:val="TOC1"/>
            <w:rPr>
              <w:rFonts w:eastAsiaTheme="minorEastAsia"/>
              <w:b w:val="0"/>
              <w:sz w:val="22"/>
              <w:lang w:eastAsia="en-AU"/>
            </w:rPr>
          </w:pPr>
          <w:hyperlink w:anchor="_Toc461615776" w:history="1">
            <w:r w:rsidR="00471345" w:rsidRPr="00004AED">
              <w:rPr>
                <w:rStyle w:val="Hyperlink"/>
                <w:rFonts w:eastAsia="Times New Roman"/>
                <w:lang w:eastAsia="en-AU"/>
              </w:rPr>
              <w:t>8</w:t>
            </w:r>
            <w:r w:rsidR="00471345">
              <w:rPr>
                <w:rFonts w:eastAsiaTheme="minorEastAsia"/>
                <w:b w:val="0"/>
                <w:sz w:val="22"/>
                <w:lang w:eastAsia="en-AU"/>
              </w:rPr>
              <w:tab/>
            </w:r>
            <w:r w:rsidR="00471345" w:rsidRPr="00004AED">
              <w:rPr>
                <w:rStyle w:val="Hyperlink"/>
                <w:rFonts w:eastAsia="Times New Roman"/>
                <w:lang w:eastAsia="en-AU"/>
              </w:rPr>
              <w:t>Conclusions</w:t>
            </w:r>
            <w:r w:rsidR="00471345">
              <w:rPr>
                <w:webHidden/>
              </w:rPr>
              <w:tab/>
            </w:r>
            <w:r w:rsidR="00471345">
              <w:rPr>
                <w:webHidden/>
              </w:rPr>
              <w:fldChar w:fldCharType="begin"/>
            </w:r>
            <w:r w:rsidR="00471345">
              <w:rPr>
                <w:webHidden/>
              </w:rPr>
              <w:instrText xml:space="preserve"> PAGEREF _Toc461615776 \h </w:instrText>
            </w:r>
            <w:r w:rsidR="00471345">
              <w:rPr>
                <w:webHidden/>
              </w:rPr>
            </w:r>
            <w:r w:rsidR="00471345">
              <w:rPr>
                <w:webHidden/>
              </w:rPr>
              <w:fldChar w:fldCharType="separate"/>
            </w:r>
            <w:r w:rsidR="00F13DFB">
              <w:rPr>
                <w:webHidden/>
              </w:rPr>
              <w:t>22</w:t>
            </w:r>
            <w:r w:rsidR="00471345">
              <w:rPr>
                <w:webHidden/>
              </w:rPr>
              <w:fldChar w:fldCharType="end"/>
            </w:r>
          </w:hyperlink>
        </w:p>
        <w:p w14:paraId="27241F0E" w14:textId="77777777" w:rsidR="00AC362E" w:rsidRDefault="00AC362E" w:rsidP="00ED0631">
          <w:pPr>
            <w:pStyle w:val="TOC1"/>
            <w:tabs>
              <w:tab w:val="clear" w:pos="425"/>
              <w:tab w:val="left" w:pos="440"/>
              <w:tab w:val="right" w:leader="dot" w:pos="10456"/>
            </w:tabs>
            <w:spacing w:after="60" w:line="230" w:lineRule="auto"/>
          </w:pPr>
          <w:r>
            <w:rPr>
              <w:b w:val="0"/>
              <w:bCs/>
            </w:rPr>
            <w:fldChar w:fldCharType="end"/>
          </w:r>
        </w:p>
      </w:sdtContent>
    </w:sdt>
    <w:p w14:paraId="2FC82358" w14:textId="77777777" w:rsidR="00AC362E" w:rsidRPr="0078330D" w:rsidRDefault="00AC362E" w:rsidP="0078330D">
      <w:pPr>
        <w:pStyle w:val="Annexheading"/>
      </w:pPr>
      <w:bookmarkStart w:id="120" w:name="_Toc442616744"/>
      <w:bookmarkStart w:id="121" w:name="_Toc461615739"/>
      <w:r w:rsidRPr="0078330D">
        <w:lastRenderedPageBreak/>
        <w:t>Annexes</w:t>
      </w:r>
      <w:bookmarkEnd w:id="120"/>
      <w:bookmarkEnd w:id="121"/>
    </w:p>
    <w:p w14:paraId="2C00B6D8" w14:textId="3F610512" w:rsidR="00AC362E" w:rsidRPr="00BF4A43" w:rsidRDefault="00AC362E" w:rsidP="00ED0631">
      <w:pPr>
        <w:tabs>
          <w:tab w:val="left" w:pos="993"/>
        </w:tabs>
        <w:spacing w:after="0" w:line="230" w:lineRule="auto"/>
        <w:rPr>
          <w:rFonts w:eastAsia="Times New Roman" w:cs="Times New Roman"/>
          <w:lang w:eastAsia="en-AU"/>
        </w:rPr>
      </w:pPr>
      <w:r w:rsidRPr="00BF4A43">
        <w:rPr>
          <w:rFonts w:eastAsia="Times New Roman" w:cs="Times New Roman"/>
          <w:lang w:eastAsia="en-AU"/>
        </w:rPr>
        <w:t>Annex 1</w:t>
      </w:r>
      <w:r w:rsidRPr="00BF4A43">
        <w:rPr>
          <w:rFonts w:eastAsia="Times New Roman" w:cs="Times New Roman"/>
          <w:lang w:eastAsia="en-AU"/>
        </w:rPr>
        <w:tab/>
        <w:t xml:space="preserve">Research Brief </w:t>
      </w:r>
    </w:p>
    <w:p w14:paraId="32734813" w14:textId="080C4F98" w:rsidR="00AC362E" w:rsidRPr="00BF4A43" w:rsidRDefault="00AC362E" w:rsidP="00ED0631">
      <w:pPr>
        <w:tabs>
          <w:tab w:val="left" w:pos="993"/>
        </w:tabs>
        <w:spacing w:after="0" w:line="230" w:lineRule="auto"/>
        <w:rPr>
          <w:rFonts w:eastAsia="Times New Roman" w:cs="Times New Roman"/>
          <w:lang w:eastAsia="en-AU"/>
        </w:rPr>
      </w:pPr>
      <w:r w:rsidRPr="00BF4A43">
        <w:rPr>
          <w:rFonts w:eastAsia="Times New Roman" w:cs="Times New Roman"/>
          <w:lang w:eastAsia="en-AU"/>
        </w:rPr>
        <w:t>Annex 2</w:t>
      </w:r>
      <w:r w:rsidRPr="00BF4A43">
        <w:rPr>
          <w:rFonts w:eastAsia="Times New Roman" w:cs="Times New Roman"/>
          <w:lang w:eastAsia="en-AU"/>
        </w:rPr>
        <w:tab/>
        <w:t xml:space="preserve">Literature Review </w:t>
      </w:r>
    </w:p>
    <w:p w14:paraId="0BA0BEF2" w14:textId="5B563BB4" w:rsidR="00AC362E" w:rsidRPr="00BF4A43" w:rsidRDefault="00AC362E" w:rsidP="00ED0631">
      <w:pPr>
        <w:tabs>
          <w:tab w:val="left" w:pos="993"/>
        </w:tabs>
        <w:spacing w:after="0" w:line="230" w:lineRule="auto"/>
        <w:rPr>
          <w:rFonts w:eastAsia="Times New Roman" w:cs="Times New Roman"/>
          <w:lang w:eastAsia="en-AU"/>
        </w:rPr>
      </w:pPr>
      <w:r w:rsidRPr="00BF4A43">
        <w:rPr>
          <w:rFonts w:eastAsia="Times New Roman" w:cs="Times New Roman"/>
          <w:lang w:eastAsia="en-AU"/>
        </w:rPr>
        <w:t>Annex 3</w:t>
      </w:r>
      <w:r w:rsidRPr="00BF4A43">
        <w:rPr>
          <w:rFonts w:eastAsia="Times New Roman" w:cs="Times New Roman"/>
          <w:lang w:eastAsia="en-AU"/>
        </w:rPr>
        <w:tab/>
        <w:t xml:space="preserve">Summary Tables of SED Analysis </w:t>
      </w:r>
    </w:p>
    <w:p w14:paraId="30CA0CAD" w14:textId="5D03C5FE" w:rsidR="00AC362E" w:rsidRPr="00BF4A43" w:rsidRDefault="00AC362E" w:rsidP="00ED0631">
      <w:pPr>
        <w:tabs>
          <w:tab w:val="left" w:pos="993"/>
        </w:tabs>
        <w:spacing w:after="0" w:line="230" w:lineRule="auto"/>
        <w:rPr>
          <w:rFonts w:eastAsiaTheme="majorEastAsia" w:cstheme="majorBidi"/>
          <w:b/>
          <w:bCs/>
          <w:color w:val="3AB04F" w:themeColor="accent1" w:themeShade="BF"/>
          <w:sz w:val="28"/>
          <w:szCs w:val="28"/>
        </w:rPr>
      </w:pPr>
      <w:r w:rsidRPr="00BF4A43">
        <w:rPr>
          <w:rFonts w:eastAsia="Times New Roman" w:cs="Times New Roman"/>
          <w:lang w:eastAsia="en-AU"/>
        </w:rPr>
        <w:t>Annex 4</w:t>
      </w:r>
      <w:r w:rsidRPr="00BF4A43">
        <w:rPr>
          <w:rFonts w:eastAsia="Times New Roman" w:cs="Times New Roman"/>
          <w:lang w:eastAsia="en-AU"/>
        </w:rPr>
        <w:tab/>
        <w:t xml:space="preserve">Case Studies of </w:t>
      </w:r>
      <w:r w:rsidR="0078330D">
        <w:rPr>
          <w:rFonts w:eastAsia="Times New Roman" w:cs="Times New Roman"/>
          <w:lang w:eastAsia="en-AU"/>
        </w:rPr>
        <w:t>e</w:t>
      </w:r>
      <w:r w:rsidRPr="00BF4A43">
        <w:rPr>
          <w:rFonts w:eastAsia="Times New Roman" w:cs="Times New Roman"/>
          <w:lang w:eastAsia="en-AU"/>
        </w:rPr>
        <w:t>ight Kiribati Schools</w:t>
      </w:r>
      <w:r w:rsidRPr="00BF4A43">
        <w:rPr>
          <w:rFonts w:eastAsia="Times New Roman" w:cs="Times New Roman"/>
          <w:i/>
          <w:lang w:eastAsia="en-AU"/>
        </w:rPr>
        <w:t xml:space="preserve"> </w:t>
      </w:r>
      <w:r w:rsidRPr="00BF4A43">
        <w:br w:type="page"/>
      </w:r>
    </w:p>
    <w:p w14:paraId="52551C9E" w14:textId="77777777" w:rsidR="00AC362E" w:rsidRPr="0072514B" w:rsidRDefault="00AC362E" w:rsidP="00FF2C50">
      <w:pPr>
        <w:pStyle w:val="Annexheading"/>
      </w:pPr>
      <w:bookmarkStart w:id="122" w:name="_Toc461615740"/>
      <w:r w:rsidRPr="0072514B">
        <w:lastRenderedPageBreak/>
        <w:t>Abbreviations</w:t>
      </w:r>
      <w:bookmarkEnd w:id="122"/>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CCT Community Consultation Team&#10;CERI Centre for Educational Research and Innovation (Part of OECD)&#10;CSR Case Study Research&#10;DEO District Education Office&#10;DOP Divisional Operational Plans&#10;DFAT Department of Foreign Affairs and Trade&#10;DfES Department for Education Services (UK)&#10;ERIC Educational Resource Information CenterESSP Education Sector Strategic Plan&#10;GoA Government of Australia&#10;GoK Government of Kiribati&#10;IE Inclusive Education&#10;IEC Island Education Coordinators&#10;JSS Junior Secondary School&#10;JSTOR Journal Storage. A digital library of academic journals, books, and primary sources.&#10;KEF Kiribati Education Facility&#10;KEIP Kiribati Education Improvement Program&#10;KELP Kiribati English Language Program&#10;KTC Kiribati Teachers College&#10;L1 Mother Tongue&#10;L2 Second Language&#10;MEF Monitoring and Evaluation Framework&#10;M&amp;E Monitoring and Evaluation&#10;MoE Ministry of Education (Kiribati)&#10;OECD Organisation for Economic Co-operation and Development&#10;PMF Performance Measurement Framework&#10;SBM School Based Management Adviser&#10;SED School Engagement Data&#10;SEO Senior Education Officer&#10;SIP School Improvement Plan&#10;STA Short-term Technical Adviser&#10;STAKI Standardised Tests of Achievement - Kiribati&#10;TESOL Teaching English as a Second Language&#10;UNESCO United Nations Education, Scientific and Cultural Organisation&#10;UNICEF United Nations International Children’s Fund&#10;VSO Voluntary Service Overseas&#10;"/>
      </w:tblPr>
      <w:tblGrid>
        <w:gridCol w:w="1233"/>
        <w:gridCol w:w="7793"/>
      </w:tblGrid>
      <w:tr w:rsidR="00AC362E" w:rsidRPr="0072514B" w14:paraId="40DB089D" w14:textId="77777777" w:rsidTr="00ED0631">
        <w:tc>
          <w:tcPr>
            <w:tcW w:w="1233" w:type="dxa"/>
          </w:tcPr>
          <w:p w14:paraId="2637B616" w14:textId="77777777" w:rsidR="00AC362E" w:rsidRPr="0072514B" w:rsidRDefault="00AC362E" w:rsidP="00ED0631">
            <w:pPr>
              <w:spacing w:before="40" w:after="40"/>
            </w:pPr>
            <w:r w:rsidRPr="0072514B">
              <w:t>CCT</w:t>
            </w:r>
          </w:p>
        </w:tc>
        <w:tc>
          <w:tcPr>
            <w:tcW w:w="7793" w:type="dxa"/>
          </w:tcPr>
          <w:p w14:paraId="425137EB" w14:textId="77777777" w:rsidR="00AC362E" w:rsidRPr="0072514B" w:rsidRDefault="00AC362E" w:rsidP="00ED0631">
            <w:pPr>
              <w:spacing w:before="40" w:after="40"/>
            </w:pPr>
            <w:r w:rsidRPr="0072514B">
              <w:t>Community Consultation Team</w:t>
            </w:r>
          </w:p>
        </w:tc>
      </w:tr>
      <w:tr w:rsidR="00AC362E" w:rsidRPr="0072514B" w14:paraId="36319EEC" w14:textId="77777777" w:rsidTr="00ED0631">
        <w:tc>
          <w:tcPr>
            <w:tcW w:w="1233" w:type="dxa"/>
          </w:tcPr>
          <w:p w14:paraId="2DE64B80" w14:textId="77777777" w:rsidR="00AC362E" w:rsidRPr="0072514B" w:rsidRDefault="00AC362E" w:rsidP="00ED0631">
            <w:pPr>
              <w:spacing w:before="40" w:after="40"/>
            </w:pPr>
            <w:r>
              <w:t>CERI</w:t>
            </w:r>
          </w:p>
        </w:tc>
        <w:tc>
          <w:tcPr>
            <w:tcW w:w="7793" w:type="dxa"/>
          </w:tcPr>
          <w:p w14:paraId="76EB2684" w14:textId="77777777" w:rsidR="00AC362E" w:rsidRPr="0072514B" w:rsidRDefault="00AC362E" w:rsidP="00ED0631">
            <w:pPr>
              <w:spacing w:before="40" w:after="40"/>
            </w:pPr>
            <w:r w:rsidRPr="00CB7535">
              <w:t>Centre for Educational Research and Innovation (</w:t>
            </w:r>
            <w:r>
              <w:t>Part of OECD</w:t>
            </w:r>
            <w:r w:rsidRPr="00CB7535">
              <w:t>)</w:t>
            </w:r>
          </w:p>
        </w:tc>
      </w:tr>
      <w:tr w:rsidR="00AC362E" w:rsidRPr="0072514B" w14:paraId="474D121B" w14:textId="77777777" w:rsidTr="00ED0631">
        <w:tc>
          <w:tcPr>
            <w:tcW w:w="1233" w:type="dxa"/>
          </w:tcPr>
          <w:p w14:paraId="28AA9F13" w14:textId="77777777" w:rsidR="00AC362E" w:rsidRPr="0072514B" w:rsidRDefault="00AC362E" w:rsidP="00ED0631">
            <w:pPr>
              <w:spacing w:before="40" w:after="40"/>
            </w:pPr>
            <w:r w:rsidRPr="0072514B">
              <w:t>CSR</w:t>
            </w:r>
          </w:p>
        </w:tc>
        <w:tc>
          <w:tcPr>
            <w:tcW w:w="7793" w:type="dxa"/>
          </w:tcPr>
          <w:p w14:paraId="34A55F7D" w14:textId="77777777" w:rsidR="00AC362E" w:rsidRPr="0072514B" w:rsidRDefault="00AC362E" w:rsidP="00ED0631">
            <w:pPr>
              <w:spacing w:before="40" w:after="40"/>
            </w:pPr>
            <w:r w:rsidRPr="0072514B">
              <w:t>Case Study Research</w:t>
            </w:r>
          </w:p>
        </w:tc>
      </w:tr>
      <w:tr w:rsidR="00AC362E" w:rsidRPr="0072514B" w14:paraId="63EF044C" w14:textId="77777777" w:rsidTr="00ED0631">
        <w:tc>
          <w:tcPr>
            <w:tcW w:w="1233" w:type="dxa"/>
          </w:tcPr>
          <w:p w14:paraId="72BC6B86" w14:textId="77777777" w:rsidR="00AC362E" w:rsidRPr="0072514B" w:rsidRDefault="00AC362E" w:rsidP="00ED0631">
            <w:pPr>
              <w:spacing w:before="40" w:after="40"/>
            </w:pPr>
            <w:r w:rsidRPr="0072514B">
              <w:t>DEO</w:t>
            </w:r>
          </w:p>
        </w:tc>
        <w:tc>
          <w:tcPr>
            <w:tcW w:w="7793" w:type="dxa"/>
          </w:tcPr>
          <w:p w14:paraId="4175EC17" w14:textId="77777777" w:rsidR="00AC362E" w:rsidRPr="0072514B" w:rsidRDefault="00AC362E" w:rsidP="00ED0631">
            <w:pPr>
              <w:spacing w:before="40" w:after="40"/>
            </w:pPr>
            <w:r w:rsidRPr="0072514B">
              <w:t>District Education Office</w:t>
            </w:r>
          </w:p>
        </w:tc>
      </w:tr>
      <w:tr w:rsidR="00AC362E" w:rsidRPr="0072514B" w14:paraId="75F52A08" w14:textId="77777777" w:rsidTr="00ED0631">
        <w:tc>
          <w:tcPr>
            <w:tcW w:w="1233" w:type="dxa"/>
          </w:tcPr>
          <w:p w14:paraId="6384BE8F" w14:textId="77777777" w:rsidR="00AC362E" w:rsidRPr="0072514B" w:rsidRDefault="00AC362E" w:rsidP="00ED0631">
            <w:pPr>
              <w:spacing w:before="40" w:after="40"/>
            </w:pPr>
            <w:r w:rsidRPr="0072514B">
              <w:t>DOP</w:t>
            </w:r>
          </w:p>
        </w:tc>
        <w:tc>
          <w:tcPr>
            <w:tcW w:w="7793" w:type="dxa"/>
          </w:tcPr>
          <w:p w14:paraId="768F63D0" w14:textId="77777777" w:rsidR="00AC362E" w:rsidRPr="0072514B" w:rsidRDefault="00AC362E" w:rsidP="00ED0631">
            <w:pPr>
              <w:spacing w:before="40" w:after="40"/>
            </w:pPr>
            <w:r w:rsidRPr="0072514B">
              <w:t>Divisional Operational Plans</w:t>
            </w:r>
          </w:p>
        </w:tc>
      </w:tr>
      <w:tr w:rsidR="00AC362E" w:rsidRPr="0072514B" w14:paraId="3E994CF8" w14:textId="77777777" w:rsidTr="00ED0631">
        <w:tc>
          <w:tcPr>
            <w:tcW w:w="1233" w:type="dxa"/>
          </w:tcPr>
          <w:p w14:paraId="595A5E54" w14:textId="77777777" w:rsidR="00AC362E" w:rsidRPr="0072514B" w:rsidRDefault="00AC362E" w:rsidP="00ED0631">
            <w:pPr>
              <w:spacing w:before="40" w:after="40"/>
            </w:pPr>
            <w:r w:rsidRPr="0072514B">
              <w:t>DFAT</w:t>
            </w:r>
          </w:p>
        </w:tc>
        <w:tc>
          <w:tcPr>
            <w:tcW w:w="7793" w:type="dxa"/>
          </w:tcPr>
          <w:p w14:paraId="7AE1AC3B" w14:textId="77777777" w:rsidR="00AC362E" w:rsidRPr="0072514B" w:rsidRDefault="00AC362E" w:rsidP="00ED0631">
            <w:pPr>
              <w:spacing w:before="40" w:after="40"/>
            </w:pPr>
            <w:r w:rsidRPr="0072514B">
              <w:t>Department of Foreign Affairs and Trade</w:t>
            </w:r>
          </w:p>
        </w:tc>
      </w:tr>
      <w:tr w:rsidR="00AC362E" w:rsidRPr="0072514B" w14:paraId="22E12785" w14:textId="77777777" w:rsidTr="00ED0631">
        <w:tc>
          <w:tcPr>
            <w:tcW w:w="1233" w:type="dxa"/>
          </w:tcPr>
          <w:p w14:paraId="1A2A918D" w14:textId="77777777" w:rsidR="00AC362E" w:rsidRDefault="00AC362E" w:rsidP="00ED0631">
            <w:pPr>
              <w:spacing w:before="40" w:after="40"/>
              <w:rPr>
                <w:lang w:val="en"/>
              </w:rPr>
            </w:pPr>
            <w:r>
              <w:rPr>
                <w:rFonts w:cstheme="minorHAnsi"/>
              </w:rPr>
              <w:t>DfES</w:t>
            </w:r>
          </w:p>
        </w:tc>
        <w:tc>
          <w:tcPr>
            <w:tcW w:w="7793" w:type="dxa"/>
          </w:tcPr>
          <w:p w14:paraId="6E1E7E53" w14:textId="77777777" w:rsidR="00AC362E" w:rsidRPr="00353118" w:rsidRDefault="00AC362E" w:rsidP="00ED0631">
            <w:pPr>
              <w:spacing w:before="40" w:after="40"/>
            </w:pPr>
            <w:r>
              <w:t>Department for Education Services (UK)</w:t>
            </w:r>
          </w:p>
        </w:tc>
      </w:tr>
      <w:tr w:rsidR="00AC362E" w:rsidRPr="0072514B" w14:paraId="694BC51E" w14:textId="77777777" w:rsidTr="00ED0631">
        <w:tc>
          <w:tcPr>
            <w:tcW w:w="1233" w:type="dxa"/>
          </w:tcPr>
          <w:p w14:paraId="32B5EC6A" w14:textId="77777777" w:rsidR="00AC362E" w:rsidRPr="0072514B" w:rsidRDefault="00AC362E" w:rsidP="00ED0631">
            <w:pPr>
              <w:spacing w:before="40" w:after="40"/>
            </w:pPr>
            <w:r>
              <w:rPr>
                <w:lang w:val="en"/>
              </w:rPr>
              <w:t>ERIC</w:t>
            </w:r>
          </w:p>
        </w:tc>
        <w:tc>
          <w:tcPr>
            <w:tcW w:w="7793" w:type="dxa"/>
          </w:tcPr>
          <w:p w14:paraId="083B62D9" w14:textId="77777777" w:rsidR="00AC362E" w:rsidRPr="0072514B" w:rsidRDefault="00B951C4" w:rsidP="00ED0631">
            <w:pPr>
              <w:spacing w:before="40" w:after="40"/>
            </w:pPr>
            <w:hyperlink r:id="rId50" w:tooltip="ERIC" w:history="1">
              <w:r w:rsidR="00AC362E" w:rsidRPr="00557097">
                <w:t>Educational Resource Information Center</w:t>
              </w:r>
            </w:hyperlink>
          </w:p>
        </w:tc>
      </w:tr>
      <w:tr w:rsidR="00AC362E" w:rsidRPr="0072514B" w14:paraId="679BEB74" w14:textId="77777777" w:rsidTr="00ED0631">
        <w:tc>
          <w:tcPr>
            <w:tcW w:w="1233" w:type="dxa"/>
          </w:tcPr>
          <w:p w14:paraId="1AD60923" w14:textId="77777777" w:rsidR="00AC362E" w:rsidRPr="0072514B" w:rsidRDefault="00AC362E" w:rsidP="00ED0631">
            <w:pPr>
              <w:spacing w:before="40" w:after="40"/>
            </w:pPr>
            <w:r w:rsidRPr="0072514B">
              <w:t>ESSP</w:t>
            </w:r>
          </w:p>
        </w:tc>
        <w:tc>
          <w:tcPr>
            <w:tcW w:w="7793" w:type="dxa"/>
          </w:tcPr>
          <w:p w14:paraId="20293326" w14:textId="77777777" w:rsidR="00AC362E" w:rsidRPr="0072514B" w:rsidRDefault="00AC362E" w:rsidP="00ED0631">
            <w:pPr>
              <w:spacing w:before="40" w:after="40"/>
            </w:pPr>
            <w:r w:rsidRPr="0072514B">
              <w:t>Education Sector Strategic Plan</w:t>
            </w:r>
          </w:p>
        </w:tc>
      </w:tr>
      <w:tr w:rsidR="00AC362E" w:rsidRPr="0072514B" w14:paraId="27E1A6C7" w14:textId="77777777" w:rsidTr="00ED0631">
        <w:tc>
          <w:tcPr>
            <w:tcW w:w="1233" w:type="dxa"/>
          </w:tcPr>
          <w:p w14:paraId="63A4B940" w14:textId="77777777" w:rsidR="00AC362E" w:rsidRPr="0072514B" w:rsidRDefault="00AC362E" w:rsidP="00ED0631">
            <w:pPr>
              <w:spacing w:before="40" w:after="40"/>
            </w:pPr>
            <w:r w:rsidRPr="0072514B">
              <w:t>GoA</w:t>
            </w:r>
          </w:p>
        </w:tc>
        <w:tc>
          <w:tcPr>
            <w:tcW w:w="7793" w:type="dxa"/>
          </w:tcPr>
          <w:p w14:paraId="4163AC9C" w14:textId="77777777" w:rsidR="00AC362E" w:rsidRPr="0072514B" w:rsidRDefault="00AC362E" w:rsidP="00ED0631">
            <w:pPr>
              <w:spacing w:before="40" w:after="40"/>
            </w:pPr>
            <w:r w:rsidRPr="0072514B">
              <w:t>Government of Australia</w:t>
            </w:r>
          </w:p>
        </w:tc>
      </w:tr>
      <w:tr w:rsidR="00AC362E" w:rsidRPr="0072514B" w14:paraId="518B5994" w14:textId="77777777" w:rsidTr="00ED0631">
        <w:tc>
          <w:tcPr>
            <w:tcW w:w="1233" w:type="dxa"/>
          </w:tcPr>
          <w:p w14:paraId="16C7EC6C" w14:textId="77777777" w:rsidR="00AC362E" w:rsidRPr="0072514B" w:rsidRDefault="00AC362E" w:rsidP="00ED0631">
            <w:pPr>
              <w:spacing w:before="40" w:after="40"/>
            </w:pPr>
            <w:r w:rsidRPr="0072514B">
              <w:t>GoK</w:t>
            </w:r>
          </w:p>
        </w:tc>
        <w:tc>
          <w:tcPr>
            <w:tcW w:w="7793" w:type="dxa"/>
          </w:tcPr>
          <w:p w14:paraId="0EC5B3B2" w14:textId="77777777" w:rsidR="00AC362E" w:rsidRPr="0072514B" w:rsidRDefault="00AC362E" w:rsidP="00ED0631">
            <w:pPr>
              <w:spacing w:before="40" w:after="40"/>
            </w:pPr>
            <w:r w:rsidRPr="0072514B">
              <w:t>Government of Kiribati</w:t>
            </w:r>
          </w:p>
        </w:tc>
      </w:tr>
      <w:tr w:rsidR="00AC362E" w:rsidRPr="0072514B" w14:paraId="3431AA9B" w14:textId="77777777" w:rsidTr="00ED0631">
        <w:tc>
          <w:tcPr>
            <w:tcW w:w="1233" w:type="dxa"/>
          </w:tcPr>
          <w:p w14:paraId="69F85928" w14:textId="77777777" w:rsidR="00AC362E" w:rsidRPr="0072514B" w:rsidRDefault="00AC362E" w:rsidP="00ED0631">
            <w:pPr>
              <w:spacing w:before="40" w:after="40"/>
            </w:pPr>
            <w:r w:rsidRPr="0072514B">
              <w:t>IE</w:t>
            </w:r>
          </w:p>
        </w:tc>
        <w:tc>
          <w:tcPr>
            <w:tcW w:w="7793" w:type="dxa"/>
          </w:tcPr>
          <w:p w14:paraId="77813DED" w14:textId="77777777" w:rsidR="00AC362E" w:rsidRPr="0072514B" w:rsidRDefault="00AC362E" w:rsidP="00ED0631">
            <w:pPr>
              <w:spacing w:before="40" w:after="40"/>
            </w:pPr>
            <w:r w:rsidRPr="0072514B">
              <w:t>Inclusive Education</w:t>
            </w:r>
          </w:p>
        </w:tc>
      </w:tr>
      <w:tr w:rsidR="00AC362E" w:rsidRPr="0072514B" w14:paraId="148BE8D9" w14:textId="77777777" w:rsidTr="00ED0631">
        <w:tc>
          <w:tcPr>
            <w:tcW w:w="1233" w:type="dxa"/>
          </w:tcPr>
          <w:p w14:paraId="706AB95F" w14:textId="77777777" w:rsidR="00AC362E" w:rsidRPr="0072514B" w:rsidRDefault="00AC362E" w:rsidP="00ED0631">
            <w:pPr>
              <w:spacing w:before="40" w:after="40"/>
            </w:pPr>
            <w:r w:rsidRPr="0072514B">
              <w:t>IEC</w:t>
            </w:r>
          </w:p>
        </w:tc>
        <w:tc>
          <w:tcPr>
            <w:tcW w:w="7793" w:type="dxa"/>
          </w:tcPr>
          <w:p w14:paraId="49567323" w14:textId="77777777" w:rsidR="00AC362E" w:rsidRPr="0072514B" w:rsidRDefault="00AC362E" w:rsidP="00ED0631">
            <w:pPr>
              <w:spacing w:before="40" w:after="40"/>
            </w:pPr>
            <w:r w:rsidRPr="0072514B">
              <w:t xml:space="preserve">Island Education </w:t>
            </w:r>
            <w:r>
              <w:t>Coordinators</w:t>
            </w:r>
          </w:p>
        </w:tc>
      </w:tr>
      <w:tr w:rsidR="00AC362E" w:rsidRPr="0072514B" w14:paraId="06906285" w14:textId="77777777" w:rsidTr="00ED0631">
        <w:tc>
          <w:tcPr>
            <w:tcW w:w="1233" w:type="dxa"/>
          </w:tcPr>
          <w:p w14:paraId="56708C38" w14:textId="77777777" w:rsidR="00AC362E" w:rsidRPr="0072514B" w:rsidRDefault="00AC362E" w:rsidP="00ED0631">
            <w:pPr>
              <w:spacing w:before="40" w:after="40"/>
            </w:pPr>
            <w:r w:rsidRPr="0072514B">
              <w:t>JSS</w:t>
            </w:r>
          </w:p>
        </w:tc>
        <w:tc>
          <w:tcPr>
            <w:tcW w:w="7793" w:type="dxa"/>
          </w:tcPr>
          <w:p w14:paraId="36C033CF" w14:textId="77777777" w:rsidR="00AC362E" w:rsidRPr="0072514B" w:rsidRDefault="00AC362E" w:rsidP="00ED0631">
            <w:pPr>
              <w:spacing w:before="40" w:after="40"/>
            </w:pPr>
            <w:r w:rsidRPr="0072514B">
              <w:t>Junior Secondary School</w:t>
            </w:r>
          </w:p>
        </w:tc>
      </w:tr>
      <w:tr w:rsidR="00AC362E" w:rsidRPr="0072514B" w14:paraId="3DF2506A" w14:textId="77777777" w:rsidTr="00ED0631">
        <w:tc>
          <w:tcPr>
            <w:tcW w:w="1233" w:type="dxa"/>
          </w:tcPr>
          <w:p w14:paraId="6C204561" w14:textId="77777777" w:rsidR="00AC362E" w:rsidRPr="0072514B" w:rsidRDefault="00AC362E" w:rsidP="00ED0631">
            <w:pPr>
              <w:spacing w:before="40" w:after="40"/>
            </w:pPr>
            <w:r>
              <w:t>JSTOR</w:t>
            </w:r>
          </w:p>
        </w:tc>
        <w:tc>
          <w:tcPr>
            <w:tcW w:w="7793" w:type="dxa"/>
          </w:tcPr>
          <w:p w14:paraId="2D129BDE" w14:textId="77777777" w:rsidR="00AC362E" w:rsidRPr="0072514B" w:rsidRDefault="00AC362E" w:rsidP="00ED0631">
            <w:pPr>
              <w:spacing w:before="40" w:after="40"/>
            </w:pPr>
            <w:r w:rsidRPr="00557097">
              <w:t>Journal Storage. A digital library of academic journals, books, and primary sources.</w:t>
            </w:r>
          </w:p>
        </w:tc>
      </w:tr>
      <w:tr w:rsidR="00AC362E" w:rsidRPr="0072514B" w14:paraId="0BD0785F" w14:textId="77777777" w:rsidTr="00ED0631">
        <w:tc>
          <w:tcPr>
            <w:tcW w:w="1233" w:type="dxa"/>
          </w:tcPr>
          <w:p w14:paraId="1403D843" w14:textId="77777777" w:rsidR="00AC362E" w:rsidRPr="0072514B" w:rsidRDefault="00AC362E" w:rsidP="00ED0631">
            <w:pPr>
              <w:spacing w:before="40" w:after="40"/>
            </w:pPr>
            <w:r w:rsidRPr="0072514B">
              <w:t>KEF</w:t>
            </w:r>
          </w:p>
        </w:tc>
        <w:tc>
          <w:tcPr>
            <w:tcW w:w="7793" w:type="dxa"/>
          </w:tcPr>
          <w:p w14:paraId="728C4F70" w14:textId="77777777" w:rsidR="00AC362E" w:rsidRPr="0072514B" w:rsidRDefault="00AC362E" w:rsidP="00ED0631">
            <w:pPr>
              <w:spacing w:before="40" w:after="40"/>
            </w:pPr>
            <w:r w:rsidRPr="0072514B">
              <w:t>Kiribati Education Facility</w:t>
            </w:r>
          </w:p>
        </w:tc>
      </w:tr>
      <w:tr w:rsidR="00AC362E" w:rsidRPr="0072514B" w14:paraId="23F30D86" w14:textId="77777777" w:rsidTr="00ED0631">
        <w:tc>
          <w:tcPr>
            <w:tcW w:w="1233" w:type="dxa"/>
          </w:tcPr>
          <w:p w14:paraId="57A69194" w14:textId="77777777" w:rsidR="00AC362E" w:rsidRPr="0072514B" w:rsidRDefault="00AC362E" w:rsidP="00ED0631">
            <w:pPr>
              <w:spacing w:before="40" w:after="40"/>
            </w:pPr>
            <w:r w:rsidRPr="0072514B">
              <w:t>KEIP</w:t>
            </w:r>
          </w:p>
        </w:tc>
        <w:tc>
          <w:tcPr>
            <w:tcW w:w="7793" w:type="dxa"/>
          </w:tcPr>
          <w:p w14:paraId="2C2BB608" w14:textId="77777777" w:rsidR="00AC362E" w:rsidRPr="0072514B" w:rsidRDefault="00AC362E" w:rsidP="00ED0631">
            <w:pPr>
              <w:spacing w:before="40" w:after="40"/>
            </w:pPr>
            <w:r w:rsidRPr="0072514B">
              <w:t>Kiribati Education Improvement Program</w:t>
            </w:r>
          </w:p>
        </w:tc>
      </w:tr>
      <w:tr w:rsidR="00AC362E" w:rsidRPr="0072514B" w14:paraId="2C7D1A41" w14:textId="77777777" w:rsidTr="00ED0631">
        <w:tc>
          <w:tcPr>
            <w:tcW w:w="1233" w:type="dxa"/>
          </w:tcPr>
          <w:p w14:paraId="3E5AA57F" w14:textId="77777777" w:rsidR="00AC362E" w:rsidRPr="0072514B" w:rsidRDefault="00AC362E" w:rsidP="00ED0631">
            <w:pPr>
              <w:spacing w:before="40" w:after="40"/>
            </w:pPr>
            <w:r>
              <w:t>KELP</w:t>
            </w:r>
          </w:p>
        </w:tc>
        <w:tc>
          <w:tcPr>
            <w:tcW w:w="7793" w:type="dxa"/>
          </w:tcPr>
          <w:p w14:paraId="368BCE7B" w14:textId="77777777" w:rsidR="00AC362E" w:rsidRPr="0072514B" w:rsidRDefault="00AC362E" w:rsidP="00ED0631">
            <w:pPr>
              <w:spacing w:before="40" w:after="40"/>
            </w:pPr>
            <w:r>
              <w:rPr>
                <w:rFonts w:cs="Arial"/>
              </w:rPr>
              <w:t>Kiribati English Language Program</w:t>
            </w:r>
          </w:p>
        </w:tc>
      </w:tr>
      <w:tr w:rsidR="00AC362E" w:rsidRPr="0072514B" w14:paraId="28EBA8A9" w14:textId="77777777" w:rsidTr="00ED0631">
        <w:tc>
          <w:tcPr>
            <w:tcW w:w="1233" w:type="dxa"/>
          </w:tcPr>
          <w:p w14:paraId="5664F3B9" w14:textId="77777777" w:rsidR="00AC362E" w:rsidRPr="0072514B" w:rsidRDefault="00AC362E" w:rsidP="00ED0631">
            <w:pPr>
              <w:spacing w:before="40" w:after="40"/>
            </w:pPr>
            <w:r w:rsidRPr="0072514B">
              <w:t>KTC</w:t>
            </w:r>
          </w:p>
        </w:tc>
        <w:tc>
          <w:tcPr>
            <w:tcW w:w="7793" w:type="dxa"/>
          </w:tcPr>
          <w:p w14:paraId="79E6DE50" w14:textId="77777777" w:rsidR="00AC362E" w:rsidRPr="0072514B" w:rsidRDefault="00AC362E" w:rsidP="00ED0631">
            <w:pPr>
              <w:spacing w:before="40" w:after="40"/>
            </w:pPr>
            <w:r w:rsidRPr="0072514B">
              <w:t>Kiribati Teachers College</w:t>
            </w:r>
          </w:p>
        </w:tc>
      </w:tr>
      <w:tr w:rsidR="00AC362E" w:rsidRPr="0072514B" w14:paraId="571D8491" w14:textId="77777777" w:rsidTr="00ED0631">
        <w:tc>
          <w:tcPr>
            <w:tcW w:w="1233" w:type="dxa"/>
          </w:tcPr>
          <w:p w14:paraId="73B23023" w14:textId="77777777" w:rsidR="00AC362E" w:rsidRPr="0072514B" w:rsidRDefault="00AC362E" w:rsidP="00ED0631">
            <w:pPr>
              <w:spacing w:before="40" w:after="40"/>
            </w:pPr>
            <w:r>
              <w:t>L1</w:t>
            </w:r>
          </w:p>
        </w:tc>
        <w:tc>
          <w:tcPr>
            <w:tcW w:w="7793" w:type="dxa"/>
          </w:tcPr>
          <w:p w14:paraId="15ED9944" w14:textId="77777777" w:rsidR="00AC362E" w:rsidRPr="0072514B" w:rsidRDefault="00AC362E" w:rsidP="00ED0631">
            <w:pPr>
              <w:spacing w:before="40" w:after="40"/>
            </w:pPr>
            <w:r>
              <w:t>Mother Tongue</w:t>
            </w:r>
          </w:p>
        </w:tc>
      </w:tr>
      <w:tr w:rsidR="00AC362E" w:rsidRPr="0072514B" w14:paraId="0EA62853" w14:textId="77777777" w:rsidTr="00ED0631">
        <w:tc>
          <w:tcPr>
            <w:tcW w:w="1233" w:type="dxa"/>
          </w:tcPr>
          <w:p w14:paraId="227397BA" w14:textId="77777777" w:rsidR="00AC362E" w:rsidRPr="0072514B" w:rsidRDefault="00AC362E" w:rsidP="00ED0631">
            <w:pPr>
              <w:spacing w:before="40" w:after="40"/>
            </w:pPr>
            <w:r>
              <w:t>L2</w:t>
            </w:r>
          </w:p>
        </w:tc>
        <w:tc>
          <w:tcPr>
            <w:tcW w:w="7793" w:type="dxa"/>
          </w:tcPr>
          <w:p w14:paraId="4790875F" w14:textId="77777777" w:rsidR="00AC362E" w:rsidRPr="0072514B" w:rsidRDefault="00AC362E" w:rsidP="00ED0631">
            <w:pPr>
              <w:spacing w:before="40" w:after="40"/>
            </w:pPr>
            <w:r>
              <w:t>Second Language</w:t>
            </w:r>
          </w:p>
        </w:tc>
      </w:tr>
      <w:tr w:rsidR="00AC362E" w:rsidRPr="0072514B" w14:paraId="51615537" w14:textId="77777777" w:rsidTr="00ED0631">
        <w:tc>
          <w:tcPr>
            <w:tcW w:w="1233" w:type="dxa"/>
          </w:tcPr>
          <w:p w14:paraId="17659F58" w14:textId="77777777" w:rsidR="00AC362E" w:rsidRPr="0072514B" w:rsidRDefault="00AC362E" w:rsidP="00ED0631">
            <w:pPr>
              <w:spacing w:before="40" w:after="40"/>
            </w:pPr>
            <w:r w:rsidRPr="0072514B">
              <w:t>MEF</w:t>
            </w:r>
          </w:p>
        </w:tc>
        <w:tc>
          <w:tcPr>
            <w:tcW w:w="7793" w:type="dxa"/>
          </w:tcPr>
          <w:p w14:paraId="309EA65F" w14:textId="77777777" w:rsidR="00AC362E" w:rsidRPr="0072514B" w:rsidRDefault="00AC362E" w:rsidP="00ED0631">
            <w:pPr>
              <w:spacing w:before="40" w:after="40"/>
            </w:pPr>
            <w:r w:rsidRPr="0072514B">
              <w:t>Monitoring and Evaluation Framework</w:t>
            </w:r>
          </w:p>
        </w:tc>
      </w:tr>
      <w:tr w:rsidR="00AC362E" w:rsidRPr="0072514B" w14:paraId="57713866" w14:textId="77777777" w:rsidTr="00ED0631">
        <w:tc>
          <w:tcPr>
            <w:tcW w:w="1233" w:type="dxa"/>
          </w:tcPr>
          <w:p w14:paraId="1E0EFC7E" w14:textId="77777777" w:rsidR="00AC362E" w:rsidRPr="0072514B" w:rsidRDefault="00AC362E" w:rsidP="00ED0631">
            <w:pPr>
              <w:spacing w:before="40" w:after="40"/>
            </w:pPr>
            <w:r w:rsidRPr="0072514B">
              <w:t>M&amp;E</w:t>
            </w:r>
          </w:p>
        </w:tc>
        <w:tc>
          <w:tcPr>
            <w:tcW w:w="7793" w:type="dxa"/>
          </w:tcPr>
          <w:p w14:paraId="3FF93BA0" w14:textId="77777777" w:rsidR="00AC362E" w:rsidRPr="0072514B" w:rsidRDefault="00AC362E" w:rsidP="00ED0631">
            <w:pPr>
              <w:spacing w:before="40" w:after="40"/>
            </w:pPr>
            <w:r w:rsidRPr="0072514B">
              <w:t>Monitoring and Evaluation</w:t>
            </w:r>
          </w:p>
        </w:tc>
      </w:tr>
      <w:tr w:rsidR="00AC362E" w:rsidRPr="0072514B" w14:paraId="7C4155D5" w14:textId="77777777" w:rsidTr="00ED0631">
        <w:tc>
          <w:tcPr>
            <w:tcW w:w="1233" w:type="dxa"/>
          </w:tcPr>
          <w:p w14:paraId="2D8D81A4" w14:textId="77777777" w:rsidR="00AC362E" w:rsidRPr="0072514B" w:rsidRDefault="00AC362E" w:rsidP="00ED0631">
            <w:pPr>
              <w:spacing w:before="40" w:after="40"/>
            </w:pPr>
            <w:r w:rsidRPr="0072514B">
              <w:t>MoE</w:t>
            </w:r>
          </w:p>
        </w:tc>
        <w:tc>
          <w:tcPr>
            <w:tcW w:w="7793" w:type="dxa"/>
          </w:tcPr>
          <w:p w14:paraId="28B3293A" w14:textId="77777777" w:rsidR="00AC362E" w:rsidRPr="0072514B" w:rsidRDefault="00AC362E" w:rsidP="00ED0631">
            <w:pPr>
              <w:spacing w:before="40" w:after="40"/>
            </w:pPr>
            <w:r w:rsidRPr="0072514B">
              <w:t>Ministry of Education (Kiribati)</w:t>
            </w:r>
          </w:p>
        </w:tc>
      </w:tr>
      <w:tr w:rsidR="00AC362E" w:rsidRPr="0072514B" w14:paraId="10362C68" w14:textId="77777777" w:rsidTr="00ED0631">
        <w:tc>
          <w:tcPr>
            <w:tcW w:w="1233" w:type="dxa"/>
          </w:tcPr>
          <w:p w14:paraId="7186BC52" w14:textId="77777777" w:rsidR="00AC362E" w:rsidRPr="0072514B" w:rsidRDefault="00AC362E" w:rsidP="00ED0631">
            <w:pPr>
              <w:spacing w:before="40" w:after="40"/>
            </w:pPr>
            <w:r>
              <w:t>OECD</w:t>
            </w:r>
          </w:p>
        </w:tc>
        <w:tc>
          <w:tcPr>
            <w:tcW w:w="7793" w:type="dxa"/>
          </w:tcPr>
          <w:p w14:paraId="58F37E03" w14:textId="77777777" w:rsidR="00AC362E" w:rsidRPr="0072514B" w:rsidRDefault="00AC362E" w:rsidP="00ED0631">
            <w:pPr>
              <w:spacing w:before="40" w:after="40"/>
            </w:pPr>
            <w:r>
              <w:t>Organisation for Economic Co-operation and Development</w:t>
            </w:r>
          </w:p>
        </w:tc>
      </w:tr>
      <w:tr w:rsidR="00AC362E" w:rsidRPr="0072514B" w14:paraId="098A0F31" w14:textId="77777777" w:rsidTr="00ED0631">
        <w:tc>
          <w:tcPr>
            <w:tcW w:w="1233" w:type="dxa"/>
          </w:tcPr>
          <w:p w14:paraId="09525A2A" w14:textId="77777777" w:rsidR="00AC362E" w:rsidRPr="0072514B" w:rsidRDefault="00AC362E" w:rsidP="00ED0631">
            <w:pPr>
              <w:spacing w:before="40" w:after="40"/>
            </w:pPr>
            <w:r w:rsidRPr="0072514B">
              <w:t>PMF</w:t>
            </w:r>
          </w:p>
        </w:tc>
        <w:tc>
          <w:tcPr>
            <w:tcW w:w="7793" w:type="dxa"/>
          </w:tcPr>
          <w:p w14:paraId="3759C291" w14:textId="77777777" w:rsidR="00AC362E" w:rsidRPr="0072514B" w:rsidRDefault="00AC362E" w:rsidP="00ED0631">
            <w:pPr>
              <w:spacing w:before="40" w:after="40"/>
            </w:pPr>
            <w:r w:rsidRPr="0072514B">
              <w:t>Performance Measurement Framework</w:t>
            </w:r>
          </w:p>
        </w:tc>
      </w:tr>
      <w:tr w:rsidR="00AC362E" w:rsidRPr="0072514B" w14:paraId="25B17601" w14:textId="77777777" w:rsidTr="00ED0631">
        <w:tc>
          <w:tcPr>
            <w:tcW w:w="1233" w:type="dxa"/>
          </w:tcPr>
          <w:p w14:paraId="10758E77" w14:textId="77777777" w:rsidR="00AC362E" w:rsidRPr="0072514B" w:rsidRDefault="00AC362E" w:rsidP="00ED0631">
            <w:pPr>
              <w:spacing w:before="40" w:after="40"/>
            </w:pPr>
            <w:r w:rsidRPr="0072514B">
              <w:t>SBM</w:t>
            </w:r>
          </w:p>
        </w:tc>
        <w:tc>
          <w:tcPr>
            <w:tcW w:w="7793" w:type="dxa"/>
          </w:tcPr>
          <w:p w14:paraId="08E71F89" w14:textId="77777777" w:rsidR="00AC362E" w:rsidRPr="0072514B" w:rsidRDefault="00AC362E" w:rsidP="00ED0631">
            <w:pPr>
              <w:spacing w:before="40" w:after="40"/>
            </w:pPr>
            <w:r w:rsidRPr="0072514B">
              <w:t>School Based Management Adviser</w:t>
            </w:r>
          </w:p>
        </w:tc>
      </w:tr>
      <w:tr w:rsidR="00AC362E" w:rsidRPr="0072514B" w14:paraId="54687486" w14:textId="77777777" w:rsidTr="00ED0631">
        <w:tc>
          <w:tcPr>
            <w:tcW w:w="1233" w:type="dxa"/>
          </w:tcPr>
          <w:p w14:paraId="2408D6C9" w14:textId="77777777" w:rsidR="00AC362E" w:rsidRPr="0072514B" w:rsidRDefault="00AC362E" w:rsidP="00ED0631">
            <w:pPr>
              <w:spacing w:before="40" w:after="40"/>
            </w:pPr>
            <w:r w:rsidRPr="0072514B">
              <w:t>SED</w:t>
            </w:r>
          </w:p>
        </w:tc>
        <w:tc>
          <w:tcPr>
            <w:tcW w:w="7793" w:type="dxa"/>
          </w:tcPr>
          <w:p w14:paraId="0224AF5F" w14:textId="77777777" w:rsidR="00AC362E" w:rsidRPr="0072514B" w:rsidRDefault="00AC362E" w:rsidP="00ED0631">
            <w:pPr>
              <w:spacing w:before="40" w:after="40"/>
            </w:pPr>
            <w:r w:rsidRPr="0072514B">
              <w:t>School Engagement Data</w:t>
            </w:r>
          </w:p>
        </w:tc>
      </w:tr>
      <w:tr w:rsidR="00AC362E" w:rsidRPr="0072514B" w14:paraId="7BFE73B4" w14:textId="77777777" w:rsidTr="00ED0631">
        <w:tc>
          <w:tcPr>
            <w:tcW w:w="1233" w:type="dxa"/>
          </w:tcPr>
          <w:p w14:paraId="464B2E8B" w14:textId="77777777" w:rsidR="00AC362E" w:rsidRPr="0072514B" w:rsidRDefault="00AC362E" w:rsidP="00ED0631">
            <w:pPr>
              <w:spacing w:before="40" w:after="40"/>
            </w:pPr>
            <w:r w:rsidRPr="0072514B">
              <w:t>SEO</w:t>
            </w:r>
          </w:p>
        </w:tc>
        <w:tc>
          <w:tcPr>
            <w:tcW w:w="7793" w:type="dxa"/>
          </w:tcPr>
          <w:p w14:paraId="4D45709F" w14:textId="77777777" w:rsidR="00AC362E" w:rsidRPr="0072514B" w:rsidRDefault="00AC362E" w:rsidP="00ED0631">
            <w:pPr>
              <w:spacing w:before="40" w:after="40"/>
            </w:pPr>
            <w:r w:rsidRPr="0072514B">
              <w:t>Senior Education Officer</w:t>
            </w:r>
          </w:p>
        </w:tc>
      </w:tr>
      <w:tr w:rsidR="00AC362E" w:rsidRPr="0072514B" w14:paraId="2626AB5F" w14:textId="77777777" w:rsidTr="00ED0631">
        <w:tc>
          <w:tcPr>
            <w:tcW w:w="1233" w:type="dxa"/>
          </w:tcPr>
          <w:p w14:paraId="6BA9A877" w14:textId="77777777" w:rsidR="00AC362E" w:rsidRPr="0072514B" w:rsidRDefault="00AC362E" w:rsidP="00ED0631">
            <w:pPr>
              <w:spacing w:before="40" w:after="40"/>
            </w:pPr>
            <w:r w:rsidRPr="0072514B">
              <w:t>SIP</w:t>
            </w:r>
          </w:p>
        </w:tc>
        <w:tc>
          <w:tcPr>
            <w:tcW w:w="7793" w:type="dxa"/>
          </w:tcPr>
          <w:p w14:paraId="66B0C29B" w14:textId="77777777" w:rsidR="00AC362E" w:rsidRPr="0072514B" w:rsidRDefault="00AC362E" w:rsidP="00ED0631">
            <w:pPr>
              <w:spacing w:before="40" w:after="40"/>
            </w:pPr>
            <w:r w:rsidRPr="0072514B">
              <w:t>School Improvement Plan</w:t>
            </w:r>
          </w:p>
        </w:tc>
      </w:tr>
      <w:tr w:rsidR="00AC362E" w:rsidRPr="0072514B" w14:paraId="2B8FE16C" w14:textId="77777777" w:rsidTr="00ED0631">
        <w:tc>
          <w:tcPr>
            <w:tcW w:w="1233" w:type="dxa"/>
          </w:tcPr>
          <w:p w14:paraId="3489270A" w14:textId="77777777" w:rsidR="00AC362E" w:rsidRPr="0072514B" w:rsidRDefault="00AC362E" w:rsidP="00ED0631">
            <w:pPr>
              <w:spacing w:before="40" w:after="40"/>
            </w:pPr>
            <w:r w:rsidRPr="0072514B">
              <w:t>STA</w:t>
            </w:r>
          </w:p>
        </w:tc>
        <w:tc>
          <w:tcPr>
            <w:tcW w:w="7793" w:type="dxa"/>
          </w:tcPr>
          <w:p w14:paraId="0CAB8812" w14:textId="77777777" w:rsidR="00AC362E" w:rsidRPr="0072514B" w:rsidRDefault="00AC362E" w:rsidP="00ED0631">
            <w:pPr>
              <w:spacing w:before="40" w:after="40"/>
            </w:pPr>
            <w:r w:rsidRPr="0072514B">
              <w:t>Short-term Technical Adviser</w:t>
            </w:r>
          </w:p>
        </w:tc>
      </w:tr>
      <w:tr w:rsidR="00AC362E" w:rsidRPr="0072514B" w14:paraId="5C708631" w14:textId="77777777" w:rsidTr="00ED0631">
        <w:tc>
          <w:tcPr>
            <w:tcW w:w="1233" w:type="dxa"/>
          </w:tcPr>
          <w:p w14:paraId="49C7BFA1" w14:textId="77777777" w:rsidR="00AC362E" w:rsidRPr="0072514B" w:rsidRDefault="00AC362E" w:rsidP="00ED0631">
            <w:pPr>
              <w:spacing w:before="40" w:after="40"/>
            </w:pPr>
            <w:r w:rsidRPr="0072514B">
              <w:t>STAKI</w:t>
            </w:r>
          </w:p>
        </w:tc>
        <w:tc>
          <w:tcPr>
            <w:tcW w:w="7793" w:type="dxa"/>
          </w:tcPr>
          <w:p w14:paraId="0F0F63B3" w14:textId="77777777" w:rsidR="00AC362E" w:rsidRPr="0072514B" w:rsidRDefault="00AC362E" w:rsidP="00ED0631">
            <w:pPr>
              <w:spacing w:before="40" w:after="40"/>
            </w:pPr>
            <w:r w:rsidRPr="0072514B">
              <w:t>Standardised Tests of Achievement - Kiribati</w:t>
            </w:r>
          </w:p>
        </w:tc>
      </w:tr>
      <w:tr w:rsidR="00AC362E" w:rsidRPr="0072514B" w14:paraId="0253CEA5" w14:textId="77777777" w:rsidTr="00ED0631">
        <w:tc>
          <w:tcPr>
            <w:tcW w:w="1233" w:type="dxa"/>
          </w:tcPr>
          <w:p w14:paraId="63D90088" w14:textId="77777777" w:rsidR="00AC362E" w:rsidRPr="0072514B" w:rsidRDefault="00AC362E" w:rsidP="00ED0631">
            <w:pPr>
              <w:spacing w:before="40" w:after="40"/>
            </w:pPr>
            <w:r w:rsidRPr="0072514B">
              <w:t>TESOL</w:t>
            </w:r>
          </w:p>
        </w:tc>
        <w:tc>
          <w:tcPr>
            <w:tcW w:w="7793" w:type="dxa"/>
          </w:tcPr>
          <w:p w14:paraId="16F64F7B" w14:textId="77777777" w:rsidR="00AC362E" w:rsidRPr="0072514B" w:rsidRDefault="00AC362E" w:rsidP="00ED0631">
            <w:pPr>
              <w:spacing w:before="40" w:after="40"/>
            </w:pPr>
            <w:r w:rsidRPr="0072514B">
              <w:t>Teaching English as a Second Language</w:t>
            </w:r>
          </w:p>
        </w:tc>
      </w:tr>
      <w:tr w:rsidR="00AC362E" w:rsidRPr="0072514B" w14:paraId="5E3442C3" w14:textId="77777777" w:rsidTr="00ED0631">
        <w:tc>
          <w:tcPr>
            <w:tcW w:w="1233" w:type="dxa"/>
          </w:tcPr>
          <w:p w14:paraId="642B42D1" w14:textId="77777777" w:rsidR="00AC362E" w:rsidRPr="0072514B" w:rsidRDefault="00AC362E" w:rsidP="00ED0631">
            <w:pPr>
              <w:spacing w:before="40" w:after="40"/>
            </w:pPr>
            <w:r w:rsidRPr="0072514B">
              <w:t>UNESCO</w:t>
            </w:r>
          </w:p>
        </w:tc>
        <w:tc>
          <w:tcPr>
            <w:tcW w:w="7793" w:type="dxa"/>
          </w:tcPr>
          <w:p w14:paraId="6AAF3294" w14:textId="77777777" w:rsidR="00AC362E" w:rsidRPr="0072514B" w:rsidRDefault="00AC362E" w:rsidP="00ED0631">
            <w:pPr>
              <w:spacing w:before="40" w:after="40"/>
            </w:pPr>
            <w:r w:rsidRPr="0072514B">
              <w:t>United Nations Education, Scientific and Cultural Organisation</w:t>
            </w:r>
          </w:p>
        </w:tc>
      </w:tr>
      <w:tr w:rsidR="00AC362E" w:rsidRPr="0072514B" w14:paraId="0DF80A10" w14:textId="77777777" w:rsidTr="00ED0631">
        <w:tc>
          <w:tcPr>
            <w:tcW w:w="1233" w:type="dxa"/>
          </w:tcPr>
          <w:p w14:paraId="15F21B5E" w14:textId="77777777" w:rsidR="00AC362E" w:rsidRPr="0072514B" w:rsidRDefault="00AC362E" w:rsidP="00ED0631">
            <w:pPr>
              <w:spacing w:before="40" w:after="40"/>
            </w:pPr>
            <w:r w:rsidRPr="0072514B">
              <w:t>UNICEF</w:t>
            </w:r>
          </w:p>
        </w:tc>
        <w:tc>
          <w:tcPr>
            <w:tcW w:w="7793" w:type="dxa"/>
          </w:tcPr>
          <w:p w14:paraId="0410A78A" w14:textId="77777777" w:rsidR="00AC362E" w:rsidRPr="0072514B" w:rsidRDefault="00AC362E" w:rsidP="00ED0631">
            <w:pPr>
              <w:spacing w:before="40" w:after="40"/>
            </w:pPr>
            <w:r w:rsidRPr="00E56B22">
              <w:t>United Nations International</w:t>
            </w:r>
            <w:r>
              <w:t xml:space="preserve"> Children’s </w:t>
            </w:r>
            <w:r w:rsidRPr="00D45D22">
              <w:t>Fu</w:t>
            </w:r>
            <w:r>
              <w:t>nd</w:t>
            </w:r>
          </w:p>
        </w:tc>
      </w:tr>
      <w:tr w:rsidR="00AC362E" w:rsidRPr="0072514B" w14:paraId="2A50B3D4" w14:textId="77777777" w:rsidTr="00ED0631">
        <w:tc>
          <w:tcPr>
            <w:tcW w:w="1233" w:type="dxa"/>
          </w:tcPr>
          <w:p w14:paraId="7FA6D2BD" w14:textId="77777777" w:rsidR="00AC362E" w:rsidRPr="0072514B" w:rsidRDefault="00AC362E" w:rsidP="00ED0631">
            <w:pPr>
              <w:spacing w:before="40" w:after="40"/>
            </w:pPr>
            <w:r>
              <w:t>VSO</w:t>
            </w:r>
          </w:p>
        </w:tc>
        <w:tc>
          <w:tcPr>
            <w:tcW w:w="7793" w:type="dxa"/>
          </w:tcPr>
          <w:p w14:paraId="3DEF8F13" w14:textId="77777777" w:rsidR="00AC362E" w:rsidRPr="0072514B" w:rsidRDefault="00AC362E" w:rsidP="00ED0631">
            <w:pPr>
              <w:spacing w:before="40" w:after="40"/>
            </w:pPr>
            <w:r>
              <w:t>Voluntary Service Overseas</w:t>
            </w:r>
          </w:p>
        </w:tc>
      </w:tr>
    </w:tbl>
    <w:p w14:paraId="750FA361" w14:textId="77777777" w:rsidR="00AC362E" w:rsidRPr="0072514B" w:rsidRDefault="00AC362E" w:rsidP="00ED0631"/>
    <w:p w14:paraId="73FBB87F" w14:textId="77777777" w:rsidR="00AC362E" w:rsidRDefault="00AC362E" w:rsidP="00ED0631">
      <w:pPr>
        <w:sectPr w:rsidR="00AC362E" w:rsidSect="00ED0631">
          <w:footerReference w:type="default" r:id="rId51"/>
          <w:pgSz w:w="11906" w:h="16838"/>
          <w:pgMar w:top="1440" w:right="1440" w:bottom="1440" w:left="1440" w:header="708" w:footer="708" w:gutter="0"/>
          <w:pgNumType w:fmt="lowerRoman" w:start="1"/>
          <w:cols w:space="708"/>
          <w:docGrid w:linePitch="360"/>
        </w:sectPr>
      </w:pPr>
    </w:p>
    <w:p w14:paraId="1AE1CE82" w14:textId="77777777" w:rsidR="00AC362E" w:rsidRDefault="00AC362E" w:rsidP="00491EF1">
      <w:pPr>
        <w:pStyle w:val="Heading2NoNumbers"/>
      </w:pPr>
      <w:bookmarkStart w:id="123" w:name="_Toc461615741"/>
      <w:r w:rsidRPr="0072514B">
        <w:lastRenderedPageBreak/>
        <w:t>Map</w:t>
      </w:r>
      <w:bookmarkEnd w:id="123"/>
    </w:p>
    <w:p w14:paraId="63BC1A21" w14:textId="77777777" w:rsidR="00AC362E" w:rsidRPr="0072514B" w:rsidRDefault="00AC362E" w:rsidP="00ED0631">
      <w:pPr>
        <w:jc w:val="center"/>
      </w:pPr>
      <w:r w:rsidRPr="001C4907">
        <w:rPr>
          <w:rFonts w:ascii="Arial Narrow" w:hAnsi="Arial Narrow" w:cs="Arial"/>
          <w:noProof/>
          <w:lang w:eastAsia="en-AU"/>
        </w:rPr>
        <w:drawing>
          <wp:inline distT="0" distB="0" distL="0" distR="0" wp14:anchorId="7AC4AB67" wp14:editId="2EE8125F">
            <wp:extent cx="7934325" cy="4962418"/>
            <wp:effectExtent l="0" t="0" r="0" b="0"/>
            <wp:docPr id="1" name="Picture 4" descr="Map of Kiribati" title="Map of Kirib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7934325" cy="4962418"/>
                    </a:xfrm>
                    <a:prstGeom prst="rect">
                      <a:avLst/>
                    </a:prstGeom>
                    <a:noFill/>
                    <a:ln>
                      <a:noFill/>
                    </a:ln>
                  </pic:spPr>
                </pic:pic>
              </a:graphicData>
            </a:graphic>
          </wp:inline>
        </w:drawing>
      </w:r>
    </w:p>
    <w:p w14:paraId="42435A13" w14:textId="77777777" w:rsidR="00AC362E" w:rsidRDefault="00AC362E" w:rsidP="00ED0631"/>
    <w:p w14:paraId="2CE36EEF" w14:textId="77777777" w:rsidR="00AC362E" w:rsidRDefault="00AC362E" w:rsidP="00ED0631">
      <w:pPr>
        <w:sectPr w:rsidR="00AC362E" w:rsidSect="00ED0631">
          <w:footerReference w:type="default" r:id="rId53"/>
          <w:pgSz w:w="16838" w:h="11906" w:orient="landscape"/>
          <w:pgMar w:top="1440" w:right="1440" w:bottom="1440" w:left="1440" w:header="708" w:footer="708" w:gutter="0"/>
          <w:pgNumType w:fmt="lowerRoman"/>
          <w:cols w:space="708"/>
          <w:docGrid w:linePitch="360"/>
        </w:sectPr>
      </w:pPr>
    </w:p>
    <w:p w14:paraId="2C238D1C" w14:textId="77777777" w:rsidR="00AC362E" w:rsidRPr="0078330D" w:rsidRDefault="00AC362E" w:rsidP="0078330D">
      <w:pPr>
        <w:pStyle w:val="Heading1"/>
      </w:pPr>
      <w:bookmarkStart w:id="124" w:name="_Toc461615742"/>
      <w:r w:rsidRPr="0078330D">
        <w:lastRenderedPageBreak/>
        <w:t>Executive Summary</w:t>
      </w:r>
      <w:bookmarkEnd w:id="124"/>
    </w:p>
    <w:p w14:paraId="6AE92D2E" w14:textId="77777777" w:rsidR="00AC362E" w:rsidRDefault="00AC362E" w:rsidP="00ED0631">
      <w:pPr>
        <w:spacing w:before="240"/>
      </w:pPr>
      <w:r>
        <w:t xml:space="preserve">This report synthesises results of three research activities carried out under Phase II of </w:t>
      </w:r>
      <w:r w:rsidRPr="0072514B">
        <w:t xml:space="preserve">Kiribati Education Improvement Program (KEIP) The overall purpose of the research is to provide the </w:t>
      </w:r>
      <w:r>
        <w:t>GoA</w:t>
      </w:r>
      <w:r w:rsidRPr="0072514B">
        <w:t xml:space="preserve"> and </w:t>
      </w:r>
      <w:r>
        <w:t>GoK</w:t>
      </w:r>
      <w:r w:rsidRPr="0072514B">
        <w:t xml:space="preserve"> with useful information about what is working and not working under the program and suggest some practical steps to support implementation of basic education in future years</w:t>
      </w:r>
    </w:p>
    <w:p w14:paraId="0E773EE4" w14:textId="77777777" w:rsidR="00AC362E" w:rsidRDefault="00AC362E" w:rsidP="00ED0631">
      <w:pPr>
        <w:spacing w:before="240"/>
      </w:pPr>
      <w:r w:rsidRPr="0072514B">
        <w:t xml:space="preserve">KEIP is a multi-donor education support program designed to enable education reform in Kiribati. KEIP provides a framework within which donor partners - the Australian Department of Foreign Affairs and Trade (DFAT), UNICEF and UNESCO - support the Government of Kiribati (GoK) address its most pressing education issues over a </w:t>
      </w:r>
      <w:r>
        <w:t>nine</w:t>
      </w:r>
      <w:r w:rsidRPr="0072514B">
        <w:t>-year period</w:t>
      </w:r>
      <w:r>
        <w:t>. The expected Outcomes of KEIP are:</w:t>
      </w:r>
    </w:p>
    <w:p w14:paraId="0FB46A00" w14:textId="77777777" w:rsidR="00AC362E" w:rsidRDefault="00AC362E" w:rsidP="00ED0631">
      <w:pPr>
        <w:spacing w:before="240"/>
      </w:pPr>
      <w:r w:rsidRPr="00AF004B">
        <w:rPr>
          <w:b/>
        </w:rPr>
        <w:t>Outcome (2020):</w:t>
      </w:r>
      <w:r>
        <w:t xml:space="preserve"> </w:t>
      </w:r>
      <w:r w:rsidRPr="00AF004B">
        <w:t>All children (boys and girls) in Kiribati participate in primary education and achieve functional literacy and numeracy after six years</w:t>
      </w:r>
    </w:p>
    <w:p w14:paraId="17534C2F" w14:textId="77777777" w:rsidR="00AC362E" w:rsidRPr="0072514B" w:rsidRDefault="00AC362E" w:rsidP="00ED0631">
      <w:pPr>
        <w:spacing w:before="240"/>
      </w:pPr>
      <w:r w:rsidRPr="00AF004B">
        <w:rPr>
          <w:b/>
        </w:rPr>
        <w:t>End of Program Outcome (2015):</w:t>
      </w:r>
      <w:r>
        <w:t xml:space="preserve"> </w:t>
      </w:r>
      <w:r w:rsidRPr="00AF004B">
        <w:t>All children (boys and girls) in Years 1-4 in Kiribati participate in primary education and achieve functional literacy and numeracy after six years</w:t>
      </w:r>
      <w:r>
        <w:t xml:space="preserve">. </w:t>
      </w:r>
      <w:r w:rsidRPr="0072514B">
        <w:t>The focus is on access to and quality of schooling. A second strand is focused on improving governance and management of the education system.</w:t>
      </w:r>
      <w:r>
        <w:t xml:space="preserve"> </w:t>
      </w:r>
    </w:p>
    <w:p w14:paraId="719E53CE" w14:textId="77777777" w:rsidR="00AC362E" w:rsidRDefault="00AC362E" w:rsidP="00ED0631">
      <w:r>
        <w:t xml:space="preserve">In Phase 2 </w:t>
      </w:r>
      <w:r w:rsidRPr="0072514B">
        <w:t xml:space="preserve">of KEIP (2013-2015) </w:t>
      </w:r>
      <w:r>
        <w:t>the focus has been</w:t>
      </w:r>
      <w:r w:rsidRPr="0072514B">
        <w:t xml:space="preserve"> on ensuring all children in Kiribati have access to quality schooling and that progress is being made towards a net primary completion rate of 100 per cent. During this phase</w:t>
      </w:r>
      <w:r>
        <w:t>,</w:t>
      </w:r>
      <w:r w:rsidRPr="0072514B">
        <w:t xml:space="preserve"> particular attention has been given to improving the Te-Kiribati language, literacy and numeracy skills of all children in Years 1-4, and to improving the management, funding and inclusiveness of the education system.</w:t>
      </w:r>
      <w:r>
        <w:t xml:space="preserve"> </w:t>
      </w:r>
    </w:p>
    <w:p w14:paraId="6201F088" w14:textId="77777777" w:rsidR="00AC362E" w:rsidRPr="0072514B" w:rsidRDefault="00AC362E" w:rsidP="00ED0631">
      <w:pPr>
        <w:spacing w:before="240" w:after="120"/>
      </w:pPr>
      <w:r>
        <w:t xml:space="preserve">The research reported here examines </w:t>
      </w:r>
      <w:r w:rsidRPr="0072514B">
        <w:t>evidence of supporting behaviours with respect to the progra</w:t>
      </w:r>
      <w:r>
        <w:t xml:space="preserve">m’s two intermediate outcomes. </w:t>
      </w:r>
      <w:r w:rsidRPr="0072514B">
        <w:t>These are:</w:t>
      </w:r>
    </w:p>
    <w:p w14:paraId="7F75846B" w14:textId="77777777" w:rsidR="00AC362E" w:rsidRPr="0072514B" w:rsidRDefault="00AC362E" w:rsidP="00ED0631">
      <w:r w:rsidRPr="0072514B">
        <w:rPr>
          <w:b/>
        </w:rPr>
        <w:t>Intermediate Outcome 1</w:t>
      </w:r>
      <w:r w:rsidRPr="0072514B">
        <w:t>: Improved classroom teaching and learning for all children in Years 1-4.</w:t>
      </w:r>
    </w:p>
    <w:p w14:paraId="5A65F61B" w14:textId="77777777" w:rsidR="00AC362E" w:rsidRDefault="00AC362E" w:rsidP="00ED0631">
      <w:r w:rsidRPr="0072514B">
        <w:rPr>
          <w:b/>
        </w:rPr>
        <w:t>Intermediate Outcome 2</w:t>
      </w:r>
      <w:r w:rsidRPr="0072514B">
        <w:t>: Improved governance and management of the education system.</w:t>
      </w:r>
    </w:p>
    <w:p w14:paraId="149F3FC1" w14:textId="77777777" w:rsidR="00AC362E" w:rsidRPr="000D1BC6" w:rsidRDefault="00AC362E" w:rsidP="00ED0631">
      <w:pPr>
        <w:rPr>
          <w:spacing w:val="2"/>
        </w:rPr>
      </w:pPr>
      <w:r w:rsidRPr="000D1BC6">
        <w:rPr>
          <w:spacing w:val="2"/>
        </w:rPr>
        <w:t xml:space="preserve">For this research, mixed methods have been employed involving three complementary research activities, namely: 1) a Literature Review; 2) School Engagement Data (SED) collected from administrative records, surveys of teachers, School Leaders and the community; and 3) Case Study Research (CSR) focused on individual schools. The CSR utilised key respondent interviews, group interviews, observation and examination of key documents. The Case Studies were designed to complement the SED and to examine the nature and scope of the changes/improvements under KEIP II within the school context. The SED was primarily quantitative but also contained some qualitative measures related to behaviour and attitudes. The Literature Review was originally planned to be conducted and written up prior to the CSR framework being designed but due to unforeseen delays ended up being conducted concurrently with the other two components. To ensure maximum utility it was oriented to three MoE priority issues, however, the three priorities correspond to issues investigated in the SED and CSR so remain relevant for contextual interpretation of CSR and SED results. </w:t>
      </w:r>
    </w:p>
    <w:p w14:paraId="3C5D8FB4" w14:textId="77777777" w:rsidR="00AC362E" w:rsidRDefault="00AC362E" w:rsidP="00ED0631">
      <w:r>
        <w:t>Taken together the three research components reveal a mix of strengths and weaknesses relevant to KEIP and MoE achievements and future challenges. On the positive side of the ledger:</w:t>
      </w:r>
    </w:p>
    <w:p w14:paraId="6C5EB5E5" w14:textId="77777777" w:rsidR="00AC362E" w:rsidRDefault="00AC362E" w:rsidP="00AE24CE">
      <w:pPr>
        <w:pStyle w:val="ListParagraph"/>
        <w:numPr>
          <w:ilvl w:val="0"/>
          <w:numId w:val="14"/>
        </w:numPr>
        <w:spacing w:before="0" w:beforeAutospacing="0" w:after="200" w:afterAutospacing="0" w:line="276" w:lineRule="auto"/>
      </w:pPr>
      <w:r>
        <w:t>The new curriculum has been positively received by both students and teachers and can be expected to contribute to improved learning and student outcomes.</w:t>
      </w:r>
    </w:p>
    <w:p w14:paraId="0874F34D" w14:textId="77777777" w:rsidR="00AC362E" w:rsidRDefault="00AC362E" w:rsidP="00AE24CE">
      <w:pPr>
        <w:pStyle w:val="ListParagraph"/>
        <w:numPr>
          <w:ilvl w:val="0"/>
          <w:numId w:val="14"/>
        </w:numPr>
        <w:spacing w:before="0" w:beforeAutospacing="0" w:after="200" w:afterAutospacing="0" w:line="276" w:lineRule="auto"/>
      </w:pPr>
      <w:r>
        <w:t>There is an improved focus on student-centred learning approaches and where these are used; students are engaged, happy and participating actively in their learning.</w:t>
      </w:r>
    </w:p>
    <w:p w14:paraId="09A6940A" w14:textId="77777777" w:rsidR="00AC362E" w:rsidRDefault="00AC362E" w:rsidP="00AE24CE">
      <w:pPr>
        <w:pStyle w:val="ListParagraph"/>
        <w:numPr>
          <w:ilvl w:val="0"/>
          <w:numId w:val="14"/>
        </w:numPr>
        <w:spacing w:before="0" w:beforeAutospacing="0" w:after="200" w:afterAutospacing="0" w:line="276" w:lineRule="auto"/>
      </w:pPr>
      <w:r>
        <w:t>The focus on teaching in Te-Kiribati in the early years is paying dividends in terms of the early development of children’s literacy and numeracy skills.</w:t>
      </w:r>
    </w:p>
    <w:p w14:paraId="5689E68C" w14:textId="77777777" w:rsidR="00AC362E" w:rsidRDefault="00AC362E" w:rsidP="00AE24CE">
      <w:pPr>
        <w:pStyle w:val="ListParagraph"/>
        <w:numPr>
          <w:ilvl w:val="0"/>
          <w:numId w:val="14"/>
        </w:numPr>
        <w:spacing w:before="0" w:beforeAutospacing="0" w:after="200" w:afterAutospacing="0" w:line="276" w:lineRule="auto"/>
      </w:pPr>
      <w:r>
        <w:t>English language competency of teachers appears to be increasing, albeit it not as strongly as might be desired.</w:t>
      </w:r>
    </w:p>
    <w:p w14:paraId="035E7B6E" w14:textId="77777777" w:rsidR="00AC362E" w:rsidRDefault="00AC362E" w:rsidP="00AE24CE">
      <w:pPr>
        <w:pStyle w:val="ListParagraph"/>
        <w:numPr>
          <w:ilvl w:val="0"/>
          <w:numId w:val="14"/>
        </w:numPr>
        <w:spacing w:before="0" w:beforeAutospacing="0" w:after="200" w:afterAutospacing="0" w:line="276" w:lineRule="auto"/>
      </w:pPr>
      <w:r>
        <w:lastRenderedPageBreak/>
        <w:t>School Committees and SIP Committees have provided impetus for community engagement and are associated with many examples of positive change, particularly in school infrastructure, maintenance and school attendance.</w:t>
      </w:r>
    </w:p>
    <w:p w14:paraId="5AB1D405" w14:textId="77777777" w:rsidR="00AC362E" w:rsidRDefault="00AC362E" w:rsidP="00AE24CE">
      <w:pPr>
        <w:pStyle w:val="ListParagraph"/>
        <w:numPr>
          <w:ilvl w:val="0"/>
          <w:numId w:val="14"/>
        </w:numPr>
        <w:spacing w:before="0" w:beforeAutospacing="0" w:after="200" w:afterAutospacing="0" w:line="276" w:lineRule="auto"/>
      </w:pPr>
      <w:r>
        <w:t>School enrolments appear to have improved from previous years and there were numerous examples of children with learning difficulties being included and supported in class.</w:t>
      </w:r>
    </w:p>
    <w:p w14:paraId="731FB255" w14:textId="77777777" w:rsidR="00AC362E" w:rsidRDefault="00AC362E" w:rsidP="00AE24CE">
      <w:pPr>
        <w:pStyle w:val="ListParagraph"/>
        <w:numPr>
          <w:ilvl w:val="0"/>
          <w:numId w:val="14"/>
        </w:numPr>
        <w:spacing w:before="0" w:beforeAutospacing="0" w:after="200" w:afterAutospacing="0" w:line="276" w:lineRule="auto"/>
      </w:pPr>
      <w:r>
        <w:t>School refurbishments in selected schools have contributed to improved learning-environments, increased community pride, and increased enrolments.</w:t>
      </w:r>
    </w:p>
    <w:p w14:paraId="22096403" w14:textId="77777777" w:rsidR="00AC362E" w:rsidRDefault="00AC362E" w:rsidP="00ED0631">
      <w:r>
        <w:t>In terms of challenges still to be addressed:</w:t>
      </w:r>
    </w:p>
    <w:p w14:paraId="5D4E87C0" w14:textId="77777777" w:rsidR="00AC362E" w:rsidRDefault="00AC362E" w:rsidP="00AE24CE">
      <w:pPr>
        <w:pStyle w:val="ListParagraph"/>
        <w:numPr>
          <w:ilvl w:val="0"/>
          <w:numId w:val="15"/>
        </w:numPr>
        <w:spacing w:before="0" w:beforeAutospacing="0" w:after="200" w:afterAutospacing="0" w:line="276" w:lineRule="auto"/>
      </w:pPr>
      <w:r>
        <w:t>The large numbers of contract teachers who have had no training on the new curriculum and monitors who are teaching classes without any teacher training at all have resulted in uneven implementation of the new curriculum, particularly in Years 3 to 6.</w:t>
      </w:r>
    </w:p>
    <w:p w14:paraId="28BAC797" w14:textId="77777777" w:rsidR="00AC362E" w:rsidRDefault="00AC362E" w:rsidP="00AE24CE">
      <w:pPr>
        <w:pStyle w:val="ListParagraph"/>
        <w:numPr>
          <w:ilvl w:val="0"/>
          <w:numId w:val="15"/>
        </w:numPr>
        <w:spacing w:before="0" w:beforeAutospacing="0" w:after="200" w:afterAutospacing="0" w:line="276" w:lineRule="auto"/>
      </w:pPr>
      <w:r>
        <w:t>While the focus on Te-Kiribati in the early years is positive, the rationale for the dual language policy is not well understood by many teachers and parents and this is creating issues during the transition years 3 and 4.</w:t>
      </w:r>
    </w:p>
    <w:p w14:paraId="2087A27B" w14:textId="77777777" w:rsidR="00AC362E" w:rsidRDefault="00AC362E" w:rsidP="00AE24CE">
      <w:pPr>
        <w:pStyle w:val="ListParagraph"/>
        <w:numPr>
          <w:ilvl w:val="0"/>
          <w:numId w:val="15"/>
        </w:numPr>
        <w:spacing w:before="0" w:beforeAutospacing="0" w:after="200" w:afterAutospacing="0" w:line="276" w:lineRule="auto"/>
      </w:pPr>
      <w:r>
        <w:t>Assessment is an area of general weakness across schools and although many teachers are using portfolios and checklists there is a need to strengthen these approaches and consolidate them within a wider assessment regime.</w:t>
      </w:r>
    </w:p>
    <w:p w14:paraId="0E710C1F" w14:textId="77777777" w:rsidR="00AC362E" w:rsidRDefault="00AC362E" w:rsidP="00AE24CE">
      <w:pPr>
        <w:pStyle w:val="ListParagraph"/>
        <w:numPr>
          <w:ilvl w:val="0"/>
          <w:numId w:val="15"/>
        </w:numPr>
        <w:spacing w:before="0" w:beforeAutospacing="0" w:after="200" w:afterAutospacing="0" w:line="276" w:lineRule="auto"/>
      </w:pPr>
      <w:r>
        <w:t>SIPs are generally not seen as part of a continuous improvement process and have often been done for compliance purposes. Despite being useful for encouraging community involvement SIPs were not well understood by SIP committees who therefore lacked ownership.</w:t>
      </w:r>
    </w:p>
    <w:p w14:paraId="21EAC706" w14:textId="77777777" w:rsidR="00AC362E" w:rsidRPr="0072514B" w:rsidRDefault="00AC362E" w:rsidP="00AE24CE">
      <w:pPr>
        <w:pStyle w:val="ListParagraph"/>
        <w:numPr>
          <w:ilvl w:val="0"/>
          <w:numId w:val="15"/>
        </w:numPr>
        <w:spacing w:before="0" w:beforeAutospacing="0" w:after="200" w:afterAutospacing="0" w:line="276" w:lineRule="auto"/>
      </w:pPr>
      <w:r>
        <w:t>Notwithstanding improved school enrolments, a considerable number of children are still not in school. Community pressure and expectations can only go so far in ensuring compliance and need to be supported with other approaches.</w:t>
      </w:r>
    </w:p>
    <w:p w14:paraId="46E1E8C7" w14:textId="77777777" w:rsidR="00AC362E" w:rsidRDefault="00AC362E" w:rsidP="00ED0631">
      <w:pPr>
        <w:sectPr w:rsidR="00AC362E" w:rsidSect="00ED0631">
          <w:footerReference w:type="default" r:id="rId54"/>
          <w:pgSz w:w="11906" w:h="16838"/>
          <w:pgMar w:top="1440" w:right="1440" w:bottom="1440" w:left="1440" w:header="708" w:footer="708" w:gutter="0"/>
          <w:pgNumType w:fmt="lowerRoman"/>
          <w:cols w:space="708"/>
          <w:docGrid w:linePitch="360"/>
        </w:sectPr>
      </w:pPr>
    </w:p>
    <w:p w14:paraId="63ABEB97" w14:textId="77777777" w:rsidR="00AC362E" w:rsidRPr="00816A8D" w:rsidRDefault="00AC362E" w:rsidP="0078330D">
      <w:pPr>
        <w:pStyle w:val="Heading1"/>
        <w:keepNext/>
        <w:keepLines/>
        <w:spacing w:before="480" w:after="0" w:line="276" w:lineRule="auto"/>
        <w:ind w:left="0" w:firstLine="0"/>
        <w:rPr>
          <w:rFonts w:eastAsia="Times New Roman"/>
          <w:lang w:eastAsia="en-AU"/>
        </w:rPr>
      </w:pPr>
      <w:bookmarkStart w:id="125" w:name="_Toc461615743"/>
      <w:r w:rsidRPr="00816A8D">
        <w:rPr>
          <w:rFonts w:eastAsia="Times New Roman"/>
          <w:lang w:eastAsia="en-AU"/>
        </w:rPr>
        <w:lastRenderedPageBreak/>
        <w:t>Introduction</w:t>
      </w:r>
      <w:bookmarkEnd w:id="125"/>
      <w:r w:rsidRPr="00816A8D">
        <w:rPr>
          <w:rFonts w:eastAsia="Times New Roman"/>
          <w:lang w:eastAsia="en-AU"/>
        </w:rPr>
        <w:t xml:space="preserve"> </w:t>
      </w:r>
    </w:p>
    <w:p w14:paraId="5579DCC4" w14:textId="77777777" w:rsidR="00AC362E" w:rsidRPr="0072514B" w:rsidRDefault="00AC362E" w:rsidP="00184429">
      <w:pPr>
        <w:pStyle w:val="Heading2"/>
      </w:pPr>
      <w:bookmarkStart w:id="126" w:name="_Toc461615744"/>
      <w:r>
        <w:t>1.1</w:t>
      </w:r>
      <w:r>
        <w:tab/>
      </w:r>
      <w:r w:rsidRPr="0072514B">
        <w:t>The KEIP II program</w:t>
      </w:r>
      <w:bookmarkEnd w:id="126"/>
    </w:p>
    <w:p w14:paraId="3F172E09" w14:textId="77777777" w:rsidR="00AC362E" w:rsidRDefault="00AC362E" w:rsidP="00ED0631">
      <w:pPr>
        <w:spacing w:before="240"/>
      </w:pPr>
      <w:r w:rsidRPr="0072514B">
        <w:t xml:space="preserve">The Kiribati Education Improvement Program (KEIP) is a multi-donor education support program designed to enable education reform in Kiribati. KEIP provides a framework within which donor partners - the Australian Department of Foreign Affairs and Trade (DFAT), UNICEF and UNESCO - support the Government of Kiribati (GoK) address its most pressing education issues over a </w:t>
      </w:r>
      <w:r>
        <w:t>nine</w:t>
      </w:r>
      <w:r w:rsidRPr="0072514B">
        <w:t>-year period</w:t>
      </w:r>
      <w:r>
        <w:t>. The expected Outcomes of KEIP are:</w:t>
      </w:r>
    </w:p>
    <w:p w14:paraId="774DD925" w14:textId="77777777" w:rsidR="00AC362E" w:rsidRDefault="00AC362E" w:rsidP="00ED0631">
      <w:pPr>
        <w:spacing w:before="240"/>
      </w:pPr>
      <w:r w:rsidRPr="00AF004B">
        <w:rPr>
          <w:b/>
        </w:rPr>
        <w:t>Outcome (2020):</w:t>
      </w:r>
      <w:r>
        <w:t xml:space="preserve"> </w:t>
      </w:r>
      <w:r w:rsidRPr="00AF004B">
        <w:t>All children (boys and girls) in Kiribati participate in primary education and achieve functional literacy and numeracy after six years</w:t>
      </w:r>
    </w:p>
    <w:p w14:paraId="00906465" w14:textId="77777777" w:rsidR="00AC362E" w:rsidRPr="0072514B" w:rsidRDefault="00AC362E" w:rsidP="00ED0631">
      <w:pPr>
        <w:spacing w:before="240"/>
      </w:pPr>
      <w:r w:rsidRPr="00AF004B">
        <w:rPr>
          <w:b/>
        </w:rPr>
        <w:t>End of Program Outcome (2015):</w:t>
      </w:r>
      <w:r>
        <w:t xml:space="preserve"> </w:t>
      </w:r>
      <w:r w:rsidRPr="00AF004B">
        <w:t>All children (boys and girls) in Years 1-4 in Kiribati participate in primary education and achieve functional literacy and numeracy after six years</w:t>
      </w:r>
      <w:r>
        <w:t xml:space="preserve">. </w:t>
      </w:r>
      <w:r w:rsidRPr="0072514B">
        <w:t>The focus is on access to and quality of schooling. A second strand is focused on improving governance and management of the education system.</w:t>
      </w:r>
      <w:r>
        <w:t xml:space="preserve"> </w:t>
      </w:r>
    </w:p>
    <w:p w14:paraId="3E682539" w14:textId="77777777" w:rsidR="00AC362E" w:rsidRDefault="00AC362E" w:rsidP="00ED0631">
      <w:r w:rsidRPr="0072514B">
        <w:t xml:space="preserve">Phase 1 </w:t>
      </w:r>
      <w:r w:rsidRPr="00AF004B">
        <w:t xml:space="preserve">of KEIP </w:t>
      </w:r>
      <w:r w:rsidRPr="0072514B">
        <w:t>was a preparatory phase, oriented to creating an</w:t>
      </w:r>
      <w:r>
        <w:t xml:space="preserve"> enabling environment for Phase </w:t>
      </w:r>
      <w:r w:rsidRPr="0072514B">
        <w:t>2</w:t>
      </w:r>
      <w:r>
        <w:t xml:space="preserve">. In Phase 2 </w:t>
      </w:r>
      <w:r w:rsidRPr="0072514B">
        <w:t xml:space="preserve">of KEIP (2013-2015) </w:t>
      </w:r>
      <w:r>
        <w:t>the focus has been</w:t>
      </w:r>
      <w:r w:rsidRPr="0072514B">
        <w:t xml:space="preserve"> on ensuring all children in Kiribati have access to quality schooling and that progress is being made towards a net primary completion rate of 100 per cent. During this phase</w:t>
      </w:r>
      <w:r>
        <w:t>,</w:t>
      </w:r>
      <w:r w:rsidRPr="0072514B">
        <w:t xml:space="preserve"> particular attention has been given to improving the Te-Kiribati language, literacy and numeracy skills of all children in Years 1-4, and to improving the management, funding and inclusiveness of the education system.</w:t>
      </w:r>
      <w:r>
        <w:t xml:space="preserve"> It is envisaged that Phase </w:t>
      </w:r>
      <w:r w:rsidRPr="0072514B">
        <w:t>3 will focus on years 5-6 and junior secondary school.</w:t>
      </w:r>
    </w:p>
    <w:p w14:paraId="3C68CDD5" w14:textId="77777777" w:rsidR="00AC362E" w:rsidRPr="00A85CCF" w:rsidRDefault="00AC362E" w:rsidP="00184429">
      <w:pPr>
        <w:pStyle w:val="Heading2"/>
      </w:pPr>
      <w:bookmarkStart w:id="127" w:name="_Toc461615745"/>
      <w:r w:rsidRPr="00A85CCF">
        <w:t>1.2</w:t>
      </w:r>
      <w:r w:rsidRPr="00A85CCF">
        <w:tab/>
        <w:t>Scope of the Current Research</w:t>
      </w:r>
      <w:bookmarkEnd w:id="127"/>
    </w:p>
    <w:p w14:paraId="1BAD2651" w14:textId="77777777" w:rsidR="00AC362E" w:rsidRPr="00DE4728" w:rsidRDefault="00AC362E" w:rsidP="00ED0631">
      <w:pPr>
        <w:spacing w:before="240"/>
        <w:rPr>
          <w:spacing w:val="-2"/>
        </w:rPr>
      </w:pPr>
      <w:r w:rsidRPr="00DE4728">
        <w:rPr>
          <w:spacing w:val="-2"/>
        </w:rPr>
        <w:t>The research described in this document is a component of KEIP II’s monitoring and evaluation and is aligned with reporting against the KEIP II Performance Management Framework by gathering evidence of supporting behaviours with respect to the program’s two intermediate outcomes. These are:</w:t>
      </w:r>
    </w:p>
    <w:p w14:paraId="5CA3C545" w14:textId="77777777" w:rsidR="00AC362E" w:rsidRPr="0072514B" w:rsidRDefault="00AC362E" w:rsidP="00ED0631">
      <w:r w:rsidRPr="0072514B">
        <w:rPr>
          <w:b/>
        </w:rPr>
        <w:t>Intermediate Outcome 1</w:t>
      </w:r>
      <w:r w:rsidRPr="0072514B">
        <w:t>: Improved classroom teaching and learning for all children in Years 1-4.</w:t>
      </w:r>
    </w:p>
    <w:p w14:paraId="11D3CBB9" w14:textId="77777777" w:rsidR="00AC362E" w:rsidRDefault="00AC362E" w:rsidP="00ED0631">
      <w:r w:rsidRPr="0072514B">
        <w:rPr>
          <w:b/>
        </w:rPr>
        <w:t>Intermediate Outcome 2</w:t>
      </w:r>
      <w:r w:rsidRPr="0072514B">
        <w:t>: Improved governance and management of the education system.</w:t>
      </w:r>
    </w:p>
    <w:p w14:paraId="053B4204" w14:textId="77777777" w:rsidR="00AC362E" w:rsidRDefault="00AC362E" w:rsidP="00ED0631">
      <w:r w:rsidRPr="0072514B">
        <w:t xml:space="preserve">A Research Plan was developed by the </w:t>
      </w:r>
      <w:r>
        <w:t>KEIP II</w:t>
      </w:r>
      <w:r w:rsidRPr="0072514B">
        <w:t xml:space="preserve"> M&amp;E Adviser in </w:t>
      </w:r>
      <w:r>
        <w:t xml:space="preserve">early </w:t>
      </w:r>
      <w:r w:rsidRPr="0072514B">
        <w:t>2015 in preparati</w:t>
      </w:r>
      <w:r>
        <w:t xml:space="preserve">on for completion of Phase 2. The research is not designed as a program evaluation but rather is aimed at collecting and analysing information about classroom and leadership behaviour with respect to the two intermediate outcomes. </w:t>
      </w:r>
      <w:r w:rsidRPr="0072514B">
        <w:t xml:space="preserve">The overall purpose of the research is to provide the </w:t>
      </w:r>
      <w:r>
        <w:t>GoA</w:t>
      </w:r>
      <w:r w:rsidRPr="0072514B">
        <w:t xml:space="preserve"> and </w:t>
      </w:r>
      <w:r>
        <w:t>GoK</w:t>
      </w:r>
      <w:r w:rsidRPr="0072514B">
        <w:t xml:space="preserve"> with useful information about what is working and not working under the program and suggest some practical steps to support implementation of basic education in future years.</w:t>
      </w:r>
    </w:p>
    <w:p w14:paraId="4D6043B5" w14:textId="77777777" w:rsidR="00AC362E" w:rsidRPr="002F0DEE" w:rsidRDefault="00AC362E" w:rsidP="00ED0631">
      <w:r>
        <w:t>Mixed methods have been employed involving three complementary components, nam</w:t>
      </w:r>
      <w:r w:rsidRPr="00E17170">
        <w:t>ely</w:t>
      </w:r>
      <w:r w:rsidRPr="0072514B">
        <w:t xml:space="preserve">: 1) a Literature Review; 2) School Engagement Data (SED) collected from administrative records, surveys of teachers, </w:t>
      </w:r>
      <w:r>
        <w:t>School Leader</w:t>
      </w:r>
      <w:r w:rsidRPr="0072514B">
        <w:t xml:space="preserve">s and the community; and 3) Case Study </w:t>
      </w:r>
      <w:r>
        <w:t>R</w:t>
      </w:r>
      <w:r w:rsidRPr="0072514B">
        <w:t>esearch</w:t>
      </w:r>
      <w:r>
        <w:t xml:space="preserve"> (CSR)</w:t>
      </w:r>
      <w:r w:rsidRPr="0072514B">
        <w:t xml:space="preserve"> </w:t>
      </w:r>
      <w:r>
        <w:t xml:space="preserve">focused on individual schools. The CSR utilised key respondent interviews, group interviews, observation and examination of key documents. </w:t>
      </w:r>
      <w:r w:rsidRPr="0072514B">
        <w:t>The Case Studies were designed to complement the SED and to examine the nature and scope of the changes/improvements under KEIP II within the school context.</w:t>
      </w:r>
      <w:r>
        <w:t xml:space="preserve"> The SED was primarily quantitative but also contained some qualitative measures related to behaviour and attitudes. The Literature Review was originally planned to be conducted and written up prior to the CSR framework being designed but due to unforeseen delays ended up being conducted concurrently with the other two components. To ensure maximum utility it was oriented to three MoE priority issues, however, the three priorities correspond to issues investigated in the SED and CSR so remain relevant for contextual interpretation of CSR and SED results. </w:t>
      </w:r>
    </w:p>
    <w:p w14:paraId="01124FB3" w14:textId="77777777" w:rsidR="00AC362E" w:rsidRDefault="00AC362E" w:rsidP="00ED0631">
      <w:r>
        <w:t>The first component, the Literature Review involves three topics determined as research priorities by MoE in discussion with the KEIP II M&amp;E Adviser. The topics are:</w:t>
      </w:r>
    </w:p>
    <w:p w14:paraId="36882A72" w14:textId="77777777" w:rsidR="00AC362E" w:rsidRDefault="00AC362E" w:rsidP="00E91B91">
      <w:pPr>
        <w:pStyle w:val="ListParagraph"/>
        <w:numPr>
          <w:ilvl w:val="0"/>
          <w:numId w:val="9"/>
        </w:numPr>
        <w:spacing w:before="0" w:beforeAutospacing="0" w:after="200" w:afterAutospacing="0" w:line="276" w:lineRule="auto"/>
      </w:pPr>
      <w:r w:rsidRPr="00F95009">
        <w:lastRenderedPageBreak/>
        <w:t xml:space="preserve">What interventions/models are most effective for effective teaching </w:t>
      </w:r>
      <w:r>
        <w:t>of</w:t>
      </w:r>
      <w:r w:rsidRPr="00F95009">
        <w:t xml:space="preserve"> and learning </w:t>
      </w:r>
      <w:r>
        <w:t xml:space="preserve">by basic education </w:t>
      </w:r>
      <w:r w:rsidRPr="00F95009">
        <w:t>students for whom English is a second language?</w:t>
      </w:r>
    </w:p>
    <w:p w14:paraId="20D11588" w14:textId="77777777" w:rsidR="00AC362E" w:rsidRDefault="00AC362E" w:rsidP="00E91B91">
      <w:pPr>
        <w:pStyle w:val="ListParagraph"/>
        <w:numPr>
          <w:ilvl w:val="0"/>
          <w:numId w:val="9"/>
        </w:numPr>
        <w:spacing w:before="240" w:beforeAutospacing="0" w:after="200" w:afterAutospacing="0" w:line="276" w:lineRule="auto"/>
        <w:ind w:left="714" w:hanging="357"/>
      </w:pPr>
      <w:r w:rsidRPr="00B54FD3">
        <w:t>How should assessment be most effect</w:t>
      </w:r>
      <w:r>
        <w:t>ively used in basic education</w:t>
      </w:r>
      <w:r w:rsidRPr="00B54FD3">
        <w:t>?</w:t>
      </w:r>
    </w:p>
    <w:p w14:paraId="1033D79A" w14:textId="77777777" w:rsidR="00AC362E" w:rsidRDefault="00AC362E" w:rsidP="00E91B91">
      <w:pPr>
        <w:pStyle w:val="ListParagraph"/>
        <w:numPr>
          <w:ilvl w:val="0"/>
          <w:numId w:val="9"/>
        </w:numPr>
        <w:spacing w:before="0" w:beforeAutospacing="0" w:after="200" w:afterAutospacing="0" w:line="276" w:lineRule="auto"/>
      </w:pPr>
      <w:r w:rsidRPr="00B54FD3">
        <w:t>What leads to effective school leadership?</w:t>
      </w:r>
    </w:p>
    <w:p w14:paraId="2FE2F694" w14:textId="77777777" w:rsidR="00AC362E" w:rsidRDefault="00AC362E" w:rsidP="00ED0631">
      <w:r w:rsidRPr="0072514B">
        <w:t xml:space="preserve">The </w:t>
      </w:r>
      <w:r w:rsidRPr="00B54FD3">
        <w:t>second</w:t>
      </w:r>
      <w:r w:rsidRPr="0072514B">
        <w:t xml:space="preserve"> component</w:t>
      </w:r>
      <w:r w:rsidRPr="00B54FD3">
        <w:t>, the SED</w:t>
      </w:r>
      <w:r>
        <w:t>,</w:t>
      </w:r>
      <w:r w:rsidRPr="0072514B">
        <w:t xml:space="preserve"> involve</w:t>
      </w:r>
      <w:r>
        <w:t>d</w:t>
      </w:r>
      <w:r w:rsidRPr="0072514B">
        <w:t xml:space="preserve"> representative communi</w:t>
      </w:r>
      <w:r>
        <w:t xml:space="preserve">ty and school data collection. </w:t>
      </w:r>
      <w:r w:rsidRPr="0072514B">
        <w:t xml:space="preserve">This research </w:t>
      </w:r>
      <w:r>
        <w:t>provided</w:t>
      </w:r>
      <w:r w:rsidRPr="00A71DD4">
        <w:t xml:space="preserve"> quantitative</w:t>
      </w:r>
      <w:r>
        <w:t xml:space="preserve"> and qualitative</w:t>
      </w:r>
      <w:r w:rsidRPr="00A71DD4">
        <w:t xml:space="preserve"> information about the n</w:t>
      </w:r>
      <w:r>
        <w:t>umber of children not in school;</w:t>
      </w:r>
      <w:r w:rsidRPr="00A71DD4">
        <w:t xml:space="preserve"> school attendance; </w:t>
      </w:r>
      <w:r>
        <w:t>teachers experience with the new curriculum; school leadership and management, community contributions to schools; and children with disabilities.</w:t>
      </w:r>
      <w:r w:rsidRPr="00A71DD4">
        <w:t xml:space="preserve"> The </w:t>
      </w:r>
      <w:r>
        <w:t>SED</w:t>
      </w:r>
      <w:r w:rsidRPr="00A71DD4">
        <w:t xml:space="preserve"> also produce</w:t>
      </w:r>
      <w:r>
        <w:t>d</w:t>
      </w:r>
      <w:r w:rsidRPr="00A71DD4">
        <w:t xml:space="preserve"> information about the community’s perceptions of education</w:t>
      </w:r>
      <w:r>
        <w:t>,</w:t>
      </w:r>
      <w:r w:rsidRPr="00A71DD4">
        <w:t xml:space="preserve"> the quality of teaching and school improvement plans.</w:t>
      </w:r>
      <w:r>
        <w:t xml:space="preserve"> The SED contains a much more extensive range of data than are considered in the CSR and further analysis of the SED data beyond that considered in this Synthesis Report is warranted.</w:t>
      </w:r>
    </w:p>
    <w:p w14:paraId="311A581E" w14:textId="77777777" w:rsidR="00AC362E" w:rsidRPr="00BB5E80" w:rsidRDefault="00AC362E" w:rsidP="00ED0631">
      <w:r w:rsidRPr="00A71DD4">
        <w:t>The third component, CSR, involve</w:t>
      </w:r>
      <w:r>
        <w:t>d</w:t>
      </w:r>
      <w:r w:rsidRPr="00A71DD4">
        <w:t xml:space="preserve"> </w:t>
      </w:r>
      <w:r>
        <w:t>eight</w:t>
      </w:r>
      <w:r w:rsidRPr="00A71DD4">
        <w:t xml:space="preserve"> comparative case studies of primary schools.</w:t>
      </w:r>
      <w:r>
        <w:t xml:space="preserve"> </w:t>
      </w:r>
      <w:r w:rsidRPr="00BB5E80">
        <w:t>For practical purposes given the time available and complications of travelling from one island to another, the selection of schools was limited to three locations.</w:t>
      </w:r>
      <w:r>
        <w:t xml:space="preserve"> </w:t>
      </w:r>
      <w:r w:rsidRPr="00BB5E80">
        <w:t xml:space="preserve">These were South </w:t>
      </w:r>
      <w:r>
        <w:t>Tarawa, Butaritari and Nonouti.</w:t>
      </w:r>
      <w:r w:rsidRPr="00BB5E80">
        <w:t xml:space="preserve"> Kiritmati was originally considered as a possible site but was eventually replaced by Nonouti because of travel sch</w:t>
      </w:r>
      <w:r>
        <w:t xml:space="preserve">edules and the time available. </w:t>
      </w:r>
      <w:r w:rsidRPr="00BB5E80">
        <w:t>Based on these locations</w:t>
      </w:r>
      <w:r>
        <w:t>,</w:t>
      </w:r>
      <w:r w:rsidRPr="00BB5E80">
        <w:t xml:space="preserve"> the KEIP II M&amp;E Adviser proposed a selection of schools at different stages of program roll-out that were considered likely to yield a range of different experiences and lessons. A mix of small and larger schools was chosen. Some were isolated while others were urban. Other features such as the level community support, resources and school attendance were also considered. Case study selection was therefore a combination of purposive selection and convenience.</w:t>
      </w:r>
    </w:p>
    <w:p w14:paraId="5AB35442" w14:textId="77777777" w:rsidR="00AC362E" w:rsidRDefault="00AC362E" w:rsidP="00184429">
      <w:pPr>
        <w:pStyle w:val="Heading2"/>
      </w:pPr>
      <w:bookmarkStart w:id="128" w:name="_Toc461615746"/>
      <w:r>
        <w:t>1.3</w:t>
      </w:r>
      <w:r>
        <w:tab/>
      </w:r>
      <w:r w:rsidRPr="00816A8D">
        <w:t>Research Questions</w:t>
      </w:r>
      <w:bookmarkEnd w:id="128"/>
    </w:p>
    <w:p w14:paraId="2CB44E41" w14:textId="77777777" w:rsidR="00AC362E" w:rsidRPr="0072514B" w:rsidRDefault="00AC362E" w:rsidP="00ED0631">
      <w:pPr>
        <w:spacing w:before="240"/>
        <w:rPr>
          <w:rFonts w:cs="Arial"/>
        </w:rPr>
      </w:pPr>
      <w:r w:rsidRPr="0072514B">
        <w:rPr>
          <w:rFonts w:cs="Arial"/>
        </w:rPr>
        <w:t xml:space="preserve">The </w:t>
      </w:r>
      <w:r>
        <w:rPr>
          <w:rFonts w:cs="Arial"/>
        </w:rPr>
        <w:t xml:space="preserve">overarching research </w:t>
      </w:r>
      <w:r w:rsidRPr="0072514B">
        <w:rPr>
          <w:rFonts w:cs="Arial"/>
        </w:rPr>
        <w:t xml:space="preserve">questions covered by the CSR </w:t>
      </w:r>
      <w:r>
        <w:rPr>
          <w:rFonts w:cs="Arial"/>
        </w:rPr>
        <w:t xml:space="preserve">and SED </w:t>
      </w:r>
      <w:r w:rsidRPr="0072514B">
        <w:rPr>
          <w:rFonts w:cs="Arial"/>
        </w:rPr>
        <w:t xml:space="preserve">and the </w:t>
      </w:r>
      <w:r>
        <w:rPr>
          <w:rFonts w:cs="Arial"/>
        </w:rPr>
        <w:t xml:space="preserve">Literature Review are: </w:t>
      </w:r>
    </w:p>
    <w:p w14:paraId="1C2AEB22" w14:textId="77777777" w:rsidR="00AC362E" w:rsidRPr="00533187" w:rsidRDefault="00AC362E" w:rsidP="00E91B91">
      <w:pPr>
        <w:numPr>
          <w:ilvl w:val="0"/>
          <w:numId w:val="10"/>
        </w:numPr>
        <w:spacing w:after="160" w:line="256" w:lineRule="auto"/>
        <w:contextualSpacing/>
        <w:rPr>
          <w:rFonts w:cs="Arial"/>
        </w:rPr>
      </w:pPr>
      <w:r w:rsidRPr="0072514B">
        <w:t xml:space="preserve">What has been </w:t>
      </w:r>
      <w:r>
        <w:t xml:space="preserve">the </w:t>
      </w:r>
      <w:r w:rsidRPr="0072514B">
        <w:t>schools’ and teachers’ experience with implementing the new curriculum (year 1-4) and what is the evidence for subsequent teaching and learning improvements?</w:t>
      </w:r>
      <w:r>
        <w:t xml:space="preserve"> This question considers:</w:t>
      </w:r>
    </w:p>
    <w:p w14:paraId="358B30D3" w14:textId="77777777" w:rsidR="00AC362E" w:rsidRPr="00533187" w:rsidRDefault="00AC362E" w:rsidP="00E91B91">
      <w:pPr>
        <w:pStyle w:val="ListParagraph"/>
        <w:numPr>
          <w:ilvl w:val="0"/>
          <w:numId w:val="8"/>
        </w:numPr>
        <w:spacing w:before="0" w:beforeAutospacing="0"/>
        <w:ind w:left="1080"/>
        <w:rPr>
          <w:rFonts w:eastAsia="Times New Roman" w:cs="Times New Roman"/>
          <w:lang w:eastAsia="en-AU"/>
        </w:rPr>
      </w:pPr>
      <w:r w:rsidRPr="00533187">
        <w:rPr>
          <w:rFonts w:eastAsia="Times New Roman" w:cs="Times New Roman"/>
          <w:lang w:eastAsia="en-AU"/>
        </w:rPr>
        <w:t>Experience with training in new curriculum</w:t>
      </w:r>
    </w:p>
    <w:p w14:paraId="37DCCE58" w14:textId="77777777" w:rsidR="00AC362E" w:rsidRPr="00533187" w:rsidRDefault="00AC362E" w:rsidP="00E91B91">
      <w:pPr>
        <w:pStyle w:val="ListParagraph"/>
        <w:numPr>
          <w:ilvl w:val="0"/>
          <w:numId w:val="8"/>
        </w:numPr>
        <w:ind w:left="1080"/>
        <w:rPr>
          <w:rFonts w:eastAsia="Times New Roman" w:cs="Times New Roman"/>
          <w:lang w:eastAsia="en-AU"/>
        </w:rPr>
      </w:pPr>
      <w:r w:rsidRPr="00533187">
        <w:rPr>
          <w:rFonts w:eastAsia="Times New Roman" w:cs="Times New Roman"/>
          <w:lang w:eastAsia="en-AU"/>
        </w:rPr>
        <w:t>Views on quality and value of new curriculum including impact on students</w:t>
      </w:r>
    </w:p>
    <w:p w14:paraId="2CE4C895" w14:textId="77777777" w:rsidR="00AC362E" w:rsidRPr="00533187" w:rsidRDefault="00AC362E" w:rsidP="00E91B91">
      <w:pPr>
        <w:pStyle w:val="ListParagraph"/>
        <w:numPr>
          <w:ilvl w:val="0"/>
          <w:numId w:val="8"/>
        </w:numPr>
        <w:ind w:left="1080"/>
        <w:rPr>
          <w:rFonts w:eastAsia="Times New Roman" w:cs="Times New Roman"/>
          <w:lang w:eastAsia="en-AU"/>
        </w:rPr>
      </w:pPr>
      <w:r w:rsidRPr="00533187">
        <w:rPr>
          <w:rFonts w:eastAsia="Times New Roman" w:cs="Times New Roman"/>
          <w:lang w:eastAsia="en-AU"/>
        </w:rPr>
        <w:t>Extent of learner focus of the lesson plans and in the class room implementation</w:t>
      </w:r>
    </w:p>
    <w:p w14:paraId="5FEFC1F6" w14:textId="77777777" w:rsidR="00AC362E" w:rsidRPr="00533187" w:rsidRDefault="00AC362E" w:rsidP="00E91B91">
      <w:pPr>
        <w:pStyle w:val="ListParagraph"/>
        <w:numPr>
          <w:ilvl w:val="0"/>
          <w:numId w:val="8"/>
        </w:numPr>
        <w:ind w:left="1080"/>
        <w:rPr>
          <w:rFonts w:eastAsia="Times New Roman" w:cs="Times New Roman"/>
          <w:lang w:eastAsia="en-AU"/>
        </w:rPr>
      </w:pPr>
      <w:r w:rsidRPr="00533187">
        <w:rPr>
          <w:rFonts w:eastAsia="Times New Roman" w:cs="Times New Roman"/>
          <w:lang w:eastAsia="en-AU"/>
        </w:rPr>
        <w:t xml:space="preserve">Teacher </w:t>
      </w:r>
      <w:r>
        <w:rPr>
          <w:rFonts w:eastAsia="Times New Roman" w:cs="Times New Roman"/>
          <w:lang w:eastAsia="en-AU"/>
        </w:rPr>
        <w:t>u</w:t>
      </w:r>
      <w:r w:rsidRPr="00533187">
        <w:rPr>
          <w:rFonts w:eastAsia="Times New Roman" w:cs="Times New Roman"/>
          <w:lang w:eastAsia="en-AU"/>
        </w:rPr>
        <w:t>se and familiarity with English</w:t>
      </w:r>
    </w:p>
    <w:p w14:paraId="0BF0DF4D" w14:textId="77777777" w:rsidR="00AC362E" w:rsidRPr="00533187" w:rsidRDefault="00AC362E" w:rsidP="00E91B91">
      <w:pPr>
        <w:pStyle w:val="ListParagraph"/>
        <w:numPr>
          <w:ilvl w:val="0"/>
          <w:numId w:val="8"/>
        </w:numPr>
        <w:ind w:left="1080"/>
        <w:rPr>
          <w:rFonts w:eastAsia="Times New Roman" w:cs="Times New Roman"/>
          <w:lang w:eastAsia="en-AU"/>
        </w:rPr>
      </w:pPr>
      <w:r w:rsidRPr="00533187">
        <w:rPr>
          <w:rFonts w:eastAsia="Times New Roman" w:cs="Times New Roman"/>
          <w:lang w:eastAsia="en-AU"/>
        </w:rPr>
        <w:t>Collaboration with other teachers on lesson plans</w:t>
      </w:r>
    </w:p>
    <w:p w14:paraId="32B333C9" w14:textId="77777777" w:rsidR="00AC362E" w:rsidRPr="00533187" w:rsidRDefault="00AC362E" w:rsidP="00E91B91">
      <w:pPr>
        <w:pStyle w:val="ListParagraph"/>
        <w:numPr>
          <w:ilvl w:val="0"/>
          <w:numId w:val="8"/>
        </w:numPr>
        <w:ind w:left="1080"/>
        <w:rPr>
          <w:rFonts w:eastAsia="Times New Roman" w:cs="Times New Roman"/>
          <w:lang w:eastAsia="en-AU"/>
        </w:rPr>
      </w:pPr>
      <w:r w:rsidRPr="00533187">
        <w:rPr>
          <w:rFonts w:eastAsia="Times New Roman" w:cs="Times New Roman"/>
          <w:lang w:eastAsia="en-AU"/>
        </w:rPr>
        <w:t xml:space="preserve">Assessment </w:t>
      </w:r>
      <w:r>
        <w:rPr>
          <w:rFonts w:eastAsia="Times New Roman" w:cs="Times New Roman"/>
          <w:lang w:eastAsia="en-AU"/>
        </w:rPr>
        <w:t>m</w:t>
      </w:r>
      <w:r w:rsidRPr="00533187">
        <w:rPr>
          <w:rFonts w:eastAsia="Times New Roman" w:cs="Times New Roman"/>
          <w:lang w:eastAsia="en-AU"/>
        </w:rPr>
        <w:t>ethods</w:t>
      </w:r>
    </w:p>
    <w:p w14:paraId="1FD6834F" w14:textId="77777777" w:rsidR="00AC362E" w:rsidRPr="00533187" w:rsidRDefault="00AC362E" w:rsidP="00E91B91">
      <w:pPr>
        <w:numPr>
          <w:ilvl w:val="0"/>
          <w:numId w:val="10"/>
        </w:numPr>
        <w:spacing w:after="0" w:line="257" w:lineRule="auto"/>
        <w:ind w:left="714" w:hanging="357"/>
        <w:contextualSpacing/>
        <w:rPr>
          <w:rFonts w:cs="Arial"/>
        </w:rPr>
      </w:pPr>
      <w:r w:rsidRPr="0072514B">
        <w:t xml:space="preserve">To what extent are </w:t>
      </w:r>
      <w:r>
        <w:t>School Leader</w:t>
      </w:r>
      <w:r w:rsidRPr="0072514B">
        <w:t>s implementing the leadership and managemen</w:t>
      </w:r>
      <w:r>
        <w:t>t, skills supported by KEIP </w:t>
      </w:r>
      <w:r w:rsidRPr="0072514B">
        <w:t>II</w:t>
      </w:r>
      <w:r>
        <w:t>,</w:t>
      </w:r>
      <w:r w:rsidRPr="0072514B">
        <w:t xml:space="preserve"> and is this likely </w:t>
      </w:r>
      <w:r>
        <w:t>to lead</w:t>
      </w:r>
      <w:r w:rsidRPr="0072514B">
        <w:t xml:space="preserve"> to better performance?</w:t>
      </w:r>
      <w:r>
        <w:t xml:space="preserve"> This question considers:</w:t>
      </w:r>
    </w:p>
    <w:p w14:paraId="037826A6"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533187">
        <w:rPr>
          <w:rFonts w:eastAsia="Times New Roman" w:cs="Times New Roman"/>
          <w:lang w:eastAsia="en-AU"/>
        </w:rPr>
        <w:t xml:space="preserve">Interactions between </w:t>
      </w:r>
      <w:r>
        <w:rPr>
          <w:rFonts w:eastAsia="Times New Roman" w:cs="Times New Roman"/>
          <w:lang w:eastAsia="en-AU"/>
        </w:rPr>
        <w:t>School Leader</w:t>
      </w:r>
      <w:r w:rsidRPr="00533187">
        <w:rPr>
          <w:rFonts w:eastAsia="Times New Roman" w:cs="Times New Roman"/>
          <w:lang w:eastAsia="en-AU"/>
        </w:rPr>
        <w:t>s and teachers</w:t>
      </w:r>
    </w:p>
    <w:p w14:paraId="336F6394" w14:textId="77777777" w:rsidR="00AC362E" w:rsidRPr="00533187" w:rsidRDefault="00AC362E" w:rsidP="00E91B91">
      <w:pPr>
        <w:pStyle w:val="ListParagraph"/>
        <w:numPr>
          <w:ilvl w:val="0"/>
          <w:numId w:val="8"/>
        </w:numPr>
        <w:ind w:left="1080"/>
        <w:rPr>
          <w:rFonts w:eastAsia="Times New Roman" w:cs="Times New Roman"/>
          <w:lang w:eastAsia="en-AU"/>
        </w:rPr>
      </w:pPr>
      <w:r>
        <w:rPr>
          <w:rFonts w:eastAsia="Times New Roman" w:cs="Times New Roman"/>
          <w:lang w:eastAsia="en-AU"/>
        </w:rPr>
        <w:t>Professional development for teachers</w:t>
      </w:r>
    </w:p>
    <w:p w14:paraId="534C0439" w14:textId="77777777" w:rsidR="00AC362E" w:rsidRPr="00533187" w:rsidRDefault="00AC362E" w:rsidP="00E91B91">
      <w:pPr>
        <w:pStyle w:val="ListParagraph"/>
        <w:numPr>
          <w:ilvl w:val="0"/>
          <w:numId w:val="8"/>
        </w:numPr>
        <w:ind w:left="1080"/>
        <w:rPr>
          <w:rFonts w:eastAsia="Times New Roman" w:cs="Times New Roman"/>
          <w:lang w:eastAsia="en-AU"/>
        </w:rPr>
      </w:pPr>
      <w:r w:rsidRPr="00533187">
        <w:rPr>
          <w:rFonts w:eastAsia="Times New Roman" w:cs="Times New Roman"/>
          <w:lang w:eastAsia="en-AU"/>
        </w:rPr>
        <w:t>Use of monitors in the classroom</w:t>
      </w:r>
    </w:p>
    <w:p w14:paraId="264AE848" w14:textId="77777777" w:rsidR="00AC362E" w:rsidRDefault="00AC362E" w:rsidP="00E91B91">
      <w:pPr>
        <w:numPr>
          <w:ilvl w:val="0"/>
          <w:numId w:val="10"/>
        </w:numPr>
        <w:spacing w:after="0" w:line="257" w:lineRule="auto"/>
        <w:ind w:left="714" w:hanging="357"/>
        <w:contextualSpacing/>
      </w:pPr>
      <w:r w:rsidRPr="00533187">
        <w:t xml:space="preserve">What has been the experience of the </w:t>
      </w:r>
      <w:r>
        <w:t>School Leader</w:t>
      </w:r>
      <w:r w:rsidRPr="00533187">
        <w:t>s in progressing improvements to education after the Community Consultation Team visits?</w:t>
      </w:r>
      <w:r>
        <w:t xml:space="preserve"> This question considers:</w:t>
      </w:r>
    </w:p>
    <w:p w14:paraId="22BDE960"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Pr>
          <w:rFonts w:eastAsia="Times New Roman" w:cs="Times New Roman"/>
          <w:lang w:eastAsia="en-AU"/>
        </w:rPr>
        <w:t>Support from parents for the school and participation in their children’s education</w:t>
      </w:r>
    </w:p>
    <w:p w14:paraId="6AAECBD5"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533187">
        <w:rPr>
          <w:rFonts w:eastAsia="Times New Roman" w:cs="Times New Roman"/>
          <w:lang w:eastAsia="en-AU"/>
        </w:rPr>
        <w:t>School committees</w:t>
      </w:r>
    </w:p>
    <w:p w14:paraId="4ECEA0EA" w14:textId="77777777" w:rsidR="00AC362E" w:rsidRDefault="00AC362E" w:rsidP="00E91B91">
      <w:pPr>
        <w:numPr>
          <w:ilvl w:val="0"/>
          <w:numId w:val="10"/>
        </w:numPr>
        <w:spacing w:before="240" w:after="0" w:line="257" w:lineRule="auto"/>
        <w:ind w:left="714" w:hanging="357"/>
        <w:contextualSpacing/>
      </w:pPr>
      <w:r w:rsidRPr="00533187">
        <w:t xml:space="preserve">To what extent are the SIPs focused on the community’s school improvement priorities SIP Committees and </w:t>
      </w:r>
      <w:r>
        <w:t>School Leader</w:t>
      </w:r>
      <w:r w:rsidRPr="00533187">
        <w:t>s demonstrating knowledge and understanding of SIPs, the SIPs being implemented, and are the improvements meaningful and significant?</w:t>
      </w:r>
      <w:r>
        <w:t xml:space="preserve"> This question considers:</w:t>
      </w:r>
    </w:p>
    <w:p w14:paraId="6800187B" w14:textId="77777777" w:rsidR="00AC362E" w:rsidRPr="003B00A3"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3B00A3">
        <w:rPr>
          <w:rFonts w:eastAsia="Times New Roman" w:cs="Times New Roman"/>
          <w:lang w:eastAsia="en-AU"/>
        </w:rPr>
        <w:t>SIP committees</w:t>
      </w:r>
    </w:p>
    <w:p w14:paraId="66B820F7"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533187">
        <w:rPr>
          <w:rFonts w:eastAsia="Times New Roman" w:cs="Times New Roman"/>
          <w:lang w:eastAsia="en-AU"/>
        </w:rPr>
        <w:t>Status and implementation of School Improvement Plans</w:t>
      </w:r>
    </w:p>
    <w:p w14:paraId="40D58E5B" w14:textId="77777777" w:rsidR="00AC362E" w:rsidRDefault="00AC362E" w:rsidP="00E91B91">
      <w:pPr>
        <w:numPr>
          <w:ilvl w:val="0"/>
          <w:numId w:val="10"/>
        </w:numPr>
        <w:spacing w:before="240" w:after="0" w:line="257" w:lineRule="auto"/>
        <w:ind w:left="714" w:hanging="357"/>
        <w:contextualSpacing/>
      </w:pPr>
      <w:r w:rsidRPr="00533187">
        <w:lastRenderedPageBreak/>
        <w:t xml:space="preserve">What has been the experience of </w:t>
      </w:r>
      <w:r>
        <w:t>s</w:t>
      </w:r>
      <w:r w:rsidRPr="00533187">
        <w:t>chool</w:t>
      </w:r>
      <w:r>
        <w:t>s</w:t>
      </w:r>
      <w:r w:rsidRPr="00533187">
        <w:t xml:space="preserve"> with implementing the access and participation work and to what extent has this provided actual, and a platform for future, access and participation improvements?</w:t>
      </w:r>
      <w:r>
        <w:t xml:space="preserve"> This question considers:</w:t>
      </w:r>
    </w:p>
    <w:p w14:paraId="5BC2FEBE"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533187">
        <w:rPr>
          <w:rFonts w:eastAsia="Times New Roman" w:cs="Times New Roman"/>
          <w:lang w:eastAsia="en-AU"/>
        </w:rPr>
        <w:t>Managing school attendance</w:t>
      </w:r>
    </w:p>
    <w:p w14:paraId="62B39603"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533187">
        <w:rPr>
          <w:rFonts w:eastAsia="Times New Roman" w:cs="Times New Roman"/>
          <w:lang w:eastAsia="en-AU"/>
        </w:rPr>
        <w:t>Managing inclusiveness in education</w:t>
      </w:r>
    </w:p>
    <w:p w14:paraId="1E8EECE0" w14:textId="77777777" w:rsidR="00AC362E" w:rsidRPr="00533187" w:rsidRDefault="00AC362E" w:rsidP="00E91B91">
      <w:pPr>
        <w:numPr>
          <w:ilvl w:val="0"/>
          <w:numId w:val="10"/>
        </w:numPr>
        <w:spacing w:before="240" w:after="0" w:line="257" w:lineRule="auto"/>
        <w:ind w:left="714" w:hanging="357"/>
        <w:contextualSpacing/>
      </w:pPr>
      <w:r w:rsidRPr="0072514B">
        <w:t>To what extent has the refurbishment in schools led to greater demand for education, and an environment conducive to teaching and learning?</w:t>
      </w:r>
      <w:r>
        <w:t xml:space="preserve"> This question considers:</w:t>
      </w:r>
    </w:p>
    <w:p w14:paraId="6C22038C" w14:textId="77777777" w:rsidR="00AC362E" w:rsidRPr="00533187" w:rsidRDefault="00AC362E" w:rsidP="00E91B91">
      <w:pPr>
        <w:pStyle w:val="ListParagraph"/>
        <w:numPr>
          <w:ilvl w:val="0"/>
          <w:numId w:val="8"/>
        </w:numPr>
        <w:spacing w:before="0" w:beforeAutospacing="0" w:after="0" w:afterAutospacing="0"/>
        <w:ind w:left="1077" w:hanging="357"/>
        <w:rPr>
          <w:rFonts w:eastAsia="Times New Roman" w:cs="Times New Roman"/>
          <w:lang w:eastAsia="en-AU"/>
        </w:rPr>
      </w:pPr>
      <w:r w:rsidRPr="00533187">
        <w:rPr>
          <w:rFonts w:eastAsia="Times New Roman" w:cs="Times New Roman"/>
          <w:lang w:eastAsia="en-AU"/>
        </w:rPr>
        <w:t>The impact of refurbished buildings on student and teacher behaviour</w:t>
      </w:r>
    </w:p>
    <w:p w14:paraId="6FEEF835" w14:textId="77777777" w:rsidR="00AC362E" w:rsidRPr="003B00A3" w:rsidRDefault="00AC362E" w:rsidP="00ED0631">
      <w:pPr>
        <w:spacing w:before="240"/>
        <w:rPr>
          <w:rFonts w:cs="Arial"/>
        </w:rPr>
      </w:pPr>
      <w:r w:rsidRPr="003B00A3">
        <w:rPr>
          <w:rFonts w:cs="Arial"/>
        </w:rPr>
        <w:t>For each of the above questions the challenges and barriers experienced by school leaders, teachers, students and the community are explored and possible mitigation strategies are considered.</w:t>
      </w:r>
    </w:p>
    <w:p w14:paraId="3DB50E41" w14:textId="77777777" w:rsidR="00AC362E" w:rsidRDefault="00AC362E" w:rsidP="00184429">
      <w:pPr>
        <w:pStyle w:val="Heading2"/>
      </w:pPr>
      <w:bookmarkStart w:id="129" w:name="_Toc461615747"/>
      <w:r>
        <w:t>1.4</w:t>
      </w:r>
      <w:r>
        <w:tab/>
        <w:t>Methods</w:t>
      </w:r>
      <w:bookmarkEnd w:id="129"/>
    </w:p>
    <w:p w14:paraId="65F096F9" w14:textId="77777777" w:rsidR="00AC362E" w:rsidRPr="002A4BF7" w:rsidRDefault="00AC362E" w:rsidP="00ED0631">
      <w:pPr>
        <w:spacing w:before="240"/>
        <w:rPr>
          <w:rFonts w:cs="Arial"/>
        </w:rPr>
      </w:pPr>
      <w:r>
        <w:rPr>
          <w:rFonts w:cs="Arial"/>
        </w:rPr>
        <w:t>The Research Brief which details the three strands of research covered in this report</w:t>
      </w:r>
      <w:r w:rsidRPr="002A4BF7">
        <w:rPr>
          <w:rFonts w:cs="Arial"/>
        </w:rPr>
        <w:t xml:space="preserve"> is provided as </w:t>
      </w:r>
      <w:r w:rsidRPr="00B47B0C">
        <w:rPr>
          <w:rFonts w:cs="Arial"/>
          <w:i/>
        </w:rPr>
        <w:t>Annex 1</w:t>
      </w:r>
      <w:r w:rsidRPr="00B47B0C">
        <w:rPr>
          <w:rFonts w:cs="Arial"/>
        </w:rPr>
        <w:t>.</w:t>
      </w:r>
    </w:p>
    <w:p w14:paraId="59DCB39C" w14:textId="77777777" w:rsidR="00AC362E" w:rsidRDefault="00AC362E" w:rsidP="00ED0631">
      <w:pPr>
        <w:widowControl w:val="0"/>
        <w:autoSpaceDE w:val="0"/>
        <w:autoSpaceDN w:val="0"/>
        <w:adjustRightInd w:val="0"/>
        <w:spacing w:after="120"/>
        <w:rPr>
          <w:rFonts w:cs="Arial"/>
        </w:rPr>
      </w:pPr>
      <w:r w:rsidRPr="002A4BF7">
        <w:rPr>
          <w:rFonts w:cs="Arial"/>
        </w:rPr>
        <w:t>Mixed quantitative and qualitative methods were used. The SED was primarily quantitative based on surveys of school leaders, teachers, and the community and supplemented by a checklist for collection of administrative data.</w:t>
      </w:r>
      <w:r>
        <w:rPr>
          <w:rFonts w:cs="Arial"/>
        </w:rPr>
        <w:t xml:space="preserve"> </w:t>
      </w:r>
      <w:r w:rsidRPr="002A4BF7">
        <w:rPr>
          <w:rFonts w:cs="Arial"/>
        </w:rPr>
        <w:t xml:space="preserve">The case studies were qualitative in nature and included interviews with </w:t>
      </w:r>
      <w:r>
        <w:rPr>
          <w:rFonts w:cs="Arial"/>
        </w:rPr>
        <w:t>School Leader</w:t>
      </w:r>
      <w:r w:rsidRPr="002A4BF7">
        <w:rPr>
          <w:rFonts w:cs="Arial"/>
        </w:rPr>
        <w:t>s, group interviews with teachers, school committees and SIP committees, and classroom observation.</w:t>
      </w:r>
      <w:r>
        <w:rPr>
          <w:rFonts w:cs="Arial"/>
        </w:rPr>
        <w:t xml:space="preserve"> </w:t>
      </w:r>
    </w:p>
    <w:p w14:paraId="02E349C2" w14:textId="77777777" w:rsidR="00AC362E" w:rsidRPr="002A4BF7" w:rsidRDefault="00AC362E" w:rsidP="00ED0631">
      <w:pPr>
        <w:widowControl w:val="0"/>
        <w:autoSpaceDE w:val="0"/>
        <w:autoSpaceDN w:val="0"/>
        <w:adjustRightInd w:val="0"/>
        <w:spacing w:after="120"/>
        <w:rPr>
          <w:rFonts w:cs="Arial"/>
        </w:rPr>
      </w:pPr>
      <w:r>
        <w:rPr>
          <w:rFonts w:cs="Arial"/>
        </w:rPr>
        <w:t>Comparison of SED data with CSR observations and findings allowed a measure of triangulation of data. Some common issues were encountered across case study schools but beyond this the ability to generalise across case studies is limited. Rather it was hoped that a range of different schools would offer different perspectives on the questions considered.</w:t>
      </w:r>
    </w:p>
    <w:p w14:paraId="64914209" w14:textId="77777777" w:rsidR="00AC362E" w:rsidRDefault="00AC362E" w:rsidP="00184429">
      <w:pPr>
        <w:pStyle w:val="Heading2"/>
      </w:pPr>
      <w:bookmarkStart w:id="130" w:name="_Toc461615748"/>
      <w:r>
        <w:t>1.5</w:t>
      </w:r>
      <w:r>
        <w:tab/>
        <w:t>Authors</w:t>
      </w:r>
      <w:bookmarkEnd w:id="130"/>
    </w:p>
    <w:p w14:paraId="339F33B5" w14:textId="77777777" w:rsidR="00AC362E" w:rsidRPr="00B05C1D" w:rsidRDefault="00AC362E" w:rsidP="00ED0631">
      <w:pPr>
        <w:widowControl w:val="0"/>
        <w:autoSpaceDE w:val="0"/>
        <w:autoSpaceDN w:val="0"/>
        <w:adjustRightInd w:val="0"/>
        <w:spacing w:after="120"/>
        <w:rPr>
          <w:rFonts w:cs="Arial"/>
        </w:rPr>
      </w:pPr>
      <w:r w:rsidRPr="00B05C1D">
        <w:rPr>
          <w:rFonts w:cs="Arial"/>
        </w:rPr>
        <w:t xml:space="preserve">This report was commissioned by Coffey International Development as Managing Contractor of the Kiribati Education Improvement Program Phase 2 (KEIP II).—an Australian Government, initiative funded under the Kiribati Education Facility. </w:t>
      </w:r>
    </w:p>
    <w:p w14:paraId="7D8F6876" w14:textId="77777777" w:rsidR="00AC362E" w:rsidRPr="00B05C1D" w:rsidRDefault="00AC362E" w:rsidP="00ED0631">
      <w:pPr>
        <w:widowControl w:val="0"/>
        <w:autoSpaceDE w:val="0"/>
        <w:autoSpaceDN w:val="0"/>
        <w:adjustRightInd w:val="0"/>
        <w:spacing w:after="120"/>
        <w:rPr>
          <w:rFonts w:cs="Arial"/>
        </w:rPr>
      </w:pPr>
      <w:r w:rsidRPr="00B05C1D">
        <w:rPr>
          <w:rFonts w:cs="Arial"/>
        </w:rPr>
        <w:t>The Literature Review was conducted by Merve Hosgelen, the School Engagement Data was collected under KEIP II and analysed by the KEIP II M&amp;E Adviser Andrew Kibblewhite and the Case Studies were conducted by Simon Payne, Tatai</w:t>
      </w:r>
      <w:r>
        <w:rPr>
          <w:rFonts w:cs="Arial"/>
        </w:rPr>
        <w:t xml:space="preserve"> Teburoro</w:t>
      </w:r>
      <w:r w:rsidRPr="00B05C1D">
        <w:rPr>
          <w:rFonts w:cs="Arial"/>
        </w:rPr>
        <w:t xml:space="preserve"> and Tanguru</w:t>
      </w:r>
      <w:r>
        <w:rPr>
          <w:rFonts w:cs="Arial"/>
        </w:rPr>
        <w:t xml:space="preserve"> Borau</w:t>
      </w:r>
      <w:r w:rsidRPr="00B05C1D">
        <w:rPr>
          <w:rFonts w:cs="Arial"/>
        </w:rPr>
        <w:t>.</w:t>
      </w:r>
      <w:r>
        <w:rPr>
          <w:rFonts w:cs="Arial"/>
        </w:rPr>
        <w:t xml:space="preserve"> </w:t>
      </w:r>
      <w:r w:rsidRPr="00B05C1D">
        <w:rPr>
          <w:rFonts w:cs="Arial"/>
        </w:rPr>
        <w:t>This report synthesising the three strands of research was prepared by Simon Payne.</w:t>
      </w:r>
    </w:p>
    <w:p w14:paraId="01A7828A" w14:textId="77777777" w:rsidR="00AC362E" w:rsidRDefault="00AC362E" w:rsidP="00184429">
      <w:pPr>
        <w:pStyle w:val="Heading2"/>
      </w:pPr>
      <w:bookmarkStart w:id="131" w:name="_Toc461615749"/>
      <w:r>
        <w:t>1.6</w:t>
      </w:r>
      <w:r>
        <w:tab/>
        <w:t>Limitations</w:t>
      </w:r>
      <w:bookmarkEnd w:id="131"/>
    </w:p>
    <w:p w14:paraId="12478B6D" w14:textId="77777777" w:rsidR="00AC362E" w:rsidRDefault="00AC362E" w:rsidP="00ED0631">
      <w:pPr>
        <w:widowControl w:val="0"/>
        <w:autoSpaceDE w:val="0"/>
        <w:autoSpaceDN w:val="0"/>
        <w:adjustRightInd w:val="0"/>
        <w:spacing w:after="120"/>
        <w:rPr>
          <w:rFonts w:cs="Arial"/>
        </w:rPr>
      </w:pPr>
      <w:r w:rsidRPr="00A343BA">
        <w:rPr>
          <w:rFonts w:cs="Arial"/>
        </w:rPr>
        <w:t>The SED experienced significant delays in data collection due to aircraft failures and travel delays.</w:t>
      </w:r>
      <w:r>
        <w:rPr>
          <w:rFonts w:cs="Arial"/>
        </w:rPr>
        <w:t xml:space="preserve"> </w:t>
      </w:r>
      <w:r w:rsidRPr="00A343BA">
        <w:rPr>
          <w:rFonts w:cs="Arial"/>
        </w:rPr>
        <w:t>This meant that the two local researchers required for the CSR had to transfer off of SED data collection which further delayed SED data collection.</w:t>
      </w:r>
      <w:r>
        <w:rPr>
          <w:rFonts w:cs="Arial"/>
        </w:rPr>
        <w:t xml:space="preserve"> Data analysis also took longer than anticipated. </w:t>
      </w:r>
      <w:r w:rsidRPr="00A343BA">
        <w:rPr>
          <w:rFonts w:cs="Arial"/>
        </w:rPr>
        <w:t xml:space="preserve">As a result of these delays the SED results were only available </w:t>
      </w:r>
      <w:r>
        <w:rPr>
          <w:rFonts w:cs="Arial"/>
        </w:rPr>
        <w:t xml:space="preserve">several weeks </w:t>
      </w:r>
      <w:r w:rsidRPr="00A343BA">
        <w:rPr>
          <w:rFonts w:cs="Arial"/>
        </w:rPr>
        <w:t>after the CSR had been completed.</w:t>
      </w:r>
      <w:r>
        <w:rPr>
          <w:rFonts w:cs="Arial"/>
        </w:rPr>
        <w:t xml:space="preserve"> </w:t>
      </w:r>
    </w:p>
    <w:p w14:paraId="5DBC9D47" w14:textId="77777777" w:rsidR="00AC362E" w:rsidRPr="00A343BA" w:rsidRDefault="00AC362E" w:rsidP="00ED0631">
      <w:pPr>
        <w:widowControl w:val="0"/>
        <w:autoSpaceDE w:val="0"/>
        <w:autoSpaceDN w:val="0"/>
        <w:adjustRightInd w:val="0"/>
        <w:spacing w:after="120"/>
        <w:rPr>
          <w:rFonts w:cs="Arial"/>
        </w:rPr>
      </w:pPr>
      <w:r>
        <w:rPr>
          <w:rFonts w:cs="Arial"/>
        </w:rPr>
        <w:t>Literature Review questions were broad and it was necessary to focus on what was expected to be of most use to the MOE. Even so, the range of international experience in some topics, most notably assessment is so broad that it was necessary to restrict consideration even further. Priority was given to contexts similar to Kiribati, then other developing country contexts and finally broader international experience. Where possible preference was given to literature based on experimental research results.</w:t>
      </w:r>
    </w:p>
    <w:p w14:paraId="27EA997A" w14:textId="77777777" w:rsidR="00AC362E" w:rsidRPr="00A343BA" w:rsidRDefault="00AC362E" w:rsidP="00ED0631">
      <w:pPr>
        <w:widowControl w:val="0"/>
        <w:autoSpaceDE w:val="0"/>
        <w:autoSpaceDN w:val="0"/>
        <w:adjustRightInd w:val="0"/>
        <w:spacing w:after="120"/>
        <w:rPr>
          <w:rFonts w:cs="Arial"/>
        </w:rPr>
      </w:pPr>
      <w:r w:rsidRPr="00A343BA">
        <w:rPr>
          <w:rFonts w:cs="Arial"/>
        </w:rPr>
        <w:t>The main limitation for the CSR was one of language.</w:t>
      </w:r>
      <w:r>
        <w:rPr>
          <w:rFonts w:cs="Arial"/>
        </w:rPr>
        <w:t xml:space="preserve"> </w:t>
      </w:r>
      <w:r w:rsidRPr="00A343BA">
        <w:rPr>
          <w:rFonts w:cs="Arial"/>
        </w:rPr>
        <w:t xml:space="preserve">The </w:t>
      </w:r>
      <w:r>
        <w:rPr>
          <w:rFonts w:cs="Arial"/>
        </w:rPr>
        <w:t xml:space="preserve">CSR </w:t>
      </w:r>
      <w:r w:rsidRPr="00A343BA">
        <w:rPr>
          <w:rFonts w:cs="Arial"/>
        </w:rPr>
        <w:t xml:space="preserve">Consultant was able to participate in some interviews, particularly of Head Teachers but most interviews were conducted in Te-Kiribati by the </w:t>
      </w:r>
      <w:r>
        <w:rPr>
          <w:rFonts w:cs="Arial"/>
        </w:rPr>
        <w:t>local researchers</w:t>
      </w:r>
      <w:r w:rsidRPr="00A343BA">
        <w:rPr>
          <w:rFonts w:cs="Arial"/>
        </w:rPr>
        <w:t xml:space="preserve"> with the </w:t>
      </w:r>
      <w:r>
        <w:rPr>
          <w:rFonts w:cs="Arial"/>
        </w:rPr>
        <w:t xml:space="preserve">CSR </w:t>
      </w:r>
      <w:r w:rsidRPr="00A343BA">
        <w:rPr>
          <w:rFonts w:cs="Arial"/>
        </w:rPr>
        <w:t>Consultant observing.</w:t>
      </w:r>
      <w:r>
        <w:rPr>
          <w:rFonts w:cs="Arial"/>
        </w:rPr>
        <w:t xml:space="preserve"> </w:t>
      </w:r>
      <w:r w:rsidRPr="00A343BA">
        <w:rPr>
          <w:rFonts w:cs="Arial"/>
        </w:rPr>
        <w:t xml:space="preserve">Both local researchers had excellent English and wrote detailed notes in English for the </w:t>
      </w:r>
      <w:r>
        <w:rPr>
          <w:rFonts w:cs="Arial"/>
        </w:rPr>
        <w:t xml:space="preserve">CSR </w:t>
      </w:r>
      <w:r w:rsidRPr="00A343BA">
        <w:rPr>
          <w:rFonts w:cs="Arial"/>
        </w:rPr>
        <w:t>Consultant.</w:t>
      </w:r>
      <w:r>
        <w:rPr>
          <w:rFonts w:cs="Arial"/>
        </w:rPr>
        <w:t xml:space="preserve"> They were also experienced researchers who had previously participated in the SED data collection. Some additional training on open-ended interviewing techniques was provided but both researchers proved to be very proficient at </w:t>
      </w:r>
      <w:r>
        <w:rPr>
          <w:rFonts w:cs="Arial"/>
        </w:rPr>
        <w:lastRenderedPageBreak/>
        <w:t xml:space="preserve">this and worked well to explore interesting avenues of information while at the same time keeping interviews on track. </w:t>
      </w:r>
      <w:r w:rsidRPr="00A343BA">
        <w:rPr>
          <w:rFonts w:cs="Arial"/>
        </w:rPr>
        <w:t>At the conclusion of each school visit</w:t>
      </w:r>
      <w:r>
        <w:rPr>
          <w:rFonts w:cs="Arial"/>
        </w:rPr>
        <w:t>,</w:t>
      </w:r>
      <w:r w:rsidRPr="00A343BA">
        <w:rPr>
          <w:rFonts w:cs="Arial"/>
        </w:rPr>
        <w:t xml:space="preserve"> a </w:t>
      </w:r>
      <w:r>
        <w:rPr>
          <w:rFonts w:cs="Arial"/>
        </w:rPr>
        <w:t>debrief</w:t>
      </w:r>
      <w:r w:rsidRPr="00A343BA">
        <w:rPr>
          <w:rFonts w:cs="Arial"/>
        </w:rPr>
        <w:t xml:space="preserve"> was conducted </w:t>
      </w:r>
      <w:r>
        <w:rPr>
          <w:rFonts w:cs="Arial"/>
        </w:rPr>
        <w:t>to compile an</w:t>
      </w:r>
      <w:r w:rsidRPr="00A343BA">
        <w:rPr>
          <w:rFonts w:cs="Arial"/>
        </w:rPr>
        <w:t xml:space="preserve"> agreed set of notes against </w:t>
      </w:r>
      <w:r>
        <w:rPr>
          <w:rFonts w:cs="Arial"/>
        </w:rPr>
        <w:t xml:space="preserve">each of the </w:t>
      </w:r>
      <w:r w:rsidRPr="00A343BA">
        <w:rPr>
          <w:rFonts w:cs="Arial"/>
        </w:rPr>
        <w:t>study topics.</w:t>
      </w:r>
      <w:r>
        <w:rPr>
          <w:rFonts w:cs="Arial"/>
        </w:rPr>
        <w:t xml:space="preserve"> </w:t>
      </w:r>
      <w:r w:rsidRPr="00A343BA">
        <w:rPr>
          <w:rFonts w:cs="Arial"/>
        </w:rPr>
        <w:t>Where there were differences in opinion or observations, as frequently occurred when observing teaching in different classrooms</w:t>
      </w:r>
      <w:r>
        <w:rPr>
          <w:rFonts w:cs="Arial"/>
        </w:rPr>
        <w:t xml:space="preserve"> and across Years</w:t>
      </w:r>
      <w:r w:rsidRPr="00A343BA">
        <w:rPr>
          <w:rFonts w:cs="Arial"/>
        </w:rPr>
        <w:t>, these differences were noted in the debrief report.</w:t>
      </w:r>
    </w:p>
    <w:p w14:paraId="6E0EB608" w14:textId="77777777" w:rsidR="00AC362E" w:rsidRPr="00A343BA" w:rsidRDefault="00AC362E" w:rsidP="00ED0631">
      <w:pPr>
        <w:widowControl w:val="0"/>
        <w:autoSpaceDE w:val="0"/>
        <w:autoSpaceDN w:val="0"/>
        <w:adjustRightInd w:val="0"/>
        <w:spacing w:after="120"/>
        <w:rPr>
          <w:rFonts w:cs="Arial"/>
        </w:rPr>
      </w:pPr>
      <w:r w:rsidRPr="00A343BA">
        <w:rPr>
          <w:rFonts w:cs="Arial"/>
        </w:rPr>
        <w:t xml:space="preserve">The amount of time available for the </w:t>
      </w:r>
      <w:r>
        <w:rPr>
          <w:rFonts w:cs="Arial"/>
        </w:rPr>
        <w:t>eight</w:t>
      </w:r>
      <w:r w:rsidRPr="00A343BA">
        <w:rPr>
          <w:rFonts w:cs="Arial"/>
        </w:rPr>
        <w:t xml:space="preserve"> case studies is very limited and</w:t>
      </w:r>
      <w:r>
        <w:rPr>
          <w:rFonts w:cs="Arial"/>
        </w:rPr>
        <w:t xml:space="preserve"> was</w:t>
      </w:r>
      <w:r w:rsidRPr="00A343BA">
        <w:rPr>
          <w:rFonts w:cs="Arial"/>
        </w:rPr>
        <w:t xml:space="preserve"> constrained by flight availability and availability of key respondents.</w:t>
      </w:r>
      <w:r>
        <w:rPr>
          <w:rFonts w:cs="Arial"/>
        </w:rPr>
        <w:t xml:space="preserve"> </w:t>
      </w:r>
      <w:r w:rsidRPr="00A343BA">
        <w:rPr>
          <w:rFonts w:cs="Arial"/>
        </w:rPr>
        <w:t>There was almost no margin to deal with unexpected delays.</w:t>
      </w:r>
      <w:r>
        <w:rPr>
          <w:rFonts w:cs="Arial"/>
        </w:rPr>
        <w:t xml:space="preserve"> </w:t>
      </w:r>
      <w:r w:rsidRPr="00A343BA">
        <w:rPr>
          <w:rFonts w:cs="Arial"/>
        </w:rPr>
        <w:t>Because of limited time in Tarawa and the occurrence of public holidays and education events it was necessary to conduct the two Tarawa case studies in several parts at the beginning and end of the in-country research.</w:t>
      </w:r>
      <w:r>
        <w:rPr>
          <w:rFonts w:cs="Arial"/>
        </w:rPr>
        <w:t xml:space="preserve"> </w:t>
      </w:r>
      <w:r w:rsidRPr="00AF20EC">
        <w:rPr>
          <w:rFonts w:cs="Arial"/>
        </w:rPr>
        <w:t>While this afforded the opportunity to visit these schools on multiple occasions it</w:t>
      </w:r>
      <w:r>
        <w:rPr>
          <w:rFonts w:cs="Arial"/>
        </w:rPr>
        <w:t>,</w:t>
      </w:r>
      <w:r w:rsidRPr="00AF20EC">
        <w:rPr>
          <w:rFonts w:cs="Arial"/>
        </w:rPr>
        <w:t xml:space="preserve"> nevertheless</w:t>
      </w:r>
      <w:r>
        <w:rPr>
          <w:rFonts w:cs="Arial"/>
        </w:rPr>
        <w:t>,</w:t>
      </w:r>
      <w:r w:rsidRPr="00AF20EC">
        <w:rPr>
          <w:rFonts w:cs="Arial"/>
        </w:rPr>
        <w:t xml:space="preserve"> disrupted the data gathering flow and meant that debriefs relied much more on notes taken than was the case when compiled directly after school visits.</w:t>
      </w:r>
    </w:p>
    <w:p w14:paraId="456A5382" w14:textId="77777777" w:rsidR="00AC362E" w:rsidRPr="00A343BA" w:rsidRDefault="00AC362E" w:rsidP="00ED0631">
      <w:pPr>
        <w:widowControl w:val="0"/>
        <w:autoSpaceDE w:val="0"/>
        <w:autoSpaceDN w:val="0"/>
        <w:adjustRightInd w:val="0"/>
        <w:spacing w:after="120"/>
        <w:rPr>
          <w:rFonts w:cs="Arial"/>
        </w:rPr>
      </w:pPr>
      <w:r w:rsidRPr="00614FB5">
        <w:rPr>
          <w:rFonts w:cs="Arial"/>
        </w:rPr>
        <w:t xml:space="preserve">The KEIP II M&amp;E Adviser was responsible for analysis of the SED and since he was completing his last assignment for KEIP II he was under considerable pressure to produce the analysis. He worked with the </w:t>
      </w:r>
      <w:r>
        <w:rPr>
          <w:rFonts w:cs="Arial"/>
        </w:rPr>
        <w:t xml:space="preserve">CSR </w:t>
      </w:r>
      <w:r w:rsidRPr="00614FB5">
        <w:rPr>
          <w:rFonts w:cs="Arial"/>
        </w:rPr>
        <w:t xml:space="preserve">Consultant to produce an agreed set </w:t>
      </w:r>
      <w:r>
        <w:rPr>
          <w:rFonts w:cs="Arial"/>
        </w:rPr>
        <w:t xml:space="preserve">of </w:t>
      </w:r>
      <w:r w:rsidRPr="00614FB5">
        <w:rPr>
          <w:rFonts w:cs="Arial"/>
        </w:rPr>
        <w:t xml:space="preserve">tables and cross tabulations which would constitute a viable information base for this </w:t>
      </w:r>
      <w:r>
        <w:rPr>
          <w:rFonts w:cs="Arial"/>
        </w:rPr>
        <w:t>Synthesis Report</w:t>
      </w:r>
      <w:r w:rsidRPr="00614FB5">
        <w:rPr>
          <w:rFonts w:cs="Arial"/>
        </w:rPr>
        <w:t xml:space="preserve">. There was no opportunity for the M&amp;E Adviser and </w:t>
      </w:r>
      <w:r>
        <w:rPr>
          <w:rFonts w:cs="Arial"/>
        </w:rPr>
        <w:t>CSR</w:t>
      </w:r>
      <w:r w:rsidRPr="00614FB5">
        <w:rPr>
          <w:rFonts w:cs="Arial"/>
        </w:rPr>
        <w:t xml:space="preserve"> Consultant to discuss these results.</w:t>
      </w:r>
    </w:p>
    <w:p w14:paraId="1B126CC8" w14:textId="77777777" w:rsidR="00AC362E" w:rsidRDefault="00AC362E" w:rsidP="00ED0631">
      <w:pPr>
        <w:widowControl w:val="0"/>
        <w:autoSpaceDE w:val="0"/>
        <w:autoSpaceDN w:val="0"/>
        <w:adjustRightInd w:val="0"/>
        <w:spacing w:after="120"/>
        <w:rPr>
          <w:rFonts w:cs="Arial"/>
        </w:rPr>
      </w:pPr>
      <w:r>
        <w:rPr>
          <w:rFonts w:cs="Arial"/>
        </w:rPr>
        <w:t>Finally, s</w:t>
      </w:r>
      <w:r w:rsidRPr="00A343BA">
        <w:rPr>
          <w:rFonts w:cs="Arial"/>
        </w:rPr>
        <w:t xml:space="preserve">ome of the research questions have been broadened from their original form to take in the experience of </w:t>
      </w:r>
      <w:r>
        <w:rPr>
          <w:rFonts w:cs="Arial"/>
        </w:rPr>
        <w:t xml:space="preserve">a wider range of schools, in the case of inclusiveness and attendance, and to recognise the wider participation of community in schools beyond that envisaged in the original design of community consultation teams. </w:t>
      </w:r>
    </w:p>
    <w:p w14:paraId="2CE4043B" w14:textId="77777777" w:rsidR="00AC362E" w:rsidRPr="00A343BA" w:rsidRDefault="00AC362E" w:rsidP="00ED0631">
      <w:pPr>
        <w:widowControl w:val="0"/>
        <w:autoSpaceDE w:val="0"/>
        <w:autoSpaceDN w:val="0"/>
        <w:adjustRightInd w:val="0"/>
        <w:spacing w:after="0"/>
        <w:rPr>
          <w:rFonts w:cs="Arial"/>
        </w:rPr>
      </w:pPr>
      <w:r>
        <w:rPr>
          <w:rFonts w:cs="Arial"/>
        </w:rPr>
        <w:t>In some schools the SIP and School Committees were the same but in most schools while comprised of different individuals the two committees effectively functioned as one. Where this occurred the members were interviewed using the relevant questions from each interview protocol.</w:t>
      </w:r>
    </w:p>
    <w:p w14:paraId="42832187" w14:textId="77777777" w:rsidR="00AC362E" w:rsidRDefault="00AC362E" w:rsidP="00ED0631">
      <w:pPr>
        <w:pStyle w:val="Heading1"/>
        <w:spacing w:before="240"/>
        <w:rPr>
          <w:rFonts w:eastAsia="Times New Roman"/>
          <w:lang w:eastAsia="en-AU"/>
        </w:rPr>
      </w:pPr>
      <w:bookmarkStart w:id="132" w:name="_Toc461615750"/>
      <w:r>
        <w:rPr>
          <w:rFonts w:eastAsia="Times New Roman"/>
          <w:lang w:eastAsia="en-AU"/>
        </w:rPr>
        <w:t>2</w:t>
      </w:r>
      <w:r>
        <w:rPr>
          <w:rFonts w:eastAsia="Times New Roman"/>
          <w:lang w:eastAsia="en-AU"/>
        </w:rPr>
        <w:tab/>
        <w:t>Background</w:t>
      </w:r>
      <w:bookmarkEnd w:id="132"/>
    </w:p>
    <w:p w14:paraId="3BAA0692" w14:textId="77777777" w:rsidR="00AC362E" w:rsidRPr="000168FC" w:rsidRDefault="00AC362E" w:rsidP="00ED0631">
      <w:pPr>
        <w:widowControl w:val="0"/>
        <w:autoSpaceDE w:val="0"/>
        <w:autoSpaceDN w:val="0"/>
        <w:adjustRightInd w:val="0"/>
        <w:spacing w:after="120"/>
        <w:rPr>
          <w:rFonts w:cs="Arial"/>
        </w:rPr>
      </w:pPr>
      <w:r w:rsidRPr="000168FC">
        <w:rPr>
          <w:rFonts w:cs="Arial"/>
        </w:rPr>
        <w:t xml:space="preserve">With a total land mass of 811 km, Kiribati is a politically stable South Pacific nation facing serious development challenges. The cost of delivering essential services such as water supply and sanitation, education, health and transport to a population on 23 settled island atolls is high. Meanwhile the Government of Kiribati (GoK) has limited sources of revenue which is constrained by geographic isolation, a small population base, limited natural resources, a narrow export base, poorly developed state-owned and private sector enterprises and significant potential threats from climate change. Employment opportunities are limited and the GoK recognises that improving the quality and relevance of Kiribati school education, for knowledge and skills acquisition, is critical for the country’s future. Accordingly, reform of basic education is central to the Kiribati Development Plan (KDP), and both the current and future Education Sector Strategic Plans (ESSP). </w:t>
      </w:r>
    </w:p>
    <w:p w14:paraId="04CAD04E" w14:textId="77777777" w:rsidR="00AC362E" w:rsidRPr="000168FC" w:rsidRDefault="00AC362E" w:rsidP="00ED0631">
      <w:pPr>
        <w:widowControl w:val="0"/>
        <w:autoSpaceDE w:val="0"/>
        <w:autoSpaceDN w:val="0"/>
        <w:adjustRightInd w:val="0"/>
        <w:spacing w:after="120"/>
        <w:rPr>
          <w:rFonts w:cs="Arial"/>
        </w:rPr>
      </w:pPr>
      <w:r w:rsidRPr="000168FC">
        <w:rPr>
          <w:rFonts w:cs="Arial"/>
        </w:rPr>
        <w:t>The Kiribati Education Improvement Program (KEIP) is the main development program through which Australia supports the implementation of the ESSP. KEIP is a multi-donor education support program designed to enable education reform in Kiribati. It provides a framework within which donor partners can support the GoK address its most pressing education issues.</w:t>
      </w:r>
    </w:p>
    <w:p w14:paraId="73A5FBD4" w14:textId="77777777" w:rsidR="00AC362E" w:rsidRPr="000168FC" w:rsidRDefault="00AC362E" w:rsidP="00ED0631">
      <w:pPr>
        <w:widowControl w:val="0"/>
        <w:autoSpaceDE w:val="0"/>
        <w:autoSpaceDN w:val="0"/>
        <w:adjustRightInd w:val="0"/>
        <w:spacing w:after="120"/>
        <w:rPr>
          <w:rFonts w:cs="Arial"/>
        </w:rPr>
      </w:pPr>
      <w:r w:rsidRPr="000168FC">
        <w:rPr>
          <w:rFonts w:cs="Arial"/>
        </w:rPr>
        <w:t xml:space="preserve">The current phase of KEIP (2013-2015) is focused on ensuring all children in Kiribati have access to quality schooling and that progress is being made towards a net primary completion rate of 100 per cent. During this phase, particular attention has been given to improving the Te-Kiribati language, literacy and numeracy skills of all children in Years 1-4, and to improving the management, funding and inclusiveness of the education system. Most recently, KEIP has supported curriculum development and implementation; strengthened the capabilities of teachers; improved school infrastructure; enhanced school community partnerships; and strengthened MoE’s capacity to plan, monitor and improve performance. </w:t>
      </w:r>
    </w:p>
    <w:p w14:paraId="41BAD666" w14:textId="77777777" w:rsidR="00AC362E" w:rsidRPr="000168FC" w:rsidRDefault="00AC362E" w:rsidP="00ED0631">
      <w:pPr>
        <w:widowControl w:val="0"/>
        <w:autoSpaceDE w:val="0"/>
        <w:autoSpaceDN w:val="0"/>
        <w:adjustRightInd w:val="0"/>
        <w:spacing w:after="120"/>
        <w:rPr>
          <w:rFonts w:cs="Arial"/>
        </w:rPr>
      </w:pPr>
      <w:r w:rsidRPr="000168FC">
        <w:rPr>
          <w:rFonts w:cs="Arial"/>
        </w:rPr>
        <w:t>These strategies are oriented to improving teaching and learning in the classroom and improving governance and management of the education system based on two complementary strands of program logic</w:t>
      </w:r>
      <w:r w:rsidRPr="00FF2C50">
        <w:rPr>
          <w:rFonts w:cs="Arial"/>
          <w:vertAlign w:val="superscript"/>
        </w:rPr>
        <w:footnoteReference w:id="26"/>
      </w:r>
      <w:r w:rsidRPr="000168FC">
        <w:rPr>
          <w:rFonts w:cs="Arial"/>
        </w:rPr>
        <w:t>, namely that:</w:t>
      </w:r>
    </w:p>
    <w:p w14:paraId="37BFCD90" w14:textId="77777777" w:rsidR="00AC362E" w:rsidRPr="00FF2C50" w:rsidRDefault="00AC362E" w:rsidP="00E91B91">
      <w:pPr>
        <w:pStyle w:val="ListParagraph"/>
        <w:numPr>
          <w:ilvl w:val="0"/>
          <w:numId w:val="8"/>
        </w:numPr>
        <w:autoSpaceDE w:val="0"/>
        <w:autoSpaceDN w:val="0"/>
        <w:adjustRightInd w:val="0"/>
        <w:spacing w:before="0" w:beforeAutospacing="0" w:after="0" w:afterAutospacing="0"/>
        <w:rPr>
          <w:rFonts w:asciiTheme="majorHAnsi" w:hAnsiTheme="majorHAnsi" w:cstheme="majorHAnsi"/>
        </w:rPr>
      </w:pPr>
      <w:r w:rsidRPr="00FF2C50">
        <w:rPr>
          <w:rFonts w:asciiTheme="majorHAnsi" w:hAnsiTheme="majorHAnsi" w:cstheme="majorHAnsi"/>
        </w:rPr>
        <w:lastRenderedPageBreak/>
        <w:t>classroom teaching and learning will improve if children have access to better teachers, materials and classrooms. More children will participate in their schools, and will become functionally literate and numerate; and</w:t>
      </w:r>
    </w:p>
    <w:p w14:paraId="543DE43A" w14:textId="77777777" w:rsidR="00AC362E" w:rsidRPr="00FF2C50" w:rsidRDefault="00AC362E" w:rsidP="00E91B91">
      <w:pPr>
        <w:pStyle w:val="ListParagraph"/>
        <w:numPr>
          <w:ilvl w:val="0"/>
          <w:numId w:val="8"/>
        </w:numPr>
        <w:autoSpaceDE w:val="0"/>
        <w:autoSpaceDN w:val="0"/>
        <w:adjustRightInd w:val="0"/>
        <w:spacing w:before="0" w:beforeAutospacing="0" w:after="0" w:afterAutospacing="0"/>
        <w:rPr>
          <w:rFonts w:asciiTheme="majorHAnsi" w:hAnsiTheme="majorHAnsi" w:cstheme="majorHAnsi"/>
        </w:rPr>
      </w:pPr>
      <w:r w:rsidRPr="00FF2C50">
        <w:rPr>
          <w:rFonts w:asciiTheme="majorHAnsi" w:hAnsiTheme="majorHAnsi" w:cstheme="majorHAnsi"/>
        </w:rPr>
        <w:t>education services will improve in quality if there are partnerships between schools and communities. This will strengthen the MOE’s ability to plan and monitor the delivery of services.</w:t>
      </w:r>
    </w:p>
    <w:p w14:paraId="347BA536" w14:textId="77777777" w:rsidR="00FF2C50" w:rsidRPr="00451F1D" w:rsidRDefault="00FF2C50" w:rsidP="00FF2C50">
      <w:pPr>
        <w:pStyle w:val="ListParagraph"/>
        <w:autoSpaceDE w:val="0"/>
        <w:autoSpaceDN w:val="0"/>
        <w:adjustRightInd w:val="0"/>
        <w:spacing w:before="0" w:beforeAutospacing="0" w:after="0" w:afterAutospacing="0"/>
        <w:rPr>
          <w:rFonts w:ascii="Calibri" w:hAnsi="Calibri" w:cs="Calibri"/>
        </w:rPr>
      </w:pPr>
    </w:p>
    <w:p w14:paraId="656979E2" w14:textId="77777777" w:rsidR="00AC362E" w:rsidRPr="004846DA" w:rsidRDefault="00AC362E" w:rsidP="00ED0631">
      <w:pPr>
        <w:widowControl w:val="0"/>
        <w:autoSpaceDE w:val="0"/>
        <w:autoSpaceDN w:val="0"/>
        <w:adjustRightInd w:val="0"/>
        <w:spacing w:after="120"/>
        <w:rPr>
          <w:lang w:eastAsia="en-AU"/>
        </w:rPr>
      </w:pPr>
      <w:r w:rsidRPr="004846DA">
        <w:rPr>
          <w:lang w:eastAsia="en-AU"/>
        </w:rPr>
        <w:t xml:space="preserve">Under the first strand, curriculum development has centred on rollout of a new curriculum focused on </w:t>
      </w:r>
      <w:r w:rsidRPr="000168FC">
        <w:rPr>
          <w:rFonts w:cs="Arial"/>
        </w:rPr>
        <w:t>literacy</w:t>
      </w:r>
      <w:r w:rsidRPr="004846DA">
        <w:rPr>
          <w:lang w:eastAsia="en-AU"/>
        </w:rPr>
        <w:t>, numeracy, and a phased introduction of English language. Strengthening the capabilities of teachers has addressed teaching the</w:t>
      </w:r>
      <w:r>
        <w:rPr>
          <w:lang w:eastAsia="en-AU"/>
        </w:rPr>
        <w:t xml:space="preserve"> new curriculum through student-</w:t>
      </w:r>
      <w:r w:rsidRPr="004846DA">
        <w:rPr>
          <w:lang w:eastAsia="en-AU"/>
        </w:rPr>
        <w:t xml:space="preserve">centred teaching and assessment techniques to develop children's comprehension and reasoning strategies in both literacy and numeracy. Transitioning children into learning in English from </w:t>
      </w:r>
      <w:r>
        <w:rPr>
          <w:lang w:eastAsia="en-AU"/>
        </w:rPr>
        <w:t>Years</w:t>
      </w:r>
      <w:r w:rsidRPr="004846DA">
        <w:rPr>
          <w:lang w:eastAsia="en-AU"/>
        </w:rPr>
        <w:t xml:space="preserve"> </w:t>
      </w:r>
      <w:r>
        <w:rPr>
          <w:lang w:eastAsia="en-AU"/>
        </w:rPr>
        <w:t>3&amp;</w:t>
      </w:r>
      <w:r w:rsidRPr="004846DA">
        <w:rPr>
          <w:lang w:eastAsia="en-AU"/>
        </w:rPr>
        <w:t>4, in accordance with the MoE’s Language Policy, is also critical.</w:t>
      </w:r>
      <w:r>
        <w:rPr>
          <w:lang w:eastAsia="en-AU"/>
        </w:rPr>
        <w:t xml:space="preserve"> </w:t>
      </w:r>
      <w:r w:rsidRPr="004846DA">
        <w:rPr>
          <w:lang w:eastAsia="en-AU"/>
        </w:rPr>
        <w:t xml:space="preserve">The capacity of </w:t>
      </w:r>
      <w:r>
        <w:rPr>
          <w:lang w:eastAsia="en-AU"/>
        </w:rPr>
        <w:t>School Leader</w:t>
      </w:r>
      <w:r w:rsidRPr="004846DA">
        <w:rPr>
          <w:lang w:eastAsia="en-AU"/>
        </w:rPr>
        <w:t>s to support their teachers and manage the introduction of the new curriculum has also been supported by KEIP.</w:t>
      </w:r>
      <w:r>
        <w:rPr>
          <w:lang w:eastAsia="en-AU"/>
        </w:rPr>
        <w:t xml:space="preserve"> </w:t>
      </w:r>
      <w:r w:rsidRPr="004846DA">
        <w:rPr>
          <w:lang w:eastAsia="en-AU"/>
        </w:rPr>
        <w:t xml:space="preserve">The MoE has also been assisted with the introduction of its </w:t>
      </w:r>
      <w:r w:rsidRPr="007B4602">
        <w:rPr>
          <w:i/>
          <w:lang w:eastAsia="en-AU"/>
        </w:rPr>
        <w:t>Inclusive Education Policy</w:t>
      </w:r>
      <w:r w:rsidRPr="004846DA">
        <w:rPr>
          <w:lang w:eastAsia="en-AU"/>
        </w:rPr>
        <w:t xml:space="preserve"> and in the refurbishment of selected schools to provide a more effective learning environment.</w:t>
      </w:r>
    </w:p>
    <w:p w14:paraId="1A75B3C3" w14:textId="77777777" w:rsidR="00AC362E" w:rsidRDefault="00AC362E" w:rsidP="00ED0631">
      <w:pPr>
        <w:widowControl w:val="0"/>
        <w:autoSpaceDE w:val="0"/>
        <w:autoSpaceDN w:val="0"/>
        <w:adjustRightInd w:val="0"/>
        <w:spacing w:after="120"/>
        <w:rPr>
          <w:lang w:eastAsia="en-AU"/>
        </w:rPr>
      </w:pPr>
      <w:r>
        <w:rPr>
          <w:lang w:eastAsia="en-AU"/>
        </w:rPr>
        <w:t xml:space="preserve">Under the second strand, KEIP has supported the strengthening of school committees and the introduction of school improvement plans that are managed by the community as a way of increasing engagement in their local schools. School communities are also critically involved in helping to </w:t>
      </w:r>
      <w:r w:rsidRPr="000168FC">
        <w:rPr>
          <w:rFonts w:cs="Arial"/>
        </w:rPr>
        <w:t>improve</w:t>
      </w:r>
      <w:r>
        <w:rPr>
          <w:lang w:eastAsia="en-AU"/>
        </w:rPr>
        <w:t xml:space="preserve"> attendance rates at school by encouraging parents and monitoring children’s participation.</w:t>
      </w:r>
    </w:p>
    <w:p w14:paraId="307DFF75" w14:textId="77777777" w:rsidR="00AC362E" w:rsidRPr="00223F78" w:rsidRDefault="00AC362E" w:rsidP="00ED0631">
      <w:pPr>
        <w:widowControl w:val="0"/>
        <w:autoSpaceDE w:val="0"/>
        <w:autoSpaceDN w:val="0"/>
        <w:adjustRightInd w:val="0"/>
        <w:spacing w:after="120"/>
        <w:rPr>
          <w:lang w:eastAsia="en-AU"/>
        </w:rPr>
      </w:pPr>
      <w:r>
        <w:rPr>
          <w:lang w:eastAsia="en-AU"/>
        </w:rPr>
        <w:t xml:space="preserve">This Synthesis Report considers the evidence for whether each of these forms of support have contributed to observable behavioural change of students, teachers and the community that would suggest that the longer </w:t>
      </w:r>
      <w:r w:rsidRPr="000168FC">
        <w:rPr>
          <w:rFonts w:cs="Arial"/>
        </w:rPr>
        <w:t>term</w:t>
      </w:r>
      <w:r>
        <w:rPr>
          <w:lang w:eastAsia="en-AU"/>
        </w:rPr>
        <w:t xml:space="preserve"> program outcomes are likely to be achieved. In particular it focuses on what is, and is not, working in order to provide an evidence base for the next phase of the program.</w:t>
      </w:r>
    </w:p>
    <w:p w14:paraId="6CBDE725" w14:textId="77777777" w:rsidR="00AC362E" w:rsidRDefault="00AC362E" w:rsidP="00ED0631">
      <w:pPr>
        <w:pStyle w:val="Heading1"/>
        <w:spacing w:before="240"/>
        <w:rPr>
          <w:rFonts w:eastAsia="Times New Roman"/>
          <w:lang w:eastAsia="en-AU"/>
        </w:rPr>
      </w:pPr>
      <w:bookmarkStart w:id="133" w:name="_Toc461615751"/>
      <w:r>
        <w:rPr>
          <w:rFonts w:eastAsia="Times New Roman"/>
          <w:lang w:eastAsia="en-AU"/>
        </w:rPr>
        <w:t>3</w:t>
      </w:r>
      <w:r>
        <w:rPr>
          <w:rFonts w:eastAsia="Times New Roman"/>
          <w:lang w:eastAsia="en-AU"/>
        </w:rPr>
        <w:tab/>
      </w:r>
      <w:r w:rsidRPr="00382778">
        <w:rPr>
          <w:rFonts w:eastAsia="Times New Roman"/>
          <w:lang w:eastAsia="en-AU"/>
        </w:rPr>
        <w:t>Literature Review</w:t>
      </w:r>
      <w:bookmarkEnd w:id="133"/>
      <w:r w:rsidRPr="00382778">
        <w:rPr>
          <w:rFonts w:eastAsia="Times New Roman"/>
          <w:lang w:eastAsia="en-AU"/>
        </w:rPr>
        <w:t xml:space="preserve"> </w:t>
      </w:r>
    </w:p>
    <w:p w14:paraId="4C5966C2" w14:textId="77777777" w:rsidR="00AC362E" w:rsidRPr="00353118" w:rsidRDefault="00AC362E" w:rsidP="00ED0631">
      <w:pPr>
        <w:widowControl w:val="0"/>
        <w:autoSpaceDE w:val="0"/>
        <w:autoSpaceDN w:val="0"/>
        <w:adjustRightInd w:val="0"/>
        <w:spacing w:after="120"/>
        <w:rPr>
          <w:lang w:eastAsia="en-AU"/>
        </w:rPr>
      </w:pPr>
      <w:r>
        <w:rPr>
          <w:lang w:eastAsia="en-AU"/>
        </w:rPr>
        <w:t>The</w:t>
      </w:r>
      <w:r w:rsidRPr="00353118">
        <w:rPr>
          <w:lang w:eastAsia="en-AU"/>
        </w:rPr>
        <w:t xml:space="preserve"> </w:t>
      </w:r>
      <w:r>
        <w:rPr>
          <w:lang w:eastAsia="en-AU"/>
        </w:rPr>
        <w:t>Literature Review utilised</w:t>
      </w:r>
      <w:r w:rsidRPr="00353118">
        <w:rPr>
          <w:lang w:eastAsia="en-AU"/>
        </w:rPr>
        <w:t xml:space="preserve"> a systematic approach to identify, appraise, select and synthesise all high quality </w:t>
      </w:r>
      <w:r w:rsidRPr="000168FC">
        <w:rPr>
          <w:rFonts w:cs="Arial"/>
        </w:rPr>
        <w:t>research</w:t>
      </w:r>
      <w:r w:rsidRPr="00353118">
        <w:rPr>
          <w:lang w:eastAsia="en-AU"/>
        </w:rPr>
        <w:t xml:space="preserve"> evidence that were found relevant for the selected research questions. </w:t>
      </w:r>
      <w:r>
        <w:rPr>
          <w:lang w:eastAsia="en-AU"/>
        </w:rPr>
        <w:t>P</w:t>
      </w:r>
      <w:r w:rsidRPr="00353118">
        <w:rPr>
          <w:lang w:eastAsia="en-AU"/>
        </w:rPr>
        <w:t>otential relevant studies</w:t>
      </w:r>
      <w:r>
        <w:rPr>
          <w:lang w:eastAsia="en-AU"/>
        </w:rPr>
        <w:t xml:space="preserve"> were identified by</w:t>
      </w:r>
      <w:r w:rsidRPr="00353118">
        <w:rPr>
          <w:lang w:eastAsia="en-AU"/>
        </w:rPr>
        <w:t>:</w:t>
      </w:r>
    </w:p>
    <w:p w14:paraId="1CC8051C" w14:textId="77777777" w:rsidR="00AC362E" w:rsidRPr="00353118" w:rsidRDefault="00AC362E" w:rsidP="00AE24CE">
      <w:pPr>
        <w:pStyle w:val="ListParagraph"/>
        <w:numPr>
          <w:ilvl w:val="0"/>
          <w:numId w:val="12"/>
        </w:numPr>
        <w:spacing w:before="0" w:beforeAutospacing="0" w:after="200" w:afterAutospacing="0" w:line="276" w:lineRule="auto"/>
      </w:pPr>
      <w:r w:rsidRPr="00353118">
        <w:t xml:space="preserve">Searching multiple bibliographic databases </w:t>
      </w:r>
      <w:r w:rsidRPr="00353118">
        <w:rPr>
          <w:lang w:val="en"/>
        </w:rPr>
        <w:t xml:space="preserve">such as ERIC: </w:t>
      </w:r>
      <w:hyperlink r:id="rId55" w:tooltip="ERIC" w:history="1">
        <w:r w:rsidRPr="00353118">
          <w:rPr>
            <w:rStyle w:val="Hyperlink"/>
            <w:rFonts w:cstheme="minorHAnsi"/>
            <w:color w:val="auto"/>
          </w:rPr>
          <w:t>Educational Resource Information Center</w:t>
        </w:r>
      </w:hyperlink>
      <w:r w:rsidRPr="00353118">
        <w:t xml:space="preserve">, </w:t>
      </w:r>
      <w:hyperlink r:id="rId56" w:tooltip="JSTOR" w:history="1">
        <w:r w:rsidRPr="00353118">
          <w:rPr>
            <w:rStyle w:val="Hyperlink"/>
            <w:rFonts w:cstheme="minorHAnsi"/>
            <w:color w:val="auto"/>
          </w:rPr>
          <w:t>JSTOR: Journal Storage</w:t>
        </w:r>
      </w:hyperlink>
      <w:r w:rsidRPr="00353118">
        <w:t xml:space="preserve"> and ProQuest Education Journals</w:t>
      </w:r>
    </w:p>
    <w:p w14:paraId="4078B47A" w14:textId="77777777" w:rsidR="00AC362E" w:rsidRPr="00353118" w:rsidRDefault="00AC362E" w:rsidP="00AE24CE">
      <w:pPr>
        <w:pStyle w:val="ListParagraph"/>
        <w:numPr>
          <w:ilvl w:val="0"/>
          <w:numId w:val="12"/>
        </w:numPr>
        <w:spacing w:before="0" w:beforeAutospacing="0" w:after="200" w:afterAutospacing="0" w:line="276" w:lineRule="auto"/>
      </w:pPr>
      <w:r w:rsidRPr="00353118">
        <w:t xml:space="preserve">Scanning reference lists of existing reviews and eligible studies </w:t>
      </w:r>
    </w:p>
    <w:p w14:paraId="71B073B9" w14:textId="77777777" w:rsidR="00AC362E" w:rsidRPr="00353118" w:rsidRDefault="00AC362E" w:rsidP="00AE24CE">
      <w:pPr>
        <w:pStyle w:val="ListParagraph"/>
        <w:numPr>
          <w:ilvl w:val="0"/>
          <w:numId w:val="12"/>
        </w:numPr>
        <w:spacing w:before="0" w:beforeAutospacing="0" w:after="200" w:afterAutospacing="0" w:line="276" w:lineRule="auto"/>
      </w:pPr>
      <w:r w:rsidRPr="00353118">
        <w:t xml:space="preserve">Hand-searching key journals </w:t>
      </w:r>
    </w:p>
    <w:p w14:paraId="19548462" w14:textId="77777777" w:rsidR="00AC362E" w:rsidRPr="00353118" w:rsidRDefault="00AC362E" w:rsidP="00AE24CE">
      <w:pPr>
        <w:pStyle w:val="ListParagraph"/>
        <w:numPr>
          <w:ilvl w:val="0"/>
          <w:numId w:val="12"/>
        </w:numPr>
        <w:spacing w:before="0" w:beforeAutospacing="0" w:after="200" w:afterAutospacing="0" w:line="276" w:lineRule="auto"/>
      </w:pPr>
      <w:r w:rsidRPr="00353118">
        <w:t xml:space="preserve">Forward citation searching of seminal articles </w:t>
      </w:r>
    </w:p>
    <w:p w14:paraId="5A6766F6" w14:textId="77777777" w:rsidR="00AC362E" w:rsidRPr="00353118" w:rsidRDefault="00AC362E" w:rsidP="00AE24CE">
      <w:pPr>
        <w:pStyle w:val="ListParagraph"/>
        <w:numPr>
          <w:ilvl w:val="0"/>
          <w:numId w:val="12"/>
        </w:numPr>
        <w:spacing w:before="0" w:beforeAutospacing="0" w:after="200" w:afterAutospacing="0" w:line="276" w:lineRule="auto"/>
      </w:pPr>
      <w:r w:rsidRPr="00353118">
        <w:t>Searching the Internet (via Google/Google Scholar)</w:t>
      </w:r>
    </w:p>
    <w:p w14:paraId="4BE5D085" w14:textId="77777777" w:rsidR="00AC362E" w:rsidRPr="00353118" w:rsidRDefault="00AC362E" w:rsidP="00AE24CE">
      <w:pPr>
        <w:pStyle w:val="ListParagraph"/>
        <w:numPr>
          <w:ilvl w:val="0"/>
          <w:numId w:val="12"/>
        </w:numPr>
        <w:spacing w:before="0" w:beforeAutospacing="0" w:after="200" w:afterAutospacing="0" w:line="276" w:lineRule="auto"/>
      </w:pPr>
      <w:r w:rsidRPr="00353118">
        <w:t xml:space="preserve">Contacting scholars in the area </w:t>
      </w:r>
    </w:p>
    <w:p w14:paraId="4A7D6066" w14:textId="77777777" w:rsidR="00AC362E" w:rsidRPr="00353118" w:rsidRDefault="00AC362E" w:rsidP="00ED0631">
      <w:pPr>
        <w:widowControl w:val="0"/>
        <w:autoSpaceDE w:val="0"/>
        <w:autoSpaceDN w:val="0"/>
        <w:adjustRightInd w:val="0"/>
        <w:spacing w:after="120"/>
      </w:pPr>
      <w:r w:rsidRPr="00353118">
        <w:t xml:space="preserve">In identifying </w:t>
      </w:r>
      <w:r w:rsidRPr="000168FC">
        <w:rPr>
          <w:rFonts w:cs="Arial"/>
        </w:rPr>
        <w:t>relevant</w:t>
      </w:r>
      <w:r w:rsidRPr="00353118">
        <w:t xml:space="preserve"> literature for each question, certain key words were used such as the ones listed </w:t>
      </w:r>
      <w:r>
        <w:t xml:space="preserve">in </w:t>
      </w:r>
      <w:r w:rsidRPr="006312C0">
        <w:rPr>
          <w:i/>
        </w:rPr>
        <w:t>Figure 1</w:t>
      </w:r>
      <w:r>
        <w:t xml:space="preserve"> </w:t>
      </w:r>
      <w:r w:rsidRPr="00353118">
        <w:t xml:space="preserve">below. </w:t>
      </w:r>
    </w:p>
    <w:tbl>
      <w:tblPr>
        <w:tblStyle w:val="TableGrid"/>
        <w:tblW w:w="0" w:type="auto"/>
        <w:tblInd w:w="108" w:type="dxa"/>
        <w:tblLook w:val="04A0" w:firstRow="1" w:lastRow="0" w:firstColumn="1" w:lastColumn="0" w:noHBand="0" w:noVBand="1"/>
        <w:tblCaption w:val="Figure 1 Selected themes and key words for literature search."/>
        <w:tblDescription w:val="Selected themes Key words &#10;1 Leadership: Pacific, primary education, small island countries, Asia-Pacific, developing countries, leadership, core principles, effective leadership, staff development, teacher’s motivation, leaders in primary school&#10;2 Bilingual Education: bilingual education, immersion, L2, teach, bilingualism, teacher skills for bilingualism, English as a second language&#10;3 Assessment: forms of assessment, feedback, effective assessment methods, primary classrooms&#10;"/>
      </w:tblPr>
      <w:tblGrid>
        <w:gridCol w:w="567"/>
        <w:gridCol w:w="1418"/>
        <w:gridCol w:w="1417"/>
        <w:gridCol w:w="5732"/>
      </w:tblGrid>
      <w:tr w:rsidR="00AC362E" w:rsidRPr="00353118" w14:paraId="2B41AAB0" w14:textId="77777777" w:rsidTr="00ED0631">
        <w:tc>
          <w:tcPr>
            <w:tcW w:w="1985" w:type="dxa"/>
            <w:gridSpan w:val="2"/>
          </w:tcPr>
          <w:p w14:paraId="46E7F9FA" w14:textId="77777777" w:rsidR="00AC362E" w:rsidRPr="00353118" w:rsidRDefault="00AC362E" w:rsidP="00ED0631">
            <w:pPr>
              <w:rPr>
                <w:b/>
              </w:rPr>
            </w:pPr>
            <w:r w:rsidRPr="00353118">
              <w:rPr>
                <w:b/>
              </w:rPr>
              <w:t>Selected themes</w:t>
            </w:r>
          </w:p>
        </w:tc>
        <w:tc>
          <w:tcPr>
            <w:tcW w:w="7149" w:type="dxa"/>
            <w:gridSpan w:val="2"/>
          </w:tcPr>
          <w:p w14:paraId="4C6DCC41" w14:textId="77777777" w:rsidR="00AC362E" w:rsidRPr="00353118" w:rsidRDefault="00AC362E" w:rsidP="00ED0631">
            <w:pPr>
              <w:rPr>
                <w:b/>
              </w:rPr>
            </w:pPr>
            <w:r w:rsidRPr="00353118">
              <w:rPr>
                <w:b/>
              </w:rPr>
              <w:t xml:space="preserve">Key words </w:t>
            </w:r>
          </w:p>
        </w:tc>
      </w:tr>
      <w:tr w:rsidR="00AC362E" w:rsidRPr="00353118" w14:paraId="7F13B357" w14:textId="77777777" w:rsidTr="00ED0631">
        <w:tc>
          <w:tcPr>
            <w:tcW w:w="567" w:type="dxa"/>
          </w:tcPr>
          <w:p w14:paraId="113DE9F2" w14:textId="77777777" w:rsidR="00AC362E" w:rsidRPr="00353118" w:rsidRDefault="00AC362E" w:rsidP="00ED0631">
            <w:r w:rsidRPr="00353118">
              <w:t>1</w:t>
            </w:r>
          </w:p>
        </w:tc>
        <w:tc>
          <w:tcPr>
            <w:tcW w:w="1418" w:type="dxa"/>
          </w:tcPr>
          <w:p w14:paraId="0F44B1BF" w14:textId="77777777" w:rsidR="00AC362E" w:rsidRPr="00353118" w:rsidRDefault="00AC362E" w:rsidP="00ED0631">
            <w:r w:rsidRPr="00353118">
              <w:rPr>
                <w:rFonts w:eastAsia="Times New Roman"/>
                <w:lang w:eastAsia="en-AU"/>
              </w:rPr>
              <w:t>Leadership</w:t>
            </w:r>
          </w:p>
        </w:tc>
        <w:tc>
          <w:tcPr>
            <w:tcW w:w="1417" w:type="dxa"/>
            <w:vMerge w:val="restart"/>
          </w:tcPr>
          <w:p w14:paraId="5963B524" w14:textId="77777777" w:rsidR="00AC362E" w:rsidRPr="00353118" w:rsidRDefault="00AC362E" w:rsidP="00ED0631">
            <w:r w:rsidRPr="00353118">
              <w:t>Pacific, primary education, small island countries, Asia-Pacific, developing countries,</w:t>
            </w:r>
          </w:p>
        </w:tc>
        <w:tc>
          <w:tcPr>
            <w:tcW w:w="5732" w:type="dxa"/>
          </w:tcPr>
          <w:p w14:paraId="61290E3A" w14:textId="77777777" w:rsidR="00AC362E" w:rsidRPr="00353118" w:rsidRDefault="00AC362E" w:rsidP="00ED0631">
            <w:r w:rsidRPr="00353118">
              <w:t>leadership, core principles, effective leadership, staff development, teacher’s motivation, leaders in primary school</w:t>
            </w:r>
          </w:p>
        </w:tc>
      </w:tr>
      <w:tr w:rsidR="00AC362E" w:rsidRPr="00353118" w14:paraId="065553B3" w14:textId="77777777" w:rsidTr="00ED0631">
        <w:tc>
          <w:tcPr>
            <w:tcW w:w="567" w:type="dxa"/>
          </w:tcPr>
          <w:p w14:paraId="31D3FC81" w14:textId="77777777" w:rsidR="00AC362E" w:rsidRPr="00353118" w:rsidRDefault="00AC362E" w:rsidP="00ED0631">
            <w:r w:rsidRPr="00353118">
              <w:t>2</w:t>
            </w:r>
          </w:p>
        </w:tc>
        <w:tc>
          <w:tcPr>
            <w:tcW w:w="1418" w:type="dxa"/>
          </w:tcPr>
          <w:p w14:paraId="2C8AA9EB" w14:textId="77777777" w:rsidR="00AC362E" w:rsidRPr="00353118" w:rsidRDefault="00AC362E" w:rsidP="00ED0631">
            <w:r w:rsidRPr="00353118">
              <w:rPr>
                <w:rFonts w:eastAsia="Times New Roman"/>
                <w:lang w:eastAsia="en-AU"/>
              </w:rPr>
              <w:t>Bilingual Education</w:t>
            </w:r>
          </w:p>
        </w:tc>
        <w:tc>
          <w:tcPr>
            <w:tcW w:w="1417" w:type="dxa"/>
            <w:vMerge/>
          </w:tcPr>
          <w:p w14:paraId="5EA57A08" w14:textId="77777777" w:rsidR="00AC362E" w:rsidRPr="00353118" w:rsidRDefault="00AC362E" w:rsidP="00ED0631"/>
        </w:tc>
        <w:tc>
          <w:tcPr>
            <w:tcW w:w="5732" w:type="dxa"/>
          </w:tcPr>
          <w:p w14:paraId="0D4760B2" w14:textId="77777777" w:rsidR="00AC362E" w:rsidRPr="00353118" w:rsidRDefault="00AC362E" w:rsidP="00ED0631">
            <w:pPr>
              <w:rPr>
                <w:rFonts w:eastAsia="Times New Roman"/>
                <w:lang w:eastAsia="en-AU"/>
              </w:rPr>
            </w:pPr>
            <w:r w:rsidRPr="00353118">
              <w:t>bilingual education, immersion, L2, teach, bilingualism, teacher skills for bilingualism, English as a second language</w:t>
            </w:r>
          </w:p>
        </w:tc>
      </w:tr>
      <w:tr w:rsidR="00AC362E" w:rsidRPr="00353118" w14:paraId="621CFCE9" w14:textId="77777777" w:rsidTr="00ED0631">
        <w:tc>
          <w:tcPr>
            <w:tcW w:w="567" w:type="dxa"/>
          </w:tcPr>
          <w:p w14:paraId="1278B500" w14:textId="77777777" w:rsidR="00AC362E" w:rsidRPr="00353118" w:rsidRDefault="00AC362E" w:rsidP="00ED0631">
            <w:r w:rsidRPr="00353118">
              <w:t>3</w:t>
            </w:r>
          </w:p>
        </w:tc>
        <w:tc>
          <w:tcPr>
            <w:tcW w:w="1418" w:type="dxa"/>
          </w:tcPr>
          <w:p w14:paraId="3BC4729A" w14:textId="77777777" w:rsidR="00AC362E" w:rsidRPr="00353118" w:rsidRDefault="00AC362E" w:rsidP="00ED0631">
            <w:r w:rsidRPr="00353118">
              <w:rPr>
                <w:rFonts w:eastAsia="Times New Roman"/>
                <w:lang w:eastAsia="en-AU"/>
              </w:rPr>
              <w:t>Assessment</w:t>
            </w:r>
          </w:p>
        </w:tc>
        <w:tc>
          <w:tcPr>
            <w:tcW w:w="1417" w:type="dxa"/>
            <w:vMerge/>
          </w:tcPr>
          <w:p w14:paraId="7A6D6139" w14:textId="77777777" w:rsidR="00AC362E" w:rsidRPr="00353118" w:rsidRDefault="00AC362E" w:rsidP="00ED0631"/>
        </w:tc>
        <w:tc>
          <w:tcPr>
            <w:tcW w:w="5732" w:type="dxa"/>
          </w:tcPr>
          <w:p w14:paraId="5137BB65" w14:textId="77777777" w:rsidR="00AC362E" w:rsidRPr="00353118" w:rsidRDefault="00AC362E" w:rsidP="00ED0631">
            <w:r w:rsidRPr="00353118">
              <w:t>forms of assessment, feedback, effective assessment methods, primary classrooms</w:t>
            </w:r>
          </w:p>
        </w:tc>
      </w:tr>
    </w:tbl>
    <w:p w14:paraId="0D1F7414" w14:textId="77777777" w:rsidR="00AC362E" w:rsidRPr="00D47E6B" w:rsidRDefault="00AC362E" w:rsidP="00ED0631">
      <w:pPr>
        <w:keepNext/>
        <w:keepLines/>
        <w:spacing w:before="120"/>
        <w:rPr>
          <w:b/>
        </w:rPr>
      </w:pPr>
      <w:r w:rsidRPr="006312C0">
        <w:rPr>
          <w:b/>
        </w:rPr>
        <w:t>Figure 1 Selected themes and key words for literature search.</w:t>
      </w:r>
    </w:p>
    <w:p w14:paraId="566108E7" w14:textId="77777777" w:rsidR="000D1BC6" w:rsidRDefault="000D1BC6">
      <w:pPr>
        <w:spacing w:line="276" w:lineRule="auto"/>
        <w:rPr>
          <w:spacing w:val="-2"/>
        </w:rPr>
      </w:pPr>
      <w:r>
        <w:rPr>
          <w:spacing w:val="-2"/>
        </w:rPr>
        <w:br w:type="page"/>
      </w:r>
    </w:p>
    <w:p w14:paraId="0AB4D94B" w14:textId="36397C44" w:rsidR="00AC362E" w:rsidRPr="00DE4728" w:rsidRDefault="00AC362E" w:rsidP="00ED0631">
      <w:pPr>
        <w:widowControl w:val="0"/>
        <w:autoSpaceDE w:val="0"/>
        <w:autoSpaceDN w:val="0"/>
        <w:adjustRightInd w:val="0"/>
        <w:spacing w:after="120"/>
        <w:rPr>
          <w:spacing w:val="-2"/>
        </w:rPr>
      </w:pPr>
      <w:r w:rsidRPr="00DE4728">
        <w:rPr>
          <w:spacing w:val="-2"/>
        </w:rPr>
        <w:lastRenderedPageBreak/>
        <w:t>Once potential studies were identified, their titles and abstracts were matched against pre-</w:t>
      </w:r>
      <w:r w:rsidRPr="00DE4728">
        <w:rPr>
          <w:rFonts w:cs="Arial"/>
          <w:spacing w:val="-2"/>
        </w:rPr>
        <w:t>determined</w:t>
      </w:r>
      <w:r w:rsidRPr="00DE4728">
        <w:rPr>
          <w:spacing w:val="-2"/>
        </w:rPr>
        <w:t xml:space="preserve"> criteria for their eligibility and relevance.  The selection of relevant sources met the following criteria. It:</w:t>
      </w:r>
    </w:p>
    <w:p w14:paraId="5700C44C" w14:textId="77777777" w:rsidR="00AC362E" w:rsidRPr="00EF3F58" w:rsidRDefault="00AC362E" w:rsidP="00AE24CE">
      <w:pPr>
        <w:pStyle w:val="ListParagraph"/>
        <w:numPr>
          <w:ilvl w:val="0"/>
          <w:numId w:val="13"/>
        </w:numPr>
        <w:spacing w:before="0" w:beforeAutospacing="0" w:after="200" w:afterAutospacing="0" w:line="276" w:lineRule="auto"/>
      </w:pPr>
      <w:r w:rsidRPr="00EF3F58">
        <w:t>Include</w:t>
      </w:r>
      <w:r>
        <w:t>d</w:t>
      </w:r>
      <w:r w:rsidRPr="00EF3F58">
        <w:t xml:space="preserve"> all theoretical and empirical work that is relevant for the main focus of the research question (These include published scholarly articles as well as commissioned reports)</w:t>
      </w:r>
    </w:p>
    <w:p w14:paraId="53777E56" w14:textId="77777777" w:rsidR="00AC362E" w:rsidRPr="00EF3F58" w:rsidRDefault="00AC362E" w:rsidP="00AE24CE">
      <w:pPr>
        <w:pStyle w:val="ListParagraph"/>
        <w:numPr>
          <w:ilvl w:val="0"/>
          <w:numId w:val="13"/>
        </w:numPr>
        <w:spacing w:before="0" w:beforeAutospacing="0" w:after="200" w:afterAutospacing="0" w:line="276" w:lineRule="auto"/>
      </w:pPr>
      <w:r w:rsidRPr="00EF3F58">
        <w:t>Include</w:t>
      </w:r>
      <w:r>
        <w:t>d</w:t>
      </w:r>
      <w:r w:rsidRPr="00EF3F58">
        <w:t xml:space="preserve"> literature</w:t>
      </w:r>
      <w:r>
        <w:t xml:space="preserve"> that are written in English and </w:t>
      </w:r>
      <w:r w:rsidRPr="00EF3F58">
        <w:t xml:space="preserve">published </w:t>
      </w:r>
      <w:r>
        <w:t>between</w:t>
      </w:r>
      <w:r w:rsidRPr="00EF3F58">
        <w:t xml:space="preserve"> 19</w:t>
      </w:r>
      <w:r>
        <w:t xml:space="preserve">90 and </w:t>
      </w:r>
      <w:r w:rsidRPr="00EF3F58">
        <w:t>2015</w:t>
      </w:r>
    </w:p>
    <w:p w14:paraId="2A368435" w14:textId="77777777" w:rsidR="00AC362E" w:rsidRPr="00EF3F58" w:rsidRDefault="00AC362E" w:rsidP="00AE24CE">
      <w:pPr>
        <w:pStyle w:val="ListParagraph"/>
        <w:numPr>
          <w:ilvl w:val="0"/>
          <w:numId w:val="13"/>
        </w:numPr>
        <w:spacing w:before="0" w:beforeAutospacing="0" w:after="200" w:afterAutospacing="0" w:line="276" w:lineRule="auto"/>
      </w:pPr>
      <w:r w:rsidRPr="00EF3F58">
        <w:t>Concentrate</w:t>
      </w:r>
      <w:r>
        <w:t>d</w:t>
      </w:r>
      <w:r w:rsidRPr="00EF3F58">
        <w:t xml:space="preserve"> on studies that use meta-analysis and empirical evidence</w:t>
      </w:r>
    </w:p>
    <w:p w14:paraId="087AAC5D" w14:textId="77777777" w:rsidR="00AC362E" w:rsidRDefault="00AC362E" w:rsidP="00AE24CE">
      <w:pPr>
        <w:pStyle w:val="ListParagraph"/>
        <w:numPr>
          <w:ilvl w:val="0"/>
          <w:numId w:val="13"/>
        </w:numPr>
        <w:spacing w:before="0" w:beforeAutospacing="0" w:after="0" w:afterAutospacing="0" w:line="276" w:lineRule="auto"/>
        <w:ind w:left="714" w:hanging="357"/>
      </w:pPr>
      <w:r w:rsidRPr="00EF3F58">
        <w:t>Concentrate</w:t>
      </w:r>
      <w:r>
        <w:t>d</w:t>
      </w:r>
      <w:r w:rsidRPr="00EF3F58">
        <w:t xml:space="preserve"> on studies that are conducted in small island states and more broadly the Asia-Pacific region that </w:t>
      </w:r>
      <w:r>
        <w:t>relate</w:t>
      </w:r>
      <w:r w:rsidRPr="00EF3F58">
        <w:t xml:space="preserve"> to Kiribati context)</w:t>
      </w:r>
    </w:p>
    <w:p w14:paraId="65332DB8" w14:textId="77777777" w:rsidR="00AC362E" w:rsidRPr="000168FC" w:rsidRDefault="00AC362E" w:rsidP="00ED0631">
      <w:pPr>
        <w:widowControl w:val="0"/>
        <w:autoSpaceDE w:val="0"/>
        <w:autoSpaceDN w:val="0"/>
        <w:adjustRightInd w:val="0"/>
        <w:spacing w:after="120"/>
        <w:rPr>
          <w:rFonts w:cs="Arial"/>
        </w:rPr>
      </w:pPr>
      <w:r w:rsidRPr="000168FC">
        <w:rPr>
          <w:rFonts w:cs="Arial"/>
        </w:rPr>
        <w:t>The Literature Review is attached as Annex 2</w:t>
      </w:r>
    </w:p>
    <w:p w14:paraId="776DE60C" w14:textId="77777777" w:rsidR="00AC362E" w:rsidRDefault="00AC362E" w:rsidP="00ED0631">
      <w:pPr>
        <w:pStyle w:val="Heading1"/>
        <w:spacing w:before="240"/>
        <w:rPr>
          <w:rFonts w:eastAsia="Times New Roman"/>
          <w:lang w:eastAsia="en-AU"/>
        </w:rPr>
      </w:pPr>
      <w:bookmarkStart w:id="134" w:name="_Toc461615752"/>
      <w:r>
        <w:rPr>
          <w:rFonts w:eastAsia="Times New Roman"/>
          <w:lang w:eastAsia="en-AU"/>
        </w:rPr>
        <w:t>4</w:t>
      </w:r>
      <w:r>
        <w:rPr>
          <w:rFonts w:eastAsia="Times New Roman"/>
          <w:lang w:eastAsia="en-AU"/>
        </w:rPr>
        <w:tab/>
        <w:t xml:space="preserve">School </w:t>
      </w:r>
      <w:r w:rsidRPr="00382778">
        <w:rPr>
          <w:rFonts w:eastAsia="Times New Roman"/>
          <w:lang w:eastAsia="en-AU"/>
        </w:rPr>
        <w:t>Engagement Data</w:t>
      </w:r>
      <w:bookmarkEnd w:id="134"/>
    </w:p>
    <w:p w14:paraId="4E1F6460" w14:textId="77777777" w:rsidR="00AC362E" w:rsidRPr="00A772B8" w:rsidRDefault="00AC362E" w:rsidP="00ED0631">
      <w:pPr>
        <w:spacing w:before="240"/>
      </w:pPr>
      <w:r w:rsidRPr="00A772B8">
        <w:t xml:space="preserve">The School Engagement Data (SED) collection was designed to provide representative findings about how KEIP II may be contributing to system reform, principally at the school level. This includes providing estimates of the number of children not enrolled or attending school (2016); the new curriculum experience of teachers and </w:t>
      </w:r>
      <w:r>
        <w:t>School Leader</w:t>
      </w:r>
      <w:r w:rsidRPr="00A772B8">
        <w:t xml:space="preserve">s; the extent of leadership being provided by school leaders; whether school improvement activities were being rolled-out as planned; embedded understanding of school improvement process; and composition of school improvement committees compared to school committees. </w:t>
      </w:r>
    </w:p>
    <w:p w14:paraId="255AA732" w14:textId="77777777" w:rsidR="00AC362E" w:rsidRPr="00A772B8" w:rsidRDefault="00AC362E" w:rsidP="00ED0631">
      <w:r w:rsidRPr="00A772B8">
        <w:t>The data collection methods used were: household surveys, school leader surveys, teacher surveys, and recording of administrative records.</w:t>
      </w:r>
      <w:r>
        <w:t xml:space="preserve"> A</w:t>
      </w:r>
      <w:r w:rsidRPr="00A772B8">
        <w:t xml:space="preserve"> partial random sampling approach </w:t>
      </w:r>
      <w:r>
        <w:t>was employed reflecting</w:t>
      </w:r>
      <w:r w:rsidRPr="00A772B8">
        <w:t xml:space="preserve"> that a census of Primary (ref: KEIP II) and Junior Secondary (ref: KEIP III) schools would be too costly, and unnecessary. </w:t>
      </w:r>
      <w:r>
        <w:t>T</w:t>
      </w:r>
      <w:r w:rsidRPr="00A772B8">
        <w:t xml:space="preserve">he sample size needed to be sufficient to allow for national statistics and estimates of change over time. </w:t>
      </w:r>
    </w:p>
    <w:p w14:paraId="21CCE75B" w14:textId="77777777" w:rsidR="00AC362E" w:rsidRPr="00661535" w:rsidRDefault="00AC362E" w:rsidP="00ED0631">
      <w:r w:rsidRPr="00EE44CC">
        <w:t xml:space="preserve">Most data collection was undertaken by local researchers who were trained and managed by KEF </w:t>
      </w:r>
      <w:r w:rsidRPr="00661535">
        <w:t xml:space="preserve">M&amp;E Co-ordinator and KEF Gender and Social Inclusion Co-ordinator. The data collection process was designed and </w:t>
      </w:r>
      <w:r>
        <w:t>managed</w:t>
      </w:r>
      <w:r w:rsidRPr="00661535">
        <w:t xml:space="preserve"> by the KEIP II M&amp;E Adviser, </w:t>
      </w:r>
      <w:r>
        <w:t>and</w:t>
      </w:r>
      <w:r w:rsidRPr="00661535">
        <w:t xml:space="preserve"> by the KEIP II M&amp;E Co-ordinator (locally engaged staff). </w:t>
      </w:r>
    </w:p>
    <w:p w14:paraId="4CD45EC2" w14:textId="77777777" w:rsidR="00AC362E" w:rsidRPr="00EE44CC" w:rsidRDefault="00AC362E" w:rsidP="00ED0631">
      <w:r w:rsidRPr="00EE44CC">
        <w:t xml:space="preserve">Data collection was completed in nine outer islands, a range of islets and in South Tarawa. Over five hundred and seventy household, </w:t>
      </w:r>
      <w:r w:rsidRPr="00266DD4">
        <w:t>almost 350 teachers</w:t>
      </w:r>
      <w:r>
        <w:rPr>
          <w:rStyle w:val="FootnoteReference"/>
        </w:rPr>
        <w:footnoteReference w:id="27"/>
      </w:r>
      <w:r w:rsidRPr="00266DD4">
        <w:t>, 62 school leader surveys were successfully completed involving 64 schools. The surveys’ response rates were very high with no refusals and only 43 surveys not completed due to unavailability of participants</w:t>
      </w:r>
      <w:r w:rsidRPr="00EE44CC">
        <w:t xml:space="preserve">. </w:t>
      </w:r>
    </w:p>
    <w:p w14:paraId="0A440402" w14:textId="77777777" w:rsidR="00AC362E" w:rsidRPr="00EE44CC" w:rsidRDefault="00AC362E" w:rsidP="00ED0631">
      <w:r w:rsidRPr="00EE44CC">
        <w:t xml:space="preserve">The SED collection in the outer islands (planned for term two and the start of term three) was completed about 2-3 weeks behind schedule due to cancelled flights, changing flight schedules and cancelled boat crossings. This delay was compounded with the SED field staff being allocated (as scheduled) to support the </w:t>
      </w:r>
      <w:r>
        <w:t>CSR</w:t>
      </w:r>
      <w:r w:rsidRPr="00EE44CC">
        <w:t xml:space="preserve"> Consultant to complete the case study series. </w:t>
      </w:r>
    </w:p>
    <w:p w14:paraId="6E5A77CC" w14:textId="77777777" w:rsidR="00AC362E" w:rsidRDefault="00AC362E" w:rsidP="00ED0631">
      <w:pPr>
        <w:spacing w:after="0"/>
      </w:pPr>
      <w:r w:rsidRPr="00EE44CC">
        <w:t xml:space="preserve">The SED entry was undertaken by contracted KIT students who had reported IT skills. Nevertheless, data entry speed and accuracy proved problematic with as much time being required to correct inaccuracies as for data entry itself. </w:t>
      </w:r>
      <w:r>
        <w:t>This contributed to further delays.</w:t>
      </w:r>
    </w:p>
    <w:p w14:paraId="1FB2BA5B" w14:textId="77777777" w:rsidR="00AC362E" w:rsidRDefault="00AC362E" w:rsidP="00ED0631">
      <w:pPr>
        <w:spacing w:after="0"/>
        <w:rPr>
          <w:lang w:eastAsia="en-AU"/>
        </w:rPr>
      </w:pPr>
      <w:r>
        <w:t xml:space="preserve">SED Results are attached as </w:t>
      </w:r>
      <w:r w:rsidRPr="00B47B0C">
        <w:rPr>
          <w:i/>
        </w:rPr>
        <w:t>Annex 3</w:t>
      </w:r>
      <w:r>
        <w:t>.</w:t>
      </w:r>
    </w:p>
    <w:p w14:paraId="26A4089B" w14:textId="77777777" w:rsidR="00AC362E" w:rsidRDefault="00AC362E" w:rsidP="00ED0631">
      <w:pPr>
        <w:pStyle w:val="Heading1"/>
        <w:rPr>
          <w:rFonts w:eastAsia="Times New Roman"/>
          <w:lang w:eastAsia="en-AU"/>
        </w:rPr>
      </w:pPr>
      <w:bookmarkStart w:id="135" w:name="_Toc461615753"/>
      <w:r>
        <w:rPr>
          <w:rFonts w:eastAsia="Times New Roman"/>
          <w:lang w:eastAsia="en-AU"/>
        </w:rPr>
        <w:t>5</w:t>
      </w:r>
      <w:r>
        <w:rPr>
          <w:rFonts w:eastAsia="Times New Roman"/>
          <w:lang w:eastAsia="en-AU"/>
        </w:rPr>
        <w:tab/>
      </w:r>
      <w:r w:rsidRPr="00382778">
        <w:rPr>
          <w:rFonts w:eastAsia="Times New Roman"/>
          <w:lang w:eastAsia="en-AU"/>
        </w:rPr>
        <w:t>Case Studies</w:t>
      </w:r>
      <w:bookmarkEnd w:id="135"/>
    </w:p>
    <w:p w14:paraId="7DEAEA16" w14:textId="77777777" w:rsidR="00AC362E" w:rsidRDefault="00AC362E" w:rsidP="00ED0631">
      <w:pPr>
        <w:spacing w:before="240"/>
        <w:rPr>
          <w:lang w:eastAsia="en-AU"/>
        </w:rPr>
      </w:pPr>
      <w:r>
        <w:rPr>
          <w:lang w:eastAsia="en-AU"/>
        </w:rPr>
        <w:t xml:space="preserve">Eight school based case studies were conducted in three locations as shown in </w:t>
      </w:r>
      <w:r w:rsidRPr="00B47B0C">
        <w:rPr>
          <w:i/>
          <w:lang w:eastAsia="en-AU"/>
        </w:rPr>
        <w:t>Table 1</w:t>
      </w:r>
      <w:r>
        <w:rPr>
          <w:i/>
          <w:lang w:eastAsia="en-AU"/>
        </w:rPr>
        <w:t>.</w:t>
      </w:r>
      <w:r>
        <w:rPr>
          <w:lang w:eastAsia="en-AU"/>
        </w:rPr>
        <w:t xml:space="preserve"> Six case studies were originally planned. One of these, </w:t>
      </w:r>
      <w:r w:rsidRPr="007B4602">
        <w:rPr>
          <w:i/>
          <w:lang w:eastAsia="en-AU"/>
        </w:rPr>
        <w:t>Tiantaake Primary School</w:t>
      </w:r>
      <w:r>
        <w:rPr>
          <w:lang w:eastAsia="en-AU"/>
        </w:rPr>
        <w:t xml:space="preserve"> in Nonouti, was changed to </w:t>
      </w:r>
      <w:r w:rsidRPr="007B4602">
        <w:rPr>
          <w:i/>
          <w:lang w:eastAsia="en-AU"/>
        </w:rPr>
        <w:t>Kabeni Primary School</w:t>
      </w:r>
      <w:r>
        <w:rPr>
          <w:lang w:eastAsia="en-AU"/>
        </w:rPr>
        <w:t xml:space="preserve"> when </w:t>
      </w:r>
      <w:r w:rsidRPr="007B4602">
        <w:rPr>
          <w:i/>
          <w:lang w:eastAsia="en-AU"/>
        </w:rPr>
        <w:t>Tiantaake</w:t>
      </w:r>
      <w:r>
        <w:rPr>
          <w:lang w:eastAsia="en-AU"/>
        </w:rPr>
        <w:t xml:space="preserve"> proved to be unreachable because of damage to the causeway. </w:t>
      </w:r>
      <w:r w:rsidRPr="007B4602">
        <w:rPr>
          <w:i/>
          <w:lang w:eastAsia="en-AU"/>
        </w:rPr>
        <w:t>Kabeni</w:t>
      </w:r>
      <w:r>
        <w:rPr>
          <w:lang w:eastAsia="en-AU"/>
        </w:rPr>
        <w:t xml:space="preserve"> was judged to be an appropriate substitution as it shared many of the same </w:t>
      </w:r>
      <w:r>
        <w:rPr>
          <w:lang w:eastAsia="en-AU"/>
        </w:rPr>
        <w:lastRenderedPageBreak/>
        <w:t xml:space="preserve">characteristics as </w:t>
      </w:r>
      <w:r w:rsidRPr="007B4602">
        <w:rPr>
          <w:i/>
          <w:lang w:eastAsia="en-AU"/>
        </w:rPr>
        <w:t>Tiantaake</w:t>
      </w:r>
      <w:r>
        <w:rPr>
          <w:lang w:eastAsia="en-AU"/>
        </w:rPr>
        <w:t xml:space="preserve"> namely, it was a small school in a similarly isolated area at a remote end of Nonouti, and had three multigrade classes taught by two permanent teachers and a monitor. As flight schedules made it possible, two additional schools were added to the CSR being </w:t>
      </w:r>
      <w:r w:rsidRPr="007B4602">
        <w:rPr>
          <w:i/>
          <w:lang w:eastAsia="en-AU"/>
        </w:rPr>
        <w:t>Ainen Karawa Primary School</w:t>
      </w:r>
      <w:r>
        <w:rPr>
          <w:lang w:eastAsia="en-AU"/>
        </w:rPr>
        <w:t xml:space="preserve"> in Butaritari and </w:t>
      </w:r>
      <w:r w:rsidRPr="007B4602">
        <w:rPr>
          <w:i/>
          <w:lang w:eastAsia="en-AU"/>
        </w:rPr>
        <w:t>Tauroi Primary School</w:t>
      </w:r>
      <w:r>
        <w:rPr>
          <w:lang w:eastAsia="en-AU"/>
        </w:rPr>
        <w:t xml:space="preserve"> in Nonouti. These were the largest schools in their respective islands and offered a point of comparison to the South Tarawa schools and with smaller outer island schools.</w:t>
      </w:r>
    </w:p>
    <w:p w14:paraId="38234EA5" w14:textId="77777777" w:rsidR="00AC362E" w:rsidRPr="002E3F48" w:rsidRDefault="00AC362E" w:rsidP="00ED0631">
      <w:pPr>
        <w:keepNext/>
        <w:keepLines/>
        <w:rPr>
          <w:b/>
          <w:lang w:eastAsia="en-AU"/>
        </w:rPr>
      </w:pPr>
      <w:r w:rsidRPr="00B47B0C">
        <w:rPr>
          <w:b/>
          <w:lang w:eastAsia="en-AU"/>
        </w:rPr>
        <w:t>Table 1: Schools</w:t>
      </w:r>
      <w:r w:rsidRPr="002E3F48">
        <w:rPr>
          <w:b/>
          <w:lang w:eastAsia="en-AU"/>
        </w:rPr>
        <w:t xml:space="preserve"> selected in each location for case study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31"/>
        <w:gridCol w:w="3121"/>
        <w:gridCol w:w="2670"/>
      </w:tblGrid>
      <w:tr w:rsidR="00AC362E" w:rsidRPr="00050B82" w14:paraId="63EE9FEF" w14:textId="77777777" w:rsidTr="00ED0631">
        <w:trPr>
          <w:cantSplit/>
          <w:trHeight w:val="227"/>
        </w:trPr>
        <w:tc>
          <w:tcPr>
            <w:tcW w:w="2431" w:type="dxa"/>
            <w:shd w:val="clear" w:color="000000" w:fill="FFFFFF"/>
            <w:vAlign w:val="center"/>
            <w:hideMark/>
          </w:tcPr>
          <w:p w14:paraId="3D8CE523" w14:textId="77777777" w:rsidR="00AC362E" w:rsidRPr="003C62A2" w:rsidRDefault="00AC362E" w:rsidP="00ED0631">
            <w:pPr>
              <w:rPr>
                <w:b/>
                <w:lang w:eastAsia="en-AU"/>
              </w:rPr>
            </w:pPr>
            <w:r w:rsidRPr="003C62A2">
              <w:rPr>
                <w:b/>
                <w:lang w:eastAsia="en-AU"/>
              </w:rPr>
              <w:t>South Tarawa</w:t>
            </w:r>
          </w:p>
        </w:tc>
        <w:tc>
          <w:tcPr>
            <w:tcW w:w="3121" w:type="dxa"/>
            <w:shd w:val="clear" w:color="000000" w:fill="FFFFFF"/>
            <w:vAlign w:val="center"/>
            <w:hideMark/>
          </w:tcPr>
          <w:p w14:paraId="613F3758" w14:textId="77777777" w:rsidR="00AC362E" w:rsidRPr="003C62A2" w:rsidRDefault="00AC362E" w:rsidP="00ED0631">
            <w:pPr>
              <w:rPr>
                <w:b/>
                <w:lang w:eastAsia="en-AU"/>
              </w:rPr>
            </w:pPr>
            <w:r w:rsidRPr="003C62A2">
              <w:rPr>
                <w:b/>
                <w:lang w:eastAsia="en-AU"/>
              </w:rPr>
              <w:t>Butaritari</w:t>
            </w:r>
          </w:p>
        </w:tc>
        <w:tc>
          <w:tcPr>
            <w:tcW w:w="2670" w:type="dxa"/>
            <w:shd w:val="clear" w:color="000000" w:fill="FFFFFF"/>
            <w:vAlign w:val="center"/>
            <w:hideMark/>
          </w:tcPr>
          <w:p w14:paraId="513B1DAF" w14:textId="77777777" w:rsidR="00AC362E" w:rsidRPr="003C62A2" w:rsidRDefault="00AC362E" w:rsidP="00ED0631">
            <w:pPr>
              <w:rPr>
                <w:b/>
                <w:lang w:eastAsia="en-AU"/>
              </w:rPr>
            </w:pPr>
            <w:r w:rsidRPr="003C62A2">
              <w:rPr>
                <w:b/>
                <w:lang w:eastAsia="en-AU"/>
              </w:rPr>
              <w:t>Nonouti</w:t>
            </w:r>
          </w:p>
        </w:tc>
      </w:tr>
      <w:tr w:rsidR="00AC362E" w:rsidRPr="00050B82" w14:paraId="20D831A8" w14:textId="77777777" w:rsidTr="00ED0631">
        <w:trPr>
          <w:cantSplit/>
          <w:trHeight w:val="227"/>
        </w:trPr>
        <w:tc>
          <w:tcPr>
            <w:tcW w:w="2431" w:type="dxa"/>
            <w:shd w:val="clear" w:color="000000" w:fill="FFFFFF"/>
            <w:vAlign w:val="center"/>
            <w:hideMark/>
          </w:tcPr>
          <w:p w14:paraId="547A7A1A" w14:textId="77777777" w:rsidR="00AC362E" w:rsidRPr="00050B82" w:rsidRDefault="00AC362E" w:rsidP="00ED0631">
            <w:pPr>
              <w:rPr>
                <w:lang w:eastAsia="en-AU"/>
              </w:rPr>
            </w:pPr>
            <w:r w:rsidRPr="00050B82">
              <w:rPr>
                <w:lang w:eastAsia="en-AU"/>
              </w:rPr>
              <w:t>Abaunamou</w:t>
            </w:r>
          </w:p>
        </w:tc>
        <w:tc>
          <w:tcPr>
            <w:tcW w:w="3121" w:type="dxa"/>
            <w:shd w:val="clear" w:color="000000" w:fill="FFFFFF"/>
            <w:vAlign w:val="center"/>
            <w:hideMark/>
          </w:tcPr>
          <w:p w14:paraId="79AB0EF5" w14:textId="77777777" w:rsidR="00AC362E" w:rsidRPr="00050B82" w:rsidRDefault="00AC362E" w:rsidP="00ED0631">
            <w:pPr>
              <w:rPr>
                <w:lang w:eastAsia="en-AU"/>
              </w:rPr>
            </w:pPr>
            <w:r w:rsidRPr="00050B82">
              <w:rPr>
                <w:lang w:eastAsia="en-AU"/>
              </w:rPr>
              <w:t>Nauraken Te Ranga (Tabonuea)</w:t>
            </w:r>
          </w:p>
        </w:tc>
        <w:tc>
          <w:tcPr>
            <w:tcW w:w="2670" w:type="dxa"/>
            <w:shd w:val="clear" w:color="000000" w:fill="FFFFFF"/>
            <w:vAlign w:val="center"/>
            <w:hideMark/>
          </w:tcPr>
          <w:p w14:paraId="3269D334" w14:textId="77777777" w:rsidR="00AC362E" w:rsidRPr="00050B82" w:rsidRDefault="00AC362E" w:rsidP="00ED0631">
            <w:pPr>
              <w:rPr>
                <w:lang w:eastAsia="en-AU"/>
              </w:rPr>
            </w:pPr>
            <w:r w:rsidRPr="00050B82">
              <w:rPr>
                <w:lang w:eastAsia="en-AU"/>
              </w:rPr>
              <w:t>Routa</w:t>
            </w:r>
          </w:p>
        </w:tc>
      </w:tr>
      <w:tr w:rsidR="00AC362E" w:rsidRPr="00050B82" w14:paraId="519D9AF4" w14:textId="77777777" w:rsidTr="00ED0631">
        <w:trPr>
          <w:cantSplit/>
          <w:trHeight w:val="227"/>
        </w:trPr>
        <w:tc>
          <w:tcPr>
            <w:tcW w:w="2431" w:type="dxa"/>
            <w:shd w:val="clear" w:color="000000" w:fill="FFFFFF"/>
            <w:vAlign w:val="center"/>
            <w:hideMark/>
          </w:tcPr>
          <w:p w14:paraId="20F5C39D" w14:textId="77777777" w:rsidR="00AC362E" w:rsidRPr="00050B82" w:rsidRDefault="00AC362E" w:rsidP="00ED0631">
            <w:pPr>
              <w:rPr>
                <w:lang w:eastAsia="en-AU"/>
              </w:rPr>
            </w:pPr>
            <w:r w:rsidRPr="00050B82">
              <w:rPr>
                <w:lang w:eastAsia="en-AU"/>
              </w:rPr>
              <w:t>Bareaumai</w:t>
            </w:r>
          </w:p>
        </w:tc>
        <w:tc>
          <w:tcPr>
            <w:tcW w:w="3121" w:type="dxa"/>
            <w:shd w:val="clear" w:color="000000" w:fill="FFFFFF"/>
            <w:vAlign w:val="center"/>
            <w:hideMark/>
          </w:tcPr>
          <w:p w14:paraId="0F5E1FC0" w14:textId="77777777" w:rsidR="00AC362E" w:rsidRPr="00050B82" w:rsidRDefault="00AC362E" w:rsidP="00ED0631">
            <w:pPr>
              <w:rPr>
                <w:lang w:eastAsia="en-AU"/>
              </w:rPr>
            </w:pPr>
            <w:r w:rsidRPr="00050B82">
              <w:rPr>
                <w:lang w:eastAsia="en-AU"/>
              </w:rPr>
              <w:t>Anderson</w:t>
            </w:r>
          </w:p>
        </w:tc>
        <w:tc>
          <w:tcPr>
            <w:tcW w:w="2670" w:type="dxa"/>
            <w:shd w:val="clear" w:color="000000" w:fill="FFFFFF"/>
            <w:vAlign w:val="center"/>
            <w:hideMark/>
          </w:tcPr>
          <w:p w14:paraId="28F4C7B1" w14:textId="77777777" w:rsidR="00AC362E" w:rsidRPr="00050B82" w:rsidRDefault="00AC362E" w:rsidP="00ED0631">
            <w:pPr>
              <w:rPr>
                <w:lang w:eastAsia="en-AU"/>
              </w:rPr>
            </w:pPr>
            <w:r w:rsidRPr="00050B82">
              <w:rPr>
                <w:lang w:eastAsia="en-AU"/>
              </w:rPr>
              <w:t>Kabanei</w:t>
            </w:r>
          </w:p>
        </w:tc>
      </w:tr>
      <w:tr w:rsidR="00AC362E" w:rsidRPr="00050B82" w14:paraId="70B2CB62" w14:textId="77777777" w:rsidTr="00ED0631">
        <w:trPr>
          <w:cantSplit/>
          <w:trHeight w:val="331"/>
        </w:trPr>
        <w:tc>
          <w:tcPr>
            <w:tcW w:w="2431" w:type="dxa"/>
            <w:shd w:val="clear" w:color="000000" w:fill="FFFFFF"/>
            <w:vAlign w:val="center"/>
            <w:hideMark/>
          </w:tcPr>
          <w:p w14:paraId="264E71B0" w14:textId="77777777" w:rsidR="00AC362E" w:rsidRPr="00050B82" w:rsidRDefault="00AC362E" w:rsidP="00ED0631">
            <w:pPr>
              <w:rPr>
                <w:lang w:eastAsia="en-AU"/>
              </w:rPr>
            </w:pPr>
          </w:p>
        </w:tc>
        <w:tc>
          <w:tcPr>
            <w:tcW w:w="3121" w:type="dxa"/>
            <w:shd w:val="clear" w:color="000000" w:fill="FFFFFF"/>
            <w:vAlign w:val="center"/>
            <w:hideMark/>
          </w:tcPr>
          <w:p w14:paraId="2A6C27C2" w14:textId="77777777" w:rsidR="00AC362E" w:rsidRPr="00050B82" w:rsidRDefault="00AC362E" w:rsidP="00ED0631">
            <w:pPr>
              <w:rPr>
                <w:lang w:eastAsia="en-AU"/>
              </w:rPr>
            </w:pPr>
            <w:r w:rsidRPr="00050B82">
              <w:rPr>
                <w:lang w:eastAsia="en-AU"/>
              </w:rPr>
              <w:t>Ainen Karawa</w:t>
            </w:r>
          </w:p>
        </w:tc>
        <w:tc>
          <w:tcPr>
            <w:tcW w:w="2670" w:type="dxa"/>
            <w:shd w:val="clear" w:color="000000" w:fill="FFFFFF"/>
            <w:vAlign w:val="center"/>
            <w:hideMark/>
          </w:tcPr>
          <w:p w14:paraId="123E0782" w14:textId="77777777" w:rsidR="00AC362E" w:rsidRPr="00050B82" w:rsidRDefault="00AC362E" w:rsidP="00ED0631">
            <w:pPr>
              <w:rPr>
                <w:lang w:eastAsia="en-AU"/>
              </w:rPr>
            </w:pPr>
            <w:r w:rsidRPr="00050B82">
              <w:rPr>
                <w:lang w:eastAsia="en-AU"/>
              </w:rPr>
              <w:t>Tauraoi</w:t>
            </w:r>
          </w:p>
        </w:tc>
      </w:tr>
    </w:tbl>
    <w:p w14:paraId="1631618B" w14:textId="77777777" w:rsidR="00AC362E" w:rsidRDefault="00AC362E" w:rsidP="00ED0631">
      <w:pPr>
        <w:spacing w:before="240"/>
        <w:rPr>
          <w:lang w:eastAsia="en-AU"/>
        </w:rPr>
      </w:pPr>
      <w:r>
        <w:rPr>
          <w:lang w:eastAsia="en-AU"/>
        </w:rPr>
        <w:t xml:space="preserve">The combination of schools chosen provided a mix of large and small schools, urban (South Tarawa) and rural (Outer Island) schools, mono-grade and multi-grade schools, schools where the School Leader has a full-time teaching load and those where they have a full-time leadership role, refurbished and non-refurbished schools. </w:t>
      </w:r>
      <w:r w:rsidRPr="00370421">
        <w:rPr>
          <w:lang w:eastAsia="en-AU"/>
        </w:rPr>
        <w:t>Intention is to capture the range of different experiences rather than to generalise across other schools not visited.</w:t>
      </w:r>
    </w:p>
    <w:p w14:paraId="7F77DD8B" w14:textId="77777777" w:rsidR="00AC362E" w:rsidRDefault="00AC362E" w:rsidP="00ED0631">
      <w:pPr>
        <w:spacing w:after="0"/>
        <w:rPr>
          <w:lang w:eastAsia="en-AU"/>
        </w:rPr>
      </w:pPr>
      <w:r>
        <w:rPr>
          <w:lang w:eastAsia="en-AU"/>
        </w:rPr>
        <w:t>The CSR Team used a mixture of interviews, classroom observation and photographs of school infrastructure to collect information for the studies. Head Teachers were interviewed individually while teachers, school committees and SIP committees involved group interviews. The CSR Consultant conducted the interviews of Head Teachers in English while the Local Case Study Researchers conducted the group interviews in T-Kiribati. All interviews and classroom observation utilised instruments developed and piloted prior to the field visits</w:t>
      </w:r>
      <w:r>
        <w:rPr>
          <w:rStyle w:val="FootnoteReference"/>
          <w:lang w:eastAsia="en-AU"/>
        </w:rPr>
        <w:footnoteReference w:id="28"/>
      </w:r>
      <w:r>
        <w:rPr>
          <w:lang w:eastAsia="en-AU"/>
        </w:rPr>
        <w:t>.</w:t>
      </w:r>
    </w:p>
    <w:p w14:paraId="271A3BFA" w14:textId="77777777" w:rsidR="00FF2C50" w:rsidRDefault="00FF2C50" w:rsidP="00ED0631">
      <w:pPr>
        <w:spacing w:after="0"/>
        <w:rPr>
          <w:lang w:eastAsia="en-AU"/>
        </w:rPr>
      </w:pPr>
    </w:p>
    <w:p w14:paraId="347B2BB6" w14:textId="77777777" w:rsidR="00AC362E" w:rsidRDefault="00AC362E" w:rsidP="00ED0631">
      <w:pPr>
        <w:spacing w:after="0"/>
        <w:rPr>
          <w:lang w:eastAsia="en-AU"/>
        </w:rPr>
      </w:pPr>
      <w:r>
        <w:rPr>
          <w:lang w:eastAsia="en-AU"/>
        </w:rPr>
        <w:t xml:space="preserve">Case studies of the eight Kiribati schools are attached in </w:t>
      </w:r>
      <w:r w:rsidRPr="00B47B0C">
        <w:rPr>
          <w:i/>
          <w:lang w:eastAsia="en-AU"/>
        </w:rPr>
        <w:t>Annex 4</w:t>
      </w:r>
      <w:r>
        <w:rPr>
          <w:lang w:eastAsia="en-AU"/>
        </w:rPr>
        <w:t>.</w:t>
      </w:r>
    </w:p>
    <w:p w14:paraId="7448B5AA" w14:textId="77777777" w:rsidR="00AC362E" w:rsidRDefault="00AC362E" w:rsidP="00ED0631">
      <w:pPr>
        <w:pStyle w:val="Heading1"/>
        <w:rPr>
          <w:rFonts w:eastAsia="Times New Roman"/>
          <w:lang w:eastAsia="en-AU"/>
        </w:rPr>
      </w:pPr>
      <w:bookmarkStart w:id="136" w:name="_Toc461615754"/>
      <w:r>
        <w:rPr>
          <w:rFonts w:eastAsia="Times New Roman"/>
          <w:lang w:eastAsia="en-AU"/>
        </w:rPr>
        <w:t>6</w:t>
      </w:r>
      <w:r>
        <w:rPr>
          <w:rFonts w:eastAsia="Times New Roman"/>
          <w:lang w:eastAsia="en-AU"/>
        </w:rPr>
        <w:tab/>
      </w:r>
      <w:r w:rsidRPr="00382778">
        <w:rPr>
          <w:rFonts w:eastAsia="Times New Roman"/>
          <w:lang w:eastAsia="en-AU"/>
        </w:rPr>
        <w:t xml:space="preserve">Synthesis of results </w:t>
      </w:r>
      <w:r>
        <w:rPr>
          <w:rStyle w:val="FootnoteReference"/>
          <w:rFonts w:eastAsia="Times New Roman"/>
          <w:lang w:eastAsia="en-AU"/>
        </w:rPr>
        <w:footnoteReference w:id="29"/>
      </w:r>
      <w:bookmarkEnd w:id="136"/>
    </w:p>
    <w:p w14:paraId="246E1EB7" w14:textId="77777777" w:rsidR="00AC362E" w:rsidRDefault="00AC362E" w:rsidP="00ED0631">
      <w:pPr>
        <w:pStyle w:val="Heading2"/>
      </w:pPr>
      <w:bookmarkStart w:id="137" w:name="_Toc461615755"/>
      <w:r>
        <w:t>6.1</w:t>
      </w:r>
      <w:r>
        <w:tab/>
      </w:r>
      <w:r w:rsidRPr="0072514B">
        <w:t>Curriculum Reform</w:t>
      </w:r>
      <w:bookmarkEnd w:id="137"/>
    </w:p>
    <w:p w14:paraId="2F9D11F2" w14:textId="77777777" w:rsidR="00AC362E" w:rsidRPr="00EE145A" w:rsidRDefault="00AC362E" w:rsidP="00ED0631">
      <w:pPr>
        <w:spacing w:before="240" w:after="240"/>
        <w:rPr>
          <w:lang w:eastAsia="en-AU"/>
        </w:rPr>
      </w:pPr>
      <w:r w:rsidRPr="00EE145A">
        <w:rPr>
          <w:lang w:eastAsia="en-AU"/>
        </w:rPr>
        <w:t xml:space="preserve">SED results reveal that 76% of </w:t>
      </w:r>
      <w:r>
        <w:rPr>
          <w:lang w:eastAsia="en-AU"/>
        </w:rPr>
        <w:t>T</w:t>
      </w:r>
      <w:r w:rsidRPr="00EE145A">
        <w:rPr>
          <w:lang w:eastAsia="en-AU"/>
        </w:rPr>
        <w:t xml:space="preserve">eachers had received at least one session of training on the new curriculum. Rates were highest for small islands (89%) and lowest in South Tarawa were only 70% of teachers had received training (see Table 2). Approximately half had received </w:t>
      </w:r>
      <w:r>
        <w:rPr>
          <w:lang w:eastAsia="en-AU"/>
        </w:rPr>
        <w:t xml:space="preserve">at least one </w:t>
      </w:r>
      <w:r w:rsidRPr="00EE145A">
        <w:rPr>
          <w:lang w:eastAsia="en-AU"/>
        </w:rPr>
        <w:t>training</w:t>
      </w:r>
      <w:r>
        <w:rPr>
          <w:lang w:eastAsia="en-AU"/>
        </w:rPr>
        <w:t xml:space="preserve"> cycle</w:t>
      </w:r>
      <w:r w:rsidRPr="00EE145A">
        <w:rPr>
          <w:lang w:eastAsia="en-AU"/>
        </w:rPr>
        <w:t xml:space="preserve"> on Year 1&amp;2 curriculum and the remainder on Year 3&amp;4 curriculum. However, case studies indicated that these figures applied only to permanent teachers. Most contract teachers had received no training and in a number of schools, untrained monitors were also teaching classes.</w:t>
      </w:r>
    </w:p>
    <w:p w14:paraId="37C644FC" w14:textId="77777777" w:rsidR="00AC362E" w:rsidRPr="00145B37" w:rsidRDefault="00AC362E" w:rsidP="00ED0631">
      <w:pPr>
        <w:spacing w:after="0"/>
        <w:rPr>
          <w:rFonts w:asciiTheme="majorHAnsi" w:eastAsia="Times New Roman" w:hAnsiTheme="majorHAnsi" w:cstheme="majorHAnsi"/>
          <w:b/>
          <w:color w:val="000000"/>
          <w:spacing w:val="-2"/>
          <w:lang w:eastAsia="en-AU"/>
        </w:rPr>
      </w:pPr>
      <w:r w:rsidRPr="00145B37">
        <w:rPr>
          <w:rFonts w:asciiTheme="majorHAnsi" w:eastAsia="Times New Roman" w:hAnsiTheme="majorHAnsi" w:cstheme="majorHAnsi"/>
          <w:b/>
          <w:color w:val="000000"/>
          <w:spacing w:val="-2"/>
          <w:lang w:eastAsia="en-AU"/>
        </w:rPr>
        <w:t>Table 2: Number and Percent of teachers who had received at least one new curriculum training by island type</w:t>
      </w:r>
    </w:p>
    <w:tbl>
      <w:tblPr>
        <w:tblW w:w="6472" w:type="dxa"/>
        <w:tblInd w:w="93" w:type="dxa"/>
        <w:tblLook w:val="04A0" w:firstRow="1" w:lastRow="0" w:firstColumn="1" w:lastColumn="0" w:noHBand="0" w:noVBand="1"/>
      </w:tblPr>
      <w:tblGrid>
        <w:gridCol w:w="1433"/>
        <w:gridCol w:w="1271"/>
        <w:gridCol w:w="1256"/>
        <w:gridCol w:w="1256"/>
        <w:gridCol w:w="1256"/>
      </w:tblGrid>
      <w:tr w:rsidR="00AC362E" w:rsidRPr="00145B37" w14:paraId="57F47034"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4C5149BE" w14:textId="77777777" w:rsidR="00AC362E" w:rsidRPr="00145B37" w:rsidRDefault="00AC362E" w:rsidP="00ED0631">
            <w:pPr>
              <w:spacing w:after="0"/>
              <w:rPr>
                <w:rFonts w:asciiTheme="majorHAnsi" w:eastAsia="Times New Roman" w:hAnsiTheme="majorHAnsi" w:cstheme="majorHAnsi"/>
                <w:b/>
                <w:bCs/>
                <w:color w:val="000000"/>
                <w:lang w:eastAsia="en-AU"/>
              </w:rPr>
            </w:pPr>
          </w:p>
        </w:tc>
        <w:tc>
          <w:tcPr>
            <w:tcW w:w="1271" w:type="dxa"/>
            <w:tcBorders>
              <w:top w:val="single" w:sz="4" w:space="0" w:color="auto"/>
              <w:left w:val="nil"/>
              <w:bottom w:val="single" w:sz="4" w:space="0" w:color="auto"/>
              <w:right w:val="nil"/>
            </w:tcBorders>
            <w:shd w:val="clear" w:color="auto" w:fill="auto"/>
            <w:noWrap/>
            <w:hideMark/>
          </w:tcPr>
          <w:p w14:paraId="6586E1D3"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Yes</w:t>
            </w:r>
          </w:p>
        </w:tc>
        <w:tc>
          <w:tcPr>
            <w:tcW w:w="1256" w:type="dxa"/>
            <w:tcBorders>
              <w:top w:val="single" w:sz="4" w:space="0" w:color="auto"/>
              <w:left w:val="nil"/>
              <w:bottom w:val="single" w:sz="4" w:space="0" w:color="auto"/>
              <w:right w:val="nil"/>
            </w:tcBorders>
            <w:shd w:val="clear" w:color="auto" w:fill="auto"/>
            <w:noWrap/>
            <w:hideMark/>
          </w:tcPr>
          <w:p w14:paraId="029259C3"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No</w:t>
            </w:r>
          </w:p>
        </w:tc>
        <w:tc>
          <w:tcPr>
            <w:tcW w:w="1256" w:type="dxa"/>
            <w:tcBorders>
              <w:top w:val="single" w:sz="4" w:space="0" w:color="auto"/>
              <w:left w:val="nil"/>
              <w:bottom w:val="single" w:sz="4" w:space="0" w:color="auto"/>
              <w:right w:val="nil"/>
            </w:tcBorders>
          </w:tcPr>
          <w:p w14:paraId="438A35DA"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 Yes</w:t>
            </w:r>
          </w:p>
        </w:tc>
        <w:tc>
          <w:tcPr>
            <w:tcW w:w="1256" w:type="dxa"/>
            <w:tcBorders>
              <w:top w:val="single" w:sz="4" w:space="0" w:color="auto"/>
              <w:left w:val="nil"/>
              <w:bottom w:val="single" w:sz="4" w:space="0" w:color="auto"/>
              <w:right w:val="nil"/>
            </w:tcBorders>
          </w:tcPr>
          <w:p w14:paraId="2840C5E3"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 No</w:t>
            </w:r>
          </w:p>
        </w:tc>
      </w:tr>
      <w:tr w:rsidR="00AC362E" w:rsidRPr="00145B37" w14:paraId="1DA048DE"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57815374"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Large island</w:t>
            </w:r>
          </w:p>
        </w:tc>
        <w:tc>
          <w:tcPr>
            <w:tcW w:w="1271" w:type="dxa"/>
            <w:tcBorders>
              <w:top w:val="nil"/>
              <w:left w:val="nil"/>
              <w:bottom w:val="nil"/>
              <w:right w:val="nil"/>
            </w:tcBorders>
            <w:shd w:val="clear" w:color="auto" w:fill="auto"/>
            <w:noWrap/>
            <w:vAlign w:val="bottom"/>
            <w:hideMark/>
          </w:tcPr>
          <w:p w14:paraId="176B7DCF"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62</w:t>
            </w:r>
          </w:p>
        </w:tc>
        <w:tc>
          <w:tcPr>
            <w:tcW w:w="1256" w:type="dxa"/>
            <w:tcBorders>
              <w:top w:val="nil"/>
              <w:left w:val="nil"/>
              <w:bottom w:val="nil"/>
              <w:right w:val="nil"/>
            </w:tcBorders>
            <w:shd w:val="clear" w:color="auto" w:fill="auto"/>
            <w:noWrap/>
            <w:vAlign w:val="bottom"/>
            <w:hideMark/>
          </w:tcPr>
          <w:p w14:paraId="11C61A8F"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16</w:t>
            </w:r>
          </w:p>
        </w:tc>
        <w:tc>
          <w:tcPr>
            <w:tcW w:w="1256" w:type="dxa"/>
            <w:tcBorders>
              <w:top w:val="nil"/>
              <w:left w:val="nil"/>
              <w:bottom w:val="nil"/>
              <w:right w:val="nil"/>
            </w:tcBorders>
            <w:vAlign w:val="bottom"/>
          </w:tcPr>
          <w:p w14:paraId="77F5A7CD"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79</w:t>
            </w:r>
          </w:p>
        </w:tc>
        <w:tc>
          <w:tcPr>
            <w:tcW w:w="1256" w:type="dxa"/>
            <w:tcBorders>
              <w:top w:val="nil"/>
              <w:left w:val="nil"/>
              <w:bottom w:val="nil"/>
              <w:right w:val="nil"/>
            </w:tcBorders>
            <w:vAlign w:val="bottom"/>
          </w:tcPr>
          <w:p w14:paraId="26336B18"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21</w:t>
            </w:r>
          </w:p>
        </w:tc>
      </w:tr>
      <w:tr w:rsidR="00AC362E" w:rsidRPr="00145B37" w14:paraId="60A31D4B" w14:textId="77777777" w:rsidTr="00ED0631">
        <w:trPr>
          <w:trHeight w:val="315"/>
        </w:trPr>
        <w:tc>
          <w:tcPr>
            <w:tcW w:w="1433" w:type="dxa"/>
            <w:tcBorders>
              <w:top w:val="nil"/>
              <w:left w:val="nil"/>
              <w:bottom w:val="nil"/>
              <w:right w:val="nil"/>
            </w:tcBorders>
            <w:shd w:val="clear" w:color="auto" w:fill="auto"/>
            <w:noWrap/>
            <w:vAlign w:val="bottom"/>
            <w:hideMark/>
          </w:tcPr>
          <w:p w14:paraId="29183BA0"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Small island</w:t>
            </w:r>
          </w:p>
        </w:tc>
        <w:tc>
          <w:tcPr>
            <w:tcW w:w="1271" w:type="dxa"/>
            <w:tcBorders>
              <w:top w:val="nil"/>
              <w:left w:val="nil"/>
              <w:bottom w:val="nil"/>
              <w:right w:val="nil"/>
            </w:tcBorders>
            <w:shd w:val="clear" w:color="auto" w:fill="auto"/>
            <w:noWrap/>
            <w:vAlign w:val="bottom"/>
            <w:hideMark/>
          </w:tcPr>
          <w:p w14:paraId="21B42DD6"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25</w:t>
            </w:r>
          </w:p>
        </w:tc>
        <w:tc>
          <w:tcPr>
            <w:tcW w:w="1256" w:type="dxa"/>
            <w:tcBorders>
              <w:top w:val="nil"/>
              <w:left w:val="nil"/>
              <w:bottom w:val="nil"/>
              <w:right w:val="nil"/>
            </w:tcBorders>
            <w:shd w:val="clear" w:color="auto" w:fill="auto"/>
            <w:noWrap/>
            <w:vAlign w:val="bottom"/>
            <w:hideMark/>
          </w:tcPr>
          <w:p w14:paraId="184F33E0"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3</w:t>
            </w:r>
          </w:p>
        </w:tc>
        <w:tc>
          <w:tcPr>
            <w:tcW w:w="1256" w:type="dxa"/>
            <w:tcBorders>
              <w:top w:val="nil"/>
              <w:left w:val="nil"/>
              <w:bottom w:val="nil"/>
              <w:right w:val="nil"/>
            </w:tcBorders>
            <w:vAlign w:val="bottom"/>
          </w:tcPr>
          <w:p w14:paraId="3185D6A4"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89</w:t>
            </w:r>
          </w:p>
        </w:tc>
        <w:tc>
          <w:tcPr>
            <w:tcW w:w="1256" w:type="dxa"/>
            <w:tcBorders>
              <w:top w:val="nil"/>
              <w:left w:val="nil"/>
              <w:bottom w:val="nil"/>
              <w:right w:val="nil"/>
            </w:tcBorders>
            <w:vAlign w:val="bottom"/>
          </w:tcPr>
          <w:p w14:paraId="7688293E"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11</w:t>
            </w:r>
          </w:p>
        </w:tc>
      </w:tr>
      <w:tr w:rsidR="00AC362E" w:rsidRPr="00145B37" w14:paraId="26E7D836" w14:textId="77777777" w:rsidTr="00ED0631">
        <w:trPr>
          <w:trHeight w:val="315"/>
        </w:trPr>
        <w:tc>
          <w:tcPr>
            <w:tcW w:w="1433" w:type="dxa"/>
            <w:tcBorders>
              <w:top w:val="nil"/>
              <w:left w:val="nil"/>
              <w:bottom w:val="nil"/>
              <w:right w:val="nil"/>
            </w:tcBorders>
            <w:shd w:val="clear" w:color="auto" w:fill="auto"/>
            <w:noWrap/>
            <w:vAlign w:val="bottom"/>
            <w:hideMark/>
          </w:tcPr>
          <w:p w14:paraId="6CA7A421"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Sth Tarawa</w:t>
            </w:r>
          </w:p>
        </w:tc>
        <w:tc>
          <w:tcPr>
            <w:tcW w:w="1271" w:type="dxa"/>
            <w:tcBorders>
              <w:top w:val="nil"/>
              <w:left w:val="nil"/>
              <w:bottom w:val="nil"/>
              <w:right w:val="nil"/>
            </w:tcBorders>
            <w:shd w:val="clear" w:color="auto" w:fill="auto"/>
            <w:noWrap/>
            <w:vAlign w:val="bottom"/>
            <w:hideMark/>
          </w:tcPr>
          <w:p w14:paraId="765076AD"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68</w:t>
            </w:r>
          </w:p>
        </w:tc>
        <w:tc>
          <w:tcPr>
            <w:tcW w:w="1256" w:type="dxa"/>
            <w:tcBorders>
              <w:top w:val="nil"/>
              <w:left w:val="nil"/>
              <w:bottom w:val="nil"/>
              <w:right w:val="nil"/>
            </w:tcBorders>
            <w:shd w:val="clear" w:color="auto" w:fill="auto"/>
            <w:noWrap/>
            <w:vAlign w:val="bottom"/>
            <w:hideMark/>
          </w:tcPr>
          <w:p w14:paraId="07E5D23F"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29</w:t>
            </w:r>
          </w:p>
        </w:tc>
        <w:tc>
          <w:tcPr>
            <w:tcW w:w="1256" w:type="dxa"/>
            <w:tcBorders>
              <w:top w:val="nil"/>
              <w:left w:val="nil"/>
              <w:bottom w:val="nil"/>
              <w:right w:val="nil"/>
            </w:tcBorders>
            <w:vAlign w:val="bottom"/>
          </w:tcPr>
          <w:p w14:paraId="16BF770F"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70</w:t>
            </w:r>
          </w:p>
        </w:tc>
        <w:tc>
          <w:tcPr>
            <w:tcW w:w="1256" w:type="dxa"/>
            <w:tcBorders>
              <w:top w:val="nil"/>
              <w:left w:val="nil"/>
              <w:bottom w:val="nil"/>
              <w:right w:val="nil"/>
            </w:tcBorders>
            <w:vAlign w:val="bottom"/>
          </w:tcPr>
          <w:p w14:paraId="4A472874"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30</w:t>
            </w:r>
          </w:p>
        </w:tc>
      </w:tr>
      <w:tr w:rsidR="00AC362E" w:rsidRPr="00145B37" w14:paraId="498A791D" w14:textId="77777777" w:rsidTr="00ED063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275E62F0"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Total</w:t>
            </w:r>
          </w:p>
        </w:tc>
        <w:tc>
          <w:tcPr>
            <w:tcW w:w="1271" w:type="dxa"/>
            <w:tcBorders>
              <w:top w:val="single" w:sz="4" w:space="0" w:color="auto"/>
              <w:left w:val="nil"/>
              <w:bottom w:val="single" w:sz="4" w:space="0" w:color="auto"/>
              <w:right w:val="nil"/>
            </w:tcBorders>
            <w:shd w:val="clear" w:color="auto" w:fill="auto"/>
            <w:noWrap/>
            <w:vAlign w:val="bottom"/>
            <w:hideMark/>
          </w:tcPr>
          <w:p w14:paraId="6B066A6D"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155</w:t>
            </w:r>
          </w:p>
        </w:tc>
        <w:tc>
          <w:tcPr>
            <w:tcW w:w="1256" w:type="dxa"/>
            <w:tcBorders>
              <w:top w:val="single" w:sz="4" w:space="0" w:color="auto"/>
              <w:left w:val="nil"/>
              <w:bottom w:val="single" w:sz="4" w:space="0" w:color="auto"/>
              <w:right w:val="nil"/>
            </w:tcBorders>
            <w:shd w:val="clear" w:color="auto" w:fill="auto"/>
            <w:noWrap/>
            <w:vAlign w:val="bottom"/>
            <w:hideMark/>
          </w:tcPr>
          <w:p w14:paraId="702DBE3F"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48</w:t>
            </w:r>
          </w:p>
        </w:tc>
        <w:tc>
          <w:tcPr>
            <w:tcW w:w="1256" w:type="dxa"/>
            <w:tcBorders>
              <w:top w:val="single" w:sz="4" w:space="0" w:color="auto"/>
              <w:left w:val="nil"/>
              <w:bottom w:val="single" w:sz="4" w:space="0" w:color="auto"/>
              <w:right w:val="nil"/>
            </w:tcBorders>
            <w:vAlign w:val="bottom"/>
          </w:tcPr>
          <w:p w14:paraId="25E87165"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76</w:t>
            </w:r>
          </w:p>
        </w:tc>
        <w:tc>
          <w:tcPr>
            <w:tcW w:w="1256" w:type="dxa"/>
            <w:tcBorders>
              <w:top w:val="single" w:sz="4" w:space="0" w:color="auto"/>
              <w:left w:val="nil"/>
              <w:bottom w:val="single" w:sz="4" w:space="0" w:color="auto"/>
              <w:right w:val="nil"/>
            </w:tcBorders>
            <w:vAlign w:val="bottom"/>
          </w:tcPr>
          <w:p w14:paraId="615308EE"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24</w:t>
            </w:r>
          </w:p>
        </w:tc>
      </w:tr>
    </w:tbl>
    <w:p w14:paraId="60552187" w14:textId="77777777" w:rsidR="00AC362E" w:rsidRDefault="00AC362E" w:rsidP="00ED0631">
      <w:pPr>
        <w:spacing w:before="240" w:after="0"/>
        <w:rPr>
          <w:lang w:eastAsia="en-AU"/>
        </w:rPr>
      </w:pPr>
      <w:r>
        <w:rPr>
          <w:lang w:eastAsia="en-AU"/>
        </w:rPr>
        <w:lastRenderedPageBreak/>
        <w:t>There appeared to be a considerable mismatch between training and deployment. SED figures indicate that 41% of teachers trained in at least one cycle of new curriculum training for Years 1 and 2 were not teaching these grades. Similarly 32% of teachers trained in at least one cycle of new curriculum training for Years 3 and 4 were not teaching these grades. It was also the case that around 20% of teachers who were teaching Years 1&amp;2 or Years 3&amp;4 had received no training at all relevant to the years they were teaching.</w:t>
      </w:r>
    </w:p>
    <w:p w14:paraId="3CF429A3" w14:textId="77777777" w:rsidR="00AC362E" w:rsidRPr="00EE145A" w:rsidRDefault="00AC362E" w:rsidP="00ED0631">
      <w:pPr>
        <w:spacing w:before="240" w:after="0"/>
        <w:rPr>
          <w:lang w:eastAsia="en-AU"/>
        </w:rPr>
      </w:pPr>
      <w:r>
        <w:rPr>
          <w:lang w:eastAsia="en-AU"/>
        </w:rPr>
        <w:t>The CSR Team noted that, trained or not, the majority of teachers whether full time, contract or even monitors were trying to do their absolute best for their students but that untrained teachers lacking knowledge of the new curriculum continued to utilize teacher based techniques and in some cases continued to teach the old curriculum content including using English in Years 1 &amp; 2.</w:t>
      </w:r>
    </w:p>
    <w:p w14:paraId="7DEE13C6" w14:textId="77777777" w:rsidR="00AC362E" w:rsidRDefault="00AC362E" w:rsidP="00ED0631">
      <w:pPr>
        <w:pStyle w:val="Heading3"/>
        <w:spacing w:after="240"/>
        <w:rPr>
          <w:rFonts w:eastAsia="Times New Roman"/>
          <w:lang w:eastAsia="en-AU"/>
        </w:rPr>
      </w:pPr>
      <w:bookmarkStart w:id="138" w:name="_Toc461615756"/>
      <w:r>
        <w:rPr>
          <w:rFonts w:eastAsia="Times New Roman"/>
          <w:lang w:eastAsia="en-AU"/>
        </w:rPr>
        <w:t>6.1.1</w:t>
      </w:r>
      <w:r>
        <w:rPr>
          <w:rFonts w:eastAsia="Times New Roman"/>
          <w:lang w:eastAsia="en-AU"/>
        </w:rPr>
        <w:tab/>
      </w:r>
      <w:r w:rsidRPr="00C405B2">
        <w:rPr>
          <w:rFonts w:eastAsia="Times New Roman"/>
          <w:lang w:eastAsia="en-AU"/>
        </w:rPr>
        <w:t>Experience with training in new curriculum</w:t>
      </w:r>
      <w:bookmarkEnd w:id="138"/>
    </w:p>
    <w:p w14:paraId="317990A9" w14:textId="77777777" w:rsidR="00AC362E" w:rsidRDefault="00AC362E" w:rsidP="00ED0631">
      <w:pPr>
        <w:rPr>
          <w:lang w:eastAsia="en-AU"/>
        </w:rPr>
      </w:pPr>
      <w:r>
        <w:rPr>
          <w:lang w:eastAsia="en-AU"/>
        </w:rPr>
        <w:t>Both School Leaders (93%) and Teachers (89%) were overwhelmingly comfortable with the implementation of the new curriculum. All Teachers (100%) in small islands reported on the new curriculum positively while in South Tarawa teachers (84%) reported positively. Only two School Leaders interviewed reported being uncomfortable with the implementation of the new curriculum and these were both from larger islands outside of South Tarawa. School Leaders reported that the new curriculum provided better guidance for lesson plans, targeted the learning needs of students better and that students were more interested in what was being taught.</w:t>
      </w:r>
    </w:p>
    <w:p w14:paraId="1FAF7571" w14:textId="77777777" w:rsidR="00AC362E" w:rsidRDefault="00AC362E" w:rsidP="00ED0631">
      <w:pPr>
        <w:rPr>
          <w:lang w:eastAsia="en-AU"/>
        </w:rPr>
      </w:pPr>
      <w:r>
        <w:rPr>
          <w:lang w:eastAsia="en-AU"/>
        </w:rPr>
        <w:t>By contrast the majority of Teachers (80%) and 60% of all School Leaders did report experiencing some difficulties in implementing the new curriculum. This difference between Teacher and School Leader ratings may have been influenced by whether School Leaders were directly involved in teaching or not. The CSR highlighted a number of difficulties. Among them:</w:t>
      </w:r>
    </w:p>
    <w:p w14:paraId="293945EC" w14:textId="77777777" w:rsidR="00AC362E" w:rsidRDefault="00AC362E" w:rsidP="00AE24CE">
      <w:pPr>
        <w:pStyle w:val="ListParagraph"/>
        <w:numPr>
          <w:ilvl w:val="0"/>
          <w:numId w:val="11"/>
        </w:numPr>
        <w:spacing w:before="0" w:beforeAutospacing="0" w:after="200" w:afterAutospacing="0" w:line="276" w:lineRule="auto"/>
        <w:rPr>
          <w:lang w:eastAsia="en-AU"/>
        </w:rPr>
      </w:pPr>
      <w:r>
        <w:rPr>
          <w:lang w:eastAsia="en-AU"/>
        </w:rPr>
        <w:t>Some teachers felt the new curriculum was not challenging enough for students and contained too much repetition;</w:t>
      </w:r>
    </w:p>
    <w:p w14:paraId="153C285B" w14:textId="77777777" w:rsidR="00AC362E" w:rsidRDefault="00AC362E" w:rsidP="00AE24CE">
      <w:pPr>
        <w:pStyle w:val="ListParagraph"/>
        <w:numPr>
          <w:ilvl w:val="0"/>
          <w:numId w:val="11"/>
        </w:numPr>
        <w:spacing w:before="0" w:beforeAutospacing="0" w:after="200" w:afterAutospacing="0" w:line="276" w:lineRule="auto"/>
        <w:rPr>
          <w:lang w:eastAsia="en-AU"/>
        </w:rPr>
      </w:pPr>
      <w:r>
        <w:rPr>
          <w:lang w:eastAsia="en-AU"/>
        </w:rPr>
        <w:t>Some teachers felt that the Year 1 curriculum did not go far enough in numeracy and in some cases just repeated what students had already learnt in pre-school;</w:t>
      </w:r>
    </w:p>
    <w:p w14:paraId="3FE4F8AF" w14:textId="77777777" w:rsidR="00AC362E" w:rsidRDefault="00AC362E" w:rsidP="00AE24CE">
      <w:pPr>
        <w:pStyle w:val="ListParagraph"/>
        <w:numPr>
          <w:ilvl w:val="0"/>
          <w:numId w:val="11"/>
        </w:numPr>
        <w:spacing w:before="0" w:beforeAutospacing="0" w:after="200" w:afterAutospacing="0" w:line="276" w:lineRule="auto"/>
        <w:rPr>
          <w:lang w:eastAsia="en-AU"/>
        </w:rPr>
      </w:pPr>
      <w:r>
        <w:rPr>
          <w:lang w:eastAsia="en-AU"/>
        </w:rPr>
        <w:t>A common complaint was in the language transition from Year 2 to Year 3 with many teachers having a clear expectation that students should be able write in English by the time they begin Year 3</w:t>
      </w:r>
      <w:r>
        <w:rPr>
          <w:rStyle w:val="FootnoteReference"/>
          <w:lang w:eastAsia="en-AU"/>
        </w:rPr>
        <w:footnoteReference w:id="30"/>
      </w:r>
      <w:r>
        <w:rPr>
          <w:lang w:eastAsia="en-AU"/>
        </w:rPr>
        <w:t>; and</w:t>
      </w:r>
    </w:p>
    <w:p w14:paraId="4E25324E" w14:textId="77777777" w:rsidR="00AC362E" w:rsidRDefault="00AC362E" w:rsidP="00AE24CE">
      <w:pPr>
        <w:pStyle w:val="ListParagraph"/>
        <w:numPr>
          <w:ilvl w:val="0"/>
          <w:numId w:val="11"/>
        </w:numPr>
        <w:spacing w:before="0" w:beforeAutospacing="0" w:after="200" w:afterAutospacing="0" w:line="276" w:lineRule="auto"/>
        <w:rPr>
          <w:lang w:eastAsia="en-AU"/>
        </w:rPr>
      </w:pPr>
      <w:r>
        <w:rPr>
          <w:lang w:eastAsia="en-AU"/>
        </w:rPr>
        <w:t>Multigrade schools complained of difficulties of teaching mixed classes because the curriculum frequently did not align well across grades.</w:t>
      </w:r>
    </w:p>
    <w:p w14:paraId="0407C749" w14:textId="77777777" w:rsidR="00AC362E" w:rsidRPr="003C62A2" w:rsidRDefault="00AC362E" w:rsidP="00ED0631">
      <w:pPr>
        <w:spacing w:before="240"/>
        <w:rPr>
          <w:rFonts w:cs="Arial"/>
        </w:rPr>
      </w:pPr>
      <w:r w:rsidRPr="003C62A2">
        <w:rPr>
          <w:rFonts w:cs="Arial"/>
        </w:rPr>
        <w:t>Although Teachers and School Leaders did complain about a lack of curriculum resources during case studies interviews, in SED questionnaires 69% of Teachers said they had enough resources. Interestingly</w:t>
      </w:r>
      <w:r>
        <w:rPr>
          <w:rFonts w:cs="Arial"/>
        </w:rPr>
        <w:t>,</w:t>
      </w:r>
      <w:r w:rsidRPr="003C62A2">
        <w:rPr>
          <w:rFonts w:cs="Arial"/>
        </w:rPr>
        <w:t xml:space="preserve"> only minor differences were noted between schools in different locations although in the Case Studies it was noted that larger schools often experienced </w:t>
      </w:r>
      <w:r>
        <w:rPr>
          <w:rFonts w:cs="Arial"/>
        </w:rPr>
        <w:t xml:space="preserve">more </w:t>
      </w:r>
      <w:r w:rsidRPr="003C62A2">
        <w:rPr>
          <w:rFonts w:cs="Arial"/>
        </w:rPr>
        <w:t>difficulties in sharing resources across larger numbers of classes and students.</w:t>
      </w:r>
    </w:p>
    <w:p w14:paraId="3974F30B" w14:textId="77777777" w:rsidR="00AC362E" w:rsidRPr="00B47B0C" w:rsidRDefault="00AC362E" w:rsidP="00ED0631">
      <w:pPr>
        <w:spacing w:before="240"/>
        <w:rPr>
          <w:rFonts w:cs="Arial"/>
        </w:rPr>
      </w:pPr>
      <w:r w:rsidRPr="00B47B0C">
        <w:rPr>
          <w:rFonts w:cs="Arial"/>
        </w:rPr>
        <w:t xml:space="preserve">As </w:t>
      </w:r>
      <w:r w:rsidRPr="00B47B0C">
        <w:rPr>
          <w:rFonts w:cs="Arial"/>
          <w:i/>
        </w:rPr>
        <w:t>Table 3</w:t>
      </w:r>
      <w:r w:rsidRPr="00B47B0C">
        <w:rPr>
          <w:rFonts w:cs="Arial"/>
        </w:rPr>
        <w:t xml:space="preserve"> shows Teachers overwhelmingly (94%) felt that the New Curriculum had helped them to become a better teacher than before. This was</w:t>
      </w:r>
      <w:r>
        <w:rPr>
          <w:rFonts w:cs="Arial"/>
        </w:rPr>
        <w:t xml:space="preserve"> also</w:t>
      </w:r>
      <w:r w:rsidRPr="00B47B0C">
        <w:rPr>
          <w:rFonts w:cs="Arial"/>
        </w:rPr>
        <w:t xml:space="preserve"> supported by 93% of School Leaders interviewed. Among the changes mentioned by </w:t>
      </w:r>
      <w:r>
        <w:rPr>
          <w:rFonts w:cs="Arial"/>
        </w:rPr>
        <w:t>T</w:t>
      </w:r>
      <w:r w:rsidRPr="00B47B0C">
        <w:rPr>
          <w:rFonts w:cs="Arial"/>
        </w:rPr>
        <w:t xml:space="preserve">eachers in the </w:t>
      </w:r>
      <w:r>
        <w:rPr>
          <w:rFonts w:cs="Arial"/>
        </w:rPr>
        <w:t>CSR</w:t>
      </w:r>
      <w:r w:rsidRPr="00B47B0C">
        <w:rPr>
          <w:rFonts w:cs="Arial"/>
        </w:rPr>
        <w:t xml:space="preserve"> was the positive emphasis on repetition in different formats to address different learning preferences with one teacher mentioning explicitly, “</w:t>
      </w:r>
      <w:r w:rsidRPr="00B47B0C">
        <w:rPr>
          <w:rFonts w:cs="Arial"/>
          <w:i/>
        </w:rPr>
        <w:t>We didn’t realise about different learning styles”.</w:t>
      </w:r>
    </w:p>
    <w:p w14:paraId="5FC56D25" w14:textId="77777777" w:rsidR="00DE4728" w:rsidRDefault="00DE4728">
      <w:pPr>
        <w:spacing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br w:type="page"/>
      </w:r>
    </w:p>
    <w:p w14:paraId="569CB753" w14:textId="7D5C7A1C" w:rsidR="00AC362E" w:rsidRPr="007A5872" w:rsidRDefault="00AC362E" w:rsidP="00ED0631">
      <w:pPr>
        <w:spacing w:after="0"/>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lastRenderedPageBreak/>
        <w:t>Table 3: Number of teachers who considered that the new curriculum had helped them to become a better teacher than before</w:t>
      </w:r>
    </w:p>
    <w:tbl>
      <w:tblPr>
        <w:tblW w:w="5686" w:type="dxa"/>
        <w:tblInd w:w="93" w:type="dxa"/>
        <w:tblLook w:val="04A0" w:firstRow="1" w:lastRow="0" w:firstColumn="1" w:lastColumn="0" w:noHBand="0" w:noVBand="1"/>
      </w:tblPr>
      <w:tblGrid>
        <w:gridCol w:w="1509"/>
        <w:gridCol w:w="1058"/>
        <w:gridCol w:w="992"/>
        <w:gridCol w:w="1134"/>
        <w:gridCol w:w="1017"/>
      </w:tblGrid>
      <w:tr w:rsidR="00AC362E" w:rsidRPr="007A5872" w14:paraId="405D5D10" w14:textId="77777777" w:rsidTr="00ED0631">
        <w:trPr>
          <w:trHeight w:val="315"/>
        </w:trPr>
        <w:tc>
          <w:tcPr>
            <w:tcW w:w="1509" w:type="dxa"/>
            <w:tcBorders>
              <w:top w:val="single" w:sz="4" w:space="0" w:color="auto"/>
              <w:left w:val="nil"/>
              <w:bottom w:val="nil"/>
              <w:right w:val="nil"/>
            </w:tcBorders>
            <w:shd w:val="clear" w:color="auto" w:fill="auto"/>
            <w:noWrap/>
            <w:vAlign w:val="bottom"/>
            <w:hideMark/>
          </w:tcPr>
          <w:p w14:paraId="5531CC2F" w14:textId="77777777" w:rsidR="00AC362E" w:rsidRPr="007A5872" w:rsidRDefault="00AC362E" w:rsidP="00ED0631">
            <w:pPr>
              <w:spacing w:after="0"/>
              <w:rPr>
                <w:rFonts w:asciiTheme="majorHAnsi" w:eastAsia="Times New Roman" w:hAnsiTheme="majorHAnsi" w:cstheme="majorHAnsi"/>
                <w:b/>
                <w:bCs/>
                <w:color w:val="000000"/>
                <w:lang w:eastAsia="en-AU"/>
              </w:rPr>
            </w:pPr>
            <w:r w:rsidRPr="007A5872">
              <w:rPr>
                <w:rFonts w:asciiTheme="majorHAnsi" w:eastAsia="Times New Roman" w:hAnsiTheme="majorHAnsi" w:cstheme="majorHAnsi"/>
                <w:b/>
                <w:bCs/>
                <w:color w:val="000000"/>
                <w:lang w:eastAsia="en-AU"/>
              </w:rPr>
              <w:t> </w:t>
            </w:r>
          </w:p>
        </w:tc>
        <w:tc>
          <w:tcPr>
            <w:tcW w:w="1058" w:type="dxa"/>
            <w:tcBorders>
              <w:top w:val="single" w:sz="4" w:space="0" w:color="auto"/>
              <w:left w:val="nil"/>
              <w:bottom w:val="single" w:sz="4" w:space="0" w:color="auto"/>
              <w:right w:val="nil"/>
            </w:tcBorders>
            <w:shd w:val="clear" w:color="auto" w:fill="auto"/>
            <w:noWrap/>
            <w:vAlign w:val="bottom"/>
            <w:hideMark/>
          </w:tcPr>
          <w:p w14:paraId="72730987"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Strongly Agree </w:t>
            </w:r>
          </w:p>
        </w:tc>
        <w:tc>
          <w:tcPr>
            <w:tcW w:w="992" w:type="dxa"/>
            <w:tcBorders>
              <w:top w:val="single" w:sz="4" w:space="0" w:color="auto"/>
              <w:left w:val="nil"/>
              <w:bottom w:val="single" w:sz="4" w:space="0" w:color="auto"/>
              <w:right w:val="nil"/>
            </w:tcBorders>
            <w:shd w:val="clear" w:color="auto" w:fill="auto"/>
            <w:noWrap/>
            <w:vAlign w:val="bottom"/>
            <w:hideMark/>
          </w:tcPr>
          <w:p w14:paraId="424173CF"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Agree </w:t>
            </w:r>
          </w:p>
        </w:tc>
        <w:tc>
          <w:tcPr>
            <w:tcW w:w="1134" w:type="dxa"/>
            <w:tcBorders>
              <w:top w:val="single" w:sz="4" w:space="0" w:color="auto"/>
              <w:left w:val="nil"/>
              <w:bottom w:val="nil"/>
              <w:right w:val="nil"/>
            </w:tcBorders>
            <w:shd w:val="clear" w:color="auto" w:fill="auto"/>
            <w:noWrap/>
            <w:vAlign w:val="bottom"/>
            <w:hideMark/>
          </w:tcPr>
          <w:p w14:paraId="6404981A"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Disagree </w:t>
            </w:r>
          </w:p>
        </w:tc>
        <w:tc>
          <w:tcPr>
            <w:tcW w:w="993" w:type="dxa"/>
            <w:tcBorders>
              <w:top w:val="single" w:sz="4" w:space="0" w:color="auto"/>
              <w:left w:val="nil"/>
              <w:bottom w:val="nil"/>
              <w:right w:val="nil"/>
            </w:tcBorders>
            <w:shd w:val="clear" w:color="auto" w:fill="auto"/>
            <w:noWrap/>
            <w:vAlign w:val="bottom"/>
            <w:hideMark/>
          </w:tcPr>
          <w:p w14:paraId="1F4BF75D"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Strongly Disagree </w:t>
            </w:r>
          </w:p>
        </w:tc>
      </w:tr>
      <w:tr w:rsidR="00AC362E" w:rsidRPr="007A5872" w14:paraId="7D0AAA50" w14:textId="77777777" w:rsidTr="00ED0631">
        <w:trPr>
          <w:trHeight w:val="315"/>
        </w:trPr>
        <w:tc>
          <w:tcPr>
            <w:tcW w:w="1509" w:type="dxa"/>
            <w:tcBorders>
              <w:top w:val="single" w:sz="4" w:space="0" w:color="auto"/>
              <w:left w:val="nil"/>
              <w:bottom w:val="nil"/>
              <w:right w:val="nil"/>
            </w:tcBorders>
            <w:shd w:val="clear" w:color="auto" w:fill="auto"/>
            <w:noWrap/>
            <w:vAlign w:val="bottom"/>
            <w:hideMark/>
          </w:tcPr>
          <w:p w14:paraId="58C80414"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Large island</w:t>
            </w:r>
          </w:p>
        </w:tc>
        <w:tc>
          <w:tcPr>
            <w:tcW w:w="1058" w:type="dxa"/>
            <w:tcBorders>
              <w:top w:val="nil"/>
              <w:left w:val="nil"/>
              <w:bottom w:val="nil"/>
              <w:right w:val="nil"/>
            </w:tcBorders>
            <w:shd w:val="clear" w:color="auto" w:fill="auto"/>
            <w:noWrap/>
            <w:vAlign w:val="bottom"/>
            <w:hideMark/>
          </w:tcPr>
          <w:p w14:paraId="0C51683B"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22</w:t>
            </w:r>
          </w:p>
        </w:tc>
        <w:tc>
          <w:tcPr>
            <w:tcW w:w="992" w:type="dxa"/>
            <w:tcBorders>
              <w:top w:val="nil"/>
              <w:left w:val="nil"/>
              <w:bottom w:val="nil"/>
              <w:right w:val="nil"/>
            </w:tcBorders>
            <w:shd w:val="clear" w:color="auto" w:fill="auto"/>
            <w:noWrap/>
            <w:vAlign w:val="bottom"/>
            <w:hideMark/>
          </w:tcPr>
          <w:p w14:paraId="2A1867AB"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42</w:t>
            </w:r>
          </w:p>
        </w:tc>
        <w:tc>
          <w:tcPr>
            <w:tcW w:w="1134" w:type="dxa"/>
            <w:tcBorders>
              <w:top w:val="single" w:sz="4" w:space="0" w:color="auto"/>
              <w:left w:val="nil"/>
              <w:bottom w:val="nil"/>
              <w:right w:val="nil"/>
            </w:tcBorders>
            <w:shd w:val="clear" w:color="auto" w:fill="auto"/>
            <w:noWrap/>
            <w:vAlign w:val="bottom"/>
            <w:hideMark/>
          </w:tcPr>
          <w:p w14:paraId="054DC27F"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w:t>
            </w:r>
          </w:p>
        </w:tc>
        <w:tc>
          <w:tcPr>
            <w:tcW w:w="993" w:type="dxa"/>
            <w:tcBorders>
              <w:top w:val="single" w:sz="4" w:space="0" w:color="auto"/>
              <w:left w:val="nil"/>
              <w:bottom w:val="nil"/>
              <w:right w:val="nil"/>
            </w:tcBorders>
            <w:shd w:val="clear" w:color="auto" w:fill="auto"/>
            <w:noWrap/>
            <w:vAlign w:val="bottom"/>
            <w:hideMark/>
          </w:tcPr>
          <w:p w14:paraId="132B3E8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r>
      <w:tr w:rsidR="00AC362E" w:rsidRPr="007A5872" w14:paraId="19D34802" w14:textId="77777777" w:rsidTr="00ED0631">
        <w:trPr>
          <w:trHeight w:val="315"/>
        </w:trPr>
        <w:tc>
          <w:tcPr>
            <w:tcW w:w="1509" w:type="dxa"/>
            <w:tcBorders>
              <w:top w:val="nil"/>
              <w:left w:val="nil"/>
              <w:bottom w:val="nil"/>
              <w:right w:val="nil"/>
            </w:tcBorders>
            <w:shd w:val="clear" w:color="auto" w:fill="auto"/>
            <w:noWrap/>
            <w:vAlign w:val="bottom"/>
            <w:hideMark/>
          </w:tcPr>
          <w:p w14:paraId="1D34C722"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Small island</w:t>
            </w:r>
          </w:p>
        </w:tc>
        <w:tc>
          <w:tcPr>
            <w:tcW w:w="1058" w:type="dxa"/>
            <w:tcBorders>
              <w:top w:val="nil"/>
              <w:left w:val="nil"/>
              <w:bottom w:val="nil"/>
              <w:right w:val="nil"/>
            </w:tcBorders>
            <w:shd w:val="clear" w:color="auto" w:fill="auto"/>
            <w:noWrap/>
            <w:vAlign w:val="bottom"/>
            <w:hideMark/>
          </w:tcPr>
          <w:p w14:paraId="0CC837C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9</w:t>
            </w:r>
          </w:p>
        </w:tc>
        <w:tc>
          <w:tcPr>
            <w:tcW w:w="992" w:type="dxa"/>
            <w:tcBorders>
              <w:top w:val="nil"/>
              <w:left w:val="nil"/>
              <w:bottom w:val="nil"/>
              <w:right w:val="nil"/>
            </w:tcBorders>
            <w:shd w:val="clear" w:color="auto" w:fill="auto"/>
            <w:noWrap/>
            <w:vAlign w:val="bottom"/>
            <w:hideMark/>
          </w:tcPr>
          <w:p w14:paraId="78115BC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10</w:t>
            </w:r>
          </w:p>
        </w:tc>
        <w:tc>
          <w:tcPr>
            <w:tcW w:w="1134" w:type="dxa"/>
            <w:tcBorders>
              <w:top w:val="nil"/>
              <w:left w:val="nil"/>
              <w:bottom w:val="nil"/>
              <w:right w:val="nil"/>
            </w:tcBorders>
            <w:shd w:val="clear" w:color="auto" w:fill="auto"/>
            <w:noWrap/>
            <w:vAlign w:val="bottom"/>
            <w:hideMark/>
          </w:tcPr>
          <w:p w14:paraId="4CFAFD3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w:t>
            </w:r>
          </w:p>
        </w:tc>
        <w:tc>
          <w:tcPr>
            <w:tcW w:w="993" w:type="dxa"/>
            <w:tcBorders>
              <w:top w:val="nil"/>
              <w:left w:val="nil"/>
              <w:bottom w:val="nil"/>
              <w:right w:val="nil"/>
            </w:tcBorders>
            <w:shd w:val="clear" w:color="auto" w:fill="auto"/>
            <w:noWrap/>
            <w:vAlign w:val="bottom"/>
            <w:hideMark/>
          </w:tcPr>
          <w:p w14:paraId="53D12708"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r>
      <w:tr w:rsidR="00AC362E" w:rsidRPr="007A5872" w14:paraId="4D908B6A" w14:textId="77777777" w:rsidTr="00ED0631">
        <w:trPr>
          <w:trHeight w:val="315"/>
        </w:trPr>
        <w:tc>
          <w:tcPr>
            <w:tcW w:w="1509" w:type="dxa"/>
            <w:tcBorders>
              <w:top w:val="nil"/>
              <w:left w:val="nil"/>
              <w:bottom w:val="nil"/>
              <w:right w:val="nil"/>
            </w:tcBorders>
            <w:shd w:val="clear" w:color="auto" w:fill="auto"/>
            <w:noWrap/>
            <w:vAlign w:val="bottom"/>
            <w:hideMark/>
          </w:tcPr>
          <w:p w14:paraId="597E2FFE"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Sth Tarawa</w:t>
            </w:r>
          </w:p>
        </w:tc>
        <w:tc>
          <w:tcPr>
            <w:tcW w:w="1058" w:type="dxa"/>
            <w:tcBorders>
              <w:top w:val="nil"/>
              <w:left w:val="nil"/>
              <w:bottom w:val="nil"/>
              <w:right w:val="nil"/>
            </w:tcBorders>
            <w:shd w:val="clear" w:color="auto" w:fill="auto"/>
            <w:noWrap/>
            <w:vAlign w:val="bottom"/>
            <w:hideMark/>
          </w:tcPr>
          <w:p w14:paraId="5904171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12</w:t>
            </w:r>
          </w:p>
        </w:tc>
        <w:tc>
          <w:tcPr>
            <w:tcW w:w="992" w:type="dxa"/>
            <w:tcBorders>
              <w:top w:val="nil"/>
              <w:left w:val="nil"/>
              <w:bottom w:val="nil"/>
              <w:right w:val="nil"/>
            </w:tcBorders>
            <w:shd w:val="clear" w:color="auto" w:fill="auto"/>
            <w:noWrap/>
            <w:vAlign w:val="bottom"/>
            <w:hideMark/>
          </w:tcPr>
          <w:p w14:paraId="0CF78656"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55</w:t>
            </w:r>
          </w:p>
        </w:tc>
        <w:tc>
          <w:tcPr>
            <w:tcW w:w="1134" w:type="dxa"/>
            <w:tcBorders>
              <w:top w:val="nil"/>
              <w:left w:val="nil"/>
              <w:bottom w:val="nil"/>
              <w:right w:val="nil"/>
            </w:tcBorders>
            <w:shd w:val="clear" w:color="auto" w:fill="auto"/>
            <w:noWrap/>
            <w:vAlign w:val="bottom"/>
            <w:hideMark/>
          </w:tcPr>
          <w:p w14:paraId="0EE939B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993" w:type="dxa"/>
            <w:tcBorders>
              <w:top w:val="nil"/>
              <w:left w:val="nil"/>
              <w:bottom w:val="nil"/>
              <w:right w:val="nil"/>
            </w:tcBorders>
            <w:shd w:val="clear" w:color="auto" w:fill="auto"/>
            <w:noWrap/>
            <w:vAlign w:val="bottom"/>
            <w:hideMark/>
          </w:tcPr>
          <w:p w14:paraId="24578B87"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r>
      <w:tr w:rsidR="00AC362E" w:rsidRPr="007A5872" w14:paraId="4F5A47DD" w14:textId="77777777" w:rsidTr="00ED0631">
        <w:trPr>
          <w:trHeight w:val="315"/>
        </w:trPr>
        <w:tc>
          <w:tcPr>
            <w:tcW w:w="1509" w:type="dxa"/>
            <w:tcBorders>
              <w:top w:val="single" w:sz="4" w:space="0" w:color="auto"/>
              <w:left w:val="nil"/>
              <w:bottom w:val="single" w:sz="4" w:space="0" w:color="auto"/>
              <w:right w:val="nil"/>
            </w:tcBorders>
            <w:shd w:val="clear" w:color="auto" w:fill="auto"/>
            <w:noWrap/>
            <w:vAlign w:val="bottom"/>
            <w:hideMark/>
          </w:tcPr>
          <w:p w14:paraId="3D414563"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Total</w:t>
            </w:r>
          </w:p>
        </w:tc>
        <w:tc>
          <w:tcPr>
            <w:tcW w:w="1058" w:type="dxa"/>
            <w:tcBorders>
              <w:top w:val="single" w:sz="4" w:space="0" w:color="auto"/>
              <w:left w:val="nil"/>
              <w:bottom w:val="single" w:sz="4" w:space="0" w:color="auto"/>
              <w:right w:val="nil"/>
            </w:tcBorders>
            <w:shd w:val="clear" w:color="auto" w:fill="auto"/>
            <w:noWrap/>
            <w:vAlign w:val="bottom"/>
            <w:hideMark/>
          </w:tcPr>
          <w:p w14:paraId="0C0FC5A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43</w:t>
            </w:r>
          </w:p>
        </w:tc>
        <w:tc>
          <w:tcPr>
            <w:tcW w:w="992" w:type="dxa"/>
            <w:tcBorders>
              <w:top w:val="single" w:sz="4" w:space="0" w:color="auto"/>
              <w:left w:val="nil"/>
              <w:bottom w:val="single" w:sz="4" w:space="0" w:color="auto"/>
              <w:right w:val="nil"/>
            </w:tcBorders>
            <w:shd w:val="clear" w:color="auto" w:fill="auto"/>
            <w:noWrap/>
            <w:vAlign w:val="bottom"/>
            <w:hideMark/>
          </w:tcPr>
          <w:p w14:paraId="541F481A"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107</w:t>
            </w:r>
          </w:p>
        </w:tc>
        <w:tc>
          <w:tcPr>
            <w:tcW w:w="1134" w:type="dxa"/>
            <w:tcBorders>
              <w:top w:val="single" w:sz="4" w:space="0" w:color="auto"/>
              <w:left w:val="nil"/>
              <w:bottom w:val="single" w:sz="4" w:space="0" w:color="auto"/>
              <w:right w:val="nil"/>
            </w:tcBorders>
            <w:shd w:val="clear" w:color="auto" w:fill="auto"/>
            <w:noWrap/>
            <w:vAlign w:val="bottom"/>
            <w:hideMark/>
          </w:tcPr>
          <w:p w14:paraId="4F1DE78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8</w:t>
            </w:r>
          </w:p>
        </w:tc>
        <w:tc>
          <w:tcPr>
            <w:tcW w:w="993" w:type="dxa"/>
            <w:tcBorders>
              <w:top w:val="single" w:sz="4" w:space="0" w:color="auto"/>
              <w:left w:val="nil"/>
              <w:bottom w:val="single" w:sz="4" w:space="0" w:color="auto"/>
              <w:right w:val="nil"/>
            </w:tcBorders>
            <w:shd w:val="clear" w:color="auto" w:fill="auto"/>
            <w:noWrap/>
            <w:vAlign w:val="bottom"/>
            <w:hideMark/>
          </w:tcPr>
          <w:p w14:paraId="49474CCE"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r>
    </w:tbl>
    <w:p w14:paraId="5583B8A2" w14:textId="2F1BE4F2" w:rsidR="00AC362E" w:rsidRDefault="00AC362E" w:rsidP="00ED0631">
      <w:pPr>
        <w:spacing w:before="240"/>
        <w:rPr>
          <w:lang w:eastAsia="en-AU"/>
        </w:rPr>
      </w:pPr>
      <w:r>
        <w:rPr>
          <w:lang w:eastAsia="en-AU"/>
        </w:rPr>
        <w:t xml:space="preserve">Classroom observation during the CSR noted many examples of the new curriculum being taught well and this was likely to lead to improvements in student performance. </w:t>
      </w:r>
      <w:r w:rsidRPr="00F917CB">
        <w:rPr>
          <w:lang w:eastAsia="en-AU"/>
        </w:rPr>
        <w:t>However, it also noted that the new curriculum was being variously applied in different classrooms and was the CSR Team’s impression that Years 1</w:t>
      </w:r>
      <w:r w:rsidR="007A5872">
        <w:rPr>
          <w:lang w:eastAsia="en-AU"/>
        </w:rPr>
        <w:t xml:space="preserve"> and </w:t>
      </w:r>
      <w:r w:rsidRPr="00F917CB">
        <w:rPr>
          <w:lang w:eastAsia="en-AU"/>
        </w:rPr>
        <w:t>2 were generally b</w:t>
      </w:r>
      <w:r w:rsidR="007A5872">
        <w:rPr>
          <w:lang w:eastAsia="en-AU"/>
        </w:rPr>
        <w:t xml:space="preserve">eing taught better than Years 3 and </w:t>
      </w:r>
      <w:r w:rsidRPr="00F917CB">
        <w:rPr>
          <w:lang w:eastAsia="en-AU"/>
        </w:rPr>
        <w:t>4.</w:t>
      </w:r>
      <w:r>
        <w:rPr>
          <w:lang w:eastAsia="en-AU"/>
        </w:rPr>
        <w:t xml:space="preserve"> The CSR Team’s conclusion was that this was because more contract teachers and monitors were teaching in the higher years and these teachers lacked knowledge of the new curriculum and appropriate teaching techniques.</w:t>
      </w:r>
    </w:p>
    <w:p w14:paraId="394F0667" w14:textId="77777777" w:rsidR="00AC362E" w:rsidRPr="000018A0" w:rsidRDefault="00AC362E" w:rsidP="00ED0631">
      <w:pPr>
        <w:pStyle w:val="Heading3"/>
        <w:rPr>
          <w:rFonts w:eastAsia="Times New Roman"/>
          <w:lang w:eastAsia="en-AU"/>
        </w:rPr>
      </w:pPr>
      <w:bookmarkStart w:id="139" w:name="_Toc461615757"/>
      <w:r>
        <w:rPr>
          <w:rFonts w:eastAsia="Times New Roman"/>
          <w:lang w:eastAsia="en-AU"/>
        </w:rPr>
        <w:t>6.1.2</w:t>
      </w:r>
      <w:r>
        <w:rPr>
          <w:rFonts w:eastAsia="Times New Roman"/>
          <w:lang w:eastAsia="en-AU"/>
        </w:rPr>
        <w:tab/>
      </w:r>
      <w:r w:rsidRPr="002B09F6">
        <w:rPr>
          <w:rFonts w:eastAsia="Times New Roman"/>
          <w:lang w:eastAsia="en-AU"/>
        </w:rPr>
        <w:t>Views on quality and value of new curriculum including impact on students</w:t>
      </w:r>
      <w:bookmarkEnd w:id="139"/>
    </w:p>
    <w:p w14:paraId="27B5784F" w14:textId="77777777" w:rsidR="00AC362E" w:rsidRDefault="00AC362E" w:rsidP="00ED0631">
      <w:pPr>
        <w:spacing w:before="240"/>
        <w:rPr>
          <w:rFonts w:cs="Arial"/>
        </w:rPr>
      </w:pPr>
      <w:r>
        <w:rPr>
          <w:rFonts w:cs="Arial"/>
        </w:rPr>
        <w:t>Both the CSR and SED data indicated that teachers and school Leaders believe that the new curriculum was having a positive impact on the educational achievements of students. Among the most commonly cited reasons noted in Case Studies were that students:</w:t>
      </w:r>
    </w:p>
    <w:p w14:paraId="77D52ED6" w14:textId="77777777" w:rsidR="00AC362E" w:rsidRPr="009215B5" w:rsidRDefault="00AC362E" w:rsidP="00E91B91">
      <w:pPr>
        <w:pStyle w:val="ListParagraph"/>
        <w:numPr>
          <w:ilvl w:val="0"/>
          <w:numId w:val="2"/>
        </w:numPr>
        <w:spacing w:before="0" w:beforeAutospacing="0" w:after="200" w:afterAutospacing="0" w:line="276" w:lineRule="auto"/>
        <w:ind w:left="714" w:hanging="357"/>
        <w:rPr>
          <w:rFonts w:cs="Arial"/>
        </w:rPr>
      </w:pPr>
      <w:r w:rsidRPr="009215B5">
        <w:rPr>
          <w:rFonts w:cs="Arial"/>
        </w:rPr>
        <w:t>c</w:t>
      </w:r>
      <w:r>
        <w:rPr>
          <w:rFonts w:cs="Arial"/>
        </w:rPr>
        <w:t>ould</w:t>
      </w:r>
      <w:r w:rsidRPr="009215B5">
        <w:rPr>
          <w:rFonts w:cs="Arial"/>
        </w:rPr>
        <w:t xml:space="preserve"> read in their </w:t>
      </w:r>
      <w:r>
        <w:rPr>
          <w:rFonts w:cs="Arial"/>
        </w:rPr>
        <w:t>own language by the end of Year </w:t>
      </w:r>
      <w:r w:rsidRPr="009215B5">
        <w:rPr>
          <w:rFonts w:cs="Arial"/>
        </w:rPr>
        <w:t>1</w:t>
      </w:r>
      <w:r>
        <w:rPr>
          <w:rFonts w:cs="Arial"/>
        </w:rPr>
        <w:t>;</w:t>
      </w:r>
    </w:p>
    <w:p w14:paraId="4872B42A" w14:textId="77777777" w:rsidR="00AC362E" w:rsidRPr="009215B5" w:rsidRDefault="00AC362E" w:rsidP="00E91B91">
      <w:pPr>
        <w:pStyle w:val="ListParagraph"/>
        <w:numPr>
          <w:ilvl w:val="0"/>
          <w:numId w:val="2"/>
        </w:numPr>
        <w:spacing w:before="240" w:beforeAutospacing="0" w:after="200" w:afterAutospacing="0" w:line="276" w:lineRule="auto"/>
        <w:rPr>
          <w:rFonts w:cs="Arial"/>
        </w:rPr>
      </w:pPr>
      <w:r>
        <w:rPr>
          <w:rFonts w:cs="Arial"/>
        </w:rPr>
        <w:t>we</w:t>
      </w:r>
      <w:r w:rsidRPr="009215B5">
        <w:rPr>
          <w:rFonts w:cs="Arial"/>
        </w:rPr>
        <w:t>re much more engaged in learning</w:t>
      </w:r>
      <w:r>
        <w:rPr>
          <w:rFonts w:cs="Arial"/>
        </w:rPr>
        <w:t>;</w:t>
      </w:r>
    </w:p>
    <w:p w14:paraId="737682CD" w14:textId="77777777" w:rsidR="00AC362E" w:rsidRPr="009215B5" w:rsidRDefault="00AC362E" w:rsidP="00E91B91">
      <w:pPr>
        <w:pStyle w:val="ListParagraph"/>
        <w:numPr>
          <w:ilvl w:val="0"/>
          <w:numId w:val="2"/>
        </w:numPr>
        <w:spacing w:before="240" w:beforeAutospacing="0" w:after="200" w:afterAutospacing="0" w:line="276" w:lineRule="auto"/>
        <w:rPr>
          <w:rFonts w:cs="Arial"/>
        </w:rPr>
      </w:pPr>
      <w:r>
        <w:rPr>
          <w:rFonts w:cs="Arial"/>
        </w:rPr>
        <w:t>we</w:t>
      </w:r>
      <w:r w:rsidRPr="009215B5">
        <w:rPr>
          <w:rFonts w:cs="Arial"/>
        </w:rPr>
        <w:t xml:space="preserve">re </w:t>
      </w:r>
      <w:r>
        <w:rPr>
          <w:rFonts w:cs="Arial"/>
        </w:rPr>
        <w:t>more able to work independently; and</w:t>
      </w:r>
    </w:p>
    <w:p w14:paraId="2484E09F" w14:textId="77777777" w:rsidR="00AC362E" w:rsidRPr="009215B5" w:rsidRDefault="00AC362E" w:rsidP="00E91B91">
      <w:pPr>
        <w:pStyle w:val="ListParagraph"/>
        <w:numPr>
          <w:ilvl w:val="0"/>
          <w:numId w:val="2"/>
        </w:numPr>
        <w:spacing w:before="240" w:beforeAutospacing="0" w:after="200" w:afterAutospacing="0" w:line="276" w:lineRule="auto"/>
        <w:rPr>
          <w:rFonts w:cs="Arial"/>
        </w:rPr>
      </w:pPr>
      <w:r w:rsidRPr="009215B5">
        <w:rPr>
          <w:rFonts w:cs="Arial"/>
        </w:rPr>
        <w:t>ha</w:t>
      </w:r>
      <w:r>
        <w:rPr>
          <w:rFonts w:cs="Arial"/>
        </w:rPr>
        <w:t>d</w:t>
      </w:r>
      <w:r w:rsidRPr="009215B5">
        <w:rPr>
          <w:rFonts w:cs="Arial"/>
        </w:rPr>
        <w:t xml:space="preserve"> confidence to present their work</w:t>
      </w:r>
      <w:r>
        <w:rPr>
          <w:rFonts w:cs="Arial"/>
        </w:rPr>
        <w:t>.</w:t>
      </w:r>
      <w:r w:rsidRPr="009215B5">
        <w:rPr>
          <w:rFonts w:cs="Arial"/>
        </w:rPr>
        <w:t xml:space="preserve"> </w:t>
      </w:r>
    </w:p>
    <w:p w14:paraId="18A9E7D7" w14:textId="77777777" w:rsidR="00AC362E" w:rsidRDefault="00AC362E" w:rsidP="00ED0631">
      <w:pPr>
        <w:spacing w:before="240"/>
        <w:rPr>
          <w:rFonts w:cs="Arial"/>
        </w:rPr>
      </w:pPr>
      <w:r>
        <w:rPr>
          <w:rFonts w:cs="Arial"/>
        </w:rPr>
        <w:t xml:space="preserve">One </w:t>
      </w:r>
      <w:r w:rsidRPr="00B4645D">
        <w:rPr>
          <w:rFonts w:cs="Arial"/>
          <w:i/>
        </w:rPr>
        <w:t>Abaunamou School</w:t>
      </w:r>
      <w:r>
        <w:rPr>
          <w:rFonts w:cs="Arial"/>
        </w:rPr>
        <w:t xml:space="preserve"> teacher reported </w:t>
      </w:r>
      <w:r w:rsidRPr="009215B5">
        <w:rPr>
          <w:rFonts w:cs="Arial"/>
        </w:rPr>
        <w:t>“</w:t>
      </w:r>
      <w:r w:rsidRPr="00171060">
        <w:rPr>
          <w:rFonts w:cs="Arial"/>
          <w:i/>
        </w:rPr>
        <w:t>They are not shy….they participate much more. They can discuss much more and overtime they lose their shyness</w:t>
      </w:r>
      <w:r>
        <w:rPr>
          <w:rFonts w:cs="Arial"/>
        </w:rPr>
        <w:t>”.</w:t>
      </w:r>
    </w:p>
    <w:p w14:paraId="492FDFCC" w14:textId="77777777" w:rsidR="00AC362E" w:rsidRPr="00661535" w:rsidRDefault="00AC362E" w:rsidP="00ED0631">
      <w:pPr>
        <w:spacing w:before="240"/>
        <w:rPr>
          <w:rFonts w:cs="Arial"/>
        </w:rPr>
      </w:pPr>
      <w:r w:rsidRPr="00661535">
        <w:rPr>
          <w:rFonts w:cs="Arial"/>
          <w:i/>
        </w:rPr>
        <w:t>Table 4</w:t>
      </w:r>
      <w:r w:rsidRPr="00661535">
        <w:rPr>
          <w:rFonts w:cs="Arial"/>
        </w:rPr>
        <w:t xml:space="preserve"> shows the numbers of </w:t>
      </w:r>
      <w:r>
        <w:rPr>
          <w:rFonts w:cs="Arial"/>
        </w:rPr>
        <w:t>T</w:t>
      </w:r>
      <w:r w:rsidRPr="00661535">
        <w:rPr>
          <w:rFonts w:cs="Arial"/>
        </w:rPr>
        <w:t>eachers who think students were performing better under the new curriculum. Ninety-four percent (94%) agreed with this proposition. A similarly high percentage (96%) of School Leaders also agreed with this statement.</w:t>
      </w:r>
    </w:p>
    <w:p w14:paraId="4CA973E5" w14:textId="77777777" w:rsidR="00AC362E" w:rsidRPr="0078408A" w:rsidRDefault="00AC362E" w:rsidP="00ED0631">
      <w:pPr>
        <w:spacing w:after="0"/>
        <w:rPr>
          <w:rFonts w:asciiTheme="majorHAnsi" w:eastAsia="Times New Roman" w:hAnsiTheme="majorHAnsi" w:cstheme="majorHAnsi"/>
          <w:b/>
          <w:color w:val="000000"/>
          <w:lang w:eastAsia="en-AU"/>
        </w:rPr>
      </w:pPr>
      <w:r w:rsidRPr="0078408A">
        <w:rPr>
          <w:rFonts w:asciiTheme="majorHAnsi" w:eastAsia="Times New Roman" w:hAnsiTheme="majorHAnsi" w:cstheme="majorHAnsi"/>
          <w:b/>
          <w:color w:val="000000"/>
          <w:lang w:eastAsia="en-AU"/>
        </w:rPr>
        <w:t>Table 4: Number of teachers who considered that students were doing better under the new curriculum</w:t>
      </w:r>
    </w:p>
    <w:tbl>
      <w:tblPr>
        <w:tblW w:w="5118" w:type="dxa"/>
        <w:tblInd w:w="93" w:type="dxa"/>
        <w:tblLook w:val="04A0" w:firstRow="1" w:lastRow="0" w:firstColumn="1" w:lastColumn="0" w:noHBand="0" w:noVBand="1"/>
      </w:tblPr>
      <w:tblGrid>
        <w:gridCol w:w="1903"/>
        <w:gridCol w:w="1089"/>
        <w:gridCol w:w="992"/>
        <w:gridCol w:w="1134"/>
      </w:tblGrid>
      <w:tr w:rsidR="00AC362E" w:rsidRPr="0078408A" w14:paraId="0A395FCC" w14:textId="77777777" w:rsidTr="00ED0631">
        <w:trPr>
          <w:trHeight w:val="315"/>
        </w:trPr>
        <w:tc>
          <w:tcPr>
            <w:tcW w:w="1903" w:type="dxa"/>
            <w:tcBorders>
              <w:top w:val="single" w:sz="4" w:space="0" w:color="auto"/>
              <w:left w:val="nil"/>
              <w:bottom w:val="nil"/>
              <w:right w:val="nil"/>
            </w:tcBorders>
            <w:shd w:val="clear" w:color="auto" w:fill="auto"/>
            <w:noWrap/>
            <w:vAlign w:val="bottom"/>
            <w:hideMark/>
          </w:tcPr>
          <w:p w14:paraId="1BCFE96B" w14:textId="77777777" w:rsidR="00AC362E" w:rsidRPr="0078408A" w:rsidRDefault="00AC362E" w:rsidP="00ED0631">
            <w:pPr>
              <w:spacing w:after="0"/>
              <w:rPr>
                <w:rFonts w:asciiTheme="majorHAnsi" w:eastAsia="Times New Roman" w:hAnsiTheme="majorHAnsi" w:cstheme="majorHAnsi"/>
                <w:b/>
                <w:bCs/>
                <w:color w:val="000000"/>
                <w:lang w:eastAsia="en-AU"/>
              </w:rPr>
            </w:pPr>
            <w:r w:rsidRPr="0078408A">
              <w:rPr>
                <w:rFonts w:asciiTheme="majorHAnsi" w:eastAsia="Times New Roman" w:hAnsiTheme="majorHAnsi" w:cstheme="majorHAnsi"/>
                <w:b/>
                <w:bCs/>
                <w:color w:val="000000"/>
                <w:lang w:eastAsia="en-AU"/>
              </w:rPr>
              <w:t> </w:t>
            </w:r>
          </w:p>
        </w:tc>
        <w:tc>
          <w:tcPr>
            <w:tcW w:w="1089" w:type="dxa"/>
            <w:tcBorders>
              <w:top w:val="single" w:sz="4" w:space="0" w:color="auto"/>
              <w:left w:val="nil"/>
              <w:bottom w:val="single" w:sz="4" w:space="0" w:color="auto"/>
              <w:right w:val="nil"/>
            </w:tcBorders>
            <w:shd w:val="clear" w:color="auto" w:fill="auto"/>
            <w:noWrap/>
            <w:vAlign w:val="bottom"/>
            <w:hideMark/>
          </w:tcPr>
          <w:p w14:paraId="123A5D74"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 xml:space="preserve">Strongly Agree </w:t>
            </w:r>
          </w:p>
        </w:tc>
        <w:tc>
          <w:tcPr>
            <w:tcW w:w="992" w:type="dxa"/>
            <w:tcBorders>
              <w:top w:val="single" w:sz="4" w:space="0" w:color="auto"/>
              <w:left w:val="nil"/>
              <w:bottom w:val="single" w:sz="4" w:space="0" w:color="auto"/>
              <w:right w:val="nil"/>
            </w:tcBorders>
            <w:shd w:val="clear" w:color="auto" w:fill="auto"/>
            <w:noWrap/>
            <w:vAlign w:val="bottom"/>
            <w:hideMark/>
          </w:tcPr>
          <w:p w14:paraId="641FEBBA"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 xml:space="preserve">Agree </w:t>
            </w:r>
          </w:p>
        </w:tc>
        <w:tc>
          <w:tcPr>
            <w:tcW w:w="1134" w:type="dxa"/>
            <w:tcBorders>
              <w:top w:val="single" w:sz="4" w:space="0" w:color="auto"/>
              <w:left w:val="nil"/>
              <w:bottom w:val="nil"/>
              <w:right w:val="nil"/>
            </w:tcBorders>
            <w:shd w:val="clear" w:color="auto" w:fill="auto"/>
            <w:noWrap/>
            <w:vAlign w:val="bottom"/>
            <w:hideMark/>
          </w:tcPr>
          <w:p w14:paraId="37A32E70"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 xml:space="preserve">Disagree </w:t>
            </w:r>
          </w:p>
        </w:tc>
      </w:tr>
      <w:tr w:rsidR="00AC362E" w:rsidRPr="0078408A" w14:paraId="52F767E9" w14:textId="77777777" w:rsidTr="00ED0631">
        <w:trPr>
          <w:trHeight w:val="315"/>
        </w:trPr>
        <w:tc>
          <w:tcPr>
            <w:tcW w:w="1903" w:type="dxa"/>
            <w:tcBorders>
              <w:top w:val="single" w:sz="4" w:space="0" w:color="auto"/>
              <w:left w:val="nil"/>
              <w:bottom w:val="nil"/>
              <w:right w:val="nil"/>
            </w:tcBorders>
            <w:shd w:val="clear" w:color="auto" w:fill="auto"/>
            <w:noWrap/>
            <w:vAlign w:val="bottom"/>
            <w:hideMark/>
          </w:tcPr>
          <w:p w14:paraId="561CD82B"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Large island</w:t>
            </w:r>
          </w:p>
        </w:tc>
        <w:tc>
          <w:tcPr>
            <w:tcW w:w="1089" w:type="dxa"/>
            <w:tcBorders>
              <w:top w:val="nil"/>
              <w:left w:val="nil"/>
              <w:bottom w:val="nil"/>
              <w:right w:val="nil"/>
            </w:tcBorders>
            <w:shd w:val="clear" w:color="auto" w:fill="auto"/>
            <w:noWrap/>
            <w:vAlign w:val="bottom"/>
            <w:hideMark/>
          </w:tcPr>
          <w:p w14:paraId="2B9DD944"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22</w:t>
            </w:r>
          </w:p>
        </w:tc>
        <w:tc>
          <w:tcPr>
            <w:tcW w:w="992" w:type="dxa"/>
            <w:tcBorders>
              <w:top w:val="nil"/>
              <w:left w:val="nil"/>
              <w:bottom w:val="nil"/>
              <w:right w:val="nil"/>
            </w:tcBorders>
            <w:shd w:val="clear" w:color="auto" w:fill="auto"/>
            <w:noWrap/>
            <w:vAlign w:val="bottom"/>
            <w:hideMark/>
          </w:tcPr>
          <w:p w14:paraId="61A4D1E7"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39</w:t>
            </w:r>
          </w:p>
        </w:tc>
        <w:tc>
          <w:tcPr>
            <w:tcW w:w="1134" w:type="dxa"/>
            <w:tcBorders>
              <w:top w:val="single" w:sz="4" w:space="0" w:color="auto"/>
              <w:left w:val="nil"/>
              <w:bottom w:val="nil"/>
              <w:right w:val="nil"/>
            </w:tcBorders>
            <w:shd w:val="clear" w:color="auto" w:fill="auto"/>
            <w:noWrap/>
            <w:vAlign w:val="bottom"/>
            <w:hideMark/>
          </w:tcPr>
          <w:p w14:paraId="0B1580B5"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5</w:t>
            </w:r>
          </w:p>
        </w:tc>
      </w:tr>
      <w:tr w:rsidR="00AC362E" w:rsidRPr="0078408A" w14:paraId="5713E2B1" w14:textId="77777777" w:rsidTr="00ED0631">
        <w:trPr>
          <w:trHeight w:val="315"/>
        </w:trPr>
        <w:tc>
          <w:tcPr>
            <w:tcW w:w="1903" w:type="dxa"/>
            <w:tcBorders>
              <w:top w:val="nil"/>
              <w:left w:val="nil"/>
              <w:bottom w:val="nil"/>
              <w:right w:val="nil"/>
            </w:tcBorders>
            <w:shd w:val="clear" w:color="auto" w:fill="auto"/>
            <w:noWrap/>
            <w:vAlign w:val="bottom"/>
            <w:hideMark/>
          </w:tcPr>
          <w:p w14:paraId="785A2C69"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Small island</w:t>
            </w:r>
          </w:p>
        </w:tc>
        <w:tc>
          <w:tcPr>
            <w:tcW w:w="1089" w:type="dxa"/>
            <w:tcBorders>
              <w:top w:val="nil"/>
              <w:left w:val="nil"/>
              <w:bottom w:val="nil"/>
              <w:right w:val="nil"/>
            </w:tcBorders>
            <w:shd w:val="clear" w:color="auto" w:fill="auto"/>
            <w:noWrap/>
            <w:vAlign w:val="bottom"/>
            <w:hideMark/>
          </w:tcPr>
          <w:p w14:paraId="36669F06"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7</w:t>
            </w:r>
          </w:p>
        </w:tc>
        <w:tc>
          <w:tcPr>
            <w:tcW w:w="992" w:type="dxa"/>
            <w:tcBorders>
              <w:top w:val="nil"/>
              <w:left w:val="nil"/>
              <w:bottom w:val="nil"/>
              <w:right w:val="nil"/>
            </w:tcBorders>
            <w:shd w:val="clear" w:color="auto" w:fill="auto"/>
            <w:noWrap/>
            <w:vAlign w:val="bottom"/>
            <w:hideMark/>
          </w:tcPr>
          <w:p w14:paraId="19EF6BCB"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14</w:t>
            </w:r>
          </w:p>
        </w:tc>
        <w:tc>
          <w:tcPr>
            <w:tcW w:w="1134" w:type="dxa"/>
            <w:tcBorders>
              <w:top w:val="nil"/>
              <w:left w:val="nil"/>
              <w:bottom w:val="nil"/>
              <w:right w:val="nil"/>
            </w:tcBorders>
            <w:shd w:val="clear" w:color="auto" w:fill="auto"/>
            <w:noWrap/>
            <w:vAlign w:val="bottom"/>
            <w:hideMark/>
          </w:tcPr>
          <w:p w14:paraId="11071095" w14:textId="77777777" w:rsidR="00AC362E" w:rsidRPr="0078408A" w:rsidRDefault="00AC362E" w:rsidP="00ED0631">
            <w:pPr>
              <w:spacing w:after="0"/>
              <w:jc w:val="center"/>
              <w:rPr>
                <w:rFonts w:asciiTheme="majorHAnsi" w:eastAsia="Times New Roman" w:hAnsiTheme="majorHAnsi" w:cstheme="majorHAnsi"/>
                <w:color w:val="000000"/>
                <w:lang w:eastAsia="en-AU"/>
              </w:rPr>
            </w:pPr>
          </w:p>
        </w:tc>
      </w:tr>
      <w:tr w:rsidR="00AC362E" w:rsidRPr="0078408A" w14:paraId="4E8911BA" w14:textId="77777777" w:rsidTr="00ED0631">
        <w:trPr>
          <w:trHeight w:val="315"/>
        </w:trPr>
        <w:tc>
          <w:tcPr>
            <w:tcW w:w="1903" w:type="dxa"/>
            <w:tcBorders>
              <w:top w:val="nil"/>
              <w:left w:val="nil"/>
              <w:bottom w:val="nil"/>
              <w:right w:val="nil"/>
            </w:tcBorders>
            <w:shd w:val="clear" w:color="auto" w:fill="auto"/>
            <w:noWrap/>
            <w:vAlign w:val="bottom"/>
            <w:hideMark/>
          </w:tcPr>
          <w:p w14:paraId="30EC93D7"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Sth Tarawa</w:t>
            </w:r>
          </w:p>
        </w:tc>
        <w:tc>
          <w:tcPr>
            <w:tcW w:w="1089" w:type="dxa"/>
            <w:tcBorders>
              <w:top w:val="nil"/>
              <w:left w:val="nil"/>
              <w:bottom w:val="nil"/>
              <w:right w:val="nil"/>
            </w:tcBorders>
            <w:shd w:val="clear" w:color="auto" w:fill="auto"/>
            <w:noWrap/>
            <w:vAlign w:val="bottom"/>
            <w:hideMark/>
          </w:tcPr>
          <w:p w14:paraId="7EF07C63"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10</w:t>
            </w:r>
          </w:p>
        </w:tc>
        <w:tc>
          <w:tcPr>
            <w:tcW w:w="992" w:type="dxa"/>
            <w:tcBorders>
              <w:top w:val="nil"/>
              <w:left w:val="nil"/>
              <w:bottom w:val="nil"/>
              <w:right w:val="nil"/>
            </w:tcBorders>
            <w:shd w:val="clear" w:color="auto" w:fill="auto"/>
            <w:noWrap/>
            <w:vAlign w:val="bottom"/>
            <w:hideMark/>
          </w:tcPr>
          <w:p w14:paraId="6AE0E7A2"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56</w:t>
            </w:r>
          </w:p>
        </w:tc>
        <w:tc>
          <w:tcPr>
            <w:tcW w:w="1134" w:type="dxa"/>
            <w:tcBorders>
              <w:top w:val="nil"/>
              <w:left w:val="nil"/>
              <w:bottom w:val="nil"/>
              <w:right w:val="nil"/>
            </w:tcBorders>
            <w:shd w:val="clear" w:color="auto" w:fill="auto"/>
            <w:noWrap/>
            <w:vAlign w:val="bottom"/>
            <w:hideMark/>
          </w:tcPr>
          <w:p w14:paraId="512333DA"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5</w:t>
            </w:r>
          </w:p>
        </w:tc>
      </w:tr>
      <w:tr w:rsidR="00AC362E" w:rsidRPr="0078408A" w14:paraId="1AD2FC1F" w14:textId="77777777" w:rsidTr="00ED0631">
        <w:trPr>
          <w:trHeight w:val="315"/>
        </w:trPr>
        <w:tc>
          <w:tcPr>
            <w:tcW w:w="1903" w:type="dxa"/>
            <w:tcBorders>
              <w:top w:val="single" w:sz="4" w:space="0" w:color="auto"/>
              <w:left w:val="nil"/>
              <w:bottom w:val="single" w:sz="4" w:space="0" w:color="auto"/>
              <w:right w:val="nil"/>
            </w:tcBorders>
            <w:shd w:val="clear" w:color="auto" w:fill="auto"/>
            <w:noWrap/>
            <w:vAlign w:val="bottom"/>
            <w:hideMark/>
          </w:tcPr>
          <w:p w14:paraId="7B79FD1C" w14:textId="77777777" w:rsidR="00AC362E" w:rsidRPr="0078408A" w:rsidRDefault="00AC362E" w:rsidP="00ED0631">
            <w:pPr>
              <w:spacing w:after="0"/>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Total</w:t>
            </w:r>
          </w:p>
        </w:tc>
        <w:tc>
          <w:tcPr>
            <w:tcW w:w="1089" w:type="dxa"/>
            <w:tcBorders>
              <w:top w:val="single" w:sz="4" w:space="0" w:color="auto"/>
              <w:left w:val="nil"/>
              <w:bottom w:val="single" w:sz="4" w:space="0" w:color="auto"/>
              <w:right w:val="nil"/>
            </w:tcBorders>
            <w:shd w:val="clear" w:color="auto" w:fill="auto"/>
            <w:noWrap/>
            <w:vAlign w:val="bottom"/>
            <w:hideMark/>
          </w:tcPr>
          <w:p w14:paraId="11F014A2"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39</w:t>
            </w:r>
          </w:p>
        </w:tc>
        <w:tc>
          <w:tcPr>
            <w:tcW w:w="992" w:type="dxa"/>
            <w:tcBorders>
              <w:top w:val="single" w:sz="4" w:space="0" w:color="auto"/>
              <w:left w:val="nil"/>
              <w:bottom w:val="single" w:sz="4" w:space="0" w:color="auto"/>
              <w:right w:val="nil"/>
            </w:tcBorders>
            <w:shd w:val="clear" w:color="auto" w:fill="auto"/>
            <w:noWrap/>
            <w:vAlign w:val="bottom"/>
            <w:hideMark/>
          </w:tcPr>
          <w:p w14:paraId="42544F43"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109</w:t>
            </w:r>
          </w:p>
        </w:tc>
        <w:tc>
          <w:tcPr>
            <w:tcW w:w="1134" w:type="dxa"/>
            <w:tcBorders>
              <w:top w:val="single" w:sz="4" w:space="0" w:color="auto"/>
              <w:left w:val="nil"/>
              <w:bottom w:val="single" w:sz="4" w:space="0" w:color="auto"/>
              <w:right w:val="nil"/>
            </w:tcBorders>
            <w:shd w:val="clear" w:color="auto" w:fill="auto"/>
            <w:noWrap/>
            <w:vAlign w:val="bottom"/>
            <w:hideMark/>
          </w:tcPr>
          <w:p w14:paraId="377190F6" w14:textId="77777777" w:rsidR="00AC362E" w:rsidRPr="0078408A" w:rsidRDefault="00AC362E" w:rsidP="00ED0631">
            <w:pPr>
              <w:spacing w:after="0"/>
              <w:jc w:val="center"/>
              <w:rPr>
                <w:rFonts w:asciiTheme="majorHAnsi" w:eastAsia="Times New Roman" w:hAnsiTheme="majorHAnsi" w:cstheme="majorHAnsi"/>
                <w:color w:val="000000"/>
                <w:lang w:eastAsia="en-AU"/>
              </w:rPr>
            </w:pPr>
            <w:r w:rsidRPr="0078408A">
              <w:rPr>
                <w:rFonts w:asciiTheme="majorHAnsi" w:eastAsia="Times New Roman" w:hAnsiTheme="majorHAnsi" w:cstheme="majorHAnsi"/>
                <w:color w:val="000000"/>
                <w:lang w:eastAsia="en-AU"/>
              </w:rPr>
              <w:t>10</w:t>
            </w:r>
          </w:p>
        </w:tc>
      </w:tr>
    </w:tbl>
    <w:p w14:paraId="2B1EE111" w14:textId="77777777" w:rsidR="00AC362E" w:rsidRDefault="00AC362E" w:rsidP="00ED0631">
      <w:pPr>
        <w:spacing w:before="240"/>
        <w:rPr>
          <w:rFonts w:cs="Arial"/>
        </w:rPr>
      </w:pPr>
      <w:r w:rsidRPr="000137AB">
        <w:rPr>
          <w:rFonts w:cs="Arial"/>
        </w:rPr>
        <w:t>However, when asked to define the degree of performance improvement some teachers were more cautious with only 86% reporting an improvement in performance</w:t>
      </w:r>
      <w:r>
        <w:rPr>
          <w:rFonts w:cs="Arial"/>
        </w:rPr>
        <w:t xml:space="preserve"> </w:t>
      </w:r>
      <w:r w:rsidRPr="00661535">
        <w:rPr>
          <w:rFonts w:cs="Arial"/>
        </w:rPr>
        <w:t xml:space="preserve">(see </w:t>
      </w:r>
      <w:r w:rsidRPr="00661535">
        <w:rPr>
          <w:rFonts w:cs="Arial"/>
          <w:i/>
        </w:rPr>
        <w:t>Table 5</w:t>
      </w:r>
      <w:r w:rsidRPr="00661535">
        <w:rPr>
          <w:rFonts w:cs="Arial"/>
        </w:rPr>
        <w:t>).</w:t>
      </w:r>
      <w:r>
        <w:rPr>
          <w:rFonts w:cs="Arial"/>
        </w:rPr>
        <w:t xml:space="preserve"> While t</w:t>
      </w:r>
      <w:r w:rsidRPr="000137AB">
        <w:rPr>
          <w:rFonts w:cs="Arial"/>
        </w:rPr>
        <w:t xml:space="preserve">his is still a high </w:t>
      </w:r>
      <w:r>
        <w:rPr>
          <w:rFonts w:cs="Arial"/>
        </w:rPr>
        <w:t>rate</w:t>
      </w:r>
      <w:r w:rsidRPr="000137AB">
        <w:rPr>
          <w:rFonts w:cs="Arial"/>
        </w:rPr>
        <w:t xml:space="preserve"> of </w:t>
      </w:r>
      <w:r>
        <w:rPr>
          <w:rFonts w:cs="Arial"/>
        </w:rPr>
        <w:t>improvement,</w:t>
      </w:r>
      <w:r w:rsidRPr="000137AB">
        <w:rPr>
          <w:rFonts w:cs="Arial"/>
        </w:rPr>
        <w:t xml:space="preserve"> it is worth noting that 46% of Teachers thought that students were doing only </w:t>
      </w:r>
      <w:r>
        <w:rPr>
          <w:rFonts w:cs="Arial"/>
        </w:rPr>
        <w:t>‘</w:t>
      </w:r>
      <w:r w:rsidRPr="008B465D">
        <w:rPr>
          <w:rFonts w:cs="Arial"/>
          <w:i/>
        </w:rPr>
        <w:t xml:space="preserve">a little better’ </w:t>
      </w:r>
      <w:r w:rsidRPr="000137AB">
        <w:rPr>
          <w:rFonts w:cs="Arial"/>
        </w:rPr>
        <w:t xml:space="preserve">compared with 39% of Teachers who thought students were doing </w:t>
      </w:r>
      <w:r>
        <w:rPr>
          <w:rFonts w:cs="Arial"/>
        </w:rPr>
        <w:t>‘</w:t>
      </w:r>
      <w:r w:rsidRPr="008B465D">
        <w:rPr>
          <w:rFonts w:cs="Arial"/>
          <w:i/>
        </w:rPr>
        <w:t xml:space="preserve">significantly’ </w:t>
      </w:r>
      <w:r w:rsidRPr="008B465D">
        <w:rPr>
          <w:rFonts w:cs="Arial"/>
        </w:rPr>
        <w:t xml:space="preserve">or </w:t>
      </w:r>
      <w:r w:rsidRPr="008B465D">
        <w:rPr>
          <w:rFonts w:cs="Arial"/>
          <w:i/>
        </w:rPr>
        <w:t>‘much better’</w:t>
      </w:r>
      <w:r w:rsidRPr="000137AB">
        <w:rPr>
          <w:rFonts w:cs="Arial"/>
        </w:rPr>
        <w:t>.</w:t>
      </w:r>
      <w:r>
        <w:rPr>
          <w:rFonts w:cs="Arial"/>
        </w:rPr>
        <w:t xml:space="preserve"> In summary, the new curriculum is providing benefits for the majority of students and that for around 40% of students there is a marked performance improvement.</w:t>
      </w:r>
    </w:p>
    <w:p w14:paraId="75030203" w14:textId="77777777" w:rsidR="00DE4728" w:rsidRDefault="00DE4728">
      <w:pPr>
        <w:spacing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br w:type="page"/>
      </w:r>
    </w:p>
    <w:p w14:paraId="5AAD1EAB" w14:textId="33F910B7" w:rsidR="00AC362E" w:rsidRDefault="00AC362E" w:rsidP="00145B37">
      <w:pPr>
        <w:rPr>
          <w:rFonts w:asciiTheme="majorHAnsi" w:eastAsia="Times New Roman" w:hAnsiTheme="majorHAnsi" w:cstheme="majorHAnsi"/>
          <w:b/>
          <w:color w:val="000000"/>
          <w:lang w:eastAsia="en-AU"/>
        </w:rPr>
      </w:pPr>
      <w:r w:rsidRPr="00FF2C50">
        <w:rPr>
          <w:rFonts w:asciiTheme="majorHAnsi" w:eastAsia="Times New Roman" w:hAnsiTheme="majorHAnsi" w:cstheme="majorHAnsi"/>
          <w:b/>
          <w:color w:val="000000"/>
          <w:lang w:eastAsia="en-AU"/>
        </w:rPr>
        <w:lastRenderedPageBreak/>
        <w:t>Table 5: Teachers' rating of the change in student performance by island type</w:t>
      </w:r>
    </w:p>
    <w:tbl>
      <w:tblPr>
        <w:tblW w:w="5000" w:type="pct"/>
        <w:tblLook w:val="04A0" w:firstRow="1" w:lastRow="0" w:firstColumn="1" w:lastColumn="0" w:noHBand="0" w:noVBand="1"/>
        <w:tblCaption w:val="Table 5: Teachers' rating of the change in student performance by island type"/>
      </w:tblPr>
      <w:tblGrid>
        <w:gridCol w:w="2314"/>
        <w:gridCol w:w="1800"/>
        <w:gridCol w:w="2091"/>
        <w:gridCol w:w="1370"/>
        <w:gridCol w:w="1667"/>
      </w:tblGrid>
      <w:tr w:rsidR="00AC362E" w:rsidRPr="00FF2C50" w14:paraId="318F2AAE" w14:textId="77777777" w:rsidTr="00145B37">
        <w:trPr>
          <w:trHeight w:val="315"/>
        </w:trPr>
        <w:tc>
          <w:tcPr>
            <w:tcW w:w="1252" w:type="pct"/>
            <w:tcBorders>
              <w:top w:val="single" w:sz="4" w:space="0" w:color="auto"/>
              <w:left w:val="nil"/>
              <w:bottom w:val="nil"/>
              <w:right w:val="nil"/>
            </w:tcBorders>
            <w:shd w:val="clear" w:color="auto" w:fill="auto"/>
            <w:noWrap/>
            <w:vAlign w:val="bottom"/>
            <w:hideMark/>
          </w:tcPr>
          <w:p w14:paraId="3E7E69A0" w14:textId="77777777" w:rsidR="00AC362E" w:rsidRPr="00FF2C50" w:rsidRDefault="00AC362E" w:rsidP="00ED0631">
            <w:pPr>
              <w:spacing w:after="0"/>
              <w:rPr>
                <w:rFonts w:asciiTheme="majorHAnsi" w:eastAsia="Times New Roman" w:hAnsiTheme="majorHAnsi" w:cstheme="majorHAnsi"/>
                <w:b/>
                <w:bCs/>
                <w:color w:val="000000"/>
                <w:lang w:eastAsia="en-AU"/>
              </w:rPr>
            </w:pPr>
            <w:r w:rsidRPr="00FF2C50">
              <w:rPr>
                <w:rFonts w:asciiTheme="majorHAnsi" w:eastAsia="Times New Roman" w:hAnsiTheme="majorHAnsi" w:cstheme="majorHAnsi"/>
                <w:b/>
                <w:bCs/>
                <w:color w:val="000000"/>
                <w:lang w:eastAsia="en-AU"/>
              </w:rPr>
              <w:t> </w:t>
            </w:r>
          </w:p>
        </w:tc>
        <w:tc>
          <w:tcPr>
            <w:tcW w:w="974" w:type="pct"/>
            <w:tcBorders>
              <w:top w:val="single" w:sz="4" w:space="0" w:color="auto"/>
              <w:left w:val="nil"/>
              <w:bottom w:val="nil"/>
              <w:right w:val="nil"/>
            </w:tcBorders>
            <w:shd w:val="clear" w:color="auto" w:fill="auto"/>
            <w:noWrap/>
            <w:vAlign w:val="bottom"/>
            <w:hideMark/>
          </w:tcPr>
          <w:p w14:paraId="12A7015C"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 xml:space="preserve">Much better </w:t>
            </w:r>
          </w:p>
        </w:tc>
        <w:tc>
          <w:tcPr>
            <w:tcW w:w="1131" w:type="pct"/>
            <w:tcBorders>
              <w:top w:val="single" w:sz="4" w:space="0" w:color="auto"/>
              <w:left w:val="nil"/>
              <w:bottom w:val="nil"/>
              <w:right w:val="nil"/>
            </w:tcBorders>
            <w:shd w:val="clear" w:color="auto" w:fill="auto"/>
            <w:noWrap/>
            <w:vAlign w:val="bottom"/>
            <w:hideMark/>
          </w:tcPr>
          <w:p w14:paraId="2BEBDEEB"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 xml:space="preserve">Significantly better </w:t>
            </w:r>
          </w:p>
        </w:tc>
        <w:tc>
          <w:tcPr>
            <w:tcW w:w="741" w:type="pct"/>
            <w:tcBorders>
              <w:top w:val="single" w:sz="4" w:space="0" w:color="auto"/>
              <w:left w:val="nil"/>
              <w:bottom w:val="nil"/>
              <w:right w:val="nil"/>
            </w:tcBorders>
            <w:shd w:val="clear" w:color="auto" w:fill="auto"/>
            <w:noWrap/>
            <w:vAlign w:val="bottom"/>
            <w:hideMark/>
          </w:tcPr>
          <w:p w14:paraId="12D3B591"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 xml:space="preserve">A little better </w:t>
            </w:r>
          </w:p>
        </w:tc>
        <w:tc>
          <w:tcPr>
            <w:tcW w:w="902" w:type="pct"/>
            <w:tcBorders>
              <w:top w:val="single" w:sz="4" w:space="0" w:color="auto"/>
              <w:left w:val="nil"/>
              <w:bottom w:val="nil"/>
              <w:right w:val="nil"/>
            </w:tcBorders>
            <w:shd w:val="clear" w:color="auto" w:fill="auto"/>
            <w:noWrap/>
            <w:vAlign w:val="bottom"/>
            <w:hideMark/>
          </w:tcPr>
          <w:p w14:paraId="5EE92722"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 xml:space="preserve">Same as before </w:t>
            </w:r>
          </w:p>
        </w:tc>
      </w:tr>
      <w:tr w:rsidR="00AC362E" w:rsidRPr="00FF2C50" w14:paraId="0B90CDD6" w14:textId="77777777" w:rsidTr="00145B37">
        <w:trPr>
          <w:trHeight w:val="315"/>
        </w:trPr>
        <w:tc>
          <w:tcPr>
            <w:tcW w:w="1252" w:type="pct"/>
            <w:tcBorders>
              <w:top w:val="single" w:sz="4" w:space="0" w:color="auto"/>
              <w:left w:val="nil"/>
              <w:bottom w:val="nil"/>
              <w:right w:val="nil"/>
            </w:tcBorders>
            <w:shd w:val="clear" w:color="auto" w:fill="auto"/>
            <w:noWrap/>
            <w:vAlign w:val="bottom"/>
            <w:hideMark/>
          </w:tcPr>
          <w:p w14:paraId="5C651B31"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Large island</w:t>
            </w:r>
          </w:p>
        </w:tc>
        <w:tc>
          <w:tcPr>
            <w:tcW w:w="974" w:type="pct"/>
            <w:tcBorders>
              <w:top w:val="single" w:sz="4" w:space="0" w:color="auto"/>
              <w:left w:val="nil"/>
              <w:bottom w:val="nil"/>
              <w:right w:val="nil"/>
            </w:tcBorders>
            <w:shd w:val="clear" w:color="auto" w:fill="auto"/>
            <w:noWrap/>
            <w:vAlign w:val="bottom"/>
            <w:hideMark/>
          </w:tcPr>
          <w:p w14:paraId="2DD119AB"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27</w:t>
            </w:r>
          </w:p>
        </w:tc>
        <w:tc>
          <w:tcPr>
            <w:tcW w:w="1131" w:type="pct"/>
            <w:tcBorders>
              <w:top w:val="single" w:sz="4" w:space="0" w:color="auto"/>
              <w:left w:val="nil"/>
              <w:bottom w:val="nil"/>
              <w:right w:val="nil"/>
            </w:tcBorders>
            <w:shd w:val="clear" w:color="auto" w:fill="auto"/>
            <w:noWrap/>
            <w:vAlign w:val="bottom"/>
            <w:hideMark/>
          </w:tcPr>
          <w:p w14:paraId="49D27A0E"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10</w:t>
            </w:r>
          </w:p>
        </w:tc>
        <w:tc>
          <w:tcPr>
            <w:tcW w:w="741" w:type="pct"/>
            <w:tcBorders>
              <w:top w:val="single" w:sz="4" w:space="0" w:color="auto"/>
              <w:left w:val="nil"/>
              <w:bottom w:val="nil"/>
              <w:right w:val="nil"/>
            </w:tcBorders>
            <w:shd w:val="clear" w:color="auto" w:fill="auto"/>
            <w:noWrap/>
            <w:vAlign w:val="bottom"/>
            <w:hideMark/>
          </w:tcPr>
          <w:p w14:paraId="2AA1491F"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26</w:t>
            </w:r>
          </w:p>
        </w:tc>
        <w:tc>
          <w:tcPr>
            <w:tcW w:w="902" w:type="pct"/>
            <w:tcBorders>
              <w:top w:val="single" w:sz="4" w:space="0" w:color="auto"/>
              <w:left w:val="nil"/>
              <w:bottom w:val="nil"/>
              <w:right w:val="nil"/>
            </w:tcBorders>
            <w:shd w:val="clear" w:color="auto" w:fill="auto"/>
            <w:noWrap/>
            <w:vAlign w:val="bottom"/>
            <w:hideMark/>
          </w:tcPr>
          <w:p w14:paraId="087F0288"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11</w:t>
            </w:r>
          </w:p>
        </w:tc>
      </w:tr>
      <w:tr w:rsidR="00AC362E" w:rsidRPr="00FF2C50" w14:paraId="4D565A27" w14:textId="77777777" w:rsidTr="00145B37">
        <w:trPr>
          <w:trHeight w:val="315"/>
        </w:trPr>
        <w:tc>
          <w:tcPr>
            <w:tcW w:w="1252" w:type="pct"/>
            <w:tcBorders>
              <w:top w:val="nil"/>
              <w:left w:val="nil"/>
              <w:bottom w:val="nil"/>
              <w:right w:val="nil"/>
            </w:tcBorders>
            <w:shd w:val="clear" w:color="auto" w:fill="auto"/>
            <w:noWrap/>
            <w:vAlign w:val="bottom"/>
            <w:hideMark/>
          </w:tcPr>
          <w:p w14:paraId="4D354795"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Small island</w:t>
            </w:r>
          </w:p>
        </w:tc>
        <w:tc>
          <w:tcPr>
            <w:tcW w:w="974" w:type="pct"/>
            <w:tcBorders>
              <w:top w:val="nil"/>
              <w:left w:val="nil"/>
              <w:bottom w:val="nil"/>
              <w:right w:val="nil"/>
            </w:tcBorders>
            <w:shd w:val="clear" w:color="auto" w:fill="auto"/>
            <w:noWrap/>
            <w:vAlign w:val="bottom"/>
            <w:hideMark/>
          </w:tcPr>
          <w:p w14:paraId="10080BDA"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7</w:t>
            </w:r>
          </w:p>
        </w:tc>
        <w:tc>
          <w:tcPr>
            <w:tcW w:w="1131" w:type="pct"/>
            <w:tcBorders>
              <w:top w:val="nil"/>
              <w:left w:val="nil"/>
              <w:bottom w:val="nil"/>
              <w:right w:val="nil"/>
            </w:tcBorders>
            <w:shd w:val="clear" w:color="auto" w:fill="auto"/>
            <w:noWrap/>
            <w:vAlign w:val="bottom"/>
            <w:hideMark/>
          </w:tcPr>
          <w:p w14:paraId="1FBB732E"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5</w:t>
            </w:r>
          </w:p>
        </w:tc>
        <w:tc>
          <w:tcPr>
            <w:tcW w:w="741" w:type="pct"/>
            <w:tcBorders>
              <w:top w:val="nil"/>
              <w:left w:val="nil"/>
              <w:bottom w:val="nil"/>
              <w:right w:val="nil"/>
            </w:tcBorders>
            <w:shd w:val="clear" w:color="auto" w:fill="auto"/>
            <w:noWrap/>
            <w:vAlign w:val="bottom"/>
            <w:hideMark/>
          </w:tcPr>
          <w:p w14:paraId="753E5C09"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11</w:t>
            </w:r>
          </w:p>
        </w:tc>
        <w:tc>
          <w:tcPr>
            <w:tcW w:w="902" w:type="pct"/>
            <w:tcBorders>
              <w:top w:val="nil"/>
              <w:left w:val="nil"/>
              <w:bottom w:val="nil"/>
              <w:right w:val="nil"/>
            </w:tcBorders>
            <w:shd w:val="clear" w:color="auto" w:fill="auto"/>
            <w:noWrap/>
            <w:vAlign w:val="bottom"/>
            <w:hideMark/>
          </w:tcPr>
          <w:p w14:paraId="745DCB8A"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3</w:t>
            </w:r>
          </w:p>
        </w:tc>
      </w:tr>
      <w:tr w:rsidR="00AC362E" w:rsidRPr="00FF2C50" w14:paraId="7B6DB102" w14:textId="77777777" w:rsidTr="00145B37">
        <w:trPr>
          <w:trHeight w:val="315"/>
        </w:trPr>
        <w:tc>
          <w:tcPr>
            <w:tcW w:w="1252" w:type="pct"/>
            <w:tcBorders>
              <w:top w:val="nil"/>
              <w:left w:val="nil"/>
              <w:bottom w:val="nil"/>
              <w:right w:val="nil"/>
            </w:tcBorders>
            <w:shd w:val="clear" w:color="auto" w:fill="auto"/>
            <w:noWrap/>
            <w:vAlign w:val="bottom"/>
            <w:hideMark/>
          </w:tcPr>
          <w:p w14:paraId="04CD6F1A"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Sth Tarawa</w:t>
            </w:r>
          </w:p>
        </w:tc>
        <w:tc>
          <w:tcPr>
            <w:tcW w:w="974" w:type="pct"/>
            <w:tcBorders>
              <w:top w:val="nil"/>
              <w:left w:val="nil"/>
              <w:bottom w:val="nil"/>
              <w:right w:val="nil"/>
            </w:tcBorders>
            <w:shd w:val="clear" w:color="auto" w:fill="auto"/>
            <w:noWrap/>
            <w:vAlign w:val="bottom"/>
            <w:hideMark/>
          </w:tcPr>
          <w:p w14:paraId="582BDF42"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18</w:t>
            </w:r>
          </w:p>
        </w:tc>
        <w:tc>
          <w:tcPr>
            <w:tcW w:w="1131" w:type="pct"/>
            <w:tcBorders>
              <w:top w:val="nil"/>
              <w:left w:val="nil"/>
              <w:bottom w:val="nil"/>
              <w:right w:val="nil"/>
            </w:tcBorders>
            <w:shd w:val="clear" w:color="auto" w:fill="auto"/>
            <w:noWrap/>
            <w:vAlign w:val="bottom"/>
            <w:hideMark/>
          </w:tcPr>
          <w:p w14:paraId="2620C444"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11</w:t>
            </w:r>
          </w:p>
        </w:tc>
        <w:tc>
          <w:tcPr>
            <w:tcW w:w="741" w:type="pct"/>
            <w:tcBorders>
              <w:top w:val="nil"/>
              <w:left w:val="nil"/>
              <w:bottom w:val="nil"/>
              <w:right w:val="nil"/>
            </w:tcBorders>
            <w:shd w:val="clear" w:color="auto" w:fill="auto"/>
            <w:noWrap/>
            <w:vAlign w:val="bottom"/>
            <w:hideMark/>
          </w:tcPr>
          <w:p w14:paraId="52161DA6"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55</w:t>
            </w:r>
          </w:p>
        </w:tc>
        <w:tc>
          <w:tcPr>
            <w:tcW w:w="902" w:type="pct"/>
            <w:tcBorders>
              <w:top w:val="nil"/>
              <w:left w:val="nil"/>
              <w:bottom w:val="nil"/>
              <w:right w:val="nil"/>
            </w:tcBorders>
            <w:shd w:val="clear" w:color="auto" w:fill="auto"/>
            <w:noWrap/>
            <w:vAlign w:val="bottom"/>
            <w:hideMark/>
          </w:tcPr>
          <w:p w14:paraId="357C44F1"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14</w:t>
            </w:r>
          </w:p>
        </w:tc>
      </w:tr>
      <w:tr w:rsidR="00AC362E" w:rsidRPr="00FF2C50" w14:paraId="257327F7" w14:textId="77777777" w:rsidTr="00145B37">
        <w:trPr>
          <w:trHeight w:val="315"/>
        </w:trPr>
        <w:tc>
          <w:tcPr>
            <w:tcW w:w="1252" w:type="pct"/>
            <w:tcBorders>
              <w:top w:val="single" w:sz="4" w:space="0" w:color="auto"/>
              <w:left w:val="nil"/>
              <w:bottom w:val="single" w:sz="4" w:space="0" w:color="auto"/>
              <w:right w:val="nil"/>
            </w:tcBorders>
            <w:shd w:val="clear" w:color="auto" w:fill="auto"/>
            <w:noWrap/>
            <w:vAlign w:val="bottom"/>
            <w:hideMark/>
          </w:tcPr>
          <w:p w14:paraId="3A2C834D" w14:textId="77777777" w:rsidR="00AC362E" w:rsidRPr="00FF2C50" w:rsidRDefault="00AC362E" w:rsidP="00ED0631">
            <w:pPr>
              <w:spacing w:after="0"/>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Total</w:t>
            </w:r>
          </w:p>
        </w:tc>
        <w:tc>
          <w:tcPr>
            <w:tcW w:w="974" w:type="pct"/>
            <w:tcBorders>
              <w:top w:val="single" w:sz="4" w:space="0" w:color="auto"/>
              <w:left w:val="nil"/>
              <w:bottom w:val="single" w:sz="4" w:space="0" w:color="auto"/>
              <w:right w:val="nil"/>
            </w:tcBorders>
            <w:shd w:val="clear" w:color="auto" w:fill="auto"/>
            <w:noWrap/>
            <w:vAlign w:val="bottom"/>
            <w:hideMark/>
          </w:tcPr>
          <w:p w14:paraId="58B5F843"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52</w:t>
            </w:r>
          </w:p>
        </w:tc>
        <w:tc>
          <w:tcPr>
            <w:tcW w:w="1131" w:type="pct"/>
            <w:tcBorders>
              <w:top w:val="single" w:sz="4" w:space="0" w:color="auto"/>
              <w:left w:val="nil"/>
              <w:bottom w:val="single" w:sz="4" w:space="0" w:color="auto"/>
              <w:right w:val="nil"/>
            </w:tcBorders>
            <w:shd w:val="clear" w:color="auto" w:fill="auto"/>
            <w:noWrap/>
            <w:vAlign w:val="bottom"/>
            <w:hideMark/>
          </w:tcPr>
          <w:p w14:paraId="580213A1"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26</w:t>
            </w:r>
          </w:p>
        </w:tc>
        <w:tc>
          <w:tcPr>
            <w:tcW w:w="741" w:type="pct"/>
            <w:tcBorders>
              <w:top w:val="single" w:sz="4" w:space="0" w:color="auto"/>
              <w:left w:val="nil"/>
              <w:bottom w:val="single" w:sz="4" w:space="0" w:color="auto"/>
              <w:right w:val="nil"/>
            </w:tcBorders>
            <w:shd w:val="clear" w:color="auto" w:fill="auto"/>
            <w:noWrap/>
            <w:vAlign w:val="bottom"/>
            <w:hideMark/>
          </w:tcPr>
          <w:p w14:paraId="62B7F9E7"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92</w:t>
            </w:r>
          </w:p>
        </w:tc>
        <w:tc>
          <w:tcPr>
            <w:tcW w:w="902" w:type="pct"/>
            <w:tcBorders>
              <w:top w:val="single" w:sz="4" w:space="0" w:color="auto"/>
              <w:left w:val="nil"/>
              <w:bottom w:val="single" w:sz="4" w:space="0" w:color="auto"/>
              <w:right w:val="nil"/>
            </w:tcBorders>
            <w:shd w:val="clear" w:color="auto" w:fill="auto"/>
            <w:noWrap/>
            <w:vAlign w:val="bottom"/>
            <w:hideMark/>
          </w:tcPr>
          <w:p w14:paraId="46FAFAC5" w14:textId="77777777" w:rsidR="00AC362E" w:rsidRPr="00FF2C50" w:rsidRDefault="00AC362E" w:rsidP="00ED0631">
            <w:pPr>
              <w:spacing w:after="0"/>
              <w:jc w:val="center"/>
              <w:rPr>
                <w:rFonts w:asciiTheme="majorHAnsi" w:eastAsia="Times New Roman" w:hAnsiTheme="majorHAnsi" w:cstheme="majorHAnsi"/>
                <w:color w:val="000000"/>
                <w:lang w:eastAsia="en-AU"/>
              </w:rPr>
            </w:pPr>
            <w:r w:rsidRPr="00FF2C50">
              <w:rPr>
                <w:rFonts w:asciiTheme="majorHAnsi" w:eastAsia="Times New Roman" w:hAnsiTheme="majorHAnsi" w:cstheme="majorHAnsi"/>
                <w:color w:val="000000"/>
                <w:lang w:eastAsia="en-AU"/>
              </w:rPr>
              <w:t>28</w:t>
            </w:r>
          </w:p>
        </w:tc>
      </w:tr>
    </w:tbl>
    <w:p w14:paraId="4DD104BF" w14:textId="77777777" w:rsidR="00AC362E" w:rsidRPr="00661535" w:rsidRDefault="00AC362E" w:rsidP="00ED0631">
      <w:pPr>
        <w:spacing w:before="240"/>
        <w:rPr>
          <w:rFonts w:cs="Arial"/>
        </w:rPr>
      </w:pPr>
      <w:r w:rsidRPr="00661535">
        <w:rPr>
          <w:rFonts w:cs="Arial"/>
        </w:rPr>
        <w:t xml:space="preserve">Nonetheless, as </w:t>
      </w:r>
      <w:r w:rsidRPr="00661535">
        <w:rPr>
          <w:rFonts w:cs="Arial"/>
          <w:i/>
        </w:rPr>
        <w:t>Table 6</w:t>
      </w:r>
      <w:r w:rsidRPr="00661535">
        <w:rPr>
          <w:rFonts w:cs="Arial"/>
        </w:rPr>
        <w:t xml:space="preserve"> shows when asked about the relative expected performance of boys and girls </w:t>
      </w:r>
      <w:r>
        <w:rPr>
          <w:rFonts w:cs="Arial"/>
        </w:rPr>
        <w:t>T</w:t>
      </w:r>
      <w:r w:rsidRPr="00661535">
        <w:rPr>
          <w:rFonts w:cs="Arial"/>
        </w:rPr>
        <w:t>eachers rated girls as performing better and that on average only 55% of boys and 69% of girls would reach the desired learning outcomes</w:t>
      </w:r>
      <w:r w:rsidRPr="00661535">
        <w:rPr>
          <w:rStyle w:val="FootnoteReference"/>
          <w:rFonts w:cs="Arial"/>
        </w:rPr>
        <w:footnoteReference w:id="31"/>
      </w:r>
      <w:r w:rsidRPr="00661535">
        <w:rPr>
          <w:rFonts w:cs="Arial"/>
        </w:rPr>
        <w:t xml:space="preserve">. The figures are remarkably similar to School Leader expectations who believed that 56% of boys and 70% of girls would meet the learning outcomes. It is important to note that when asked if boys and girls benefit equally from the new curriculum 92% of </w:t>
      </w:r>
      <w:r>
        <w:rPr>
          <w:rFonts w:cs="Arial"/>
        </w:rPr>
        <w:t>T</w:t>
      </w:r>
      <w:r w:rsidRPr="00661535">
        <w:rPr>
          <w:rFonts w:cs="Arial"/>
        </w:rPr>
        <w:t xml:space="preserve">eachers </w:t>
      </w:r>
      <w:r>
        <w:rPr>
          <w:rFonts w:cs="Arial"/>
        </w:rPr>
        <w:t>‘</w:t>
      </w:r>
      <w:r w:rsidRPr="00B4645D">
        <w:rPr>
          <w:rFonts w:cs="Arial"/>
          <w:i/>
        </w:rPr>
        <w:t>agreed</w:t>
      </w:r>
      <w:r>
        <w:rPr>
          <w:rFonts w:cs="Arial"/>
        </w:rPr>
        <w:t>’</w:t>
      </w:r>
      <w:r w:rsidRPr="00661535">
        <w:rPr>
          <w:rFonts w:cs="Arial"/>
        </w:rPr>
        <w:t xml:space="preserve"> or </w:t>
      </w:r>
      <w:r>
        <w:rPr>
          <w:rFonts w:cs="Arial"/>
        </w:rPr>
        <w:t>‘</w:t>
      </w:r>
      <w:r w:rsidRPr="00B4645D">
        <w:rPr>
          <w:rFonts w:cs="Arial"/>
          <w:i/>
        </w:rPr>
        <w:t>strongly agreed</w:t>
      </w:r>
      <w:r>
        <w:rPr>
          <w:rFonts w:cs="Arial"/>
        </w:rPr>
        <w:t>’</w:t>
      </w:r>
      <w:r w:rsidRPr="00661535">
        <w:rPr>
          <w:rFonts w:cs="Arial"/>
        </w:rPr>
        <w:t xml:space="preserve"> with this proposition suggesting that the relative performance of boys and girls is linked to other factors and not attributable to the introduction of the new curriculum. Also interesting is that the disparity between the expected achievement of boys and girls appears to be greatest in small islands.</w:t>
      </w:r>
    </w:p>
    <w:p w14:paraId="66B0014E" w14:textId="55B39648" w:rsidR="00AC362E" w:rsidRPr="00491EF1" w:rsidRDefault="00AC362E" w:rsidP="00145B37">
      <w:pPr>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6: The percent of boys and girls that teachers </w:t>
      </w:r>
      <w:r w:rsidRPr="00491EF1">
        <w:rPr>
          <w:rFonts w:asciiTheme="majorHAnsi" w:eastAsia="Times New Roman" w:hAnsiTheme="majorHAnsi" w:cstheme="majorHAnsi"/>
          <w:b/>
          <w:color w:val="000000"/>
          <w:u w:val="single"/>
          <w:lang w:eastAsia="en-AU"/>
        </w:rPr>
        <w:t>expected</w:t>
      </w:r>
      <w:r w:rsidRPr="00491EF1">
        <w:rPr>
          <w:rFonts w:asciiTheme="majorHAnsi" w:eastAsia="Times New Roman" w:hAnsiTheme="majorHAnsi" w:cstheme="majorHAnsi"/>
          <w:b/>
          <w:color w:val="000000"/>
          <w:lang w:eastAsia="en-AU"/>
        </w:rPr>
        <w:t xml:space="preserve"> to meet the learning outcomes this </w:t>
      </w:r>
      <w:r w:rsidR="00145B37">
        <w:rPr>
          <w:rFonts w:asciiTheme="majorHAnsi" w:eastAsia="Times New Roman" w:hAnsiTheme="majorHAnsi" w:cstheme="majorHAnsi"/>
          <w:b/>
          <w:color w:val="000000"/>
          <w:lang w:eastAsia="en-AU"/>
        </w:rPr>
        <w:t>y</w:t>
      </w:r>
      <w:r w:rsidRPr="00491EF1">
        <w:rPr>
          <w:rFonts w:asciiTheme="majorHAnsi" w:eastAsia="Times New Roman" w:hAnsiTheme="majorHAnsi" w:cstheme="majorHAnsi"/>
          <w:b/>
          <w:color w:val="000000"/>
          <w:lang w:eastAsia="en-AU"/>
        </w:rPr>
        <w:t>ear by island type</w:t>
      </w:r>
    </w:p>
    <w:tbl>
      <w:tblPr>
        <w:tblW w:w="5000" w:type="pct"/>
        <w:tblLook w:val="04A0" w:firstRow="1" w:lastRow="0" w:firstColumn="1" w:lastColumn="0" w:noHBand="0" w:noVBand="1"/>
      </w:tblPr>
      <w:tblGrid>
        <w:gridCol w:w="5115"/>
        <w:gridCol w:w="2107"/>
        <w:gridCol w:w="2020"/>
      </w:tblGrid>
      <w:tr w:rsidR="00AC362E" w:rsidRPr="00491EF1" w14:paraId="6308C7F0" w14:textId="77777777" w:rsidTr="00145B37">
        <w:trPr>
          <w:trHeight w:val="315"/>
        </w:trPr>
        <w:tc>
          <w:tcPr>
            <w:tcW w:w="2766" w:type="pct"/>
            <w:tcBorders>
              <w:top w:val="single" w:sz="4" w:space="0" w:color="auto"/>
              <w:left w:val="nil"/>
              <w:bottom w:val="nil"/>
              <w:right w:val="nil"/>
            </w:tcBorders>
            <w:shd w:val="clear" w:color="auto" w:fill="auto"/>
            <w:noWrap/>
            <w:vAlign w:val="bottom"/>
            <w:hideMark/>
          </w:tcPr>
          <w:p w14:paraId="092EF916"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140" w:type="pct"/>
            <w:tcBorders>
              <w:top w:val="single" w:sz="4" w:space="0" w:color="auto"/>
              <w:left w:val="nil"/>
              <w:bottom w:val="single" w:sz="4" w:space="0" w:color="auto"/>
              <w:right w:val="nil"/>
            </w:tcBorders>
            <w:shd w:val="clear" w:color="auto" w:fill="auto"/>
            <w:noWrap/>
            <w:vAlign w:val="bottom"/>
            <w:hideMark/>
          </w:tcPr>
          <w:p w14:paraId="6A167C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Boys</w:t>
            </w:r>
          </w:p>
        </w:tc>
        <w:tc>
          <w:tcPr>
            <w:tcW w:w="1093" w:type="pct"/>
            <w:tcBorders>
              <w:top w:val="single" w:sz="4" w:space="0" w:color="auto"/>
              <w:left w:val="nil"/>
              <w:bottom w:val="single" w:sz="4" w:space="0" w:color="auto"/>
              <w:right w:val="nil"/>
            </w:tcBorders>
            <w:shd w:val="clear" w:color="auto" w:fill="auto"/>
            <w:noWrap/>
            <w:vAlign w:val="bottom"/>
            <w:hideMark/>
          </w:tcPr>
          <w:p w14:paraId="7BA424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Girls</w:t>
            </w:r>
          </w:p>
        </w:tc>
      </w:tr>
      <w:tr w:rsidR="00AC362E" w:rsidRPr="00491EF1" w14:paraId="768EC7FE" w14:textId="77777777" w:rsidTr="00145B37">
        <w:trPr>
          <w:trHeight w:val="315"/>
        </w:trPr>
        <w:tc>
          <w:tcPr>
            <w:tcW w:w="2766" w:type="pct"/>
            <w:tcBorders>
              <w:top w:val="single" w:sz="4" w:space="0" w:color="auto"/>
              <w:left w:val="nil"/>
              <w:bottom w:val="nil"/>
              <w:right w:val="nil"/>
            </w:tcBorders>
            <w:shd w:val="clear" w:color="auto" w:fill="auto"/>
            <w:noWrap/>
            <w:vAlign w:val="bottom"/>
            <w:hideMark/>
          </w:tcPr>
          <w:p w14:paraId="62EB36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Large island</w:t>
            </w:r>
          </w:p>
        </w:tc>
        <w:tc>
          <w:tcPr>
            <w:tcW w:w="1140" w:type="pct"/>
            <w:tcBorders>
              <w:top w:val="nil"/>
              <w:left w:val="nil"/>
              <w:bottom w:val="nil"/>
              <w:right w:val="nil"/>
            </w:tcBorders>
            <w:shd w:val="clear" w:color="auto" w:fill="auto"/>
            <w:noWrap/>
            <w:vAlign w:val="bottom"/>
            <w:hideMark/>
          </w:tcPr>
          <w:p w14:paraId="749E5C2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c>
          <w:tcPr>
            <w:tcW w:w="1093" w:type="pct"/>
            <w:tcBorders>
              <w:top w:val="nil"/>
              <w:left w:val="nil"/>
              <w:bottom w:val="nil"/>
              <w:right w:val="nil"/>
            </w:tcBorders>
            <w:shd w:val="clear" w:color="auto" w:fill="auto"/>
            <w:noWrap/>
            <w:vAlign w:val="bottom"/>
            <w:hideMark/>
          </w:tcPr>
          <w:p w14:paraId="7A42FA7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65</w:t>
            </w:r>
          </w:p>
        </w:tc>
      </w:tr>
      <w:tr w:rsidR="00AC362E" w:rsidRPr="00491EF1" w14:paraId="015FAD12" w14:textId="77777777" w:rsidTr="00145B37">
        <w:trPr>
          <w:trHeight w:val="315"/>
        </w:trPr>
        <w:tc>
          <w:tcPr>
            <w:tcW w:w="2766" w:type="pct"/>
            <w:tcBorders>
              <w:top w:val="nil"/>
              <w:left w:val="nil"/>
              <w:bottom w:val="nil"/>
              <w:right w:val="nil"/>
            </w:tcBorders>
            <w:shd w:val="clear" w:color="auto" w:fill="auto"/>
            <w:noWrap/>
            <w:vAlign w:val="bottom"/>
            <w:hideMark/>
          </w:tcPr>
          <w:p w14:paraId="5E9B60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Small island</w:t>
            </w:r>
          </w:p>
        </w:tc>
        <w:tc>
          <w:tcPr>
            <w:tcW w:w="1140" w:type="pct"/>
            <w:tcBorders>
              <w:top w:val="nil"/>
              <w:left w:val="nil"/>
              <w:bottom w:val="nil"/>
              <w:right w:val="nil"/>
            </w:tcBorders>
            <w:shd w:val="clear" w:color="auto" w:fill="auto"/>
            <w:noWrap/>
            <w:vAlign w:val="bottom"/>
            <w:hideMark/>
          </w:tcPr>
          <w:p w14:paraId="09DA600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c>
          <w:tcPr>
            <w:tcW w:w="1093" w:type="pct"/>
            <w:tcBorders>
              <w:top w:val="nil"/>
              <w:left w:val="nil"/>
              <w:bottom w:val="nil"/>
              <w:right w:val="nil"/>
            </w:tcBorders>
            <w:shd w:val="clear" w:color="auto" w:fill="auto"/>
            <w:noWrap/>
            <w:vAlign w:val="bottom"/>
            <w:hideMark/>
          </w:tcPr>
          <w:p w14:paraId="19A245E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73</w:t>
            </w:r>
          </w:p>
        </w:tc>
      </w:tr>
      <w:tr w:rsidR="00AC362E" w:rsidRPr="00491EF1" w14:paraId="57FF2966" w14:textId="77777777" w:rsidTr="00145B37">
        <w:trPr>
          <w:trHeight w:val="315"/>
        </w:trPr>
        <w:tc>
          <w:tcPr>
            <w:tcW w:w="2766" w:type="pct"/>
            <w:tcBorders>
              <w:top w:val="nil"/>
              <w:left w:val="nil"/>
              <w:bottom w:val="nil"/>
              <w:right w:val="nil"/>
            </w:tcBorders>
            <w:shd w:val="clear" w:color="auto" w:fill="auto"/>
            <w:noWrap/>
            <w:vAlign w:val="bottom"/>
            <w:hideMark/>
          </w:tcPr>
          <w:p w14:paraId="4E7F47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Sth Tarawa</w:t>
            </w:r>
          </w:p>
        </w:tc>
        <w:tc>
          <w:tcPr>
            <w:tcW w:w="1140" w:type="pct"/>
            <w:tcBorders>
              <w:top w:val="nil"/>
              <w:left w:val="nil"/>
              <w:bottom w:val="nil"/>
              <w:right w:val="nil"/>
            </w:tcBorders>
            <w:shd w:val="clear" w:color="auto" w:fill="auto"/>
            <w:noWrap/>
            <w:vAlign w:val="bottom"/>
            <w:hideMark/>
          </w:tcPr>
          <w:p w14:paraId="03E05FC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c>
          <w:tcPr>
            <w:tcW w:w="1093" w:type="pct"/>
            <w:tcBorders>
              <w:top w:val="nil"/>
              <w:left w:val="nil"/>
              <w:bottom w:val="nil"/>
              <w:right w:val="nil"/>
            </w:tcBorders>
            <w:shd w:val="clear" w:color="auto" w:fill="auto"/>
            <w:noWrap/>
            <w:vAlign w:val="bottom"/>
            <w:hideMark/>
          </w:tcPr>
          <w:p w14:paraId="51C6F05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71</w:t>
            </w:r>
          </w:p>
        </w:tc>
      </w:tr>
      <w:tr w:rsidR="00AC362E" w:rsidRPr="00491EF1" w14:paraId="05C24BA1" w14:textId="77777777" w:rsidTr="00145B37">
        <w:trPr>
          <w:trHeight w:val="315"/>
        </w:trPr>
        <w:tc>
          <w:tcPr>
            <w:tcW w:w="2766" w:type="pct"/>
            <w:tcBorders>
              <w:top w:val="single" w:sz="4" w:space="0" w:color="auto"/>
              <w:left w:val="nil"/>
              <w:bottom w:val="single" w:sz="4" w:space="0" w:color="auto"/>
              <w:right w:val="nil"/>
            </w:tcBorders>
            <w:shd w:val="clear" w:color="auto" w:fill="auto"/>
            <w:noWrap/>
            <w:vAlign w:val="bottom"/>
            <w:hideMark/>
          </w:tcPr>
          <w:p w14:paraId="72E408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40" w:type="pct"/>
            <w:tcBorders>
              <w:top w:val="single" w:sz="4" w:space="0" w:color="auto"/>
              <w:left w:val="nil"/>
              <w:bottom w:val="single" w:sz="4" w:space="0" w:color="auto"/>
              <w:right w:val="nil"/>
            </w:tcBorders>
            <w:shd w:val="clear" w:color="auto" w:fill="auto"/>
            <w:noWrap/>
            <w:vAlign w:val="bottom"/>
            <w:hideMark/>
          </w:tcPr>
          <w:p w14:paraId="311B2D5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c>
          <w:tcPr>
            <w:tcW w:w="1093" w:type="pct"/>
            <w:tcBorders>
              <w:top w:val="single" w:sz="4" w:space="0" w:color="auto"/>
              <w:left w:val="nil"/>
              <w:bottom w:val="single" w:sz="4" w:space="0" w:color="auto"/>
              <w:right w:val="nil"/>
            </w:tcBorders>
            <w:shd w:val="clear" w:color="auto" w:fill="auto"/>
            <w:noWrap/>
            <w:vAlign w:val="bottom"/>
            <w:hideMark/>
          </w:tcPr>
          <w:p w14:paraId="7AA7786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69</w:t>
            </w:r>
          </w:p>
        </w:tc>
      </w:tr>
    </w:tbl>
    <w:p w14:paraId="09DC1511" w14:textId="77777777" w:rsidR="00AC362E" w:rsidRPr="000018A0" w:rsidRDefault="00AC362E" w:rsidP="00ED0631">
      <w:pPr>
        <w:spacing w:before="240"/>
        <w:rPr>
          <w:rFonts w:cs="Arial"/>
        </w:rPr>
      </w:pPr>
      <w:r>
        <w:rPr>
          <w:rFonts w:cs="Arial"/>
        </w:rPr>
        <w:t>Teacher views about the quality of the new curriculum show that teachers agreed or strongly agreed that curriculum topics were about the right length (88%), were targeted to students interests (68%), allow them to target the learning needs of different students (97%), allowed students to learn more concepts (97%), and allowed students to demonstrate their ability better (96%). As frequently reported in the CSR interviews, they also felt that students were more interested and engaged in learning under the new curriculum (95%). School Leaders were, if anything, slightly more positive about each of these points.</w:t>
      </w:r>
    </w:p>
    <w:p w14:paraId="5B20DBC8" w14:textId="77777777" w:rsidR="00AC362E" w:rsidRPr="000018A0" w:rsidRDefault="00AC362E" w:rsidP="00ED0631">
      <w:pPr>
        <w:pStyle w:val="Heading3"/>
        <w:rPr>
          <w:rFonts w:eastAsia="Times New Roman"/>
          <w:lang w:eastAsia="en-AU"/>
        </w:rPr>
      </w:pPr>
      <w:bookmarkStart w:id="140" w:name="_Toc461615758"/>
      <w:r>
        <w:rPr>
          <w:rFonts w:eastAsia="Times New Roman"/>
          <w:lang w:eastAsia="en-AU"/>
        </w:rPr>
        <w:t>6.1.3</w:t>
      </w:r>
      <w:r>
        <w:rPr>
          <w:rFonts w:eastAsia="Times New Roman"/>
          <w:lang w:eastAsia="en-AU"/>
        </w:rPr>
        <w:tab/>
      </w:r>
      <w:r w:rsidRPr="002B09F6">
        <w:rPr>
          <w:rFonts w:eastAsia="Times New Roman"/>
          <w:lang w:eastAsia="en-AU"/>
        </w:rPr>
        <w:t>Extent of learner focus of the lesson plans and in the class room implementation</w:t>
      </w:r>
      <w:bookmarkEnd w:id="140"/>
    </w:p>
    <w:p w14:paraId="169C60C0" w14:textId="77777777" w:rsidR="00AC362E" w:rsidRPr="000018A0" w:rsidRDefault="00AC362E" w:rsidP="00ED0631">
      <w:pPr>
        <w:spacing w:before="240"/>
        <w:rPr>
          <w:rFonts w:cs="Arial"/>
        </w:rPr>
      </w:pPr>
      <w:r>
        <w:rPr>
          <w:rFonts w:cs="Arial"/>
        </w:rPr>
        <w:t>In support of these SED results the CSR found that teachers frequently reported that teaching appeared more enjoyable using the new curriculum, and observed that students were more engaged in what was going on in the classroom where the new curriculum was being taught well. This seemed to strongly correlate with the use of more student-centred learning techniques. Where the lessons being taught were not student-centred it was common to observe students not paying attention and even wandering in and out of classes.</w:t>
      </w:r>
    </w:p>
    <w:p w14:paraId="0838581B" w14:textId="77777777" w:rsidR="00AC362E" w:rsidRDefault="00AC362E" w:rsidP="00ED0631">
      <w:pPr>
        <w:spacing w:before="240"/>
        <w:rPr>
          <w:rFonts w:cs="Arial"/>
        </w:rPr>
      </w:pPr>
      <w:r>
        <w:rPr>
          <w:rFonts w:cs="Arial"/>
        </w:rPr>
        <w:t>However, the CSR found very little evidence of teachers collaborating on lesson plans. While it was common for School Leaders to review teacher’s lesson plans, Teachers interviewed reported that they rarely discussed their lesson plan with their colleagues unless they were experiencing a particular problem. This is in contrast to SED results where 89% of Teachers said that they did discuss lesson plans with colleagues. It may be that this question was interpreted as ‘</w:t>
      </w:r>
      <w:r w:rsidRPr="008C560D">
        <w:rPr>
          <w:rFonts w:cs="Arial"/>
          <w:i/>
        </w:rPr>
        <w:t>have you ever discussed your lesson plan with a colleague</w:t>
      </w:r>
      <w:r>
        <w:rPr>
          <w:rFonts w:cs="Arial"/>
        </w:rPr>
        <w:t>’ rather than the intended ‘</w:t>
      </w:r>
      <w:r w:rsidRPr="008C560D">
        <w:rPr>
          <w:rFonts w:cs="Arial"/>
          <w:i/>
        </w:rPr>
        <w:t>do you routinely discuss your lesson plans with colleagues</w:t>
      </w:r>
      <w:r>
        <w:rPr>
          <w:rFonts w:cs="Arial"/>
        </w:rPr>
        <w:t>’.</w:t>
      </w:r>
    </w:p>
    <w:p w14:paraId="015F84F7" w14:textId="77777777" w:rsidR="00DE4728" w:rsidRDefault="00DE4728">
      <w:pPr>
        <w:spacing w:line="276" w:lineRule="auto"/>
        <w:rPr>
          <w:rFonts w:cs="Arial"/>
        </w:rPr>
      </w:pPr>
      <w:r>
        <w:rPr>
          <w:rFonts w:cs="Arial"/>
        </w:rPr>
        <w:br w:type="page"/>
      </w:r>
    </w:p>
    <w:p w14:paraId="7498B9AE" w14:textId="0F711C83" w:rsidR="00AC362E" w:rsidRDefault="00AC362E" w:rsidP="00ED0631">
      <w:pPr>
        <w:spacing w:before="240"/>
        <w:rPr>
          <w:rFonts w:cs="Arial"/>
        </w:rPr>
      </w:pPr>
      <w:r>
        <w:rPr>
          <w:rFonts w:cs="Arial"/>
        </w:rPr>
        <w:lastRenderedPageBreak/>
        <w:t>It is important to note at this point that across schools the CSR found teachers using two different lesson plan formats. One was the format promoted by Kiribati Teachers College (KTC) which was a simple format involving: topic, expected learning outcome, activity and achievement. The other, a more extensive MOE format, required much more effort by the teacher to complete. There did not appear to be any particular rationale for why one format was used over another. Sometimes both formats were used in the same school; sometimes the MOE format was used because the District Education Officer (DEO) had insisted on it</w:t>
      </w:r>
      <w:r>
        <w:rPr>
          <w:rStyle w:val="FootnoteReference"/>
          <w:rFonts w:cs="Arial"/>
        </w:rPr>
        <w:footnoteReference w:id="32"/>
      </w:r>
      <w:r>
        <w:rPr>
          <w:rFonts w:cs="Arial"/>
        </w:rPr>
        <w:t>. In at least one case teachers produced an MOE format to satisfy the DEO but reverted to the KTC format as soon as the DEO had gone</w:t>
      </w:r>
      <w:r>
        <w:rPr>
          <w:rStyle w:val="FootnoteReference"/>
          <w:rFonts w:cs="Arial"/>
        </w:rPr>
        <w:footnoteReference w:id="33"/>
      </w:r>
      <w:r>
        <w:rPr>
          <w:rFonts w:cs="Arial"/>
        </w:rPr>
        <w:t>.</w:t>
      </w:r>
    </w:p>
    <w:p w14:paraId="2218390E" w14:textId="77777777" w:rsidR="00AC362E" w:rsidRDefault="00AC362E" w:rsidP="00ED0631">
      <w:pPr>
        <w:spacing w:before="240"/>
        <w:rPr>
          <w:rFonts w:cs="Arial"/>
        </w:rPr>
      </w:pPr>
      <w:r>
        <w:rPr>
          <w:rFonts w:cs="Arial"/>
        </w:rPr>
        <w:t>To some extent the format used might be considered irrelevant. The important thing should be that teachers are able structure lessons appropriately to achieve the learning outcomes identified in the new curriculum. On this score, 93% of teachers in the SED ‘</w:t>
      </w:r>
      <w:r w:rsidRPr="00380C58">
        <w:rPr>
          <w:rFonts w:cs="Arial"/>
          <w:i/>
        </w:rPr>
        <w:t>Agreed</w:t>
      </w:r>
      <w:r>
        <w:rPr>
          <w:rFonts w:cs="Arial"/>
        </w:rPr>
        <w:t>’ or ‘</w:t>
      </w:r>
      <w:r w:rsidRPr="00380C58">
        <w:rPr>
          <w:rFonts w:cs="Arial"/>
          <w:i/>
        </w:rPr>
        <w:t>Strongly Agreed</w:t>
      </w:r>
      <w:r>
        <w:rPr>
          <w:rFonts w:cs="Arial"/>
        </w:rPr>
        <w:t xml:space="preserve">’ that the new curriculum provided valuable guidance for developing lesson plans (see </w:t>
      </w:r>
      <w:r w:rsidRPr="00661535">
        <w:rPr>
          <w:rFonts w:cs="Arial"/>
          <w:i/>
        </w:rPr>
        <w:t>Table 7</w:t>
      </w:r>
      <w:r w:rsidRPr="00661535">
        <w:rPr>
          <w:rFonts w:cs="Arial"/>
        </w:rPr>
        <w:t>).</w:t>
      </w:r>
      <w:r>
        <w:rPr>
          <w:rFonts w:cs="Arial"/>
        </w:rPr>
        <w:t xml:space="preserve"> </w:t>
      </w:r>
    </w:p>
    <w:p w14:paraId="165196D8" w14:textId="77777777" w:rsidR="00AC362E" w:rsidRPr="00145B37" w:rsidRDefault="00AC362E" w:rsidP="00145B37">
      <w:pPr>
        <w:rPr>
          <w:rFonts w:asciiTheme="majorHAnsi" w:eastAsia="Times New Roman" w:hAnsiTheme="majorHAnsi" w:cstheme="majorHAnsi"/>
          <w:b/>
          <w:color w:val="000000"/>
          <w:lang w:eastAsia="en-AU"/>
        </w:rPr>
      </w:pPr>
      <w:r w:rsidRPr="00145B37">
        <w:rPr>
          <w:rFonts w:asciiTheme="majorHAnsi" w:eastAsia="Times New Roman" w:hAnsiTheme="majorHAnsi" w:cstheme="majorHAnsi"/>
          <w:b/>
          <w:color w:val="000000"/>
          <w:lang w:eastAsia="en-AU"/>
        </w:rPr>
        <w:t>Table 7: Number of teachers who considered that the new curriculum provides valuable guidance for developing lesson plans</w:t>
      </w:r>
    </w:p>
    <w:tbl>
      <w:tblPr>
        <w:tblW w:w="5000" w:type="pct"/>
        <w:tblLook w:val="04A0" w:firstRow="1" w:lastRow="0" w:firstColumn="1" w:lastColumn="0" w:noHBand="0" w:noVBand="1"/>
      </w:tblPr>
      <w:tblGrid>
        <w:gridCol w:w="2400"/>
        <w:gridCol w:w="1675"/>
        <w:gridCol w:w="1566"/>
        <w:gridCol w:w="1795"/>
        <w:gridCol w:w="1806"/>
      </w:tblGrid>
      <w:tr w:rsidR="00AC362E" w:rsidRPr="00145B37" w14:paraId="2DE2DB53" w14:textId="77777777" w:rsidTr="00145B37">
        <w:trPr>
          <w:trHeight w:val="315"/>
        </w:trPr>
        <w:tc>
          <w:tcPr>
            <w:tcW w:w="1320" w:type="pct"/>
            <w:tcBorders>
              <w:top w:val="single" w:sz="4" w:space="0" w:color="auto"/>
              <w:left w:val="nil"/>
              <w:bottom w:val="nil"/>
              <w:right w:val="nil"/>
            </w:tcBorders>
            <w:shd w:val="clear" w:color="auto" w:fill="auto"/>
            <w:noWrap/>
            <w:vAlign w:val="bottom"/>
            <w:hideMark/>
          </w:tcPr>
          <w:p w14:paraId="53149E41" w14:textId="77777777" w:rsidR="00AC362E" w:rsidRPr="00145B37" w:rsidRDefault="00AC362E" w:rsidP="00ED0631">
            <w:pPr>
              <w:spacing w:after="0"/>
              <w:rPr>
                <w:rFonts w:asciiTheme="majorHAnsi" w:eastAsia="Times New Roman" w:hAnsiTheme="majorHAnsi" w:cstheme="majorHAnsi"/>
                <w:b/>
                <w:bCs/>
                <w:color w:val="000000"/>
                <w:lang w:eastAsia="en-AU"/>
              </w:rPr>
            </w:pPr>
          </w:p>
        </w:tc>
        <w:tc>
          <w:tcPr>
            <w:tcW w:w="928" w:type="pct"/>
            <w:tcBorders>
              <w:top w:val="single" w:sz="4" w:space="0" w:color="auto"/>
              <w:left w:val="nil"/>
              <w:bottom w:val="single" w:sz="4" w:space="0" w:color="auto"/>
              <w:right w:val="nil"/>
            </w:tcBorders>
            <w:shd w:val="clear" w:color="auto" w:fill="auto"/>
            <w:noWrap/>
            <w:vAlign w:val="bottom"/>
            <w:hideMark/>
          </w:tcPr>
          <w:p w14:paraId="59080FE2" w14:textId="65993C5E" w:rsidR="00AC362E" w:rsidRPr="00145B37" w:rsidRDefault="00AC362E" w:rsidP="00145B37">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Strongly Agree</w:t>
            </w:r>
          </w:p>
        </w:tc>
        <w:tc>
          <w:tcPr>
            <w:tcW w:w="869" w:type="pct"/>
            <w:tcBorders>
              <w:top w:val="single" w:sz="4" w:space="0" w:color="auto"/>
              <w:left w:val="nil"/>
              <w:bottom w:val="single" w:sz="4" w:space="0" w:color="auto"/>
              <w:right w:val="nil"/>
            </w:tcBorders>
            <w:shd w:val="clear" w:color="auto" w:fill="auto"/>
            <w:noWrap/>
            <w:vAlign w:val="bottom"/>
            <w:hideMark/>
          </w:tcPr>
          <w:p w14:paraId="25563D00" w14:textId="42ADD7C9" w:rsidR="00AC362E" w:rsidRPr="00145B37" w:rsidRDefault="00AC362E" w:rsidP="00145B37">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Agree</w:t>
            </w:r>
          </w:p>
        </w:tc>
        <w:tc>
          <w:tcPr>
            <w:tcW w:w="993" w:type="pct"/>
            <w:tcBorders>
              <w:top w:val="single" w:sz="4" w:space="0" w:color="auto"/>
              <w:left w:val="nil"/>
              <w:bottom w:val="nil"/>
              <w:right w:val="nil"/>
            </w:tcBorders>
            <w:shd w:val="clear" w:color="auto" w:fill="auto"/>
            <w:noWrap/>
            <w:vAlign w:val="bottom"/>
            <w:hideMark/>
          </w:tcPr>
          <w:p w14:paraId="786EF20D" w14:textId="223C1A9B" w:rsidR="00AC362E" w:rsidRPr="00145B37" w:rsidRDefault="00AC362E" w:rsidP="00145B37">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Disagree</w:t>
            </w:r>
          </w:p>
        </w:tc>
        <w:tc>
          <w:tcPr>
            <w:tcW w:w="891" w:type="pct"/>
            <w:tcBorders>
              <w:top w:val="single" w:sz="4" w:space="0" w:color="auto"/>
              <w:left w:val="nil"/>
              <w:bottom w:val="nil"/>
              <w:right w:val="nil"/>
            </w:tcBorders>
            <w:shd w:val="clear" w:color="auto" w:fill="auto"/>
            <w:noWrap/>
            <w:vAlign w:val="bottom"/>
            <w:hideMark/>
          </w:tcPr>
          <w:p w14:paraId="5348E0BF" w14:textId="76D564F4" w:rsidR="00AC362E" w:rsidRPr="00145B37" w:rsidRDefault="00AC362E" w:rsidP="00145B37">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Strongly Disagree</w:t>
            </w:r>
          </w:p>
        </w:tc>
      </w:tr>
      <w:tr w:rsidR="00AC362E" w:rsidRPr="00145B37" w14:paraId="042CB371" w14:textId="77777777" w:rsidTr="00145B37">
        <w:trPr>
          <w:trHeight w:val="315"/>
        </w:trPr>
        <w:tc>
          <w:tcPr>
            <w:tcW w:w="1320" w:type="pct"/>
            <w:tcBorders>
              <w:top w:val="single" w:sz="4" w:space="0" w:color="auto"/>
              <w:left w:val="nil"/>
              <w:bottom w:val="nil"/>
              <w:right w:val="nil"/>
            </w:tcBorders>
            <w:shd w:val="clear" w:color="auto" w:fill="auto"/>
            <w:noWrap/>
            <w:vAlign w:val="bottom"/>
            <w:hideMark/>
          </w:tcPr>
          <w:p w14:paraId="7304D41E"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 xml:space="preserve">Large island </w:t>
            </w:r>
          </w:p>
        </w:tc>
        <w:tc>
          <w:tcPr>
            <w:tcW w:w="928" w:type="pct"/>
            <w:tcBorders>
              <w:top w:val="nil"/>
              <w:left w:val="nil"/>
              <w:bottom w:val="nil"/>
              <w:right w:val="nil"/>
            </w:tcBorders>
            <w:shd w:val="clear" w:color="auto" w:fill="auto"/>
            <w:noWrap/>
            <w:vAlign w:val="bottom"/>
            <w:hideMark/>
          </w:tcPr>
          <w:p w14:paraId="1B4A825B"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20</w:t>
            </w:r>
          </w:p>
        </w:tc>
        <w:tc>
          <w:tcPr>
            <w:tcW w:w="869" w:type="pct"/>
            <w:tcBorders>
              <w:top w:val="nil"/>
              <w:left w:val="nil"/>
              <w:bottom w:val="nil"/>
              <w:right w:val="nil"/>
            </w:tcBorders>
            <w:shd w:val="clear" w:color="auto" w:fill="auto"/>
            <w:noWrap/>
            <w:vAlign w:val="bottom"/>
            <w:hideMark/>
          </w:tcPr>
          <w:p w14:paraId="14778F7D"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47</w:t>
            </w:r>
          </w:p>
        </w:tc>
        <w:tc>
          <w:tcPr>
            <w:tcW w:w="993" w:type="pct"/>
            <w:tcBorders>
              <w:top w:val="single" w:sz="4" w:space="0" w:color="auto"/>
              <w:left w:val="nil"/>
              <w:bottom w:val="nil"/>
              <w:right w:val="nil"/>
            </w:tcBorders>
            <w:shd w:val="clear" w:color="auto" w:fill="auto"/>
            <w:noWrap/>
            <w:vAlign w:val="bottom"/>
            <w:hideMark/>
          </w:tcPr>
          <w:p w14:paraId="49C86B40" w14:textId="77777777" w:rsidR="00AC362E" w:rsidRPr="00145B37" w:rsidRDefault="00AC362E" w:rsidP="00ED0631">
            <w:pPr>
              <w:spacing w:after="0"/>
              <w:jc w:val="center"/>
              <w:rPr>
                <w:rFonts w:asciiTheme="majorHAnsi" w:eastAsia="Times New Roman" w:hAnsiTheme="majorHAnsi" w:cstheme="majorHAnsi"/>
                <w:color w:val="000000"/>
                <w:lang w:eastAsia="en-AU"/>
              </w:rPr>
            </w:pPr>
          </w:p>
        </w:tc>
        <w:tc>
          <w:tcPr>
            <w:tcW w:w="891" w:type="pct"/>
            <w:tcBorders>
              <w:top w:val="single" w:sz="4" w:space="0" w:color="auto"/>
              <w:left w:val="nil"/>
              <w:bottom w:val="nil"/>
              <w:right w:val="nil"/>
            </w:tcBorders>
            <w:shd w:val="clear" w:color="auto" w:fill="auto"/>
            <w:noWrap/>
            <w:vAlign w:val="bottom"/>
            <w:hideMark/>
          </w:tcPr>
          <w:p w14:paraId="28C762F9" w14:textId="77777777" w:rsidR="00AC362E" w:rsidRPr="00145B37" w:rsidRDefault="00AC362E" w:rsidP="00ED0631">
            <w:pPr>
              <w:spacing w:after="0"/>
              <w:jc w:val="center"/>
              <w:rPr>
                <w:rFonts w:asciiTheme="majorHAnsi" w:eastAsia="Times New Roman" w:hAnsiTheme="majorHAnsi" w:cstheme="majorHAnsi"/>
                <w:color w:val="000000"/>
                <w:lang w:eastAsia="en-AU"/>
              </w:rPr>
            </w:pPr>
          </w:p>
        </w:tc>
      </w:tr>
      <w:tr w:rsidR="00AC362E" w:rsidRPr="00145B37" w14:paraId="51EF10EA" w14:textId="77777777" w:rsidTr="00145B37">
        <w:trPr>
          <w:trHeight w:val="315"/>
        </w:trPr>
        <w:tc>
          <w:tcPr>
            <w:tcW w:w="1320" w:type="pct"/>
            <w:tcBorders>
              <w:top w:val="nil"/>
              <w:left w:val="nil"/>
              <w:bottom w:val="nil"/>
              <w:right w:val="nil"/>
            </w:tcBorders>
            <w:shd w:val="clear" w:color="auto" w:fill="auto"/>
            <w:noWrap/>
            <w:vAlign w:val="bottom"/>
            <w:hideMark/>
          </w:tcPr>
          <w:p w14:paraId="41ECA661"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 xml:space="preserve">Small island </w:t>
            </w:r>
          </w:p>
        </w:tc>
        <w:tc>
          <w:tcPr>
            <w:tcW w:w="928" w:type="pct"/>
            <w:tcBorders>
              <w:top w:val="nil"/>
              <w:left w:val="nil"/>
              <w:bottom w:val="nil"/>
              <w:right w:val="nil"/>
            </w:tcBorders>
            <w:shd w:val="clear" w:color="auto" w:fill="auto"/>
            <w:noWrap/>
            <w:vAlign w:val="bottom"/>
            <w:hideMark/>
          </w:tcPr>
          <w:p w14:paraId="2EB7B726"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6</w:t>
            </w:r>
          </w:p>
        </w:tc>
        <w:tc>
          <w:tcPr>
            <w:tcW w:w="869" w:type="pct"/>
            <w:tcBorders>
              <w:top w:val="nil"/>
              <w:left w:val="nil"/>
              <w:bottom w:val="nil"/>
              <w:right w:val="nil"/>
            </w:tcBorders>
            <w:shd w:val="clear" w:color="auto" w:fill="auto"/>
            <w:noWrap/>
            <w:vAlign w:val="bottom"/>
            <w:hideMark/>
          </w:tcPr>
          <w:p w14:paraId="58F9F376"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13</w:t>
            </w:r>
          </w:p>
        </w:tc>
        <w:tc>
          <w:tcPr>
            <w:tcW w:w="993" w:type="pct"/>
            <w:tcBorders>
              <w:top w:val="nil"/>
              <w:left w:val="nil"/>
              <w:bottom w:val="nil"/>
              <w:right w:val="nil"/>
            </w:tcBorders>
            <w:shd w:val="clear" w:color="auto" w:fill="auto"/>
            <w:noWrap/>
            <w:vAlign w:val="bottom"/>
            <w:hideMark/>
          </w:tcPr>
          <w:p w14:paraId="07FDDAB9"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2</w:t>
            </w:r>
          </w:p>
        </w:tc>
        <w:tc>
          <w:tcPr>
            <w:tcW w:w="891" w:type="pct"/>
            <w:tcBorders>
              <w:top w:val="nil"/>
              <w:left w:val="nil"/>
              <w:bottom w:val="nil"/>
              <w:right w:val="nil"/>
            </w:tcBorders>
            <w:shd w:val="clear" w:color="auto" w:fill="auto"/>
            <w:noWrap/>
            <w:vAlign w:val="bottom"/>
            <w:hideMark/>
          </w:tcPr>
          <w:p w14:paraId="30BCB16B" w14:textId="77777777" w:rsidR="00AC362E" w:rsidRPr="00145B37" w:rsidRDefault="00AC362E" w:rsidP="00ED0631">
            <w:pPr>
              <w:spacing w:after="0"/>
              <w:jc w:val="center"/>
              <w:rPr>
                <w:rFonts w:asciiTheme="majorHAnsi" w:eastAsia="Times New Roman" w:hAnsiTheme="majorHAnsi" w:cstheme="majorHAnsi"/>
                <w:color w:val="000000"/>
                <w:lang w:eastAsia="en-AU"/>
              </w:rPr>
            </w:pPr>
          </w:p>
        </w:tc>
      </w:tr>
      <w:tr w:rsidR="00AC362E" w:rsidRPr="00145B37" w14:paraId="3A30119D" w14:textId="77777777" w:rsidTr="00145B37">
        <w:trPr>
          <w:trHeight w:val="315"/>
        </w:trPr>
        <w:tc>
          <w:tcPr>
            <w:tcW w:w="1320" w:type="pct"/>
            <w:tcBorders>
              <w:top w:val="nil"/>
              <w:left w:val="nil"/>
              <w:bottom w:val="nil"/>
              <w:right w:val="nil"/>
            </w:tcBorders>
            <w:shd w:val="clear" w:color="auto" w:fill="auto"/>
            <w:noWrap/>
            <w:vAlign w:val="bottom"/>
            <w:hideMark/>
          </w:tcPr>
          <w:p w14:paraId="5B68BFF1" w14:textId="738ECAC4"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S</w:t>
            </w:r>
            <w:r w:rsidR="00145B37">
              <w:rPr>
                <w:rFonts w:asciiTheme="majorHAnsi" w:eastAsia="Times New Roman" w:hAnsiTheme="majorHAnsi" w:cstheme="majorHAnsi"/>
                <w:color w:val="000000"/>
                <w:lang w:eastAsia="en-AU"/>
              </w:rPr>
              <w:t>ou</w:t>
            </w:r>
            <w:r w:rsidRPr="00145B37">
              <w:rPr>
                <w:rFonts w:asciiTheme="majorHAnsi" w:eastAsia="Times New Roman" w:hAnsiTheme="majorHAnsi" w:cstheme="majorHAnsi"/>
                <w:color w:val="000000"/>
                <w:lang w:eastAsia="en-AU"/>
              </w:rPr>
              <w:t xml:space="preserve">th Tarawa </w:t>
            </w:r>
          </w:p>
        </w:tc>
        <w:tc>
          <w:tcPr>
            <w:tcW w:w="928" w:type="pct"/>
            <w:tcBorders>
              <w:top w:val="nil"/>
              <w:left w:val="nil"/>
              <w:bottom w:val="nil"/>
              <w:right w:val="nil"/>
            </w:tcBorders>
            <w:shd w:val="clear" w:color="auto" w:fill="auto"/>
            <w:noWrap/>
            <w:vAlign w:val="bottom"/>
            <w:hideMark/>
          </w:tcPr>
          <w:p w14:paraId="5C985FB5"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12</w:t>
            </w:r>
          </w:p>
        </w:tc>
        <w:tc>
          <w:tcPr>
            <w:tcW w:w="869" w:type="pct"/>
            <w:tcBorders>
              <w:top w:val="nil"/>
              <w:left w:val="nil"/>
              <w:bottom w:val="nil"/>
              <w:right w:val="nil"/>
            </w:tcBorders>
            <w:shd w:val="clear" w:color="auto" w:fill="auto"/>
            <w:noWrap/>
            <w:vAlign w:val="bottom"/>
            <w:hideMark/>
          </w:tcPr>
          <w:p w14:paraId="5C9C96D1"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49</w:t>
            </w:r>
          </w:p>
        </w:tc>
        <w:tc>
          <w:tcPr>
            <w:tcW w:w="993" w:type="pct"/>
            <w:tcBorders>
              <w:top w:val="nil"/>
              <w:left w:val="nil"/>
              <w:bottom w:val="nil"/>
              <w:right w:val="nil"/>
            </w:tcBorders>
            <w:shd w:val="clear" w:color="auto" w:fill="auto"/>
            <w:noWrap/>
            <w:vAlign w:val="bottom"/>
            <w:hideMark/>
          </w:tcPr>
          <w:p w14:paraId="7E52B7A0"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8</w:t>
            </w:r>
          </w:p>
        </w:tc>
        <w:tc>
          <w:tcPr>
            <w:tcW w:w="891" w:type="pct"/>
            <w:tcBorders>
              <w:top w:val="nil"/>
              <w:left w:val="nil"/>
              <w:bottom w:val="nil"/>
              <w:right w:val="nil"/>
            </w:tcBorders>
            <w:shd w:val="clear" w:color="auto" w:fill="auto"/>
            <w:noWrap/>
            <w:vAlign w:val="bottom"/>
            <w:hideMark/>
          </w:tcPr>
          <w:p w14:paraId="465B5DF3"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w:t>
            </w:r>
          </w:p>
        </w:tc>
      </w:tr>
      <w:tr w:rsidR="00AC362E" w:rsidRPr="00145B37" w14:paraId="769FC4F1" w14:textId="77777777" w:rsidTr="00145B37">
        <w:trPr>
          <w:trHeight w:val="315"/>
        </w:trPr>
        <w:tc>
          <w:tcPr>
            <w:tcW w:w="1320" w:type="pct"/>
            <w:tcBorders>
              <w:top w:val="single" w:sz="4" w:space="0" w:color="auto"/>
              <w:left w:val="nil"/>
              <w:bottom w:val="single" w:sz="4" w:space="0" w:color="auto"/>
              <w:right w:val="nil"/>
            </w:tcBorders>
            <w:shd w:val="clear" w:color="auto" w:fill="auto"/>
            <w:noWrap/>
            <w:vAlign w:val="bottom"/>
            <w:hideMark/>
          </w:tcPr>
          <w:p w14:paraId="612081CF" w14:textId="77777777" w:rsidR="00AC362E" w:rsidRPr="00145B37" w:rsidRDefault="00AC362E" w:rsidP="00ED0631">
            <w:pPr>
              <w:spacing w:after="0"/>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 xml:space="preserve">Total </w:t>
            </w:r>
          </w:p>
        </w:tc>
        <w:tc>
          <w:tcPr>
            <w:tcW w:w="928" w:type="pct"/>
            <w:tcBorders>
              <w:top w:val="single" w:sz="4" w:space="0" w:color="auto"/>
              <w:left w:val="nil"/>
              <w:bottom w:val="single" w:sz="4" w:space="0" w:color="auto"/>
              <w:right w:val="nil"/>
            </w:tcBorders>
            <w:shd w:val="clear" w:color="auto" w:fill="auto"/>
            <w:noWrap/>
            <w:vAlign w:val="bottom"/>
            <w:hideMark/>
          </w:tcPr>
          <w:p w14:paraId="3720D0DF"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38</w:t>
            </w:r>
          </w:p>
        </w:tc>
        <w:tc>
          <w:tcPr>
            <w:tcW w:w="869" w:type="pct"/>
            <w:tcBorders>
              <w:top w:val="single" w:sz="4" w:space="0" w:color="auto"/>
              <w:left w:val="nil"/>
              <w:bottom w:val="single" w:sz="4" w:space="0" w:color="auto"/>
              <w:right w:val="nil"/>
            </w:tcBorders>
            <w:shd w:val="clear" w:color="auto" w:fill="auto"/>
            <w:noWrap/>
            <w:vAlign w:val="bottom"/>
            <w:hideMark/>
          </w:tcPr>
          <w:p w14:paraId="00F9B95B"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109</w:t>
            </w:r>
          </w:p>
        </w:tc>
        <w:tc>
          <w:tcPr>
            <w:tcW w:w="993" w:type="pct"/>
            <w:tcBorders>
              <w:top w:val="single" w:sz="4" w:space="0" w:color="auto"/>
              <w:left w:val="nil"/>
              <w:bottom w:val="single" w:sz="4" w:space="0" w:color="auto"/>
              <w:right w:val="nil"/>
            </w:tcBorders>
            <w:shd w:val="clear" w:color="auto" w:fill="auto"/>
            <w:noWrap/>
            <w:vAlign w:val="bottom"/>
            <w:hideMark/>
          </w:tcPr>
          <w:p w14:paraId="07489055"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10</w:t>
            </w:r>
          </w:p>
        </w:tc>
        <w:tc>
          <w:tcPr>
            <w:tcW w:w="891" w:type="pct"/>
            <w:tcBorders>
              <w:top w:val="single" w:sz="4" w:space="0" w:color="auto"/>
              <w:left w:val="nil"/>
              <w:bottom w:val="single" w:sz="4" w:space="0" w:color="auto"/>
              <w:right w:val="nil"/>
            </w:tcBorders>
            <w:shd w:val="clear" w:color="auto" w:fill="auto"/>
            <w:noWrap/>
            <w:vAlign w:val="bottom"/>
            <w:hideMark/>
          </w:tcPr>
          <w:p w14:paraId="05D5D02B" w14:textId="77777777" w:rsidR="00AC362E" w:rsidRPr="00145B37" w:rsidRDefault="00AC362E" w:rsidP="00ED0631">
            <w:pPr>
              <w:spacing w:after="0"/>
              <w:jc w:val="center"/>
              <w:rPr>
                <w:rFonts w:asciiTheme="majorHAnsi" w:eastAsia="Times New Roman" w:hAnsiTheme="majorHAnsi" w:cstheme="majorHAnsi"/>
                <w:color w:val="000000"/>
                <w:lang w:eastAsia="en-AU"/>
              </w:rPr>
            </w:pPr>
            <w:r w:rsidRPr="00145B37">
              <w:rPr>
                <w:rFonts w:asciiTheme="majorHAnsi" w:eastAsia="Times New Roman" w:hAnsiTheme="majorHAnsi" w:cstheme="majorHAnsi"/>
                <w:color w:val="000000"/>
                <w:lang w:eastAsia="en-AU"/>
              </w:rPr>
              <w:t>1</w:t>
            </w:r>
          </w:p>
        </w:tc>
      </w:tr>
    </w:tbl>
    <w:p w14:paraId="6A534666" w14:textId="77777777" w:rsidR="00AC362E" w:rsidRDefault="00AC362E" w:rsidP="00ED0631">
      <w:pPr>
        <w:spacing w:before="240"/>
        <w:rPr>
          <w:rFonts w:cs="Arial"/>
        </w:rPr>
      </w:pPr>
      <w:r>
        <w:rPr>
          <w:rFonts w:cs="Arial"/>
        </w:rPr>
        <w:t>The observations made in Case Study schools showed that, with very rare exceptions, almost all teachers were using lesson plans and that these were guiding what was taught in the classes. However, there was generally little attention to individual learning needs evident in the lesson plans, even in instances where such differences were clearly being addressed in the classroom. There was also little evidence of assessment of lesson plans at the end of teaching or adjustment of lesson plans based on the feedback from previous lessons.</w:t>
      </w:r>
    </w:p>
    <w:p w14:paraId="17C0AE6B" w14:textId="77777777" w:rsidR="00AC362E" w:rsidRPr="000018A0" w:rsidRDefault="00AC362E" w:rsidP="00ED0631">
      <w:pPr>
        <w:pStyle w:val="Heading3"/>
        <w:rPr>
          <w:rFonts w:eastAsia="Times New Roman"/>
          <w:lang w:eastAsia="en-AU"/>
        </w:rPr>
      </w:pPr>
      <w:bookmarkStart w:id="141" w:name="_Toc461615759"/>
      <w:r>
        <w:rPr>
          <w:rFonts w:eastAsia="Times New Roman"/>
          <w:lang w:eastAsia="en-AU"/>
        </w:rPr>
        <w:t>6.1.4</w:t>
      </w:r>
      <w:r>
        <w:rPr>
          <w:rFonts w:eastAsia="Times New Roman"/>
          <w:lang w:eastAsia="en-AU"/>
        </w:rPr>
        <w:tab/>
      </w:r>
      <w:r w:rsidRPr="002B09F6">
        <w:rPr>
          <w:rFonts w:eastAsia="Times New Roman"/>
          <w:lang w:eastAsia="en-AU"/>
        </w:rPr>
        <w:t>Teacher use and familiarity with English</w:t>
      </w:r>
      <w:bookmarkEnd w:id="141"/>
    </w:p>
    <w:p w14:paraId="55EFFFE8" w14:textId="77777777" w:rsidR="00AC362E" w:rsidRPr="00FE4633" w:rsidRDefault="00AC362E" w:rsidP="00ED0631">
      <w:pPr>
        <w:spacing w:before="240"/>
        <w:rPr>
          <w:color w:val="231F20"/>
        </w:rPr>
      </w:pPr>
      <w:r w:rsidRPr="00FE4633">
        <w:rPr>
          <w:color w:val="231F20"/>
        </w:rPr>
        <w:t xml:space="preserve">The Literature Review identified that, </w:t>
      </w:r>
    </w:p>
    <w:p w14:paraId="73395A98" w14:textId="77777777" w:rsidR="00AC362E" w:rsidRPr="00FE4633" w:rsidRDefault="00AC362E" w:rsidP="00ED0631">
      <w:pPr>
        <w:spacing w:before="240"/>
        <w:ind w:left="567" w:right="521"/>
        <w:rPr>
          <w:rFonts w:cs="Arial"/>
          <w:i/>
        </w:rPr>
      </w:pPr>
      <w:r w:rsidRPr="00FE4633">
        <w:rPr>
          <w:i/>
          <w:color w:val="231F20"/>
        </w:rPr>
        <w:t xml:space="preserve">“…teachers in dual language education programs need native or native-like ability in either or both of the language(s) in which they are instructing. </w:t>
      </w:r>
      <w:r w:rsidRPr="00FE4633">
        <w:rPr>
          <w:rFonts w:cstheme="minorHAnsi"/>
          <w:i/>
          <w:color w:val="231F20"/>
        </w:rPr>
        <w:t>Successful programs ensure that teacher development plans are in place to ensure the quality of teachers’ language proficiency and constant improvement of teaching and learning. They also support staff to grasp second language acquisition theories to secure their buy-in for the bilingual program”.</w:t>
      </w:r>
    </w:p>
    <w:p w14:paraId="7A5567F6" w14:textId="77777777" w:rsidR="00AC362E" w:rsidRPr="00661535" w:rsidRDefault="00AC362E" w:rsidP="00ED0631">
      <w:pPr>
        <w:spacing w:before="240"/>
        <w:rPr>
          <w:rFonts w:cs="Arial"/>
        </w:rPr>
      </w:pPr>
      <w:r>
        <w:rPr>
          <w:rFonts w:cs="Arial"/>
        </w:rPr>
        <w:t xml:space="preserve">The SED collected information on the use and familiarity of teachers with English. As </w:t>
      </w:r>
      <w:r w:rsidRPr="00661535">
        <w:rPr>
          <w:rFonts w:cs="Arial"/>
          <w:i/>
        </w:rPr>
        <w:t>Table 8</w:t>
      </w:r>
      <w:r w:rsidRPr="00661535">
        <w:rPr>
          <w:rFonts w:cs="Arial"/>
        </w:rPr>
        <w:t xml:space="preserve"> shows, it found that 67% of teachers had undertaken some form of English language training; however, </w:t>
      </w:r>
      <w:r>
        <w:rPr>
          <w:rFonts w:cs="Arial"/>
        </w:rPr>
        <w:t>T</w:t>
      </w:r>
      <w:r w:rsidRPr="00661535">
        <w:rPr>
          <w:rFonts w:cs="Arial"/>
        </w:rPr>
        <w:t>eachers in large islands and South Tarawa were considerably more likely to have undertaken language training than teachers from small islands. The Case Studies did not look specifically at English Language but it was noted that English was generally quite well spoken by Year 3 and 4 Teachers interviewed.</w:t>
      </w:r>
    </w:p>
    <w:p w14:paraId="7316F289" w14:textId="77777777" w:rsidR="00DE4728" w:rsidRDefault="00DE4728">
      <w:pPr>
        <w:spacing w:line="276" w:lineRule="auto"/>
        <w:rPr>
          <w:rFonts w:ascii="Calibri" w:eastAsia="Times New Roman" w:hAnsi="Calibri" w:cs="Times New Roman"/>
          <w:b/>
          <w:color w:val="000000"/>
          <w:lang w:eastAsia="en-AU"/>
        </w:rPr>
      </w:pPr>
      <w:r>
        <w:rPr>
          <w:rFonts w:ascii="Calibri" w:eastAsia="Times New Roman" w:hAnsi="Calibri" w:cs="Times New Roman"/>
          <w:b/>
          <w:color w:val="000000"/>
          <w:lang w:eastAsia="en-AU"/>
        </w:rPr>
        <w:br w:type="page"/>
      </w:r>
    </w:p>
    <w:p w14:paraId="39823431" w14:textId="487CB41F" w:rsidR="00AC362E" w:rsidRPr="00491EF1" w:rsidRDefault="00AC362E" w:rsidP="00145B37">
      <w:pPr>
        <w:ind w:right="-188"/>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8: Number of teachers who had undertaken English language teachers training by island type</w:t>
      </w:r>
    </w:p>
    <w:tbl>
      <w:tblPr>
        <w:tblW w:w="5000" w:type="pct"/>
        <w:tblLook w:val="04A0" w:firstRow="1" w:lastRow="0" w:firstColumn="1" w:lastColumn="0" w:noHBand="0" w:noVBand="1"/>
      </w:tblPr>
      <w:tblGrid>
        <w:gridCol w:w="2047"/>
        <w:gridCol w:w="1816"/>
        <w:gridCol w:w="1793"/>
        <w:gridCol w:w="1793"/>
        <w:gridCol w:w="1793"/>
      </w:tblGrid>
      <w:tr w:rsidR="00AC362E" w:rsidRPr="00491EF1" w14:paraId="346EA39D" w14:textId="77777777" w:rsidTr="00145B37">
        <w:trPr>
          <w:trHeight w:val="315"/>
        </w:trPr>
        <w:tc>
          <w:tcPr>
            <w:tcW w:w="1107" w:type="pct"/>
            <w:tcBorders>
              <w:top w:val="single" w:sz="4" w:space="0" w:color="auto"/>
              <w:left w:val="nil"/>
              <w:bottom w:val="nil"/>
              <w:right w:val="nil"/>
            </w:tcBorders>
            <w:shd w:val="clear" w:color="auto" w:fill="auto"/>
            <w:noWrap/>
            <w:vAlign w:val="bottom"/>
            <w:hideMark/>
          </w:tcPr>
          <w:p w14:paraId="5318FDF6" w14:textId="77777777" w:rsidR="00AC362E" w:rsidRPr="00491EF1" w:rsidRDefault="00AC362E" w:rsidP="00ED0631">
            <w:pPr>
              <w:spacing w:after="0"/>
              <w:rPr>
                <w:rFonts w:asciiTheme="majorHAnsi" w:eastAsia="Times New Roman" w:hAnsiTheme="majorHAnsi" w:cstheme="majorHAnsi"/>
                <w:b/>
                <w:bCs/>
                <w:color w:val="000000"/>
                <w:lang w:eastAsia="en-AU"/>
              </w:rPr>
            </w:pPr>
          </w:p>
        </w:tc>
        <w:tc>
          <w:tcPr>
            <w:tcW w:w="982" w:type="pct"/>
            <w:tcBorders>
              <w:top w:val="single" w:sz="4" w:space="0" w:color="auto"/>
              <w:left w:val="nil"/>
              <w:bottom w:val="single" w:sz="4" w:space="0" w:color="auto"/>
              <w:right w:val="nil"/>
            </w:tcBorders>
            <w:shd w:val="clear" w:color="auto" w:fill="auto"/>
            <w:noWrap/>
            <w:vAlign w:val="bottom"/>
            <w:hideMark/>
          </w:tcPr>
          <w:p w14:paraId="00D3AF1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Yes </w:t>
            </w:r>
          </w:p>
        </w:tc>
        <w:tc>
          <w:tcPr>
            <w:tcW w:w="970" w:type="pct"/>
            <w:tcBorders>
              <w:top w:val="single" w:sz="4" w:space="0" w:color="auto"/>
              <w:left w:val="nil"/>
              <w:bottom w:val="single" w:sz="4" w:space="0" w:color="auto"/>
              <w:right w:val="nil"/>
            </w:tcBorders>
            <w:shd w:val="clear" w:color="auto" w:fill="auto"/>
            <w:noWrap/>
            <w:vAlign w:val="bottom"/>
            <w:hideMark/>
          </w:tcPr>
          <w:p w14:paraId="53F1E93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No </w:t>
            </w:r>
          </w:p>
        </w:tc>
        <w:tc>
          <w:tcPr>
            <w:tcW w:w="970" w:type="pct"/>
            <w:tcBorders>
              <w:top w:val="single" w:sz="4" w:space="0" w:color="auto"/>
              <w:left w:val="nil"/>
              <w:bottom w:val="nil"/>
              <w:right w:val="nil"/>
            </w:tcBorders>
            <w:shd w:val="clear" w:color="auto" w:fill="auto"/>
            <w:noWrap/>
            <w:vAlign w:val="bottom"/>
            <w:hideMark/>
          </w:tcPr>
          <w:p w14:paraId="028BC7B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970" w:type="pct"/>
            <w:tcBorders>
              <w:top w:val="single" w:sz="4" w:space="0" w:color="auto"/>
              <w:left w:val="nil"/>
              <w:bottom w:val="nil"/>
              <w:right w:val="nil"/>
            </w:tcBorders>
            <w:shd w:val="clear" w:color="auto" w:fill="auto"/>
            <w:noWrap/>
            <w:vAlign w:val="bottom"/>
            <w:hideMark/>
          </w:tcPr>
          <w:p w14:paraId="477A287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3EE5154F" w14:textId="77777777" w:rsidTr="00145B37">
        <w:trPr>
          <w:trHeight w:val="315"/>
        </w:trPr>
        <w:tc>
          <w:tcPr>
            <w:tcW w:w="1107" w:type="pct"/>
            <w:tcBorders>
              <w:top w:val="single" w:sz="4" w:space="0" w:color="auto"/>
              <w:left w:val="nil"/>
              <w:bottom w:val="nil"/>
              <w:right w:val="nil"/>
            </w:tcBorders>
            <w:shd w:val="clear" w:color="auto" w:fill="auto"/>
            <w:noWrap/>
            <w:vAlign w:val="bottom"/>
            <w:hideMark/>
          </w:tcPr>
          <w:p w14:paraId="138794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982" w:type="pct"/>
            <w:tcBorders>
              <w:top w:val="nil"/>
              <w:left w:val="nil"/>
              <w:bottom w:val="nil"/>
              <w:right w:val="nil"/>
            </w:tcBorders>
            <w:shd w:val="clear" w:color="auto" w:fill="auto"/>
            <w:noWrap/>
            <w:vAlign w:val="bottom"/>
            <w:hideMark/>
          </w:tcPr>
          <w:p w14:paraId="5361837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c>
          <w:tcPr>
            <w:tcW w:w="970" w:type="pct"/>
            <w:tcBorders>
              <w:top w:val="nil"/>
              <w:left w:val="nil"/>
              <w:bottom w:val="nil"/>
              <w:right w:val="nil"/>
            </w:tcBorders>
            <w:shd w:val="clear" w:color="auto" w:fill="auto"/>
            <w:noWrap/>
            <w:vAlign w:val="bottom"/>
            <w:hideMark/>
          </w:tcPr>
          <w:p w14:paraId="5EFDCC5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24</w:t>
            </w:r>
          </w:p>
        </w:tc>
        <w:tc>
          <w:tcPr>
            <w:tcW w:w="970" w:type="pct"/>
            <w:tcBorders>
              <w:top w:val="single" w:sz="4" w:space="0" w:color="auto"/>
              <w:left w:val="nil"/>
              <w:bottom w:val="nil"/>
              <w:right w:val="nil"/>
            </w:tcBorders>
            <w:shd w:val="clear" w:color="auto" w:fill="auto"/>
            <w:noWrap/>
            <w:vAlign w:val="bottom"/>
            <w:hideMark/>
          </w:tcPr>
          <w:p w14:paraId="49950A7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68</w:t>
            </w:r>
          </w:p>
        </w:tc>
        <w:tc>
          <w:tcPr>
            <w:tcW w:w="970" w:type="pct"/>
            <w:tcBorders>
              <w:top w:val="single" w:sz="4" w:space="0" w:color="auto"/>
              <w:left w:val="nil"/>
              <w:bottom w:val="nil"/>
              <w:right w:val="nil"/>
            </w:tcBorders>
            <w:shd w:val="clear" w:color="auto" w:fill="auto"/>
            <w:noWrap/>
            <w:vAlign w:val="bottom"/>
            <w:hideMark/>
          </w:tcPr>
          <w:p w14:paraId="75BF171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32</w:t>
            </w:r>
          </w:p>
        </w:tc>
      </w:tr>
      <w:tr w:rsidR="00AC362E" w:rsidRPr="00491EF1" w14:paraId="0CDA2FCF" w14:textId="77777777" w:rsidTr="00145B37">
        <w:trPr>
          <w:trHeight w:val="315"/>
        </w:trPr>
        <w:tc>
          <w:tcPr>
            <w:tcW w:w="1107" w:type="pct"/>
            <w:tcBorders>
              <w:top w:val="nil"/>
              <w:left w:val="nil"/>
              <w:bottom w:val="nil"/>
              <w:right w:val="nil"/>
            </w:tcBorders>
            <w:shd w:val="clear" w:color="auto" w:fill="auto"/>
            <w:noWrap/>
            <w:vAlign w:val="bottom"/>
            <w:hideMark/>
          </w:tcPr>
          <w:p w14:paraId="756F56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982" w:type="pct"/>
            <w:tcBorders>
              <w:top w:val="nil"/>
              <w:left w:val="nil"/>
              <w:bottom w:val="nil"/>
              <w:right w:val="nil"/>
            </w:tcBorders>
            <w:shd w:val="clear" w:color="auto" w:fill="auto"/>
            <w:noWrap/>
            <w:vAlign w:val="bottom"/>
            <w:hideMark/>
          </w:tcPr>
          <w:p w14:paraId="4B5B640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w:t>
            </w:r>
          </w:p>
        </w:tc>
        <w:tc>
          <w:tcPr>
            <w:tcW w:w="970" w:type="pct"/>
            <w:tcBorders>
              <w:top w:val="nil"/>
              <w:left w:val="nil"/>
              <w:bottom w:val="nil"/>
              <w:right w:val="nil"/>
            </w:tcBorders>
            <w:shd w:val="clear" w:color="auto" w:fill="auto"/>
            <w:noWrap/>
            <w:vAlign w:val="bottom"/>
            <w:hideMark/>
          </w:tcPr>
          <w:p w14:paraId="0C1894F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14</w:t>
            </w:r>
          </w:p>
        </w:tc>
        <w:tc>
          <w:tcPr>
            <w:tcW w:w="970" w:type="pct"/>
            <w:tcBorders>
              <w:top w:val="nil"/>
              <w:left w:val="nil"/>
              <w:bottom w:val="nil"/>
              <w:right w:val="nil"/>
            </w:tcBorders>
            <w:shd w:val="clear" w:color="auto" w:fill="auto"/>
            <w:noWrap/>
            <w:vAlign w:val="bottom"/>
            <w:hideMark/>
          </w:tcPr>
          <w:p w14:paraId="2616B0D4"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48</w:t>
            </w:r>
          </w:p>
        </w:tc>
        <w:tc>
          <w:tcPr>
            <w:tcW w:w="970" w:type="pct"/>
            <w:tcBorders>
              <w:top w:val="nil"/>
              <w:left w:val="nil"/>
              <w:bottom w:val="nil"/>
              <w:right w:val="nil"/>
            </w:tcBorders>
            <w:shd w:val="clear" w:color="auto" w:fill="auto"/>
            <w:noWrap/>
            <w:vAlign w:val="bottom"/>
            <w:hideMark/>
          </w:tcPr>
          <w:p w14:paraId="4F8A6F3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r>
      <w:tr w:rsidR="00AC362E" w:rsidRPr="00491EF1" w14:paraId="670C6CD2" w14:textId="77777777" w:rsidTr="00145B37">
        <w:trPr>
          <w:trHeight w:val="315"/>
        </w:trPr>
        <w:tc>
          <w:tcPr>
            <w:tcW w:w="1107" w:type="pct"/>
            <w:tcBorders>
              <w:top w:val="nil"/>
              <w:left w:val="nil"/>
              <w:bottom w:val="nil"/>
              <w:right w:val="nil"/>
            </w:tcBorders>
            <w:shd w:val="clear" w:color="auto" w:fill="auto"/>
            <w:noWrap/>
            <w:vAlign w:val="bottom"/>
            <w:hideMark/>
          </w:tcPr>
          <w:p w14:paraId="2968D7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982" w:type="pct"/>
            <w:tcBorders>
              <w:top w:val="nil"/>
              <w:left w:val="nil"/>
              <w:bottom w:val="nil"/>
              <w:right w:val="nil"/>
            </w:tcBorders>
            <w:shd w:val="clear" w:color="auto" w:fill="auto"/>
            <w:noWrap/>
            <w:vAlign w:val="bottom"/>
            <w:hideMark/>
          </w:tcPr>
          <w:p w14:paraId="3631E85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73</w:t>
            </w:r>
          </w:p>
        </w:tc>
        <w:tc>
          <w:tcPr>
            <w:tcW w:w="970" w:type="pct"/>
            <w:tcBorders>
              <w:top w:val="nil"/>
              <w:left w:val="nil"/>
              <w:bottom w:val="nil"/>
              <w:right w:val="nil"/>
            </w:tcBorders>
            <w:shd w:val="clear" w:color="auto" w:fill="auto"/>
            <w:noWrap/>
            <w:vAlign w:val="bottom"/>
            <w:hideMark/>
          </w:tcPr>
          <w:p w14:paraId="33AA06C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30</w:t>
            </w:r>
          </w:p>
        </w:tc>
        <w:tc>
          <w:tcPr>
            <w:tcW w:w="970" w:type="pct"/>
            <w:tcBorders>
              <w:top w:val="nil"/>
              <w:left w:val="nil"/>
              <w:bottom w:val="nil"/>
              <w:right w:val="nil"/>
            </w:tcBorders>
            <w:shd w:val="clear" w:color="auto" w:fill="auto"/>
            <w:noWrap/>
            <w:vAlign w:val="bottom"/>
            <w:hideMark/>
          </w:tcPr>
          <w:p w14:paraId="1CD2BF3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71</w:t>
            </w:r>
          </w:p>
        </w:tc>
        <w:tc>
          <w:tcPr>
            <w:tcW w:w="970" w:type="pct"/>
            <w:tcBorders>
              <w:top w:val="nil"/>
              <w:left w:val="nil"/>
              <w:bottom w:val="nil"/>
              <w:right w:val="nil"/>
            </w:tcBorders>
            <w:shd w:val="clear" w:color="auto" w:fill="auto"/>
            <w:noWrap/>
            <w:vAlign w:val="bottom"/>
            <w:hideMark/>
          </w:tcPr>
          <w:p w14:paraId="5BFF2A7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29</w:t>
            </w:r>
          </w:p>
        </w:tc>
      </w:tr>
      <w:tr w:rsidR="00AC362E" w:rsidRPr="00491EF1" w14:paraId="403E6263" w14:textId="77777777" w:rsidTr="00145B37">
        <w:trPr>
          <w:trHeight w:val="315"/>
        </w:trPr>
        <w:tc>
          <w:tcPr>
            <w:tcW w:w="1107" w:type="pct"/>
            <w:tcBorders>
              <w:top w:val="single" w:sz="4" w:space="0" w:color="auto"/>
              <w:left w:val="nil"/>
              <w:bottom w:val="single" w:sz="4" w:space="0" w:color="auto"/>
              <w:right w:val="nil"/>
            </w:tcBorders>
            <w:shd w:val="clear" w:color="auto" w:fill="auto"/>
            <w:noWrap/>
            <w:vAlign w:val="bottom"/>
            <w:hideMark/>
          </w:tcPr>
          <w:p w14:paraId="62B795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Total </w:t>
            </w:r>
          </w:p>
        </w:tc>
        <w:tc>
          <w:tcPr>
            <w:tcW w:w="982" w:type="pct"/>
            <w:tcBorders>
              <w:top w:val="single" w:sz="4" w:space="0" w:color="auto"/>
              <w:left w:val="nil"/>
              <w:bottom w:val="single" w:sz="4" w:space="0" w:color="auto"/>
              <w:right w:val="nil"/>
            </w:tcBorders>
            <w:shd w:val="clear" w:color="auto" w:fill="auto"/>
            <w:noWrap/>
            <w:vAlign w:val="bottom"/>
            <w:hideMark/>
          </w:tcPr>
          <w:p w14:paraId="37EE0CF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138</w:t>
            </w:r>
          </w:p>
        </w:tc>
        <w:tc>
          <w:tcPr>
            <w:tcW w:w="970" w:type="pct"/>
            <w:tcBorders>
              <w:top w:val="single" w:sz="4" w:space="0" w:color="auto"/>
              <w:left w:val="nil"/>
              <w:bottom w:val="single" w:sz="4" w:space="0" w:color="auto"/>
              <w:right w:val="nil"/>
            </w:tcBorders>
            <w:shd w:val="clear" w:color="auto" w:fill="auto"/>
            <w:noWrap/>
            <w:vAlign w:val="bottom"/>
            <w:hideMark/>
          </w:tcPr>
          <w:p w14:paraId="42750B1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68</w:t>
            </w:r>
          </w:p>
        </w:tc>
        <w:tc>
          <w:tcPr>
            <w:tcW w:w="970" w:type="pct"/>
            <w:tcBorders>
              <w:top w:val="single" w:sz="4" w:space="0" w:color="auto"/>
              <w:left w:val="nil"/>
              <w:bottom w:val="single" w:sz="4" w:space="0" w:color="auto"/>
              <w:right w:val="nil"/>
            </w:tcBorders>
            <w:shd w:val="clear" w:color="auto" w:fill="auto"/>
            <w:noWrap/>
            <w:vAlign w:val="bottom"/>
            <w:hideMark/>
          </w:tcPr>
          <w:p w14:paraId="1F367E1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67</w:t>
            </w:r>
          </w:p>
        </w:tc>
        <w:tc>
          <w:tcPr>
            <w:tcW w:w="970" w:type="pct"/>
            <w:tcBorders>
              <w:top w:val="single" w:sz="4" w:space="0" w:color="auto"/>
              <w:left w:val="nil"/>
              <w:bottom w:val="single" w:sz="4" w:space="0" w:color="auto"/>
              <w:right w:val="nil"/>
            </w:tcBorders>
            <w:shd w:val="clear" w:color="auto" w:fill="auto"/>
            <w:noWrap/>
            <w:vAlign w:val="bottom"/>
            <w:hideMark/>
          </w:tcPr>
          <w:p w14:paraId="089110C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33</w:t>
            </w:r>
          </w:p>
        </w:tc>
      </w:tr>
    </w:tbl>
    <w:p w14:paraId="3451489B" w14:textId="77777777" w:rsidR="00AC362E" w:rsidRPr="00661535" w:rsidRDefault="00AC362E" w:rsidP="00ED0631">
      <w:pPr>
        <w:spacing w:before="160" w:after="160"/>
        <w:rPr>
          <w:rFonts w:cs="Arial"/>
        </w:rPr>
      </w:pPr>
      <w:r>
        <w:rPr>
          <w:rFonts w:cs="Arial"/>
        </w:rPr>
        <w:t xml:space="preserve">When cross-matched against Teachers who had done training on the Year 3 and 4 new curriculum </w:t>
      </w:r>
      <w:r w:rsidRPr="00661535">
        <w:rPr>
          <w:rFonts w:cs="Arial"/>
        </w:rPr>
        <w:t xml:space="preserve">training cycles (see </w:t>
      </w:r>
      <w:r w:rsidRPr="00661535">
        <w:rPr>
          <w:rFonts w:cs="Arial"/>
          <w:i/>
        </w:rPr>
        <w:t>Table 9</w:t>
      </w:r>
      <w:r w:rsidRPr="00661535">
        <w:rPr>
          <w:rFonts w:cs="Arial"/>
        </w:rPr>
        <w:t>) it appears that teachers in South Tarawa were much more likely to have done both types of training than teachers from other islands.</w:t>
      </w:r>
    </w:p>
    <w:p w14:paraId="2D5B3794" w14:textId="77777777" w:rsidR="00AC362E" w:rsidRPr="00661535" w:rsidRDefault="00AC362E" w:rsidP="00ED0631">
      <w:pPr>
        <w:spacing w:before="160" w:after="160"/>
        <w:rPr>
          <w:rFonts w:cs="Arial"/>
        </w:rPr>
      </w:pPr>
      <w:r w:rsidRPr="00661535">
        <w:rPr>
          <w:rFonts w:cs="Arial"/>
        </w:rPr>
        <w:t>Although based on a small response set</w:t>
      </w:r>
      <w:r>
        <w:rPr>
          <w:rFonts w:cs="Arial"/>
        </w:rPr>
        <w:t>,</w:t>
      </w:r>
      <w:r w:rsidRPr="00661535">
        <w:rPr>
          <w:rFonts w:cs="Arial"/>
        </w:rPr>
        <w:t xml:space="preserve"> SED questionnaires of S</w:t>
      </w:r>
      <w:r>
        <w:rPr>
          <w:rFonts w:cs="Arial"/>
        </w:rPr>
        <w:t>chool</w:t>
      </w:r>
      <w:r w:rsidRPr="00661535">
        <w:rPr>
          <w:rFonts w:cs="Arial"/>
        </w:rPr>
        <w:t xml:space="preserve"> Leaders suggested that the most common form of English Training teachers had undertaken were Kiribati English Language Program (KELP) and Teaching English as a Second Language (TESOL) (2012). KELP was the predominant form of training for teachers from large islands.</w:t>
      </w:r>
    </w:p>
    <w:p w14:paraId="1F6FF75E" w14:textId="77777777" w:rsidR="00AC362E" w:rsidRPr="00491EF1" w:rsidRDefault="00AC362E" w:rsidP="00ED0631">
      <w:pPr>
        <w:spacing w:after="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9: The number of teachers who had done English language training in the last 4 Years who had also repeated all Yr 3 and 4 new curriculum training cycles by island type</w:t>
      </w:r>
      <w:r w:rsidRPr="00491EF1">
        <w:rPr>
          <w:rStyle w:val="FootnoteReference"/>
          <w:rFonts w:asciiTheme="majorHAnsi" w:eastAsia="Times New Roman" w:hAnsiTheme="majorHAnsi" w:cstheme="majorHAnsi"/>
          <w:b/>
          <w:color w:val="000000"/>
          <w:lang w:eastAsia="en-AU"/>
        </w:rPr>
        <w:footnoteReference w:id="34"/>
      </w:r>
    </w:p>
    <w:tbl>
      <w:tblPr>
        <w:tblW w:w="6601" w:type="dxa"/>
        <w:tblInd w:w="93" w:type="dxa"/>
        <w:tblLook w:val="04A0" w:firstRow="1" w:lastRow="0" w:firstColumn="1" w:lastColumn="0" w:noHBand="0" w:noVBand="1"/>
      </w:tblPr>
      <w:tblGrid>
        <w:gridCol w:w="1465"/>
        <w:gridCol w:w="1284"/>
        <w:gridCol w:w="1284"/>
        <w:gridCol w:w="1284"/>
        <w:gridCol w:w="1284"/>
      </w:tblGrid>
      <w:tr w:rsidR="00AC362E" w:rsidRPr="00491EF1" w14:paraId="00428217" w14:textId="77777777" w:rsidTr="00ED0631">
        <w:trPr>
          <w:trHeight w:val="315"/>
        </w:trPr>
        <w:tc>
          <w:tcPr>
            <w:tcW w:w="1465" w:type="dxa"/>
            <w:tcBorders>
              <w:top w:val="single" w:sz="4" w:space="0" w:color="auto"/>
              <w:left w:val="nil"/>
              <w:bottom w:val="nil"/>
              <w:right w:val="nil"/>
            </w:tcBorders>
            <w:shd w:val="clear" w:color="auto" w:fill="auto"/>
            <w:noWrap/>
            <w:vAlign w:val="bottom"/>
            <w:hideMark/>
          </w:tcPr>
          <w:p w14:paraId="2571996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84" w:type="dxa"/>
            <w:tcBorders>
              <w:top w:val="single" w:sz="4" w:space="0" w:color="auto"/>
              <w:left w:val="nil"/>
              <w:bottom w:val="nil"/>
              <w:right w:val="nil"/>
            </w:tcBorders>
            <w:shd w:val="clear" w:color="auto" w:fill="auto"/>
            <w:noWrap/>
            <w:vAlign w:val="bottom"/>
            <w:hideMark/>
          </w:tcPr>
          <w:p w14:paraId="1215FBF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Yes </w:t>
            </w:r>
          </w:p>
        </w:tc>
        <w:tc>
          <w:tcPr>
            <w:tcW w:w="1284" w:type="dxa"/>
            <w:tcBorders>
              <w:top w:val="single" w:sz="4" w:space="0" w:color="auto"/>
              <w:left w:val="nil"/>
              <w:bottom w:val="nil"/>
              <w:right w:val="nil"/>
            </w:tcBorders>
            <w:shd w:val="clear" w:color="auto" w:fill="auto"/>
            <w:noWrap/>
            <w:vAlign w:val="bottom"/>
            <w:hideMark/>
          </w:tcPr>
          <w:p w14:paraId="7070623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No </w:t>
            </w:r>
          </w:p>
        </w:tc>
        <w:tc>
          <w:tcPr>
            <w:tcW w:w="1284" w:type="dxa"/>
            <w:tcBorders>
              <w:top w:val="single" w:sz="4" w:space="0" w:color="auto"/>
              <w:left w:val="nil"/>
              <w:bottom w:val="nil"/>
              <w:right w:val="nil"/>
            </w:tcBorders>
            <w:shd w:val="clear" w:color="auto" w:fill="auto"/>
            <w:noWrap/>
            <w:vAlign w:val="bottom"/>
            <w:hideMark/>
          </w:tcPr>
          <w:p w14:paraId="22749AE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284" w:type="dxa"/>
            <w:tcBorders>
              <w:top w:val="single" w:sz="4" w:space="0" w:color="auto"/>
              <w:left w:val="nil"/>
              <w:bottom w:val="nil"/>
              <w:right w:val="nil"/>
            </w:tcBorders>
            <w:shd w:val="clear" w:color="auto" w:fill="auto"/>
            <w:noWrap/>
            <w:vAlign w:val="bottom"/>
            <w:hideMark/>
          </w:tcPr>
          <w:p w14:paraId="6E66FE9B"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6F7975A2" w14:textId="77777777" w:rsidTr="00ED0631">
        <w:trPr>
          <w:trHeight w:val="315"/>
        </w:trPr>
        <w:tc>
          <w:tcPr>
            <w:tcW w:w="1465" w:type="dxa"/>
            <w:tcBorders>
              <w:top w:val="single" w:sz="4" w:space="0" w:color="auto"/>
              <w:left w:val="nil"/>
              <w:bottom w:val="nil"/>
              <w:right w:val="nil"/>
            </w:tcBorders>
            <w:shd w:val="clear" w:color="auto" w:fill="auto"/>
            <w:noWrap/>
            <w:vAlign w:val="bottom"/>
            <w:hideMark/>
          </w:tcPr>
          <w:p w14:paraId="128550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1284" w:type="dxa"/>
            <w:tcBorders>
              <w:top w:val="single" w:sz="4" w:space="0" w:color="auto"/>
              <w:left w:val="nil"/>
              <w:bottom w:val="nil"/>
              <w:right w:val="nil"/>
            </w:tcBorders>
            <w:shd w:val="clear" w:color="auto" w:fill="auto"/>
            <w:noWrap/>
            <w:vAlign w:val="bottom"/>
            <w:hideMark/>
          </w:tcPr>
          <w:p w14:paraId="1F6FDA7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22</w:t>
            </w:r>
          </w:p>
        </w:tc>
        <w:tc>
          <w:tcPr>
            <w:tcW w:w="1284" w:type="dxa"/>
            <w:tcBorders>
              <w:top w:val="single" w:sz="4" w:space="0" w:color="auto"/>
              <w:left w:val="nil"/>
              <w:bottom w:val="nil"/>
              <w:right w:val="nil"/>
            </w:tcBorders>
            <w:shd w:val="clear" w:color="auto" w:fill="auto"/>
            <w:noWrap/>
            <w:vAlign w:val="bottom"/>
            <w:hideMark/>
          </w:tcPr>
          <w:p w14:paraId="211BB8C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w:t>
            </w:r>
          </w:p>
        </w:tc>
        <w:tc>
          <w:tcPr>
            <w:tcW w:w="1284" w:type="dxa"/>
            <w:tcBorders>
              <w:top w:val="single" w:sz="4" w:space="0" w:color="auto"/>
              <w:left w:val="nil"/>
              <w:bottom w:val="nil"/>
              <w:right w:val="nil"/>
            </w:tcBorders>
            <w:shd w:val="clear" w:color="auto" w:fill="auto"/>
            <w:noWrap/>
            <w:vAlign w:val="bottom"/>
            <w:hideMark/>
          </w:tcPr>
          <w:p w14:paraId="3F8CC89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73</w:t>
            </w:r>
          </w:p>
        </w:tc>
        <w:tc>
          <w:tcPr>
            <w:tcW w:w="1284" w:type="dxa"/>
            <w:tcBorders>
              <w:top w:val="single" w:sz="4" w:space="0" w:color="auto"/>
              <w:left w:val="nil"/>
              <w:bottom w:val="nil"/>
              <w:right w:val="nil"/>
            </w:tcBorders>
            <w:shd w:val="clear" w:color="auto" w:fill="auto"/>
            <w:noWrap/>
            <w:vAlign w:val="bottom"/>
            <w:hideMark/>
          </w:tcPr>
          <w:p w14:paraId="16F927D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27</w:t>
            </w:r>
          </w:p>
        </w:tc>
      </w:tr>
      <w:tr w:rsidR="00AC362E" w:rsidRPr="00491EF1" w14:paraId="6833838A" w14:textId="77777777" w:rsidTr="00ED0631">
        <w:trPr>
          <w:trHeight w:val="315"/>
        </w:trPr>
        <w:tc>
          <w:tcPr>
            <w:tcW w:w="1465" w:type="dxa"/>
            <w:tcBorders>
              <w:top w:val="nil"/>
              <w:left w:val="nil"/>
              <w:bottom w:val="nil"/>
              <w:right w:val="nil"/>
            </w:tcBorders>
            <w:shd w:val="clear" w:color="auto" w:fill="auto"/>
            <w:noWrap/>
            <w:vAlign w:val="bottom"/>
            <w:hideMark/>
          </w:tcPr>
          <w:p w14:paraId="21A2B9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1284" w:type="dxa"/>
            <w:tcBorders>
              <w:top w:val="nil"/>
              <w:left w:val="nil"/>
              <w:bottom w:val="nil"/>
              <w:right w:val="nil"/>
            </w:tcBorders>
            <w:shd w:val="clear" w:color="auto" w:fill="auto"/>
            <w:noWrap/>
            <w:vAlign w:val="bottom"/>
            <w:hideMark/>
          </w:tcPr>
          <w:p w14:paraId="7AB6CBD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c>
          <w:tcPr>
            <w:tcW w:w="1284" w:type="dxa"/>
            <w:tcBorders>
              <w:top w:val="nil"/>
              <w:left w:val="nil"/>
              <w:bottom w:val="nil"/>
              <w:right w:val="nil"/>
            </w:tcBorders>
            <w:shd w:val="clear" w:color="auto" w:fill="auto"/>
            <w:noWrap/>
            <w:vAlign w:val="bottom"/>
            <w:hideMark/>
          </w:tcPr>
          <w:p w14:paraId="51B7E0B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284" w:type="dxa"/>
            <w:tcBorders>
              <w:top w:val="nil"/>
              <w:left w:val="nil"/>
              <w:bottom w:val="nil"/>
              <w:right w:val="nil"/>
            </w:tcBorders>
            <w:shd w:val="clear" w:color="auto" w:fill="auto"/>
            <w:noWrap/>
            <w:vAlign w:val="bottom"/>
            <w:hideMark/>
          </w:tcPr>
          <w:p w14:paraId="163470A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c>
          <w:tcPr>
            <w:tcW w:w="1284" w:type="dxa"/>
            <w:tcBorders>
              <w:top w:val="nil"/>
              <w:left w:val="nil"/>
              <w:bottom w:val="nil"/>
              <w:right w:val="nil"/>
            </w:tcBorders>
            <w:shd w:val="clear" w:color="auto" w:fill="auto"/>
            <w:noWrap/>
            <w:vAlign w:val="bottom"/>
            <w:hideMark/>
          </w:tcPr>
          <w:p w14:paraId="74D3460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45</w:t>
            </w:r>
          </w:p>
        </w:tc>
      </w:tr>
      <w:tr w:rsidR="00AC362E" w:rsidRPr="00491EF1" w14:paraId="369219A8" w14:textId="77777777" w:rsidTr="00ED0631">
        <w:trPr>
          <w:trHeight w:val="315"/>
        </w:trPr>
        <w:tc>
          <w:tcPr>
            <w:tcW w:w="1465" w:type="dxa"/>
            <w:tcBorders>
              <w:top w:val="nil"/>
              <w:left w:val="nil"/>
              <w:bottom w:val="nil"/>
              <w:right w:val="nil"/>
            </w:tcBorders>
            <w:shd w:val="clear" w:color="auto" w:fill="auto"/>
            <w:noWrap/>
            <w:vAlign w:val="bottom"/>
            <w:hideMark/>
          </w:tcPr>
          <w:p w14:paraId="1B4A3A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1284" w:type="dxa"/>
            <w:tcBorders>
              <w:top w:val="nil"/>
              <w:left w:val="nil"/>
              <w:bottom w:val="nil"/>
              <w:right w:val="nil"/>
            </w:tcBorders>
            <w:shd w:val="clear" w:color="auto" w:fill="auto"/>
            <w:noWrap/>
            <w:vAlign w:val="bottom"/>
            <w:hideMark/>
          </w:tcPr>
          <w:p w14:paraId="09A3995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24</w:t>
            </w:r>
          </w:p>
        </w:tc>
        <w:tc>
          <w:tcPr>
            <w:tcW w:w="1284" w:type="dxa"/>
            <w:tcBorders>
              <w:top w:val="nil"/>
              <w:left w:val="nil"/>
              <w:bottom w:val="nil"/>
              <w:right w:val="nil"/>
            </w:tcBorders>
            <w:shd w:val="clear" w:color="auto" w:fill="auto"/>
            <w:noWrap/>
            <w:vAlign w:val="bottom"/>
            <w:hideMark/>
          </w:tcPr>
          <w:p w14:paraId="643D6FC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1284" w:type="dxa"/>
            <w:tcBorders>
              <w:top w:val="nil"/>
              <w:left w:val="nil"/>
              <w:bottom w:val="nil"/>
              <w:right w:val="nil"/>
            </w:tcBorders>
            <w:shd w:val="clear" w:color="auto" w:fill="auto"/>
            <w:noWrap/>
            <w:vAlign w:val="bottom"/>
            <w:hideMark/>
          </w:tcPr>
          <w:p w14:paraId="23F6C7D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92</w:t>
            </w:r>
          </w:p>
        </w:tc>
        <w:tc>
          <w:tcPr>
            <w:tcW w:w="1284" w:type="dxa"/>
            <w:tcBorders>
              <w:top w:val="nil"/>
              <w:left w:val="nil"/>
              <w:bottom w:val="nil"/>
              <w:right w:val="nil"/>
            </w:tcBorders>
            <w:shd w:val="clear" w:color="auto" w:fill="auto"/>
            <w:noWrap/>
            <w:vAlign w:val="bottom"/>
            <w:hideMark/>
          </w:tcPr>
          <w:p w14:paraId="4D5E528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w:t>
            </w:r>
          </w:p>
        </w:tc>
      </w:tr>
      <w:tr w:rsidR="00AC362E" w:rsidRPr="00491EF1" w14:paraId="4E462A8B" w14:textId="77777777" w:rsidTr="00ED0631">
        <w:trPr>
          <w:trHeight w:val="315"/>
        </w:trPr>
        <w:tc>
          <w:tcPr>
            <w:tcW w:w="1465" w:type="dxa"/>
            <w:tcBorders>
              <w:top w:val="single" w:sz="4" w:space="0" w:color="auto"/>
              <w:left w:val="nil"/>
              <w:bottom w:val="single" w:sz="4" w:space="0" w:color="auto"/>
              <w:right w:val="nil"/>
            </w:tcBorders>
            <w:shd w:val="clear" w:color="auto" w:fill="auto"/>
            <w:noWrap/>
            <w:vAlign w:val="bottom"/>
            <w:hideMark/>
          </w:tcPr>
          <w:p w14:paraId="1DEF16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Total </w:t>
            </w:r>
          </w:p>
        </w:tc>
        <w:tc>
          <w:tcPr>
            <w:tcW w:w="1284" w:type="dxa"/>
            <w:tcBorders>
              <w:top w:val="single" w:sz="4" w:space="0" w:color="auto"/>
              <w:left w:val="nil"/>
              <w:bottom w:val="single" w:sz="4" w:space="0" w:color="auto"/>
              <w:right w:val="nil"/>
            </w:tcBorders>
            <w:shd w:val="clear" w:color="auto" w:fill="auto"/>
            <w:noWrap/>
            <w:vAlign w:val="bottom"/>
            <w:hideMark/>
          </w:tcPr>
          <w:p w14:paraId="783E14F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c>
          <w:tcPr>
            <w:tcW w:w="1284" w:type="dxa"/>
            <w:tcBorders>
              <w:top w:val="single" w:sz="4" w:space="0" w:color="auto"/>
              <w:left w:val="nil"/>
              <w:bottom w:val="single" w:sz="4" w:space="0" w:color="auto"/>
              <w:right w:val="nil"/>
            </w:tcBorders>
            <w:shd w:val="clear" w:color="auto" w:fill="auto"/>
            <w:noWrap/>
            <w:vAlign w:val="bottom"/>
            <w:hideMark/>
          </w:tcPr>
          <w:p w14:paraId="00B849D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w:t>
            </w:r>
          </w:p>
        </w:tc>
        <w:tc>
          <w:tcPr>
            <w:tcW w:w="1284" w:type="dxa"/>
            <w:tcBorders>
              <w:top w:val="single" w:sz="4" w:space="0" w:color="auto"/>
              <w:left w:val="nil"/>
              <w:bottom w:val="single" w:sz="4" w:space="0" w:color="auto"/>
              <w:right w:val="nil"/>
            </w:tcBorders>
            <w:shd w:val="clear" w:color="auto" w:fill="auto"/>
            <w:noWrap/>
            <w:vAlign w:val="bottom"/>
            <w:hideMark/>
          </w:tcPr>
          <w:p w14:paraId="38F5706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78</w:t>
            </w:r>
          </w:p>
        </w:tc>
        <w:tc>
          <w:tcPr>
            <w:tcW w:w="1284" w:type="dxa"/>
            <w:tcBorders>
              <w:top w:val="single" w:sz="4" w:space="0" w:color="auto"/>
              <w:left w:val="nil"/>
              <w:bottom w:val="single" w:sz="4" w:space="0" w:color="auto"/>
              <w:right w:val="nil"/>
            </w:tcBorders>
            <w:shd w:val="clear" w:color="auto" w:fill="auto"/>
            <w:noWrap/>
            <w:vAlign w:val="bottom"/>
            <w:hideMark/>
          </w:tcPr>
          <w:p w14:paraId="3AE7161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22</w:t>
            </w:r>
          </w:p>
        </w:tc>
      </w:tr>
    </w:tbl>
    <w:p w14:paraId="74DB0251" w14:textId="77777777" w:rsidR="00AC362E" w:rsidRDefault="00AC362E" w:rsidP="00ED0631">
      <w:pPr>
        <w:spacing w:before="240"/>
        <w:rPr>
          <w:rFonts w:cs="Arial"/>
        </w:rPr>
      </w:pPr>
      <w:r>
        <w:rPr>
          <w:rFonts w:cs="Arial"/>
        </w:rPr>
        <w:t xml:space="preserve">The SED asked teachers to rate how much their English language skills had improved. As shown in </w:t>
      </w:r>
      <w:r w:rsidRPr="00661535">
        <w:rPr>
          <w:rFonts w:cs="Arial"/>
          <w:i/>
        </w:rPr>
        <w:t>Table 10</w:t>
      </w:r>
      <w:r w:rsidRPr="00661535">
        <w:rPr>
          <w:rFonts w:cs="Arial"/>
        </w:rPr>
        <w:t>, the vast majority of teachers felt that their language had improved but almost half felt this</w:t>
      </w:r>
      <w:r>
        <w:rPr>
          <w:rFonts w:cs="Arial"/>
        </w:rPr>
        <w:t xml:space="preserve"> improvement was relatively minor. Taken together with </w:t>
      </w:r>
      <w:r w:rsidRPr="00661535">
        <w:rPr>
          <w:rFonts w:cs="Arial"/>
          <w:i/>
        </w:rPr>
        <w:t xml:space="preserve">Table </w:t>
      </w:r>
      <w:r>
        <w:rPr>
          <w:rFonts w:cs="Arial"/>
          <w:i/>
        </w:rPr>
        <w:t>8</w:t>
      </w:r>
      <w:r>
        <w:rPr>
          <w:rFonts w:cs="Arial"/>
        </w:rPr>
        <w:t xml:space="preserve"> above where 67% of teachers had undertaken some form English training it suggests that even teachers who had had no English training had improved at least slightly. Presumably those who had undertaken English training were more represented in the group rating themselves as having improved ‘</w:t>
      </w:r>
      <w:r w:rsidRPr="00B4645D">
        <w:rPr>
          <w:rFonts w:cs="Arial"/>
          <w:i/>
        </w:rPr>
        <w:t>significantly</w:t>
      </w:r>
      <w:r>
        <w:rPr>
          <w:rFonts w:cs="Arial"/>
        </w:rPr>
        <w:t>’ or ‘</w:t>
      </w:r>
      <w:r w:rsidRPr="00B4645D">
        <w:rPr>
          <w:rFonts w:cs="Arial"/>
          <w:i/>
        </w:rPr>
        <w:t>much better’</w:t>
      </w:r>
      <w:r>
        <w:rPr>
          <w:rFonts w:cs="Arial"/>
        </w:rPr>
        <w:t xml:space="preserve"> and this may explain why proportionately more teachers from Small Islands rated their improvement more highly. They may also have been starting from a lower base.</w:t>
      </w:r>
    </w:p>
    <w:p w14:paraId="10F4C5E1" w14:textId="77777777" w:rsidR="00AC362E" w:rsidRDefault="00AC362E" w:rsidP="00ED0631">
      <w:pPr>
        <w:spacing w:before="240"/>
        <w:rPr>
          <w:rFonts w:cs="Arial"/>
        </w:rPr>
      </w:pPr>
      <w:r>
        <w:rPr>
          <w:rFonts w:cs="Arial"/>
        </w:rPr>
        <w:t>School Leaders evaluations of teacher’s improvement in English ability were considerably more positive with School Leaders saying that 61% of teachers who had completed training in the last four years were ‘</w:t>
      </w:r>
      <w:r w:rsidRPr="00AC403B">
        <w:rPr>
          <w:rFonts w:cs="Arial"/>
          <w:i/>
        </w:rPr>
        <w:t>significantly</w:t>
      </w:r>
      <w:r>
        <w:rPr>
          <w:rFonts w:cs="Arial"/>
        </w:rPr>
        <w:t>’ or ‘</w:t>
      </w:r>
      <w:r w:rsidRPr="00AC403B">
        <w:rPr>
          <w:rFonts w:cs="Arial"/>
          <w:i/>
        </w:rPr>
        <w:t>much better’</w:t>
      </w:r>
      <w:r>
        <w:rPr>
          <w:rFonts w:cs="Arial"/>
        </w:rPr>
        <w:t xml:space="preserve"> in English. The Literature Review contains a number of recommendations for supporting Teachers bilingual education capabilities.</w:t>
      </w:r>
    </w:p>
    <w:p w14:paraId="1958044F" w14:textId="77777777" w:rsidR="00AC362E" w:rsidRPr="00491EF1" w:rsidRDefault="00AC362E" w:rsidP="00ED0631">
      <w:pPr>
        <w:spacing w:after="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10: Number of teachers rating their English improvement by island type</w:t>
      </w:r>
    </w:p>
    <w:tbl>
      <w:tblPr>
        <w:tblW w:w="6570" w:type="dxa"/>
        <w:tblInd w:w="93" w:type="dxa"/>
        <w:tblLook w:val="04A0" w:firstRow="1" w:lastRow="0" w:firstColumn="1" w:lastColumn="0" w:noHBand="0" w:noVBand="1"/>
      </w:tblPr>
      <w:tblGrid>
        <w:gridCol w:w="1433"/>
        <w:gridCol w:w="1116"/>
        <w:gridCol w:w="1294"/>
        <w:gridCol w:w="1167"/>
        <w:gridCol w:w="1560"/>
      </w:tblGrid>
      <w:tr w:rsidR="00AC362E" w:rsidRPr="00491EF1" w14:paraId="6BAE4A2B" w14:textId="77777777" w:rsidTr="00491EF1">
        <w:trPr>
          <w:trHeight w:val="315"/>
        </w:trPr>
        <w:tc>
          <w:tcPr>
            <w:tcW w:w="1433" w:type="dxa"/>
            <w:tcBorders>
              <w:top w:val="single" w:sz="4" w:space="0" w:color="auto"/>
              <w:left w:val="nil"/>
              <w:bottom w:val="nil"/>
              <w:right w:val="nil"/>
            </w:tcBorders>
            <w:shd w:val="clear" w:color="auto" w:fill="auto"/>
            <w:noWrap/>
            <w:vAlign w:val="bottom"/>
            <w:hideMark/>
          </w:tcPr>
          <w:p w14:paraId="60AA0DAF"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116" w:type="dxa"/>
            <w:tcBorders>
              <w:top w:val="single" w:sz="4" w:space="0" w:color="auto"/>
              <w:left w:val="nil"/>
              <w:bottom w:val="single" w:sz="4" w:space="0" w:color="auto"/>
              <w:right w:val="nil"/>
            </w:tcBorders>
            <w:shd w:val="clear" w:color="auto" w:fill="auto"/>
            <w:noWrap/>
            <w:vAlign w:val="bottom"/>
            <w:hideMark/>
          </w:tcPr>
          <w:p w14:paraId="76DBDB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Much better </w:t>
            </w:r>
          </w:p>
        </w:tc>
        <w:tc>
          <w:tcPr>
            <w:tcW w:w="1294" w:type="dxa"/>
            <w:tcBorders>
              <w:top w:val="single" w:sz="4" w:space="0" w:color="auto"/>
              <w:left w:val="nil"/>
              <w:bottom w:val="single" w:sz="4" w:space="0" w:color="auto"/>
              <w:right w:val="nil"/>
            </w:tcBorders>
            <w:shd w:val="clear" w:color="auto" w:fill="auto"/>
            <w:noWrap/>
            <w:vAlign w:val="bottom"/>
            <w:hideMark/>
          </w:tcPr>
          <w:p w14:paraId="6B76F6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Significantly better </w:t>
            </w:r>
          </w:p>
        </w:tc>
        <w:tc>
          <w:tcPr>
            <w:tcW w:w="1167" w:type="dxa"/>
            <w:tcBorders>
              <w:top w:val="single" w:sz="4" w:space="0" w:color="auto"/>
              <w:left w:val="nil"/>
              <w:bottom w:val="single" w:sz="4" w:space="0" w:color="auto"/>
              <w:right w:val="nil"/>
            </w:tcBorders>
            <w:shd w:val="clear" w:color="auto" w:fill="auto"/>
            <w:noWrap/>
            <w:vAlign w:val="bottom"/>
            <w:hideMark/>
          </w:tcPr>
          <w:p w14:paraId="4DDE34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A little better </w:t>
            </w:r>
          </w:p>
        </w:tc>
        <w:tc>
          <w:tcPr>
            <w:tcW w:w="1560" w:type="dxa"/>
            <w:tcBorders>
              <w:top w:val="single" w:sz="4" w:space="0" w:color="auto"/>
              <w:left w:val="nil"/>
              <w:bottom w:val="single" w:sz="4" w:space="0" w:color="auto"/>
              <w:right w:val="nil"/>
            </w:tcBorders>
            <w:shd w:val="clear" w:color="auto" w:fill="auto"/>
            <w:noWrap/>
            <w:vAlign w:val="bottom"/>
            <w:hideMark/>
          </w:tcPr>
          <w:p w14:paraId="608F11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Same as before </w:t>
            </w:r>
          </w:p>
        </w:tc>
      </w:tr>
      <w:tr w:rsidR="00AC362E" w:rsidRPr="00491EF1" w14:paraId="082A1BD3" w14:textId="77777777" w:rsidTr="00491EF1">
        <w:trPr>
          <w:trHeight w:val="315"/>
        </w:trPr>
        <w:tc>
          <w:tcPr>
            <w:tcW w:w="1433" w:type="dxa"/>
            <w:tcBorders>
              <w:top w:val="single" w:sz="4" w:space="0" w:color="auto"/>
              <w:left w:val="nil"/>
              <w:bottom w:val="nil"/>
              <w:right w:val="nil"/>
            </w:tcBorders>
            <w:shd w:val="clear" w:color="auto" w:fill="auto"/>
            <w:noWrap/>
            <w:vAlign w:val="bottom"/>
            <w:hideMark/>
          </w:tcPr>
          <w:p w14:paraId="186034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Large island</w:t>
            </w:r>
          </w:p>
        </w:tc>
        <w:tc>
          <w:tcPr>
            <w:tcW w:w="1116" w:type="dxa"/>
            <w:tcBorders>
              <w:top w:val="nil"/>
              <w:left w:val="nil"/>
              <w:bottom w:val="nil"/>
              <w:right w:val="nil"/>
            </w:tcBorders>
            <w:shd w:val="clear" w:color="auto" w:fill="auto"/>
            <w:noWrap/>
            <w:vAlign w:val="bottom"/>
            <w:hideMark/>
          </w:tcPr>
          <w:p w14:paraId="3DCB0D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 </w:t>
            </w:r>
          </w:p>
        </w:tc>
        <w:tc>
          <w:tcPr>
            <w:tcW w:w="1294" w:type="dxa"/>
            <w:tcBorders>
              <w:top w:val="nil"/>
              <w:left w:val="nil"/>
              <w:bottom w:val="nil"/>
              <w:right w:val="nil"/>
            </w:tcBorders>
            <w:shd w:val="clear" w:color="auto" w:fill="auto"/>
            <w:noWrap/>
            <w:vAlign w:val="bottom"/>
            <w:hideMark/>
          </w:tcPr>
          <w:p w14:paraId="31D01E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1167" w:type="dxa"/>
            <w:tcBorders>
              <w:top w:val="nil"/>
              <w:left w:val="nil"/>
              <w:bottom w:val="nil"/>
              <w:right w:val="nil"/>
            </w:tcBorders>
            <w:shd w:val="clear" w:color="auto" w:fill="auto"/>
            <w:noWrap/>
            <w:vAlign w:val="bottom"/>
            <w:hideMark/>
          </w:tcPr>
          <w:p w14:paraId="18202B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28 </w:t>
            </w:r>
          </w:p>
        </w:tc>
        <w:tc>
          <w:tcPr>
            <w:tcW w:w="1560" w:type="dxa"/>
            <w:tcBorders>
              <w:top w:val="nil"/>
              <w:left w:val="nil"/>
              <w:bottom w:val="nil"/>
              <w:right w:val="nil"/>
            </w:tcBorders>
            <w:shd w:val="clear" w:color="auto" w:fill="auto"/>
            <w:noWrap/>
            <w:vAlign w:val="bottom"/>
            <w:hideMark/>
          </w:tcPr>
          <w:p w14:paraId="253F4A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06847C3D" w14:textId="77777777" w:rsidTr="00491EF1">
        <w:trPr>
          <w:trHeight w:val="315"/>
        </w:trPr>
        <w:tc>
          <w:tcPr>
            <w:tcW w:w="1433" w:type="dxa"/>
            <w:tcBorders>
              <w:top w:val="nil"/>
              <w:left w:val="nil"/>
              <w:bottom w:val="nil"/>
              <w:right w:val="nil"/>
            </w:tcBorders>
            <w:shd w:val="clear" w:color="auto" w:fill="auto"/>
            <w:noWrap/>
            <w:vAlign w:val="bottom"/>
            <w:hideMark/>
          </w:tcPr>
          <w:p w14:paraId="527A2A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Small island</w:t>
            </w:r>
          </w:p>
        </w:tc>
        <w:tc>
          <w:tcPr>
            <w:tcW w:w="1116" w:type="dxa"/>
            <w:tcBorders>
              <w:top w:val="nil"/>
              <w:left w:val="nil"/>
              <w:bottom w:val="nil"/>
              <w:right w:val="nil"/>
            </w:tcBorders>
            <w:shd w:val="clear" w:color="auto" w:fill="auto"/>
            <w:noWrap/>
            <w:vAlign w:val="bottom"/>
            <w:hideMark/>
          </w:tcPr>
          <w:p w14:paraId="33B191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 </w:t>
            </w:r>
          </w:p>
        </w:tc>
        <w:tc>
          <w:tcPr>
            <w:tcW w:w="1294" w:type="dxa"/>
            <w:tcBorders>
              <w:top w:val="nil"/>
              <w:left w:val="nil"/>
              <w:bottom w:val="nil"/>
              <w:right w:val="nil"/>
            </w:tcBorders>
            <w:shd w:val="clear" w:color="auto" w:fill="auto"/>
            <w:noWrap/>
            <w:vAlign w:val="bottom"/>
            <w:hideMark/>
          </w:tcPr>
          <w:p w14:paraId="3E14F9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67" w:type="dxa"/>
            <w:tcBorders>
              <w:top w:val="nil"/>
              <w:left w:val="nil"/>
              <w:bottom w:val="nil"/>
              <w:right w:val="nil"/>
            </w:tcBorders>
            <w:shd w:val="clear" w:color="auto" w:fill="auto"/>
            <w:noWrap/>
            <w:vAlign w:val="bottom"/>
            <w:hideMark/>
          </w:tcPr>
          <w:p w14:paraId="45B691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560" w:type="dxa"/>
            <w:tcBorders>
              <w:top w:val="nil"/>
              <w:left w:val="nil"/>
              <w:bottom w:val="nil"/>
              <w:right w:val="nil"/>
            </w:tcBorders>
            <w:shd w:val="clear" w:color="auto" w:fill="auto"/>
            <w:noWrap/>
            <w:vAlign w:val="bottom"/>
            <w:hideMark/>
          </w:tcPr>
          <w:p w14:paraId="08036D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6D30AF82" w14:textId="77777777" w:rsidTr="00491EF1">
        <w:trPr>
          <w:trHeight w:val="315"/>
        </w:trPr>
        <w:tc>
          <w:tcPr>
            <w:tcW w:w="1433" w:type="dxa"/>
            <w:tcBorders>
              <w:top w:val="nil"/>
              <w:left w:val="nil"/>
              <w:bottom w:val="nil"/>
              <w:right w:val="nil"/>
            </w:tcBorders>
            <w:shd w:val="clear" w:color="auto" w:fill="auto"/>
            <w:noWrap/>
            <w:vAlign w:val="bottom"/>
            <w:hideMark/>
          </w:tcPr>
          <w:p w14:paraId="239EE7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Sth Tarawa</w:t>
            </w:r>
          </w:p>
        </w:tc>
        <w:tc>
          <w:tcPr>
            <w:tcW w:w="1116" w:type="dxa"/>
            <w:tcBorders>
              <w:top w:val="nil"/>
              <w:left w:val="nil"/>
              <w:bottom w:val="nil"/>
              <w:right w:val="nil"/>
            </w:tcBorders>
            <w:shd w:val="clear" w:color="auto" w:fill="auto"/>
            <w:noWrap/>
            <w:vAlign w:val="bottom"/>
            <w:hideMark/>
          </w:tcPr>
          <w:p w14:paraId="2216CF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28 </w:t>
            </w:r>
          </w:p>
        </w:tc>
        <w:tc>
          <w:tcPr>
            <w:tcW w:w="1294" w:type="dxa"/>
            <w:tcBorders>
              <w:top w:val="nil"/>
              <w:left w:val="nil"/>
              <w:bottom w:val="nil"/>
              <w:right w:val="nil"/>
            </w:tcBorders>
            <w:shd w:val="clear" w:color="auto" w:fill="auto"/>
            <w:noWrap/>
            <w:vAlign w:val="bottom"/>
            <w:hideMark/>
          </w:tcPr>
          <w:p w14:paraId="602F0F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1167" w:type="dxa"/>
            <w:tcBorders>
              <w:top w:val="nil"/>
              <w:left w:val="nil"/>
              <w:bottom w:val="nil"/>
              <w:right w:val="nil"/>
            </w:tcBorders>
            <w:shd w:val="clear" w:color="auto" w:fill="auto"/>
            <w:noWrap/>
            <w:vAlign w:val="bottom"/>
            <w:hideMark/>
          </w:tcPr>
          <w:p w14:paraId="087ABF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57 </w:t>
            </w:r>
          </w:p>
        </w:tc>
        <w:tc>
          <w:tcPr>
            <w:tcW w:w="1560" w:type="dxa"/>
            <w:tcBorders>
              <w:top w:val="nil"/>
              <w:left w:val="nil"/>
              <w:bottom w:val="nil"/>
              <w:right w:val="nil"/>
            </w:tcBorders>
            <w:shd w:val="clear" w:color="auto" w:fill="auto"/>
            <w:noWrap/>
            <w:vAlign w:val="bottom"/>
            <w:hideMark/>
          </w:tcPr>
          <w:p w14:paraId="680A46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4EDF1952" w14:textId="77777777" w:rsidTr="00491EF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7FC9FA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16" w:type="dxa"/>
            <w:tcBorders>
              <w:top w:val="single" w:sz="4" w:space="0" w:color="auto"/>
              <w:left w:val="nil"/>
              <w:bottom w:val="single" w:sz="4" w:space="0" w:color="auto"/>
              <w:right w:val="nil"/>
            </w:tcBorders>
            <w:shd w:val="clear" w:color="auto" w:fill="auto"/>
            <w:noWrap/>
            <w:vAlign w:val="bottom"/>
            <w:hideMark/>
          </w:tcPr>
          <w:p w14:paraId="0298E6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62 </w:t>
            </w:r>
          </w:p>
        </w:tc>
        <w:tc>
          <w:tcPr>
            <w:tcW w:w="1294" w:type="dxa"/>
            <w:tcBorders>
              <w:top w:val="single" w:sz="4" w:space="0" w:color="auto"/>
              <w:left w:val="nil"/>
              <w:bottom w:val="single" w:sz="4" w:space="0" w:color="auto"/>
              <w:right w:val="nil"/>
            </w:tcBorders>
            <w:shd w:val="clear" w:color="auto" w:fill="auto"/>
            <w:noWrap/>
            <w:vAlign w:val="bottom"/>
            <w:hideMark/>
          </w:tcPr>
          <w:p w14:paraId="3EC2A6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31 </w:t>
            </w:r>
          </w:p>
        </w:tc>
        <w:tc>
          <w:tcPr>
            <w:tcW w:w="1167" w:type="dxa"/>
            <w:tcBorders>
              <w:top w:val="single" w:sz="4" w:space="0" w:color="auto"/>
              <w:left w:val="nil"/>
              <w:bottom w:val="single" w:sz="4" w:space="0" w:color="auto"/>
              <w:right w:val="nil"/>
            </w:tcBorders>
            <w:shd w:val="clear" w:color="auto" w:fill="auto"/>
            <w:noWrap/>
            <w:vAlign w:val="bottom"/>
            <w:hideMark/>
          </w:tcPr>
          <w:p w14:paraId="4C7AAD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90 </w:t>
            </w:r>
          </w:p>
        </w:tc>
        <w:tc>
          <w:tcPr>
            <w:tcW w:w="1560" w:type="dxa"/>
            <w:tcBorders>
              <w:top w:val="single" w:sz="4" w:space="0" w:color="auto"/>
              <w:left w:val="nil"/>
              <w:bottom w:val="single" w:sz="4" w:space="0" w:color="auto"/>
              <w:right w:val="nil"/>
            </w:tcBorders>
            <w:shd w:val="clear" w:color="auto" w:fill="auto"/>
            <w:noWrap/>
            <w:vAlign w:val="bottom"/>
            <w:hideMark/>
          </w:tcPr>
          <w:p w14:paraId="195E39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r>
    </w:tbl>
    <w:p w14:paraId="493E100D" w14:textId="6CFAAE04" w:rsidR="00DE4728" w:rsidRDefault="00AC362E" w:rsidP="00DE4728">
      <w:pPr>
        <w:spacing w:before="240"/>
        <w:rPr>
          <w:rFonts w:ascii="Calibri" w:eastAsia="Times New Roman" w:hAnsi="Calibri" w:cs="Times New Roman"/>
          <w:b/>
          <w:color w:val="000000"/>
          <w:lang w:eastAsia="en-AU"/>
        </w:rPr>
      </w:pPr>
      <w:r>
        <w:rPr>
          <w:rFonts w:cs="Arial"/>
        </w:rPr>
        <w:t xml:space="preserve">Asked to describe how they kept their English skills up-to-date the most common responses were Movies (31%), Conversation (24%), Study (20%), and Internet and Radio (19%) but as would be expected there were significant variations between Island types with all of these modes being more </w:t>
      </w:r>
      <w:r w:rsidRPr="00661535">
        <w:rPr>
          <w:rFonts w:cs="Arial"/>
        </w:rPr>
        <w:t xml:space="preserve">readily available in South Tarawa (see </w:t>
      </w:r>
      <w:r w:rsidRPr="00661535">
        <w:rPr>
          <w:rFonts w:cs="Arial"/>
          <w:i/>
        </w:rPr>
        <w:t>Table 11</w:t>
      </w:r>
      <w:r w:rsidRPr="00661535">
        <w:rPr>
          <w:rFonts w:cs="Arial"/>
        </w:rPr>
        <w:t xml:space="preserve">). </w:t>
      </w:r>
      <w:r w:rsidR="00DE4728">
        <w:rPr>
          <w:rFonts w:ascii="Calibri" w:eastAsia="Times New Roman" w:hAnsi="Calibri" w:cs="Times New Roman"/>
          <w:b/>
          <w:color w:val="000000"/>
          <w:lang w:eastAsia="en-AU"/>
        </w:rPr>
        <w:br w:type="page"/>
      </w:r>
    </w:p>
    <w:p w14:paraId="7888651D" w14:textId="52635EF0" w:rsidR="00AC362E" w:rsidRPr="00491EF1" w:rsidRDefault="00AC362E" w:rsidP="00ED0631">
      <w:pPr>
        <w:spacing w:after="0"/>
        <w:ind w:left="93" w:right="-33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11: Percent of teachers who had used different modes to practice their English by island type*</w:t>
      </w:r>
    </w:p>
    <w:tbl>
      <w:tblPr>
        <w:tblW w:w="8614" w:type="dxa"/>
        <w:tblInd w:w="93" w:type="dxa"/>
        <w:tblLook w:val="04A0" w:firstRow="1" w:lastRow="0" w:firstColumn="1" w:lastColumn="0" w:noHBand="0" w:noVBand="1"/>
      </w:tblPr>
      <w:tblGrid>
        <w:gridCol w:w="2283"/>
        <w:gridCol w:w="1150"/>
        <w:gridCol w:w="1607"/>
        <w:gridCol w:w="1398"/>
        <w:gridCol w:w="1088"/>
        <w:gridCol w:w="1088"/>
      </w:tblGrid>
      <w:tr w:rsidR="00AC362E" w:rsidRPr="00491EF1" w14:paraId="178708FF" w14:textId="77777777" w:rsidTr="00ED0631">
        <w:trPr>
          <w:trHeight w:val="315"/>
        </w:trPr>
        <w:tc>
          <w:tcPr>
            <w:tcW w:w="2283" w:type="dxa"/>
            <w:tcBorders>
              <w:top w:val="single" w:sz="4" w:space="0" w:color="auto"/>
              <w:left w:val="nil"/>
              <w:bottom w:val="nil"/>
              <w:right w:val="nil"/>
            </w:tcBorders>
            <w:shd w:val="clear" w:color="auto" w:fill="auto"/>
            <w:noWrap/>
            <w:vAlign w:val="bottom"/>
            <w:hideMark/>
          </w:tcPr>
          <w:p w14:paraId="239C0206"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150" w:type="dxa"/>
            <w:tcBorders>
              <w:top w:val="single" w:sz="4" w:space="0" w:color="auto"/>
              <w:left w:val="nil"/>
              <w:bottom w:val="single" w:sz="4" w:space="0" w:color="auto"/>
              <w:right w:val="nil"/>
            </w:tcBorders>
            <w:shd w:val="clear" w:color="auto" w:fill="auto"/>
            <w:noWrap/>
            <w:vAlign w:val="bottom"/>
            <w:hideMark/>
          </w:tcPr>
          <w:p w14:paraId="330656A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w:t>
            </w:r>
          </w:p>
          <w:p w14:paraId="1537208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Movies</w:t>
            </w:r>
          </w:p>
        </w:tc>
        <w:tc>
          <w:tcPr>
            <w:tcW w:w="1607" w:type="dxa"/>
            <w:tcBorders>
              <w:top w:val="single" w:sz="4" w:space="0" w:color="auto"/>
              <w:left w:val="nil"/>
              <w:bottom w:val="single" w:sz="4" w:space="0" w:color="auto"/>
              <w:right w:val="nil"/>
            </w:tcBorders>
            <w:shd w:val="clear" w:color="auto" w:fill="auto"/>
            <w:noWrap/>
            <w:vAlign w:val="bottom"/>
            <w:hideMark/>
          </w:tcPr>
          <w:p w14:paraId="7EE7CF6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Internet/radio</w:t>
            </w:r>
          </w:p>
        </w:tc>
        <w:tc>
          <w:tcPr>
            <w:tcW w:w="1398" w:type="dxa"/>
            <w:tcBorders>
              <w:top w:val="single" w:sz="4" w:space="0" w:color="auto"/>
              <w:left w:val="nil"/>
              <w:bottom w:val="single" w:sz="4" w:space="0" w:color="auto"/>
              <w:right w:val="nil"/>
            </w:tcBorders>
            <w:shd w:val="clear" w:color="auto" w:fill="auto"/>
            <w:noWrap/>
            <w:vAlign w:val="bottom"/>
            <w:hideMark/>
          </w:tcPr>
          <w:p w14:paraId="1E0CA5F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Conversation</w:t>
            </w:r>
          </w:p>
        </w:tc>
        <w:tc>
          <w:tcPr>
            <w:tcW w:w="1088" w:type="dxa"/>
            <w:tcBorders>
              <w:top w:val="single" w:sz="4" w:space="0" w:color="auto"/>
              <w:left w:val="nil"/>
              <w:bottom w:val="nil"/>
              <w:right w:val="nil"/>
            </w:tcBorders>
            <w:shd w:val="clear" w:color="auto" w:fill="auto"/>
            <w:noWrap/>
            <w:vAlign w:val="bottom"/>
            <w:hideMark/>
          </w:tcPr>
          <w:p w14:paraId="6648D99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w:t>
            </w:r>
          </w:p>
          <w:p w14:paraId="13D13BC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Study</w:t>
            </w:r>
          </w:p>
        </w:tc>
        <w:tc>
          <w:tcPr>
            <w:tcW w:w="1088" w:type="dxa"/>
            <w:tcBorders>
              <w:top w:val="single" w:sz="4" w:space="0" w:color="auto"/>
              <w:left w:val="nil"/>
              <w:bottom w:val="nil"/>
              <w:right w:val="nil"/>
            </w:tcBorders>
            <w:shd w:val="clear" w:color="auto" w:fill="auto"/>
            <w:noWrap/>
            <w:vAlign w:val="bottom"/>
            <w:hideMark/>
          </w:tcPr>
          <w:p w14:paraId="5CEFB9D4"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w:t>
            </w:r>
          </w:p>
          <w:p w14:paraId="73B8E71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Other</w:t>
            </w:r>
          </w:p>
        </w:tc>
      </w:tr>
      <w:tr w:rsidR="00AC362E" w:rsidRPr="00491EF1" w14:paraId="44833B5A" w14:textId="77777777" w:rsidTr="00ED0631">
        <w:trPr>
          <w:trHeight w:val="315"/>
        </w:trPr>
        <w:tc>
          <w:tcPr>
            <w:tcW w:w="2283" w:type="dxa"/>
            <w:tcBorders>
              <w:top w:val="single" w:sz="4" w:space="0" w:color="auto"/>
              <w:left w:val="nil"/>
              <w:bottom w:val="nil"/>
              <w:right w:val="nil"/>
            </w:tcBorders>
            <w:shd w:val="clear" w:color="auto" w:fill="auto"/>
            <w:noWrap/>
            <w:vAlign w:val="bottom"/>
            <w:hideMark/>
          </w:tcPr>
          <w:p w14:paraId="3270E0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1150" w:type="dxa"/>
            <w:tcBorders>
              <w:top w:val="nil"/>
              <w:left w:val="nil"/>
              <w:bottom w:val="nil"/>
              <w:right w:val="nil"/>
            </w:tcBorders>
            <w:shd w:val="clear" w:color="auto" w:fill="auto"/>
            <w:noWrap/>
            <w:vAlign w:val="bottom"/>
            <w:hideMark/>
          </w:tcPr>
          <w:p w14:paraId="2F6CDAD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36</w:t>
            </w:r>
          </w:p>
        </w:tc>
        <w:tc>
          <w:tcPr>
            <w:tcW w:w="1607" w:type="dxa"/>
            <w:tcBorders>
              <w:top w:val="nil"/>
              <w:left w:val="nil"/>
              <w:bottom w:val="nil"/>
              <w:right w:val="nil"/>
            </w:tcBorders>
            <w:shd w:val="clear" w:color="auto" w:fill="auto"/>
            <w:noWrap/>
            <w:vAlign w:val="bottom"/>
            <w:hideMark/>
          </w:tcPr>
          <w:p w14:paraId="7E15013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37</w:t>
            </w:r>
          </w:p>
        </w:tc>
        <w:tc>
          <w:tcPr>
            <w:tcW w:w="1398" w:type="dxa"/>
            <w:tcBorders>
              <w:top w:val="nil"/>
              <w:left w:val="nil"/>
              <w:bottom w:val="nil"/>
              <w:right w:val="nil"/>
            </w:tcBorders>
            <w:shd w:val="clear" w:color="auto" w:fill="auto"/>
            <w:noWrap/>
            <w:vAlign w:val="bottom"/>
            <w:hideMark/>
          </w:tcPr>
          <w:p w14:paraId="06DC65E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32</w:t>
            </w:r>
          </w:p>
        </w:tc>
        <w:tc>
          <w:tcPr>
            <w:tcW w:w="1088" w:type="dxa"/>
            <w:tcBorders>
              <w:top w:val="single" w:sz="4" w:space="0" w:color="auto"/>
              <w:left w:val="nil"/>
              <w:bottom w:val="nil"/>
              <w:right w:val="nil"/>
            </w:tcBorders>
            <w:shd w:val="clear" w:color="auto" w:fill="auto"/>
            <w:noWrap/>
            <w:vAlign w:val="bottom"/>
            <w:hideMark/>
          </w:tcPr>
          <w:p w14:paraId="503E67B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38</w:t>
            </w:r>
          </w:p>
        </w:tc>
        <w:tc>
          <w:tcPr>
            <w:tcW w:w="1088" w:type="dxa"/>
            <w:tcBorders>
              <w:top w:val="single" w:sz="4" w:space="0" w:color="auto"/>
              <w:left w:val="nil"/>
              <w:bottom w:val="nil"/>
              <w:right w:val="nil"/>
            </w:tcBorders>
            <w:shd w:val="clear" w:color="auto" w:fill="auto"/>
            <w:noWrap/>
            <w:vAlign w:val="bottom"/>
            <w:hideMark/>
          </w:tcPr>
          <w:p w14:paraId="051CFF8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47</w:t>
            </w:r>
          </w:p>
        </w:tc>
      </w:tr>
      <w:tr w:rsidR="00AC362E" w:rsidRPr="00491EF1" w14:paraId="7859321D" w14:textId="77777777" w:rsidTr="00ED0631">
        <w:trPr>
          <w:trHeight w:val="315"/>
        </w:trPr>
        <w:tc>
          <w:tcPr>
            <w:tcW w:w="2283" w:type="dxa"/>
            <w:tcBorders>
              <w:top w:val="nil"/>
              <w:left w:val="nil"/>
              <w:bottom w:val="nil"/>
              <w:right w:val="nil"/>
            </w:tcBorders>
            <w:shd w:val="clear" w:color="auto" w:fill="auto"/>
            <w:noWrap/>
            <w:vAlign w:val="bottom"/>
            <w:hideMark/>
          </w:tcPr>
          <w:p w14:paraId="7988C1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1150" w:type="dxa"/>
            <w:tcBorders>
              <w:top w:val="nil"/>
              <w:left w:val="nil"/>
              <w:bottom w:val="nil"/>
              <w:right w:val="nil"/>
            </w:tcBorders>
            <w:shd w:val="clear" w:color="auto" w:fill="auto"/>
            <w:noWrap/>
            <w:vAlign w:val="bottom"/>
            <w:hideMark/>
          </w:tcPr>
          <w:p w14:paraId="0E7C510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w:t>
            </w:r>
          </w:p>
        </w:tc>
        <w:tc>
          <w:tcPr>
            <w:tcW w:w="1607" w:type="dxa"/>
            <w:tcBorders>
              <w:top w:val="nil"/>
              <w:left w:val="nil"/>
              <w:bottom w:val="nil"/>
              <w:right w:val="nil"/>
            </w:tcBorders>
            <w:shd w:val="clear" w:color="auto" w:fill="auto"/>
            <w:noWrap/>
            <w:vAlign w:val="bottom"/>
            <w:hideMark/>
          </w:tcPr>
          <w:p w14:paraId="523DB21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w:t>
            </w:r>
          </w:p>
        </w:tc>
        <w:tc>
          <w:tcPr>
            <w:tcW w:w="1398" w:type="dxa"/>
            <w:tcBorders>
              <w:top w:val="nil"/>
              <w:left w:val="nil"/>
              <w:bottom w:val="nil"/>
              <w:right w:val="nil"/>
            </w:tcBorders>
            <w:shd w:val="clear" w:color="auto" w:fill="auto"/>
            <w:noWrap/>
            <w:vAlign w:val="bottom"/>
            <w:hideMark/>
          </w:tcPr>
          <w:p w14:paraId="23E604C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11</w:t>
            </w:r>
          </w:p>
        </w:tc>
        <w:tc>
          <w:tcPr>
            <w:tcW w:w="1088" w:type="dxa"/>
            <w:tcBorders>
              <w:top w:val="nil"/>
              <w:left w:val="nil"/>
              <w:bottom w:val="nil"/>
              <w:right w:val="nil"/>
            </w:tcBorders>
            <w:shd w:val="clear" w:color="auto" w:fill="auto"/>
            <w:noWrap/>
            <w:vAlign w:val="bottom"/>
            <w:hideMark/>
          </w:tcPr>
          <w:p w14:paraId="4A53349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w:t>
            </w:r>
          </w:p>
        </w:tc>
        <w:tc>
          <w:tcPr>
            <w:tcW w:w="1088" w:type="dxa"/>
            <w:tcBorders>
              <w:top w:val="nil"/>
              <w:left w:val="nil"/>
              <w:bottom w:val="nil"/>
              <w:right w:val="nil"/>
            </w:tcBorders>
            <w:shd w:val="clear" w:color="auto" w:fill="auto"/>
            <w:noWrap/>
            <w:vAlign w:val="bottom"/>
            <w:hideMark/>
          </w:tcPr>
          <w:p w14:paraId="75166CC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24</w:t>
            </w:r>
          </w:p>
        </w:tc>
      </w:tr>
      <w:tr w:rsidR="00AC362E" w:rsidRPr="00491EF1" w14:paraId="5837D45D" w14:textId="77777777" w:rsidTr="00ED0631">
        <w:trPr>
          <w:trHeight w:val="315"/>
        </w:trPr>
        <w:tc>
          <w:tcPr>
            <w:tcW w:w="2283" w:type="dxa"/>
            <w:tcBorders>
              <w:top w:val="nil"/>
              <w:left w:val="nil"/>
              <w:bottom w:val="nil"/>
              <w:right w:val="nil"/>
            </w:tcBorders>
            <w:shd w:val="clear" w:color="auto" w:fill="auto"/>
            <w:noWrap/>
            <w:vAlign w:val="bottom"/>
            <w:hideMark/>
          </w:tcPr>
          <w:p w14:paraId="10E478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1150" w:type="dxa"/>
            <w:tcBorders>
              <w:top w:val="nil"/>
              <w:left w:val="nil"/>
              <w:bottom w:val="nil"/>
              <w:right w:val="nil"/>
            </w:tcBorders>
            <w:shd w:val="clear" w:color="auto" w:fill="auto"/>
            <w:noWrap/>
            <w:vAlign w:val="bottom"/>
            <w:hideMark/>
          </w:tcPr>
          <w:p w14:paraId="27F16FF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51</w:t>
            </w:r>
          </w:p>
        </w:tc>
        <w:tc>
          <w:tcPr>
            <w:tcW w:w="1607" w:type="dxa"/>
            <w:tcBorders>
              <w:top w:val="nil"/>
              <w:left w:val="nil"/>
              <w:bottom w:val="nil"/>
              <w:right w:val="nil"/>
            </w:tcBorders>
            <w:shd w:val="clear" w:color="auto" w:fill="auto"/>
            <w:noWrap/>
            <w:vAlign w:val="bottom"/>
            <w:hideMark/>
          </w:tcPr>
          <w:p w14:paraId="74625B0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c>
          <w:tcPr>
            <w:tcW w:w="1398" w:type="dxa"/>
            <w:tcBorders>
              <w:top w:val="nil"/>
              <w:left w:val="nil"/>
              <w:bottom w:val="nil"/>
              <w:right w:val="nil"/>
            </w:tcBorders>
            <w:shd w:val="clear" w:color="auto" w:fill="auto"/>
            <w:noWrap/>
            <w:vAlign w:val="bottom"/>
            <w:hideMark/>
          </w:tcPr>
          <w:p w14:paraId="7C4A3F9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57</w:t>
            </w:r>
          </w:p>
        </w:tc>
        <w:tc>
          <w:tcPr>
            <w:tcW w:w="1088" w:type="dxa"/>
            <w:tcBorders>
              <w:top w:val="nil"/>
              <w:left w:val="nil"/>
              <w:bottom w:val="nil"/>
              <w:right w:val="nil"/>
            </w:tcBorders>
            <w:shd w:val="clear" w:color="auto" w:fill="auto"/>
            <w:noWrap/>
            <w:vAlign w:val="bottom"/>
            <w:hideMark/>
          </w:tcPr>
          <w:p w14:paraId="4776FC1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47</w:t>
            </w:r>
          </w:p>
        </w:tc>
        <w:tc>
          <w:tcPr>
            <w:tcW w:w="1088" w:type="dxa"/>
            <w:tcBorders>
              <w:top w:val="nil"/>
              <w:left w:val="nil"/>
              <w:bottom w:val="nil"/>
              <w:right w:val="nil"/>
            </w:tcBorders>
            <w:shd w:val="clear" w:color="auto" w:fill="auto"/>
            <w:noWrap/>
            <w:vAlign w:val="bottom"/>
            <w:hideMark/>
          </w:tcPr>
          <w:p w14:paraId="3AB1F604"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29</w:t>
            </w:r>
          </w:p>
        </w:tc>
      </w:tr>
      <w:tr w:rsidR="00AC362E" w:rsidRPr="00491EF1" w14:paraId="0B5EF526" w14:textId="77777777" w:rsidTr="00ED0631">
        <w:trPr>
          <w:trHeight w:val="315"/>
        </w:trPr>
        <w:tc>
          <w:tcPr>
            <w:tcW w:w="2283" w:type="dxa"/>
            <w:tcBorders>
              <w:top w:val="single" w:sz="4" w:space="0" w:color="auto"/>
              <w:left w:val="nil"/>
              <w:bottom w:val="single" w:sz="4" w:space="0" w:color="auto"/>
              <w:right w:val="nil"/>
            </w:tcBorders>
            <w:shd w:val="clear" w:color="auto" w:fill="auto"/>
            <w:noWrap/>
            <w:vAlign w:val="bottom"/>
            <w:hideMark/>
          </w:tcPr>
          <w:p w14:paraId="70DAD6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of Total Responses </w:t>
            </w:r>
          </w:p>
        </w:tc>
        <w:tc>
          <w:tcPr>
            <w:tcW w:w="1150" w:type="dxa"/>
            <w:tcBorders>
              <w:top w:val="single" w:sz="4" w:space="0" w:color="auto"/>
              <w:left w:val="nil"/>
              <w:bottom w:val="single" w:sz="4" w:space="0" w:color="auto"/>
              <w:right w:val="nil"/>
            </w:tcBorders>
            <w:shd w:val="clear" w:color="auto" w:fill="auto"/>
            <w:noWrap/>
            <w:vAlign w:val="bottom"/>
            <w:hideMark/>
          </w:tcPr>
          <w:p w14:paraId="1668354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31</w:t>
            </w:r>
          </w:p>
        </w:tc>
        <w:tc>
          <w:tcPr>
            <w:tcW w:w="1607" w:type="dxa"/>
            <w:tcBorders>
              <w:top w:val="single" w:sz="4" w:space="0" w:color="auto"/>
              <w:left w:val="nil"/>
              <w:bottom w:val="single" w:sz="4" w:space="0" w:color="auto"/>
              <w:right w:val="nil"/>
            </w:tcBorders>
            <w:shd w:val="clear" w:color="auto" w:fill="auto"/>
            <w:noWrap/>
            <w:vAlign w:val="bottom"/>
            <w:hideMark/>
          </w:tcPr>
          <w:p w14:paraId="36D0C28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19</w:t>
            </w:r>
          </w:p>
        </w:tc>
        <w:tc>
          <w:tcPr>
            <w:tcW w:w="1398" w:type="dxa"/>
            <w:tcBorders>
              <w:top w:val="single" w:sz="4" w:space="0" w:color="auto"/>
              <w:left w:val="nil"/>
              <w:bottom w:val="single" w:sz="4" w:space="0" w:color="auto"/>
              <w:right w:val="nil"/>
            </w:tcBorders>
            <w:shd w:val="clear" w:color="auto" w:fill="auto"/>
            <w:noWrap/>
            <w:vAlign w:val="bottom"/>
            <w:hideMark/>
          </w:tcPr>
          <w:p w14:paraId="01C397C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24</w:t>
            </w:r>
          </w:p>
        </w:tc>
        <w:tc>
          <w:tcPr>
            <w:tcW w:w="1088" w:type="dxa"/>
            <w:tcBorders>
              <w:top w:val="single" w:sz="4" w:space="0" w:color="auto"/>
              <w:left w:val="nil"/>
              <w:bottom w:val="single" w:sz="4" w:space="0" w:color="auto"/>
              <w:right w:val="nil"/>
            </w:tcBorders>
            <w:shd w:val="clear" w:color="auto" w:fill="auto"/>
            <w:noWrap/>
            <w:vAlign w:val="bottom"/>
            <w:hideMark/>
          </w:tcPr>
          <w:p w14:paraId="47A3566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20</w:t>
            </w:r>
          </w:p>
        </w:tc>
        <w:tc>
          <w:tcPr>
            <w:tcW w:w="1088" w:type="dxa"/>
            <w:tcBorders>
              <w:top w:val="single" w:sz="4" w:space="0" w:color="auto"/>
              <w:left w:val="nil"/>
              <w:bottom w:val="single" w:sz="4" w:space="0" w:color="auto"/>
              <w:right w:val="nil"/>
            </w:tcBorders>
            <w:shd w:val="clear" w:color="auto" w:fill="auto"/>
            <w:noWrap/>
            <w:vAlign w:val="bottom"/>
            <w:hideMark/>
          </w:tcPr>
          <w:p w14:paraId="6035CF4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r>
    </w:tbl>
    <w:p w14:paraId="54EF786A" w14:textId="77777777" w:rsidR="00AC362E" w:rsidRPr="00491EF1" w:rsidRDefault="00AC362E" w:rsidP="00ED0631">
      <w:pPr>
        <w:tabs>
          <w:tab w:val="left" w:pos="2235"/>
          <w:tab w:val="left" w:pos="3323"/>
          <w:tab w:val="left" w:pos="4818"/>
          <w:tab w:val="left" w:pos="6216"/>
          <w:tab w:val="left" w:pos="7304"/>
        </w:tabs>
        <w:spacing w:after="0"/>
        <w:ind w:left="93"/>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Teachers may use more than one mode</w:t>
      </w:r>
    </w:p>
    <w:p w14:paraId="01EB4A89" w14:textId="77777777" w:rsidR="00AC362E" w:rsidRDefault="00AC362E" w:rsidP="00ED0631">
      <w:pPr>
        <w:pStyle w:val="Heading3"/>
        <w:rPr>
          <w:rFonts w:eastAsia="Times New Roman"/>
          <w:lang w:eastAsia="en-AU"/>
        </w:rPr>
      </w:pPr>
      <w:bookmarkStart w:id="142" w:name="_Toc461615760"/>
      <w:r>
        <w:rPr>
          <w:rFonts w:eastAsia="Times New Roman"/>
          <w:lang w:eastAsia="en-AU"/>
        </w:rPr>
        <w:t>6.1.5</w:t>
      </w:r>
      <w:r>
        <w:rPr>
          <w:rFonts w:eastAsia="Times New Roman"/>
          <w:lang w:eastAsia="en-AU"/>
        </w:rPr>
        <w:tab/>
      </w:r>
      <w:r w:rsidRPr="002B09F6">
        <w:rPr>
          <w:rFonts w:eastAsia="Times New Roman"/>
          <w:lang w:eastAsia="en-AU"/>
        </w:rPr>
        <w:t>Assessment methods</w:t>
      </w:r>
      <w:bookmarkEnd w:id="142"/>
    </w:p>
    <w:p w14:paraId="3A971CF2" w14:textId="77777777" w:rsidR="00AC362E" w:rsidRPr="00DE4728" w:rsidRDefault="00AC362E" w:rsidP="00ED0631">
      <w:pPr>
        <w:spacing w:before="240"/>
        <w:rPr>
          <w:spacing w:val="2"/>
          <w:lang w:eastAsia="en-AU"/>
        </w:rPr>
      </w:pPr>
      <w:r w:rsidRPr="00DE4728">
        <w:rPr>
          <w:spacing w:val="2"/>
          <w:lang w:eastAsia="en-AU"/>
        </w:rPr>
        <w:t xml:space="preserve">The CSR identified approaches to assessment as an area of general weakness with many teachers being unsure of how to approach assessment under the new curriculum.  The Literature Review noted that, </w:t>
      </w:r>
    </w:p>
    <w:p w14:paraId="523E4C14" w14:textId="77777777" w:rsidR="00AC362E" w:rsidRPr="007069A6" w:rsidRDefault="00AC362E" w:rsidP="00ED0631">
      <w:pPr>
        <w:spacing w:before="240"/>
        <w:ind w:left="567" w:right="521"/>
        <w:rPr>
          <w:i/>
          <w:lang w:eastAsia="en-AU"/>
        </w:rPr>
      </w:pPr>
      <w:r w:rsidRPr="007069A6">
        <w:rPr>
          <w:rFonts w:cstheme="minorHAnsi"/>
          <w:i/>
        </w:rPr>
        <w:t xml:space="preserve">Evidence suggests that </w:t>
      </w:r>
      <w:r w:rsidRPr="007069A6">
        <w:rPr>
          <w:rFonts w:eastAsia="Times New Roman" w:cstheme="minorHAnsi"/>
          <w:i/>
        </w:rPr>
        <w:t xml:space="preserve">the use of a diverse set of data-collection formats will yield a deeper and more meaningful understanding of what children know and are able to do. It is important </w:t>
      </w:r>
      <w:r w:rsidRPr="007069A6">
        <w:rPr>
          <w:rFonts w:cstheme="minorHAnsi"/>
          <w:i/>
        </w:rPr>
        <w:t xml:space="preserve">that both </w:t>
      </w:r>
      <w:r w:rsidRPr="007069A6">
        <w:rPr>
          <w:rFonts w:cstheme="minorHAnsi"/>
          <w:i/>
          <w:color w:val="000000"/>
        </w:rPr>
        <w:t>diagnostic formative and summative classroom assessments integrated to the learning and teaching cycle.</w:t>
      </w:r>
    </w:p>
    <w:p w14:paraId="3AF975C8" w14:textId="77777777" w:rsidR="00AC362E" w:rsidRPr="00DE4728" w:rsidRDefault="00AC362E" w:rsidP="00ED0631">
      <w:pPr>
        <w:spacing w:before="240"/>
        <w:rPr>
          <w:spacing w:val="2"/>
          <w:lang w:eastAsia="en-AU"/>
        </w:rPr>
      </w:pPr>
      <w:r w:rsidRPr="00DE4728">
        <w:rPr>
          <w:spacing w:val="2"/>
          <w:lang w:eastAsia="en-AU"/>
        </w:rPr>
        <w:t>The SED asked teachers about what approaches they used to for assessment (see Table 12). Portfolios were the anticipated response and were indeed identified by the largest number of teachers but tests and exams also featured heavily. The ranking of approaches was consistent across island types.</w:t>
      </w:r>
    </w:p>
    <w:tbl>
      <w:tblPr>
        <w:tblW w:w="9240" w:type="dxa"/>
        <w:tblInd w:w="93" w:type="dxa"/>
        <w:tblLook w:val="04A0" w:firstRow="1" w:lastRow="0" w:firstColumn="1" w:lastColumn="0" w:noHBand="0" w:noVBand="1"/>
      </w:tblPr>
      <w:tblGrid>
        <w:gridCol w:w="1426"/>
        <w:gridCol w:w="1248"/>
        <w:gridCol w:w="1263"/>
        <w:gridCol w:w="1263"/>
        <w:gridCol w:w="1574"/>
        <w:gridCol w:w="1233"/>
        <w:gridCol w:w="939"/>
        <w:gridCol w:w="294"/>
      </w:tblGrid>
      <w:tr w:rsidR="00AC362E" w:rsidRPr="009D5DF8" w14:paraId="15C52718" w14:textId="77777777" w:rsidTr="00ED0631">
        <w:trPr>
          <w:trHeight w:val="315"/>
        </w:trPr>
        <w:tc>
          <w:tcPr>
            <w:tcW w:w="9240" w:type="dxa"/>
            <w:gridSpan w:val="8"/>
            <w:tcBorders>
              <w:top w:val="nil"/>
              <w:left w:val="nil"/>
              <w:bottom w:val="nil"/>
              <w:right w:val="nil"/>
            </w:tcBorders>
            <w:shd w:val="clear" w:color="auto" w:fill="auto"/>
            <w:noWrap/>
            <w:vAlign w:val="bottom"/>
            <w:hideMark/>
          </w:tcPr>
          <w:p w14:paraId="0F283D52" w14:textId="77777777" w:rsidR="00AC362E" w:rsidRPr="00491EF1" w:rsidRDefault="00AC362E" w:rsidP="00ED0631">
            <w:pPr>
              <w:spacing w:after="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12: Approaches teachers used to judge the progress of children by island type</w:t>
            </w:r>
          </w:p>
        </w:tc>
      </w:tr>
      <w:tr w:rsidR="00AC362E" w:rsidRPr="00491EF1" w14:paraId="0CF314F8" w14:textId="77777777" w:rsidTr="00ED0631">
        <w:trPr>
          <w:gridAfter w:val="1"/>
          <w:wAfter w:w="294" w:type="dxa"/>
          <w:trHeight w:val="315"/>
        </w:trPr>
        <w:tc>
          <w:tcPr>
            <w:tcW w:w="1426" w:type="dxa"/>
            <w:tcBorders>
              <w:top w:val="single" w:sz="4" w:space="0" w:color="auto"/>
              <w:left w:val="nil"/>
              <w:bottom w:val="nil"/>
              <w:right w:val="nil"/>
            </w:tcBorders>
            <w:shd w:val="clear" w:color="auto" w:fill="auto"/>
            <w:noWrap/>
            <w:vAlign w:val="bottom"/>
            <w:hideMark/>
          </w:tcPr>
          <w:p w14:paraId="47796EF4"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48" w:type="dxa"/>
            <w:tcBorders>
              <w:top w:val="single" w:sz="4" w:space="0" w:color="auto"/>
              <w:left w:val="nil"/>
              <w:bottom w:val="single" w:sz="4" w:space="0" w:color="auto"/>
              <w:right w:val="nil"/>
            </w:tcBorders>
            <w:shd w:val="clear" w:color="auto" w:fill="auto"/>
            <w:noWrap/>
            <w:vAlign w:val="bottom"/>
            <w:hideMark/>
          </w:tcPr>
          <w:p w14:paraId="18A2591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Exams</w:t>
            </w:r>
          </w:p>
        </w:tc>
        <w:tc>
          <w:tcPr>
            <w:tcW w:w="1263" w:type="dxa"/>
            <w:tcBorders>
              <w:top w:val="single" w:sz="4" w:space="0" w:color="auto"/>
              <w:left w:val="nil"/>
              <w:bottom w:val="single" w:sz="4" w:space="0" w:color="auto"/>
              <w:right w:val="nil"/>
            </w:tcBorders>
            <w:shd w:val="clear" w:color="auto" w:fill="auto"/>
            <w:noWrap/>
            <w:vAlign w:val="bottom"/>
            <w:hideMark/>
          </w:tcPr>
          <w:p w14:paraId="273F8D2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Tests</w:t>
            </w:r>
          </w:p>
        </w:tc>
        <w:tc>
          <w:tcPr>
            <w:tcW w:w="1263" w:type="dxa"/>
            <w:tcBorders>
              <w:top w:val="single" w:sz="4" w:space="0" w:color="auto"/>
              <w:left w:val="nil"/>
              <w:bottom w:val="single" w:sz="4" w:space="0" w:color="auto"/>
              <w:right w:val="nil"/>
            </w:tcBorders>
            <w:shd w:val="clear" w:color="auto" w:fill="auto"/>
            <w:noWrap/>
            <w:vAlign w:val="bottom"/>
            <w:hideMark/>
          </w:tcPr>
          <w:p w14:paraId="4C17294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Portfolios</w:t>
            </w:r>
          </w:p>
        </w:tc>
        <w:tc>
          <w:tcPr>
            <w:tcW w:w="1574" w:type="dxa"/>
            <w:tcBorders>
              <w:top w:val="single" w:sz="4" w:space="0" w:color="auto"/>
              <w:left w:val="nil"/>
              <w:bottom w:val="single" w:sz="4" w:space="0" w:color="auto"/>
              <w:right w:val="nil"/>
            </w:tcBorders>
            <w:shd w:val="clear" w:color="auto" w:fill="auto"/>
            <w:noWrap/>
            <w:vAlign w:val="bottom"/>
            <w:hideMark/>
          </w:tcPr>
          <w:p w14:paraId="2F9731E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Observations</w:t>
            </w:r>
          </w:p>
        </w:tc>
        <w:tc>
          <w:tcPr>
            <w:tcW w:w="1233" w:type="dxa"/>
            <w:tcBorders>
              <w:top w:val="single" w:sz="4" w:space="0" w:color="auto"/>
              <w:left w:val="nil"/>
              <w:bottom w:val="single" w:sz="4" w:space="0" w:color="auto"/>
              <w:right w:val="nil"/>
            </w:tcBorders>
            <w:shd w:val="clear" w:color="auto" w:fill="auto"/>
            <w:noWrap/>
            <w:vAlign w:val="bottom"/>
            <w:hideMark/>
          </w:tcPr>
          <w:p w14:paraId="5663469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Just know</w:t>
            </w:r>
          </w:p>
        </w:tc>
        <w:tc>
          <w:tcPr>
            <w:tcW w:w="939" w:type="dxa"/>
            <w:tcBorders>
              <w:top w:val="single" w:sz="4" w:space="0" w:color="auto"/>
              <w:left w:val="nil"/>
              <w:bottom w:val="single" w:sz="4" w:space="0" w:color="auto"/>
              <w:right w:val="nil"/>
            </w:tcBorders>
            <w:shd w:val="clear" w:color="auto" w:fill="auto"/>
            <w:noWrap/>
            <w:vAlign w:val="bottom"/>
            <w:hideMark/>
          </w:tcPr>
          <w:p w14:paraId="3997BB24"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Other</w:t>
            </w:r>
          </w:p>
        </w:tc>
      </w:tr>
      <w:tr w:rsidR="00AC362E" w:rsidRPr="00491EF1" w14:paraId="0335D9EA" w14:textId="77777777" w:rsidTr="00ED0631">
        <w:trPr>
          <w:gridAfter w:val="1"/>
          <w:wAfter w:w="294" w:type="dxa"/>
          <w:trHeight w:val="315"/>
        </w:trPr>
        <w:tc>
          <w:tcPr>
            <w:tcW w:w="1426" w:type="dxa"/>
            <w:tcBorders>
              <w:top w:val="single" w:sz="4" w:space="0" w:color="auto"/>
              <w:left w:val="nil"/>
              <w:bottom w:val="nil"/>
              <w:right w:val="nil"/>
            </w:tcBorders>
            <w:shd w:val="clear" w:color="auto" w:fill="auto"/>
            <w:noWrap/>
            <w:vAlign w:val="bottom"/>
            <w:hideMark/>
          </w:tcPr>
          <w:p w14:paraId="64782D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1248" w:type="dxa"/>
            <w:tcBorders>
              <w:top w:val="nil"/>
              <w:left w:val="nil"/>
              <w:bottom w:val="nil"/>
              <w:right w:val="nil"/>
            </w:tcBorders>
            <w:shd w:val="clear" w:color="auto" w:fill="auto"/>
            <w:noWrap/>
            <w:vAlign w:val="bottom"/>
            <w:hideMark/>
          </w:tcPr>
          <w:p w14:paraId="71675BCB"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20</w:t>
            </w:r>
          </w:p>
        </w:tc>
        <w:tc>
          <w:tcPr>
            <w:tcW w:w="1263" w:type="dxa"/>
            <w:tcBorders>
              <w:top w:val="nil"/>
              <w:left w:val="nil"/>
              <w:bottom w:val="nil"/>
              <w:right w:val="nil"/>
            </w:tcBorders>
            <w:shd w:val="clear" w:color="auto" w:fill="auto"/>
            <w:noWrap/>
            <w:vAlign w:val="bottom"/>
            <w:hideMark/>
          </w:tcPr>
          <w:p w14:paraId="253965A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42</w:t>
            </w:r>
          </w:p>
        </w:tc>
        <w:tc>
          <w:tcPr>
            <w:tcW w:w="1263" w:type="dxa"/>
            <w:tcBorders>
              <w:top w:val="nil"/>
              <w:left w:val="nil"/>
              <w:bottom w:val="nil"/>
              <w:right w:val="nil"/>
            </w:tcBorders>
            <w:shd w:val="clear" w:color="auto" w:fill="auto"/>
            <w:noWrap/>
            <w:vAlign w:val="bottom"/>
            <w:hideMark/>
          </w:tcPr>
          <w:p w14:paraId="25FE32C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63</w:t>
            </w:r>
          </w:p>
        </w:tc>
        <w:tc>
          <w:tcPr>
            <w:tcW w:w="1574" w:type="dxa"/>
            <w:tcBorders>
              <w:top w:val="nil"/>
              <w:left w:val="nil"/>
              <w:bottom w:val="nil"/>
              <w:right w:val="nil"/>
            </w:tcBorders>
            <w:shd w:val="clear" w:color="auto" w:fill="auto"/>
            <w:noWrap/>
            <w:vAlign w:val="bottom"/>
            <w:hideMark/>
          </w:tcPr>
          <w:p w14:paraId="23EDE39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25</w:t>
            </w:r>
          </w:p>
        </w:tc>
        <w:tc>
          <w:tcPr>
            <w:tcW w:w="1233" w:type="dxa"/>
            <w:tcBorders>
              <w:top w:val="nil"/>
              <w:left w:val="nil"/>
              <w:bottom w:val="nil"/>
              <w:right w:val="nil"/>
            </w:tcBorders>
            <w:shd w:val="clear" w:color="auto" w:fill="auto"/>
            <w:noWrap/>
            <w:vAlign w:val="bottom"/>
            <w:hideMark/>
          </w:tcPr>
          <w:p w14:paraId="7840EAA6" w14:textId="77777777" w:rsidR="00AC362E" w:rsidRPr="00491EF1" w:rsidRDefault="00AC362E" w:rsidP="00ED0631">
            <w:pPr>
              <w:spacing w:after="0"/>
              <w:jc w:val="center"/>
              <w:rPr>
                <w:rFonts w:asciiTheme="majorHAnsi" w:eastAsia="Times New Roman" w:hAnsiTheme="majorHAnsi" w:cstheme="majorHAnsi"/>
                <w:color w:val="000000"/>
                <w:lang w:eastAsia="en-AU"/>
              </w:rPr>
            </w:pPr>
          </w:p>
        </w:tc>
        <w:tc>
          <w:tcPr>
            <w:tcW w:w="939" w:type="dxa"/>
            <w:tcBorders>
              <w:top w:val="nil"/>
              <w:left w:val="nil"/>
              <w:bottom w:val="nil"/>
              <w:right w:val="nil"/>
            </w:tcBorders>
            <w:shd w:val="clear" w:color="auto" w:fill="auto"/>
            <w:noWrap/>
            <w:vAlign w:val="bottom"/>
            <w:hideMark/>
          </w:tcPr>
          <w:p w14:paraId="6D76D77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29C67140" w14:textId="77777777" w:rsidTr="00ED0631">
        <w:trPr>
          <w:gridAfter w:val="1"/>
          <w:wAfter w:w="294" w:type="dxa"/>
          <w:trHeight w:val="315"/>
        </w:trPr>
        <w:tc>
          <w:tcPr>
            <w:tcW w:w="1426" w:type="dxa"/>
            <w:tcBorders>
              <w:top w:val="nil"/>
              <w:left w:val="nil"/>
              <w:bottom w:val="nil"/>
              <w:right w:val="nil"/>
            </w:tcBorders>
            <w:shd w:val="clear" w:color="auto" w:fill="auto"/>
            <w:noWrap/>
            <w:vAlign w:val="bottom"/>
            <w:hideMark/>
          </w:tcPr>
          <w:p w14:paraId="43F591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1248" w:type="dxa"/>
            <w:tcBorders>
              <w:top w:val="nil"/>
              <w:left w:val="nil"/>
              <w:bottom w:val="nil"/>
              <w:right w:val="nil"/>
            </w:tcBorders>
            <w:shd w:val="clear" w:color="auto" w:fill="auto"/>
            <w:noWrap/>
            <w:vAlign w:val="bottom"/>
            <w:hideMark/>
          </w:tcPr>
          <w:p w14:paraId="3ECC0A3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w:t>
            </w:r>
          </w:p>
        </w:tc>
        <w:tc>
          <w:tcPr>
            <w:tcW w:w="1263" w:type="dxa"/>
            <w:tcBorders>
              <w:top w:val="nil"/>
              <w:left w:val="nil"/>
              <w:bottom w:val="nil"/>
              <w:right w:val="nil"/>
            </w:tcBorders>
            <w:shd w:val="clear" w:color="auto" w:fill="auto"/>
            <w:noWrap/>
            <w:vAlign w:val="bottom"/>
            <w:hideMark/>
          </w:tcPr>
          <w:p w14:paraId="34B05E7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w:t>
            </w:r>
          </w:p>
        </w:tc>
        <w:tc>
          <w:tcPr>
            <w:tcW w:w="1263" w:type="dxa"/>
            <w:tcBorders>
              <w:top w:val="nil"/>
              <w:left w:val="nil"/>
              <w:bottom w:val="nil"/>
              <w:right w:val="nil"/>
            </w:tcBorders>
            <w:shd w:val="clear" w:color="auto" w:fill="auto"/>
            <w:noWrap/>
            <w:vAlign w:val="bottom"/>
            <w:hideMark/>
          </w:tcPr>
          <w:p w14:paraId="6D257C9B"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20</w:t>
            </w:r>
          </w:p>
        </w:tc>
        <w:tc>
          <w:tcPr>
            <w:tcW w:w="1574" w:type="dxa"/>
            <w:tcBorders>
              <w:top w:val="nil"/>
              <w:left w:val="nil"/>
              <w:bottom w:val="nil"/>
              <w:right w:val="nil"/>
            </w:tcBorders>
            <w:shd w:val="clear" w:color="auto" w:fill="auto"/>
            <w:noWrap/>
            <w:vAlign w:val="bottom"/>
            <w:hideMark/>
          </w:tcPr>
          <w:p w14:paraId="522A440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233" w:type="dxa"/>
            <w:tcBorders>
              <w:top w:val="nil"/>
              <w:left w:val="nil"/>
              <w:bottom w:val="nil"/>
              <w:right w:val="nil"/>
            </w:tcBorders>
            <w:shd w:val="clear" w:color="auto" w:fill="auto"/>
            <w:noWrap/>
            <w:vAlign w:val="bottom"/>
            <w:hideMark/>
          </w:tcPr>
          <w:p w14:paraId="3A8105A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39" w:type="dxa"/>
            <w:tcBorders>
              <w:top w:val="nil"/>
              <w:left w:val="nil"/>
              <w:bottom w:val="nil"/>
              <w:right w:val="nil"/>
            </w:tcBorders>
            <w:shd w:val="clear" w:color="auto" w:fill="auto"/>
            <w:noWrap/>
            <w:vAlign w:val="bottom"/>
            <w:hideMark/>
          </w:tcPr>
          <w:p w14:paraId="02C3BA15" w14:textId="77777777" w:rsidR="00AC362E" w:rsidRPr="00491EF1" w:rsidRDefault="00AC362E" w:rsidP="00ED0631">
            <w:pPr>
              <w:spacing w:after="0"/>
              <w:jc w:val="center"/>
              <w:rPr>
                <w:rFonts w:asciiTheme="majorHAnsi" w:eastAsia="Times New Roman" w:hAnsiTheme="majorHAnsi" w:cstheme="majorHAnsi"/>
                <w:color w:val="000000"/>
                <w:lang w:eastAsia="en-AU"/>
              </w:rPr>
            </w:pPr>
          </w:p>
        </w:tc>
      </w:tr>
      <w:tr w:rsidR="00AC362E" w:rsidRPr="00491EF1" w14:paraId="0739F353" w14:textId="77777777" w:rsidTr="00ED0631">
        <w:trPr>
          <w:gridAfter w:val="1"/>
          <w:wAfter w:w="294" w:type="dxa"/>
          <w:trHeight w:val="315"/>
        </w:trPr>
        <w:tc>
          <w:tcPr>
            <w:tcW w:w="1426" w:type="dxa"/>
            <w:tcBorders>
              <w:top w:val="nil"/>
              <w:left w:val="nil"/>
              <w:bottom w:val="nil"/>
              <w:right w:val="nil"/>
            </w:tcBorders>
            <w:shd w:val="clear" w:color="auto" w:fill="auto"/>
            <w:noWrap/>
            <w:vAlign w:val="bottom"/>
            <w:hideMark/>
          </w:tcPr>
          <w:p w14:paraId="3CF371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1248" w:type="dxa"/>
            <w:tcBorders>
              <w:top w:val="nil"/>
              <w:left w:val="nil"/>
              <w:bottom w:val="nil"/>
              <w:right w:val="nil"/>
            </w:tcBorders>
            <w:shd w:val="clear" w:color="auto" w:fill="auto"/>
            <w:noWrap/>
            <w:vAlign w:val="bottom"/>
            <w:hideMark/>
          </w:tcPr>
          <w:p w14:paraId="6264961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60</w:t>
            </w:r>
          </w:p>
        </w:tc>
        <w:tc>
          <w:tcPr>
            <w:tcW w:w="1263" w:type="dxa"/>
            <w:tcBorders>
              <w:top w:val="nil"/>
              <w:left w:val="nil"/>
              <w:bottom w:val="nil"/>
              <w:right w:val="nil"/>
            </w:tcBorders>
            <w:shd w:val="clear" w:color="auto" w:fill="auto"/>
            <w:noWrap/>
            <w:vAlign w:val="bottom"/>
            <w:hideMark/>
          </w:tcPr>
          <w:p w14:paraId="47DF940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c>
          <w:tcPr>
            <w:tcW w:w="1263" w:type="dxa"/>
            <w:tcBorders>
              <w:top w:val="nil"/>
              <w:left w:val="nil"/>
              <w:bottom w:val="nil"/>
              <w:right w:val="nil"/>
            </w:tcBorders>
            <w:shd w:val="clear" w:color="auto" w:fill="auto"/>
            <w:noWrap/>
            <w:vAlign w:val="bottom"/>
            <w:hideMark/>
          </w:tcPr>
          <w:p w14:paraId="673F956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85</w:t>
            </w:r>
          </w:p>
        </w:tc>
        <w:tc>
          <w:tcPr>
            <w:tcW w:w="1574" w:type="dxa"/>
            <w:tcBorders>
              <w:top w:val="nil"/>
              <w:left w:val="nil"/>
              <w:bottom w:val="nil"/>
              <w:right w:val="nil"/>
            </w:tcBorders>
            <w:shd w:val="clear" w:color="auto" w:fill="auto"/>
            <w:noWrap/>
            <w:vAlign w:val="bottom"/>
            <w:hideMark/>
          </w:tcPr>
          <w:p w14:paraId="0D548D9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45</w:t>
            </w:r>
          </w:p>
        </w:tc>
        <w:tc>
          <w:tcPr>
            <w:tcW w:w="1233" w:type="dxa"/>
            <w:tcBorders>
              <w:top w:val="nil"/>
              <w:left w:val="nil"/>
              <w:bottom w:val="nil"/>
              <w:right w:val="nil"/>
            </w:tcBorders>
            <w:shd w:val="clear" w:color="auto" w:fill="auto"/>
            <w:noWrap/>
            <w:vAlign w:val="bottom"/>
            <w:hideMark/>
          </w:tcPr>
          <w:p w14:paraId="7FC840D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39" w:type="dxa"/>
            <w:tcBorders>
              <w:top w:val="nil"/>
              <w:left w:val="nil"/>
              <w:bottom w:val="nil"/>
              <w:right w:val="nil"/>
            </w:tcBorders>
            <w:shd w:val="clear" w:color="auto" w:fill="auto"/>
            <w:noWrap/>
            <w:vAlign w:val="bottom"/>
            <w:hideMark/>
          </w:tcPr>
          <w:p w14:paraId="406BEB9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r>
      <w:tr w:rsidR="00AC362E" w:rsidRPr="00491EF1" w14:paraId="1F5C6AD7" w14:textId="77777777" w:rsidTr="00ED0631">
        <w:trPr>
          <w:gridAfter w:val="1"/>
          <w:wAfter w:w="294" w:type="dxa"/>
          <w:trHeight w:val="315"/>
        </w:trPr>
        <w:tc>
          <w:tcPr>
            <w:tcW w:w="1426" w:type="dxa"/>
            <w:tcBorders>
              <w:top w:val="single" w:sz="4" w:space="0" w:color="auto"/>
              <w:left w:val="nil"/>
              <w:bottom w:val="single" w:sz="4" w:space="0" w:color="auto"/>
              <w:right w:val="nil"/>
            </w:tcBorders>
            <w:shd w:val="clear" w:color="auto" w:fill="auto"/>
            <w:noWrap/>
            <w:vAlign w:val="bottom"/>
            <w:hideMark/>
          </w:tcPr>
          <w:p w14:paraId="553867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Total </w:t>
            </w:r>
          </w:p>
        </w:tc>
        <w:tc>
          <w:tcPr>
            <w:tcW w:w="1248" w:type="dxa"/>
            <w:tcBorders>
              <w:top w:val="single" w:sz="4" w:space="0" w:color="auto"/>
              <w:left w:val="nil"/>
              <w:bottom w:val="single" w:sz="4" w:space="0" w:color="auto"/>
              <w:right w:val="nil"/>
            </w:tcBorders>
            <w:shd w:val="clear" w:color="auto" w:fill="auto"/>
            <w:noWrap/>
            <w:vAlign w:val="bottom"/>
            <w:hideMark/>
          </w:tcPr>
          <w:p w14:paraId="6FD85A3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90</w:t>
            </w:r>
          </w:p>
        </w:tc>
        <w:tc>
          <w:tcPr>
            <w:tcW w:w="1263" w:type="dxa"/>
            <w:tcBorders>
              <w:top w:val="single" w:sz="4" w:space="0" w:color="auto"/>
              <w:left w:val="nil"/>
              <w:bottom w:val="single" w:sz="4" w:space="0" w:color="auto"/>
              <w:right w:val="nil"/>
            </w:tcBorders>
            <w:shd w:val="clear" w:color="auto" w:fill="auto"/>
            <w:noWrap/>
            <w:vAlign w:val="bottom"/>
            <w:hideMark/>
          </w:tcPr>
          <w:p w14:paraId="5A0AB16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112</w:t>
            </w:r>
          </w:p>
        </w:tc>
        <w:tc>
          <w:tcPr>
            <w:tcW w:w="1263" w:type="dxa"/>
            <w:tcBorders>
              <w:top w:val="single" w:sz="4" w:space="0" w:color="auto"/>
              <w:left w:val="nil"/>
              <w:bottom w:val="single" w:sz="4" w:space="0" w:color="auto"/>
              <w:right w:val="nil"/>
            </w:tcBorders>
            <w:shd w:val="clear" w:color="auto" w:fill="auto"/>
            <w:noWrap/>
            <w:vAlign w:val="bottom"/>
            <w:hideMark/>
          </w:tcPr>
          <w:p w14:paraId="67455F5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168</w:t>
            </w:r>
          </w:p>
        </w:tc>
        <w:tc>
          <w:tcPr>
            <w:tcW w:w="1574" w:type="dxa"/>
            <w:tcBorders>
              <w:top w:val="single" w:sz="4" w:space="0" w:color="auto"/>
              <w:left w:val="nil"/>
              <w:bottom w:val="single" w:sz="4" w:space="0" w:color="auto"/>
              <w:right w:val="nil"/>
            </w:tcBorders>
            <w:shd w:val="clear" w:color="auto" w:fill="auto"/>
            <w:noWrap/>
            <w:vAlign w:val="bottom"/>
            <w:hideMark/>
          </w:tcPr>
          <w:p w14:paraId="6B68588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75</w:t>
            </w:r>
          </w:p>
        </w:tc>
        <w:tc>
          <w:tcPr>
            <w:tcW w:w="1233" w:type="dxa"/>
            <w:tcBorders>
              <w:top w:val="single" w:sz="4" w:space="0" w:color="auto"/>
              <w:left w:val="nil"/>
              <w:bottom w:val="single" w:sz="4" w:space="0" w:color="auto"/>
              <w:right w:val="nil"/>
            </w:tcBorders>
            <w:shd w:val="clear" w:color="auto" w:fill="auto"/>
            <w:noWrap/>
            <w:vAlign w:val="bottom"/>
            <w:hideMark/>
          </w:tcPr>
          <w:p w14:paraId="1D19733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39" w:type="dxa"/>
            <w:tcBorders>
              <w:top w:val="single" w:sz="4" w:space="0" w:color="auto"/>
              <w:left w:val="nil"/>
              <w:bottom w:val="single" w:sz="4" w:space="0" w:color="auto"/>
              <w:right w:val="nil"/>
            </w:tcBorders>
            <w:shd w:val="clear" w:color="auto" w:fill="auto"/>
            <w:noWrap/>
            <w:vAlign w:val="bottom"/>
            <w:hideMark/>
          </w:tcPr>
          <w:p w14:paraId="74669B3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r>
    </w:tbl>
    <w:p w14:paraId="377B6AE2" w14:textId="77777777" w:rsidR="00AC362E" w:rsidRPr="000823BD" w:rsidRDefault="00AC362E" w:rsidP="00ED0631">
      <w:pPr>
        <w:spacing w:before="240"/>
        <w:rPr>
          <w:lang w:eastAsia="en-AU"/>
        </w:rPr>
      </w:pPr>
      <w:r>
        <w:rPr>
          <w:lang w:eastAsia="en-AU"/>
        </w:rPr>
        <w:t xml:space="preserve">The CSR noted some excellent examples of portfolio approaches with </w:t>
      </w:r>
      <w:r w:rsidRPr="00AC403B">
        <w:rPr>
          <w:i/>
          <w:lang w:eastAsia="en-AU"/>
        </w:rPr>
        <w:t>Abaunamou School</w:t>
      </w:r>
      <w:r>
        <w:rPr>
          <w:lang w:eastAsia="en-AU"/>
        </w:rPr>
        <w:t xml:space="preserve"> being the stand-out example of a school that had seriously adopted the approach. In this school portfolios </w:t>
      </w:r>
      <w:r w:rsidRPr="00053469">
        <w:rPr>
          <w:lang w:eastAsia="en-AU"/>
        </w:rPr>
        <w:t>contain</w:t>
      </w:r>
      <w:r>
        <w:rPr>
          <w:lang w:eastAsia="en-AU"/>
        </w:rPr>
        <w:t>ed</w:t>
      </w:r>
      <w:r w:rsidRPr="00053469">
        <w:rPr>
          <w:lang w:eastAsia="en-AU"/>
        </w:rPr>
        <w:t xml:space="preserve"> statements about the student</w:t>
      </w:r>
      <w:r>
        <w:rPr>
          <w:lang w:eastAsia="en-AU"/>
        </w:rPr>
        <w:t>’</w:t>
      </w:r>
      <w:r w:rsidRPr="00053469">
        <w:rPr>
          <w:lang w:eastAsia="en-AU"/>
        </w:rPr>
        <w:t>s dreams and hobbies, various assessment information and also details of any interve</w:t>
      </w:r>
      <w:r>
        <w:rPr>
          <w:lang w:eastAsia="en-AU"/>
        </w:rPr>
        <w:t xml:space="preserve">ntions made with that student. </w:t>
      </w:r>
      <w:r w:rsidRPr="00053469">
        <w:rPr>
          <w:lang w:eastAsia="en-AU"/>
        </w:rPr>
        <w:t xml:space="preserve">There </w:t>
      </w:r>
      <w:r>
        <w:rPr>
          <w:lang w:eastAsia="en-AU"/>
        </w:rPr>
        <w:t>we</w:t>
      </w:r>
      <w:r w:rsidRPr="00053469">
        <w:rPr>
          <w:lang w:eastAsia="en-AU"/>
        </w:rPr>
        <w:t>re charts and a checklist.</w:t>
      </w:r>
      <w:r>
        <w:rPr>
          <w:lang w:eastAsia="en-AU"/>
        </w:rPr>
        <w:t xml:space="preserve"> </w:t>
      </w:r>
      <w:r w:rsidRPr="00053469">
        <w:rPr>
          <w:lang w:eastAsia="en-AU"/>
        </w:rPr>
        <w:t xml:space="preserve">The interventions </w:t>
      </w:r>
      <w:r>
        <w:rPr>
          <w:lang w:eastAsia="en-AU"/>
        </w:rPr>
        <w:t>we</w:t>
      </w:r>
      <w:r w:rsidRPr="00053469">
        <w:rPr>
          <w:lang w:eastAsia="en-AU"/>
        </w:rPr>
        <w:t xml:space="preserve">re especially </w:t>
      </w:r>
      <w:r>
        <w:rPr>
          <w:lang w:eastAsia="en-AU"/>
        </w:rPr>
        <w:t xml:space="preserve">used </w:t>
      </w:r>
      <w:r w:rsidRPr="00053469">
        <w:rPr>
          <w:lang w:eastAsia="en-AU"/>
        </w:rPr>
        <w:t xml:space="preserve">for those who </w:t>
      </w:r>
      <w:r>
        <w:rPr>
          <w:lang w:eastAsia="en-AU"/>
        </w:rPr>
        <w:t>missed classes</w:t>
      </w:r>
      <w:r w:rsidRPr="00053469">
        <w:rPr>
          <w:lang w:eastAsia="en-AU"/>
        </w:rPr>
        <w:t xml:space="preserve"> so they can catch up.</w:t>
      </w:r>
      <w:r>
        <w:rPr>
          <w:lang w:eastAsia="en-AU"/>
        </w:rPr>
        <w:t xml:space="preserve"> However, even in </w:t>
      </w:r>
      <w:r w:rsidRPr="00AC403B">
        <w:rPr>
          <w:i/>
          <w:lang w:eastAsia="en-AU"/>
        </w:rPr>
        <w:t>Abaunamou School</w:t>
      </w:r>
      <w:r>
        <w:rPr>
          <w:lang w:eastAsia="en-AU"/>
        </w:rPr>
        <w:t xml:space="preserve">, not all teachers were using portfolios. Most teachers across schools also applied checklists either as part of a portfolio or as a stand-alone assessment tool. Most teachers were also marking work in student workbooks and providing feedback on performance in that way. </w:t>
      </w:r>
    </w:p>
    <w:p w14:paraId="14C04376" w14:textId="77777777" w:rsidR="00AC362E" w:rsidRDefault="00AC362E" w:rsidP="00ED0631">
      <w:pPr>
        <w:rPr>
          <w:lang w:eastAsia="en-AU"/>
        </w:rPr>
      </w:pPr>
      <w:r>
        <w:rPr>
          <w:lang w:eastAsia="en-AU"/>
        </w:rPr>
        <w:t>Many teachers were highly supportive of the value of portfolios and checklists. As one teacher explained “</w:t>
      </w:r>
      <w:r w:rsidRPr="004F68F3">
        <w:rPr>
          <w:i/>
          <w:lang w:eastAsia="en-AU"/>
        </w:rPr>
        <w:t>students are relaxed, not panicked or disturbed…they carry out their work activities without noticing they are being assessed</w:t>
      </w:r>
      <w:r>
        <w:rPr>
          <w:lang w:eastAsia="en-AU"/>
        </w:rPr>
        <w:t>”</w:t>
      </w:r>
      <w:r w:rsidRPr="00594C49">
        <w:rPr>
          <w:lang w:eastAsia="en-AU"/>
        </w:rPr>
        <w:t>.</w:t>
      </w:r>
    </w:p>
    <w:p w14:paraId="2EE8B3CD" w14:textId="77777777" w:rsidR="00AC362E" w:rsidRDefault="00AC362E" w:rsidP="00ED0631">
      <w:pPr>
        <w:spacing w:before="240"/>
        <w:rPr>
          <w:rFonts w:cs="Arial"/>
        </w:rPr>
      </w:pPr>
      <w:r>
        <w:rPr>
          <w:rFonts w:cs="Arial"/>
        </w:rPr>
        <w:t>On the other hand, a number of Teachers and some School Leaders expressed concern that the portfolio approach was not well understood in the community. They reported that parents often requested exam results which they saw as more reliable and easily understood measures of their child’s performance.  This theme is explicitly noted in the Literature Review which commented both on assessments’ role in informing parents and also involving parents. It noted,</w:t>
      </w:r>
    </w:p>
    <w:p w14:paraId="30468036" w14:textId="1DA31A21" w:rsidR="00DE4728" w:rsidRDefault="00AC362E" w:rsidP="00ED0631">
      <w:pPr>
        <w:spacing w:before="240"/>
        <w:ind w:left="567" w:right="521"/>
        <w:rPr>
          <w:rFonts w:cstheme="minorHAnsi"/>
          <w:i/>
        </w:rPr>
      </w:pPr>
      <w:r>
        <w:rPr>
          <w:rFonts w:cstheme="minorHAnsi"/>
          <w:i/>
        </w:rPr>
        <w:t>“</w:t>
      </w:r>
      <w:r w:rsidRPr="003432EB">
        <w:rPr>
          <w:rFonts w:cstheme="minorHAnsi"/>
          <w:i/>
        </w:rPr>
        <w:t>Parents and carers need clear information about assessment, when it takes place and by whom, and how the information will be shared with them, both formally and informally</w:t>
      </w:r>
      <w:r>
        <w:rPr>
          <w:rFonts w:cstheme="minorHAnsi"/>
          <w:i/>
        </w:rPr>
        <w:t>”</w:t>
      </w:r>
      <w:r w:rsidRPr="003432EB">
        <w:rPr>
          <w:rFonts w:cstheme="minorHAnsi"/>
          <w:i/>
        </w:rPr>
        <w:t>.</w:t>
      </w:r>
    </w:p>
    <w:p w14:paraId="152E3391" w14:textId="77777777" w:rsidR="00DE4728" w:rsidRDefault="00DE4728">
      <w:pPr>
        <w:spacing w:line="276" w:lineRule="auto"/>
        <w:rPr>
          <w:rFonts w:cstheme="minorHAnsi"/>
          <w:i/>
        </w:rPr>
      </w:pPr>
      <w:r>
        <w:rPr>
          <w:rFonts w:cstheme="minorHAnsi"/>
          <w:i/>
        </w:rPr>
        <w:br w:type="page"/>
      </w:r>
    </w:p>
    <w:p w14:paraId="1BB16F10" w14:textId="77777777" w:rsidR="00AC362E" w:rsidRPr="0072514B" w:rsidRDefault="00AC362E" w:rsidP="00ED0631">
      <w:pPr>
        <w:pStyle w:val="Heading2"/>
      </w:pPr>
      <w:bookmarkStart w:id="143" w:name="_Toc461615761"/>
      <w:r>
        <w:lastRenderedPageBreak/>
        <w:t>6.2</w:t>
      </w:r>
      <w:r>
        <w:tab/>
      </w:r>
      <w:r w:rsidRPr="0072514B">
        <w:t>School Leadership and Management</w:t>
      </w:r>
      <w:bookmarkEnd w:id="143"/>
    </w:p>
    <w:p w14:paraId="00FE6B51" w14:textId="77777777" w:rsidR="00AC362E" w:rsidRPr="00DE4728" w:rsidRDefault="00AC362E" w:rsidP="00ED0631">
      <w:pPr>
        <w:spacing w:before="240"/>
        <w:rPr>
          <w:rFonts w:cs="Arial"/>
          <w:spacing w:val="2"/>
        </w:rPr>
      </w:pPr>
      <w:r w:rsidRPr="00DE4728">
        <w:rPr>
          <w:rFonts w:cs="Arial"/>
          <w:spacing w:val="2"/>
        </w:rPr>
        <w:t>Case Studies revealed that School Leaders could broadly be divided into two types, those who had a full-time teaching load, and those who occupied a full-time management role. Generally the larger the school the less teaching the School Leader was involved with, although several examples of School Leaders in large schools who also taught some classes were noted. It can be assumed that School Leaders who had full-time teaching loads had less opportunity to manage and mentor teacher performance.</w:t>
      </w:r>
    </w:p>
    <w:p w14:paraId="3B67C63D" w14:textId="77777777" w:rsidR="00AC362E" w:rsidRDefault="00AC362E" w:rsidP="00ED0631">
      <w:pPr>
        <w:pStyle w:val="Heading3"/>
        <w:rPr>
          <w:rFonts w:eastAsia="Times New Roman"/>
          <w:lang w:eastAsia="en-AU"/>
        </w:rPr>
      </w:pPr>
      <w:bookmarkStart w:id="144" w:name="_Toc461615762"/>
      <w:r>
        <w:rPr>
          <w:rFonts w:eastAsia="Times New Roman"/>
          <w:lang w:eastAsia="en-AU"/>
        </w:rPr>
        <w:t>6.2.1</w:t>
      </w:r>
      <w:r>
        <w:rPr>
          <w:rFonts w:eastAsia="Times New Roman"/>
          <w:lang w:eastAsia="en-AU"/>
        </w:rPr>
        <w:tab/>
      </w:r>
      <w:r w:rsidRPr="00533187">
        <w:rPr>
          <w:rFonts w:eastAsia="Times New Roman"/>
          <w:lang w:eastAsia="en-AU"/>
        </w:rPr>
        <w:t xml:space="preserve">Interactions between </w:t>
      </w:r>
      <w:r>
        <w:rPr>
          <w:rFonts w:eastAsia="Times New Roman"/>
          <w:lang w:eastAsia="en-AU"/>
        </w:rPr>
        <w:t>School Leader</w:t>
      </w:r>
      <w:r w:rsidRPr="00533187">
        <w:rPr>
          <w:rFonts w:eastAsia="Times New Roman"/>
          <w:lang w:eastAsia="en-AU"/>
        </w:rPr>
        <w:t>s and teachers</w:t>
      </w:r>
      <w:bookmarkEnd w:id="144"/>
    </w:p>
    <w:p w14:paraId="172CD467" w14:textId="77777777" w:rsidR="00AC362E" w:rsidRDefault="00AC362E" w:rsidP="00ED0631">
      <w:pPr>
        <w:spacing w:before="240"/>
        <w:rPr>
          <w:lang w:eastAsia="en-AU"/>
        </w:rPr>
      </w:pPr>
      <w:r>
        <w:rPr>
          <w:lang w:eastAsia="en-AU"/>
        </w:rPr>
        <w:t>Teachers who answered SED questionnaires were asked to estimate in minutes the amount of time they had had in one on one involvement with School Leaders over a ten day period (</w:t>
      </w:r>
      <w:r w:rsidRPr="000D6F3A">
        <w:rPr>
          <w:lang w:eastAsia="en-AU"/>
        </w:rPr>
        <w:t xml:space="preserve">see </w:t>
      </w:r>
      <w:r w:rsidRPr="000D6F3A">
        <w:rPr>
          <w:i/>
          <w:lang w:eastAsia="en-AU"/>
        </w:rPr>
        <w:t>Table 13</w:t>
      </w:r>
      <w:r w:rsidRPr="000D6F3A">
        <w:rPr>
          <w:lang w:eastAsia="en-AU"/>
        </w:rPr>
        <w:t>). In</w:t>
      </w:r>
      <w:r>
        <w:rPr>
          <w:lang w:eastAsia="en-AU"/>
        </w:rPr>
        <w:t xml:space="preserve"> order of importance teachers reported the most time being spent on discussing: ‘</w:t>
      </w:r>
      <w:r w:rsidRPr="00AC403B">
        <w:rPr>
          <w:i/>
          <w:lang w:eastAsia="en-AU"/>
        </w:rPr>
        <w:t xml:space="preserve">Student Performance’, ‘Lesson Plans’, ‘Assessment in Lesson Plans’, </w:t>
      </w:r>
      <w:r w:rsidRPr="00AC403B">
        <w:rPr>
          <w:lang w:eastAsia="en-AU"/>
        </w:rPr>
        <w:t>and</w:t>
      </w:r>
      <w:r w:rsidRPr="00AC403B">
        <w:rPr>
          <w:i/>
          <w:lang w:eastAsia="en-AU"/>
        </w:rPr>
        <w:t xml:space="preserve"> ‘Professional Development Needs for being a Better Teacher’</w:t>
      </w:r>
      <w:r>
        <w:rPr>
          <w:lang w:eastAsia="en-AU"/>
        </w:rPr>
        <w:t>. On average, based on 204 teacher’s responses, School Leaders spent 97 minutes with each teacher over the 10 day period. Teachers in small islands had the least time with School leaders, 62 minutes on average while in large islands the average was 108 minutes. In South Tarawa the average was 98 minutes. Time spent with teachers is likely to be related to whether School Leaders have a full-time teaching load.</w:t>
      </w:r>
    </w:p>
    <w:p w14:paraId="2DDD21E0" w14:textId="77777777" w:rsidR="00AC362E" w:rsidRPr="00491EF1" w:rsidRDefault="00AC362E" w:rsidP="00ED0631">
      <w:pPr>
        <w:spacing w:after="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13: Average School Leader-Teacher engagement time (min) in the last 10 days by island type</w:t>
      </w:r>
    </w:p>
    <w:tbl>
      <w:tblPr>
        <w:tblW w:w="8745" w:type="dxa"/>
        <w:tblInd w:w="93" w:type="dxa"/>
        <w:tblLook w:val="04A0" w:firstRow="1" w:lastRow="0" w:firstColumn="1" w:lastColumn="0" w:noHBand="0" w:noVBand="1"/>
      </w:tblPr>
      <w:tblGrid>
        <w:gridCol w:w="1289"/>
        <w:gridCol w:w="1399"/>
        <w:gridCol w:w="1418"/>
        <w:gridCol w:w="1310"/>
        <w:gridCol w:w="978"/>
        <w:gridCol w:w="1418"/>
        <w:gridCol w:w="950"/>
      </w:tblGrid>
      <w:tr w:rsidR="00AC362E" w:rsidRPr="00491EF1" w14:paraId="3F3E4DFD" w14:textId="77777777" w:rsidTr="00ED0631">
        <w:trPr>
          <w:trHeight w:val="315"/>
        </w:trPr>
        <w:tc>
          <w:tcPr>
            <w:tcW w:w="1289" w:type="dxa"/>
            <w:tcBorders>
              <w:top w:val="single" w:sz="4" w:space="0" w:color="auto"/>
              <w:left w:val="nil"/>
              <w:bottom w:val="nil"/>
              <w:right w:val="nil"/>
            </w:tcBorders>
            <w:shd w:val="clear" w:color="auto" w:fill="auto"/>
            <w:noWrap/>
            <w:vAlign w:val="bottom"/>
            <w:hideMark/>
          </w:tcPr>
          <w:p w14:paraId="1769598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99" w:type="dxa"/>
            <w:tcBorders>
              <w:top w:val="single" w:sz="4" w:space="0" w:color="auto"/>
              <w:left w:val="nil"/>
              <w:bottom w:val="single" w:sz="4" w:space="0" w:color="auto"/>
              <w:right w:val="nil"/>
            </w:tcBorders>
            <w:shd w:val="clear" w:color="auto" w:fill="auto"/>
            <w:noWrap/>
            <w:vAlign w:val="bottom"/>
            <w:hideMark/>
          </w:tcPr>
          <w:p w14:paraId="3F9C710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Student Performance</w:t>
            </w:r>
          </w:p>
        </w:tc>
        <w:tc>
          <w:tcPr>
            <w:tcW w:w="1418" w:type="dxa"/>
            <w:tcBorders>
              <w:top w:val="single" w:sz="4" w:space="0" w:color="auto"/>
              <w:left w:val="nil"/>
              <w:bottom w:val="single" w:sz="4" w:space="0" w:color="auto"/>
              <w:right w:val="nil"/>
            </w:tcBorders>
            <w:shd w:val="clear" w:color="auto" w:fill="auto"/>
            <w:noWrap/>
            <w:vAlign w:val="bottom"/>
            <w:hideMark/>
          </w:tcPr>
          <w:p w14:paraId="6FA7E87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Classroom Management</w:t>
            </w:r>
          </w:p>
        </w:tc>
        <w:tc>
          <w:tcPr>
            <w:tcW w:w="1310" w:type="dxa"/>
            <w:tcBorders>
              <w:top w:val="single" w:sz="4" w:space="0" w:color="auto"/>
              <w:left w:val="nil"/>
              <w:bottom w:val="single" w:sz="4" w:space="0" w:color="auto"/>
              <w:right w:val="nil"/>
            </w:tcBorders>
            <w:shd w:val="clear" w:color="auto" w:fill="auto"/>
            <w:noWrap/>
            <w:vAlign w:val="bottom"/>
            <w:hideMark/>
          </w:tcPr>
          <w:p w14:paraId="178ED4E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Teacher Conduct</w:t>
            </w:r>
          </w:p>
        </w:tc>
        <w:tc>
          <w:tcPr>
            <w:tcW w:w="978" w:type="dxa"/>
            <w:tcBorders>
              <w:top w:val="single" w:sz="4" w:space="0" w:color="auto"/>
              <w:left w:val="nil"/>
              <w:bottom w:val="single" w:sz="4" w:space="0" w:color="auto"/>
              <w:right w:val="nil"/>
            </w:tcBorders>
            <w:shd w:val="clear" w:color="auto" w:fill="auto"/>
            <w:noWrap/>
            <w:vAlign w:val="bottom"/>
            <w:hideMark/>
          </w:tcPr>
          <w:p w14:paraId="5D8BA04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Lesson Plans</w:t>
            </w:r>
          </w:p>
        </w:tc>
        <w:tc>
          <w:tcPr>
            <w:tcW w:w="1418" w:type="dxa"/>
            <w:tcBorders>
              <w:top w:val="single" w:sz="4" w:space="0" w:color="auto"/>
              <w:left w:val="nil"/>
              <w:bottom w:val="single" w:sz="4" w:space="0" w:color="auto"/>
              <w:right w:val="nil"/>
            </w:tcBorders>
            <w:shd w:val="clear" w:color="auto" w:fill="auto"/>
            <w:noWrap/>
            <w:vAlign w:val="bottom"/>
            <w:hideMark/>
          </w:tcPr>
          <w:p w14:paraId="50909A4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Assessment</w:t>
            </w:r>
          </w:p>
        </w:tc>
        <w:tc>
          <w:tcPr>
            <w:tcW w:w="933" w:type="dxa"/>
            <w:tcBorders>
              <w:top w:val="single" w:sz="4" w:space="0" w:color="auto"/>
              <w:left w:val="nil"/>
              <w:bottom w:val="single" w:sz="4" w:space="0" w:color="auto"/>
              <w:right w:val="nil"/>
            </w:tcBorders>
            <w:shd w:val="clear" w:color="auto" w:fill="auto"/>
            <w:noWrap/>
            <w:vAlign w:val="bottom"/>
            <w:hideMark/>
          </w:tcPr>
          <w:p w14:paraId="567AC75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Better Teacher</w:t>
            </w:r>
          </w:p>
        </w:tc>
      </w:tr>
      <w:tr w:rsidR="00AC362E" w:rsidRPr="00491EF1" w14:paraId="2FBE1302" w14:textId="77777777" w:rsidTr="00ED0631">
        <w:trPr>
          <w:trHeight w:val="315"/>
        </w:trPr>
        <w:tc>
          <w:tcPr>
            <w:tcW w:w="1289" w:type="dxa"/>
            <w:tcBorders>
              <w:top w:val="single" w:sz="4" w:space="0" w:color="auto"/>
              <w:left w:val="nil"/>
              <w:bottom w:val="nil"/>
              <w:right w:val="nil"/>
            </w:tcBorders>
            <w:shd w:val="clear" w:color="auto" w:fill="auto"/>
            <w:noWrap/>
            <w:vAlign w:val="bottom"/>
            <w:hideMark/>
          </w:tcPr>
          <w:p w14:paraId="5442C6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1399" w:type="dxa"/>
            <w:tcBorders>
              <w:top w:val="nil"/>
              <w:left w:val="nil"/>
              <w:bottom w:val="nil"/>
              <w:right w:val="nil"/>
            </w:tcBorders>
            <w:shd w:val="clear" w:color="auto" w:fill="auto"/>
            <w:noWrap/>
            <w:vAlign w:val="bottom"/>
            <w:hideMark/>
          </w:tcPr>
          <w:p w14:paraId="20CB525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31.7</w:t>
            </w:r>
          </w:p>
        </w:tc>
        <w:tc>
          <w:tcPr>
            <w:tcW w:w="1418" w:type="dxa"/>
            <w:tcBorders>
              <w:top w:val="nil"/>
              <w:left w:val="nil"/>
              <w:bottom w:val="nil"/>
              <w:right w:val="nil"/>
            </w:tcBorders>
            <w:shd w:val="clear" w:color="auto" w:fill="auto"/>
            <w:noWrap/>
            <w:vAlign w:val="bottom"/>
            <w:hideMark/>
          </w:tcPr>
          <w:p w14:paraId="3323193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10.2</w:t>
            </w:r>
          </w:p>
        </w:tc>
        <w:tc>
          <w:tcPr>
            <w:tcW w:w="1310" w:type="dxa"/>
            <w:tcBorders>
              <w:top w:val="nil"/>
              <w:left w:val="nil"/>
              <w:bottom w:val="nil"/>
              <w:right w:val="nil"/>
            </w:tcBorders>
            <w:shd w:val="clear" w:color="auto" w:fill="auto"/>
            <w:noWrap/>
            <w:vAlign w:val="bottom"/>
            <w:hideMark/>
          </w:tcPr>
          <w:p w14:paraId="648A461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12.5</w:t>
            </w:r>
          </w:p>
        </w:tc>
        <w:tc>
          <w:tcPr>
            <w:tcW w:w="978" w:type="dxa"/>
            <w:tcBorders>
              <w:top w:val="nil"/>
              <w:left w:val="nil"/>
              <w:bottom w:val="nil"/>
              <w:right w:val="nil"/>
            </w:tcBorders>
            <w:shd w:val="clear" w:color="auto" w:fill="auto"/>
            <w:noWrap/>
            <w:vAlign w:val="bottom"/>
            <w:hideMark/>
          </w:tcPr>
          <w:p w14:paraId="27B0B42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25.8</w:t>
            </w:r>
          </w:p>
        </w:tc>
        <w:tc>
          <w:tcPr>
            <w:tcW w:w="1418" w:type="dxa"/>
            <w:tcBorders>
              <w:top w:val="nil"/>
              <w:left w:val="nil"/>
              <w:bottom w:val="nil"/>
              <w:right w:val="nil"/>
            </w:tcBorders>
            <w:shd w:val="clear" w:color="auto" w:fill="auto"/>
            <w:noWrap/>
            <w:vAlign w:val="bottom"/>
            <w:hideMark/>
          </w:tcPr>
          <w:p w14:paraId="40FC326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15.4</w:t>
            </w:r>
          </w:p>
        </w:tc>
        <w:tc>
          <w:tcPr>
            <w:tcW w:w="933" w:type="dxa"/>
            <w:tcBorders>
              <w:top w:val="nil"/>
              <w:left w:val="nil"/>
              <w:bottom w:val="nil"/>
              <w:right w:val="nil"/>
            </w:tcBorders>
            <w:shd w:val="clear" w:color="auto" w:fill="auto"/>
            <w:noWrap/>
            <w:vAlign w:val="bottom"/>
            <w:hideMark/>
          </w:tcPr>
          <w:p w14:paraId="26268B6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12.8</w:t>
            </w:r>
          </w:p>
        </w:tc>
      </w:tr>
      <w:tr w:rsidR="00AC362E" w:rsidRPr="00491EF1" w14:paraId="5526BCCD" w14:textId="77777777" w:rsidTr="00ED0631">
        <w:trPr>
          <w:trHeight w:val="315"/>
        </w:trPr>
        <w:tc>
          <w:tcPr>
            <w:tcW w:w="1289" w:type="dxa"/>
            <w:tcBorders>
              <w:top w:val="nil"/>
              <w:left w:val="nil"/>
              <w:bottom w:val="nil"/>
              <w:right w:val="nil"/>
            </w:tcBorders>
            <w:shd w:val="clear" w:color="auto" w:fill="auto"/>
            <w:noWrap/>
            <w:vAlign w:val="bottom"/>
            <w:hideMark/>
          </w:tcPr>
          <w:p w14:paraId="29EBF6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1399" w:type="dxa"/>
            <w:tcBorders>
              <w:top w:val="nil"/>
              <w:left w:val="nil"/>
              <w:bottom w:val="nil"/>
              <w:right w:val="nil"/>
            </w:tcBorders>
            <w:shd w:val="clear" w:color="auto" w:fill="auto"/>
            <w:noWrap/>
            <w:vAlign w:val="bottom"/>
            <w:hideMark/>
          </w:tcPr>
          <w:p w14:paraId="5C5BED2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11.3</w:t>
            </w:r>
          </w:p>
        </w:tc>
        <w:tc>
          <w:tcPr>
            <w:tcW w:w="1418" w:type="dxa"/>
            <w:tcBorders>
              <w:top w:val="nil"/>
              <w:left w:val="nil"/>
              <w:bottom w:val="nil"/>
              <w:right w:val="nil"/>
            </w:tcBorders>
            <w:shd w:val="clear" w:color="auto" w:fill="auto"/>
            <w:noWrap/>
            <w:vAlign w:val="bottom"/>
            <w:hideMark/>
          </w:tcPr>
          <w:p w14:paraId="4DA6DA6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11.0</w:t>
            </w:r>
          </w:p>
        </w:tc>
        <w:tc>
          <w:tcPr>
            <w:tcW w:w="1310" w:type="dxa"/>
            <w:tcBorders>
              <w:top w:val="nil"/>
              <w:left w:val="nil"/>
              <w:bottom w:val="nil"/>
              <w:right w:val="nil"/>
            </w:tcBorders>
            <w:shd w:val="clear" w:color="auto" w:fill="auto"/>
            <w:noWrap/>
            <w:vAlign w:val="bottom"/>
            <w:hideMark/>
          </w:tcPr>
          <w:p w14:paraId="151548F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13.9</w:t>
            </w:r>
          </w:p>
        </w:tc>
        <w:tc>
          <w:tcPr>
            <w:tcW w:w="978" w:type="dxa"/>
            <w:tcBorders>
              <w:top w:val="nil"/>
              <w:left w:val="nil"/>
              <w:bottom w:val="nil"/>
              <w:right w:val="nil"/>
            </w:tcBorders>
            <w:shd w:val="clear" w:color="auto" w:fill="auto"/>
            <w:noWrap/>
            <w:vAlign w:val="bottom"/>
            <w:hideMark/>
          </w:tcPr>
          <w:p w14:paraId="6C9D9B6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9.6</w:t>
            </w:r>
          </w:p>
        </w:tc>
        <w:tc>
          <w:tcPr>
            <w:tcW w:w="1418" w:type="dxa"/>
            <w:tcBorders>
              <w:top w:val="nil"/>
              <w:left w:val="nil"/>
              <w:bottom w:val="nil"/>
              <w:right w:val="nil"/>
            </w:tcBorders>
            <w:shd w:val="clear" w:color="auto" w:fill="auto"/>
            <w:noWrap/>
            <w:vAlign w:val="bottom"/>
            <w:hideMark/>
          </w:tcPr>
          <w:p w14:paraId="7560810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8.1</w:t>
            </w:r>
          </w:p>
        </w:tc>
        <w:tc>
          <w:tcPr>
            <w:tcW w:w="933" w:type="dxa"/>
            <w:tcBorders>
              <w:top w:val="nil"/>
              <w:left w:val="nil"/>
              <w:bottom w:val="nil"/>
              <w:right w:val="nil"/>
            </w:tcBorders>
            <w:shd w:val="clear" w:color="auto" w:fill="auto"/>
            <w:noWrap/>
            <w:vAlign w:val="bottom"/>
            <w:hideMark/>
          </w:tcPr>
          <w:p w14:paraId="1243FBF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8.1</w:t>
            </w:r>
          </w:p>
        </w:tc>
      </w:tr>
      <w:tr w:rsidR="00AC362E" w:rsidRPr="00491EF1" w14:paraId="77D8009B" w14:textId="77777777" w:rsidTr="00ED0631">
        <w:trPr>
          <w:trHeight w:val="315"/>
        </w:trPr>
        <w:tc>
          <w:tcPr>
            <w:tcW w:w="1289" w:type="dxa"/>
            <w:tcBorders>
              <w:top w:val="nil"/>
              <w:left w:val="nil"/>
              <w:bottom w:val="nil"/>
              <w:right w:val="nil"/>
            </w:tcBorders>
            <w:shd w:val="clear" w:color="auto" w:fill="auto"/>
            <w:noWrap/>
            <w:vAlign w:val="bottom"/>
            <w:hideMark/>
          </w:tcPr>
          <w:p w14:paraId="4A25DE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1399" w:type="dxa"/>
            <w:tcBorders>
              <w:top w:val="nil"/>
              <w:left w:val="nil"/>
              <w:bottom w:val="nil"/>
              <w:right w:val="nil"/>
            </w:tcBorders>
            <w:shd w:val="clear" w:color="auto" w:fill="auto"/>
            <w:noWrap/>
            <w:vAlign w:val="bottom"/>
            <w:hideMark/>
          </w:tcPr>
          <w:p w14:paraId="29D7145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16.4</w:t>
            </w:r>
          </w:p>
        </w:tc>
        <w:tc>
          <w:tcPr>
            <w:tcW w:w="1418" w:type="dxa"/>
            <w:tcBorders>
              <w:top w:val="nil"/>
              <w:left w:val="nil"/>
              <w:bottom w:val="nil"/>
              <w:right w:val="nil"/>
            </w:tcBorders>
            <w:shd w:val="clear" w:color="auto" w:fill="auto"/>
            <w:noWrap/>
            <w:vAlign w:val="bottom"/>
            <w:hideMark/>
          </w:tcPr>
          <w:p w14:paraId="3B34675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13.6</w:t>
            </w:r>
          </w:p>
        </w:tc>
        <w:tc>
          <w:tcPr>
            <w:tcW w:w="1310" w:type="dxa"/>
            <w:tcBorders>
              <w:top w:val="nil"/>
              <w:left w:val="nil"/>
              <w:bottom w:val="nil"/>
              <w:right w:val="nil"/>
            </w:tcBorders>
            <w:shd w:val="clear" w:color="auto" w:fill="auto"/>
            <w:noWrap/>
            <w:vAlign w:val="bottom"/>
            <w:hideMark/>
          </w:tcPr>
          <w:p w14:paraId="646E03C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14.2</w:t>
            </w:r>
          </w:p>
        </w:tc>
        <w:tc>
          <w:tcPr>
            <w:tcW w:w="978" w:type="dxa"/>
            <w:tcBorders>
              <w:top w:val="nil"/>
              <w:left w:val="nil"/>
              <w:bottom w:val="nil"/>
              <w:right w:val="nil"/>
            </w:tcBorders>
            <w:shd w:val="clear" w:color="auto" w:fill="auto"/>
            <w:noWrap/>
            <w:vAlign w:val="bottom"/>
            <w:hideMark/>
          </w:tcPr>
          <w:p w14:paraId="6B93841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16.3</w:t>
            </w:r>
          </w:p>
        </w:tc>
        <w:tc>
          <w:tcPr>
            <w:tcW w:w="1418" w:type="dxa"/>
            <w:tcBorders>
              <w:top w:val="nil"/>
              <w:left w:val="nil"/>
              <w:bottom w:val="nil"/>
              <w:right w:val="nil"/>
            </w:tcBorders>
            <w:shd w:val="clear" w:color="auto" w:fill="auto"/>
            <w:noWrap/>
            <w:vAlign w:val="bottom"/>
            <w:hideMark/>
          </w:tcPr>
          <w:p w14:paraId="15404DC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19.0</w:t>
            </w:r>
          </w:p>
        </w:tc>
        <w:tc>
          <w:tcPr>
            <w:tcW w:w="933" w:type="dxa"/>
            <w:tcBorders>
              <w:top w:val="nil"/>
              <w:left w:val="nil"/>
              <w:bottom w:val="nil"/>
              <w:right w:val="nil"/>
            </w:tcBorders>
            <w:shd w:val="clear" w:color="auto" w:fill="auto"/>
            <w:noWrap/>
            <w:vAlign w:val="bottom"/>
            <w:hideMark/>
          </w:tcPr>
          <w:p w14:paraId="5EF4FE9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18.5</w:t>
            </w:r>
          </w:p>
        </w:tc>
      </w:tr>
      <w:tr w:rsidR="00AC362E" w:rsidRPr="00491EF1" w14:paraId="0BD19613" w14:textId="77777777" w:rsidTr="00ED0631">
        <w:trPr>
          <w:trHeight w:val="315"/>
        </w:trPr>
        <w:tc>
          <w:tcPr>
            <w:tcW w:w="1289" w:type="dxa"/>
            <w:tcBorders>
              <w:top w:val="single" w:sz="4" w:space="0" w:color="auto"/>
              <w:left w:val="nil"/>
              <w:bottom w:val="single" w:sz="4" w:space="0" w:color="auto"/>
              <w:right w:val="nil"/>
            </w:tcBorders>
            <w:shd w:val="clear" w:color="auto" w:fill="auto"/>
            <w:noWrap/>
            <w:vAlign w:val="bottom"/>
            <w:hideMark/>
          </w:tcPr>
          <w:p w14:paraId="349C30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Total </w:t>
            </w:r>
          </w:p>
        </w:tc>
        <w:tc>
          <w:tcPr>
            <w:tcW w:w="1399" w:type="dxa"/>
            <w:tcBorders>
              <w:top w:val="single" w:sz="4" w:space="0" w:color="auto"/>
              <w:left w:val="nil"/>
              <w:bottom w:val="single" w:sz="4" w:space="0" w:color="auto"/>
              <w:right w:val="nil"/>
            </w:tcBorders>
            <w:shd w:val="clear" w:color="auto" w:fill="auto"/>
            <w:noWrap/>
            <w:vAlign w:val="bottom"/>
            <w:hideMark/>
          </w:tcPr>
          <w:p w14:paraId="66EB177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21.6</w:t>
            </w:r>
          </w:p>
        </w:tc>
        <w:tc>
          <w:tcPr>
            <w:tcW w:w="1418" w:type="dxa"/>
            <w:tcBorders>
              <w:top w:val="single" w:sz="4" w:space="0" w:color="auto"/>
              <w:left w:val="nil"/>
              <w:bottom w:val="single" w:sz="4" w:space="0" w:color="auto"/>
              <w:right w:val="nil"/>
            </w:tcBorders>
            <w:shd w:val="clear" w:color="auto" w:fill="auto"/>
            <w:noWrap/>
            <w:vAlign w:val="bottom"/>
            <w:hideMark/>
          </w:tcPr>
          <w:p w14:paraId="63EF2BE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12.0</w:t>
            </w:r>
          </w:p>
        </w:tc>
        <w:tc>
          <w:tcPr>
            <w:tcW w:w="1310" w:type="dxa"/>
            <w:tcBorders>
              <w:top w:val="single" w:sz="4" w:space="0" w:color="auto"/>
              <w:left w:val="nil"/>
              <w:bottom w:val="single" w:sz="4" w:space="0" w:color="auto"/>
              <w:right w:val="nil"/>
            </w:tcBorders>
            <w:shd w:val="clear" w:color="auto" w:fill="auto"/>
            <w:noWrap/>
            <w:vAlign w:val="bottom"/>
            <w:hideMark/>
          </w:tcPr>
          <w:p w14:paraId="697445A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13.5</w:t>
            </w:r>
          </w:p>
        </w:tc>
        <w:tc>
          <w:tcPr>
            <w:tcW w:w="978" w:type="dxa"/>
            <w:tcBorders>
              <w:top w:val="single" w:sz="4" w:space="0" w:color="auto"/>
              <w:left w:val="nil"/>
              <w:bottom w:val="single" w:sz="4" w:space="0" w:color="auto"/>
              <w:right w:val="nil"/>
            </w:tcBorders>
            <w:shd w:val="clear" w:color="auto" w:fill="auto"/>
            <w:noWrap/>
            <w:vAlign w:val="bottom"/>
            <w:hideMark/>
          </w:tcPr>
          <w:p w14:paraId="2CA1513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19.0</w:t>
            </w:r>
          </w:p>
        </w:tc>
        <w:tc>
          <w:tcPr>
            <w:tcW w:w="1418" w:type="dxa"/>
            <w:tcBorders>
              <w:top w:val="single" w:sz="4" w:space="0" w:color="auto"/>
              <w:left w:val="nil"/>
              <w:bottom w:val="single" w:sz="4" w:space="0" w:color="auto"/>
              <w:right w:val="nil"/>
            </w:tcBorders>
            <w:shd w:val="clear" w:color="auto" w:fill="auto"/>
            <w:noWrap/>
            <w:vAlign w:val="bottom"/>
            <w:hideMark/>
          </w:tcPr>
          <w:p w14:paraId="43B494C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16.3</w:t>
            </w:r>
          </w:p>
        </w:tc>
        <w:tc>
          <w:tcPr>
            <w:tcW w:w="933" w:type="dxa"/>
            <w:tcBorders>
              <w:top w:val="single" w:sz="4" w:space="0" w:color="auto"/>
              <w:left w:val="nil"/>
              <w:bottom w:val="single" w:sz="4" w:space="0" w:color="auto"/>
              <w:right w:val="nil"/>
            </w:tcBorders>
            <w:shd w:val="clear" w:color="auto" w:fill="auto"/>
            <w:noWrap/>
            <w:vAlign w:val="bottom"/>
            <w:hideMark/>
          </w:tcPr>
          <w:p w14:paraId="01BB5C5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15.0</w:t>
            </w:r>
          </w:p>
        </w:tc>
      </w:tr>
    </w:tbl>
    <w:p w14:paraId="02771A0B" w14:textId="77777777" w:rsidR="00AC362E" w:rsidRDefault="00AC362E" w:rsidP="00ED0631">
      <w:pPr>
        <w:spacing w:before="240"/>
        <w:rPr>
          <w:lang w:eastAsia="en-AU"/>
        </w:rPr>
      </w:pPr>
      <w:r>
        <w:rPr>
          <w:lang w:eastAsia="en-AU"/>
        </w:rPr>
        <w:t>It is interesting to note that ‘</w:t>
      </w:r>
      <w:r w:rsidRPr="00AC403B">
        <w:rPr>
          <w:i/>
          <w:lang w:eastAsia="en-AU"/>
        </w:rPr>
        <w:t>Teacher Conduct’</w:t>
      </w:r>
      <w:r>
        <w:rPr>
          <w:lang w:eastAsia="en-AU"/>
        </w:rPr>
        <w:t xml:space="preserve"> and ‘</w:t>
      </w:r>
      <w:r w:rsidRPr="00AC403B">
        <w:rPr>
          <w:i/>
          <w:lang w:eastAsia="en-AU"/>
        </w:rPr>
        <w:t>Classroom Management’</w:t>
      </w:r>
      <w:r>
        <w:rPr>
          <w:lang w:eastAsia="en-AU"/>
        </w:rPr>
        <w:t xml:space="preserve"> were reported to be the issues that School Leaders spent the least time on. In the Case Studies only one School Leader reported regularly observing classroom management and it was apparent in several other schools that School Leaders did not give this issue a great deal of attention. This is important because as the Literature Review noted,</w:t>
      </w:r>
    </w:p>
    <w:p w14:paraId="2E2ED8E0" w14:textId="77777777" w:rsidR="00AC362E" w:rsidRDefault="00AC362E" w:rsidP="00ED0631">
      <w:pPr>
        <w:ind w:left="567" w:right="521"/>
        <w:rPr>
          <w:lang w:eastAsia="en-AU"/>
        </w:rPr>
      </w:pPr>
      <w:r w:rsidRPr="00CA5E4B">
        <w:rPr>
          <w:lang w:eastAsia="en-AU"/>
        </w:rPr>
        <w:t>“</w:t>
      </w:r>
      <w:r w:rsidRPr="00CA5E4B">
        <w:rPr>
          <w:i/>
          <w:lang w:eastAsia="en-AU"/>
        </w:rPr>
        <w:t>Empirical evidence suggests that school leaders’ involvement in classroom observation, staff monitoring and subsequent provision of feedback is associated with better student performance</w:t>
      </w:r>
      <w:r w:rsidRPr="00CA5E4B">
        <w:rPr>
          <w:lang w:eastAsia="en-AU"/>
        </w:rPr>
        <w:t>”.</w:t>
      </w:r>
    </w:p>
    <w:p w14:paraId="5642DF7F" w14:textId="77777777" w:rsidR="00AC362E" w:rsidRDefault="00AC362E" w:rsidP="00ED0631">
      <w:pPr>
        <w:rPr>
          <w:lang w:eastAsia="en-AU"/>
        </w:rPr>
      </w:pPr>
      <w:r>
        <w:rPr>
          <w:lang w:eastAsia="en-AU"/>
        </w:rPr>
        <w:t>In the CSR a number of School Leaders mentioned staff management issues, in particular, unexplained absences and late attendance however, this does not seem to be as strongly reflected in the SED responses.</w:t>
      </w:r>
    </w:p>
    <w:p w14:paraId="5E84F815" w14:textId="77777777" w:rsidR="00AC362E" w:rsidRPr="00DE4728" w:rsidRDefault="00AC362E" w:rsidP="00ED0631">
      <w:pPr>
        <w:spacing w:before="240"/>
        <w:rPr>
          <w:spacing w:val="4"/>
          <w:lang w:eastAsia="en-AU"/>
        </w:rPr>
      </w:pPr>
      <w:r w:rsidRPr="00DE4728">
        <w:rPr>
          <w:spacing w:val="4"/>
          <w:lang w:eastAsia="en-AU"/>
        </w:rPr>
        <w:t>Referring to teacher performance, teacher motivation, and teacher activities the Literature Review observed,</w:t>
      </w:r>
    </w:p>
    <w:p w14:paraId="2E2E1B84" w14:textId="77777777" w:rsidR="00AC362E" w:rsidRPr="00533125" w:rsidRDefault="00AC362E" w:rsidP="00ED0631">
      <w:pPr>
        <w:spacing w:before="240"/>
        <w:ind w:left="567" w:right="521"/>
        <w:rPr>
          <w:i/>
          <w:lang w:eastAsia="en-AU"/>
        </w:rPr>
      </w:pPr>
      <w:r>
        <w:rPr>
          <w:i/>
          <w:lang w:eastAsia="en-AU"/>
        </w:rPr>
        <w:t>“</w:t>
      </w:r>
      <w:r w:rsidRPr="00533125">
        <w:rPr>
          <w:i/>
          <w:lang w:eastAsia="en-AU"/>
        </w:rPr>
        <w:t>Leaders have the potential to influence and give direction to all these inter-dependent elements and unleash organisational capacities that affect teacher’s performance and hence student’s learning. Therefore leadership can be understood almost as a prerequisite for quality education</w:t>
      </w:r>
      <w:r>
        <w:rPr>
          <w:i/>
          <w:lang w:eastAsia="en-AU"/>
        </w:rPr>
        <w:t>”</w:t>
      </w:r>
      <w:r w:rsidRPr="00533125">
        <w:rPr>
          <w:i/>
          <w:lang w:eastAsia="en-AU"/>
        </w:rPr>
        <w:t>.</w:t>
      </w:r>
    </w:p>
    <w:p w14:paraId="39E26148" w14:textId="77777777" w:rsidR="00AC362E" w:rsidRDefault="00AC362E" w:rsidP="00ED0631">
      <w:pPr>
        <w:spacing w:before="240"/>
        <w:rPr>
          <w:lang w:eastAsia="en-AU"/>
        </w:rPr>
      </w:pPr>
      <w:r>
        <w:rPr>
          <w:lang w:eastAsia="en-AU"/>
        </w:rPr>
        <w:t xml:space="preserve">In this context the SED asked Both School Leaders and Teachers to rate the quality of support that was given to teachers by School Leaders compared with 4 years earlier (See </w:t>
      </w:r>
      <w:r w:rsidRPr="000D6F3A">
        <w:rPr>
          <w:i/>
          <w:lang w:eastAsia="en-AU"/>
        </w:rPr>
        <w:t>Table 14</w:t>
      </w:r>
      <w:r>
        <w:rPr>
          <w:lang w:eastAsia="en-AU"/>
        </w:rPr>
        <w:t xml:space="preserve"> and </w:t>
      </w:r>
      <w:r>
        <w:rPr>
          <w:i/>
          <w:lang w:eastAsia="en-AU"/>
        </w:rPr>
        <w:t>Table </w:t>
      </w:r>
      <w:r w:rsidRPr="000D6F3A">
        <w:rPr>
          <w:i/>
          <w:lang w:eastAsia="en-AU"/>
        </w:rPr>
        <w:t>15</w:t>
      </w:r>
      <w:r>
        <w:rPr>
          <w:lang w:eastAsia="en-AU"/>
        </w:rPr>
        <w:t>). Sixty-five percent (60%) of School Leaders felt that the quality of support was ‘</w:t>
      </w:r>
      <w:r w:rsidRPr="00AC403B">
        <w:rPr>
          <w:i/>
          <w:lang w:eastAsia="en-AU"/>
        </w:rPr>
        <w:t>Much Better’</w:t>
      </w:r>
      <w:r>
        <w:rPr>
          <w:lang w:eastAsia="en-AU"/>
        </w:rPr>
        <w:t xml:space="preserve"> or ‘</w:t>
      </w:r>
      <w:r w:rsidRPr="00AC403B">
        <w:rPr>
          <w:i/>
          <w:lang w:eastAsia="en-AU"/>
        </w:rPr>
        <w:t>Significantly Better’</w:t>
      </w:r>
      <w:r>
        <w:rPr>
          <w:lang w:eastAsia="en-AU"/>
        </w:rPr>
        <w:t>. This contrasts with Teachers perceptions, 65% of whom also say that the quality of support was ‘</w:t>
      </w:r>
      <w:r w:rsidRPr="00AC403B">
        <w:rPr>
          <w:i/>
          <w:lang w:eastAsia="en-AU"/>
        </w:rPr>
        <w:t>the Same as Before’</w:t>
      </w:r>
      <w:r>
        <w:rPr>
          <w:lang w:eastAsia="en-AU"/>
        </w:rPr>
        <w:t xml:space="preserve"> or only ‘</w:t>
      </w:r>
      <w:r w:rsidRPr="00AC403B">
        <w:rPr>
          <w:i/>
          <w:lang w:eastAsia="en-AU"/>
        </w:rPr>
        <w:t>A Little Better’</w:t>
      </w:r>
      <w:r>
        <w:rPr>
          <w:lang w:eastAsia="en-AU"/>
        </w:rPr>
        <w:t xml:space="preserve">. This pattern of responses holds generally </w:t>
      </w:r>
      <w:r>
        <w:rPr>
          <w:lang w:eastAsia="en-AU"/>
        </w:rPr>
        <w:lastRenderedPageBreak/>
        <w:t>true across island types although Teachers in South Tarawa were even more negative about the change in quality.</w:t>
      </w:r>
    </w:p>
    <w:p w14:paraId="3CBAE830" w14:textId="77777777" w:rsidR="00AC362E" w:rsidRPr="00491EF1" w:rsidRDefault="00AC362E" w:rsidP="00ED0631">
      <w:pPr>
        <w:spacing w:after="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14: Number of School leader’s rating of the value of support they gave the teachers by island type</w:t>
      </w:r>
    </w:p>
    <w:tbl>
      <w:tblPr>
        <w:tblW w:w="8640" w:type="dxa"/>
        <w:tblInd w:w="93" w:type="dxa"/>
        <w:tblLook w:val="04A0" w:firstRow="1" w:lastRow="0" w:firstColumn="1" w:lastColumn="0" w:noHBand="0" w:noVBand="1"/>
      </w:tblPr>
      <w:tblGrid>
        <w:gridCol w:w="1417"/>
        <w:gridCol w:w="1611"/>
        <w:gridCol w:w="2192"/>
        <w:gridCol w:w="1611"/>
        <w:gridCol w:w="1809"/>
      </w:tblGrid>
      <w:tr w:rsidR="00AC362E" w:rsidRPr="00491EF1" w14:paraId="31253FFA" w14:textId="77777777" w:rsidTr="00ED0631">
        <w:trPr>
          <w:trHeight w:val="315"/>
        </w:trPr>
        <w:tc>
          <w:tcPr>
            <w:tcW w:w="1417" w:type="dxa"/>
            <w:tcBorders>
              <w:top w:val="single" w:sz="4" w:space="0" w:color="auto"/>
              <w:left w:val="nil"/>
              <w:bottom w:val="single" w:sz="4" w:space="0" w:color="auto"/>
              <w:right w:val="nil"/>
            </w:tcBorders>
            <w:shd w:val="clear" w:color="auto" w:fill="auto"/>
            <w:noWrap/>
            <w:vAlign w:val="bottom"/>
            <w:hideMark/>
          </w:tcPr>
          <w:p w14:paraId="696A5B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611" w:type="dxa"/>
            <w:tcBorders>
              <w:top w:val="single" w:sz="4" w:space="0" w:color="auto"/>
              <w:left w:val="nil"/>
              <w:bottom w:val="single" w:sz="4" w:space="0" w:color="auto"/>
              <w:right w:val="nil"/>
            </w:tcBorders>
            <w:shd w:val="clear" w:color="auto" w:fill="auto"/>
            <w:noWrap/>
            <w:vAlign w:val="bottom"/>
            <w:hideMark/>
          </w:tcPr>
          <w:p w14:paraId="30542D9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Much better</w:t>
            </w:r>
          </w:p>
        </w:tc>
        <w:tc>
          <w:tcPr>
            <w:tcW w:w="2192" w:type="dxa"/>
            <w:tcBorders>
              <w:top w:val="single" w:sz="4" w:space="0" w:color="auto"/>
              <w:left w:val="nil"/>
              <w:bottom w:val="single" w:sz="4" w:space="0" w:color="auto"/>
              <w:right w:val="nil"/>
            </w:tcBorders>
            <w:shd w:val="clear" w:color="auto" w:fill="auto"/>
            <w:noWrap/>
            <w:vAlign w:val="bottom"/>
            <w:hideMark/>
          </w:tcPr>
          <w:p w14:paraId="2865EC0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Significantly better</w:t>
            </w:r>
          </w:p>
        </w:tc>
        <w:tc>
          <w:tcPr>
            <w:tcW w:w="1611" w:type="dxa"/>
            <w:tcBorders>
              <w:top w:val="single" w:sz="4" w:space="0" w:color="auto"/>
              <w:left w:val="nil"/>
              <w:bottom w:val="single" w:sz="4" w:space="0" w:color="auto"/>
              <w:right w:val="nil"/>
            </w:tcBorders>
            <w:shd w:val="clear" w:color="auto" w:fill="auto"/>
            <w:noWrap/>
            <w:vAlign w:val="bottom"/>
            <w:hideMark/>
          </w:tcPr>
          <w:p w14:paraId="691D5B4E"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 little better</w:t>
            </w:r>
          </w:p>
        </w:tc>
        <w:tc>
          <w:tcPr>
            <w:tcW w:w="1809" w:type="dxa"/>
            <w:tcBorders>
              <w:top w:val="single" w:sz="4" w:space="0" w:color="auto"/>
              <w:left w:val="nil"/>
              <w:bottom w:val="single" w:sz="4" w:space="0" w:color="auto"/>
              <w:right w:val="nil"/>
            </w:tcBorders>
            <w:shd w:val="clear" w:color="auto" w:fill="auto"/>
            <w:noWrap/>
            <w:vAlign w:val="bottom"/>
            <w:hideMark/>
          </w:tcPr>
          <w:p w14:paraId="26449C1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Same as before</w:t>
            </w:r>
          </w:p>
        </w:tc>
      </w:tr>
      <w:tr w:rsidR="00AC362E" w:rsidRPr="00491EF1" w14:paraId="670B090A" w14:textId="77777777" w:rsidTr="00ED0631">
        <w:trPr>
          <w:trHeight w:val="315"/>
        </w:trPr>
        <w:tc>
          <w:tcPr>
            <w:tcW w:w="1417" w:type="dxa"/>
            <w:tcBorders>
              <w:top w:val="nil"/>
              <w:left w:val="nil"/>
              <w:bottom w:val="nil"/>
              <w:right w:val="nil"/>
            </w:tcBorders>
            <w:shd w:val="clear" w:color="auto" w:fill="auto"/>
            <w:noWrap/>
            <w:vAlign w:val="bottom"/>
            <w:hideMark/>
          </w:tcPr>
          <w:p w14:paraId="7D142B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1611" w:type="dxa"/>
            <w:tcBorders>
              <w:top w:val="nil"/>
              <w:left w:val="nil"/>
              <w:bottom w:val="nil"/>
              <w:right w:val="nil"/>
            </w:tcBorders>
            <w:shd w:val="clear" w:color="auto" w:fill="auto"/>
            <w:noWrap/>
            <w:vAlign w:val="bottom"/>
            <w:hideMark/>
          </w:tcPr>
          <w:p w14:paraId="09E69964"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w:t>
            </w:r>
          </w:p>
        </w:tc>
        <w:tc>
          <w:tcPr>
            <w:tcW w:w="2192" w:type="dxa"/>
            <w:tcBorders>
              <w:top w:val="nil"/>
              <w:left w:val="nil"/>
              <w:bottom w:val="nil"/>
              <w:right w:val="nil"/>
            </w:tcBorders>
            <w:shd w:val="clear" w:color="auto" w:fill="auto"/>
            <w:noWrap/>
            <w:vAlign w:val="bottom"/>
            <w:hideMark/>
          </w:tcPr>
          <w:p w14:paraId="6E9746E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c>
          <w:tcPr>
            <w:tcW w:w="1611" w:type="dxa"/>
            <w:tcBorders>
              <w:top w:val="nil"/>
              <w:left w:val="nil"/>
              <w:bottom w:val="nil"/>
              <w:right w:val="nil"/>
            </w:tcBorders>
            <w:shd w:val="clear" w:color="auto" w:fill="auto"/>
            <w:noWrap/>
            <w:vAlign w:val="bottom"/>
            <w:hideMark/>
          </w:tcPr>
          <w:p w14:paraId="3C87E0E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c>
          <w:tcPr>
            <w:tcW w:w="1809" w:type="dxa"/>
            <w:tcBorders>
              <w:top w:val="nil"/>
              <w:left w:val="nil"/>
              <w:bottom w:val="nil"/>
              <w:right w:val="nil"/>
            </w:tcBorders>
            <w:shd w:val="clear" w:color="auto" w:fill="auto"/>
            <w:noWrap/>
            <w:vAlign w:val="bottom"/>
            <w:hideMark/>
          </w:tcPr>
          <w:p w14:paraId="43CB3DB4"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6E58F46B" w14:textId="77777777" w:rsidTr="00ED0631">
        <w:trPr>
          <w:trHeight w:val="315"/>
        </w:trPr>
        <w:tc>
          <w:tcPr>
            <w:tcW w:w="1417" w:type="dxa"/>
            <w:tcBorders>
              <w:top w:val="nil"/>
              <w:left w:val="nil"/>
              <w:bottom w:val="nil"/>
              <w:right w:val="nil"/>
            </w:tcBorders>
            <w:shd w:val="clear" w:color="auto" w:fill="auto"/>
            <w:noWrap/>
            <w:vAlign w:val="bottom"/>
            <w:hideMark/>
          </w:tcPr>
          <w:p w14:paraId="2D66BE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1611" w:type="dxa"/>
            <w:tcBorders>
              <w:top w:val="nil"/>
              <w:left w:val="nil"/>
              <w:bottom w:val="nil"/>
              <w:right w:val="nil"/>
            </w:tcBorders>
            <w:shd w:val="clear" w:color="auto" w:fill="auto"/>
            <w:noWrap/>
            <w:vAlign w:val="bottom"/>
            <w:hideMark/>
          </w:tcPr>
          <w:p w14:paraId="59B9E18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2192" w:type="dxa"/>
            <w:tcBorders>
              <w:top w:val="nil"/>
              <w:left w:val="nil"/>
              <w:bottom w:val="nil"/>
              <w:right w:val="nil"/>
            </w:tcBorders>
            <w:shd w:val="clear" w:color="auto" w:fill="auto"/>
            <w:noWrap/>
            <w:vAlign w:val="bottom"/>
            <w:hideMark/>
          </w:tcPr>
          <w:p w14:paraId="4B0CD36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1611" w:type="dxa"/>
            <w:tcBorders>
              <w:top w:val="nil"/>
              <w:left w:val="nil"/>
              <w:bottom w:val="nil"/>
              <w:right w:val="nil"/>
            </w:tcBorders>
            <w:shd w:val="clear" w:color="auto" w:fill="auto"/>
            <w:noWrap/>
            <w:vAlign w:val="bottom"/>
            <w:hideMark/>
          </w:tcPr>
          <w:p w14:paraId="4617D3F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w:t>
            </w:r>
          </w:p>
        </w:tc>
        <w:tc>
          <w:tcPr>
            <w:tcW w:w="1809" w:type="dxa"/>
            <w:tcBorders>
              <w:top w:val="nil"/>
              <w:left w:val="nil"/>
              <w:bottom w:val="nil"/>
              <w:right w:val="nil"/>
            </w:tcBorders>
            <w:shd w:val="clear" w:color="auto" w:fill="auto"/>
            <w:noWrap/>
            <w:vAlign w:val="bottom"/>
            <w:hideMark/>
          </w:tcPr>
          <w:p w14:paraId="1B2B7CA1" w14:textId="77777777" w:rsidR="00AC362E" w:rsidRPr="00491EF1" w:rsidRDefault="00AC362E" w:rsidP="00ED0631">
            <w:pPr>
              <w:spacing w:after="0"/>
              <w:jc w:val="center"/>
              <w:rPr>
                <w:rFonts w:asciiTheme="majorHAnsi" w:eastAsia="Times New Roman" w:hAnsiTheme="majorHAnsi" w:cstheme="majorHAnsi"/>
                <w:color w:val="000000"/>
                <w:lang w:eastAsia="en-AU"/>
              </w:rPr>
            </w:pPr>
          </w:p>
        </w:tc>
      </w:tr>
      <w:tr w:rsidR="00AC362E" w:rsidRPr="00491EF1" w14:paraId="1F8E58E8" w14:textId="77777777" w:rsidTr="00ED0631">
        <w:trPr>
          <w:trHeight w:val="315"/>
        </w:trPr>
        <w:tc>
          <w:tcPr>
            <w:tcW w:w="1417" w:type="dxa"/>
            <w:tcBorders>
              <w:top w:val="nil"/>
              <w:left w:val="nil"/>
              <w:bottom w:val="nil"/>
              <w:right w:val="nil"/>
            </w:tcBorders>
            <w:shd w:val="clear" w:color="auto" w:fill="auto"/>
            <w:noWrap/>
            <w:vAlign w:val="bottom"/>
            <w:hideMark/>
          </w:tcPr>
          <w:p w14:paraId="65A595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1611" w:type="dxa"/>
            <w:tcBorders>
              <w:top w:val="nil"/>
              <w:left w:val="nil"/>
              <w:bottom w:val="nil"/>
              <w:right w:val="nil"/>
            </w:tcBorders>
            <w:shd w:val="clear" w:color="auto" w:fill="auto"/>
            <w:noWrap/>
            <w:vAlign w:val="bottom"/>
            <w:hideMark/>
          </w:tcPr>
          <w:p w14:paraId="1C55AD0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2192" w:type="dxa"/>
            <w:tcBorders>
              <w:top w:val="nil"/>
              <w:left w:val="nil"/>
              <w:bottom w:val="nil"/>
              <w:right w:val="nil"/>
            </w:tcBorders>
            <w:shd w:val="clear" w:color="auto" w:fill="auto"/>
            <w:noWrap/>
            <w:vAlign w:val="bottom"/>
            <w:hideMark/>
          </w:tcPr>
          <w:p w14:paraId="1DDBFAA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611" w:type="dxa"/>
            <w:tcBorders>
              <w:top w:val="nil"/>
              <w:left w:val="nil"/>
              <w:bottom w:val="nil"/>
              <w:right w:val="nil"/>
            </w:tcBorders>
            <w:shd w:val="clear" w:color="auto" w:fill="auto"/>
            <w:noWrap/>
            <w:vAlign w:val="bottom"/>
            <w:hideMark/>
          </w:tcPr>
          <w:p w14:paraId="1B2B9DFB"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809" w:type="dxa"/>
            <w:tcBorders>
              <w:top w:val="nil"/>
              <w:left w:val="nil"/>
              <w:bottom w:val="nil"/>
              <w:right w:val="nil"/>
            </w:tcBorders>
            <w:shd w:val="clear" w:color="auto" w:fill="auto"/>
            <w:noWrap/>
            <w:vAlign w:val="bottom"/>
            <w:hideMark/>
          </w:tcPr>
          <w:p w14:paraId="73585A55" w14:textId="77777777" w:rsidR="00AC362E" w:rsidRPr="00491EF1" w:rsidRDefault="00AC362E" w:rsidP="00ED0631">
            <w:pPr>
              <w:spacing w:after="0"/>
              <w:jc w:val="center"/>
              <w:rPr>
                <w:rFonts w:asciiTheme="majorHAnsi" w:eastAsia="Times New Roman" w:hAnsiTheme="majorHAnsi" w:cstheme="majorHAnsi"/>
                <w:color w:val="000000"/>
                <w:lang w:eastAsia="en-AU"/>
              </w:rPr>
            </w:pPr>
          </w:p>
        </w:tc>
      </w:tr>
      <w:tr w:rsidR="00AC362E" w:rsidRPr="00491EF1" w14:paraId="654E068E" w14:textId="77777777" w:rsidTr="00ED0631">
        <w:trPr>
          <w:trHeight w:val="315"/>
        </w:trPr>
        <w:tc>
          <w:tcPr>
            <w:tcW w:w="1417" w:type="dxa"/>
            <w:tcBorders>
              <w:top w:val="single" w:sz="4" w:space="0" w:color="auto"/>
              <w:left w:val="nil"/>
              <w:bottom w:val="single" w:sz="4" w:space="0" w:color="auto"/>
              <w:right w:val="nil"/>
            </w:tcBorders>
            <w:shd w:val="clear" w:color="auto" w:fill="auto"/>
            <w:noWrap/>
            <w:vAlign w:val="bottom"/>
            <w:hideMark/>
          </w:tcPr>
          <w:p w14:paraId="32F570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Total </w:t>
            </w:r>
          </w:p>
        </w:tc>
        <w:tc>
          <w:tcPr>
            <w:tcW w:w="1611" w:type="dxa"/>
            <w:tcBorders>
              <w:top w:val="single" w:sz="4" w:space="0" w:color="auto"/>
              <w:left w:val="nil"/>
              <w:bottom w:val="single" w:sz="4" w:space="0" w:color="auto"/>
              <w:right w:val="nil"/>
            </w:tcBorders>
            <w:shd w:val="clear" w:color="auto" w:fill="auto"/>
            <w:noWrap/>
            <w:vAlign w:val="bottom"/>
            <w:hideMark/>
          </w:tcPr>
          <w:p w14:paraId="0CEFB59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16</w:t>
            </w:r>
          </w:p>
        </w:tc>
        <w:tc>
          <w:tcPr>
            <w:tcW w:w="2192" w:type="dxa"/>
            <w:tcBorders>
              <w:top w:val="single" w:sz="4" w:space="0" w:color="auto"/>
              <w:left w:val="nil"/>
              <w:bottom w:val="single" w:sz="4" w:space="0" w:color="auto"/>
              <w:right w:val="nil"/>
            </w:tcBorders>
            <w:shd w:val="clear" w:color="auto" w:fill="auto"/>
            <w:noWrap/>
            <w:vAlign w:val="bottom"/>
            <w:hideMark/>
          </w:tcPr>
          <w:p w14:paraId="63167CE1"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w:t>
            </w:r>
          </w:p>
        </w:tc>
        <w:tc>
          <w:tcPr>
            <w:tcW w:w="1611" w:type="dxa"/>
            <w:tcBorders>
              <w:top w:val="single" w:sz="4" w:space="0" w:color="auto"/>
              <w:left w:val="nil"/>
              <w:bottom w:val="single" w:sz="4" w:space="0" w:color="auto"/>
              <w:right w:val="nil"/>
            </w:tcBorders>
            <w:shd w:val="clear" w:color="auto" w:fill="auto"/>
            <w:noWrap/>
            <w:vAlign w:val="bottom"/>
            <w:hideMark/>
          </w:tcPr>
          <w:p w14:paraId="70C1BCD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18</w:t>
            </w:r>
          </w:p>
        </w:tc>
        <w:tc>
          <w:tcPr>
            <w:tcW w:w="1809" w:type="dxa"/>
            <w:tcBorders>
              <w:top w:val="single" w:sz="4" w:space="0" w:color="auto"/>
              <w:left w:val="nil"/>
              <w:bottom w:val="single" w:sz="4" w:space="0" w:color="auto"/>
              <w:right w:val="nil"/>
            </w:tcBorders>
            <w:shd w:val="clear" w:color="auto" w:fill="auto"/>
            <w:noWrap/>
            <w:vAlign w:val="bottom"/>
            <w:hideMark/>
          </w:tcPr>
          <w:p w14:paraId="5375B282"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bl>
    <w:p w14:paraId="7D5E73E9" w14:textId="77777777" w:rsidR="00AC362E" w:rsidRPr="00491EF1" w:rsidRDefault="00AC362E" w:rsidP="00ED0631">
      <w:pPr>
        <w:spacing w:before="200" w:after="0"/>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15: Number of Teacher’s rating of the value of support they received from the School Leaders by island type</w:t>
      </w:r>
    </w:p>
    <w:tbl>
      <w:tblPr>
        <w:tblW w:w="8662" w:type="dxa"/>
        <w:tblInd w:w="93" w:type="dxa"/>
        <w:tblLook w:val="04A0" w:firstRow="1" w:lastRow="0" w:firstColumn="1" w:lastColumn="0" w:noHBand="0" w:noVBand="1"/>
      </w:tblPr>
      <w:tblGrid>
        <w:gridCol w:w="1575"/>
        <w:gridCol w:w="1417"/>
        <w:gridCol w:w="1985"/>
        <w:gridCol w:w="1842"/>
        <w:gridCol w:w="1843"/>
      </w:tblGrid>
      <w:tr w:rsidR="00AC362E" w:rsidRPr="00491EF1" w14:paraId="554CBC7B" w14:textId="77777777" w:rsidTr="00ED0631">
        <w:trPr>
          <w:trHeight w:val="315"/>
        </w:trPr>
        <w:tc>
          <w:tcPr>
            <w:tcW w:w="1575" w:type="dxa"/>
            <w:tcBorders>
              <w:top w:val="single" w:sz="4" w:space="0" w:color="auto"/>
              <w:left w:val="nil"/>
              <w:bottom w:val="nil"/>
              <w:right w:val="nil"/>
            </w:tcBorders>
            <w:shd w:val="clear" w:color="auto" w:fill="auto"/>
            <w:noWrap/>
            <w:vAlign w:val="bottom"/>
            <w:hideMark/>
          </w:tcPr>
          <w:p w14:paraId="2B91BB4A"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417" w:type="dxa"/>
            <w:tcBorders>
              <w:top w:val="single" w:sz="4" w:space="0" w:color="auto"/>
              <w:left w:val="nil"/>
              <w:bottom w:val="single" w:sz="4" w:space="0" w:color="auto"/>
              <w:right w:val="nil"/>
            </w:tcBorders>
            <w:shd w:val="clear" w:color="auto" w:fill="auto"/>
            <w:noWrap/>
            <w:vAlign w:val="bottom"/>
            <w:hideMark/>
          </w:tcPr>
          <w:p w14:paraId="10CAD34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Much better</w:t>
            </w:r>
          </w:p>
        </w:tc>
        <w:tc>
          <w:tcPr>
            <w:tcW w:w="1985" w:type="dxa"/>
            <w:tcBorders>
              <w:top w:val="single" w:sz="4" w:space="0" w:color="auto"/>
              <w:left w:val="nil"/>
              <w:bottom w:val="single" w:sz="4" w:space="0" w:color="auto"/>
              <w:right w:val="nil"/>
            </w:tcBorders>
            <w:shd w:val="clear" w:color="auto" w:fill="auto"/>
            <w:noWrap/>
            <w:vAlign w:val="bottom"/>
            <w:hideMark/>
          </w:tcPr>
          <w:p w14:paraId="50186359"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Significantly better</w:t>
            </w:r>
          </w:p>
        </w:tc>
        <w:tc>
          <w:tcPr>
            <w:tcW w:w="1842" w:type="dxa"/>
            <w:tcBorders>
              <w:top w:val="single" w:sz="4" w:space="0" w:color="auto"/>
              <w:left w:val="nil"/>
              <w:bottom w:val="single" w:sz="4" w:space="0" w:color="auto"/>
              <w:right w:val="nil"/>
            </w:tcBorders>
            <w:shd w:val="clear" w:color="auto" w:fill="auto"/>
            <w:noWrap/>
            <w:vAlign w:val="bottom"/>
            <w:hideMark/>
          </w:tcPr>
          <w:p w14:paraId="52A82047"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 little better</w:t>
            </w:r>
          </w:p>
        </w:tc>
        <w:tc>
          <w:tcPr>
            <w:tcW w:w="1843" w:type="dxa"/>
            <w:tcBorders>
              <w:top w:val="single" w:sz="4" w:space="0" w:color="auto"/>
              <w:left w:val="nil"/>
              <w:bottom w:val="single" w:sz="4" w:space="0" w:color="auto"/>
              <w:right w:val="nil"/>
            </w:tcBorders>
            <w:shd w:val="clear" w:color="auto" w:fill="auto"/>
            <w:noWrap/>
            <w:vAlign w:val="bottom"/>
            <w:hideMark/>
          </w:tcPr>
          <w:p w14:paraId="16EB208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Same as before</w:t>
            </w:r>
          </w:p>
        </w:tc>
      </w:tr>
      <w:tr w:rsidR="00AC362E" w:rsidRPr="00491EF1" w14:paraId="6D54ABC9" w14:textId="77777777" w:rsidTr="00ED0631">
        <w:trPr>
          <w:trHeight w:val="315"/>
        </w:trPr>
        <w:tc>
          <w:tcPr>
            <w:tcW w:w="1575" w:type="dxa"/>
            <w:tcBorders>
              <w:top w:val="single" w:sz="4" w:space="0" w:color="auto"/>
              <w:left w:val="nil"/>
              <w:bottom w:val="nil"/>
              <w:right w:val="nil"/>
            </w:tcBorders>
            <w:shd w:val="clear" w:color="auto" w:fill="auto"/>
            <w:noWrap/>
            <w:vAlign w:val="bottom"/>
            <w:hideMark/>
          </w:tcPr>
          <w:p w14:paraId="7BE78C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Large island </w:t>
            </w:r>
          </w:p>
        </w:tc>
        <w:tc>
          <w:tcPr>
            <w:tcW w:w="1417" w:type="dxa"/>
            <w:tcBorders>
              <w:top w:val="nil"/>
              <w:left w:val="nil"/>
              <w:bottom w:val="nil"/>
              <w:right w:val="nil"/>
            </w:tcBorders>
            <w:shd w:val="clear" w:color="auto" w:fill="auto"/>
            <w:noWrap/>
            <w:vAlign w:val="bottom"/>
            <w:hideMark/>
          </w:tcPr>
          <w:p w14:paraId="7D1197AB"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17</w:t>
            </w:r>
          </w:p>
        </w:tc>
        <w:tc>
          <w:tcPr>
            <w:tcW w:w="1985" w:type="dxa"/>
            <w:tcBorders>
              <w:top w:val="nil"/>
              <w:left w:val="nil"/>
              <w:bottom w:val="nil"/>
              <w:right w:val="nil"/>
            </w:tcBorders>
            <w:shd w:val="clear" w:color="auto" w:fill="auto"/>
            <w:noWrap/>
            <w:vAlign w:val="bottom"/>
            <w:hideMark/>
          </w:tcPr>
          <w:p w14:paraId="26F47D6C"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17</w:t>
            </w:r>
          </w:p>
        </w:tc>
        <w:tc>
          <w:tcPr>
            <w:tcW w:w="1842" w:type="dxa"/>
            <w:tcBorders>
              <w:top w:val="nil"/>
              <w:left w:val="nil"/>
              <w:bottom w:val="nil"/>
              <w:right w:val="nil"/>
            </w:tcBorders>
            <w:shd w:val="clear" w:color="auto" w:fill="auto"/>
            <w:noWrap/>
            <w:vAlign w:val="bottom"/>
            <w:hideMark/>
          </w:tcPr>
          <w:p w14:paraId="0C7C6D4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27</w:t>
            </w:r>
          </w:p>
        </w:tc>
        <w:tc>
          <w:tcPr>
            <w:tcW w:w="1843" w:type="dxa"/>
            <w:tcBorders>
              <w:top w:val="nil"/>
              <w:left w:val="nil"/>
              <w:bottom w:val="nil"/>
              <w:right w:val="nil"/>
            </w:tcBorders>
            <w:shd w:val="clear" w:color="auto" w:fill="auto"/>
            <w:noWrap/>
            <w:vAlign w:val="bottom"/>
            <w:hideMark/>
          </w:tcPr>
          <w:p w14:paraId="1C791CDB"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w:t>
            </w:r>
          </w:p>
        </w:tc>
      </w:tr>
      <w:tr w:rsidR="00AC362E" w:rsidRPr="00491EF1" w14:paraId="26F01750" w14:textId="77777777" w:rsidTr="00ED0631">
        <w:trPr>
          <w:trHeight w:val="315"/>
        </w:trPr>
        <w:tc>
          <w:tcPr>
            <w:tcW w:w="1575" w:type="dxa"/>
            <w:tcBorders>
              <w:top w:val="nil"/>
              <w:left w:val="nil"/>
              <w:bottom w:val="nil"/>
              <w:right w:val="nil"/>
            </w:tcBorders>
            <w:shd w:val="clear" w:color="auto" w:fill="auto"/>
            <w:noWrap/>
            <w:vAlign w:val="bottom"/>
            <w:hideMark/>
          </w:tcPr>
          <w:p w14:paraId="644F40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Small island </w:t>
            </w:r>
          </w:p>
        </w:tc>
        <w:tc>
          <w:tcPr>
            <w:tcW w:w="1417" w:type="dxa"/>
            <w:tcBorders>
              <w:top w:val="nil"/>
              <w:left w:val="nil"/>
              <w:bottom w:val="nil"/>
              <w:right w:val="nil"/>
            </w:tcBorders>
            <w:shd w:val="clear" w:color="auto" w:fill="auto"/>
            <w:noWrap/>
            <w:vAlign w:val="bottom"/>
            <w:hideMark/>
          </w:tcPr>
          <w:p w14:paraId="4F7D3D9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w:t>
            </w:r>
          </w:p>
        </w:tc>
        <w:tc>
          <w:tcPr>
            <w:tcW w:w="1985" w:type="dxa"/>
            <w:tcBorders>
              <w:top w:val="nil"/>
              <w:left w:val="nil"/>
              <w:bottom w:val="nil"/>
              <w:right w:val="nil"/>
            </w:tcBorders>
            <w:shd w:val="clear" w:color="auto" w:fill="auto"/>
            <w:noWrap/>
            <w:vAlign w:val="bottom"/>
            <w:hideMark/>
          </w:tcPr>
          <w:p w14:paraId="12B0CA96"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1842" w:type="dxa"/>
            <w:tcBorders>
              <w:top w:val="nil"/>
              <w:left w:val="nil"/>
              <w:bottom w:val="nil"/>
              <w:right w:val="nil"/>
            </w:tcBorders>
            <w:shd w:val="clear" w:color="auto" w:fill="auto"/>
            <w:noWrap/>
            <w:vAlign w:val="bottom"/>
            <w:hideMark/>
          </w:tcPr>
          <w:p w14:paraId="2358923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c>
          <w:tcPr>
            <w:tcW w:w="1843" w:type="dxa"/>
            <w:tcBorders>
              <w:top w:val="nil"/>
              <w:left w:val="nil"/>
              <w:bottom w:val="nil"/>
              <w:right w:val="nil"/>
            </w:tcBorders>
            <w:shd w:val="clear" w:color="auto" w:fill="auto"/>
            <w:noWrap/>
            <w:vAlign w:val="bottom"/>
            <w:hideMark/>
          </w:tcPr>
          <w:p w14:paraId="17EE2AE3"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r>
      <w:tr w:rsidR="00AC362E" w:rsidRPr="00491EF1" w14:paraId="52545D46" w14:textId="77777777" w:rsidTr="00ED0631">
        <w:trPr>
          <w:trHeight w:val="315"/>
        </w:trPr>
        <w:tc>
          <w:tcPr>
            <w:tcW w:w="1575" w:type="dxa"/>
            <w:tcBorders>
              <w:top w:val="nil"/>
              <w:left w:val="nil"/>
              <w:bottom w:val="nil"/>
              <w:right w:val="nil"/>
            </w:tcBorders>
            <w:shd w:val="clear" w:color="auto" w:fill="auto"/>
            <w:noWrap/>
            <w:vAlign w:val="bottom"/>
            <w:hideMark/>
          </w:tcPr>
          <w:p w14:paraId="63BB318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Sth Tarawa </w:t>
            </w:r>
          </w:p>
        </w:tc>
        <w:tc>
          <w:tcPr>
            <w:tcW w:w="1417" w:type="dxa"/>
            <w:tcBorders>
              <w:top w:val="nil"/>
              <w:left w:val="nil"/>
              <w:bottom w:val="nil"/>
              <w:right w:val="nil"/>
            </w:tcBorders>
            <w:shd w:val="clear" w:color="auto" w:fill="auto"/>
            <w:noWrap/>
            <w:vAlign w:val="bottom"/>
            <w:hideMark/>
          </w:tcPr>
          <w:p w14:paraId="1F67DD3D"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w:t>
            </w:r>
          </w:p>
        </w:tc>
        <w:tc>
          <w:tcPr>
            <w:tcW w:w="1985" w:type="dxa"/>
            <w:tcBorders>
              <w:top w:val="nil"/>
              <w:left w:val="nil"/>
              <w:bottom w:val="nil"/>
              <w:right w:val="nil"/>
            </w:tcBorders>
            <w:shd w:val="clear" w:color="auto" w:fill="auto"/>
            <w:noWrap/>
            <w:vAlign w:val="bottom"/>
            <w:hideMark/>
          </w:tcPr>
          <w:p w14:paraId="6E9F34CA"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14</w:t>
            </w:r>
          </w:p>
        </w:tc>
        <w:tc>
          <w:tcPr>
            <w:tcW w:w="1842" w:type="dxa"/>
            <w:tcBorders>
              <w:top w:val="nil"/>
              <w:left w:val="nil"/>
              <w:bottom w:val="nil"/>
              <w:right w:val="nil"/>
            </w:tcBorders>
            <w:shd w:val="clear" w:color="auto" w:fill="auto"/>
            <w:noWrap/>
            <w:vAlign w:val="bottom"/>
            <w:hideMark/>
          </w:tcPr>
          <w:p w14:paraId="6CB91C1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46</w:t>
            </w:r>
          </w:p>
        </w:tc>
        <w:tc>
          <w:tcPr>
            <w:tcW w:w="1843" w:type="dxa"/>
            <w:tcBorders>
              <w:top w:val="nil"/>
              <w:left w:val="nil"/>
              <w:bottom w:val="nil"/>
              <w:right w:val="nil"/>
            </w:tcBorders>
            <w:shd w:val="clear" w:color="auto" w:fill="auto"/>
            <w:noWrap/>
            <w:vAlign w:val="bottom"/>
            <w:hideMark/>
          </w:tcPr>
          <w:p w14:paraId="1477C88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31</w:t>
            </w:r>
          </w:p>
        </w:tc>
      </w:tr>
      <w:tr w:rsidR="00AC362E" w:rsidRPr="00491EF1" w14:paraId="4D903519" w14:textId="77777777" w:rsidTr="00ED0631">
        <w:trPr>
          <w:trHeight w:val="315"/>
        </w:trPr>
        <w:tc>
          <w:tcPr>
            <w:tcW w:w="1575" w:type="dxa"/>
            <w:tcBorders>
              <w:top w:val="single" w:sz="4" w:space="0" w:color="auto"/>
              <w:left w:val="nil"/>
              <w:bottom w:val="single" w:sz="4" w:space="0" w:color="auto"/>
              <w:right w:val="nil"/>
            </w:tcBorders>
            <w:shd w:val="clear" w:color="auto" w:fill="auto"/>
            <w:noWrap/>
            <w:vAlign w:val="bottom"/>
            <w:hideMark/>
          </w:tcPr>
          <w:p w14:paraId="098B20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Total </w:t>
            </w:r>
          </w:p>
        </w:tc>
        <w:tc>
          <w:tcPr>
            <w:tcW w:w="1417" w:type="dxa"/>
            <w:tcBorders>
              <w:top w:val="single" w:sz="4" w:space="0" w:color="auto"/>
              <w:left w:val="nil"/>
              <w:bottom w:val="single" w:sz="4" w:space="0" w:color="auto"/>
              <w:right w:val="nil"/>
            </w:tcBorders>
            <w:shd w:val="clear" w:color="auto" w:fill="auto"/>
            <w:noWrap/>
            <w:vAlign w:val="bottom"/>
            <w:hideMark/>
          </w:tcPr>
          <w:p w14:paraId="3975E7D5"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37</w:t>
            </w:r>
          </w:p>
        </w:tc>
        <w:tc>
          <w:tcPr>
            <w:tcW w:w="1985" w:type="dxa"/>
            <w:tcBorders>
              <w:top w:val="single" w:sz="4" w:space="0" w:color="auto"/>
              <w:left w:val="nil"/>
              <w:bottom w:val="single" w:sz="4" w:space="0" w:color="auto"/>
              <w:right w:val="nil"/>
            </w:tcBorders>
            <w:shd w:val="clear" w:color="auto" w:fill="auto"/>
            <w:noWrap/>
            <w:vAlign w:val="bottom"/>
            <w:hideMark/>
          </w:tcPr>
          <w:p w14:paraId="7B4BB948"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35</w:t>
            </w:r>
          </w:p>
        </w:tc>
        <w:tc>
          <w:tcPr>
            <w:tcW w:w="1842" w:type="dxa"/>
            <w:tcBorders>
              <w:top w:val="single" w:sz="4" w:space="0" w:color="auto"/>
              <w:left w:val="nil"/>
              <w:bottom w:val="single" w:sz="4" w:space="0" w:color="auto"/>
              <w:right w:val="nil"/>
            </w:tcBorders>
            <w:shd w:val="clear" w:color="auto" w:fill="auto"/>
            <w:noWrap/>
            <w:vAlign w:val="bottom"/>
            <w:hideMark/>
          </w:tcPr>
          <w:p w14:paraId="230FF65F"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82</w:t>
            </w:r>
          </w:p>
        </w:tc>
        <w:tc>
          <w:tcPr>
            <w:tcW w:w="1843" w:type="dxa"/>
            <w:tcBorders>
              <w:top w:val="single" w:sz="4" w:space="0" w:color="auto"/>
              <w:left w:val="nil"/>
              <w:bottom w:val="single" w:sz="4" w:space="0" w:color="auto"/>
              <w:right w:val="nil"/>
            </w:tcBorders>
            <w:shd w:val="clear" w:color="auto" w:fill="auto"/>
            <w:noWrap/>
            <w:vAlign w:val="bottom"/>
            <w:hideMark/>
          </w:tcPr>
          <w:p w14:paraId="366B4DB0" w14:textId="77777777" w:rsidR="00AC362E" w:rsidRPr="00491EF1" w:rsidRDefault="00AC362E" w:rsidP="00ED0631">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50</w:t>
            </w:r>
          </w:p>
        </w:tc>
      </w:tr>
    </w:tbl>
    <w:p w14:paraId="518928BB" w14:textId="77777777" w:rsidR="00AC362E" w:rsidRDefault="00AC362E" w:rsidP="00ED0631">
      <w:pPr>
        <w:pStyle w:val="Heading3"/>
        <w:rPr>
          <w:rFonts w:eastAsia="Times New Roman"/>
          <w:lang w:eastAsia="en-AU"/>
        </w:rPr>
      </w:pPr>
      <w:bookmarkStart w:id="145" w:name="_Toc461615763"/>
      <w:r>
        <w:rPr>
          <w:rFonts w:eastAsia="Times New Roman"/>
          <w:lang w:eastAsia="en-AU"/>
        </w:rPr>
        <w:t>6.2.2</w:t>
      </w:r>
      <w:r>
        <w:rPr>
          <w:rFonts w:eastAsia="Times New Roman"/>
          <w:lang w:eastAsia="en-AU"/>
        </w:rPr>
        <w:tab/>
        <w:t>Professional development for teachers</w:t>
      </w:r>
      <w:bookmarkEnd w:id="145"/>
    </w:p>
    <w:p w14:paraId="15EC67C7" w14:textId="77777777" w:rsidR="00AC362E" w:rsidRDefault="00AC362E" w:rsidP="00ED0631">
      <w:pPr>
        <w:spacing w:before="240"/>
        <w:rPr>
          <w:lang w:eastAsia="en-AU"/>
        </w:rPr>
      </w:pPr>
      <w:r>
        <w:rPr>
          <w:lang w:eastAsia="en-AU"/>
        </w:rPr>
        <w:t xml:space="preserve">The Literature Review noted, that </w:t>
      </w:r>
    </w:p>
    <w:p w14:paraId="2955E89A" w14:textId="77777777" w:rsidR="00AC362E" w:rsidRPr="002C19BD" w:rsidRDefault="00AC362E" w:rsidP="00ED0631">
      <w:pPr>
        <w:spacing w:before="240"/>
        <w:ind w:left="567" w:right="521"/>
        <w:rPr>
          <w:i/>
          <w:lang w:eastAsia="en-AU"/>
        </w:rPr>
      </w:pPr>
      <w:r>
        <w:rPr>
          <w:rFonts w:cstheme="minorHAnsi"/>
          <w:i/>
        </w:rPr>
        <w:t>‘</w:t>
      </w:r>
      <w:r w:rsidRPr="002C19BD">
        <w:rPr>
          <w:rFonts w:cstheme="minorHAnsi"/>
          <w:i/>
        </w:rPr>
        <w:t>Providing, promoting and participating in teacher development that is relevant to the local school context and aligned both with overall school improvement goals and teachers’ needs is a key responsibility for school leaders. Robinson (2007) finds that promoting and participating in teacher learning and development (both formal and informal) has a large effect on pupil’s learning</w:t>
      </w:r>
      <w:r>
        <w:rPr>
          <w:rFonts w:cstheme="minorHAnsi"/>
          <w:i/>
        </w:rPr>
        <w:t>”</w:t>
      </w:r>
      <w:r w:rsidRPr="002C19BD">
        <w:rPr>
          <w:rFonts w:cstheme="minorHAnsi"/>
          <w:i/>
        </w:rPr>
        <w:t>.</w:t>
      </w:r>
    </w:p>
    <w:p w14:paraId="5FC93555" w14:textId="77777777" w:rsidR="00AC362E" w:rsidRDefault="00AC362E" w:rsidP="00ED0631">
      <w:pPr>
        <w:spacing w:before="240"/>
        <w:rPr>
          <w:rFonts w:ascii="Arial" w:hAnsi="Arial" w:cs="Arial"/>
        </w:rPr>
      </w:pPr>
      <w:r>
        <w:rPr>
          <w:lang w:eastAsia="en-AU"/>
        </w:rPr>
        <w:t>Across all schools the CSR Team identified only one example of professional development initiated by a School Leader. Some School Leaders questioned whether this was even part of their responsibility</w:t>
      </w:r>
      <w:r>
        <w:rPr>
          <w:rStyle w:val="FootnoteReference"/>
          <w:lang w:eastAsia="en-AU"/>
        </w:rPr>
        <w:footnoteReference w:id="35"/>
      </w:r>
      <w:r>
        <w:rPr>
          <w:lang w:eastAsia="en-AU"/>
        </w:rPr>
        <w:t xml:space="preserve">. </w:t>
      </w:r>
    </w:p>
    <w:p w14:paraId="450FF278" w14:textId="77777777" w:rsidR="00AC362E" w:rsidRDefault="00AC362E" w:rsidP="00ED0631">
      <w:pPr>
        <w:rPr>
          <w:lang w:eastAsia="en-AU"/>
        </w:rPr>
      </w:pPr>
      <w:r>
        <w:rPr>
          <w:lang w:eastAsia="en-AU"/>
        </w:rPr>
        <w:t xml:space="preserve">Interestingly, the example that was observed involved professional development not for permanent or contract teachers but for monitors. At </w:t>
      </w:r>
      <w:r w:rsidRPr="00C91DAF">
        <w:rPr>
          <w:i/>
          <w:lang w:eastAsia="en-AU"/>
        </w:rPr>
        <w:t>Ainen Karawa School</w:t>
      </w:r>
      <w:r>
        <w:rPr>
          <w:lang w:eastAsia="en-AU"/>
        </w:rPr>
        <w:t xml:space="preserve"> several monitors were being used to cover the absence of a teacher on maternity leave. The monitors were each paired with a permanent or contract teacher who acted as a mentor and who oversaw their development of lesson plans and teaching aides. Monitors were required to use the MOE format for lesson plans even though other teachers at the school used the KTC format because the MOE format was considered to be a better to support the monitor’s professional development. The day’s lessons were divided up amongst the monitors so that each was teaching only one or two lessons a day. Classroom observations of the monitors teaching concluded that the strategy was highly effective with some of the best teaching observed anywhere occurring in these monitor’s lessons.</w:t>
      </w:r>
    </w:p>
    <w:p w14:paraId="0FD5B159" w14:textId="77777777" w:rsidR="00AC362E" w:rsidRDefault="00AC362E" w:rsidP="00ED0631">
      <w:pPr>
        <w:rPr>
          <w:lang w:eastAsia="en-AU"/>
        </w:rPr>
      </w:pPr>
      <w:r>
        <w:rPr>
          <w:lang w:eastAsia="en-AU"/>
        </w:rPr>
        <w:t>Other professional development appeared to be confined to that initiated by the MOE or KTC. At several schools KTC coaches had recently visited and it was clear that teachers regarded the support of the KTC coaches highly. A feature of the KTC coaching appeared to be classroom observation followed by out of class support for problem issues either observed or requested by the teacher. It was likely therefore to be highly relevant to the particular issues being experienced at each school.</w:t>
      </w:r>
    </w:p>
    <w:p w14:paraId="14016F50" w14:textId="77777777" w:rsidR="00AC362E" w:rsidRDefault="00AC362E" w:rsidP="00ED0631">
      <w:pPr>
        <w:rPr>
          <w:lang w:eastAsia="en-AU"/>
        </w:rPr>
      </w:pPr>
      <w:r>
        <w:rPr>
          <w:lang w:eastAsia="en-AU"/>
        </w:rPr>
        <w:lastRenderedPageBreak/>
        <w:t>Apart from this the only professional development noted was English language training provided to small numbers of Year 3 and 4 teachers under KELP. School Leaders neither initiated this or selected participants but they were generally supportive of teachers attending and in at least one case covered the Teachers absence but taking their classes themselves.</w:t>
      </w:r>
    </w:p>
    <w:p w14:paraId="16180A96" w14:textId="77777777" w:rsidR="00AC362E" w:rsidRPr="00672283" w:rsidRDefault="00AC362E" w:rsidP="00ED0631">
      <w:pPr>
        <w:rPr>
          <w:lang w:eastAsia="en-AU"/>
        </w:rPr>
      </w:pPr>
      <w:r>
        <w:rPr>
          <w:lang w:eastAsia="en-AU"/>
        </w:rPr>
        <w:t>Finally, a number of School Leaders interviewed noted that they had not received any professional development aimed at developing their leadership skills.  The only exception noted was one School Leader in South Tarawa who reported having attended a UNESCO run group meeting with other school leaders on one occasion.</w:t>
      </w:r>
    </w:p>
    <w:p w14:paraId="335ACAA6" w14:textId="77777777" w:rsidR="00AC362E" w:rsidRPr="00533187" w:rsidRDefault="00AC362E" w:rsidP="00ED0631">
      <w:pPr>
        <w:pStyle w:val="Heading3"/>
        <w:rPr>
          <w:rFonts w:eastAsia="Times New Roman"/>
          <w:lang w:eastAsia="en-AU"/>
        </w:rPr>
      </w:pPr>
      <w:bookmarkStart w:id="146" w:name="_Toc461615764"/>
      <w:r>
        <w:rPr>
          <w:rFonts w:eastAsia="Times New Roman"/>
          <w:lang w:eastAsia="en-AU"/>
        </w:rPr>
        <w:t>6.2.3</w:t>
      </w:r>
      <w:r>
        <w:rPr>
          <w:rFonts w:eastAsia="Times New Roman"/>
          <w:lang w:eastAsia="en-AU"/>
        </w:rPr>
        <w:tab/>
      </w:r>
      <w:r w:rsidRPr="00533187">
        <w:rPr>
          <w:rFonts w:eastAsia="Times New Roman"/>
          <w:lang w:eastAsia="en-AU"/>
        </w:rPr>
        <w:t>Use of monitors in the classroom</w:t>
      </w:r>
      <w:bookmarkEnd w:id="146"/>
    </w:p>
    <w:p w14:paraId="3D1D17F3" w14:textId="77777777" w:rsidR="00AC362E" w:rsidRDefault="00AC362E" w:rsidP="00ED0631">
      <w:pPr>
        <w:spacing w:before="240"/>
        <w:rPr>
          <w:rFonts w:cs="Arial"/>
        </w:rPr>
      </w:pPr>
      <w:r>
        <w:rPr>
          <w:rFonts w:cs="Arial"/>
        </w:rPr>
        <w:t xml:space="preserve">Notwithstanding the excellent use of monitors in </w:t>
      </w:r>
      <w:r w:rsidRPr="00AC403B">
        <w:rPr>
          <w:rFonts w:cs="Arial"/>
          <w:i/>
        </w:rPr>
        <w:t>Ainen Karawa School</w:t>
      </w:r>
      <w:r>
        <w:rPr>
          <w:rFonts w:cs="Arial"/>
        </w:rPr>
        <w:t xml:space="preserve"> noted above, the use of monitors in other schools was common and generally appeared to be problematic. In most Case Study schools monitors were found to be teaching classes on a full time basis without any significant support from other teachers. Often they were teaching senior grades because permanent teachers had received training on the new curriculum in Years 1&amp;2 and 3&amp;4. </w:t>
      </w:r>
    </w:p>
    <w:p w14:paraId="202C905C" w14:textId="77777777" w:rsidR="00AC362E" w:rsidRPr="002E77BD" w:rsidRDefault="00AC362E" w:rsidP="00ED0631">
      <w:pPr>
        <w:spacing w:before="240"/>
        <w:rPr>
          <w:rFonts w:cs="Arial"/>
        </w:rPr>
      </w:pPr>
      <w:r>
        <w:rPr>
          <w:rFonts w:cs="Arial"/>
        </w:rPr>
        <w:t>In saying this it needs to be acknowledged that many schools and School Leaders have no option but to utilise monitors in this way. For example, two small schools visited in the CSR both had monitors teaching Year 5&amp;6 but since there were only two other teachers at the school, one of whom was the School Leader with a full-time teaching load, there was no other option available to the school.</w:t>
      </w:r>
    </w:p>
    <w:p w14:paraId="68AACD0C" w14:textId="77777777" w:rsidR="00AC362E" w:rsidRPr="0072514B" w:rsidRDefault="00AC362E" w:rsidP="00ED0631">
      <w:pPr>
        <w:pStyle w:val="Heading2"/>
      </w:pPr>
      <w:bookmarkStart w:id="147" w:name="_Toc461615765"/>
      <w:r>
        <w:t>6.3</w:t>
      </w:r>
      <w:r>
        <w:tab/>
      </w:r>
      <w:r w:rsidRPr="0072514B">
        <w:t>Community Consultations</w:t>
      </w:r>
      <w:bookmarkEnd w:id="147"/>
    </w:p>
    <w:p w14:paraId="7B8924F7" w14:textId="77777777" w:rsidR="00AC362E" w:rsidRDefault="00AC362E" w:rsidP="00ED0631">
      <w:pPr>
        <w:spacing w:before="240" w:after="0"/>
        <w:rPr>
          <w:rFonts w:eastAsia="Times New Roman" w:cs="Times New Roman"/>
          <w:lang w:eastAsia="en-AU"/>
        </w:rPr>
      </w:pPr>
      <w:r>
        <w:rPr>
          <w:rFonts w:eastAsia="Times New Roman" w:cs="Times New Roman"/>
          <w:lang w:eastAsia="en-AU"/>
        </w:rPr>
        <w:t>The CSR found varying levels of community involvement and participation in education. Both School committees and SIP committees were found to be operating in most schools and there was generally a high degree of overlap in function.</w:t>
      </w:r>
    </w:p>
    <w:p w14:paraId="575C0F3D" w14:textId="77777777" w:rsidR="00AC362E" w:rsidRPr="00533187" w:rsidRDefault="00AC362E" w:rsidP="00ED0631">
      <w:pPr>
        <w:pStyle w:val="Heading3"/>
        <w:ind w:right="-188"/>
        <w:rPr>
          <w:rFonts w:eastAsia="Times New Roman"/>
          <w:lang w:eastAsia="en-AU"/>
        </w:rPr>
      </w:pPr>
      <w:bookmarkStart w:id="148" w:name="_Toc461615766"/>
      <w:r>
        <w:rPr>
          <w:rFonts w:eastAsia="Times New Roman"/>
          <w:lang w:eastAsia="en-AU"/>
        </w:rPr>
        <w:t>6.3.1</w:t>
      </w:r>
      <w:r>
        <w:rPr>
          <w:rFonts w:eastAsia="Times New Roman"/>
          <w:lang w:eastAsia="en-AU"/>
        </w:rPr>
        <w:tab/>
        <w:t>Support from parents for the school and participation in their children’s education</w:t>
      </w:r>
      <w:bookmarkEnd w:id="148"/>
    </w:p>
    <w:p w14:paraId="01C18C94" w14:textId="77777777" w:rsidR="00AC362E" w:rsidRPr="009B43E0" w:rsidRDefault="00AC362E" w:rsidP="00ED0631">
      <w:pPr>
        <w:spacing w:before="240"/>
        <w:rPr>
          <w:rFonts w:cs="Arial"/>
        </w:rPr>
      </w:pPr>
      <w:r>
        <w:rPr>
          <w:rFonts w:cs="Arial"/>
        </w:rPr>
        <w:t xml:space="preserve">The SED asked both teachers and School Leaders about the attendance of parents in parent teacher </w:t>
      </w:r>
      <w:r w:rsidRPr="009B43E0">
        <w:rPr>
          <w:rFonts w:cs="Arial"/>
        </w:rPr>
        <w:t xml:space="preserve">interviews (see </w:t>
      </w:r>
      <w:r w:rsidRPr="009B43E0">
        <w:rPr>
          <w:rFonts w:cs="Arial"/>
          <w:i/>
        </w:rPr>
        <w:t>Table 16</w:t>
      </w:r>
      <w:r w:rsidRPr="009B43E0">
        <w:rPr>
          <w:rFonts w:cs="Arial"/>
        </w:rPr>
        <w:t>). The two groups had widely different estimates of the proportion of parents who had attended except in South Tarawa where both Teachers and School Leaders estimated a little more than half of all parents had attended a parent teacher interview</w:t>
      </w:r>
      <w:r w:rsidRPr="009B43E0">
        <w:rPr>
          <w:rStyle w:val="FootnoteReference"/>
          <w:rFonts w:cs="Arial"/>
        </w:rPr>
        <w:footnoteReference w:id="36"/>
      </w:r>
      <w:r w:rsidRPr="009B43E0">
        <w:rPr>
          <w:rFonts w:cs="Arial"/>
        </w:rPr>
        <w:t>. Reporting from SED Household Surveys seems to accord well with the estimate of about half of all children’s parents attending teacher parent meetings although the same data also shows parents attending other school meetings and functions in addition to parent teacher meetings.</w:t>
      </w:r>
    </w:p>
    <w:p w14:paraId="793AAF14" w14:textId="77777777" w:rsidR="00AC362E" w:rsidRDefault="00AC362E" w:rsidP="00ED0631">
      <w:pPr>
        <w:spacing w:after="0"/>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t>Table 16: Teachers and School Leaders estimates of the proportion of parents who had attended parent-teacher interviews in the last 12 months by island type</w:t>
      </w:r>
    </w:p>
    <w:p w14:paraId="5F35B2E9" w14:textId="77777777" w:rsidR="007A5872" w:rsidRPr="007A5872" w:rsidRDefault="007A5872" w:rsidP="00ED0631">
      <w:pPr>
        <w:spacing w:after="0"/>
        <w:rPr>
          <w:rFonts w:asciiTheme="majorHAnsi" w:eastAsia="Times New Roman" w:hAnsiTheme="majorHAnsi" w:cstheme="majorHAnsi"/>
          <w:b/>
          <w:color w:val="000000"/>
          <w:lang w:eastAsia="en-AU"/>
        </w:rPr>
      </w:pPr>
    </w:p>
    <w:tbl>
      <w:tblPr>
        <w:tblW w:w="5591" w:type="dxa"/>
        <w:tblInd w:w="93" w:type="dxa"/>
        <w:tblLook w:val="04A0" w:firstRow="1" w:lastRow="0" w:firstColumn="1" w:lastColumn="0" w:noHBand="0" w:noVBand="1"/>
      </w:tblPr>
      <w:tblGrid>
        <w:gridCol w:w="1921"/>
        <w:gridCol w:w="1388"/>
        <w:gridCol w:w="284"/>
        <w:gridCol w:w="1998"/>
      </w:tblGrid>
      <w:tr w:rsidR="00AC362E" w:rsidRPr="007A5872" w14:paraId="1ADF7856" w14:textId="77777777" w:rsidTr="00491EF1">
        <w:trPr>
          <w:trHeight w:val="315"/>
        </w:trPr>
        <w:tc>
          <w:tcPr>
            <w:tcW w:w="1921" w:type="dxa"/>
            <w:tcBorders>
              <w:top w:val="single" w:sz="4" w:space="0" w:color="auto"/>
              <w:left w:val="nil"/>
              <w:bottom w:val="nil"/>
              <w:right w:val="nil"/>
            </w:tcBorders>
            <w:shd w:val="clear" w:color="auto" w:fill="auto"/>
            <w:noWrap/>
            <w:vAlign w:val="bottom"/>
            <w:hideMark/>
          </w:tcPr>
          <w:p w14:paraId="5B5B7DA4" w14:textId="77777777" w:rsidR="00AC362E" w:rsidRPr="007A5872" w:rsidRDefault="00AC362E" w:rsidP="00ED0631">
            <w:pPr>
              <w:spacing w:after="0"/>
              <w:rPr>
                <w:rFonts w:asciiTheme="majorHAnsi" w:eastAsia="Times New Roman" w:hAnsiTheme="majorHAnsi" w:cstheme="majorHAnsi"/>
                <w:b/>
                <w:bCs/>
                <w:color w:val="000000"/>
                <w:lang w:eastAsia="en-AU"/>
              </w:rPr>
            </w:pPr>
            <w:r w:rsidRPr="007A5872">
              <w:rPr>
                <w:rFonts w:asciiTheme="majorHAnsi" w:eastAsia="Times New Roman" w:hAnsiTheme="majorHAnsi" w:cstheme="majorHAnsi"/>
                <w:b/>
                <w:bCs/>
                <w:color w:val="000000"/>
                <w:lang w:eastAsia="en-AU"/>
              </w:rPr>
              <w:t> </w:t>
            </w:r>
          </w:p>
        </w:tc>
        <w:tc>
          <w:tcPr>
            <w:tcW w:w="1388" w:type="dxa"/>
            <w:tcBorders>
              <w:top w:val="single" w:sz="4" w:space="0" w:color="auto"/>
              <w:left w:val="nil"/>
              <w:bottom w:val="nil"/>
              <w:right w:val="nil"/>
            </w:tcBorders>
            <w:shd w:val="clear" w:color="auto" w:fill="auto"/>
            <w:noWrap/>
            <w:vAlign w:val="bottom"/>
            <w:hideMark/>
          </w:tcPr>
          <w:p w14:paraId="5FEFD23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Teacher’s Estimate</w:t>
            </w:r>
          </w:p>
        </w:tc>
        <w:tc>
          <w:tcPr>
            <w:tcW w:w="284" w:type="dxa"/>
            <w:tcBorders>
              <w:top w:val="single" w:sz="4" w:space="0" w:color="auto"/>
              <w:left w:val="nil"/>
              <w:bottom w:val="nil"/>
              <w:right w:val="nil"/>
            </w:tcBorders>
            <w:vAlign w:val="bottom"/>
          </w:tcPr>
          <w:p w14:paraId="0E609FCA"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c>
          <w:tcPr>
            <w:tcW w:w="1998" w:type="dxa"/>
            <w:tcBorders>
              <w:top w:val="single" w:sz="4" w:space="0" w:color="auto"/>
              <w:left w:val="nil"/>
              <w:bottom w:val="nil"/>
              <w:right w:val="nil"/>
            </w:tcBorders>
            <w:vAlign w:val="bottom"/>
          </w:tcPr>
          <w:p w14:paraId="2BDEBC03"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School Leader’s Estimate</w:t>
            </w:r>
          </w:p>
        </w:tc>
      </w:tr>
      <w:tr w:rsidR="00AC362E" w:rsidRPr="007A5872" w14:paraId="4CABA10A" w14:textId="77777777" w:rsidTr="00491EF1">
        <w:trPr>
          <w:trHeight w:val="315"/>
        </w:trPr>
        <w:tc>
          <w:tcPr>
            <w:tcW w:w="1921" w:type="dxa"/>
            <w:tcBorders>
              <w:top w:val="single" w:sz="4" w:space="0" w:color="auto"/>
              <w:left w:val="nil"/>
              <w:bottom w:val="nil"/>
              <w:right w:val="nil"/>
            </w:tcBorders>
            <w:shd w:val="clear" w:color="auto" w:fill="auto"/>
            <w:noWrap/>
            <w:vAlign w:val="bottom"/>
            <w:hideMark/>
          </w:tcPr>
          <w:p w14:paraId="0A184C65"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Large island</w:t>
            </w:r>
          </w:p>
        </w:tc>
        <w:tc>
          <w:tcPr>
            <w:tcW w:w="1388" w:type="dxa"/>
            <w:tcBorders>
              <w:top w:val="single" w:sz="4" w:space="0" w:color="auto"/>
              <w:left w:val="nil"/>
              <w:bottom w:val="nil"/>
              <w:right w:val="nil"/>
            </w:tcBorders>
            <w:shd w:val="clear" w:color="auto" w:fill="auto"/>
            <w:noWrap/>
            <w:vAlign w:val="bottom"/>
            <w:hideMark/>
          </w:tcPr>
          <w:p w14:paraId="6137674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40</w:t>
            </w:r>
          </w:p>
        </w:tc>
        <w:tc>
          <w:tcPr>
            <w:tcW w:w="284" w:type="dxa"/>
            <w:tcBorders>
              <w:top w:val="single" w:sz="4" w:space="0" w:color="auto"/>
              <w:left w:val="nil"/>
              <w:bottom w:val="nil"/>
              <w:right w:val="nil"/>
            </w:tcBorders>
            <w:vAlign w:val="bottom"/>
          </w:tcPr>
          <w:p w14:paraId="2582E00C"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c>
          <w:tcPr>
            <w:tcW w:w="1998" w:type="dxa"/>
            <w:tcBorders>
              <w:top w:val="single" w:sz="4" w:space="0" w:color="auto"/>
              <w:left w:val="nil"/>
              <w:bottom w:val="nil"/>
              <w:right w:val="nil"/>
            </w:tcBorders>
            <w:vAlign w:val="bottom"/>
          </w:tcPr>
          <w:p w14:paraId="28D9F57E"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55</w:t>
            </w:r>
          </w:p>
        </w:tc>
      </w:tr>
      <w:tr w:rsidR="00AC362E" w:rsidRPr="007A5872" w14:paraId="61D91AAC" w14:textId="77777777" w:rsidTr="00491EF1">
        <w:trPr>
          <w:trHeight w:val="315"/>
        </w:trPr>
        <w:tc>
          <w:tcPr>
            <w:tcW w:w="1921" w:type="dxa"/>
            <w:tcBorders>
              <w:top w:val="nil"/>
              <w:left w:val="nil"/>
              <w:bottom w:val="nil"/>
              <w:right w:val="nil"/>
            </w:tcBorders>
            <w:shd w:val="clear" w:color="auto" w:fill="auto"/>
            <w:noWrap/>
            <w:vAlign w:val="bottom"/>
            <w:hideMark/>
          </w:tcPr>
          <w:p w14:paraId="6F4DD44C"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Small island</w:t>
            </w:r>
          </w:p>
        </w:tc>
        <w:tc>
          <w:tcPr>
            <w:tcW w:w="1388" w:type="dxa"/>
            <w:tcBorders>
              <w:top w:val="nil"/>
              <w:left w:val="nil"/>
              <w:bottom w:val="nil"/>
              <w:right w:val="nil"/>
            </w:tcBorders>
            <w:shd w:val="clear" w:color="auto" w:fill="auto"/>
            <w:noWrap/>
            <w:vAlign w:val="bottom"/>
            <w:hideMark/>
          </w:tcPr>
          <w:p w14:paraId="17D6556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9</w:t>
            </w:r>
          </w:p>
        </w:tc>
        <w:tc>
          <w:tcPr>
            <w:tcW w:w="284" w:type="dxa"/>
            <w:tcBorders>
              <w:top w:val="nil"/>
              <w:left w:val="nil"/>
              <w:bottom w:val="nil"/>
              <w:right w:val="nil"/>
            </w:tcBorders>
            <w:vAlign w:val="bottom"/>
          </w:tcPr>
          <w:p w14:paraId="14964820"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c>
          <w:tcPr>
            <w:tcW w:w="1998" w:type="dxa"/>
            <w:tcBorders>
              <w:top w:val="nil"/>
              <w:left w:val="nil"/>
              <w:bottom w:val="nil"/>
              <w:right w:val="nil"/>
            </w:tcBorders>
            <w:vAlign w:val="bottom"/>
          </w:tcPr>
          <w:p w14:paraId="6459BDF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49</w:t>
            </w:r>
          </w:p>
        </w:tc>
      </w:tr>
      <w:tr w:rsidR="00AC362E" w:rsidRPr="007A5872" w14:paraId="7C9468E4" w14:textId="77777777" w:rsidTr="00491EF1">
        <w:trPr>
          <w:trHeight w:val="315"/>
        </w:trPr>
        <w:tc>
          <w:tcPr>
            <w:tcW w:w="1921" w:type="dxa"/>
            <w:tcBorders>
              <w:top w:val="nil"/>
              <w:left w:val="nil"/>
              <w:bottom w:val="nil"/>
              <w:right w:val="nil"/>
            </w:tcBorders>
            <w:shd w:val="clear" w:color="auto" w:fill="auto"/>
            <w:noWrap/>
            <w:vAlign w:val="bottom"/>
            <w:hideMark/>
          </w:tcPr>
          <w:p w14:paraId="60E11AF0"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Sth Tarawa</w:t>
            </w:r>
          </w:p>
        </w:tc>
        <w:tc>
          <w:tcPr>
            <w:tcW w:w="1388" w:type="dxa"/>
            <w:tcBorders>
              <w:top w:val="nil"/>
              <w:left w:val="nil"/>
              <w:bottom w:val="nil"/>
              <w:right w:val="nil"/>
            </w:tcBorders>
            <w:shd w:val="clear" w:color="auto" w:fill="auto"/>
            <w:noWrap/>
            <w:vAlign w:val="bottom"/>
            <w:hideMark/>
          </w:tcPr>
          <w:p w14:paraId="36D35CF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53</w:t>
            </w:r>
          </w:p>
        </w:tc>
        <w:tc>
          <w:tcPr>
            <w:tcW w:w="284" w:type="dxa"/>
            <w:tcBorders>
              <w:top w:val="nil"/>
              <w:left w:val="nil"/>
              <w:bottom w:val="nil"/>
              <w:right w:val="nil"/>
            </w:tcBorders>
            <w:vAlign w:val="bottom"/>
          </w:tcPr>
          <w:p w14:paraId="65A1C877"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c>
          <w:tcPr>
            <w:tcW w:w="1998" w:type="dxa"/>
            <w:tcBorders>
              <w:top w:val="nil"/>
              <w:left w:val="nil"/>
              <w:bottom w:val="nil"/>
              <w:right w:val="nil"/>
            </w:tcBorders>
            <w:vAlign w:val="bottom"/>
          </w:tcPr>
          <w:p w14:paraId="0A94768B"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52</w:t>
            </w:r>
          </w:p>
        </w:tc>
      </w:tr>
      <w:tr w:rsidR="00AC362E" w:rsidRPr="007A5872" w14:paraId="40BFBA27" w14:textId="77777777" w:rsidTr="00491EF1">
        <w:trPr>
          <w:trHeight w:val="315"/>
        </w:trPr>
        <w:tc>
          <w:tcPr>
            <w:tcW w:w="1921" w:type="dxa"/>
            <w:tcBorders>
              <w:top w:val="single" w:sz="4" w:space="0" w:color="auto"/>
              <w:left w:val="nil"/>
              <w:bottom w:val="single" w:sz="4" w:space="0" w:color="auto"/>
              <w:right w:val="nil"/>
            </w:tcBorders>
            <w:shd w:val="clear" w:color="auto" w:fill="auto"/>
            <w:noWrap/>
            <w:vAlign w:val="bottom"/>
            <w:hideMark/>
          </w:tcPr>
          <w:p w14:paraId="6488EE15"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Total</w:t>
            </w:r>
          </w:p>
        </w:tc>
        <w:tc>
          <w:tcPr>
            <w:tcW w:w="1388" w:type="dxa"/>
            <w:tcBorders>
              <w:top w:val="single" w:sz="4" w:space="0" w:color="auto"/>
              <w:left w:val="nil"/>
              <w:bottom w:val="single" w:sz="4" w:space="0" w:color="auto"/>
              <w:right w:val="nil"/>
            </w:tcBorders>
            <w:shd w:val="clear" w:color="auto" w:fill="auto"/>
            <w:noWrap/>
            <w:vAlign w:val="bottom"/>
            <w:hideMark/>
          </w:tcPr>
          <w:p w14:paraId="74229430"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43</w:t>
            </w:r>
          </w:p>
        </w:tc>
        <w:tc>
          <w:tcPr>
            <w:tcW w:w="284" w:type="dxa"/>
            <w:tcBorders>
              <w:top w:val="single" w:sz="4" w:space="0" w:color="auto"/>
              <w:left w:val="nil"/>
              <w:bottom w:val="single" w:sz="4" w:space="0" w:color="auto"/>
              <w:right w:val="nil"/>
            </w:tcBorders>
            <w:vAlign w:val="bottom"/>
          </w:tcPr>
          <w:p w14:paraId="6D9BD93D"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c>
          <w:tcPr>
            <w:tcW w:w="1998" w:type="dxa"/>
            <w:tcBorders>
              <w:top w:val="single" w:sz="4" w:space="0" w:color="auto"/>
              <w:left w:val="nil"/>
              <w:bottom w:val="single" w:sz="4" w:space="0" w:color="auto"/>
              <w:right w:val="nil"/>
            </w:tcBorders>
            <w:vAlign w:val="bottom"/>
          </w:tcPr>
          <w:p w14:paraId="0EE9F74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53</w:t>
            </w:r>
          </w:p>
        </w:tc>
      </w:tr>
    </w:tbl>
    <w:p w14:paraId="16554AD4" w14:textId="77777777" w:rsidR="00AC362E" w:rsidRPr="007A5872" w:rsidRDefault="00AC362E" w:rsidP="00ED0631">
      <w:pPr>
        <w:spacing w:before="240" w:after="0"/>
        <w:rPr>
          <w:rFonts w:asciiTheme="majorHAnsi" w:eastAsia="Times New Roman" w:hAnsiTheme="majorHAnsi" w:cstheme="majorHAnsi"/>
          <w:color w:val="000000"/>
          <w:spacing w:val="-2"/>
          <w:lang w:eastAsia="en-AU"/>
        </w:rPr>
      </w:pPr>
      <w:r w:rsidRPr="007A5872">
        <w:rPr>
          <w:rFonts w:asciiTheme="majorHAnsi" w:eastAsia="Times New Roman" w:hAnsiTheme="majorHAnsi" w:cstheme="majorHAnsi"/>
          <w:color w:val="000000"/>
          <w:spacing w:val="-2"/>
          <w:lang w:eastAsia="en-AU"/>
        </w:rPr>
        <w:t xml:space="preserve">Interestingly, 93% of both School Leaders and Teachers rated parent teacher meetings either </w:t>
      </w:r>
      <w:r w:rsidRPr="007A5872">
        <w:rPr>
          <w:rFonts w:asciiTheme="majorHAnsi" w:eastAsia="Times New Roman" w:hAnsiTheme="majorHAnsi" w:cstheme="majorHAnsi"/>
          <w:i/>
          <w:color w:val="000000"/>
          <w:spacing w:val="-2"/>
          <w:lang w:eastAsia="en-AU"/>
        </w:rPr>
        <w:t>‘valuable’</w:t>
      </w:r>
      <w:r w:rsidRPr="007A5872">
        <w:rPr>
          <w:rFonts w:asciiTheme="majorHAnsi" w:eastAsia="Times New Roman" w:hAnsiTheme="majorHAnsi" w:cstheme="majorHAnsi"/>
          <w:color w:val="000000"/>
          <w:spacing w:val="-2"/>
          <w:lang w:eastAsia="en-AU"/>
        </w:rPr>
        <w:t xml:space="preserve"> or </w:t>
      </w:r>
      <w:r w:rsidRPr="007A5872">
        <w:rPr>
          <w:rFonts w:asciiTheme="majorHAnsi" w:eastAsia="Times New Roman" w:hAnsiTheme="majorHAnsi" w:cstheme="majorHAnsi"/>
          <w:i/>
          <w:color w:val="000000"/>
          <w:spacing w:val="-2"/>
          <w:lang w:eastAsia="en-AU"/>
        </w:rPr>
        <w:t>‘very valuable’</w:t>
      </w:r>
      <w:r w:rsidRPr="007A5872">
        <w:rPr>
          <w:rFonts w:asciiTheme="majorHAnsi" w:eastAsia="Times New Roman" w:hAnsiTheme="majorHAnsi" w:cstheme="majorHAnsi"/>
          <w:color w:val="000000"/>
          <w:spacing w:val="-2"/>
          <w:lang w:eastAsia="en-AU"/>
        </w:rPr>
        <w:t xml:space="preserve"> but again this was subject to considerable variation across locations (see </w:t>
      </w:r>
      <w:r w:rsidRPr="007A5872">
        <w:rPr>
          <w:rFonts w:asciiTheme="majorHAnsi" w:eastAsia="Times New Roman" w:hAnsiTheme="majorHAnsi" w:cstheme="majorHAnsi"/>
          <w:i/>
          <w:color w:val="000000"/>
          <w:spacing w:val="-2"/>
          <w:lang w:eastAsia="en-AU"/>
        </w:rPr>
        <w:t>Table 17</w:t>
      </w:r>
      <w:r w:rsidRPr="007A5872">
        <w:rPr>
          <w:rFonts w:asciiTheme="majorHAnsi" w:eastAsia="Times New Roman" w:hAnsiTheme="majorHAnsi" w:cstheme="majorHAnsi"/>
          <w:color w:val="000000"/>
          <w:spacing w:val="-2"/>
          <w:lang w:eastAsia="en-AU"/>
        </w:rPr>
        <w:t xml:space="preserve"> and </w:t>
      </w:r>
      <w:r w:rsidRPr="007A5872">
        <w:rPr>
          <w:rFonts w:asciiTheme="majorHAnsi" w:eastAsia="Times New Roman" w:hAnsiTheme="majorHAnsi" w:cstheme="majorHAnsi"/>
          <w:i/>
          <w:color w:val="000000"/>
          <w:spacing w:val="-2"/>
          <w:lang w:eastAsia="en-AU"/>
        </w:rPr>
        <w:t>Table 18</w:t>
      </w:r>
      <w:r w:rsidRPr="007A5872">
        <w:rPr>
          <w:rFonts w:asciiTheme="majorHAnsi" w:eastAsia="Times New Roman" w:hAnsiTheme="majorHAnsi" w:cstheme="majorHAnsi"/>
          <w:color w:val="000000"/>
          <w:spacing w:val="-2"/>
          <w:lang w:eastAsia="en-AU"/>
        </w:rPr>
        <w:t>).</w:t>
      </w:r>
    </w:p>
    <w:p w14:paraId="612466A1" w14:textId="77777777" w:rsidR="00AC362E" w:rsidRPr="007A5872" w:rsidRDefault="00AC362E" w:rsidP="00ED0631">
      <w:pPr>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br w:type="page"/>
      </w:r>
      <w:r w:rsidRPr="007A5872">
        <w:rPr>
          <w:rFonts w:asciiTheme="majorHAnsi" w:eastAsia="Times New Roman" w:hAnsiTheme="majorHAnsi" w:cstheme="majorHAnsi"/>
          <w:b/>
          <w:color w:val="000000"/>
          <w:lang w:eastAsia="en-AU"/>
        </w:rPr>
        <w:lastRenderedPageBreak/>
        <w:t>Table 17: Number of teacher’s rating of the value of parent-teacher interviews by island type</w:t>
      </w:r>
    </w:p>
    <w:tbl>
      <w:tblPr>
        <w:tblW w:w="5971" w:type="dxa"/>
        <w:tblInd w:w="93" w:type="dxa"/>
        <w:tblLook w:val="04A0" w:firstRow="1" w:lastRow="0" w:firstColumn="1" w:lastColumn="0" w:noHBand="0" w:noVBand="1"/>
      </w:tblPr>
      <w:tblGrid>
        <w:gridCol w:w="1433"/>
        <w:gridCol w:w="1134"/>
        <w:gridCol w:w="995"/>
        <w:gridCol w:w="1276"/>
        <w:gridCol w:w="1134"/>
      </w:tblGrid>
      <w:tr w:rsidR="00AC362E" w:rsidRPr="007A5872" w14:paraId="007DD794"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4C82107E" w14:textId="77777777" w:rsidR="00AC362E" w:rsidRPr="007A5872" w:rsidRDefault="00AC362E" w:rsidP="00ED0631">
            <w:pPr>
              <w:spacing w:after="0"/>
              <w:rPr>
                <w:rFonts w:asciiTheme="majorHAnsi" w:eastAsia="Times New Roman" w:hAnsiTheme="majorHAnsi" w:cstheme="majorHAnsi"/>
                <w:b/>
                <w:bCs/>
                <w:color w:val="000000"/>
                <w:lang w:eastAsia="en-AU"/>
              </w:rPr>
            </w:pPr>
            <w:r w:rsidRPr="007A5872">
              <w:rPr>
                <w:rFonts w:asciiTheme="majorHAnsi" w:eastAsia="Times New Roman" w:hAnsiTheme="majorHAnsi" w:cstheme="majorHAnsi"/>
                <w:b/>
                <w:bCs/>
                <w:color w:val="000000"/>
                <w:lang w:eastAsia="en-AU"/>
              </w:rPr>
              <w:t> </w:t>
            </w:r>
          </w:p>
        </w:tc>
        <w:tc>
          <w:tcPr>
            <w:tcW w:w="1134" w:type="dxa"/>
            <w:tcBorders>
              <w:top w:val="single" w:sz="4" w:space="0" w:color="auto"/>
              <w:left w:val="nil"/>
              <w:bottom w:val="nil"/>
              <w:right w:val="nil"/>
            </w:tcBorders>
            <w:shd w:val="clear" w:color="auto" w:fill="auto"/>
            <w:noWrap/>
            <w:vAlign w:val="bottom"/>
            <w:hideMark/>
          </w:tcPr>
          <w:p w14:paraId="34BFA21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Very valuable</w:t>
            </w:r>
          </w:p>
        </w:tc>
        <w:tc>
          <w:tcPr>
            <w:tcW w:w="994" w:type="dxa"/>
            <w:tcBorders>
              <w:top w:val="single" w:sz="4" w:space="0" w:color="auto"/>
              <w:left w:val="nil"/>
              <w:bottom w:val="nil"/>
              <w:right w:val="nil"/>
            </w:tcBorders>
            <w:shd w:val="clear" w:color="auto" w:fill="auto"/>
            <w:noWrap/>
            <w:vAlign w:val="bottom"/>
            <w:hideMark/>
          </w:tcPr>
          <w:p w14:paraId="36BA30E9"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Valuable</w:t>
            </w:r>
          </w:p>
        </w:tc>
        <w:tc>
          <w:tcPr>
            <w:tcW w:w="1276" w:type="dxa"/>
            <w:tcBorders>
              <w:top w:val="single" w:sz="4" w:space="0" w:color="auto"/>
              <w:left w:val="nil"/>
              <w:bottom w:val="nil"/>
              <w:right w:val="nil"/>
            </w:tcBorders>
            <w:shd w:val="clear" w:color="auto" w:fill="auto"/>
            <w:noWrap/>
            <w:vAlign w:val="bottom"/>
            <w:hideMark/>
          </w:tcPr>
          <w:p w14:paraId="1FF32B5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Reasonably Valuable</w:t>
            </w:r>
          </w:p>
        </w:tc>
        <w:tc>
          <w:tcPr>
            <w:tcW w:w="1134" w:type="dxa"/>
            <w:tcBorders>
              <w:top w:val="single" w:sz="4" w:space="0" w:color="auto"/>
              <w:left w:val="nil"/>
              <w:bottom w:val="nil"/>
              <w:right w:val="nil"/>
            </w:tcBorders>
            <w:shd w:val="clear" w:color="auto" w:fill="auto"/>
            <w:noWrap/>
            <w:vAlign w:val="bottom"/>
            <w:hideMark/>
          </w:tcPr>
          <w:p w14:paraId="4ED29A7F"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Not Valuable</w:t>
            </w:r>
          </w:p>
        </w:tc>
      </w:tr>
      <w:tr w:rsidR="00AC362E" w:rsidRPr="007A5872" w14:paraId="60527280"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76C3E948"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Large island </w:t>
            </w:r>
          </w:p>
        </w:tc>
        <w:tc>
          <w:tcPr>
            <w:tcW w:w="1134" w:type="dxa"/>
            <w:tcBorders>
              <w:top w:val="single" w:sz="4" w:space="0" w:color="auto"/>
              <w:left w:val="nil"/>
              <w:bottom w:val="nil"/>
              <w:right w:val="nil"/>
            </w:tcBorders>
            <w:shd w:val="clear" w:color="auto" w:fill="auto"/>
            <w:noWrap/>
            <w:vAlign w:val="bottom"/>
            <w:hideMark/>
          </w:tcPr>
          <w:p w14:paraId="54D968EA"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49</w:t>
            </w:r>
          </w:p>
        </w:tc>
        <w:tc>
          <w:tcPr>
            <w:tcW w:w="994" w:type="dxa"/>
            <w:tcBorders>
              <w:top w:val="single" w:sz="4" w:space="0" w:color="auto"/>
              <w:left w:val="nil"/>
              <w:bottom w:val="nil"/>
              <w:right w:val="nil"/>
            </w:tcBorders>
            <w:shd w:val="clear" w:color="auto" w:fill="auto"/>
            <w:noWrap/>
            <w:vAlign w:val="bottom"/>
            <w:hideMark/>
          </w:tcPr>
          <w:p w14:paraId="339AC4D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22</w:t>
            </w:r>
          </w:p>
        </w:tc>
        <w:tc>
          <w:tcPr>
            <w:tcW w:w="1276" w:type="dxa"/>
            <w:tcBorders>
              <w:top w:val="single" w:sz="4" w:space="0" w:color="auto"/>
              <w:left w:val="nil"/>
              <w:bottom w:val="nil"/>
              <w:right w:val="nil"/>
            </w:tcBorders>
            <w:shd w:val="clear" w:color="auto" w:fill="auto"/>
            <w:noWrap/>
            <w:vAlign w:val="bottom"/>
            <w:hideMark/>
          </w:tcPr>
          <w:p w14:paraId="537DE177"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c>
          <w:tcPr>
            <w:tcW w:w="1134" w:type="dxa"/>
            <w:tcBorders>
              <w:top w:val="single" w:sz="4" w:space="0" w:color="auto"/>
              <w:left w:val="nil"/>
              <w:bottom w:val="nil"/>
              <w:right w:val="nil"/>
            </w:tcBorders>
            <w:shd w:val="clear" w:color="auto" w:fill="auto"/>
            <w:noWrap/>
            <w:vAlign w:val="bottom"/>
            <w:hideMark/>
          </w:tcPr>
          <w:p w14:paraId="1F3F740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8</w:t>
            </w:r>
          </w:p>
        </w:tc>
      </w:tr>
      <w:tr w:rsidR="00AC362E" w:rsidRPr="007A5872" w14:paraId="7BFB32BA" w14:textId="77777777" w:rsidTr="00ED0631">
        <w:trPr>
          <w:trHeight w:val="315"/>
        </w:trPr>
        <w:tc>
          <w:tcPr>
            <w:tcW w:w="1433" w:type="dxa"/>
            <w:tcBorders>
              <w:top w:val="nil"/>
              <w:left w:val="nil"/>
              <w:bottom w:val="nil"/>
              <w:right w:val="nil"/>
            </w:tcBorders>
            <w:shd w:val="clear" w:color="auto" w:fill="auto"/>
            <w:noWrap/>
            <w:vAlign w:val="bottom"/>
            <w:hideMark/>
          </w:tcPr>
          <w:p w14:paraId="55FF896A"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Small island </w:t>
            </w:r>
          </w:p>
        </w:tc>
        <w:tc>
          <w:tcPr>
            <w:tcW w:w="1134" w:type="dxa"/>
            <w:tcBorders>
              <w:top w:val="nil"/>
              <w:left w:val="nil"/>
              <w:bottom w:val="nil"/>
              <w:right w:val="nil"/>
            </w:tcBorders>
            <w:shd w:val="clear" w:color="auto" w:fill="auto"/>
            <w:noWrap/>
            <w:vAlign w:val="bottom"/>
            <w:hideMark/>
          </w:tcPr>
          <w:p w14:paraId="47479D7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15</w:t>
            </w:r>
          </w:p>
        </w:tc>
        <w:tc>
          <w:tcPr>
            <w:tcW w:w="994" w:type="dxa"/>
            <w:tcBorders>
              <w:top w:val="nil"/>
              <w:left w:val="nil"/>
              <w:bottom w:val="nil"/>
              <w:right w:val="nil"/>
            </w:tcBorders>
            <w:shd w:val="clear" w:color="auto" w:fill="auto"/>
            <w:noWrap/>
            <w:vAlign w:val="bottom"/>
            <w:hideMark/>
          </w:tcPr>
          <w:p w14:paraId="216FF48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9</w:t>
            </w:r>
          </w:p>
        </w:tc>
        <w:tc>
          <w:tcPr>
            <w:tcW w:w="1276" w:type="dxa"/>
            <w:tcBorders>
              <w:top w:val="nil"/>
              <w:left w:val="nil"/>
              <w:bottom w:val="nil"/>
              <w:right w:val="nil"/>
            </w:tcBorders>
            <w:shd w:val="clear" w:color="auto" w:fill="auto"/>
            <w:noWrap/>
            <w:vAlign w:val="bottom"/>
            <w:hideMark/>
          </w:tcPr>
          <w:p w14:paraId="5F03EDC0"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c>
          <w:tcPr>
            <w:tcW w:w="1134" w:type="dxa"/>
            <w:tcBorders>
              <w:top w:val="nil"/>
              <w:left w:val="nil"/>
              <w:bottom w:val="nil"/>
              <w:right w:val="nil"/>
            </w:tcBorders>
            <w:shd w:val="clear" w:color="auto" w:fill="auto"/>
            <w:noWrap/>
            <w:vAlign w:val="bottom"/>
            <w:hideMark/>
          </w:tcPr>
          <w:p w14:paraId="34C4C660"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r>
      <w:tr w:rsidR="00AC362E" w:rsidRPr="007A5872" w14:paraId="5ABB5C4A" w14:textId="77777777" w:rsidTr="00ED0631">
        <w:trPr>
          <w:trHeight w:val="315"/>
        </w:trPr>
        <w:tc>
          <w:tcPr>
            <w:tcW w:w="1433" w:type="dxa"/>
            <w:tcBorders>
              <w:top w:val="nil"/>
              <w:left w:val="nil"/>
              <w:bottom w:val="nil"/>
              <w:right w:val="nil"/>
            </w:tcBorders>
            <w:shd w:val="clear" w:color="auto" w:fill="auto"/>
            <w:noWrap/>
            <w:vAlign w:val="bottom"/>
            <w:hideMark/>
          </w:tcPr>
          <w:p w14:paraId="6ED61250"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Sth Tarawa </w:t>
            </w:r>
          </w:p>
        </w:tc>
        <w:tc>
          <w:tcPr>
            <w:tcW w:w="1134" w:type="dxa"/>
            <w:tcBorders>
              <w:top w:val="nil"/>
              <w:left w:val="nil"/>
              <w:bottom w:val="nil"/>
              <w:right w:val="nil"/>
            </w:tcBorders>
            <w:shd w:val="clear" w:color="auto" w:fill="auto"/>
            <w:noWrap/>
            <w:vAlign w:val="bottom"/>
            <w:hideMark/>
          </w:tcPr>
          <w:p w14:paraId="258973EF"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45</w:t>
            </w:r>
          </w:p>
        </w:tc>
        <w:tc>
          <w:tcPr>
            <w:tcW w:w="994" w:type="dxa"/>
            <w:tcBorders>
              <w:top w:val="nil"/>
              <w:left w:val="nil"/>
              <w:bottom w:val="nil"/>
              <w:right w:val="nil"/>
            </w:tcBorders>
            <w:shd w:val="clear" w:color="auto" w:fill="auto"/>
            <w:noWrap/>
            <w:vAlign w:val="bottom"/>
            <w:hideMark/>
          </w:tcPr>
          <w:p w14:paraId="25316ED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51</w:t>
            </w:r>
          </w:p>
        </w:tc>
        <w:tc>
          <w:tcPr>
            <w:tcW w:w="1276" w:type="dxa"/>
            <w:tcBorders>
              <w:top w:val="nil"/>
              <w:left w:val="nil"/>
              <w:bottom w:val="nil"/>
              <w:right w:val="nil"/>
            </w:tcBorders>
            <w:shd w:val="clear" w:color="auto" w:fill="auto"/>
            <w:noWrap/>
            <w:vAlign w:val="bottom"/>
            <w:hideMark/>
          </w:tcPr>
          <w:p w14:paraId="74751D57"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w:t>
            </w:r>
          </w:p>
        </w:tc>
        <w:tc>
          <w:tcPr>
            <w:tcW w:w="1134" w:type="dxa"/>
            <w:tcBorders>
              <w:top w:val="nil"/>
              <w:left w:val="nil"/>
              <w:bottom w:val="nil"/>
              <w:right w:val="nil"/>
            </w:tcBorders>
            <w:shd w:val="clear" w:color="auto" w:fill="auto"/>
            <w:noWrap/>
            <w:vAlign w:val="bottom"/>
            <w:hideMark/>
          </w:tcPr>
          <w:p w14:paraId="4BF3958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r>
      <w:tr w:rsidR="00AC362E" w:rsidRPr="007A5872" w14:paraId="57022AC5" w14:textId="77777777" w:rsidTr="00ED063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60D06856"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Total </w:t>
            </w:r>
          </w:p>
        </w:tc>
        <w:tc>
          <w:tcPr>
            <w:tcW w:w="1134" w:type="dxa"/>
            <w:tcBorders>
              <w:top w:val="single" w:sz="4" w:space="0" w:color="auto"/>
              <w:left w:val="nil"/>
              <w:bottom w:val="single" w:sz="4" w:space="0" w:color="auto"/>
              <w:right w:val="nil"/>
            </w:tcBorders>
            <w:shd w:val="clear" w:color="auto" w:fill="auto"/>
            <w:noWrap/>
            <w:vAlign w:val="bottom"/>
            <w:hideMark/>
          </w:tcPr>
          <w:p w14:paraId="363F82D6"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109</w:t>
            </w:r>
          </w:p>
        </w:tc>
        <w:tc>
          <w:tcPr>
            <w:tcW w:w="994" w:type="dxa"/>
            <w:tcBorders>
              <w:top w:val="single" w:sz="4" w:space="0" w:color="auto"/>
              <w:left w:val="nil"/>
              <w:bottom w:val="single" w:sz="4" w:space="0" w:color="auto"/>
              <w:right w:val="nil"/>
            </w:tcBorders>
            <w:shd w:val="clear" w:color="auto" w:fill="auto"/>
            <w:noWrap/>
            <w:vAlign w:val="bottom"/>
            <w:hideMark/>
          </w:tcPr>
          <w:p w14:paraId="3D8B0C2E"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82</w:t>
            </w:r>
          </w:p>
        </w:tc>
        <w:tc>
          <w:tcPr>
            <w:tcW w:w="1276" w:type="dxa"/>
            <w:tcBorders>
              <w:top w:val="single" w:sz="4" w:space="0" w:color="auto"/>
              <w:left w:val="nil"/>
              <w:bottom w:val="single" w:sz="4" w:space="0" w:color="auto"/>
              <w:right w:val="nil"/>
            </w:tcBorders>
            <w:shd w:val="clear" w:color="auto" w:fill="auto"/>
            <w:noWrap/>
            <w:vAlign w:val="bottom"/>
            <w:hideMark/>
          </w:tcPr>
          <w:p w14:paraId="1A5F22A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1134" w:type="dxa"/>
            <w:tcBorders>
              <w:top w:val="single" w:sz="4" w:space="0" w:color="auto"/>
              <w:left w:val="nil"/>
              <w:bottom w:val="single" w:sz="4" w:space="0" w:color="auto"/>
              <w:right w:val="nil"/>
            </w:tcBorders>
            <w:shd w:val="clear" w:color="auto" w:fill="auto"/>
            <w:noWrap/>
            <w:vAlign w:val="bottom"/>
            <w:hideMark/>
          </w:tcPr>
          <w:p w14:paraId="4EC0D6E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9</w:t>
            </w:r>
          </w:p>
        </w:tc>
      </w:tr>
    </w:tbl>
    <w:p w14:paraId="092FBE42" w14:textId="77777777" w:rsidR="00AC362E" w:rsidRPr="007A5872" w:rsidRDefault="00AC362E" w:rsidP="00ED0631">
      <w:pPr>
        <w:spacing w:before="200" w:after="0"/>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t>Table 18: Number of School Leader’s rating of the value parent-teacher meeting/discussion about their child’s progress by island category</w:t>
      </w:r>
    </w:p>
    <w:tbl>
      <w:tblPr>
        <w:tblW w:w="4977" w:type="dxa"/>
        <w:tblInd w:w="93" w:type="dxa"/>
        <w:tblLook w:val="04A0" w:firstRow="1" w:lastRow="0" w:firstColumn="1" w:lastColumn="0" w:noHBand="0" w:noVBand="1"/>
      </w:tblPr>
      <w:tblGrid>
        <w:gridCol w:w="1423"/>
        <w:gridCol w:w="995"/>
        <w:gridCol w:w="1284"/>
        <w:gridCol w:w="1276"/>
      </w:tblGrid>
      <w:tr w:rsidR="00AC362E" w:rsidRPr="007A5872" w14:paraId="57777844" w14:textId="77777777" w:rsidTr="00ED0631">
        <w:trPr>
          <w:trHeight w:val="315"/>
        </w:trPr>
        <w:tc>
          <w:tcPr>
            <w:tcW w:w="1423" w:type="dxa"/>
            <w:tcBorders>
              <w:top w:val="single" w:sz="4" w:space="0" w:color="auto"/>
              <w:left w:val="nil"/>
              <w:bottom w:val="single" w:sz="4" w:space="0" w:color="auto"/>
              <w:right w:val="nil"/>
            </w:tcBorders>
            <w:shd w:val="clear" w:color="auto" w:fill="auto"/>
            <w:noWrap/>
            <w:vAlign w:val="bottom"/>
            <w:hideMark/>
          </w:tcPr>
          <w:p w14:paraId="07A292AB" w14:textId="77777777" w:rsidR="00AC362E" w:rsidRPr="007A5872" w:rsidRDefault="00AC362E" w:rsidP="00ED0631">
            <w:pPr>
              <w:spacing w:after="0"/>
              <w:rPr>
                <w:rFonts w:asciiTheme="majorHAnsi" w:eastAsia="Times New Roman" w:hAnsiTheme="majorHAnsi" w:cstheme="majorHAnsi"/>
                <w:color w:val="000000"/>
                <w:lang w:eastAsia="en-AU"/>
              </w:rPr>
            </w:pPr>
          </w:p>
        </w:tc>
        <w:tc>
          <w:tcPr>
            <w:tcW w:w="994" w:type="dxa"/>
            <w:tcBorders>
              <w:top w:val="single" w:sz="4" w:space="0" w:color="auto"/>
              <w:left w:val="nil"/>
              <w:bottom w:val="single" w:sz="4" w:space="0" w:color="auto"/>
              <w:right w:val="nil"/>
            </w:tcBorders>
            <w:shd w:val="clear" w:color="auto" w:fill="auto"/>
            <w:noWrap/>
            <w:vAlign w:val="bottom"/>
            <w:hideMark/>
          </w:tcPr>
          <w:p w14:paraId="02E14F70"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Very Valuable</w:t>
            </w:r>
          </w:p>
        </w:tc>
        <w:tc>
          <w:tcPr>
            <w:tcW w:w="1284" w:type="dxa"/>
            <w:tcBorders>
              <w:top w:val="single" w:sz="4" w:space="0" w:color="auto"/>
              <w:left w:val="nil"/>
              <w:bottom w:val="single" w:sz="4" w:space="0" w:color="auto"/>
              <w:right w:val="nil"/>
            </w:tcBorders>
            <w:shd w:val="clear" w:color="auto" w:fill="auto"/>
            <w:noWrap/>
            <w:vAlign w:val="bottom"/>
            <w:hideMark/>
          </w:tcPr>
          <w:p w14:paraId="18B140B3"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Reasonably Valuable</w:t>
            </w:r>
          </w:p>
        </w:tc>
        <w:tc>
          <w:tcPr>
            <w:tcW w:w="1276" w:type="dxa"/>
            <w:tcBorders>
              <w:top w:val="single" w:sz="4" w:space="0" w:color="auto"/>
              <w:left w:val="nil"/>
              <w:bottom w:val="single" w:sz="4" w:space="0" w:color="auto"/>
              <w:right w:val="nil"/>
            </w:tcBorders>
            <w:shd w:val="clear" w:color="auto" w:fill="auto"/>
            <w:noWrap/>
            <w:vAlign w:val="bottom"/>
            <w:hideMark/>
          </w:tcPr>
          <w:p w14:paraId="630BD1AB"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Valuable</w:t>
            </w:r>
          </w:p>
        </w:tc>
      </w:tr>
      <w:tr w:rsidR="00AC362E" w:rsidRPr="007A5872" w14:paraId="4BFD4E22" w14:textId="77777777" w:rsidTr="00ED0631">
        <w:trPr>
          <w:trHeight w:val="315"/>
        </w:trPr>
        <w:tc>
          <w:tcPr>
            <w:tcW w:w="1423" w:type="dxa"/>
            <w:tcBorders>
              <w:top w:val="nil"/>
              <w:left w:val="nil"/>
              <w:bottom w:val="nil"/>
              <w:right w:val="nil"/>
            </w:tcBorders>
            <w:shd w:val="clear" w:color="auto" w:fill="auto"/>
            <w:noWrap/>
            <w:vAlign w:val="bottom"/>
            <w:hideMark/>
          </w:tcPr>
          <w:p w14:paraId="1D4DBF2B"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Large island </w:t>
            </w:r>
          </w:p>
        </w:tc>
        <w:tc>
          <w:tcPr>
            <w:tcW w:w="994" w:type="dxa"/>
            <w:tcBorders>
              <w:top w:val="nil"/>
              <w:left w:val="nil"/>
              <w:bottom w:val="nil"/>
              <w:right w:val="nil"/>
            </w:tcBorders>
            <w:shd w:val="clear" w:color="auto" w:fill="auto"/>
            <w:noWrap/>
            <w:vAlign w:val="bottom"/>
            <w:hideMark/>
          </w:tcPr>
          <w:p w14:paraId="4AAB8EC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15</w:t>
            </w:r>
          </w:p>
        </w:tc>
        <w:tc>
          <w:tcPr>
            <w:tcW w:w="1284" w:type="dxa"/>
            <w:tcBorders>
              <w:top w:val="nil"/>
              <w:left w:val="nil"/>
              <w:bottom w:val="nil"/>
              <w:right w:val="nil"/>
            </w:tcBorders>
            <w:shd w:val="clear" w:color="auto" w:fill="auto"/>
            <w:noWrap/>
            <w:vAlign w:val="bottom"/>
            <w:hideMark/>
          </w:tcPr>
          <w:p w14:paraId="3290CD3F"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8</w:t>
            </w:r>
          </w:p>
        </w:tc>
        <w:tc>
          <w:tcPr>
            <w:tcW w:w="1276" w:type="dxa"/>
            <w:tcBorders>
              <w:top w:val="nil"/>
              <w:left w:val="nil"/>
              <w:bottom w:val="nil"/>
              <w:right w:val="nil"/>
            </w:tcBorders>
            <w:shd w:val="clear" w:color="auto" w:fill="auto"/>
            <w:noWrap/>
            <w:vAlign w:val="bottom"/>
            <w:hideMark/>
          </w:tcPr>
          <w:p w14:paraId="781EADC5"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r>
      <w:tr w:rsidR="00AC362E" w:rsidRPr="007A5872" w14:paraId="75610F64" w14:textId="77777777" w:rsidTr="00ED0631">
        <w:trPr>
          <w:trHeight w:val="315"/>
        </w:trPr>
        <w:tc>
          <w:tcPr>
            <w:tcW w:w="1423" w:type="dxa"/>
            <w:tcBorders>
              <w:top w:val="nil"/>
              <w:left w:val="nil"/>
              <w:bottom w:val="nil"/>
              <w:right w:val="nil"/>
            </w:tcBorders>
            <w:shd w:val="clear" w:color="auto" w:fill="auto"/>
            <w:noWrap/>
            <w:vAlign w:val="bottom"/>
            <w:hideMark/>
          </w:tcPr>
          <w:p w14:paraId="4FAB5A06"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Small island </w:t>
            </w:r>
          </w:p>
        </w:tc>
        <w:tc>
          <w:tcPr>
            <w:tcW w:w="994" w:type="dxa"/>
            <w:tcBorders>
              <w:top w:val="nil"/>
              <w:left w:val="nil"/>
              <w:bottom w:val="nil"/>
              <w:right w:val="nil"/>
            </w:tcBorders>
            <w:shd w:val="clear" w:color="auto" w:fill="auto"/>
            <w:noWrap/>
            <w:vAlign w:val="bottom"/>
            <w:hideMark/>
          </w:tcPr>
          <w:p w14:paraId="7BA972B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7</w:t>
            </w:r>
          </w:p>
        </w:tc>
        <w:tc>
          <w:tcPr>
            <w:tcW w:w="1284" w:type="dxa"/>
            <w:tcBorders>
              <w:top w:val="nil"/>
              <w:left w:val="nil"/>
              <w:bottom w:val="nil"/>
              <w:right w:val="nil"/>
            </w:tcBorders>
            <w:shd w:val="clear" w:color="auto" w:fill="auto"/>
            <w:noWrap/>
            <w:vAlign w:val="bottom"/>
            <w:hideMark/>
          </w:tcPr>
          <w:p w14:paraId="2EA1DA53"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1276" w:type="dxa"/>
            <w:tcBorders>
              <w:top w:val="nil"/>
              <w:left w:val="nil"/>
              <w:bottom w:val="nil"/>
              <w:right w:val="nil"/>
            </w:tcBorders>
            <w:shd w:val="clear" w:color="auto" w:fill="auto"/>
            <w:noWrap/>
            <w:vAlign w:val="bottom"/>
            <w:hideMark/>
          </w:tcPr>
          <w:p w14:paraId="12417CE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w:t>
            </w:r>
          </w:p>
        </w:tc>
      </w:tr>
      <w:tr w:rsidR="00AC362E" w:rsidRPr="007A5872" w14:paraId="4431D62E" w14:textId="77777777" w:rsidTr="00ED0631">
        <w:trPr>
          <w:trHeight w:val="315"/>
        </w:trPr>
        <w:tc>
          <w:tcPr>
            <w:tcW w:w="1423" w:type="dxa"/>
            <w:tcBorders>
              <w:top w:val="nil"/>
              <w:left w:val="nil"/>
              <w:bottom w:val="nil"/>
              <w:right w:val="nil"/>
            </w:tcBorders>
            <w:shd w:val="clear" w:color="auto" w:fill="auto"/>
            <w:noWrap/>
            <w:vAlign w:val="bottom"/>
            <w:hideMark/>
          </w:tcPr>
          <w:p w14:paraId="279863FE"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Sth Tarawa </w:t>
            </w:r>
          </w:p>
        </w:tc>
        <w:tc>
          <w:tcPr>
            <w:tcW w:w="994" w:type="dxa"/>
            <w:tcBorders>
              <w:top w:val="nil"/>
              <w:left w:val="nil"/>
              <w:bottom w:val="nil"/>
              <w:right w:val="nil"/>
            </w:tcBorders>
            <w:shd w:val="clear" w:color="auto" w:fill="auto"/>
            <w:noWrap/>
            <w:vAlign w:val="bottom"/>
            <w:hideMark/>
          </w:tcPr>
          <w:p w14:paraId="1C40DA1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w:t>
            </w:r>
          </w:p>
        </w:tc>
        <w:tc>
          <w:tcPr>
            <w:tcW w:w="1284" w:type="dxa"/>
            <w:tcBorders>
              <w:top w:val="nil"/>
              <w:left w:val="nil"/>
              <w:bottom w:val="nil"/>
              <w:right w:val="nil"/>
            </w:tcBorders>
            <w:shd w:val="clear" w:color="auto" w:fill="auto"/>
            <w:noWrap/>
            <w:vAlign w:val="bottom"/>
            <w:hideMark/>
          </w:tcPr>
          <w:p w14:paraId="7EFAB35C"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w:t>
            </w:r>
          </w:p>
        </w:tc>
        <w:tc>
          <w:tcPr>
            <w:tcW w:w="1276" w:type="dxa"/>
            <w:tcBorders>
              <w:top w:val="nil"/>
              <w:left w:val="nil"/>
              <w:bottom w:val="nil"/>
              <w:right w:val="nil"/>
            </w:tcBorders>
            <w:shd w:val="clear" w:color="auto" w:fill="auto"/>
            <w:noWrap/>
            <w:vAlign w:val="bottom"/>
            <w:hideMark/>
          </w:tcPr>
          <w:p w14:paraId="72BFD3EB"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r>
      <w:tr w:rsidR="00AC362E" w:rsidRPr="007A5872" w14:paraId="13C888F2" w14:textId="77777777" w:rsidTr="00ED0631">
        <w:trPr>
          <w:trHeight w:val="315"/>
        </w:trPr>
        <w:tc>
          <w:tcPr>
            <w:tcW w:w="1423" w:type="dxa"/>
            <w:tcBorders>
              <w:top w:val="single" w:sz="4" w:space="0" w:color="auto"/>
              <w:left w:val="nil"/>
              <w:bottom w:val="single" w:sz="4" w:space="0" w:color="auto"/>
              <w:right w:val="nil"/>
            </w:tcBorders>
            <w:shd w:val="clear" w:color="auto" w:fill="auto"/>
            <w:noWrap/>
            <w:vAlign w:val="bottom"/>
            <w:hideMark/>
          </w:tcPr>
          <w:p w14:paraId="46F28DA2"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Total </w:t>
            </w:r>
          </w:p>
        </w:tc>
        <w:tc>
          <w:tcPr>
            <w:tcW w:w="994" w:type="dxa"/>
            <w:tcBorders>
              <w:top w:val="single" w:sz="4" w:space="0" w:color="auto"/>
              <w:left w:val="nil"/>
              <w:bottom w:val="single" w:sz="4" w:space="0" w:color="auto"/>
              <w:right w:val="nil"/>
            </w:tcBorders>
            <w:shd w:val="clear" w:color="auto" w:fill="auto"/>
            <w:noWrap/>
            <w:vAlign w:val="bottom"/>
            <w:hideMark/>
          </w:tcPr>
          <w:p w14:paraId="6230616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27</w:t>
            </w:r>
          </w:p>
        </w:tc>
        <w:tc>
          <w:tcPr>
            <w:tcW w:w="1284" w:type="dxa"/>
            <w:tcBorders>
              <w:top w:val="single" w:sz="4" w:space="0" w:color="auto"/>
              <w:left w:val="nil"/>
              <w:bottom w:val="single" w:sz="4" w:space="0" w:color="auto"/>
              <w:right w:val="nil"/>
            </w:tcBorders>
            <w:shd w:val="clear" w:color="auto" w:fill="auto"/>
            <w:noWrap/>
            <w:vAlign w:val="bottom"/>
            <w:hideMark/>
          </w:tcPr>
          <w:p w14:paraId="7515BFA6"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17</w:t>
            </w:r>
          </w:p>
        </w:tc>
        <w:tc>
          <w:tcPr>
            <w:tcW w:w="1276" w:type="dxa"/>
            <w:tcBorders>
              <w:top w:val="single" w:sz="4" w:space="0" w:color="auto"/>
              <w:left w:val="nil"/>
              <w:bottom w:val="single" w:sz="4" w:space="0" w:color="auto"/>
              <w:right w:val="nil"/>
            </w:tcBorders>
            <w:shd w:val="clear" w:color="auto" w:fill="auto"/>
            <w:noWrap/>
            <w:vAlign w:val="bottom"/>
            <w:hideMark/>
          </w:tcPr>
          <w:p w14:paraId="5E66409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w:t>
            </w:r>
          </w:p>
        </w:tc>
      </w:tr>
    </w:tbl>
    <w:p w14:paraId="0F3A6636" w14:textId="77777777" w:rsidR="00AC362E" w:rsidRPr="007A5872" w:rsidRDefault="00AC362E" w:rsidP="00ED0631">
      <w:pPr>
        <w:spacing w:before="240"/>
        <w:rPr>
          <w:rFonts w:asciiTheme="majorHAnsi" w:hAnsiTheme="majorHAnsi" w:cstheme="majorHAnsi"/>
        </w:rPr>
      </w:pPr>
      <w:r w:rsidRPr="007A5872">
        <w:rPr>
          <w:rFonts w:asciiTheme="majorHAnsi" w:hAnsiTheme="majorHAnsi" w:cstheme="majorHAnsi"/>
        </w:rPr>
        <w:t xml:space="preserve">The SED also asked questions about how informed the community was about education improvement (See </w:t>
      </w:r>
      <w:r w:rsidRPr="007A5872">
        <w:rPr>
          <w:rFonts w:asciiTheme="majorHAnsi" w:hAnsiTheme="majorHAnsi" w:cstheme="majorHAnsi"/>
          <w:i/>
        </w:rPr>
        <w:t>Table 19</w:t>
      </w:r>
      <w:r w:rsidRPr="007A5872">
        <w:rPr>
          <w:rFonts w:asciiTheme="majorHAnsi" w:hAnsiTheme="majorHAnsi" w:cstheme="majorHAnsi"/>
        </w:rPr>
        <w:t xml:space="preserve"> and </w:t>
      </w:r>
      <w:r w:rsidRPr="007A5872">
        <w:rPr>
          <w:rFonts w:asciiTheme="majorHAnsi" w:hAnsiTheme="majorHAnsi" w:cstheme="majorHAnsi"/>
          <w:i/>
        </w:rPr>
        <w:t>Table 20</w:t>
      </w:r>
      <w:r w:rsidRPr="007A5872">
        <w:rPr>
          <w:rFonts w:asciiTheme="majorHAnsi" w:hAnsiTheme="majorHAnsi" w:cstheme="majorHAnsi"/>
        </w:rPr>
        <w:t>). Overall 79% of teachers and 87% of School Leaders felt the community was either ‘b</w:t>
      </w:r>
      <w:r w:rsidRPr="007A5872">
        <w:rPr>
          <w:rFonts w:asciiTheme="majorHAnsi" w:hAnsiTheme="majorHAnsi" w:cstheme="majorHAnsi"/>
          <w:i/>
        </w:rPr>
        <w:t>etter</w:t>
      </w:r>
      <w:r w:rsidRPr="007A5872">
        <w:rPr>
          <w:rFonts w:asciiTheme="majorHAnsi" w:hAnsiTheme="majorHAnsi" w:cstheme="majorHAnsi"/>
        </w:rPr>
        <w:t>’ or ‘</w:t>
      </w:r>
      <w:r w:rsidRPr="007A5872">
        <w:rPr>
          <w:rFonts w:asciiTheme="majorHAnsi" w:hAnsiTheme="majorHAnsi" w:cstheme="majorHAnsi"/>
          <w:i/>
        </w:rPr>
        <w:t>much better’</w:t>
      </w:r>
      <w:r w:rsidRPr="007A5872">
        <w:rPr>
          <w:rFonts w:asciiTheme="majorHAnsi" w:hAnsiTheme="majorHAnsi" w:cstheme="majorHAnsi"/>
        </w:rPr>
        <w:t xml:space="preserve"> informed the value of education and improvements teachers and the MOE were making.</w:t>
      </w:r>
    </w:p>
    <w:p w14:paraId="4E6FE53B" w14:textId="77777777" w:rsidR="00AC362E" w:rsidRPr="007A5872" w:rsidRDefault="00AC362E" w:rsidP="00ED0631">
      <w:pPr>
        <w:spacing w:after="0"/>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t>Table 19: Change in how informed Teachers considered the community was about education improvement by island type</w:t>
      </w:r>
    </w:p>
    <w:tbl>
      <w:tblPr>
        <w:tblW w:w="6252" w:type="dxa"/>
        <w:tblInd w:w="93" w:type="dxa"/>
        <w:tblLook w:val="04A0" w:firstRow="1" w:lastRow="0" w:firstColumn="1" w:lastColumn="0" w:noHBand="0" w:noVBand="1"/>
      </w:tblPr>
      <w:tblGrid>
        <w:gridCol w:w="1433"/>
        <w:gridCol w:w="1116"/>
        <w:gridCol w:w="1088"/>
        <w:gridCol w:w="1452"/>
        <w:gridCol w:w="1163"/>
      </w:tblGrid>
      <w:tr w:rsidR="00AC362E" w:rsidRPr="007A5872" w14:paraId="01BC549E"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35B9EA71" w14:textId="77777777" w:rsidR="00AC362E" w:rsidRPr="007A5872" w:rsidRDefault="00AC362E" w:rsidP="00ED0631">
            <w:pPr>
              <w:spacing w:after="0"/>
              <w:rPr>
                <w:rFonts w:asciiTheme="majorHAnsi" w:eastAsia="Times New Roman" w:hAnsiTheme="majorHAnsi" w:cstheme="majorHAnsi"/>
                <w:b/>
                <w:bCs/>
                <w:color w:val="000000"/>
                <w:lang w:eastAsia="en-AU"/>
              </w:rPr>
            </w:pPr>
            <w:r w:rsidRPr="007A5872">
              <w:rPr>
                <w:rFonts w:asciiTheme="majorHAnsi" w:eastAsia="Times New Roman" w:hAnsiTheme="majorHAnsi" w:cstheme="majorHAnsi"/>
                <w:b/>
                <w:bCs/>
                <w:color w:val="000000"/>
                <w:lang w:eastAsia="en-AU"/>
              </w:rPr>
              <w:t> </w:t>
            </w:r>
          </w:p>
        </w:tc>
        <w:tc>
          <w:tcPr>
            <w:tcW w:w="1116" w:type="dxa"/>
            <w:tcBorders>
              <w:top w:val="single" w:sz="4" w:space="0" w:color="auto"/>
              <w:left w:val="nil"/>
              <w:bottom w:val="nil"/>
              <w:right w:val="nil"/>
            </w:tcBorders>
            <w:shd w:val="clear" w:color="auto" w:fill="auto"/>
            <w:noWrap/>
            <w:vAlign w:val="bottom"/>
            <w:hideMark/>
          </w:tcPr>
          <w:p w14:paraId="3863BB0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Much Better</w:t>
            </w:r>
          </w:p>
        </w:tc>
        <w:tc>
          <w:tcPr>
            <w:tcW w:w="1088" w:type="dxa"/>
            <w:tcBorders>
              <w:top w:val="single" w:sz="4" w:space="0" w:color="auto"/>
              <w:left w:val="nil"/>
              <w:bottom w:val="nil"/>
              <w:right w:val="nil"/>
            </w:tcBorders>
            <w:shd w:val="clear" w:color="auto" w:fill="auto"/>
            <w:noWrap/>
            <w:vAlign w:val="bottom"/>
            <w:hideMark/>
          </w:tcPr>
          <w:p w14:paraId="6509F9EA"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Better</w:t>
            </w:r>
          </w:p>
        </w:tc>
        <w:tc>
          <w:tcPr>
            <w:tcW w:w="1452" w:type="dxa"/>
            <w:tcBorders>
              <w:top w:val="single" w:sz="4" w:space="0" w:color="auto"/>
              <w:left w:val="nil"/>
              <w:bottom w:val="nil"/>
              <w:right w:val="nil"/>
            </w:tcBorders>
            <w:shd w:val="clear" w:color="auto" w:fill="auto"/>
            <w:noWrap/>
            <w:vAlign w:val="bottom"/>
            <w:hideMark/>
          </w:tcPr>
          <w:p w14:paraId="4AC57D1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Slightly Better</w:t>
            </w:r>
          </w:p>
        </w:tc>
        <w:tc>
          <w:tcPr>
            <w:tcW w:w="1163" w:type="dxa"/>
            <w:tcBorders>
              <w:top w:val="single" w:sz="4" w:space="0" w:color="auto"/>
              <w:left w:val="nil"/>
              <w:bottom w:val="nil"/>
              <w:right w:val="nil"/>
            </w:tcBorders>
            <w:shd w:val="clear" w:color="auto" w:fill="auto"/>
            <w:noWrap/>
            <w:vAlign w:val="bottom"/>
            <w:hideMark/>
          </w:tcPr>
          <w:p w14:paraId="155BE71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Same as Before</w:t>
            </w:r>
          </w:p>
        </w:tc>
      </w:tr>
      <w:tr w:rsidR="00AC362E" w:rsidRPr="007A5872" w14:paraId="16CCD131"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3106D1EB"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Large island </w:t>
            </w:r>
          </w:p>
        </w:tc>
        <w:tc>
          <w:tcPr>
            <w:tcW w:w="1116" w:type="dxa"/>
            <w:tcBorders>
              <w:top w:val="single" w:sz="4" w:space="0" w:color="auto"/>
              <w:left w:val="nil"/>
              <w:bottom w:val="nil"/>
              <w:right w:val="nil"/>
            </w:tcBorders>
            <w:shd w:val="clear" w:color="auto" w:fill="auto"/>
            <w:noWrap/>
            <w:vAlign w:val="bottom"/>
            <w:hideMark/>
          </w:tcPr>
          <w:p w14:paraId="6DAFF7C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29</w:t>
            </w:r>
          </w:p>
        </w:tc>
        <w:tc>
          <w:tcPr>
            <w:tcW w:w="1088" w:type="dxa"/>
            <w:tcBorders>
              <w:top w:val="single" w:sz="4" w:space="0" w:color="auto"/>
              <w:left w:val="nil"/>
              <w:bottom w:val="nil"/>
              <w:right w:val="nil"/>
            </w:tcBorders>
            <w:shd w:val="clear" w:color="auto" w:fill="auto"/>
            <w:noWrap/>
            <w:vAlign w:val="bottom"/>
            <w:hideMark/>
          </w:tcPr>
          <w:p w14:paraId="12C1116B"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32</w:t>
            </w:r>
          </w:p>
        </w:tc>
        <w:tc>
          <w:tcPr>
            <w:tcW w:w="1452" w:type="dxa"/>
            <w:tcBorders>
              <w:top w:val="single" w:sz="4" w:space="0" w:color="auto"/>
              <w:left w:val="nil"/>
              <w:bottom w:val="nil"/>
              <w:right w:val="nil"/>
            </w:tcBorders>
            <w:shd w:val="clear" w:color="auto" w:fill="auto"/>
            <w:noWrap/>
            <w:vAlign w:val="bottom"/>
            <w:hideMark/>
          </w:tcPr>
          <w:p w14:paraId="13C5E90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1163" w:type="dxa"/>
            <w:tcBorders>
              <w:top w:val="single" w:sz="4" w:space="0" w:color="auto"/>
              <w:left w:val="nil"/>
              <w:bottom w:val="nil"/>
              <w:right w:val="nil"/>
            </w:tcBorders>
            <w:shd w:val="clear" w:color="auto" w:fill="auto"/>
            <w:noWrap/>
            <w:vAlign w:val="bottom"/>
            <w:hideMark/>
          </w:tcPr>
          <w:p w14:paraId="2A8A4D86"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14</w:t>
            </w:r>
          </w:p>
        </w:tc>
      </w:tr>
      <w:tr w:rsidR="00AC362E" w:rsidRPr="007A5872" w14:paraId="3C6FD9FD" w14:textId="77777777" w:rsidTr="00ED0631">
        <w:trPr>
          <w:trHeight w:val="315"/>
        </w:trPr>
        <w:tc>
          <w:tcPr>
            <w:tcW w:w="1433" w:type="dxa"/>
            <w:tcBorders>
              <w:top w:val="nil"/>
              <w:left w:val="nil"/>
              <w:bottom w:val="nil"/>
              <w:right w:val="nil"/>
            </w:tcBorders>
            <w:shd w:val="clear" w:color="auto" w:fill="auto"/>
            <w:noWrap/>
            <w:vAlign w:val="bottom"/>
            <w:hideMark/>
          </w:tcPr>
          <w:p w14:paraId="4A821187"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Small island </w:t>
            </w:r>
          </w:p>
        </w:tc>
        <w:tc>
          <w:tcPr>
            <w:tcW w:w="1116" w:type="dxa"/>
            <w:tcBorders>
              <w:top w:val="nil"/>
              <w:left w:val="nil"/>
              <w:bottom w:val="nil"/>
              <w:right w:val="nil"/>
            </w:tcBorders>
            <w:shd w:val="clear" w:color="auto" w:fill="auto"/>
            <w:noWrap/>
            <w:vAlign w:val="bottom"/>
            <w:hideMark/>
          </w:tcPr>
          <w:p w14:paraId="7AE741E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13</w:t>
            </w:r>
          </w:p>
        </w:tc>
        <w:tc>
          <w:tcPr>
            <w:tcW w:w="1088" w:type="dxa"/>
            <w:tcBorders>
              <w:top w:val="nil"/>
              <w:left w:val="nil"/>
              <w:bottom w:val="nil"/>
              <w:right w:val="nil"/>
            </w:tcBorders>
            <w:shd w:val="clear" w:color="auto" w:fill="auto"/>
            <w:noWrap/>
            <w:vAlign w:val="bottom"/>
            <w:hideMark/>
          </w:tcPr>
          <w:p w14:paraId="14D74CC7"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8</w:t>
            </w:r>
          </w:p>
        </w:tc>
        <w:tc>
          <w:tcPr>
            <w:tcW w:w="1452" w:type="dxa"/>
            <w:tcBorders>
              <w:top w:val="nil"/>
              <w:left w:val="nil"/>
              <w:bottom w:val="nil"/>
              <w:right w:val="nil"/>
            </w:tcBorders>
            <w:shd w:val="clear" w:color="auto" w:fill="auto"/>
            <w:noWrap/>
            <w:vAlign w:val="bottom"/>
            <w:hideMark/>
          </w:tcPr>
          <w:p w14:paraId="22A92179"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w:t>
            </w:r>
          </w:p>
        </w:tc>
        <w:tc>
          <w:tcPr>
            <w:tcW w:w="1163" w:type="dxa"/>
            <w:tcBorders>
              <w:top w:val="nil"/>
              <w:left w:val="nil"/>
              <w:bottom w:val="nil"/>
              <w:right w:val="nil"/>
            </w:tcBorders>
            <w:shd w:val="clear" w:color="auto" w:fill="auto"/>
            <w:noWrap/>
            <w:vAlign w:val="bottom"/>
            <w:hideMark/>
          </w:tcPr>
          <w:p w14:paraId="4D75D4C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r>
      <w:tr w:rsidR="00AC362E" w:rsidRPr="007A5872" w14:paraId="027D8392" w14:textId="77777777" w:rsidTr="00ED0631">
        <w:trPr>
          <w:trHeight w:val="315"/>
        </w:trPr>
        <w:tc>
          <w:tcPr>
            <w:tcW w:w="1433" w:type="dxa"/>
            <w:tcBorders>
              <w:top w:val="nil"/>
              <w:left w:val="nil"/>
              <w:bottom w:val="nil"/>
              <w:right w:val="nil"/>
            </w:tcBorders>
            <w:shd w:val="clear" w:color="auto" w:fill="auto"/>
            <w:noWrap/>
            <w:vAlign w:val="bottom"/>
            <w:hideMark/>
          </w:tcPr>
          <w:p w14:paraId="2A0A8BA3"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Sth Tarawa </w:t>
            </w:r>
          </w:p>
        </w:tc>
        <w:tc>
          <w:tcPr>
            <w:tcW w:w="1116" w:type="dxa"/>
            <w:tcBorders>
              <w:top w:val="nil"/>
              <w:left w:val="nil"/>
              <w:bottom w:val="nil"/>
              <w:right w:val="nil"/>
            </w:tcBorders>
            <w:shd w:val="clear" w:color="auto" w:fill="auto"/>
            <w:noWrap/>
            <w:vAlign w:val="bottom"/>
            <w:hideMark/>
          </w:tcPr>
          <w:p w14:paraId="719BC60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27</w:t>
            </w:r>
          </w:p>
        </w:tc>
        <w:tc>
          <w:tcPr>
            <w:tcW w:w="1088" w:type="dxa"/>
            <w:tcBorders>
              <w:top w:val="nil"/>
              <w:left w:val="nil"/>
              <w:bottom w:val="nil"/>
              <w:right w:val="nil"/>
            </w:tcBorders>
            <w:shd w:val="clear" w:color="auto" w:fill="auto"/>
            <w:noWrap/>
            <w:vAlign w:val="bottom"/>
            <w:hideMark/>
          </w:tcPr>
          <w:p w14:paraId="0009D8C3"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56</w:t>
            </w:r>
          </w:p>
        </w:tc>
        <w:tc>
          <w:tcPr>
            <w:tcW w:w="1452" w:type="dxa"/>
            <w:tcBorders>
              <w:top w:val="nil"/>
              <w:left w:val="nil"/>
              <w:bottom w:val="nil"/>
              <w:right w:val="nil"/>
            </w:tcBorders>
            <w:shd w:val="clear" w:color="auto" w:fill="auto"/>
            <w:noWrap/>
            <w:vAlign w:val="bottom"/>
            <w:hideMark/>
          </w:tcPr>
          <w:p w14:paraId="14CD640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15</w:t>
            </w:r>
          </w:p>
        </w:tc>
        <w:tc>
          <w:tcPr>
            <w:tcW w:w="1163" w:type="dxa"/>
            <w:tcBorders>
              <w:top w:val="nil"/>
              <w:left w:val="nil"/>
              <w:bottom w:val="nil"/>
              <w:right w:val="nil"/>
            </w:tcBorders>
            <w:shd w:val="clear" w:color="auto" w:fill="auto"/>
            <w:noWrap/>
            <w:vAlign w:val="bottom"/>
            <w:hideMark/>
          </w:tcPr>
          <w:p w14:paraId="2682C99E"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r>
      <w:tr w:rsidR="00AC362E" w:rsidRPr="007A5872" w14:paraId="3C10B980" w14:textId="77777777" w:rsidTr="00ED063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242D18C9"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Total </w:t>
            </w:r>
          </w:p>
        </w:tc>
        <w:tc>
          <w:tcPr>
            <w:tcW w:w="1116" w:type="dxa"/>
            <w:tcBorders>
              <w:top w:val="single" w:sz="4" w:space="0" w:color="auto"/>
              <w:left w:val="nil"/>
              <w:bottom w:val="single" w:sz="4" w:space="0" w:color="auto"/>
              <w:right w:val="nil"/>
            </w:tcBorders>
            <w:shd w:val="clear" w:color="auto" w:fill="auto"/>
            <w:noWrap/>
            <w:vAlign w:val="bottom"/>
            <w:hideMark/>
          </w:tcPr>
          <w:p w14:paraId="711C98F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69</w:t>
            </w:r>
          </w:p>
        </w:tc>
        <w:tc>
          <w:tcPr>
            <w:tcW w:w="1088" w:type="dxa"/>
            <w:tcBorders>
              <w:top w:val="single" w:sz="4" w:space="0" w:color="auto"/>
              <w:left w:val="nil"/>
              <w:bottom w:val="single" w:sz="4" w:space="0" w:color="auto"/>
              <w:right w:val="nil"/>
            </w:tcBorders>
            <w:shd w:val="clear" w:color="auto" w:fill="auto"/>
            <w:noWrap/>
            <w:vAlign w:val="bottom"/>
            <w:hideMark/>
          </w:tcPr>
          <w:p w14:paraId="7124D9D9"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96</w:t>
            </w:r>
          </w:p>
        </w:tc>
        <w:tc>
          <w:tcPr>
            <w:tcW w:w="1452" w:type="dxa"/>
            <w:tcBorders>
              <w:top w:val="single" w:sz="4" w:space="0" w:color="auto"/>
              <w:left w:val="nil"/>
              <w:bottom w:val="single" w:sz="4" w:space="0" w:color="auto"/>
              <w:right w:val="nil"/>
            </w:tcBorders>
            <w:shd w:val="clear" w:color="auto" w:fill="auto"/>
            <w:noWrap/>
            <w:vAlign w:val="bottom"/>
            <w:hideMark/>
          </w:tcPr>
          <w:p w14:paraId="2DC65AEF"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22</w:t>
            </w:r>
          </w:p>
        </w:tc>
        <w:tc>
          <w:tcPr>
            <w:tcW w:w="1163" w:type="dxa"/>
            <w:tcBorders>
              <w:top w:val="single" w:sz="4" w:space="0" w:color="auto"/>
              <w:left w:val="nil"/>
              <w:bottom w:val="single" w:sz="4" w:space="0" w:color="auto"/>
              <w:right w:val="nil"/>
            </w:tcBorders>
            <w:shd w:val="clear" w:color="auto" w:fill="auto"/>
            <w:noWrap/>
            <w:vAlign w:val="bottom"/>
            <w:hideMark/>
          </w:tcPr>
          <w:p w14:paraId="2D9B5B77"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22</w:t>
            </w:r>
          </w:p>
        </w:tc>
      </w:tr>
    </w:tbl>
    <w:p w14:paraId="68A93219" w14:textId="77777777" w:rsidR="00AC362E" w:rsidRPr="007A5872" w:rsidRDefault="00AC362E" w:rsidP="00ED0631">
      <w:pPr>
        <w:spacing w:before="200" w:after="0"/>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t>Table 20: Change in School leaders' how informed Teachers considered the community was about education improvement by island type</w:t>
      </w:r>
    </w:p>
    <w:tbl>
      <w:tblPr>
        <w:tblW w:w="6252" w:type="dxa"/>
        <w:tblInd w:w="93" w:type="dxa"/>
        <w:tblLook w:val="04A0" w:firstRow="1" w:lastRow="0" w:firstColumn="1" w:lastColumn="0" w:noHBand="0" w:noVBand="1"/>
      </w:tblPr>
      <w:tblGrid>
        <w:gridCol w:w="1551"/>
        <w:gridCol w:w="1016"/>
        <w:gridCol w:w="1276"/>
        <w:gridCol w:w="1134"/>
        <w:gridCol w:w="1275"/>
      </w:tblGrid>
      <w:tr w:rsidR="00AC362E" w:rsidRPr="007A5872" w14:paraId="7A3B1E92" w14:textId="77777777" w:rsidTr="00ED0631">
        <w:trPr>
          <w:trHeight w:val="315"/>
        </w:trPr>
        <w:tc>
          <w:tcPr>
            <w:tcW w:w="1551" w:type="dxa"/>
            <w:tcBorders>
              <w:top w:val="single" w:sz="4" w:space="0" w:color="auto"/>
              <w:left w:val="nil"/>
              <w:bottom w:val="single" w:sz="4" w:space="0" w:color="auto"/>
              <w:right w:val="nil"/>
            </w:tcBorders>
            <w:shd w:val="clear" w:color="auto" w:fill="auto"/>
            <w:noWrap/>
            <w:vAlign w:val="bottom"/>
            <w:hideMark/>
          </w:tcPr>
          <w:p w14:paraId="3DF3D7AD"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w:t>
            </w:r>
          </w:p>
        </w:tc>
        <w:tc>
          <w:tcPr>
            <w:tcW w:w="1016" w:type="dxa"/>
            <w:tcBorders>
              <w:top w:val="single" w:sz="4" w:space="0" w:color="auto"/>
              <w:left w:val="nil"/>
              <w:bottom w:val="single" w:sz="4" w:space="0" w:color="auto"/>
              <w:right w:val="nil"/>
            </w:tcBorders>
            <w:shd w:val="clear" w:color="auto" w:fill="auto"/>
            <w:noWrap/>
            <w:vAlign w:val="bottom"/>
            <w:hideMark/>
          </w:tcPr>
          <w:p w14:paraId="4EA5E59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Much Better</w:t>
            </w:r>
          </w:p>
        </w:tc>
        <w:tc>
          <w:tcPr>
            <w:tcW w:w="1276" w:type="dxa"/>
            <w:tcBorders>
              <w:top w:val="single" w:sz="4" w:space="0" w:color="auto"/>
              <w:left w:val="nil"/>
              <w:bottom w:val="single" w:sz="4" w:space="0" w:color="auto"/>
              <w:right w:val="nil"/>
            </w:tcBorders>
            <w:shd w:val="clear" w:color="auto" w:fill="auto"/>
            <w:noWrap/>
            <w:vAlign w:val="bottom"/>
            <w:hideMark/>
          </w:tcPr>
          <w:p w14:paraId="4D6567E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Better</w:t>
            </w:r>
          </w:p>
        </w:tc>
        <w:tc>
          <w:tcPr>
            <w:tcW w:w="1134" w:type="dxa"/>
            <w:tcBorders>
              <w:top w:val="single" w:sz="4" w:space="0" w:color="auto"/>
              <w:left w:val="nil"/>
              <w:bottom w:val="single" w:sz="4" w:space="0" w:color="auto"/>
              <w:right w:val="nil"/>
            </w:tcBorders>
            <w:shd w:val="clear" w:color="auto" w:fill="auto"/>
            <w:noWrap/>
            <w:vAlign w:val="bottom"/>
            <w:hideMark/>
          </w:tcPr>
          <w:p w14:paraId="464F3260"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Slightly Better</w:t>
            </w:r>
          </w:p>
        </w:tc>
        <w:tc>
          <w:tcPr>
            <w:tcW w:w="1275" w:type="dxa"/>
            <w:tcBorders>
              <w:top w:val="single" w:sz="4" w:space="0" w:color="auto"/>
              <w:left w:val="nil"/>
              <w:bottom w:val="single" w:sz="4" w:space="0" w:color="auto"/>
              <w:right w:val="nil"/>
            </w:tcBorders>
            <w:shd w:val="clear" w:color="auto" w:fill="auto"/>
            <w:noWrap/>
            <w:vAlign w:val="bottom"/>
            <w:hideMark/>
          </w:tcPr>
          <w:p w14:paraId="674C6E9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Same as Before</w:t>
            </w:r>
          </w:p>
        </w:tc>
      </w:tr>
      <w:tr w:rsidR="00AC362E" w:rsidRPr="007A5872" w14:paraId="6816AF14" w14:textId="77777777" w:rsidTr="00ED0631">
        <w:trPr>
          <w:trHeight w:val="315"/>
        </w:trPr>
        <w:tc>
          <w:tcPr>
            <w:tcW w:w="1551" w:type="dxa"/>
            <w:tcBorders>
              <w:top w:val="nil"/>
              <w:left w:val="nil"/>
              <w:bottom w:val="nil"/>
              <w:right w:val="nil"/>
            </w:tcBorders>
            <w:shd w:val="clear" w:color="auto" w:fill="auto"/>
            <w:noWrap/>
            <w:vAlign w:val="bottom"/>
            <w:hideMark/>
          </w:tcPr>
          <w:p w14:paraId="4910BC14"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Large island </w:t>
            </w:r>
          </w:p>
        </w:tc>
        <w:tc>
          <w:tcPr>
            <w:tcW w:w="1016" w:type="dxa"/>
            <w:tcBorders>
              <w:top w:val="nil"/>
              <w:left w:val="nil"/>
              <w:bottom w:val="nil"/>
              <w:right w:val="nil"/>
            </w:tcBorders>
            <w:shd w:val="clear" w:color="auto" w:fill="auto"/>
            <w:noWrap/>
            <w:vAlign w:val="bottom"/>
            <w:hideMark/>
          </w:tcPr>
          <w:p w14:paraId="220C1A9E"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10</w:t>
            </w:r>
          </w:p>
        </w:tc>
        <w:tc>
          <w:tcPr>
            <w:tcW w:w="1276" w:type="dxa"/>
            <w:tcBorders>
              <w:top w:val="nil"/>
              <w:left w:val="nil"/>
              <w:bottom w:val="nil"/>
              <w:right w:val="nil"/>
            </w:tcBorders>
            <w:shd w:val="clear" w:color="auto" w:fill="auto"/>
            <w:noWrap/>
            <w:vAlign w:val="bottom"/>
            <w:hideMark/>
          </w:tcPr>
          <w:p w14:paraId="4565E096"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12</w:t>
            </w:r>
          </w:p>
        </w:tc>
        <w:tc>
          <w:tcPr>
            <w:tcW w:w="1134" w:type="dxa"/>
            <w:tcBorders>
              <w:top w:val="nil"/>
              <w:left w:val="nil"/>
              <w:bottom w:val="nil"/>
              <w:right w:val="nil"/>
            </w:tcBorders>
            <w:shd w:val="clear" w:color="auto" w:fill="auto"/>
            <w:noWrap/>
            <w:vAlign w:val="bottom"/>
            <w:hideMark/>
          </w:tcPr>
          <w:p w14:paraId="7065B56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c>
          <w:tcPr>
            <w:tcW w:w="1275" w:type="dxa"/>
            <w:tcBorders>
              <w:top w:val="nil"/>
              <w:left w:val="nil"/>
              <w:bottom w:val="nil"/>
              <w:right w:val="nil"/>
            </w:tcBorders>
            <w:shd w:val="clear" w:color="auto" w:fill="auto"/>
            <w:noWrap/>
            <w:vAlign w:val="bottom"/>
            <w:hideMark/>
          </w:tcPr>
          <w:p w14:paraId="08EC30BE"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r>
      <w:tr w:rsidR="00AC362E" w:rsidRPr="007A5872" w14:paraId="3FCA7733" w14:textId="77777777" w:rsidTr="00ED0631">
        <w:trPr>
          <w:trHeight w:val="315"/>
        </w:trPr>
        <w:tc>
          <w:tcPr>
            <w:tcW w:w="1551" w:type="dxa"/>
            <w:tcBorders>
              <w:top w:val="nil"/>
              <w:left w:val="nil"/>
              <w:bottom w:val="nil"/>
              <w:right w:val="nil"/>
            </w:tcBorders>
            <w:shd w:val="clear" w:color="auto" w:fill="auto"/>
            <w:noWrap/>
            <w:vAlign w:val="bottom"/>
            <w:hideMark/>
          </w:tcPr>
          <w:p w14:paraId="49478C19"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Small island </w:t>
            </w:r>
          </w:p>
        </w:tc>
        <w:tc>
          <w:tcPr>
            <w:tcW w:w="1016" w:type="dxa"/>
            <w:tcBorders>
              <w:top w:val="nil"/>
              <w:left w:val="nil"/>
              <w:bottom w:val="nil"/>
              <w:right w:val="nil"/>
            </w:tcBorders>
            <w:shd w:val="clear" w:color="auto" w:fill="auto"/>
            <w:noWrap/>
            <w:vAlign w:val="bottom"/>
            <w:hideMark/>
          </w:tcPr>
          <w:p w14:paraId="58D6824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w:t>
            </w:r>
          </w:p>
        </w:tc>
        <w:tc>
          <w:tcPr>
            <w:tcW w:w="1276" w:type="dxa"/>
            <w:tcBorders>
              <w:top w:val="nil"/>
              <w:left w:val="nil"/>
              <w:bottom w:val="nil"/>
              <w:right w:val="nil"/>
            </w:tcBorders>
            <w:shd w:val="clear" w:color="auto" w:fill="auto"/>
            <w:noWrap/>
            <w:vAlign w:val="bottom"/>
            <w:hideMark/>
          </w:tcPr>
          <w:p w14:paraId="384FFC63"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9</w:t>
            </w:r>
          </w:p>
        </w:tc>
        <w:tc>
          <w:tcPr>
            <w:tcW w:w="1134" w:type="dxa"/>
            <w:tcBorders>
              <w:top w:val="nil"/>
              <w:left w:val="nil"/>
              <w:bottom w:val="nil"/>
              <w:right w:val="nil"/>
            </w:tcBorders>
            <w:shd w:val="clear" w:color="auto" w:fill="auto"/>
            <w:noWrap/>
            <w:vAlign w:val="bottom"/>
            <w:hideMark/>
          </w:tcPr>
          <w:p w14:paraId="6F9236B5"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c>
          <w:tcPr>
            <w:tcW w:w="1275" w:type="dxa"/>
            <w:tcBorders>
              <w:top w:val="nil"/>
              <w:left w:val="nil"/>
              <w:bottom w:val="nil"/>
              <w:right w:val="nil"/>
            </w:tcBorders>
            <w:shd w:val="clear" w:color="auto" w:fill="auto"/>
            <w:noWrap/>
            <w:vAlign w:val="bottom"/>
            <w:hideMark/>
          </w:tcPr>
          <w:p w14:paraId="5749A84D"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w:t>
            </w:r>
          </w:p>
        </w:tc>
      </w:tr>
      <w:tr w:rsidR="00AC362E" w:rsidRPr="007A5872" w14:paraId="3592A730" w14:textId="77777777" w:rsidTr="00ED0631">
        <w:trPr>
          <w:trHeight w:val="315"/>
        </w:trPr>
        <w:tc>
          <w:tcPr>
            <w:tcW w:w="1551" w:type="dxa"/>
            <w:tcBorders>
              <w:top w:val="nil"/>
              <w:left w:val="nil"/>
              <w:bottom w:val="nil"/>
              <w:right w:val="nil"/>
            </w:tcBorders>
            <w:shd w:val="clear" w:color="auto" w:fill="auto"/>
            <w:noWrap/>
            <w:vAlign w:val="bottom"/>
            <w:hideMark/>
          </w:tcPr>
          <w:p w14:paraId="554BC893"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Sth Tarawa </w:t>
            </w:r>
          </w:p>
        </w:tc>
        <w:tc>
          <w:tcPr>
            <w:tcW w:w="1016" w:type="dxa"/>
            <w:tcBorders>
              <w:top w:val="nil"/>
              <w:left w:val="nil"/>
              <w:bottom w:val="nil"/>
              <w:right w:val="nil"/>
            </w:tcBorders>
            <w:shd w:val="clear" w:color="auto" w:fill="auto"/>
            <w:noWrap/>
            <w:vAlign w:val="bottom"/>
            <w:hideMark/>
          </w:tcPr>
          <w:p w14:paraId="575AA29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1276" w:type="dxa"/>
            <w:tcBorders>
              <w:top w:val="nil"/>
              <w:left w:val="nil"/>
              <w:bottom w:val="nil"/>
              <w:right w:val="nil"/>
            </w:tcBorders>
            <w:shd w:val="clear" w:color="auto" w:fill="auto"/>
            <w:noWrap/>
            <w:vAlign w:val="bottom"/>
            <w:hideMark/>
          </w:tcPr>
          <w:p w14:paraId="4B1B757C"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1134" w:type="dxa"/>
            <w:tcBorders>
              <w:top w:val="nil"/>
              <w:left w:val="nil"/>
              <w:bottom w:val="nil"/>
              <w:right w:val="nil"/>
            </w:tcBorders>
            <w:shd w:val="clear" w:color="auto" w:fill="auto"/>
            <w:noWrap/>
            <w:vAlign w:val="bottom"/>
            <w:hideMark/>
          </w:tcPr>
          <w:p w14:paraId="7776E398"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w:t>
            </w:r>
          </w:p>
        </w:tc>
        <w:tc>
          <w:tcPr>
            <w:tcW w:w="1275" w:type="dxa"/>
            <w:tcBorders>
              <w:top w:val="nil"/>
              <w:left w:val="nil"/>
              <w:bottom w:val="nil"/>
              <w:right w:val="nil"/>
            </w:tcBorders>
            <w:shd w:val="clear" w:color="auto" w:fill="auto"/>
            <w:noWrap/>
            <w:vAlign w:val="bottom"/>
            <w:hideMark/>
          </w:tcPr>
          <w:p w14:paraId="27063E59" w14:textId="77777777" w:rsidR="00AC362E" w:rsidRPr="007A5872" w:rsidRDefault="00AC362E" w:rsidP="00ED0631">
            <w:pPr>
              <w:spacing w:after="0"/>
              <w:jc w:val="center"/>
              <w:rPr>
                <w:rFonts w:asciiTheme="majorHAnsi" w:eastAsia="Times New Roman" w:hAnsiTheme="majorHAnsi" w:cstheme="majorHAnsi"/>
                <w:color w:val="000000"/>
                <w:lang w:eastAsia="en-AU"/>
              </w:rPr>
            </w:pPr>
          </w:p>
        </w:tc>
      </w:tr>
      <w:tr w:rsidR="00AC362E" w:rsidRPr="007A5872" w14:paraId="27D073A7" w14:textId="77777777" w:rsidTr="00ED0631">
        <w:trPr>
          <w:trHeight w:val="315"/>
        </w:trPr>
        <w:tc>
          <w:tcPr>
            <w:tcW w:w="1551" w:type="dxa"/>
            <w:tcBorders>
              <w:top w:val="single" w:sz="4" w:space="0" w:color="auto"/>
              <w:left w:val="nil"/>
              <w:bottom w:val="single" w:sz="4" w:space="0" w:color="auto"/>
              <w:right w:val="nil"/>
            </w:tcBorders>
            <w:shd w:val="clear" w:color="auto" w:fill="auto"/>
            <w:noWrap/>
            <w:vAlign w:val="bottom"/>
            <w:hideMark/>
          </w:tcPr>
          <w:p w14:paraId="5624A185"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xml:space="preserve">Total </w:t>
            </w:r>
          </w:p>
        </w:tc>
        <w:tc>
          <w:tcPr>
            <w:tcW w:w="1016" w:type="dxa"/>
            <w:tcBorders>
              <w:top w:val="single" w:sz="4" w:space="0" w:color="auto"/>
              <w:left w:val="nil"/>
              <w:bottom w:val="single" w:sz="4" w:space="0" w:color="auto"/>
              <w:right w:val="nil"/>
            </w:tcBorders>
            <w:shd w:val="clear" w:color="auto" w:fill="auto"/>
            <w:noWrap/>
            <w:vAlign w:val="bottom"/>
            <w:hideMark/>
          </w:tcPr>
          <w:p w14:paraId="56555749"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17</w:t>
            </w:r>
          </w:p>
        </w:tc>
        <w:tc>
          <w:tcPr>
            <w:tcW w:w="1276" w:type="dxa"/>
            <w:tcBorders>
              <w:top w:val="single" w:sz="4" w:space="0" w:color="auto"/>
              <w:left w:val="nil"/>
              <w:bottom w:val="single" w:sz="4" w:space="0" w:color="auto"/>
              <w:right w:val="nil"/>
            </w:tcBorders>
            <w:shd w:val="clear" w:color="auto" w:fill="auto"/>
            <w:noWrap/>
            <w:vAlign w:val="bottom"/>
            <w:hideMark/>
          </w:tcPr>
          <w:p w14:paraId="230281E9"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25</w:t>
            </w:r>
          </w:p>
        </w:tc>
        <w:tc>
          <w:tcPr>
            <w:tcW w:w="1134" w:type="dxa"/>
            <w:tcBorders>
              <w:top w:val="single" w:sz="4" w:space="0" w:color="auto"/>
              <w:left w:val="nil"/>
              <w:bottom w:val="single" w:sz="4" w:space="0" w:color="auto"/>
              <w:right w:val="nil"/>
            </w:tcBorders>
            <w:shd w:val="clear" w:color="auto" w:fill="auto"/>
            <w:noWrap/>
            <w:vAlign w:val="bottom"/>
            <w:hideMark/>
          </w:tcPr>
          <w:p w14:paraId="323E7AD2"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w:t>
            </w:r>
          </w:p>
        </w:tc>
        <w:tc>
          <w:tcPr>
            <w:tcW w:w="1275" w:type="dxa"/>
            <w:tcBorders>
              <w:top w:val="single" w:sz="4" w:space="0" w:color="auto"/>
              <w:left w:val="nil"/>
              <w:bottom w:val="single" w:sz="4" w:space="0" w:color="auto"/>
              <w:right w:val="nil"/>
            </w:tcBorders>
            <w:shd w:val="clear" w:color="auto" w:fill="auto"/>
            <w:noWrap/>
            <w:vAlign w:val="bottom"/>
            <w:hideMark/>
          </w:tcPr>
          <w:p w14:paraId="21FAA674"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2</w:t>
            </w:r>
          </w:p>
        </w:tc>
      </w:tr>
    </w:tbl>
    <w:p w14:paraId="02F19A66" w14:textId="77777777" w:rsidR="00AC362E" w:rsidRDefault="00AC362E" w:rsidP="00ED0631">
      <w:pPr>
        <w:pStyle w:val="Heading3"/>
        <w:rPr>
          <w:rFonts w:eastAsia="Times New Roman"/>
          <w:lang w:eastAsia="en-AU"/>
        </w:rPr>
      </w:pPr>
      <w:bookmarkStart w:id="149" w:name="_Toc461615767"/>
      <w:r>
        <w:rPr>
          <w:rFonts w:eastAsia="Times New Roman"/>
          <w:lang w:eastAsia="en-AU"/>
        </w:rPr>
        <w:t>6.3.2</w:t>
      </w:r>
      <w:r>
        <w:rPr>
          <w:rFonts w:eastAsia="Times New Roman"/>
          <w:lang w:eastAsia="en-AU"/>
        </w:rPr>
        <w:tab/>
      </w:r>
      <w:r w:rsidRPr="00533187">
        <w:rPr>
          <w:rFonts w:eastAsia="Times New Roman"/>
          <w:lang w:eastAsia="en-AU"/>
        </w:rPr>
        <w:t>School committees</w:t>
      </w:r>
      <w:bookmarkEnd w:id="149"/>
    </w:p>
    <w:p w14:paraId="09BCEE89" w14:textId="26F9FB98" w:rsidR="00AC362E"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Case Studies showed that parents were making a range of different contributions to schools although participation varied across schools. Not all of these contributions were made through formal school committees and included such things as growing vegetables in the school grounds, building school buildings and wells, school maintenance, fund raising, monitoring student and teacher absences, cleaning, and security. The key factor in the level of parental participation appeared to the extent to which School Leaders were able to engage and motivate parents.</w:t>
      </w:r>
      <w:r w:rsidR="007A5872">
        <w:rPr>
          <w:rFonts w:asciiTheme="majorHAnsi" w:eastAsia="Times New Roman" w:hAnsiTheme="majorHAnsi" w:cstheme="majorHAnsi"/>
          <w:color w:val="000000"/>
          <w:lang w:eastAsia="en-AU"/>
        </w:rPr>
        <w:t xml:space="preserve"> </w:t>
      </w:r>
    </w:p>
    <w:p w14:paraId="67D66552" w14:textId="77777777" w:rsidR="007A5872" w:rsidRPr="007A5872" w:rsidRDefault="007A5872" w:rsidP="00ED0631">
      <w:pPr>
        <w:spacing w:after="0"/>
        <w:rPr>
          <w:rFonts w:asciiTheme="majorHAnsi" w:eastAsia="Times New Roman" w:hAnsiTheme="majorHAnsi" w:cstheme="majorHAnsi"/>
          <w:color w:val="000000"/>
          <w:lang w:eastAsia="en-AU"/>
        </w:rPr>
      </w:pPr>
    </w:p>
    <w:p w14:paraId="3017A915"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One common feature across schools that may be related to the work of Community Consultation Teams was a focus on children’s bed times. Every Case Study school reported having a program in place to ensure that children were in bed at a reasonable hour and this was being quite strictly enforced by communities.</w:t>
      </w:r>
    </w:p>
    <w:p w14:paraId="16BE54A7" w14:textId="77777777" w:rsidR="00AC362E" w:rsidRDefault="00AC362E" w:rsidP="00ED0631">
      <w:pPr>
        <w:spacing w:before="240"/>
        <w:rPr>
          <w:rFonts w:cs="Arial"/>
        </w:rPr>
      </w:pPr>
      <w:r>
        <w:rPr>
          <w:rFonts w:cs="Arial"/>
        </w:rPr>
        <w:lastRenderedPageBreak/>
        <w:t>While most contributions were made ‘in-kind’ the CSR Team noted examples of small fund raising to pay for prize giving ceremonies and in one school surrounding villages had contributed to buy the school an audio system costing $300.</w:t>
      </w:r>
    </w:p>
    <w:p w14:paraId="1EC24095" w14:textId="77777777" w:rsidR="00AC362E" w:rsidRDefault="00AC362E" w:rsidP="00ED0631">
      <w:pPr>
        <w:spacing w:before="240"/>
        <w:rPr>
          <w:rFonts w:cs="Arial"/>
        </w:rPr>
      </w:pPr>
      <w:r>
        <w:rPr>
          <w:rFonts w:cs="Arial"/>
        </w:rPr>
        <w:t>The SED made a calculation of average expenditure per child that each household was making including fees, donations, prizes, food and work and, after making some assumptions about the value of food and work, arrived at a value of $4.82 per child per household</w:t>
      </w:r>
      <w:r>
        <w:rPr>
          <w:rStyle w:val="FootnoteReference"/>
          <w:rFonts w:cs="Arial"/>
        </w:rPr>
        <w:footnoteReference w:id="37"/>
      </w:r>
      <w:r>
        <w:rPr>
          <w:rFonts w:cs="Arial"/>
        </w:rPr>
        <w:t>.</w:t>
      </w:r>
    </w:p>
    <w:p w14:paraId="1D344EEA" w14:textId="77777777" w:rsidR="00AC362E" w:rsidRPr="0072514B" w:rsidRDefault="00AC362E" w:rsidP="00ED0631">
      <w:pPr>
        <w:pStyle w:val="Heading2"/>
      </w:pPr>
      <w:bookmarkStart w:id="150" w:name="_Toc461615768"/>
      <w:r>
        <w:t>6.4</w:t>
      </w:r>
      <w:r>
        <w:tab/>
      </w:r>
      <w:r w:rsidRPr="0072514B">
        <w:t>School Improvement Plans</w:t>
      </w:r>
      <w:bookmarkEnd w:id="150"/>
    </w:p>
    <w:p w14:paraId="7AC41A5E" w14:textId="77777777" w:rsidR="00AC362E" w:rsidRPr="00BC4C94" w:rsidRDefault="00AC362E" w:rsidP="00ED0631">
      <w:pPr>
        <w:pStyle w:val="Heading3"/>
        <w:rPr>
          <w:rFonts w:eastAsia="Times New Roman"/>
          <w:lang w:eastAsia="en-AU"/>
        </w:rPr>
      </w:pPr>
      <w:bookmarkStart w:id="151" w:name="_Toc461615769"/>
      <w:r>
        <w:rPr>
          <w:rFonts w:eastAsia="Times New Roman"/>
          <w:lang w:eastAsia="en-AU"/>
        </w:rPr>
        <w:t>6.4.1</w:t>
      </w:r>
      <w:r>
        <w:rPr>
          <w:rFonts w:eastAsia="Times New Roman"/>
          <w:lang w:eastAsia="en-AU"/>
        </w:rPr>
        <w:tab/>
      </w:r>
      <w:r w:rsidRPr="00BC4C94">
        <w:rPr>
          <w:rFonts w:eastAsia="Times New Roman"/>
          <w:lang w:eastAsia="en-AU"/>
        </w:rPr>
        <w:t>SIP committees</w:t>
      </w:r>
      <w:r>
        <w:rPr>
          <w:rFonts w:eastAsia="Times New Roman"/>
          <w:lang w:eastAsia="en-AU"/>
        </w:rPr>
        <w:t xml:space="preserve"> and </w:t>
      </w:r>
      <w:r w:rsidRPr="00BC4C94">
        <w:rPr>
          <w:rFonts w:eastAsia="Times New Roman"/>
          <w:lang w:eastAsia="en-AU"/>
        </w:rPr>
        <w:t>Status and implementation of School Improvement Plans</w:t>
      </w:r>
      <w:bookmarkEnd w:id="151"/>
    </w:p>
    <w:p w14:paraId="503488E9" w14:textId="77777777" w:rsidR="00AC362E" w:rsidRDefault="00AC362E" w:rsidP="00ED0631">
      <w:pPr>
        <w:spacing w:before="240"/>
        <w:rPr>
          <w:rFonts w:cs="Arial"/>
        </w:rPr>
      </w:pPr>
      <w:r>
        <w:rPr>
          <w:rFonts w:cs="Arial"/>
        </w:rPr>
        <w:t>Most but not all schools had SIPs in place. Usually these were displayed in the School Leader’s office or teacher’s room. In some cases it was clear that the School Leader had written the SIP and it was not always evident how much ownership SIP committees had of the plan. On the other hand, committee members were generally able to articulate what work had already been done despite sometimes being vague on future priorities.</w:t>
      </w:r>
    </w:p>
    <w:p w14:paraId="0A754583" w14:textId="77777777" w:rsidR="00AC362E" w:rsidRDefault="00AC362E" w:rsidP="00ED0631">
      <w:pPr>
        <w:spacing w:before="240"/>
      </w:pPr>
      <w:r>
        <w:t>There wa</w:t>
      </w:r>
      <w:r w:rsidRPr="006A5550">
        <w:t xml:space="preserve">s </w:t>
      </w:r>
      <w:r>
        <w:t xml:space="preserve">frequently </w:t>
      </w:r>
      <w:r w:rsidRPr="006A5550">
        <w:t>overlap between School Committees and SIP Committee</w:t>
      </w:r>
      <w:r>
        <w:t xml:space="preserve"> membership and roles and responsibilitie</w:t>
      </w:r>
      <w:r w:rsidRPr="006A5550">
        <w:t>s</w:t>
      </w:r>
      <w:r>
        <w:t>. Different p</w:t>
      </w:r>
      <w:r w:rsidRPr="006A5550">
        <w:t>ayment</w:t>
      </w:r>
      <w:r>
        <w:t xml:space="preserve"> arrangement</w:t>
      </w:r>
      <w:r w:rsidRPr="006A5550">
        <w:t>s</w:t>
      </w:r>
      <w:r>
        <w:t xml:space="preserve"> for the two types of committees had created some issues although it did not appear to be a major problem. Nevertheless, in at least one instance the School Leader had arranged for school committee members to be paid for security work as a way of balancing out payments between the two groups.</w:t>
      </w:r>
    </w:p>
    <w:p w14:paraId="4FF87786" w14:textId="77777777" w:rsidR="00AC362E" w:rsidRDefault="00AC362E" w:rsidP="00ED0631">
      <w:pPr>
        <w:spacing w:before="240" w:after="120"/>
      </w:pPr>
      <w:r>
        <w:t xml:space="preserve">The best example of a working SIP was in </w:t>
      </w:r>
      <w:r w:rsidRPr="00AC403B">
        <w:rPr>
          <w:i/>
        </w:rPr>
        <w:t>Tabonuea</w:t>
      </w:r>
      <w:r>
        <w:t xml:space="preserve">. This was a school which had both a School Committee and an SIP Committee although in practical terms it was difficult to distinguish between the work of the two committees. The School Leader was actively involved in coordinating the work of the committees. The nearby village exhibited a strong sense of ownership over the school. </w:t>
      </w:r>
      <w:r w:rsidRPr="006312C0">
        <w:t xml:space="preserve">Villagers had built wells and most notably had constructed a library building (see </w:t>
      </w:r>
      <w:r w:rsidRPr="006312C0">
        <w:rPr>
          <w:i/>
        </w:rPr>
        <w:t>Figure 2</w:t>
      </w:r>
      <w:r w:rsidRPr="006312C0">
        <w:t>) out of</w:t>
      </w:r>
      <w:r>
        <w:t xml:space="preserve"> local materials.</w:t>
      </w:r>
    </w:p>
    <w:p w14:paraId="0A0E2DB8" w14:textId="77777777" w:rsidR="00AC362E" w:rsidRDefault="00AC362E" w:rsidP="00DE4728">
      <w:pPr>
        <w:keepNext/>
        <w:keepLines/>
        <w:spacing w:before="240"/>
      </w:pPr>
      <w:r>
        <w:rPr>
          <w:noProof/>
          <w:lang w:eastAsia="en-AU"/>
        </w:rPr>
        <w:drawing>
          <wp:inline distT="0" distB="0" distL="0" distR="0" wp14:anchorId="580F61EB" wp14:editId="0ED28419">
            <wp:extent cx="3672763" cy="2754775"/>
            <wp:effectExtent l="0" t="0" r="4445" b="7620"/>
            <wp:docPr id="3" name="Picture 3" descr="Library building and drinking-well constructed by School Committee and SIP Committee at Tabonuea School, Butaritari."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895.jpg"/>
                    <pic:cNvPicPr/>
                  </pic:nvPicPr>
                  <pic:blipFill>
                    <a:blip r:embed="rId57" cstate="email">
                      <a:extLst>
                        <a:ext uri="{28A0092B-C50C-407E-A947-70E740481C1C}">
                          <a14:useLocalDpi xmlns:a14="http://schemas.microsoft.com/office/drawing/2010/main"/>
                        </a:ext>
                      </a:extLst>
                    </a:blip>
                    <a:stretch>
                      <a:fillRect/>
                    </a:stretch>
                  </pic:blipFill>
                  <pic:spPr>
                    <a:xfrm>
                      <a:off x="0" y="0"/>
                      <a:ext cx="3705087" cy="2779020"/>
                    </a:xfrm>
                    <a:prstGeom prst="rect">
                      <a:avLst/>
                    </a:prstGeom>
                  </pic:spPr>
                </pic:pic>
              </a:graphicData>
            </a:graphic>
          </wp:inline>
        </w:drawing>
      </w:r>
    </w:p>
    <w:p w14:paraId="5CFC9DBF" w14:textId="77777777" w:rsidR="00AC362E" w:rsidRPr="00D47E6B" w:rsidRDefault="00AC362E" w:rsidP="00ED0631">
      <w:pPr>
        <w:keepNext/>
        <w:keepLines/>
        <w:spacing w:before="120"/>
        <w:rPr>
          <w:b/>
        </w:rPr>
      </w:pPr>
      <w:r w:rsidRPr="006312C0">
        <w:rPr>
          <w:b/>
        </w:rPr>
        <w:t>Figure 2 Library building and drinking-well constructed by School Committee and SIP Committee at</w:t>
      </w:r>
      <w:r w:rsidRPr="00D47E6B">
        <w:rPr>
          <w:b/>
        </w:rPr>
        <w:t xml:space="preserve"> Tabonuea School, Butaritari.</w:t>
      </w:r>
    </w:p>
    <w:p w14:paraId="0708468C" w14:textId="77777777" w:rsidR="00DE4728" w:rsidRDefault="00DE4728">
      <w:pPr>
        <w:spacing w:line="276" w:lineRule="auto"/>
      </w:pPr>
      <w:r>
        <w:br w:type="page"/>
      </w:r>
    </w:p>
    <w:p w14:paraId="623C812D" w14:textId="2B917A29" w:rsidR="00AC362E" w:rsidRDefault="00AC362E" w:rsidP="00ED0631">
      <w:pPr>
        <w:spacing w:before="240"/>
      </w:pPr>
      <w:r>
        <w:lastRenderedPageBreak/>
        <w:t>This was also the only Case Study school that demonstrated a clear concept that SIPs were intended to be part of a continuous improvement process. At the time of interview they were in the process of determining their next set of activities.</w:t>
      </w:r>
    </w:p>
    <w:p w14:paraId="46347E8D" w14:textId="77777777" w:rsidR="00AC362E" w:rsidRDefault="00AC362E" w:rsidP="00ED0631">
      <w:pPr>
        <w:spacing w:before="240"/>
        <w:rPr>
          <w:rFonts w:cs="Arial"/>
        </w:rPr>
      </w:pPr>
      <w:r>
        <w:rPr>
          <w:rFonts w:cs="Arial"/>
        </w:rPr>
        <w:t>The SED asked School Leaders to describe when the SIP should be developed? Term 3 was the anticipated correct answer; however, only 21% of School Leader’s gave this answer suggesting that the SIP process is not yet well understood by the majority of School Leaders and may require further support from MoE.</w:t>
      </w:r>
    </w:p>
    <w:p w14:paraId="66E7D3F1" w14:textId="77777777" w:rsidR="00AC362E" w:rsidRPr="0072514B" w:rsidRDefault="00AC362E" w:rsidP="00ED0631">
      <w:pPr>
        <w:pStyle w:val="Heading2"/>
      </w:pPr>
      <w:bookmarkStart w:id="152" w:name="_Toc461615770"/>
      <w:r>
        <w:t>6.5</w:t>
      </w:r>
      <w:r>
        <w:tab/>
      </w:r>
      <w:r w:rsidRPr="0072514B">
        <w:t>Access and Participation Intervention</w:t>
      </w:r>
      <w:bookmarkEnd w:id="152"/>
    </w:p>
    <w:p w14:paraId="66BAB3E4" w14:textId="77777777" w:rsidR="00AC362E" w:rsidRPr="008D4C4C" w:rsidRDefault="00AC362E" w:rsidP="00ED0631">
      <w:pPr>
        <w:pStyle w:val="Heading3"/>
        <w:rPr>
          <w:rFonts w:eastAsia="Times New Roman"/>
          <w:lang w:eastAsia="en-AU"/>
        </w:rPr>
      </w:pPr>
      <w:bookmarkStart w:id="153" w:name="_Toc461615771"/>
      <w:r>
        <w:rPr>
          <w:rFonts w:eastAsia="Times New Roman"/>
          <w:lang w:eastAsia="en-AU"/>
        </w:rPr>
        <w:t>6.5.1</w:t>
      </w:r>
      <w:r>
        <w:rPr>
          <w:rFonts w:eastAsia="Times New Roman"/>
          <w:lang w:eastAsia="en-AU"/>
        </w:rPr>
        <w:tab/>
      </w:r>
      <w:r w:rsidRPr="008D4C4C">
        <w:rPr>
          <w:rFonts w:eastAsia="Times New Roman"/>
          <w:lang w:eastAsia="en-AU"/>
        </w:rPr>
        <w:t>Managing school attendance</w:t>
      </w:r>
      <w:bookmarkEnd w:id="153"/>
    </w:p>
    <w:p w14:paraId="23942EE3" w14:textId="77777777" w:rsidR="00AC362E" w:rsidRDefault="00AC362E" w:rsidP="00ED0631">
      <w:pPr>
        <w:spacing w:before="240"/>
        <w:rPr>
          <w:rFonts w:cs="Arial"/>
        </w:rPr>
      </w:pPr>
      <w:r>
        <w:rPr>
          <w:rFonts w:cs="Arial"/>
        </w:rPr>
        <w:t xml:space="preserve">In the SED and CSR, school enrolment did not appear to be as serious an issue as </w:t>
      </w:r>
      <w:r w:rsidRPr="00866497">
        <w:rPr>
          <w:rFonts w:cs="Arial"/>
        </w:rPr>
        <w:t>previous literature</w:t>
      </w:r>
      <w:r>
        <w:rPr>
          <w:rFonts w:cs="Arial"/>
        </w:rPr>
        <w:t xml:space="preserve"> suggested it was</w:t>
      </w:r>
      <w:r>
        <w:rPr>
          <w:rStyle w:val="FootnoteReference"/>
          <w:rFonts w:cs="Arial"/>
        </w:rPr>
        <w:footnoteReference w:id="38"/>
      </w:r>
      <w:r>
        <w:rPr>
          <w:rFonts w:cs="Arial"/>
        </w:rPr>
        <w:t xml:space="preserve">. Most School Committees/ SIP Committees mentioned efforts they had made to ensure better attendance. It was also noted that almost all Case Study schools had some examples of children much older than would be expected by their grade. It was assumed that at least some of these children had started school late and this was taken as a positive indication that community efforts were working. However, data from the SED household surveys suggested that on average around 6 children per school were not-enrolled with non-attendance being a much bigger problem in South Tarawa that it was in other islands (see </w:t>
      </w:r>
      <w:r w:rsidRPr="006312C0">
        <w:rPr>
          <w:rFonts w:cs="Arial"/>
          <w:i/>
        </w:rPr>
        <w:t>Table 21</w:t>
      </w:r>
      <w:r w:rsidRPr="006312C0">
        <w:rPr>
          <w:rFonts w:cs="Arial"/>
        </w:rPr>
        <w:t>).</w:t>
      </w:r>
    </w:p>
    <w:p w14:paraId="128A5DC0" w14:textId="77777777" w:rsidR="00AC362E" w:rsidRPr="007A5872" w:rsidRDefault="00AC362E" w:rsidP="00ED0631">
      <w:pPr>
        <w:spacing w:after="0"/>
        <w:ind w:right="-46"/>
        <w:rPr>
          <w:rFonts w:asciiTheme="majorHAnsi" w:eastAsia="Times New Roman" w:hAnsiTheme="majorHAnsi" w:cstheme="majorHAnsi"/>
          <w:b/>
          <w:color w:val="000000"/>
          <w:lang w:eastAsia="en-AU"/>
        </w:rPr>
      </w:pPr>
      <w:r w:rsidRPr="007A5872">
        <w:rPr>
          <w:rFonts w:asciiTheme="majorHAnsi" w:eastAsia="Times New Roman" w:hAnsiTheme="majorHAnsi" w:cstheme="majorHAnsi"/>
          <w:b/>
          <w:color w:val="000000"/>
          <w:lang w:eastAsia="en-AU"/>
        </w:rPr>
        <w:t>Table 21: School Leaders' estimate of the number of children out-of-school (average) by island type</w:t>
      </w:r>
    </w:p>
    <w:tbl>
      <w:tblPr>
        <w:tblW w:w="3600" w:type="dxa"/>
        <w:tblInd w:w="93" w:type="dxa"/>
        <w:tblLook w:val="04A0" w:firstRow="1" w:lastRow="0" w:firstColumn="1" w:lastColumn="0" w:noHBand="0" w:noVBand="1"/>
      </w:tblPr>
      <w:tblGrid>
        <w:gridCol w:w="2000"/>
        <w:gridCol w:w="1600"/>
      </w:tblGrid>
      <w:tr w:rsidR="00AC362E" w:rsidRPr="007A5872" w14:paraId="4AF52C57" w14:textId="77777777" w:rsidTr="00ED0631">
        <w:trPr>
          <w:trHeight w:val="315"/>
        </w:trPr>
        <w:tc>
          <w:tcPr>
            <w:tcW w:w="2000" w:type="dxa"/>
            <w:tcBorders>
              <w:top w:val="single" w:sz="4" w:space="0" w:color="auto"/>
              <w:left w:val="nil"/>
              <w:bottom w:val="single" w:sz="4" w:space="0" w:color="auto"/>
              <w:right w:val="nil"/>
            </w:tcBorders>
            <w:shd w:val="clear" w:color="auto" w:fill="auto"/>
            <w:noWrap/>
            <w:vAlign w:val="bottom"/>
            <w:hideMark/>
          </w:tcPr>
          <w:p w14:paraId="613B4D3D"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 </w:t>
            </w:r>
          </w:p>
        </w:tc>
        <w:tc>
          <w:tcPr>
            <w:tcW w:w="1600" w:type="dxa"/>
            <w:tcBorders>
              <w:top w:val="single" w:sz="4" w:space="0" w:color="auto"/>
              <w:left w:val="nil"/>
              <w:bottom w:val="single" w:sz="4" w:space="0" w:color="auto"/>
              <w:right w:val="nil"/>
            </w:tcBorders>
            <w:shd w:val="clear" w:color="auto" w:fill="auto"/>
            <w:noWrap/>
            <w:vAlign w:val="bottom"/>
            <w:hideMark/>
          </w:tcPr>
          <w:p w14:paraId="3B0F09BB"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Average</w:t>
            </w:r>
          </w:p>
        </w:tc>
      </w:tr>
      <w:tr w:rsidR="00AC362E" w:rsidRPr="007A5872" w14:paraId="35FF47F3" w14:textId="77777777" w:rsidTr="00ED0631">
        <w:trPr>
          <w:trHeight w:val="315"/>
        </w:trPr>
        <w:tc>
          <w:tcPr>
            <w:tcW w:w="2000" w:type="dxa"/>
            <w:tcBorders>
              <w:top w:val="nil"/>
              <w:left w:val="nil"/>
              <w:bottom w:val="nil"/>
              <w:right w:val="nil"/>
            </w:tcBorders>
            <w:shd w:val="clear" w:color="auto" w:fill="auto"/>
            <w:noWrap/>
            <w:vAlign w:val="bottom"/>
            <w:hideMark/>
          </w:tcPr>
          <w:p w14:paraId="3AB2E48A"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Large island</w:t>
            </w:r>
          </w:p>
        </w:tc>
        <w:tc>
          <w:tcPr>
            <w:tcW w:w="1600" w:type="dxa"/>
            <w:tcBorders>
              <w:top w:val="nil"/>
              <w:left w:val="nil"/>
              <w:bottom w:val="nil"/>
              <w:right w:val="nil"/>
            </w:tcBorders>
            <w:shd w:val="clear" w:color="auto" w:fill="auto"/>
            <w:noWrap/>
            <w:vAlign w:val="bottom"/>
            <w:hideMark/>
          </w:tcPr>
          <w:p w14:paraId="7BF6614A"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3.04</w:t>
            </w:r>
          </w:p>
        </w:tc>
      </w:tr>
      <w:tr w:rsidR="00AC362E" w:rsidRPr="007A5872" w14:paraId="0BF8B913" w14:textId="77777777" w:rsidTr="00ED0631">
        <w:trPr>
          <w:trHeight w:val="315"/>
        </w:trPr>
        <w:tc>
          <w:tcPr>
            <w:tcW w:w="2000" w:type="dxa"/>
            <w:tcBorders>
              <w:top w:val="nil"/>
              <w:left w:val="nil"/>
              <w:bottom w:val="nil"/>
              <w:right w:val="nil"/>
            </w:tcBorders>
            <w:shd w:val="clear" w:color="auto" w:fill="auto"/>
            <w:noWrap/>
            <w:vAlign w:val="bottom"/>
            <w:hideMark/>
          </w:tcPr>
          <w:p w14:paraId="1D77F6B1"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Small island</w:t>
            </w:r>
          </w:p>
        </w:tc>
        <w:tc>
          <w:tcPr>
            <w:tcW w:w="1600" w:type="dxa"/>
            <w:tcBorders>
              <w:top w:val="nil"/>
              <w:left w:val="nil"/>
              <w:bottom w:val="nil"/>
              <w:right w:val="nil"/>
            </w:tcBorders>
            <w:shd w:val="clear" w:color="auto" w:fill="auto"/>
            <w:noWrap/>
            <w:vAlign w:val="bottom"/>
            <w:hideMark/>
          </w:tcPr>
          <w:p w14:paraId="1E3FADBC"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4.00</w:t>
            </w:r>
          </w:p>
        </w:tc>
      </w:tr>
      <w:tr w:rsidR="00AC362E" w:rsidRPr="007A5872" w14:paraId="02C6C848" w14:textId="77777777" w:rsidTr="00ED0631">
        <w:trPr>
          <w:trHeight w:val="315"/>
        </w:trPr>
        <w:tc>
          <w:tcPr>
            <w:tcW w:w="2000" w:type="dxa"/>
            <w:tcBorders>
              <w:top w:val="nil"/>
              <w:left w:val="nil"/>
              <w:bottom w:val="nil"/>
              <w:right w:val="nil"/>
            </w:tcBorders>
            <w:shd w:val="clear" w:color="auto" w:fill="auto"/>
            <w:noWrap/>
            <w:vAlign w:val="bottom"/>
            <w:hideMark/>
          </w:tcPr>
          <w:p w14:paraId="5FE0D515"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Sth Tarawa</w:t>
            </w:r>
          </w:p>
        </w:tc>
        <w:tc>
          <w:tcPr>
            <w:tcW w:w="1600" w:type="dxa"/>
            <w:tcBorders>
              <w:top w:val="nil"/>
              <w:left w:val="nil"/>
              <w:bottom w:val="nil"/>
              <w:right w:val="nil"/>
            </w:tcBorders>
            <w:shd w:val="clear" w:color="auto" w:fill="auto"/>
            <w:noWrap/>
            <w:vAlign w:val="bottom"/>
            <w:hideMark/>
          </w:tcPr>
          <w:p w14:paraId="4F5B75E6"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13.80</w:t>
            </w:r>
          </w:p>
        </w:tc>
      </w:tr>
      <w:tr w:rsidR="00AC362E" w:rsidRPr="007A5872" w14:paraId="206F0B34" w14:textId="77777777" w:rsidTr="00ED0631">
        <w:trPr>
          <w:trHeight w:val="315"/>
        </w:trPr>
        <w:tc>
          <w:tcPr>
            <w:tcW w:w="2000" w:type="dxa"/>
            <w:tcBorders>
              <w:top w:val="single" w:sz="4" w:space="0" w:color="auto"/>
              <w:left w:val="nil"/>
              <w:bottom w:val="single" w:sz="4" w:space="0" w:color="auto"/>
              <w:right w:val="nil"/>
            </w:tcBorders>
            <w:shd w:val="clear" w:color="auto" w:fill="auto"/>
            <w:noWrap/>
            <w:vAlign w:val="bottom"/>
            <w:hideMark/>
          </w:tcPr>
          <w:p w14:paraId="1EFE2FD3" w14:textId="77777777" w:rsidR="00AC362E" w:rsidRPr="007A5872" w:rsidRDefault="00AC362E" w:rsidP="00ED0631">
            <w:pPr>
              <w:spacing w:after="0"/>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Overall Average</w:t>
            </w:r>
          </w:p>
        </w:tc>
        <w:tc>
          <w:tcPr>
            <w:tcW w:w="1600" w:type="dxa"/>
            <w:tcBorders>
              <w:top w:val="single" w:sz="4" w:space="0" w:color="auto"/>
              <w:left w:val="nil"/>
              <w:bottom w:val="single" w:sz="4" w:space="0" w:color="auto"/>
              <w:right w:val="nil"/>
            </w:tcBorders>
            <w:shd w:val="clear" w:color="auto" w:fill="auto"/>
            <w:noWrap/>
            <w:vAlign w:val="bottom"/>
            <w:hideMark/>
          </w:tcPr>
          <w:p w14:paraId="187D77F1" w14:textId="77777777" w:rsidR="00AC362E" w:rsidRPr="007A5872" w:rsidRDefault="00AC362E" w:rsidP="00ED0631">
            <w:pPr>
              <w:spacing w:after="0"/>
              <w:jc w:val="center"/>
              <w:rPr>
                <w:rFonts w:asciiTheme="majorHAnsi" w:eastAsia="Times New Roman" w:hAnsiTheme="majorHAnsi" w:cstheme="majorHAnsi"/>
                <w:color w:val="000000"/>
                <w:lang w:eastAsia="en-AU"/>
              </w:rPr>
            </w:pPr>
            <w:r w:rsidRPr="007A5872">
              <w:rPr>
                <w:rFonts w:asciiTheme="majorHAnsi" w:eastAsia="Times New Roman" w:hAnsiTheme="majorHAnsi" w:cstheme="majorHAnsi"/>
                <w:color w:val="000000"/>
                <w:lang w:eastAsia="en-AU"/>
              </w:rPr>
              <w:t>5.56</w:t>
            </w:r>
          </w:p>
        </w:tc>
      </w:tr>
    </w:tbl>
    <w:p w14:paraId="5F0D9BA3" w14:textId="77777777" w:rsidR="00AC362E" w:rsidRPr="006312C0" w:rsidRDefault="00AC362E" w:rsidP="00ED0631">
      <w:pPr>
        <w:spacing w:before="240"/>
        <w:rPr>
          <w:rFonts w:cs="Arial"/>
        </w:rPr>
      </w:pPr>
      <w:r>
        <w:rPr>
          <w:rFonts w:cs="Arial"/>
        </w:rPr>
        <w:t>The SED Household Survey Data provides a similar picture suggesting that both South Tarawa and North Tarawa have the highest levels of non-enrolments and account for more than 2/3 of all non-</w:t>
      </w:r>
      <w:r w:rsidRPr="006312C0">
        <w:rPr>
          <w:rFonts w:cs="Arial"/>
        </w:rPr>
        <w:t xml:space="preserve">enrolments in the locations surveyed (see </w:t>
      </w:r>
      <w:r w:rsidRPr="006312C0">
        <w:rPr>
          <w:rFonts w:cs="Arial"/>
          <w:i/>
        </w:rPr>
        <w:t>Table 22</w:t>
      </w:r>
      <w:r w:rsidRPr="006312C0">
        <w:rPr>
          <w:rFonts w:cs="Arial"/>
        </w:rPr>
        <w:t>). On these figures, approximately 2% of the school aged population are not enrolled.</w:t>
      </w:r>
    </w:p>
    <w:p w14:paraId="28189C93" w14:textId="77777777" w:rsidR="00AC362E" w:rsidRPr="0078330D" w:rsidRDefault="00AC362E" w:rsidP="00ED0631">
      <w:pPr>
        <w:spacing w:after="0"/>
        <w:rPr>
          <w:rFonts w:asciiTheme="majorHAnsi" w:eastAsia="Times New Roman" w:hAnsiTheme="majorHAnsi" w:cstheme="majorHAnsi"/>
          <w:b/>
          <w:color w:val="000000"/>
          <w:lang w:eastAsia="en-AU"/>
        </w:rPr>
      </w:pPr>
      <w:r w:rsidRPr="0078330D">
        <w:rPr>
          <w:rFonts w:asciiTheme="majorHAnsi" w:eastAsia="Times New Roman" w:hAnsiTheme="majorHAnsi" w:cstheme="majorHAnsi"/>
          <w:b/>
          <w:color w:val="000000"/>
          <w:lang w:eastAsia="en-AU"/>
        </w:rPr>
        <w:t>Table 22: Enrolment status of basic education eligible children by island</w:t>
      </w:r>
      <w:r w:rsidRPr="0078330D">
        <w:rPr>
          <w:rFonts w:asciiTheme="majorHAnsi" w:eastAsia="Times New Roman" w:hAnsiTheme="majorHAnsi" w:cstheme="majorHAnsi"/>
          <w:b/>
          <w:color w:val="000000"/>
          <w:vertAlign w:val="superscript"/>
          <w:lang w:eastAsia="en-AU"/>
        </w:rPr>
        <w:t>+</w:t>
      </w:r>
    </w:p>
    <w:tbl>
      <w:tblPr>
        <w:tblW w:w="5992" w:type="dxa"/>
        <w:tblInd w:w="93" w:type="dxa"/>
        <w:tblLook w:val="04A0" w:firstRow="1" w:lastRow="0" w:firstColumn="1" w:lastColumn="0" w:noHBand="0" w:noVBand="1"/>
      </w:tblPr>
      <w:tblGrid>
        <w:gridCol w:w="1848"/>
        <w:gridCol w:w="1358"/>
        <w:gridCol w:w="1393"/>
        <w:gridCol w:w="1393"/>
      </w:tblGrid>
      <w:tr w:rsidR="00AC362E" w:rsidRPr="0078330D" w14:paraId="3095E4D4" w14:textId="77777777" w:rsidTr="00ED0631">
        <w:trPr>
          <w:trHeight w:val="315"/>
        </w:trPr>
        <w:tc>
          <w:tcPr>
            <w:tcW w:w="1848" w:type="dxa"/>
            <w:tcBorders>
              <w:top w:val="single" w:sz="4" w:space="0" w:color="auto"/>
              <w:left w:val="nil"/>
              <w:bottom w:val="single" w:sz="4" w:space="0" w:color="auto"/>
              <w:right w:val="nil"/>
            </w:tcBorders>
            <w:shd w:val="clear" w:color="auto" w:fill="auto"/>
            <w:noWrap/>
            <w:vAlign w:val="bottom"/>
            <w:hideMark/>
          </w:tcPr>
          <w:p w14:paraId="533B7D81"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Enrolment status</w:t>
            </w:r>
          </w:p>
        </w:tc>
        <w:tc>
          <w:tcPr>
            <w:tcW w:w="1358" w:type="dxa"/>
            <w:tcBorders>
              <w:top w:val="single" w:sz="4" w:space="0" w:color="auto"/>
              <w:left w:val="nil"/>
              <w:bottom w:val="single" w:sz="4" w:space="0" w:color="auto"/>
              <w:right w:val="nil"/>
            </w:tcBorders>
            <w:shd w:val="clear" w:color="auto" w:fill="auto"/>
            <w:noWrap/>
            <w:vAlign w:val="bottom"/>
            <w:hideMark/>
          </w:tcPr>
          <w:p w14:paraId="2C4AB05B"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Not Enrolled</w:t>
            </w:r>
          </w:p>
        </w:tc>
        <w:tc>
          <w:tcPr>
            <w:tcW w:w="1393" w:type="dxa"/>
            <w:tcBorders>
              <w:top w:val="single" w:sz="4" w:space="0" w:color="auto"/>
              <w:left w:val="nil"/>
              <w:bottom w:val="single" w:sz="4" w:space="0" w:color="auto"/>
              <w:right w:val="nil"/>
            </w:tcBorders>
            <w:shd w:val="clear" w:color="auto" w:fill="auto"/>
            <w:noWrap/>
            <w:vAlign w:val="bottom"/>
            <w:hideMark/>
          </w:tcPr>
          <w:p w14:paraId="485C5B84"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Enrolled</w:t>
            </w:r>
          </w:p>
        </w:tc>
        <w:tc>
          <w:tcPr>
            <w:tcW w:w="1393" w:type="dxa"/>
            <w:tcBorders>
              <w:top w:val="single" w:sz="4" w:space="0" w:color="auto"/>
              <w:left w:val="nil"/>
              <w:bottom w:val="single" w:sz="4" w:space="0" w:color="auto"/>
              <w:right w:val="nil"/>
            </w:tcBorders>
            <w:shd w:val="clear" w:color="auto" w:fill="auto"/>
            <w:noWrap/>
            <w:vAlign w:val="bottom"/>
            <w:hideMark/>
          </w:tcPr>
          <w:p w14:paraId="1A2FA33C"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Total</w:t>
            </w:r>
          </w:p>
        </w:tc>
      </w:tr>
      <w:tr w:rsidR="00AC362E" w:rsidRPr="0078330D" w14:paraId="13A48545" w14:textId="77777777" w:rsidTr="00ED0631">
        <w:trPr>
          <w:trHeight w:val="315"/>
        </w:trPr>
        <w:tc>
          <w:tcPr>
            <w:tcW w:w="1848" w:type="dxa"/>
            <w:tcBorders>
              <w:top w:val="nil"/>
              <w:left w:val="nil"/>
              <w:bottom w:val="nil"/>
              <w:right w:val="nil"/>
            </w:tcBorders>
            <w:shd w:val="clear" w:color="auto" w:fill="auto"/>
            <w:noWrap/>
            <w:vAlign w:val="bottom"/>
            <w:hideMark/>
          </w:tcPr>
          <w:p w14:paraId="01785D0E"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Abaiang</w:t>
            </w:r>
          </w:p>
        </w:tc>
        <w:tc>
          <w:tcPr>
            <w:tcW w:w="1358" w:type="dxa"/>
            <w:tcBorders>
              <w:top w:val="nil"/>
              <w:left w:val="nil"/>
              <w:bottom w:val="nil"/>
              <w:right w:val="nil"/>
            </w:tcBorders>
            <w:shd w:val="clear" w:color="auto" w:fill="auto"/>
            <w:noWrap/>
            <w:vAlign w:val="bottom"/>
            <w:hideMark/>
          </w:tcPr>
          <w:p w14:paraId="019692DE"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w:t>
            </w:r>
          </w:p>
        </w:tc>
        <w:tc>
          <w:tcPr>
            <w:tcW w:w="1393" w:type="dxa"/>
            <w:tcBorders>
              <w:top w:val="nil"/>
              <w:left w:val="nil"/>
              <w:bottom w:val="nil"/>
              <w:right w:val="nil"/>
            </w:tcBorders>
            <w:shd w:val="clear" w:color="auto" w:fill="auto"/>
            <w:noWrap/>
            <w:vAlign w:val="bottom"/>
            <w:hideMark/>
          </w:tcPr>
          <w:p w14:paraId="088D0BA5"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100</w:t>
            </w:r>
          </w:p>
        </w:tc>
        <w:tc>
          <w:tcPr>
            <w:tcW w:w="1393" w:type="dxa"/>
            <w:tcBorders>
              <w:top w:val="nil"/>
              <w:left w:val="nil"/>
              <w:bottom w:val="nil"/>
              <w:right w:val="nil"/>
            </w:tcBorders>
            <w:shd w:val="clear" w:color="auto" w:fill="auto"/>
            <w:noWrap/>
            <w:vAlign w:val="bottom"/>
            <w:hideMark/>
          </w:tcPr>
          <w:p w14:paraId="26047260"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100</w:t>
            </w:r>
          </w:p>
        </w:tc>
      </w:tr>
      <w:tr w:rsidR="00AC362E" w:rsidRPr="0078330D" w14:paraId="407A8C03" w14:textId="77777777" w:rsidTr="00ED0631">
        <w:trPr>
          <w:trHeight w:val="315"/>
        </w:trPr>
        <w:tc>
          <w:tcPr>
            <w:tcW w:w="1848" w:type="dxa"/>
            <w:tcBorders>
              <w:top w:val="nil"/>
              <w:left w:val="nil"/>
              <w:bottom w:val="nil"/>
              <w:right w:val="nil"/>
            </w:tcBorders>
            <w:shd w:val="clear" w:color="auto" w:fill="auto"/>
            <w:noWrap/>
            <w:vAlign w:val="bottom"/>
            <w:hideMark/>
          </w:tcPr>
          <w:p w14:paraId="299971DF"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Butartari</w:t>
            </w:r>
          </w:p>
        </w:tc>
        <w:tc>
          <w:tcPr>
            <w:tcW w:w="1358" w:type="dxa"/>
            <w:tcBorders>
              <w:top w:val="nil"/>
              <w:left w:val="nil"/>
              <w:bottom w:val="nil"/>
              <w:right w:val="nil"/>
            </w:tcBorders>
            <w:shd w:val="clear" w:color="auto" w:fill="auto"/>
            <w:noWrap/>
            <w:vAlign w:val="bottom"/>
            <w:hideMark/>
          </w:tcPr>
          <w:p w14:paraId="7EB24EA0"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w:t>
            </w:r>
          </w:p>
        </w:tc>
        <w:tc>
          <w:tcPr>
            <w:tcW w:w="1393" w:type="dxa"/>
            <w:tcBorders>
              <w:top w:val="nil"/>
              <w:left w:val="nil"/>
              <w:bottom w:val="nil"/>
              <w:right w:val="nil"/>
            </w:tcBorders>
            <w:shd w:val="clear" w:color="auto" w:fill="auto"/>
            <w:noWrap/>
            <w:vAlign w:val="bottom"/>
            <w:hideMark/>
          </w:tcPr>
          <w:p w14:paraId="197F4F6E"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64</w:t>
            </w:r>
          </w:p>
        </w:tc>
        <w:tc>
          <w:tcPr>
            <w:tcW w:w="1393" w:type="dxa"/>
            <w:tcBorders>
              <w:top w:val="nil"/>
              <w:left w:val="nil"/>
              <w:bottom w:val="nil"/>
              <w:right w:val="nil"/>
            </w:tcBorders>
            <w:shd w:val="clear" w:color="auto" w:fill="auto"/>
            <w:noWrap/>
            <w:vAlign w:val="bottom"/>
            <w:hideMark/>
          </w:tcPr>
          <w:p w14:paraId="4416F9D0"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65</w:t>
            </w:r>
          </w:p>
        </w:tc>
      </w:tr>
      <w:tr w:rsidR="00AC362E" w:rsidRPr="0078330D" w14:paraId="4F87353E" w14:textId="77777777" w:rsidTr="00ED0631">
        <w:trPr>
          <w:trHeight w:val="315"/>
        </w:trPr>
        <w:tc>
          <w:tcPr>
            <w:tcW w:w="1848" w:type="dxa"/>
            <w:tcBorders>
              <w:top w:val="nil"/>
              <w:left w:val="nil"/>
              <w:bottom w:val="nil"/>
              <w:right w:val="nil"/>
            </w:tcBorders>
            <w:shd w:val="clear" w:color="auto" w:fill="auto"/>
            <w:noWrap/>
            <w:vAlign w:val="bottom"/>
            <w:hideMark/>
          </w:tcPr>
          <w:p w14:paraId="385A14B3"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Kiritimati</w:t>
            </w:r>
          </w:p>
        </w:tc>
        <w:tc>
          <w:tcPr>
            <w:tcW w:w="1358" w:type="dxa"/>
            <w:tcBorders>
              <w:top w:val="nil"/>
              <w:left w:val="nil"/>
              <w:bottom w:val="nil"/>
              <w:right w:val="nil"/>
            </w:tcBorders>
            <w:shd w:val="clear" w:color="auto" w:fill="auto"/>
            <w:noWrap/>
            <w:vAlign w:val="bottom"/>
            <w:hideMark/>
          </w:tcPr>
          <w:p w14:paraId="72D8E70C"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w:t>
            </w:r>
          </w:p>
        </w:tc>
        <w:tc>
          <w:tcPr>
            <w:tcW w:w="1393" w:type="dxa"/>
            <w:tcBorders>
              <w:top w:val="nil"/>
              <w:left w:val="nil"/>
              <w:bottom w:val="nil"/>
              <w:right w:val="nil"/>
            </w:tcBorders>
            <w:shd w:val="clear" w:color="auto" w:fill="auto"/>
            <w:noWrap/>
            <w:vAlign w:val="bottom"/>
            <w:hideMark/>
          </w:tcPr>
          <w:p w14:paraId="0624B744"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90</w:t>
            </w:r>
          </w:p>
        </w:tc>
        <w:tc>
          <w:tcPr>
            <w:tcW w:w="1393" w:type="dxa"/>
            <w:tcBorders>
              <w:top w:val="nil"/>
              <w:left w:val="nil"/>
              <w:bottom w:val="nil"/>
              <w:right w:val="nil"/>
            </w:tcBorders>
            <w:shd w:val="clear" w:color="auto" w:fill="auto"/>
            <w:noWrap/>
            <w:vAlign w:val="bottom"/>
            <w:hideMark/>
          </w:tcPr>
          <w:p w14:paraId="49976194"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90</w:t>
            </w:r>
          </w:p>
        </w:tc>
      </w:tr>
      <w:tr w:rsidR="00AC362E" w:rsidRPr="0078330D" w14:paraId="566EB8AE" w14:textId="77777777" w:rsidTr="00ED0631">
        <w:trPr>
          <w:trHeight w:val="315"/>
        </w:trPr>
        <w:tc>
          <w:tcPr>
            <w:tcW w:w="1848" w:type="dxa"/>
            <w:tcBorders>
              <w:top w:val="nil"/>
              <w:left w:val="nil"/>
              <w:bottom w:val="nil"/>
              <w:right w:val="nil"/>
            </w:tcBorders>
            <w:shd w:val="clear" w:color="auto" w:fill="auto"/>
            <w:noWrap/>
            <w:vAlign w:val="bottom"/>
            <w:hideMark/>
          </w:tcPr>
          <w:p w14:paraId="11127A7F"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Maiana</w:t>
            </w:r>
          </w:p>
        </w:tc>
        <w:tc>
          <w:tcPr>
            <w:tcW w:w="1358" w:type="dxa"/>
            <w:tcBorders>
              <w:top w:val="nil"/>
              <w:left w:val="nil"/>
              <w:bottom w:val="nil"/>
              <w:right w:val="nil"/>
            </w:tcBorders>
            <w:shd w:val="clear" w:color="auto" w:fill="auto"/>
            <w:noWrap/>
            <w:vAlign w:val="bottom"/>
            <w:hideMark/>
          </w:tcPr>
          <w:p w14:paraId="0CF20DFE"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w:t>
            </w:r>
          </w:p>
        </w:tc>
        <w:tc>
          <w:tcPr>
            <w:tcW w:w="1393" w:type="dxa"/>
            <w:tcBorders>
              <w:top w:val="nil"/>
              <w:left w:val="nil"/>
              <w:bottom w:val="nil"/>
              <w:right w:val="nil"/>
            </w:tcBorders>
            <w:shd w:val="clear" w:color="auto" w:fill="auto"/>
            <w:noWrap/>
            <w:vAlign w:val="bottom"/>
            <w:hideMark/>
          </w:tcPr>
          <w:p w14:paraId="3D0F7110"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38</w:t>
            </w:r>
          </w:p>
        </w:tc>
        <w:tc>
          <w:tcPr>
            <w:tcW w:w="1393" w:type="dxa"/>
            <w:tcBorders>
              <w:top w:val="nil"/>
              <w:left w:val="nil"/>
              <w:bottom w:val="nil"/>
              <w:right w:val="nil"/>
            </w:tcBorders>
            <w:shd w:val="clear" w:color="auto" w:fill="auto"/>
            <w:noWrap/>
            <w:vAlign w:val="bottom"/>
            <w:hideMark/>
          </w:tcPr>
          <w:p w14:paraId="1471379A"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38</w:t>
            </w:r>
          </w:p>
        </w:tc>
      </w:tr>
      <w:tr w:rsidR="00AC362E" w:rsidRPr="0078330D" w14:paraId="746DB30A" w14:textId="77777777" w:rsidTr="00ED0631">
        <w:trPr>
          <w:trHeight w:val="315"/>
        </w:trPr>
        <w:tc>
          <w:tcPr>
            <w:tcW w:w="1848" w:type="dxa"/>
            <w:tcBorders>
              <w:top w:val="nil"/>
              <w:left w:val="nil"/>
              <w:bottom w:val="nil"/>
              <w:right w:val="nil"/>
            </w:tcBorders>
            <w:shd w:val="clear" w:color="auto" w:fill="auto"/>
            <w:noWrap/>
            <w:vAlign w:val="bottom"/>
            <w:hideMark/>
          </w:tcPr>
          <w:p w14:paraId="70AFCBB7"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Nonouti</w:t>
            </w:r>
          </w:p>
        </w:tc>
        <w:tc>
          <w:tcPr>
            <w:tcW w:w="1358" w:type="dxa"/>
            <w:tcBorders>
              <w:top w:val="nil"/>
              <w:left w:val="nil"/>
              <w:bottom w:val="nil"/>
              <w:right w:val="nil"/>
            </w:tcBorders>
            <w:shd w:val="clear" w:color="auto" w:fill="auto"/>
            <w:noWrap/>
            <w:vAlign w:val="bottom"/>
            <w:hideMark/>
          </w:tcPr>
          <w:p w14:paraId="232729E3"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w:t>
            </w:r>
          </w:p>
        </w:tc>
        <w:tc>
          <w:tcPr>
            <w:tcW w:w="1393" w:type="dxa"/>
            <w:tcBorders>
              <w:top w:val="nil"/>
              <w:left w:val="nil"/>
              <w:bottom w:val="nil"/>
              <w:right w:val="nil"/>
            </w:tcBorders>
            <w:shd w:val="clear" w:color="auto" w:fill="auto"/>
            <w:noWrap/>
            <w:vAlign w:val="bottom"/>
            <w:hideMark/>
          </w:tcPr>
          <w:p w14:paraId="307EAD6D"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58</w:t>
            </w:r>
          </w:p>
        </w:tc>
        <w:tc>
          <w:tcPr>
            <w:tcW w:w="1393" w:type="dxa"/>
            <w:tcBorders>
              <w:top w:val="nil"/>
              <w:left w:val="nil"/>
              <w:bottom w:val="nil"/>
              <w:right w:val="nil"/>
            </w:tcBorders>
            <w:shd w:val="clear" w:color="auto" w:fill="auto"/>
            <w:noWrap/>
            <w:vAlign w:val="bottom"/>
            <w:hideMark/>
          </w:tcPr>
          <w:p w14:paraId="06CFFEC6"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59</w:t>
            </w:r>
          </w:p>
        </w:tc>
      </w:tr>
      <w:tr w:rsidR="00AC362E" w:rsidRPr="0078330D" w14:paraId="79BA0741" w14:textId="77777777" w:rsidTr="00ED0631">
        <w:trPr>
          <w:trHeight w:val="315"/>
        </w:trPr>
        <w:tc>
          <w:tcPr>
            <w:tcW w:w="1848" w:type="dxa"/>
            <w:tcBorders>
              <w:top w:val="nil"/>
              <w:left w:val="nil"/>
              <w:bottom w:val="nil"/>
              <w:right w:val="nil"/>
            </w:tcBorders>
            <w:shd w:val="clear" w:color="auto" w:fill="auto"/>
            <w:noWrap/>
            <w:vAlign w:val="bottom"/>
            <w:hideMark/>
          </w:tcPr>
          <w:p w14:paraId="2F7A80EB"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North Tabiteuea</w:t>
            </w:r>
          </w:p>
        </w:tc>
        <w:tc>
          <w:tcPr>
            <w:tcW w:w="1358" w:type="dxa"/>
            <w:tcBorders>
              <w:top w:val="nil"/>
              <w:left w:val="nil"/>
              <w:bottom w:val="nil"/>
              <w:right w:val="nil"/>
            </w:tcBorders>
            <w:shd w:val="clear" w:color="auto" w:fill="auto"/>
            <w:noWrap/>
            <w:vAlign w:val="bottom"/>
            <w:hideMark/>
          </w:tcPr>
          <w:p w14:paraId="09B07BA2"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4</w:t>
            </w:r>
          </w:p>
        </w:tc>
        <w:tc>
          <w:tcPr>
            <w:tcW w:w="1393" w:type="dxa"/>
            <w:tcBorders>
              <w:top w:val="nil"/>
              <w:left w:val="nil"/>
              <w:bottom w:val="nil"/>
              <w:right w:val="nil"/>
            </w:tcBorders>
            <w:shd w:val="clear" w:color="auto" w:fill="auto"/>
            <w:noWrap/>
            <w:vAlign w:val="bottom"/>
            <w:hideMark/>
          </w:tcPr>
          <w:p w14:paraId="5283BB89"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80</w:t>
            </w:r>
          </w:p>
        </w:tc>
        <w:tc>
          <w:tcPr>
            <w:tcW w:w="1393" w:type="dxa"/>
            <w:tcBorders>
              <w:top w:val="nil"/>
              <w:left w:val="nil"/>
              <w:bottom w:val="nil"/>
              <w:right w:val="nil"/>
            </w:tcBorders>
            <w:shd w:val="clear" w:color="auto" w:fill="auto"/>
            <w:noWrap/>
            <w:vAlign w:val="bottom"/>
            <w:hideMark/>
          </w:tcPr>
          <w:p w14:paraId="22BE4DC3"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84</w:t>
            </w:r>
          </w:p>
        </w:tc>
      </w:tr>
      <w:tr w:rsidR="00AC362E" w:rsidRPr="0078330D" w14:paraId="0F74BB94" w14:textId="77777777" w:rsidTr="00ED0631">
        <w:trPr>
          <w:trHeight w:val="315"/>
        </w:trPr>
        <w:tc>
          <w:tcPr>
            <w:tcW w:w="1848" w:type="dxa"/>
            <w:tcBorders>
              <w:top w:val="nil"/>
              <w:left w:val="nil"/>
              <w:bottom w:val="nil"/>
              <w:right w:val="nil"/>
            </w:tcBorders>
            <w:shd w:val="clear" w:color="auto" w:fill="auto"/>
            <w:noWrap/>
            <w:vAlign w:val="bottom"/>
            <w:hideMark/>
          </w:tcPr>
          <w:p w14:paraId="70B54B83"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North Tarawa</w:t>
            </w:r>
          </w:p>
        </w:tc>
        <w:tc>
          <w:tcPr>
            <w:tcW w:w="1358" w:type="dxa"/>
            <w:tcBorders>
              <w:top w:val="nil"/>
              <w:left w:val="nil"/>
              <w:bottom w:val="nil"/>
              <w:right w:val="nil"/>
            </w:tcBorders>
            <w:shd w:val="clear" w:color="auto" w:fill="auto"/>
            <w:noWrap/>
            <w:vAlign w:val="bottom"/>
            <w:hideMark/>
          </w:tcPr>
          <w:p w14:paraId="761EC704"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7</w:t>
            </w:r>
          </w:p>
        </w:tc>
        <w:tc>
          <w:tcPr>
            <w:tcW w:w="1393" w:type="dxa"/>
            <w:tcBorders>
              <w:top w:val="nil"/>
              <w:left w:val="nil"/>
              <w:bottom w:val="nil"/>
              <w:right w:val="nil"/>
            </w:tcBorders>
            <w:shd w:val="clear" w:color="auto" w:fill="auto"/>
            <w:noWrap/>
            <w:vAlign w:val="bottom"/>
            <w:hideMark/>
          </w:tcPr>
          <w:p w14:paraId="15C5C9FC"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118</w:t>
            </w:r>
          </w:p>
        </w:tc>
        <w:tc>
          <w:tcPr>
            <w:tcW w:w="1393" w:type="dxa"/>
            <w:tcBorders>
              <w:top w:val="nil"/>
              <w:left w:val="nil"/>
              <w:bottom w:val="nil"/>
              <w:right w:val="nil"/>
            </w:tcBorders>
            <w:shd w:val="clear" w:color="auto" w:fill="auto"/>
            <w:noWrap/>
            <w:vAlign w:val="bottom"/>
            <w:hideMark/>
          </w:tcPr>
          <w:p w14:paraId="5FE280D1"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125</w:t>
            </w:r>
          </w:p>
        </w:tc>
      </w:tr>
      <w:tr w:rsidR="00AC362E" w:rsidRPr="0078330D" w14:paraId="0A06EE97" w14:textId="77777777" w:rsidTr="00ED0631">
        <w:trPr>
          <w:trHeight w:val="315"/>
        </w:trPr>
        <w:tc>
          <w:tcPr>
            <w:tcW w:w="1848" w:type="dxa"/>
            <w:tcBorders>
              <w:top w:val="nil"/>
              <w:left w:val="nil"/>
              <w:bottom w:val="nil"/>
              <w:right w:val="nil"/>
            </w:tcBorders>
            <w:shd w:val="clear" w:color="auto" w:fill="auto"/>
            <w:noWrap/>
            <w:vAlign w:val="bottom"/>
            <w:hideMark/>
          </w:tcPr>
          <w:p w14:paraId="0C4CD497"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South Tabiteuea</w:t>
            </w:r>
          </w:p>
        </w:tc>
        <w:tc>
          <w:tcPr>
            <w:tcW w:w="1358" w:type="dxa"/>
            <w:tcBorders>
              <w:top w:val="nil"/>
              <w:left w:val="nil"/>
              <w:bottom w:val="nil"/>
              <w:right w:val="nil"/>
            </w:tcBorders>
            <w:shd w:val="clear" w:color="auto" w:fill="auto"/>
            <w:noWrap/>
            <w:vAlign w:val="bottom"/>
            <w:hideMark/>
          </w:tcPr>
          <w:p w14:paraId="7A8464B1"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w:t>
            </w:r>
          </w:p>
        </w:tc>
        <w:tc>
          <w:tcPr>
            <w:tcW w:w="1393" w:type="dxa"/>
            <w:tcBorders>
              <w:top w:val="nil"/>
              <w:left w:val="nil"/>
              <w:bottom w:val="nil"/>
              <w:right w:val="nil"/>
            </w:tcBorders>
            <w:shd w:val="clear" w:color="auto" w:fill="auto"/>
            <w:noWrap/>
            <w:vAlign w:val="bottom"/>
            <w:hideMark/>
          </w:tcPr>
          <w:p w14:paraId="4417D136"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25</w:t>
            </w:r>
          </w:p>
        </w:tc>
        <w:tc>
          <w:tcPr>
            <w:tcW w:w="1393" w:type="dxa"/>
            <w:tcBorders>
              <w:top w:val="nil"/>
              <w:left w:val="nil"/>
              <w:bottom w:val="nil"/>
              <w:right w:val="nil"/>
            </w:tcBorders>
            <w:shd w:val="clear" w:color="auto" w:fill="auto"/>
            <w:noWrap/>
            <w:vAlign w:val="bottom"/>
            <w:hideMark/>
          </w:tcPr>
          <w:p w14:paraId="60C1E8A5"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26</w:t>
            </w:r>
          </w:p>
        </w:tc>
      </w:tr>
      <w:tr w:rsidR="00AC362E" w:rsidRPr="0078330D" w14:paraId="554FE6AD" w14:textId="77777777" w:rsidTr="00ED0631">
        <w:trPr>
          <w:trHeight w:val="315"/>
        </w:trPr>
        <w:tc>
          <w:tcPr>
            <w:tcW w:w="1848" w:type="dxa"/>
            <w:tcBorders>
              <w:top w:val="nil"/>
              <w:left w:val="nil"/>
              <w:bottom w:val="nil"/>
              <w:right w:val="nil"/>
            </w:tcBorders>
            <w:shd w:val="clear" w:color="auto" w:fill="auto"/>
            <w:noWrap/>
            <w:vAlign w:val="bottom"/>
            <w:hideMark/>
          </w:tcPr>
          <w:p w14:paraId="46FBD8DE"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South Tarawa</w:t>
            </w:r>
          </w:p>
        </w:tc>
        <w:tc>
          <w:tcPr>
            <w:tcW w:w="1358" w:type="dxa"/>
            <w:tcBorders>
              <w:top w:val="nil"/>
              <w:left w:val="nil"/>
              <w:bottom w:val="nil"/>
              <w:right w:val="nil"/>
            </w:tcBorders>
            <w:shd w:val="clear" w:color="auto" w:fill="auto"/>
            <w:noWrap/>
            <w:vAlign w:val="bottom"/>
            <w:hideMark/>
          </w:tcPr>
          <w:p w14:paraId="46BB9776"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9</w:t>
            </w:r>
          </w:p>
        </w:tc>
        <w:tc>
          <w:tcPr>
            <w:tcW w:w="1393" w:type="dxa"/>
            <w:tcBorders>
              <w:top w:val="nil"/>
              <w:left w:val="nil"/>
              <w:bottom w:val="nil"/>
              <w:right w:val="nil"/>
            </w:tcBorders>
            <w:shd w:val="clear" w:color="auto" w:fill="auto"/>
            <w:noWrap/>
            <w:vAlign w:val="bottom"/>
            <w:hideMark/>
          </w:tcPr>
          <w:p w14:paraId="25AE6967"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489</w:t>
            </w:r>
          </w:p>
        </w:tc>
        <w:tc>
          <w:tcPr>
            <w:tcW w:w="1393" w:type="dxa"/>
            <w:tcBorders>
              <w:top w:val="nil"/>
              <w:left w:val="nil"/>
              <w:bottom w:val="nil"/>
              <w:right w:val="nil"/>
            </w:tcBorders>
            <w:shd w:val="clear" w:color="auto" w:fill="auto"/>
            <w:noWrap/>
            <w:vAlign w:val="bottom"/>
            <w:hideMark/>
          </w:tcPr>
          <w:p w14:paraId="2F0E5E99"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498</w:t>
            </w:r>
          </w:p>
        </w:tc>
      </w:tr>
      <w:tr w:rsidR="00AC362E" w:rsidRPr="0078330D" w14:paraId="5070F64D" w14:textId="77777777" w:rsidTr="00ED0631">
        <w:trPr>
          <w:trHeight w:val="315"/>
        </w:trPr>
        <w:tc>
          <w:tcPr>
            <w:tcW w:w="1848" w:type="dxa"/>
            <w:tcBorders>
              <w:top w:val="nil"/>
              <w:left w:val="nil"/>
              <w:bottom w:val="nil"/>
              <w:right w:val="nil"/>
            </w:tcBorders>
            <w:shd w:val="clear" w:color="auto" w:fill="auto"/>
            <w:noWrap/>
            <w:vAlign w:val="bottom"/>
            <w:hideMark/>
          </w:tcPr>
          <w:p w14:paraId="7551658B"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Tamana</w:t>
            </w:r>
          </w:p>
        </w:tc>
        <w:tc>
          <w:tcPr>
            <w:tcW w:w="1358" w:type="dxa"/>
            <w:tcBorders>
              <w:top w:val="nil"/>
              <w:left w:val="nil"/>
              <w:bottom w:val="nil"/>
              <w:right w:val="nil"/>
            </w:tcBorders>
            <w:shd w:val="clear" w:color="auto" w:fill="auto"/>
            <w:noWrap/>
            <w:vAlign w:val="bottom"/>
            <w:hideMark/>
          </w:tcPr>
          <w:p w14:paraId="4EB17883"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w:t>
            </w:r>
          </w:p>
        </w:tc>
        <w:tc>
          <w:tcPr>
            <w:tcW w:w="1393" w:type="dxa"/>
            <w:tcBorders>
              <w:top w:val="nil"/>
              <w:left w:val="nil"/>
              <w:bottom w:val="nil"/>
              <w:right w:val="nil"/>
            </w:tcBorders>
            <w:shd w:val="clear" w:color="auto" w:fill="auto"/>
            <w:noWrap/>
            <w:vAlign w:val="bottom"/>
            <w:hideMark/>
          </w:tcPr>
          <w:p w14:paraId="09690C8A"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16</w:t>
            </w:r>
          </w:p>
        </w:tc>
        <w:tc>
          <w:tcPr>
            <w:tcW w:w="1393" w:type="dxa"/>
            <w:tcBorders>
              <w:top w:val="nil"/>
              <w:left w:val="nil"/>
              <w:bottom w:val="nil"/>
              <w:right w:val="nil"/>
            </w:tcBorders>
            <w:shd w:val="clear" w:color="auto" w:fill="auto"/>
            <w:noWrap/>
            <w:vAlign w:val="bottom"/>
            <w:hideMark/>
          </w:tcPr>
          <w:p w14:paraId="1E12C088"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16</w:t>
            </w:r>
          </w:p>
        </w:tc>
      </w:tr>
      <w:tr w:rsidR="00AC362E" w:rsidRPr="0078330D" w14:paraId="67EB9280" w14:textId="77777777" w:rsidTr="00ED0631">
        <w:trPr>
          <w:trHeight w:val="315"/>
        </w:trPr>
        <w:tc>
          <w:tcPr>
            <w:tcW w:w="1848" w:type="dxa"/>
            <w:tcBorders>
              <w:top w:val="single" w:sz="4" w:space="0" w:color="auto"/>
              <w:left w:val="nil"/>
              <w:bottom w:val="single" w:sz="4" w:space="0" w:color="auto"/>
              <w:right w:val="nil"/>
            </w:tcBorders>
            <w:shd w:val="clear" w:color="auto" w:fill="auto"/>
            <w:noWrap/>
            <w:vAlign w:val="bottom"/>
            <w:hideMark/>
          </w:tcPr>
          <w:p w14:paraId="18A5BA19" w14:textId="77777777" w:rsidR="00AC362E" w:rsidRPr="0078330D" w:rsidRDefault="00AC362E" w:rsidP="00ED0631">
            <w:pPr>
              <w:spacing w:after="0"/>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Total</w:t>
            </w:r>
          </w:p>
        </w:tc>
        <w:tc>
          <w:tcPr>
            <w:tcW w:w="1358" w:type="dxa"/>
            <w:tcBorders>
              <w:top w:val="single" w:sz="4" w:space="0" w:color="auto"/>
              <w:left w:val="nil"/>
              <w:bottom w:val="single" w:sz="4" w:space="0" w:color="auto"/>
              <w:right w:val="nil"/>
            </w:tcBorders>
            <w:shd w:val="clear" w:color="auto" w:fill="auto"/>
            <w:noWrap/>
            <w:vAlign w:val="bottom"/>
            <w:hideMark/>
          </w:tcPr>
          <w:p w14:paraId="28E1078E"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23</w:t>
            </w:r>
          </w:p>
        </w:tc>
        <w:tc>
          <w:tcPr>
            <w:tcW w:w="1393" w:type="dxa"/>
            <w:tcBorders>
              <w:top w:val="single" w:sz="4" w:space="0" w:color="auto"/>
              <w:left w:val="nil"/>
              <w:bottom w:val="single" w:sz="4" w:space="0" w:color="auto"/>
              <w:right w:val="nil"/>
            </w:tcBorders>
            <w:shd w:val="clear" w:color="auto" w:fill="auto"/>
            <w:noWrap/>
            <w:vAlign w:val="bottom"/>
            <w:hideMark/>
          </w:tcPr>
          <w:p w14:paraId="5BEBAE72"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1,079</w:t>
            </w:r>
          </w:p>
        </w:tc>
        <w:tc>
          <w:tcPr>
            <w:tcW w:w="1393" w:type="dxa"/>
            <w:tcBorders>
              <w:top w:val="single" w:sz="4" w:space="0" w:color="auto"/>
              <w:left w:val="nil"/>
              <w:bottom w:val="single" w:sz="4" w:space="0" w:color="auto"/>
              <w:right w:val="nil"/>
            </w:tcBorders>
            <w:shd w:val="clear" w:color="auto" w:fill="auto"/>
            <w:noWrap/>
            <w:vAlign w:val="bottom"/>
            <w:hideMark/>
          </w:tcPr>
          <w:p w14:paraId="7B903FC6" w14:textId="77777777" w:rsidR="00AC362E" w:rsidRPr="0078330D" w:rsidRDefault="00AC362E" w:rsidP="00ED0631">
            <w:pPr>
              <w:spacing w:after="0"/>
              <w:jc w:val="center"/>
              <w:rPr>
                <w:rFonts w:asciiTheme="majorHAnsi" w:eastAsia="Times New Roman" w:hAnsiTheme="majorHAnsi" w:cstheme="majorHAnsi"/>
                <w:color w:val="000000"/>
                <w:lang w:eastAsia="en-AU"/>
              </w:rPr>
            </w:pPr>
            <w:r w:rsidRPr="0078330D">
              <w:rPr>
                <w:rFonts w:asciiTheme="majorHAnsi" w:eastAsia="Times New Roman" w:hAnsiTheme="majorHAnsi" w:cstheme="majorHAnsi"/>
                <w:color w:val="000000"/>
                <w:lang w:eastAsia="en-AU"/>
              </w:rPr>
              <w:t>1,101</w:t>
            </w:r>
          </w:p>
        </w:tc>
      </w:tr>
    </w:tbl>
    <w:p w14:paraId="53603734" w14:textId="77777777" w:rsidR="00AC362E" w:rsidRPr="0072193F" w:rsidRDefault="00AC362E" w:rsidP="00ED0631">
      <w:pPr>
        <w:rPr>
          <w:rFonts w:cs="Arial"/>
          <w:sz w:val="16"/>
        </w:rPr>
      </w:pPr>
      <w:r w:rsidRPr="0072193F">
        <w:rPr>
          <w:rFonts w:cs="Arial"/>
          <w:sz w:val="16"/>
        </w:rPr>
        <w:t>+ SED data weighted by census data</w:t>
      </w:r>
    </w:p>
    <w:p w14:paraId="2D32A5A7" w14:textId="77777777" w:rsidR="00AC362E" w:rsidRDefault="00AC362E" w:rsidP="00ED0631">
      <w:pPr>
        <w:spacing w:before="240"/>
        <w:rPr>
          <w:rFonts w:cs="Arial"/>
        </w:rPr>
      </w:pPr>
      <w:r>
        <w:rPr>
          <w:rFonts w:cs="Arial"/>
        </w:rPr>
        <w:lastRenderedPageBreak/>
        <w:t>Committee members discussing the cases of known non-enrolments often expressed frustration having visited the families concerned without this always resulting in attendance. In two cases, they questioned whether law enforcement interventions were needed in these situations.</w:t>
      </w:r>
    </w:p>
    <w:p w14:paraId="0B09B064" w14:textId="77777777" w:rsidR="00AC362E" w:rsidRPr="008D4C4C" w:rsidRDefault="00AC362E" w:rsidP="00ED0631">
      <w:pPr>
        <w:pStyle w:val="Heading3"/>
        <w:rPr>
          <w:rFonts w:eastAsia="Times New Roman"/>
          <w:lang w:eastAsia="en-AU"/>
        </w:rPr>
      </w:pPr>
      <w:bookmarkStart w:id="154" w:name="_Toc461615772"/>
      <w:r>
        <w:rPr>
          <w:rFonts w:eastAsia="Times New Roman"/>
          <w:lang w:eastAsia="en-AU"/>
        </w:rPr>
        <w:t>6.5.2</w:t>
      </w:r>
      <w:r>
        <w:rPr>
          <w:rFonts w:eastAsia="Times New Roman"/>
          <w:lang w:eastAsia="en-AU"/>
        </w:rPr>
        <w:tab/>
      </w:r>
      <w:r w:rsidRPr="008D4C4C">
        <w:rPr>
          <w:rFonts w:eastAsia="Times New Roman"/>
          <w:lang w:eastAsia="en-AU"/>
        </w:rPr>
        <w:t>Managing inclusiveness in education</w:t>
      </w:r>
      <w:bookmarkEnd w:id="154"/>
    </w:p>
    <w:p w14:paraId="0DC0B310" w14:textId="77777777" w:rsidR="00AC362E" w:rsidRDefault="00AC362E" w:rsidP="00ED0631">
      <w:pPr>
        <w:spacing w:before="240"/>
        <w:rPr>
          <w:rFonts w:cs="Arial"/>
        </w:rPr>
      </w:pPr>
      <w:r>
        <w:rPr>
          <w:rFonts w:cs="Arial"/>
        </w:rPr>
        <w:t>Each Case Study school had examples of students with disabilities or learning difficulties</w:t>
      </w:r>
      <w:r>
        <w:rPr>
          <w:rStyle w:val="FootnoteReference"/>
          <w:rFonts w:cs="Arial"/>
        </w:rPr>
        <w:footnoteReference w:id="39"/>
      </w:r>
      <w:r>
        <w:rPr>
          <w:rFonts w:cs="Arial"/>
        </w:rPr>
        <w:t xml:space="preserve">. Most common amongst these were eyesight, hearing and speech problems. In each case, students were mainstreamed in classes and supported through strategies such as seating them at the front of the class and giving them extra attention to ensure they understood assigned tasks. One case was noted of a child with learning difficulties who had been found to be too disruptive in class and had been transferred to another school. Another case was noted of a child with sight in one eye who had previously attended the Special School in South Tarawa but had transferred back, at his own request, to </w:t>
      </w:r>
      <w:r w:rsidRPr="008B359E">
        <w:rPr>
          <w:rFonts w:cs="Arial"/>
          <w:i/>
        </w:rPr>
        <w:t>Bareaumai School</w:t>
      </w:r>
      <w:r>
        <w:rPr>
          <w:rFonts w:cs="Arial"/>
        </w:rPr>
        <w:t xml:space="preserve"> and was progressing well.</w:t>
      </w:r>
      <w:r>
        <w:t xml:space="preserve"> </w:t>
      </w:r>
    </w:p>
    <w:p w14:paraId="34A23246" w14:textId="77777777" w:rsidR="00AC362E" w:rsidRDefault="00AC362E" w:rsidP="00ED0631">
      <w:pPr>
        <w:spacing w:before="240"/>
        <w:rPr>
          <w:rFonts w:cs="Arial"/>
        </w:rPr>
      </w:pPr>
      <w:r>
        <w:rPr>
          <w:rFonts w:cs="Arial"/>
        </w:rPr>
        <w:t xml:space="preserve">Only a few examples of children not attending school because of disabilities were noted in the CSR. In the most unfortunate case, a child using a wheelchair was unable to attend </w:t>
      </w:r>
      <w:r w:rsidRPr="008B359E">
        <w:rPr>
          <w:rFonts w:cs="Arial"/>
          <w:i/>
        </w:rPr>
        <w:t>Ainen Karawa School</w:t>
      </w:r>
      <w:r>
        <w:rPr>
          <w:rFonts w:cs="Arial"/>
        </w:rPr>
        <w:t xml:space="preserve"> because the school grounds and buildings were impossible to navigate in a wheel chair.</w:t>
      </w:r>
    </w:p>
    <w:p w14:paraId="4D6F6984" w14:textId="77777777" w:rsidR="00AC362E" w:rsidRDefault="00AC362E" w:rsidP="00ED0631">
      <w:pPr>
        <w:spacing w:before="240"/>
        <w:rPr>
          <w:rFonts w:cs="Arial"/>
        </w:rPr>
      </w:pPr>
      <w:r>
        <w:rPr>
          <w:rFonts w:cs="Arial"/>
        </w:rPr>
        <w:t>While the CSR Team were generally impressed with the efforts of teachers to support children with disabilities and learning difficulties a related issue was noted during site visits. The CSR Team came across three students with significant health issues</w:t>
      </w:r>
      <w:r>
        <w:rPr>
          <w:rStyle w:val="FootnoteReference"/>
          <w:rFonts w:cs="Arial"/>
        </w:rPr>
        <w:footnoteReference w:id="40"/>
      </w:r>
      <w:r>
        <w:rPr>
          <w:rFonts w:cs="Arial"/>
        </w:rPr>
        <w:t xml:space="preserve"> which highlighted the need for teachers to be supported with knowledge and resources to manage such cases. In one school a child with epilepsy, who happened to be the niece of the School Leader was well supported but in another school teachers admitted not knowing what to do with a child who had a similar health problem.</w:t>
      </w:r>
    </w:p>
    <w:p w14:paraId="462FCEBC" w14:textId="77777777" w:rsidR="00AC362E" w:rsidRPr="0072514B" w:rsidRDefault="00AC362E" w:rsidP="00ED0631">
      <w:pPr>
        <w:pStyle w:val="Heading2"/>
      </w:pPr>
      <w:bookmarkStart w:id="155" w:name="_Toc461615773"/>
      <w:r>
        <w:t>6.6</w:t>
      </w:r>
      <w:r>
        <w:tab/>
      </w:r>
      <w:r w:rsidRPr="0072514B">
        <w:t>Facilities Refurbishment</w:t>
      </w:r>
      <w:bookmarkEnd w:id="155"/>
    </w:p>
    <w:p w14:paraId="331ADDB6" w14:textId="77777777" w:rsidR="00AC362E" w:rsidRPr="004B5F0F" w:rsidRDefault="00AC362E" w:rsidP="00ED0631">
      <w:pPr>
        <w:pStyle w:val="Heading3"/>
        <w:rPr>
          <w:rFonts w:eastAsia="Times New Roman"/>
          <w:lang w:eastAsia="en-AU"/>
        </w:rPr>
      </w:pPr>
      <w:bookmarkStart w:id="156" w:name="_Toc461615774"/>
      <w:r>
        <w:rPr>
          <w:rFonts w:eastAsia="Times New Roman"/>
          <w:lang w:eastAsia="en-AU"/>
        </w:rPr>
        <w:t>6.6.1</w:t>
      </w:r>
      <w:r>
        <w:rPr>
          <w:rFonts w:eastAsia="Times New Roman"/>
          <w:lang w:eastAsia="en-AU"/>
        </w:rPr>
        <w:tab/>
      </w:r>
      <w:r w:rsidRPr="004B5F0F">
        <w:rPr>
          <w:rFonts w:eastAsia="Times New Roman"/>
          <w:lang w:eastAsia="en-AU"/>
        </w:rPr>
        <w:t>The impact of refurbished buildings on student and teacher behaviour</w:t>
      </w:r>
      <w:bookmarkEnd w:id="156"/>
    </w:p>
    <w:p w14:paraId="28B859AC" w14:textId="77777777" w:rsidR="00AC362E" w:rsidRDefault="00AC362E" w:rsidP="00ED0631">
      <w:pPr>
        <w:rPr>
          <w:lang w:eastAsia="en-AU"/>
        </w:rPr>
      </w:pPr>
      <w:r>
        <w:rPr>
          <w:lang w:eastAsia="en-AU"/>
        </w:rPr>
        <w:t>The Case Study Team visited two schools that had been refurbished under KEIP and six other schools of varying sizes which had not received any refurbishment support. There can be no question, that refurbished schools provided a better learning environment. Among the most obvious differences:</w:t>
      </w:r>
    </w:p>
    <w:p w14:paraId="4354EB0F" w14:textId="77777777" w:rsidR="00AC362E" w:rsidRDefault="00AC362E" w:rsidP="00E91B91">
      <w:pPr>
        <w:pStyle w:val="ListParagraph"/>
        <w:numPr>
          <w:ilvl w:val="0"/>
          <w:numId w:val="8"/>
        </w:numPr>
        <w:spacing w:before="0" w:beforeAutospacing="0" w:after="200" w:afterAutospacing="0" w:line="276" w:lineRule="auto"/>
        <w:rPr>
          <w:lang w:eastAsia="en-AU"/>
        </w:rPr>
      </w:pPr>
      <w:r>
        <w:rPr>
          <w:lang w:eastAsia="en-AU"/>
        </w:rPr>
        <w:t>Refurbished schools had wall space that enabled student work and other learning materials to be prominently displayed on the walls providing a more stimulating and attractive learning environment.</w:t>
      </w:r>
    </w:p>
    <w:p w14:paraId="2BCA748B" w14:textId="77777777" w:rsidR="00AC362E" w:rsidRDefault="00AC362E" w:rsidP="00E91B91">
      <w:pPr>
        <w:pStyle w:val="ListParagraph"/>
        <w:numPr>
          <w:ilvl w:val="0"/>
          <w:numId w:val="8"/>
        </w:numPr>
        <w:spacing w:before="0" w:beforeAutospacing="0" w:after="200" w:afterAutospacing="0" w:line="276" w:lineRule="auto"/>
        <w:rPr>
          <w:lang w:eastAsia="en-AU"/>
        </w:rPr>
      </w:pPr>
      <w:r>
        <w:rPr>
          <w:lang w:eastAsia="en-AU"/>
        </w:rPr>
        <w:t>In most classrooms in refurbished schools students had desks to work at while in other schools desks were in short supply and if they existed were generally used for more senior year students.</w:t>
      </w:r>
    </w:p>
    <w:p w14:paraId="10E5C706" w14:textId="77777777" w:rsidR="00AC362E" w:rsidRDefault="00AC362E" w:rsidP="00E91B91">
      <w:pPr>
        <w:pStyle w:val="ListParagraph"/>
        <w:numPr>
          <w:ilvl w:val="0"/>
          <w:numId w:val="8"/>
        </w:numPr>
        <w:spacing w:before="0" w:beforeAutospacing="0" w:after="200" w:afterAutospacing="0" w:line="276" w:lineRule="auto"/>
        <w:rPr>
          <w:lang w:eastAsia="en-AU"/>
        </w:rPr>
      </w:pPr>
      <w:r>
        <w:rPr>
          <w:lang w:eastAsia="en-AU"/>
        </w:rPr>
        <w:t>Refurbished schools generally had good toilets and sanitation systems whereas these were frequently, but not always, not available in other schools. In some schools, School Committees had constructed toilets as part of their school improvement plans.</w:t>
      </w:r>
    </w:p>
    <w:p w14:paraId="5A10F271" w14:textId="77777777" w:rsidR="00AC362E" w:rsidRDefault="00AC362E" w:rsidP="00E91B91">
      <w:pPr>
        <w:pStyle w:val="ListParagraph"/>
        <w:numPr>
          <w:ilvl w:val="0"/>
          <w:numId w:val="8"/>
        </w:numPr>
        <w:spacing w:before="0" w:beforeAutospacing="0" w:after="200" w:afterAutospacing="0" w:line="276" w:lineRule="auto"/>
        <w:rPr>
          <w:lang w:eastAsia="en-AU"/>
        </w:rPr>
      </w:pPr>
      <w:r>
        <w:rPr>
          <w:lang w:eastAsia="en-AU"/>
        </w:rPr>
        <w:t>Refurbished schools were a source of community pride and had, for example, resulted in a reduction in vandalism according to committee members in both schools.</w:t>
      </w:r>
    </w:p>
    <w:p w14:paraId="5731BAE8" w14:textId="77777777" w:rsidR="00AC362E" w:rsidRDefault="00AC362E" w:rsidP="00E91B91">
      <w:pPr>
        <w:pStyle w:val="ListParagraph"/>
        <w:numPr>
          <w:ilvl w:val="0"/>
          <w:numId w:val="8"/>
        </w:numPr>
        <w:spacing w:before="0" w:beforeAutospacing="0" w:after="200" w:afterAutospacing="0" w:line="276" w:lineRule="auto"/>
        <w:rPr>
          <w:lang w:eastAsia="en-AU"/>
        </w:rPr>
      </w:pPr>
      <w:r>
        <w:rPr>
          <w:lang w:eastAsia="en-AU"/>
        </w:rPr>
        <w:t xml:space="preserve">School Refurbishments appeared to contribute to increased enrolments. In </w:t>
      </w:r>
      <w:r w:rsidRPr="008B359E">
        <w:rPr>
          <w:i/>
          <w:lang w:eastAsia="en-AU"/>
        </w:rPr>
        <w:t>Bareaumai School</w:t>
      </w:r>
      <w:r>
        <w:rPr>
          <w:lang w:eastAsia="en-AU"/>
        </w:rPr>
        <w:t xml:space="preserve"> enrolments had increased from </w:t>
      </w:r>
      <w:r w:rsidRPr="00B9429D">
        <w:rPr>
          <w:lang w:eastAsia="en-AU"/>
        </w:rPr>
        <w:t xml:space="preserve">330 to 441 in the last year and some of these come from outside the </w:t>
      </w:r>
      <w:r>
        <w:rPr>
          <w:lang w:eastAsia="en-AU"/>
        </w:rPr>
        <w:t xml:space="preserve">six </w:t>
      </w:r>
      <w:r w:rsidRPr="00B9429D">
        <w:rPr>
          <w:lang w:eastAsia="en-AU"/>
        </w:rPr>
        <w:t>wards</w:t>
      </w:r>
      <w:r>
        <w:rPr>
          <w:lang w:eastAsia="en-AU"/>
        </w:rPr>
        <w:t xml:space="preserve"> closest to the school</w:t>
      </w:r>
      <w:r w:rsidRPr="00B9429D">
        <w:rPr>
          <w:lang w:eastAsia="en-AU"/>
        </w:rPr>
        <w:t>.</w:t>
      </w:r>
    </w:p>
    <w:p w14:paraId="29DC38AA" w14:textId="77777777" w:rsidR="00AC362E" w:rsidRDefault="00AC362E" w:rsidP="00ED0631">
      <w:pPr>
        <w:rPr>
          <w:lang w:eastAsia="en-AU"/>
        </w:rPr>
      </w:pPr>
      <w:r>
        <w:rPr>
          <w:lang w:eastAsia="en-AU"/>
        </w:rPr>
        <w:t xml:space="preserve">Despite these obvious advantages the CSR Team was unable to conclude that refurbishment was contributing to better teaching. Many excellent examples of excellent teaching were noted across schools including some with serious infrastructure issues. </w:t>
      </w:r>
    </w:p>
    <w:p w14:paraId="00769832" w14:textId="77777777" w:rsidR="00AC362E" w:rsidRPr="00A93FE0" w:rsidRDefault="00AC362E" w:rsidP="00ED0631">
      <w:pPr>
        <w:spacing w:after="0"/>
        <w:rPr>
          <w:lang w:eastAsia="en-AU"/>
        </w:rPr>
      </w:pPr>
      <w:r>
        <w:rPr>
          <w:lang w:eastAsia="en-AU"/>
        </w:rPr>
        <w:lastRenderedPageBreak/>
        <w:t xml:space="preserve">Of special note, while all six of the non-refurbished schools visited would benefit from some infrastructure support one school, </w:t>
      </w:r>
      <w:r w:rsidRPr="008B359E">
        <w:rPr>
          <w:i/>
          <w:lang w:eastAsia="en-AU"/>
        </w:rPr>
        <w:t>Routa Primary School</w:t>
      </w:r>
      <w:r>
        <w:rPr>
          <w:lang w:eastAsia="en-AU"/>
        </w:rPr>
        <w:t>, in Nonouti was in urgent need of assistance. Several classrooms had been destroyed in storm prior to the teams visit and constituted a hazard to staff and students.</w:t>
      </w:r>
    </w:p>
    <w:p w14:paraId="60B95FBF" w14:textId="77777777" w:rsidR="00AC362E" w:rsidRDefault="00AC362E" w:rsidP="00ED0631">
      <w:pPr>
        <w:pStyle w:val="Heading1"/>
        <w:spacing w:after="240"/>
        <w:rPr>
          <w:rFonts w:eastAsia="Times New Roman"/>
          <w:lang w:eastAsia="en-AU"/>
        </w:rPr>
      </w:pPr>
      <w:bookmarkStart w:id="157" w:name="_Toc461615775"/>
      <w:r>
        <w:rPr>
          <w:rFonts w:eastAsia="Times New Roman"/>
          <w:lang w:eastAsia="en-AU"/>
        </w:rPr>
        <w:t>7</w:t>
      </w:r>
      <w:r>
        <w:rPr>
          <w:rFonts w:eastAsia="Times New Roman"/>
          <w:lang w:eastAsia="en-AU"/>
        </w:rPr>
        <w:tab/>
      </w:r>
      <w:r w:rsidRPr="00382778">
        <w:rPr>
          <w:rFonts w:eastAsia="Times New Roman"/>
          <w:lang w:eastAsia="en-AU"/>
        </w:rPr>
        <w:t>Discussion</w:t>
      </w:r>
      <w:bookmarkEnd w:id="157"/>
    </w:p>
    <w:p w14:paraId="429B1B53" w14:textId="77777777" w:rsidR="00AC362E" w:rsidRDefault="00AC362E" w:rsidP="00ED0631">
      <w:pPr>
        <w:rPr>
          <w:lang w:eastAsia="en-AU"/>
        </w:rPr>
      </w:pPr>
      <w:r>
        <w:rPr>
          <w:lang w:eastAsia="en-AU"/>
        </w:rPr>
        <w:t xml:space="preserve">The new curriculum is producing positive results but there are challenges. School Leaders and Teachers were overwhelmingly positive about the new curriculum with the majority of teachers (94%) feeling that the new curriculum had helped them to become better teachers. The majority of permanent teachers (76%) had received at least one new curriculum training but contract teachers and monitors have not usually been trained. Given the reliance on contract teachers in many schools this has resulted in an uneven implementation of the new curriculum. Trained teachers are often adopting more learner-focused approaches in the classroom and these are being well received by students who are more engaged and participative but teacher-focused approaches dominate amongst untrained teachers. </w:t>
      </w:r>
    </w:p>
    <w:p w14:paraId="53740489" w14:textId="77777777" w:rsidR="00AC362E" w:rsidRDefault="00AC362E" w:rsidP="00ED0631">
      <w:pPr>
        <w:rPr>
          <w:lang w:eastAsia="en-AU"/>
        </w:rPr>
      </w:pPr>
      <w:r>
        <w:rPr>
          <w:lang w:eastAsia="en-AU"/>
        </w:rPr>
        <w:t>80% of teachers reported some difficulties with the new curriculum with multigrade teaching and the transition from Te-Kiribati to English language instruction in Years 3&amp;4 identified as particular issues. The Literature Review noted that there was strong international support for the bilingual education approach adopted in Kiribati but also noted that there was a need to ensure that teachers and communities understood the underlying rationale for the bilingual approach in order to avoid the transition problems identified above. Multigrade teaching is a special situation and teachers and multigrade schools need additional support to implement the new curriculum effectively.</w:t>
      </w:r>
    </w:p>
    <w:p w14:paraId="24DEDD41" w14:textId="77777777" w:rsidR="00AC362E" w:rsidRDefault="00AC362E" w:rsidP="00ED0631">
      <w:pPr>
        <w:rPr>
          <w:lang w:eastAsia="en-AU"/>
        </w:rPr>
      </w:pPr>
      <w:r>
        <w:rPr>
          <w:lang w:eastAsia="en-AU"/>
        </w:rPr>
        <w:t>Assessment was another significant difficulty. The Literature Review provided information about the purposes and possible assessment approaches utilised internationally. It advocated a mixed methods approach to monitoring progress. In Kiribati the most common approach to assessment are portfolios and check-lists but there is no consistency in how these are used either across schools or within schools. Strengthening assessment approaches an area that additional effort is likely to yield significant benefits for student learning and teaching practice.</w:t>
      </w:r>
    </w:p>
    <w:p w14:paraId="14DAC628" w14:textId="77777777" w:rsidR="00AC362E" w:rsidRPr="001B3F80" w:rsidRDefault="00AC362E" w:rsidP="00ED0631">
      <w:pPr>
        <w:rPr>
          <w:lang w:eastAsia="en-AU"/>
        </w:rPr>
      </w:pPr>
      <w:r w:rsidRPr="001B3F80">
        <w:rPr>
          <w:lang w:eastAsia="en-AU"/>
        </w:rPr>
        <w:t xml:space="preserve">Many School Leaders had full-time teaching responsibilities in addition to management responsibilities. On average </w:t>
      </w:r>
      <w:r>
        <w:rPr>
          <w:lang w:eastAsia="en-AU"/>
        </w:rPr>
        <w:t>Teachers</w:t>
      </w:r>
      <w:r w:rsidRPr="001B3F80">
        <w:rPr>
          <w:lang w:eastAsia="en-AU"/>
        </w:rPr>
        <w:t xml:space="preserve"> estimated that they spent 9</w:t>
      </w:r>
      <w:r>
        <w:rPr>
          <w:lang w:eastAsia="en-AU"/>
        </w:rPr>
        <w:t>7</w:t>
      </w:r>
      <w:r w:rsidRPr="001B3F80">
        <w:rPr>
          <w:lang w:eastAsia="en-AU"/>
        </w:rPr>
        <w:t xml:space="preserve"> minutes engaged with </w:t>
      </w:r>
      <w:r>
        <w:rPr>
          <w:lang w:eastAsia="en-AU"/>
        </w:rPr>
        <w:t>School Leaders</w:t>
      </w:r>
      <w:r w:rsidRPr="001B3F80">
        <w:rPr>
          <w:lang w:eastAsia="en-AU"/>
        </w:rPr>
        <w:t xml:space="preserve"> over a ten day period with more than half of this time devoted to student performance, lesson plans and assessment in lesson plans. The majority of School Leaders spent relatively little time on classroom observation. Teachers were significantly less positive about the value of support they received from School Leaders than were the School Leaders themselves. School Leaders generally gave little attention to professional development needs of their staff; however, in-situ </w:t>
      </w:r>
      <w:r>
        <w:rPr>
          <w:lang w:eastAsia="en-AU"/>
        </w:rPr>
        <w:t>coaching</w:t>
      </w:r>
      <w:r w:rsidRPr="001B3F80">
        <w:rPr>
          <w:lang w:eastAsia="en-AU"/>
        </w:rPr>
        <w:t xml:space="preserve"> provided by KTC was highly regarded and was well tailored to real life issues teachers were experiencing.</w:t>
      </w:r>
    </w:p>
    <w:p w14:paraId="27F0A135" w14:textId="77777777" w:rsidR="00AC362E" w:rsidRDefault="00AC362E" w:rsidP="00ED0631">
      <w:pPr>
        <w:rPr>
          <w:lang w:eastAsia="en-AU"/>
        </w:rPr>
      </w:pPr>
      <w:r>
        <w:rPr>
          <w:lang w:eastAsia="en-AU"/>
        </w:rPr>
        <w:t>Teachers and School Leaders differ in their estimates of the extent to which parents are willing to participate in parent teacher events but both regard the meetings as valuable. Household surveys suggest about half of all parents participate and this accords well with School Leaders estimates.  Parents also participate in a range of other activities some of which are conducted under the auspices of School Committees and SIP committees. There is a significant overlap between these two committee types and some rationalisation would appear appropriate particularly as different remuneration structures apply despite ostensibly the same functions being performed. Committees vary in their level of activity school by school with the encouragement of the School Leader appearing to be the decisive factor that galvanises action. While most schools had SIPs these often appeared to be administrative documents that lacked community ownership and were not understood as part of a continuous improvement process. Nonetheless, significant community contributions to some schools were noted in Case Studies including support for infrastructure, fund-raising and managing attendance.</w:t>
      </w:r>
    </w:p>
    <w:p w14:paraId="55653C54" w14:textId="77777777" w:rsidR="00AC362E" w:rsidRDefault="00AC362E" w:rsidP="00ED0631">
      <w:pPr>
        <w:rPr>
          <w:lang w:eastAsia="en-AU"/>
        </w:rPr>
      </w:pPr>
      <w:r>
        <w:rPr>
          <w:lang w:eastAsia="en-AU"/>
        </w:rPr>
        <w:t xml:space="preserve">Neither the SED nor Case Studies supported the high estimates of non-enrolment described in 2012 MoE statistics. Community action to encourage enrolment was noted in most schools, possibly as a result of encouragement by community consultation teams.  It is possible that these efforts have led to </w:t>
      </w:r>
      <w:r>
        <w:rPr>
          <w:lang w:eastAsia="en-AU"/>
        </w:rPr>
        <w:lastRenderedPageBreak/>
        <w:t xml:space="preserve">improved enrolment levels.  According the SED household surveys around 2% of children are not enrolled with rates in South and North Tarawa being the highest.  </w:t>
      </w:r>
    </w:p>
    <w:p w14:paraId="27C846B2" w14:textId="77777777" w:rsidR="00AC362E" w:rsidRDefault="00AC362E" w:rsidP="00ED0631">
      <w:pPr>
        <w:rPr>
          <w:lang w:eastAsia="en-AU"/>
        </w:rPr>
      </w:pPr>
      <w:r>
        <w:rPr>
          <w:lang w:eastAsia="en-AU"/>
        </w:rPr>
        <w:t>Almost all schools in the Case Studies included some examples of children with learning difficulties or disabilities. Without exception these children were participating in lessons and teaching strategies to support them were being used. A few examples of children not attending schools because of disabilities were noted including one child who was prevented from attending school because the school grounds and buildings were unsuitable for wheelchair access. However, children with a range of hearing, vision and attention problems were being successfully accommodated.</w:t>
      </w:r>
    </w:p>
    <w:p w14:paraId="494CEEE2" w14:textId="77777777" w:rsidR="00AC362E" w:rsidRPr="002E77BD" w:rsidRDefault="00AC362E" w:rsidP="00ED0631">
      <w:pPr>
        <w:rPr>
          <w:lang w:eastAsia="en-AU"/>
        </w:rPr>
      </w:pPr>
      <w:r>
        <w:rPr>
          <w:lang w:eastAsia="en-AU"/>
        </w:rPr>
        <w:t>Refurbished classrooms were observed at two schools and could be contrasted with non-refurbished schools. There is no doubt that refurbished schools provided more conducive learning environments but whether this translated into improved student and teacher performance was not clear. Refurbished buildings have contributed to increased enrolments and out-of-area enrolments. They are also a source of pride for the local communities which may contribute to improved community participation. However, there was also strong ownership in some schools with traditional buildings and some excellent teaching occurring in non-refurbished buildings so while refurbishment can support educational objectives it is unlikely to be a sufficient condition in itself for this to occur.</w:t>
      </w:r>
    </w:p>
    <w:p w14:paraId="2775343D" w14:textId="77777777" w:rsidR="00AC362E" w:rsidRPr="00382778" w:rsidRDefault="00AC362E" w:rsidP="00ED0631">
      <w:pPr>
        <w:pStyle w:val="Heading1"/>
        <w:spacing w:after="240"/>
        <w:rPr>
          <w:rFonts w:eastAsia="Times New Roman"/>
          <w:lang w:eastAsia="en-AU"/>
        </w:rPr>
      </w:pPr>
      <w:bookmarkStart w:id="158" w:name="_Toc461615776"/>
      <w:r>
        <w:rPr>
          <w:rFonts w:eastAsia="Times New Roman"/>
          <w:lang w:eastAsia="en-AU"/>
        </w:rPr>
        <w:t>8</w:t>
      </w:r>
      <w:r>
        <w:rPr>
          <w:rFonts w:eastAsia="Times New Roman"/>
          <w:lang w:eastAsia="en-AU"/>
        </w:rPr>
        <w:tab/>
      </w:r>
      <w:r w:rsidRPr="00382778">
        <w:rPr>
          <w:rFonts w:eastAsia="Times New Roman"/>
          <w:lang w:eastAsia="en-AU"/>
        </w:rPr>
        <w:t>Conclusions</w:t>
      </w:r>
      <w:bookmarkEnd w:id="158"/>
      <w:r w:rsidRPr="00382778">
        <w:rPr>
          <w:rFonts w:eastAsia="Times New Roman"/>
          <w:lang w:eastAsia="en-AU"/>
        </w:rPr>
        <w:t xml:space="preserve"> </w:t>
      </w:r>
    </w:p>
    <w:p w14:paraId="5661BD5C" w14:textId="77777777" w:rsidR="00AC362E" w:rsidRDefault="00AC362E" w:rsidP="00ED0631">
      <w:r>
        <w:t>This report provides a synthesis of results from three sources: a Literature Review related to MoE priority issues; data tables produced from School Engagement Data surveys; and case studies of eight Kiribati schools. Both the Literature Review and the SED are substantial pieces of work in their own right that could, if well utilised, significantly inform future MoE policy. It is important that these are given wider dissemination. The SED is an especially rich source of evidence which contains much more data than is presented in this report. It is important that this data is maintained and analysed further. The Case Studies are primarily useful as contextual pieces particularly in as much as they help interpret the SED data. While chosen to include schools of different types care should be taken not to overgeneralise from these examples to the situation in other schools.</w:t>
      </w:r>
    </w:p>
    <w:p w14:paraId="7EAA4AE9" w14:textId="77777777" w:rsidR="00AC362E" w:rsidRDefault="00AC362E" w:rsidP="00ED0631">
      <w:r>
        <w:t>Taken together the studies reveal a mix of strengths and weaknesses relevant to KEIP and MoE achievements and future challenges. On the positive side of the ledger:</w:t>
      </w:r>
    </w:p>
    <w:p w14:paraId="6608BA56" w14:textId="77777777" w:rsidR="00AC362E" w:rsidRDefault="00AC362E" w:rsidP="00AE24CE">
      <w:pPr>
        <w:pStyle w:val="ListParagraph"/>
        <w:numPr>
          <w:ilvl w:val="0"/>
          <w:numId w:val="14"/>
        </w:numPr>
        <w:spacing w:before="0" w:beforeAutospacing="0" w:after="200" w:afterAutospacing="0" w:line="276" w:lineRule="auto"/>
      </w:pPr>
      <w:r>
        <w:t>The new curriculum has been positively received by both students and teachers and can be expected to contribute to improved learning and student outcomes.</w:t>
      </w:r>
    </w:p>
    <w:p w14:paraId="77E17272" w14:textId="77777777" w:rsidR="00AC362E" w:rsidRDefault="00AC362E" w:rsidP="00AE24CE">
      <w:pPr>
        <w:pStyle w:val="ListParagraph"/>
        <w:numPr>
          <w:ilvl w:val="0"/>
          <w:numId w:val="14"/>
        </w:numPr>
        <w:spacing w:before="0" w:beforeAutospacing="0" w:after="200" w:afterAutospacing="0" w:line="276" w:lineRule="auto"/>
      </w:pPr>
      <w:r>
        <w:t>There is an improved focus on student-centred learning approaches and where these are used, students are engaged, happy and participating actively in their learning.</w:t>
      </w:r>
    </w:p>
    <w:p w14:paraId="1EF06D43" w14:textId="77777777" w:rsidR="00AC362E" w:rsidRDefault="00AC362E" w:rsidP="00AE24CE">
      <w:pPr>
        <w:pStyle w:val="ListParagraph"/>
        <w:numPr>
          <w:ilvl w:val="0"/>
          <w:numId w:val="14"/>
        </w:numPr>
        <w:spacing w:before="0" w:beforeAutospacing="0" w:after="200" w:afterAutospacing="0" w:line="276" w:lineRule="auto"/>
      </w:pPr>
      <w:r>
        <w:t>The focus on teaching in Te-Kiribati in the early years is paying dividends in terms of the early development of children’s literacy and numeracy skills.</w:t>
      </w:r>
    </w:p>
    <w:p w14:paraId="089C61E9" w14:textId="77777777" w:rsidR="00AC362E" w:rsidRDefault="00AC362E" w:rsidP="00AE24CE">
      <w:pPr>
        <w:pStyle w:val="ListParagraph"/>
        <w:numPr>
          <w:ilvl w:val="0"/>
          <w:numId w:val="14"/>
        </w:numPr>
        <w:spacing w:before="0" w:beforeAutospacing="0" w:after="200" w:afterAutospacing="0" w:line="276" w:lineRule="auto"/>
      </w:pPr>
      <w:r>
        <w:t>English language competency of teachers appears to be increasing, albeit it not as strongly as might be desired.</w:t>
      </w:r>
    </w:p>
    <w:p w14:paraId="7264CE74" w14:textId="77777777" w:rsidR="00AC362E" w:rsidRDefault="00AC362E" w:rsidP="00AE24CE">
      <w:pPr>
        <w:pStyle w:val="ListParagraph"/>
        <w:numPr>
          <w:ilvl w:val="0"/>
          <w:numId w:val="14"/>
        </w:numPr>
        <w:spacing w:before="0" w:beforeAutospacing="0" w:after="200" w:afterAutospacing="0" w:line="276" w:lineRule="auto"/>
      </w:pPr>
      <w:r>
        <w:t>School Committees and SIP Committees have provided impetus for community engagement and are associated with many examples of positive change, particularly in school infrastructure, maintenance and school attendance.</w:t>
      </w:r>
    </w:p>
    <w:p w14:paraId="20513BCB" w14:textId="77777777" w:rsidR="00AC362E" w:rsidRDefault="00AC362E" w:rsidP="00AE24CE">
      <w:pPr>
        <w:pStyle w:val="ListParagraph"/>
        <w:numPr>
          <w:ilvl w:val="0"/>
          <w:numId w:val="14"/>
        </w:numPr>
        <w:spacing w:before="0" w:beforeAutospacing="0" w:after="200" w:afterAutospacing="0" w:line="276" w:lineRule="auto"/>
      </w:pPr>
      <w:r>
        <w:t>School enrolments appear to have improved from previous years and there were numerous examples of children with learning difficulties being included and supported in class.</w:t>
      </w:r>
    </w:p>
    <w:p w14:paraId="676F93C4" w14:textId="77777777" w:rsidR="00AC362E" w:rsidRDefault="00AC362E" w:rsidP="00AE24CE">
      <w:pPr>
        <w:pStyle w:val="ListParagraph"/>
        <w:numPr>
          <w:ilvl w:val="0"/>
          <w:numId w:val="14"/>
        </w:numPr>
        <w:spacing w:before="0" w:beforeAutospacing="0" w:after="200" w:afterAutospacing="0" w:line="276" w:lineRule="auto"/>
      </w:pPr>
      <w:r>
        <w:t>School refurbishments in selected schools have contributed to improved learning-environments, increased community pride, and increased enrolments.</w:t>
      </w:r>
    </w:p>
    <w:p w14:paraId="3E84A8CF" w14:textId="77777777" w:rsidR="00AC362E" w:rsidRDefault="00AC362E" w:rsidP="00ED0631">
      <w:r>
        <w:t>In terms of challenges still to be addressed:</w:t>
      </w:r>
    </w:p>
    <w:p w14:paraId="024CE88A" w14:textId="77777777" w:rsidR="00AC362E" w:rsidRDefault="00AC362E" w:rsidP="00AE24CE">
      <w:pPr>
        <w:pStyle w:val="ListParagraph"/>
        <w:numPr>
          <w:ilvl w:val="0"/>
          <w:numId w:val="15"/>
        </w:numPr>
        <w:spacing w:before="0" w:beforeAutospacing="0" w:after="200" w:afterAutospacing="0" w:line="276" w:lineRule="auto"/>
      </w:pPr>
      <w:r>
        <w:t>The large numbers of contract teachers who have had no training on the new curriculum and monitors who are teaching classes without any teacher training at all have resulted in uneven implementation of the new curriculum, particularly in Years 3 to 6.</w:t>
      </w:r>
    </w:p>
    <w:p w14:paraId="5B81B9B7" w14:textId="77777777" w:rsidR="00AC362E" w:rsidRDefault="00AC362E" w:rsidP="00AE24CE">
      <w:pPr>
        <w:pStyle w:val="ListParagraph"/>
        <w:numPr>
          <w:ilvl w:val="0"/>
          <w:numId w:val="15"/>
        </w:numPr>
        <w:spacing w:before="0" w:beforeAutospacing="0" w:after="200" w:afterAutospacing="0" w:line="276" w:lineRule="auto"/>
      </w:pPr>
      <w:r>
        <w:lastRenderedPageBreak/>
        <w:t>While the focus on Te-Kiribati in the early years is positive, the rationale for the dual language policy is not well understood by many teachers and parents and this is creating issues during the transition years 3 and 4.</w:t>
      </w:r>
    </w:p>
    <w:p w14:paraId="1ABE9B8B" w14:textId="77777777" w:rsidR="00AC362E" w:rsidRDefault="00AC362E" w:rsidP="00AE24CE">
      <w:pPr>
        <w:pStyle w:val="ListParagraph"/>
        <w:numPr>
          <w:ilvl w:val="0"/>
          <w:numId w:val="15"/>
        </w:numPr>
        <w:spacing w:before="0" w:beforeAutospacing="0" w:after="200" w:afterAutospacing="0" w:line="276" w:lineRule="auto"/>
      </w:pPr>
      <w:r>
        <w:t>Assessment is an area of general weakness across schools and although many teachers are using portfolios and checklists there is a need to strengthen these approaches and consolidate them within a wider assessment regime.</w:t>
      </w:r>
    </w:p>
    <w:p w14:paraId="1D61E9DB" w14:textId="77777777" w:rsidR="00AC362E" w:rsidRDefault="00AC362E" w:rsidP="00AE24CE">
      <w:pPr>
        <w:pStyle w:val="ListParagraph"/>
        <w:numPr>
          <w:ilvl w:val="0"/>
          <w:numId w:val="15"/>
        </w:numPr>
        <w:spacing w:before="0" w:beforeAutospacing="0" w:after="200" w:afterAutospacing="0" w:line="276" w:lineRule="auto"/>
      </w:pPr>
      <w:r>
        <w:t>SIPs are generally not seen as part of a continuous improvement process and have often been done for compliance purposes. Despite being useful for encouraging community involvement SIPs were not well understood by SIP committees who therefore lacked ownership.</w:t>
      </w:r>
    </w:p>
    <w:p w14:paraId="50553F8A" w14:textId="77777777" w:rsidR="00AC362E" w:rsidRDefault="00AC362E" w:rsidP="00AE24CE">
      <w:pPr>
        <w:pStyle w:val="ListParagraph"/>
        <w:numPr>
          <w:ilvl w:val="0"/>
          <w:numId w:val="15"/>
        </w:numPr>
        <w:spacing w:before="0" w:beforeAutospacing="0" w:after="200" w:afterAutospacing="0" w:line="276" w:lineRule="auto"/>
      </w:pPr>
      <w:r>
        <w:t>Notwithstanding improved school enrolments, a considerable number of children are still not in school. Community pressure and expectations can only go so far in ensuring compliance and need to be supported with other approaches.</w:t>
      </w:r>
    </w:p>
    <w:p w14:paraId="717367D2" w14:textId="77777777" w:rsidR="00AC362E" w:rsidRPr="0072514B" w:rsidRDefault="00AC362E" w:rsidP="00ED0631"/>
    <w:p w14:paraId="7362E98F" w14:textId="77777777" w:rsidR="00AC362E" w:rsidRDefault="00AC362E" w:rsidP="00ED0631">
      <w:pPr>
        <w:sectPr w:rsidR="00AC362E" w:rsidSect="00ED0631">
          <w:footerReference w:type="default" r:id="rId58"/>
          <w:pgSz w:w="11906" w:h="16838"/>
          <w:pgMar w:top="1440" w:right="1440" w:bottom="1440" w:left="1440" w:header="708" w:footer="708" w:gutter="0"/>
          <w:pgNumType w:start="1"/>
          <w:cols w:space="708"/>
          <w:docGrid w:linePitch="360"/>
        </w:sectPr>
      </w:pPr>
    </w:p>
    <w:p w14:paraId="34A6FFF9" w14:textId="77777777" w:rsidR="00AC362E" w:rsidRPr="0072514B" w:rsidRDefault="00AC362E" w:rsidP="0078330D">
      <w:pPr>
        <w:pStyle w:val="Annexheading"/>
      </w:pPr>
      <w:bookmarkStart w:id="159" w:name="_Toc442616786"/>
      <w:bookmarkStart w:id="160" w:name="_Toc461615777"/>
      <w:r>
        <w:lastRenderedPageBreak/>
        <w:t>Annexes</w:t>
      </w:r>
      <w:bookmarkEnd w:id="159"/>
      <w:bookmarkEnd w:id="160"/>
    </w:p>
    <w:p w14:paraId="05B6B207" w14:textId="77777777" w:rsidR="00AC362E" w:rsidRPr="00AE490B" w:rsidRDefault="00AC362E" w:rsidP="0078330D">
      <w:pPr>
        <w:pStyle w:val="SourceText"/>
        <w:rPr>
          <w:lang w:eastAsia="en-AU"/>
        </w:rPr>
      </w:pPr>
      <w:r>
        <w:rPr>
          <w:lang w:eastAsia="en-AU"/>
        </w:rPr>
        <w:t>Research Brief</w:t>
      </w:r>
      <w:r w:rsidRPr="00AE490B">
        <w:rPr>
          <w:lang w:eastAsia="en-AU"/>
        </w:rPr>
        <w:t xml:space="preserve"> </w:t>
      </w:r>
    </w:p>
    <w:p w14:paraId="4CD85D5B" w14:textId="77777777" w:rsidR="00AC362E" w:rsidRPr="00AE490B" w:rsidRDefault="00AC362E" w:rsidP="0078330D">
      <w:pPr>
        <w:pStyle w:val="SourceText"/>
        <w:rPr>
          <w:lang w:eastAsia="en-AU"/>
        </w:rPr>
      </w:pPr>
      <w:r w:rsidRPr="00AE490B">
        <w:rPr>
          <w:lang w:eastAsia="en-AU"/>
        </w:rPr>
        <w:t>Case Stud</w:t>
      </w:r>
      <w:r>
        <w:rPr>
          <w:lang w:eastAsia="en-AU"/>
        </w:rPr>
        <w:t>ies</w:t>
      </w:r>
      <w:r w:rsidRPr="00AE490B">
        <w:rPr>
          <w:lang w:eastAsia="en-AU"/>
        </w:rPr>
        <w:t xml:space="preserve"> of Each School </w:t>
      </w:r>
    </w:p>
    <w:p w14:paraId="23824959" w14:textId="77777777" w:rsidR="00AC362E" w:rsidRPr="00AE490B" w:rsidRDefault="00AC362E" w:rsidP="0078330D">
      <w:pPr>
        <w:pStyle w:val="SourceText"/>
        <w:rPr>
          <w:lang w:eastAsia="en-AU"/>
        </w:rPr>
      </w:pPr>
      <w:r w:rsidRPr="00AE490B">
        <w:rPr>
          <w:lang w:eastAsia="en-AU"/>
        </w:rPr>
        <w:t xml:space="preserve">Summary </w:t>
      </w:r>
      <w:r>
        <w:rPr>
          <w:lang w:eastAsia="en-AU"/>
        </w:rPr>
        <w:t xml:space="preserve">Tables </w:t>
      </w:r>
      <w:r w:rsidRPr="00AE490B">
        <w:rPr>
          <w:lang w:eastAsia="en-AU"/>
        </w:rPr>
        <w:t xml:space="preserve">of </w:t>
      </w:r>
      <w:r>
        <w:rPr>
          <w:lang w:eastAsia="en-AU"/>
        </w:rPr>
        <w:t xml:space="preserve">SED </w:t>
      </w:r>
      <w:r w:rsidRPr="00AE490B">
        <w:rPr>
          <w:lang w:eastAsia="en-AU"/>
        </w:rPr>
        <w:t xml:space="preserve">Analysis </w:t>
      </w:r>
    </w:p>
    <w:p w14:paraId="58449447" w14:textId="77777777" w:rsidR="00AC362E" w:rsidRPr="0072514B" w:rsidRDefault="00AC362E" w:rsidP="0078330D">
      <w:pPr>
        <w:pStyle w:val="SourceText"/>
      </w:pPr>
      <w:r>
        <w:rPr>
          <w:lang w:eastAsia="en-AU"/>
        </w:rPr>
        <w:t xml:space="preserve">Literature Review </w:t>
      </w:r>
    </w:p>
    <w:p w14:paraId="59F9436E" w14:textId="77777777" w:rsidR="00AC362E" w:rsidRDefault="00AC362E" w:rsidP="0078330D">
      <w:pPr>
        <w:pStyle w:val="SourceText"/>
        <w:sectPr w:rsidR="00AC362E" w:rsidSect="00ED0631">
          <w:footerReference w:type="default" r:id="rId59"/>
          <w:pgSz w:w="11906" w:h="16838"/>
          <w:pgMar w:top="1440" w:right="1440" w:bottom="1440" w:left="1440" w:header="708" w:footer="708" w:gutter="0"/>
          <w:cols w:space="708"/>
          <w:docGrid w:linePitch="360"/>
        </w:sectPr>
      </w:pPr>
    </w:p>
    <w:p w14:paraId="78759C71" w14:textId="77777777" w:rsidR="00AC362E" w:rsidRPr="0078330D" w:rsidRDefault="00AC362E" w:rsidP="0078330D">
      <w:pPr>
        <w:pStyle w:val="Annexheading"/>
      </w:pPr>
      <w:r w:rsidRPr="0078330D">
        <w:lastRenderedPageBreak/>
        <w:t>Annex 1</w:t>
      </w:r>
    </w:p>
    <w:p w14:paraId="52FF98A1" w14:textId="77777777" w:rsidR="00AC362E" w:rsidRPr="0078330D" w:rsidRDefault="00AC362E" w:rsidP="0078330D">
      <w:pPr>
        <w:pStyle w:val="Annexheading"/>
      </w:pPr>
      <w:r w:rsidRPr="0078330D">
        <w:t>Research Brief</w:t>
      </w:r>
    </w:p>
    <w:p w14:paraId="328F42D0" w14:textId="77777777" w:rsidR="00AC362E" w:rsidRDefault="00AC362E">
      <w:pPr>
        <w:sectPr w:rsidR="00AC362E" w:rsidSect="00ED0631">
          <w:footerReference w:type="default" r:id="rId60"/>
          <w:pgSz w:w="11906" w:h="16838"/>
          <w:pgMar w:top="1440" w:right="1440" w:bottom="1440" w:left="1440" w:header="708" w:footer="708" w:gutter="0"/>
          <w:cols w:space="708"/>
          <w:docGrid w:linePitch="360"/>
        </w:sectPr>
      </w:pPr>
      <w:r>
        <w:br w:type="page"/>
      </w:r>
    </w:p>
    <w:p w14:paraId="3D02F5BC" w14:textId="57A7BF81" w:rsidR="00AC362E" w:rsidRPr="006F3D6A" w:rsidRDefault="00AC362E" w:rsidP="00184429">
      <w:pPr>
        <w:pStyle w:val="Heading1"/>
        <w:ind w:left="0" w:right="-511" w:firstLine="0"/>
      </w:pPr>
      <w:bookmarkStart w:id="161" w:name="_Toc461615778"/>
      <w:r w:rsidRPr="006F3D6A">
        <w:lastRenderedPageBreak/>
        <w:t>Kiribati Education Improvement Program Phase II</w:t>
      </w:r>
      <w:r>
        <w:br/>
      </w:r>
      <w:r w:rsidRPr="006F3D6A">
        <w:t>Revised Research Approach - Research Brief (Final)</w:t>
      </w:r>
      <w:r w:rsidR="0078330D">
        <w:t xml:space="preserve"> </w:t>
      </w:r>
      <w:r w:rsidRPr="006F3D6A">
        <w:t>Prepared by Kiribati Education Facility M&amp;E Adviser</w:t>
      </w:r>
      <w:bookmarkEnd w:id="161"/>
    </w:p>
    <w:p w14:paraId="359A14C6" w14:textId="503C5102" w:rsidR="00AC362E" w:rsidRPr="006F3D6A" w:rsidRDefault="00AC362E" w:rsidP="00ED0631">
      <w:pPr>
        <w:spacing w:after="160" w:line="259" w:lineRule="auto"/>
        <w:jc w:val="both"/>
      </w:pPr>
    </w:p>
    <w:p w14:paraId="731BC3D9" w14:textId="77777777" w:rsidR="00AC362E" w:rsidRPr="006F3D6A" w:rsidRDefault="00AC362E" w:rsidP="00ED0631">
      <w:pPr>
        <w:spacing w:after="160" w:line="259" w:lineRule="auto"/>
        <w:jc w:val="both"/>
        <w:rPr>
          <w:spacing w:val="2"/>
        </w:rPr>
      </w:pPr>
      <w:r w:rsidRPr="006F3D6A">
        <w:rPr>
          <w:spacing w:val="2"/>
        </w:rPr>
        <w:t>This Research Brief outlines the proposed revised approach for the research planned under Kiribati Education Improvement Program Phase II (KEIP II) during 2015. The research is a component of KEIP II’s monitoring and evaluation and is aligned with reporting against the KEIP II Performance Management Framework.</w:t>
      </w:r>
    </w:p>
    <w:p w14:paraId="0B354675" w14:textId="77777777" w:rsidR="00AC362E" w:rsidRPr="006F3D6A" w:rsidRDefault="00AC362E" w:rsidP="00ED0631">
      <w:pPr>
        <w:pStyle w:val="Heading2"/>
      </w:pPr>
      <w:bookmarkStart w:id="162" w:name="_Toc461615779"/>
      <w:r w:rsidRPr="006F3D6A">
        <w:t>Rationale</w:t>
      </w:r>
      <w:bookmarkEnd w:id="162"/>
    </w:p>
    <w:p w14:paraId="15DCBC44" w14:textId="77777777" w:rsidR="00AC362E" w:rsidRPr="006F3D6A" w:rsidRDefault="00AC362E" w:rsidP="00ED0631">
      <w:pPr>
        <w:spacing w:after="160" w:line="259" w:lineRule="auto"/>
        <w:jc w:val="both"/>
      </w:pPr>
      <w:r w:rsidRPr="006F3D6A">
        <w:t>The DFAT Management Response to the KEIP II mid-term evaluation called for more robust research into access, participation, learning outcomes, and the effectiveness of curriculum reform and teacher professional development. This revised research approach responds to these requirements and incorporates the formation of baseline information anticipated to be needed for the next phase of KEIP (KEIP Phase III) starting in 2016.</w:t>
      </w:r>
    </w:p>
    <w:p w14:paraId="502F344D" w14:textId="77777777" w:rsidR="00AC362E" w:rsidRPr="006F3D6A" w:rsidRDefault="00AC362E" w:rsidP="00ED0631">
      <w:pPr>
        <w:spacing w:after="160" w:line="259" w:lineRule="auto"/>
        <w:jc w:val="both"/>
      </w:pPr>
      <w:r w:rsidRPr="006F3D6A">
        <w:t>The research will strengthen KEIP II’s ability to report against the KEIP II Performance Assessment Framework through identifying how the different KEIP II activities are contributing to changes at the school and classroom levels.  In particular, it will provide more in-depth information about progress toward improved classroom teaching for years 1-4 (integration of the curriculum in lessons plans and observation of curriculum use in the classroom); whether improved quality is leading to more children in schools (enrolment, attendance) included in refurbished classrooms; whether more children progressing from one level to the next (L2-5); whether curriculum resources made it to the classroom and are being used; the extent that School Improvement Plans have been implement and that the changes are valued; and whether teachers with better English language skills (and those doing TESOL) obtained better classroom attendance.  The table is annex one shows how each part of the research contributes to addressing key focus information area.</w:t>
      </w:r>
    </w:p>
    <w:p w14:paraId="3DF63F45" w14:textId="77777777" w:rsidR="00AC362E" w:rsidRPr="006F3D6A" w:rsidRDefault="00AC362E" w:rsidP="00ED0631">
      <w:pPr>
        <w:spacing w:after="160" w:line="259" w:lineRule="auto"/>
        <w:jc w:val="both"/>
      </w:pPr>
      <w:r w:rsidRPr="006F3D6A">
        <w:t>The information gathered through the research will provide valuable datasets that can be tracked over time (repeated surveying) and integrated with other MoE data for valuable insights into the basic education in Kiribati.  It will assist in answering policy questions and with examining change at the school and classroom level overtime.  For example, examining the relationship between the extent to which level 1-4 teachers were trained (KTC data) with other research information (e.g. the level of head teacher support for the teacher) including how well the teacher is implementing the new learner-centred curriculum, will allow MoE to consider what factors appear to be helping improve teaching. The Ministry currently has limited capacity to utilise the datasets that will be created through the research and consideration could be given under the ESSP 2016-2019 and KEIP III for strengthening knowledge management in MoE.</w:t>
      </w:r>
    </w:p>
    <w:p w14:paraId="2AE616FB" w14:textId="74D51F10" w:rsidR="00AC362E" w:rsidRPr="006F3D6A" w:rsidRDefault="00AC362E" w:rsidP="00ED0631">
      <w:pPr>
        <w:spacing w:after="160" w:line="259" w:lineRule="auto"/>
        <w:jc w:val="both"/>
      </w:pPr>
      <w:r w:rsidRPr="006F3D6A">
        <w:t>The information to be collected is not currently available</w:t>
      </w:r>
      <w:r w:rsidRPr="006F3D6A">
        <w:rPr>
          <w:vertAlign w:val="superscript"/>
        </w:rPr>
        <w:footnoteReference w:id="41"/>
      </w:r>
      <w:r w:rsidRPr="006F3D6A">
        <w:t xml:space="preserve"> and this proposal is considered the most viable and economical approach to meeting key information needs. For example, consideration was given to using the national census to collect estimates of children’s non-enrolment and absenteeism from school; however, the timing of the Census (7 November 2015) would render these estimates inaccurate and there is a clear need to understand these phenomenon at deeper causal level. The Census will provide estimates of national literacy, including for school-aged children, but these estimates are generally considered unreliable internationally and are not useful for measuring performance. Given DFAT’s work to collect information on disabilities through the Census, the 2015 Census information will (if administered well) provide useful information about people with disabilities that can be tabulated for school age groups</w:t>
      </w:r>
      <w:r w:rsidRPr="006F3D6A">
        <w:rPr>
          <w:vertAlign w:val="superscript"/>
        </w:rPr>
        <w:footnoteReference w:id="42"/>
      </w:r>
      <w:r w:rsidRPr="006F3D6A">
        <w:t>. This will be a valuable resource and the current research looks to complement and not duplicate the Census information.</w:t>
      </w:r>
    </w:p>
    <w:p w14:paraId="580C57A6" w14:textId="77777777" w:rsidR="00AC362E" w:rsidRPr="006F3D6A" w:rsidRDefault="00AC362E" w:rsidP="00ED0631">
      <w:pPr>
        <w:spacing w:after="160" w:line="259" w:lineRule="auto"/>
        <w:jc w:val="both"/>
      </w:pPr>
      <w:r w:rsidRPr="006F3D6A">
        <w:lastRenderedPageBreak/>
        <w:t>The key drivers for the reshaping of the research can be summarised as the need for/to:</w:t>
      </w:r>
    </w:p>
    <w:p w14:paraId="6C8B6B8B" w14:textId="77777777" w:rsidR="00AC362E" w:rsidRPr="006F3D6A" w:rsidRDefault="00AC362E" w:rsidP="00E91B91">
      <w:pPr>
        <w:numPr>
          <w:ilvl w:val="0"/>
          <w:numId w:val="6"/>
        </w:numPr>
        <w:spacing w:after="160" w:line="259" w:lineRule="auto"/>
        <w:ind w:left="284" w:hanging="284"/>
        <w:contextualSpacing/>
        <w:jc w:val="both"/>
      </w:pPr>
      <w:r w:rsidRPr="006F3D6A">
        <w:t xml:space="preserve">Combine KEIP II research into one work strand to ensure efficiencies and robustness of the research </w:t>
      </w:r>
    </w:p>
    <w:p w14:paraId="3BA9B772" w14:textId="77777777" w:rsidR="00AC362E" w:rsidRPr="006F3D6A" w:rsidRDefault="00AC362E" w:rsidP="00E91B91">
      <w:pPr>
        <w:numPr>
          <w:ilvl w:val="0"/>
          <w:numId w:val="6"/>
        </w:numPr>
        <w:spacing w:after="160" w:line="259" w:lineRule="auto"/>
        <w:ind w:left="284" w:hanging="284"/>
        <w:contextualSpacing/>
        <w:jc w:val="both"/>
      </w:pPr>
      <w:r w:rsidRPr="006F3D6A">
        <w:t>Additional information about how KEIP II is playing out on-the-ground in schools, including in classroom teaching and learning</w:t>
      </w:r>
    </w:p>
    <w:p w14:paraId="78EF654E" w14:textId="77777777" w:rsidR="00AC362E" w:rsidRPr="006F3D6A" w:rsidRDefault="00AC362E" w:rsidP="00E91B91">
      <w:pPr>
        <w:numPr>
          <w:ilvl w:val="0"/>
          <w:numId w:val="6"/>
        </w:numPr>
        <w:spacing w:after="160" w:line="259" w:lineRule="auto"/>
        <w:ind w:left="284" w:hanging="284"/>
        <w:contextualSpacing/>
        <w:jc w:val="both"/>
      </w:pPr>
      <w:r w:rsidRPr="006F3D6A">
        <w:t>Retrospective baseline information for KEIP II intermediate and end-of-program outcomes</w:t>
      </w:r>
    </w:p>
    <w:p w14:paraId="130E59D3" w14:textId="77777777" w:rsidR="00AC362E" w:rsidRPr="006F3D6A" w:rsidRDefault="00AC362E" w:rsidP="00E91B91">
      <w:pPr>
        <w:numPr>
          <w:ilvl w:val="0"/>
          <w:numId w:val="6"/>
        </w:numPr>
        <w:spacing w:after="160" w:line="259" w:lineRule="auto"/>
        <w:ind w:left="284" w:hanging="284"/>
        <w:contextualSpacing/>
        <w:jc w:val="both"/>
      </w:pPr>
      <w:r w:rsidRPr="006F3D6A">
        <w:t>Baseline information prior to starting KEIP III</w:t>
      </w:r>
    </w:p>
    <w:p w14:paraId="2898AA21" w14:textId="77777777" w:rsidR="00AC362E" w:rsidRPr="006F3D6A" w:rsidRDefault="00AC362E" w:rsidP="00E91B91">
      <w:pPr>
        <w:numPr>
          <w:ilvl w:val="0"/>
          <w:numId w:val="6"/>
        </w:numPr>
        <w:spacing w:after="160" w:line="259" w:lineRule="auto"/>
        <w:ind w:left="284" w:hanging="284"/>
        <w:contextualSpacing/>
        <w:jc w:val="both"/>
      </w:pPr>
      <w:r w:rsidRPr="006F3D6A">
        <w:t>Additional school engagement information to help monitor the ESSP 2016-2012</w:t>
      </w:r>
    </w:p>
    <w:p w14:paraId="03C3697E" w14:textId="77777777" w:rsidR="00AC362E" w:rsidRPr="006F3D6A" w:rsidRDefault="00AC362E" w:rsidP="00E91B91">
      <w:pPr>
        <w:numPr>
          <w:ilvl w:val="0"/>
          <w:numId w:val="6"/>
        </w:numPr>
        <w:spacing w:after="160" w:line="259" w:lineRule="auto"/>
        <w:ind w:left="284" w:hanging="284"/>
        <w:contextualSpacing/>
        <w:jc w:val="both"/>
      </w:pPr>
      <w:r w:rsidRPr="006F3D6A">
        <w:t>Better use of published evidence about what works and what doesn’t by MoE and KEF.</w:t>
      </w:r>
    </w:p>
    <w:p w14:paraId="7AB2AE68" w14:textId="77777777" w:rsidR="00AC362E" w:rsidRPr="006F3D6A" w:rsidRDefault="00AC362E" w:rsidP="00ED0631">
      <w:pPr>
        <w:pStyle w:val="Heading2"/>
      </w:pPr>
      <w:bookmarkStart w:id="163" w:name="_Toc461615780"/>
      <w:r w:rsidRPr="006F3D6A">
        <w:t>Research Approach</w:t>
      </w:r>
      <w:bookmarkEnd w:id="163"/>
    </w:p>
    <w:p w14:paraId="33D9CF5B" w14:textId="77777777" w:rsidR="00AC362E" w:rsidRPr="006F3D6A" w:rsidRDefault="00AC362E" w:rsidP="00ED0631">
      <w:pPr>
        <w:spacing w:after="160" w:line="259" w:lineRule="auto"/>
        <w:jc w:val="both"/>
      </w:pPr>
      <w:r w:rsidRPr="006F3D6A">
        <w:t>A shift to a theory-based research approach is recommended. A theory-based approach would involve confirming/validating the program logics for the main KEIP II interventions and a literature review (developed in conjunction with the Case Study Research) identifying the findings about what works and when (plus knowledge products for MoE/KEIP). Once the data gaps have been identified and prioritised, gaps would be filled through a School Engagement Data (SED) collection and Case Study Research (CSR).</w:t>
      </w:r>
    </w:p>
    <w:p w14:paraId="45F4AE66" w14:textId="77777777" w:rsidR="00AC362E" w:rsidRPr="006F3D6A" w:rsidRDefault="00AC362E" w:rsidP="00ED0631">
      <w:pPr>
        <w:spacing w:after="160" w:line="259" w:lineRule="auto"/>
        <w:jc w:val="both"/>
      </w:pPr>
      <w:r w:rsidRPr="006F3D6A">
        <w:t>The SED data collection will provide a portrait of what is happening on-the-ground in schools and provide estimates (using retrospective analysis) of changes during KEIP II and error rates in MoE administrative data</w:t>
      </w:r>
      <w:r w:rsidRPr="006F3D6A">
        <w:rPr>
          <w:vertAlign w:val="superscript"/>
        </w:rPr>
        <w:footnoteReference w:id="43"/>
      </w:r>
      <w:r w:rsidRPr="006F3D6A">
        <w:t>. The CSR will examine the extent and nature of the changes/improvements under KEIP II within the school context, and provide valuable lessons for KEIP III implementation.</w:t>
      </w:r>
    </w:p>
    <w:p w14:paraId="56D35ED0" w14:textId="77777777" w:rsidR="00AC362E" w:rsidRPr="006F3D6A" w:rsidRDefault="00AC362E" w:rsidP="00ED0631">
      <w:pPr>
        <w:spacing w:after="160" w:line="259" w:lineRule="auto"/>
        <w:jc w:val="both"/>
      </w:pPr>
      <w:r w:rsidRPr="006F3D6A">
        <w:t>The research would be rolled-out under three complementary components (while building on previous research): Theory-based Design, School Engagement Data Collection, and the Case Study Research.</w:t>
      </w:r>
    </w:p>
    <w:p w14:paraId="05E930A6" w14:textId="77777777" w:rsidR="00AC362E" w:rsidRPr="006F3D6A" w:rsidRDefault="00AC362E" w:rsidP="00ED0631">
      <w:pPr>
        <w:pStyle w:val="Heading2"/>
      </w:pPr>
      <w:bookmarkStart w:id="164" w:name="_Toc461615781"/>
      <w:r w:rsidRPr="006F3D6A">
        <w:t>Three Research Components</w:t>
      </w:r>
      <w:bookmarkEnd w:id="164"/>
    </w:p>
    <w:p w14:paraId="5DFC1709" w14:textId="77777777" w:rsidR="00AC362E" w:rsidRPr="006F3D6A" w:rsidRDefault="00AC362E" w:rsidP="00ED0631">
      <w:pPr>
        <w:pStyle w:val="Heading3"/>
      </w:pPr>
      <w:bookmarkStart w:id="165" w:name="_Toc461615782"/>
      <w:r w:rsidRPr="006F3D6A">
        <w:t>Component One: Theory-based Design</w:t>
      </w:r>
      <w:bookmarkEnd w:id="165"/>
    </w:p>
    <w:p w14:paraId="2B0CA018" w14:textId="77777777" w:rsidR="00AC362E" w:rsidRPr="006F3D6A" w:rsidRDefault="00AC362E" w:rsidP="00ED0631">
      <w:pPr>
        <w:spacing w:after="160" w:line="259" w:lineRule="auto"/>
        <w:jc w:val="both"/>
      </w:pPr>
      <w:r w:rsidRPr="006F3D6A">
        <w:t>The theory-based design will provide the foundation for the research. This foundation will inform the research priorities given the program logics of key aspects (interventions) of KEIP II.  The content of the SED and CSR work will then be tailored to meet these prioritised research needs.</w:t>
      </w:r>
    </w:p>
    <w:p w14:paraId="1E667ACF" w14:textId="77777777" w:rsidR="00AC362E" w:rsidRPr="006F3D6A" w:rsidRDefault="00AC362E" w:rsidP="00ED0631">
      <w:pPr>
        <w:pStyle w:val="Heading3"/>
      </w:pPr>
      <w:bookmarkStart w:id="166" w:name="_Toc461615783"/>
      <w:r w:rsidRPr="006F3D6A">
        <w:t>Component Two: School Engagement Data (Access and Participation)</w:t>
      </w:r>
      <w:bookmarkEnd w:id="166"/>
    </w:p>
    <w:p w14:paraId="5C82129E" w14:textId="77777777" w:rsidR="00AC362E" w:rsidRPr="006F3D6A" w:rsidRDefault="00AC362E" w:rsidP="00ED0631">
      <w:pPr>
        <w:spacing w:after="160" w:line="259" w:lineRule="auto"/>
        <w:jc w:val="both"/>
      </w:pPr>
      <w:r w:rsidRPr="006F3D6A">
        <w:t>Even prior to developing the program logics, we know that many of the KEIP II interventions (as will be the case under KEIP III) are targeted at deepening the extent and quality of students’ engagement with schools and learning. The KEIP II design was based on the theory that these engagements will lead to better learning outcomes for children.</w:t>
      </w:r>
    </w:p>
    <w:p w14:paraId="051112D1" w14:textId="77777777" w:rsidR="00AC362E" w:rsidRPr="006F3D6A" w:rsidRDefault="00AC362E" w:rsidP="00ED0631">
      <w:pPr>
        <w:spacing w:after="160" w:line="259" w:lineRule="auto"/>
        <w:jc w:val="both"/>
      </w:pPr>
      <w:r w:rsidRPr="006F3D6A">
        <w:t>Unfortunately, MoE statistical information about children’s school engagement is currently limited to enrolment numbers that seem to vary in unexplained ways and statistical indicators (e.g. survival rates) based on these enrolment numbers. Key information about patterns of attendance, how many children (and their and their families’ characteristics) are not in school and why (including due to different disabilities), how engagement data have changed over time (e.g. during KEIP II), and how administrative data supplied by teachers and head teachers differ from reality (self-reporting error rate)</w:t>
      </w:r>
      <w:r w:rsidRPr="006F3D6A">
        <w:rPr>
          <w:vertAlign w:val="superscript"/>
        </w:rPr>
        <w:footnoteReference w:id="44"/>
      </w:r>
      <w:r w:rsidRPr="006F3D6A">
        <w:t xml:space="preserve"> are not available.  Extending on the Access and Participation work that has been done under KEIP II including in Bareaumai Primary School, the SED will provide detailed information about children in-school and not in school that have disabilities, the nature of these disabilities (according to their caregiver or observational) and some preliminary analysis about what access (attendance and performance) would need to be addressed for the children to achieve better school access</w:t>
      </w:r>
      <w:r w:rsidRPr="006F3D6A">
        <w:rPr>
          <w:vertAlign w:val="superscript"/>
        </w:rPr>
        <w:footnoteReference w:id="45"/>
      </w:r>
      <w:r w:rsidRPr="006F3D6A">
        <w:t xml:space="preserve"> </w:t>
      </w:r>
      <w:r w:rsidRPr="006F3D6A">
        <w:rPr>
          <w:vertAlign w:val="superscript"/>
        </w:rPr>
        <w:footnoteReference w:id="46"/>
      </w:r>
      <w:r w:rsidRPr="006F3D6A">
        <w:t xml:space="preserve">. The SED collection will focus on filling </w:t>
      </w:r>
      <w:r w:rsidRPr="006F3D6A">
        <w:lastRenderedPageBreak/>
        <w:t>these key data gaps (including through a community survey) and any other key gaps identified and prioritised when the program logics are developed.</w:t>
      </w:r>
    </w:p>
    <w:p w14:paraId="7B0B801D" w14:textId="77777777" w:rsidR="00AC362E" w:rsidRPr="006F3D6A" w:rsidRDefault="00AC362E" w:rsidP="00ED0631">
      <w:pPr>
        <w:spacing w:after="160" w:line="259" w:lineRule="auto"/>
        <w:jc w:val="both"/>
      </w:pPr>
      <w:r w:rsidRPr="006F3D6A">
        <w:t xml:space="preserve">While many of the KEIP II and KEIP III (likely) interventions are expected to influence children’s engagement with their school, the follow-on effect is theorised to be improved educational outcomes.  Educational outcomes at the student level under KEIP II can be measured using the year four STARKi results as the students starting primary school in 2012 (2012 cohort) have been exposed to between 2-3 years of new curriculum and have also been exposed to between 1-2 years of the other school and teacher-level improvements under KEIP II. Given this, some level of improvement </w:t>
      </w:r>
      <w:r w:rsidRPr="006F3D6A">
        <w:rPr>
          <w:i/>
        </w:rPr>
        <w:t>may be</w:t>
      </w:r>
      <w:r w:rsidRPr="006F3D6A">
        <w:t xml:space="preserve"> observable when comparing this cohort to the 2010 cohort (single difference test).</w:t>
      </w:r>
    </w:p>
    <w:p w14:paraId="033ECE7A" w14:textId="77777777" w:rsidR="00AC362E" w:rsidRPr="006F3D6A" w:rsidRDefault="00AC362E" w:rsidP="00ED0631">
      <w:pPr>
        <w:spacing w:after="160" w:line="259" w:lineRule="auto"/>
        <w:jc w:val="both"/>
      </w:pPr>
      <w:r w:rsidRPr="006F3D6A">
        <w:t>However, it is also possible that no significant level of improvement will be seen as the 2012 cohort were, in effect, the `test year’ for the curriculum roll-out with teachers improving their application of the curriculum over the following 2-3 years.  In addition, many of the other KEIP II reforms will take more time to `bed-in’ (e.g. teacher appraisals and associated professional development).  As such, the 2015 year STARKi results are only likely to capture a small part of the KEIP II effort, and caution should be enacted. Educational improvement is more likely for cohorts 2013 and 2014 who will have been exposed to more of the KEIP II interventions and for longer.</w:t>
      </w:r>
    </w:p>
    <w:p w14:paraId="1B83CE34" w14:textId="77777777" w:rsidR="00AC362E" w:rsidRPr="006F3D6A" w:rsidRDefault="00AC362E" w:rsidP="00ED0631">
      <w:pPr>
        <w:spacing w:after="160" w:line="259" w:lineRule="auto"/>
        <w:jc w:val="both"/>
      </w:pPr>
      <w:r w:rsidRPr="006F3D6A">
        <w:t>It should be noted that any comparison of past and present national education results amount to a single difference test, and, therefore, any influences outside of KEIP itself (e.g. more school ready children) will inflate or deflate the results when compared. The alternative is to undertake a double-difference test whereby the results are compared to a group that has not received the intervention.  This would not be possible for KEIP II (given the design and roll-out) but could be undertaken with a staggered roll-out of the new curriculum for years 1-3 under KEIP III. This is not recommended, unless DFAT has a specific need for more compelling evidence about the effectiveness of learner-centred paradigms, as the literature is sufficiently supportive of this approach.</w:t>
      </w:r>
    </w:p>
    <w:p w14:paraId="2A8A56FE" w14:textId="77777777" w:rsidR="00AC362E" w:rsidRPr="006F3D6A" w:rsidRDefault="00AC362E" w:rsidP="00ED0631">
      <w:pPr>
        <w:spacing w:after="160" w:line="259" w:lineRule="auto"/>
        <w:jc w:val="both"/>
      </w:pPr>
      <w:r w:rsidRPr="006F3D6A">
        <w:t>The SED work will involve the collection of data from a cluster sampled of schools between weeks 2-8 of term two. This timing is important as schools need time to get back in operational mode and school engagement would be more indicative through the middle of the term. The sampling approach reflects that a census of Primary (ref: KEIP II) and Junior Secondary (ref: KEIP III) schools would be too costly, and unnecessary. As national inferences (statements about the system overall) are required, the sample size must be sufficient to allow for robust national statistics and estimates of change over time. A preliminary estimate is that the size will need to incorporate approximately 50 percent of primary and 70 percent of junior secondary schools (given the characteristics of each) – the final sample size will be determined during the overall research design.</w:t>
      </w:r>
    </w:p>
    <w:p w14:paraId="18381E4D" w14:textId="1A007B97" w:rsidR="00AC362E" w:rsidRPr="006F3D6A" w:rsidRDefault="00AC362E" w:rsidP="00ED0631">
      <w:pPr>
        <w:spacing w:after="160" w:line="259" w:lineRule="auto"/>
        <w:jc w:val="both"/>
      </w:pPr>
      <w:r w:rsidRPr="006F3D6A">
        <w:t>The research will be designed and led by the KEIP II M&amp;E Adviser, managed by the KEIP II M&amp;E Co-ordinator (locally engaged staff), with fieldwork led by KEF Gender and Social Inclusion Co-ordinator (locally engaged staff). The fieldwork will be administered by the access and participation contract staff (local staff). The KEF M&amp;E Adviso</w:t>
      </w:r>
      <w:r w:rsidR="0078330D">
        <w:t xml:space="preserve">r </w:t>
      </w:r>
      <w:r w:rsidRPr="006F3D6A">
        <w:t>will undertake the data analysis and the CSR contractors will include the statistical information (and literature review) in a final overall research report.</w:t>
      </w:r>
    </w:p>
    <w:p w14:paraId="3BEF2326" w14:textId="77777777" w:rsidR="00AC362E" w:rsidRPr="006F3D6A" w:rsidRDefault="00AC362E" w:rsidP="00ED0631">
      <w:pPr>
        <w:pStyle w:val="Heading3"/>
      </w:pPr>
      <w:bookmarkStart w:id="167" w:name="_Toc461615784"/>
      <w:r w:rsidRPr="006F3D6A">
        <w:t>Component Three: Case Study Research</w:t>
      </w:r>
      <w:bookmarkEnd w:id="167"/>
    </w:p>
    <w:p w14:paraId="602444F7" w14:textId="77777777" w:rsidR="00AC362E" w:rsidRPr="006F3D6A" w:rsidRDefault="00AC362E" w:rsidP="00ED0631">
      <w:pPr>
        <w:spacing w:after="160" w:line="259" w:lineRule="auto"/>
        <w:jc w:val="both"/>
      </w:pPr>
      <w:r w:rsidRPr="006F3D6A">
        <w:t>The CSR will complement the SED statistical data by providing an in-depth interpretation of what is happening in schools linked to KEIP II interventions. Well thought-out case studies provide a unique opportunity to understanding if educational improvements are materialising and to learn critical lessons that can be picked-up in KEIP III implementation</w:t>
      </w:r>
      <w:r w:rsidRPr="006F3D6A">
        <w:rPr>
          <w:vertAlign w:val="superscript"/>
        </w:rPr>
        <w:footnoteReference w:id="47"/>
      </w:r>
      <w:r w:rsidRPr="006F3D6A">
        <w:t xml:space="preserve">. Case study research is often not well done and opportunities are lost to collect causal information that can help stakeholders better understand what is happening </w:t>
      </w:r>
      <w:r w:rsidRPr="006F3D6A">
        <w:rPr>
          <w:u w:val="single"/>
        </w:rPr>
        <w:t>and why</w:t>
      </w:r>
      <w:r w:rsidRPr="006F3D6A">
        <w:t xml:space="preserve">. Good case studies required experienced researchers, strong case study frameworks, systematic analysis (rather than fishing trips), and good research write-up. For this reason, it is recommended that the case studies be led by an international researcher/s with a proven track record using case study methods. Local staff should be used for as much field data collection as possible, and KEIP II will consider including a requirement in the Request for Proposal (RFP) that the access and </w:t>
      </w:r>
      <w:r w:rsidRPr="006F3D6A">
        <w:lastRenderedPageBreak/>
        <w:t>participation contract staff are used. If this is not possible (most contractors are cautious about using mandated staff), interested parties will be encouraged to form their own teams using I-Kiribati.</w:t>
      </w:r>
    </w:p>
    <w:p w14:paraId="6A76A19A" w14:textId="77777777" w:rsidR="00AC362E" w:rsidRPr="006F3D6A" w:rsidRDefault="00AC362E" w:rsidP="00ED0631">
      <w:pPr>
        <w:spacing w:after="160" w:line="259" w:lineRule="auto"/>
        <w:jc w:val="both"/>
      </w:pPr>
      <w:r w:rsidRPr="006F3D6A">
        <w:t>Given the likely lag-effect for KEIP II outcomes, it is possible that only early indicators of change (e.g. attitudes and perceptions) will uncover KEIP II progress (for another 1-2 years) and CSR provides the best approach using these indicators. The objective of the CSR will be to identify the ways in which change is (potentially) emerging (or not), the unintended outcomes that are evident, and to identify associated key lessons relevant to future KEIP III work.</w:t>
      </w:r>
    </w:p>
    <w:p w14:paraId="64228409" w14:textId="77777777" w:rsidR="00AC362E" w:rsidRPr="006F3D6A" w:rsidRDefault="00AC362E" w:rsidP="00ED0631">
      <w:pPr>
        <w:spacing w:after="160" w:line="259" w:lineRule="auto"/>
        <w:jc w:val="both"/>
      </w:pPr>
      <w:r w:rsidRPr="006F3D6A">
        <w:t>A literature review will be conducted and written up prior to the case study framework being developed.  This will allow the case study design to explore similarities/differences about what works in similar contexts. Along with the SED/CSR findings, knowledge products (two page, easy to read briefs) from the literature review will be developed for MoE staff to support policy thinking and implementation.</w:t>
      </w:r>
    </w:p>
    <w:p w14:paraId="1B30271C" w14:textId="77777777" w:rsidR="00AC362E" w:rsidRPr="00DE4728" w:rsidRDefault="00AC362E" w:rsidP="00ED0631">
      <w:pPr>
        <w:spacing w:after="160" w:line="259" w:lineRule="auto"/>
        <w:jc w:val="both"/>
        <w:rPr>
          <w:spacing w:val="-2"/>
        </w:rPr>
      </w:pPr>
      <w:r w:rsidRPr="00DE4728">
        <w:rPr>
          <w:spacing w:val="-2"/>
        </w:rPr>
        <w:t>Purposeful selection criteria will be used to select appropriate case study sites (either schools or geographic locations depending on what is practical). These criteria will be designed to identify comparative case studies sites that have the potential to identify change/improvement, where change/improvement may be hindered or less likely, and where implementation has been unique.  It is expected that approximately six case studies sites will be required. The selection criteria will also allow for examining 1-3 examples of children with disabilities in (mainstreamed) and not attending school, and will provide an in-depth analysis about case management options that could help the children achieve their educational objective more effectively.</w:t>
      </w:r>
    </w:p>
    <w:p w14:paraId="21592ED9" w14:textId="77777777" w:rsidR="00AC362E" w:rsidRPr="006F3D6A" w:rsidRDefault="00AC362E" w:rsidP="00ED0631">
      <w:pPr>
        <w:pStyle w:val="Heading2"/>
      </w:pPr>
      <w:bookmarkStart w:id="168" w:name="_Toc461615785"/>
      <w:r w:rsidRPr="006F3D6A">
        <w:t>Organisational Considerations</w:t>
      </w:r>
      <w:bookmarkEnd w:id="168"/>
    </w:p>
    <w:p w14:paraId="7566EDDB" w14:textId="77777777" w:rsidR="00AC362E" w:rsidRPr="006F3D6A" w:rsidRDefault="00AC362E" w:rsidP="00ED0631">
      <w:pPr>
        <w:spacing w:after="160" w:line="259" w:lineRule="auto"/>
        <w:jc w:val="both"/>
      </w:pPr>
      <w:r w:rsidRPr="006F3D6A">
        <w:t xml:space="preserve">MoE Ownership: the research will be progressed in partnership with MoE through the Office of the Director of Policy, Planning and Development. A small MoE reference group will be formed to help guide the research to ensure MoE policy priorities are picked-up and all decisions reflect on-the-ground practicalities, absorption capacity for schools, and that appropriate cultural and ethical considerations are met. Two very experienced locally engaged KEF staff will lead the SED fieldwork teams (two teams for coverage), including community liaison. The MoE senior management team will receive regular updates through the Director of Policy, Planning and Development, as will the KEF Activity Managers by way of the update meetings. </w:t>
      </w:r>
    </w:p>
    <w:p w14:paraId="08BFDF27" w14:textId="77777777" w:rsidR="00AC362E" w:rsidRPr="006F3D6A" w:rsidRDefault="00AC362E" w:rsidP="00ED0631">
      <w:pPr>
        <w:spacing w:after="160" w:line="259" w:lineRule="auto"/>
        <w:jc w:val="both"/>
      </w:pPr>
      <w:r w:rsidRPr="006F3D6A">
        <w:t>DFAT Involvement: approval or input from DFAT will be requested at key stages of the research, including the conceptual brief, the case study fieldwork proposal/literature review, and reports.</w:t>
      </w:r>
    </w:p>
    <w:p w14:paraId="43E0808F" w14:textId="77777777" w:rsidR="00AC362E" w:rsidRPr="006F3D6A" w:rsidRDefault="00AC362E" w:rsidP="00ED0631">
      <w:pPr>
        <w:spacing w:after="160" w:line="259" w:lineRule="auto"/>
        <w:jc w:val="both"/>
      </w:pPr>
      <w:r w:rsidRPr="006F3D6A">
        <w:t>Quality Assurance: Coffey’s in-house Research, Monitoring and Evaluation team will provide design research quality assurance at key stages, and may, if resourcing allows, provide comments on the draft research report. DFAT may also wish to make research expertise available to quality assure the design and draft report (both, rather than just one, is preferable). The KEF M&amp;E Advisor will provide overall quality assurance including for all fieldwork with a focus of ensure the right assurance systems are in-place and are being used as intended.</w:t>
      </w:r>
    </w:p>
    <w:p w14:paraId="16B0B9EE" w14:textId="77777777" w:rsidR="00AC362E" w:rsidRPr="006F3D6A" w:rsidRDefault="00AC362E" w:rsidP="00ED0631">
      <w:pPr>
        <w:pStyle w:val="Heading3"/>
      </w:pPr>
      <w:bookmarkStart w:id="169" w:name="_Toc461615786"/>
      <w:r w:rsidRPr="006F3D6A">
        <w:t>Deliverables, Timing and Responsibilities</w:t>
      </w:r>
      <w:bookmarkEnd w:id="169"/>
    </w:p>
    <w:p w14:paraId="14D999FC" w14:textId="77777777" w:rsidR="00AC362E" w:rsidRPr="00DE4728" w:rsidRDefault="00AC362E" w:rsidP="00ED0631">
      <w:pPr>
        <w:spacing w:after="160" w:line="259" w:lineRule="auto"/>
        <w:jc w:val="both"/>
        <w:rPr>
          <w:spacing w:val="-2"/>
        </w:rPr>
      </w:pPr>
      <w:r w:rsidRPr="00DE4728">
        <w:rPr>
          <w:spacing w:val="-2"/>
        </w:rPr>
        <w:t>Deliverables, responsibilities and indicative timing are listed below. Note that the timing for SED and CSR are sequenced so that the SED work can inform the SCR, both the SED (term 2) and CSR (term 3) is undertaken at a time when schools are operating `normal’ routines rather than during busy periods (e.g. term start-up and ending, and exam periods), and before as students attendance decreases (anecdotal) at the end of term. The CSR also needs to be undertaken as close to the end of close-out to allow for outcomes to materialise as much as possible. The SED analysis and literature review will both be ready well in advance (6-8 weeks) meaning the final research report can be started before or in early November.  This will help to ensure that the final report is available on 1 December 2015 and, therefore, available for end-of-program reporting.</w:t>
      </w:r>
    </w:p>
    <w:p w14:paraId="7AF506B3" w14:textId="77777777" w:rsidR="00AC362E" w:rsidRPr="006F3D6A" w:rsidRDefault="00AC362E" w:rsidP="00E91B91">
      <w:pPr>
        <w:numPr>
          <w:ilvl w:val="0"/>
          <w:numId w:val="6"/>
        </w:numPr>
        <w:spacing w:after="160" w:line="259" w:lineRule="auto"/>
        <w:ind w:left="284" w:hanging="284"/>
        <w:contextualSpacing/>
        <w:jc w:val="both"/>
      </w:pPr>
      <w:r w:rsidRPr="006F3D6A">
        <w:t>Research Brief endorsed by DFAT; May 15</w:t>
      </w:r>
    </w:p>
    <w:p w14:paraId="250EFD09" w14:textId="77777777" w:rsidR="00AC362E" w:rsidRPr="006F3D6A" w:rsidRDefault="00AC362E" w:rsidP="00E91B91">
      <w:pPr>
        <w:numPr>
          <w:ilvl w:val="0"/>
          <w:numId w:val="6"/>
        </w:numPr>
        <w:spacing w:after="160" w:line="259" w:lineRule="auto"/>
        <w:ind w:left="284" w:hanging="284"/>
        <w:contextualSpacing/>
        <w:jc w:val="both"/>
      </w:pPr>
      <w:r w:rsidRPr="006F3D6A">
        <w:t>Research Design Plan (three Components); May 15 [KEF M&amp;E Advisor]</w:t>
      </w:r>
    </w:p>
    <w:p w14:paraId="4B0E0D6C" w14:textId="77777777" w:rsidR="00AC362E" w:rsidRPr="006F3D6A" w:rsidRDefault="00AC362E" w:rsidP="00E91B91">
      <w:pPr>
        <w:numPr>
          <w:ilvl w:val="0"/>
          <w:numId w:val="6"/>
        </w:numPr>
        <w:spacing w:after="160" w:line="259" w:lineRule="auto"/>
        <w:ind w:left="284" w:hanging="284"/>
        <w:contextualSpacing/>
        <w:jc w:val="both"/>
      </w:pPr>
      <w:r w:rsidRPr="006F3D6A">
        <w:t>SED tools finalised and tested; Mid-June [KEF M&amp;E Advisor]</w:t>
      </w:r>
    </w:p>
    <w:p w14:paraId="7525C930" w14:textId="77777777" w:rsidR="00AC362E" w:rsidRPr="006F3D6A" w:rsidRDefault="00AC362E" w:rsidP="00E91B91">
      <w:pPr>
        <w:numPr>
          <w:ilvl w:val="0"/>
          <w:numId w:val="6"/>
        </w:numPr>
        <w:spacing w:after="160" w:line="259" w:lineRule="auto"/>
        <w:ind w:left="284" w:hanging="284"/>
        <w:contextualSpacing/>
        <w:jc w:val="both"/>
      </w:pPr>
      <w:r w:rsidRPr="006F3D6A">
        <w:t>SED fieldwork; 14 June -30 July [over-seen by two Fieldwork Team Leaders]</w:t>
      </w:r>
    </w:p>
    <w:p w14:paraId="45A4384A" w14:textId="77777777" w:rsidR="00AC362E" w:rsidRPr="006F3D6A" w:rsidRDefault="00AC362E" w:rsidP="00E91B91">
      <w:pPr>
        <w:numPr>
          <w:ilvl w:val="0"/>
          <w:numId w:val="6"/>
        </w:numPr>
        <w:spacing w:after="160" w:line="259" w:lineRule="auto"/>
        <w:ind w:left="284" w:hanging="284"/>
        <w:contextualSpacing/>
        <w:jc w:val="both"/>
      </w:pPr>
      <w:r w:rsidRPr="006F3D6A">
        <w:t>CSR RFP to market; end of May 15 [KEF M&amp;E Advisor]</w:t>
      </w:r>
    </w:p>
    <w:p w14:paraId="4810407B" w14:textId="77777777" w:rsidR="00AC362E" w:rsidRPr="006F3D6A" w:rsidRDefault="00AC362E" w:rsidP="00E91B91">
      <w:pPr>
        <w:numPr>
          <w:ilvl w:val="0"/>
          <w:numId w:val="6"/>
        </w:numPr>
        <w:spacing w:after="160" w:line="259" w:lineRule="auto"/>
        <w:ind w:left="284" w:hanging="284"/>
        <w:contextualSpacing/>
        <w:jc w:val="both"/>
      </w:pPr>
      <w:r w:rsidRPr="006F3D6A">
        <w:t>CSR Framework and Literature Review proposal completed; Mid-July [Contractor]</w:t>
      </w:r>
    </w:p>
    <w:p w14:paraId="3286811B" w14:textId="77777777" w:rsidR="00AC362E" w:rsidRPr="006F3D6A" w:rsidRDefault="00AC362E" w:rsidP="00E91B91">
      <w:pPr>
        <w:numPr>
          <w:ilvl w:val="0"/>
          <w:numId w:val="6"/>
        </w:numPr>
        <w:spacing w:after="160" w:line="259" w:lineRule="auto"/>
        <w:ind w:left="284" w:hanging="284"/>
        <w:contextualSpacing/>
        <w:jc w:val="both"/>
      </w:pPr>
      <w:r w:rsidRPr="006F3D6A">
        <w:lastRenderedPageBreak/>
        <w:t>SED analysis; 31 August [KEF M&amp;E Advisor]</w:t>
      </w:r>
    </w:p>
    <w:p w14:paraId="6D13BB27" w14:textId="77777777" w:rsidR="00AC362E" w:rsidRPr="006F3D6A" w:rsidRDefault="00AC362E" w:rsidP="00E91B91">
      <w:pPr>
        <w:numPr>
          <w:ilvl w:val="0"/>
          <w:numId w:val="6"/>
        </w:numPr>
        <w:spacing w:after="160" w:line="259" w:lineRule="auto"/>
        <w:ind w:left="284" w:hanging="284"/>
        <w:contextualSpacing/>
        <w:jc w:val="both"/>
      </w:pPr>
      <w:r w:rsidRPr="006F3D6A">
        <w:t>CSR fieldwork undertaken; 1-31 October [Contractor]</w:t>
      </w:r>
    </w:p>
    <w:p w14:paraId="28FFB8E9" w14:textId="77777777" w:rsidR="00AC362E" w:rsidRPr="006F3D6A" w:rsidRDefault="00AC362E" w:rsidP="00E91B91">
      <w:pPr>
        <w:numPr>
          <w:ilvl w:val="0"/>
          <w:numId w:val="6"/>
        </w:numPr>
        <w:spacing w:after="160" w:line="259" w:lineRule="auto"/>
        <w:ind w:left="284" w:hanging="284"/>
        <w:contextualSpacing/>
        <w:jc w:val="both"/>
      </w:pPr>
      <w:r w:rsidRPr="006F3D6A">
        <w:t>Research report and knowledge briefs completed (encompassing all three components, including the literature review); 16 November [Contractor]</w:t>
      </w:r>
    </w:p>
    <w:p w14:paraId="7565924A" w14:textId="77777777" w:rsidR="00AC362E" w:rsidRPr="006F3D6A" w:rsidRDefault="00AC362E" w:rsidP="00ED0631">
      <w:pPr>
        <w:spacing w:after="160" w:line="259" w:lineRule="auto"/>
        <w:jc w:val="both"/>
        <w:sectPr w:rsidR="00AC362E" w:rsidRPr="006F3D6A" w:rsidSect="00ED0631">
          <w:footerReference w:type="default" r:id="rId61"/>
          <w:pgSz w:w="11906" w:h="16838"/>
          <w:pgMar w:top="1134" w:right="1247" w:bottom="1134" w:left="1247" w:header="709" w:footer="709" w:gutter="0"/>
          <w:pgNumType w:start="1"/>
          <w:cols w:space="708"/>
          <w:docGrid w:linePitch="360"/>
        </w:sectPr>
      </w:pPr>
    </w:p>
    <w:p w14:paraId="54AA244E" w14:textId="77777777" w:rsidR="00AC362E" w:rsidRPr="006F3D6A" w:rsidRDefault="00AC362E" w:rsidP="00ED0631">
      <w:pPr>
        <w:pStyle w:val="Heading1"/>
      </w:pPr>
      <w:bookmarkStart w:id="170" w:name="_Toc461615787"/>
      <w:r w:rsidRPr="006F3D6A">
        <w:lastRenderedPageBreak/>
        <w:t>An</w:t>
      </w:r>
      <w:r w:rsidRPr="00491EF1">
        <w:t>ne</w:t>
      </w:r>
      <w:r w:rsidRPr="006F3D6A">
        <w:t>x one: Key Research Focus Areas</w:t>
      </w:r>
      <w:bookmarkEnd w:id="170"/>
    </w:p>
    <w:tbl>
      <w:tblPr>
        <w:tblStyle w:val="ListTable3-Accent31"/>
        <w:tblW w:w="144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Key Research Focus Areas"/>
        <w:tblDescription w:val="Key Research Focus Areas"/>
      </w:tblPr>
      <w:tblGrid>
        <w:gridCol w:w="2518"/>
        <w:gridCol w:w="2693"/>
        <w:gridCol w:w="4537"/>
        <w:gridCol w:w="4677"/>
      </w:tblGrid>
      <w:tr w:rsidR="00AC362E" w:rsidRPr="006F3D6A" w14:paraId="788BAA15" w14:textId="77777777" w:rsidTr="000D1BC6">
        <w:trPr>
          <w:cnfStyle w:val="100000000000" w:firstRow="1" w:lastRow="0" w:firstColumn="0" w:lastColumn="0" w:oddVBand="0" w:evenVBand="0" w:oddHBand="0" w:evenHBand="0" w:firstRowFirstColumn="0" w:firstRowLastColumn="0" w:lastRowFirstColumn="0" w:lastRowLastColumn="0"/>
          <w:cantSplit/>
          <w:trHeight w:val="419"/>
          <w:tblHeader/>
        </w:trPr>
        <w:tc>
          <w:tcPr>
            <w:cnfStyle w:val="001000000100" w:firstRow="0" w:lastRow="0" w:firstColumn="1" w:lastColumn="0" w:oddVBand="0" w:evenVBand="0" w:oddHBand="0" w:evenHBand="0" w:firstRowFirstColumn="1" w:firstRowLastColumn="0" w:lastRowFirstColumn="0" w:lastRowLastColumn="0"/>
            <w:tcW w:w="2518" w:type="dxa"/>
            <w:tcBorders>
              <w:bottom w:val="none" w:sz="0" w:space="0" w:color="auto"/>
              <w:right w:val="none" w:sz="0" w:space="0" w:color="auto"/>
            </w:tcBorders>
            <w:shd w:val="clear" w:color="auto" w:fill="A25EA6"/>
            <w:vAlign w:val="center"/>
          </w:tcPr>
          <w:p w14:paraId="1E3FB541" w14:textId="77777777" w:rsidR="00AC362E" w:rsidRPr="006F3D6A" w:rsidRDefault="00AC362E" w:rsidP="00ED0631">
            <w:pPr>
              <w:spacing w:before="60" w:after="60"/>
              <w:rPr>
                <w:sz w:val="18"/>
                <w:szCs w:val="18"/>
              </w:rPr>
            </w:pPr>
            <w:r w:rsidRPr="006F3D6A">
              <w:rPr>
                <w:sz w:val="18"/>
                <w:szCs w:val="18"/>
              </w:rPr>
              <w:t xml:space="preserve">Key focus </w:t>
            </w:r>
          </w:p>
        </w:tc>
        <w:tc>
          <w:tcPr>
            <w:tcW w:w="2693" w:type="dxa"/>
            <w:shd w:val="clear" w:color="auto" w:fill="A25EA6"/>
            <w:vAlign w:val="center"/>
          </w:tcPr>
          <w:p w14:paraId="0D194E31" w14:textId="77777777" w:rsidR="00AC362E" w:rsidRPr="006F3D6A" w:rsidRDefault="00AC362E" w:rsidP="00ED063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6F3D6A">
              <w:rPr>
                <w:sz w:val="18"/>
                <w:szCs w:val="18"/>
              </w:rPr>
              <w:t>Intervention relevant</w:t>
            </w:r>
          </w:p>
        </w:tc>
        <w:tc>
          <w:tcPr>
            <w:tcW w:w="4537" w:type="dxa"/>
            <w:shd w:val="clear" w:color="auto" w:fill="A25EA6"/>
            <w:vAlign w:val="center"/>
          </w:tcPr>
          <w:p w14:paraId="1ED95D88" w14:textId="77777777" w:rsidR="00AC362E" w:rsidRPr="006F3D6A" w:rsidRDefault="00AC362E" w:rsidP="00ED063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6F3D6A">
              <w:rPr>
                <w:sz w:val="18"/>
                <w:szCs w:val="18"/>
              </w:rPr>
              <w:t>SED (representative data for PS &amp; JSS)</w:t>
            </w:r>
          </w:p>
        </w:tc>
        <w:tc>
          <w:tcPr>
            <w:tcW w:w="4677" w:type="dxa"/>
            <w:shd w:val="clear" w:color="auto" w:fill="A25EA6"/>
            <w:vAlign w:val="center"/>
          </w:tcPr>
          <w:p w14:paraId="13E5F8EF" w14:textId="77777777" w:rsidR="00AC362E" w:rsidRPr="006F3D6A" w:rsidRDefault="00AC362E" w:rsidP="00ED0631">
            <w:pPr>
              <w:spacing w:before="60" w:after="60"/>
              <w:cnfStyle w:val="100000000000" w:firstRow="1" w:lastRow="0" w:firstColumn="0" w:lastColumn="0" w:oddVBand="0" w:evenVBand="0" w:oddHBand="0" w:evenHBand="0" w:firstRowFirstColumn="0" w:firstRowLastColumn="0" w:lastRowFirstColumn="0" w:lastRowLastColumn="0"/>
              <w:rPr>
                <w:sz w:val="18"/>
                <w:szCs w:val="18"/>
              </w:rPr>
            </w:pPr>
            <w:r w:rsidRPr="006F3D6A">
              <w:rPr>
                <w:sz w:val="18"/>
                <w:szCs w:val="18"/>
              </w:rPr>
              <w:t>CSR (in addition to SED data which will be used in reporting)</w:t>
            </w:r>
          </w:p>
        </w:tc>
      </w:tr>
      <w:tr w:rsidR="00AC362E" w:rsidRPr="006F3D6A" w14:paraId="58C932CA"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2108EFDA" w14:textId="77777777" w:rsidR="00AC362E" w:rsidRPr="006F3D6A" w:rsidRDefault="00AC362E" w:rsidP="00ED0631">
            <w:pPr>
              <w:spacing w:before="60" w:after="60"/>
              <w:rPr>
                <w:sz w:val="18"/>
                <w:szCs w:val="18"/>
              </w:rPr>
            </w:pPr>
            <w:r w:rsidRPr="006F3D6A">
              <w:rPr>
                <w:sz w:val="18"/>
                <w:szCs w:val="18"/>
              </w:rPr>
              <w:t>Early evidence of increasing school engagement</w:t>
            </w:r>
          </w:p>
        </w:tc>
        <w:tc>
          <w:tcPr>
            <w:tcW w:w="2693" w:type="dxa"/>
            <w:tcBorders>
              <w:top w:val="none" w:sz="0" w:space="0" w:color="auto"/>
              <w:bottom w:val="none" w:sz="0" w:space="0" w:color="auto"/>
            </w:tcBorders>
            <w:shd w:val="clear" w:color="auto" w:fill="F2F2F2" w:themeFill="background1" w:themeFillShade="F2"/>
          </w:tcPr>
          <w:p w14:paraId="6EE63A5C"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SIPs, Curriculum Reform, Infrastructure, School Leadership, TPD, CCT, Strengthening Examinations and Assessment, Inclusive Education</w:t>
            </w:r>
          </w:p>
        </w:tc>
        <w:tc>
          <w:tcPr>
            <w:tcW w:w="4537" w:type="dxa"/>
            <w:tcBorders>
              <w:top w:val="none" w:sz="0" w:space="0" w:color="auto"/>
              <w:bottom w:val="none" w:sz="0" w:space="0" w:color="auto"/>
            </w:tcBorders>
            <w:shd w:val="clear" w:color="auto" w:fill="F2F2F2" w:themeFill="background1" w:themeFillShade="F2"/>
          </w:tcPr>
          <w:p w14:paraId="1159D62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Enrolment, attendance, retention, progression and transition data assessment, teacher attendance assessment and error rates</w:t>
            </w:r>
          </w:p>
          <w:p w14:paraId="3E798463"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Community survey: establish non-enrolment (and error rates)</w:t>
            </w:r>
          </w:p>
          <w:p w14:paraId="56D8AB3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Reconstructed baselines (data records and perception based)</w:t>
            </w:r>
          </w:p>
        </w:tc>
        <w:tc>
          <w:tcPr>
            <w:tcW w:w="4677" w:type="dxa"/>
            <w:tcBorders>
              <w:top w:val="none" w:sz="0" w:space="0" w:color="auto"/>
              <w:bottom w:val="none" w:sz="0" w:space="0" w:color="auto"/>
            </w:tcBorders>
            <w:shd w:val="clear" w:color="auto" w:fill="F2F2F2" w:themeFill="background1" w:themeFillShade="F2"/>
          </w:tcPr>
          <w:p w14:paraId="512D7AB4"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Examination of the reasons for the SED results (selected cases)</w:t>
            </w:r>
          </w:p>
        </w:tc>
      </w:tr>
      <w:tr w:rsidR="00AC362E" w:rsidRPr="006F3D6A" w14:paraId="39DAA642"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39AE62B3" w14:textId="77777777" w:rsidR="00AC362E" w:rsidRPr="006F3D6A" w:rsidRDefault="00AC362E" w:rsidP="00ED0631">
            <w:pPr>
              <w:spacing w:before="60" w:after="60"/>
              <w:rPr>
                <w:sz w:val="18"/>
                <w:szCs w:val="18"/>
              </w:rPr>
            </w:pPr>
            <w:r w:rsidRPr="006F3D6A">
              <w:rPr>
                <w:sz w:val="18"/>
                <w:szCs w:val="18"/>
              </w:rPr>
              <w:t>Evidence that better teaching is occurring</w:t>
            </w:r>
          </w:p>
        </w:tc>
        <w:tc>
          <w:tcPr>
            <w:tcW w:w="2693" w:type="dxa"/>
            <w:shd w:val="clear" w:color="auto" w:fill="F2F2F2" w:themeFill="background1" w:themeFillShade="F2"/>
          </w:tcPr>
          <w:p w14:paraId="720D3568"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Curriculum Reform, Infrastructure, TPD, Strengthening Examinations and Assessment, Inclusive Education</w:t>
            </w:r>
          </w:p>
        </w:tc>
        <w:tc>
          <w:tcPr>
            <w:tcW w:w="4537" w:type="dxa"/>
            <w:shd w:val="clear" w:color="auto" w:fill="F2F2F2" w:themeFill="background1" w:themeFillShade="F2"/>
          </w:tcPr>
          <w:p w14:paraId="7FC6C273"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Teacher and head teacher surveys:</w:t>
            </w:r>
          </w:p>
          <w:p w14:paraId="071EB6BC"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 L1-4 teachers trained in the new curriculum they are or have been teaching</w:t>
            </w:r>
          </w:p>
          <w:p w14:paraId="4054EEA3"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 extent of coaching and mentoring for better learning outcomes</w:t>
            </w:r>
          </w:p>
          <w:p w14:paraId="1553C0BA"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 examination data is used to support teaching and learning outcomes</w:t>
            </w:r>
          </w:p>
          <w:p w14:paraId="49156D6C"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Lesson plan assessment:</w:t>
            </w:r>
          </w:p>
          <w:p w14:paraId="56139782"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 lesson planning assessment to identify evidence of learner-centred and tailoring to individuals</w:t>
            </w:r>
          </w:p>
        </w:tc>
        <w:tc>
          <w:tcPr>
            <w:tcW w:w="4677" w:type="dxa"/>
            <w:shd w:val="clear" w:color="auto" w:fill="F2F2F2" w:themeFill="background1" w:themeFillShade="F2"/>
          </w:tcPr>
          <w:p w14:paraId="48A836C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the quality of teaching delivery</w:t>
            </w:r>
          </w:p>
          <w:p w14:paraId="784B8235"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how classroom assessment and examination data is being used to improve learning outcomes</w:t>
            </w:r>
          </w:p>
          <w:p w14:paraId="03CF1163"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In-depth assessment on the quality and nature of tailoring teaching and learning to individuals’ needs especially those at risk (attendance and ed. outcomes)</w:t>
            </w:r>
          </w:p>
        </w:tc>
      </w:tr>
      <w:tr w:rsidR="00AC362E" w:rsidRPr="006F3D6A" w14:paraId="26577AD5"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1428FAA9" w14:textId="77777777" w:rsidR="00AC362E" w:rsidRPr="006F3D6A" w:rsidRDefault="00AC362E" w:rsidP="00ED0631">
            <w:pPr>
              <w:spacing w:before="60" w:after="60"/>
              <w:rPr>
                <w:sz w:val="18"/>
                <w:szCs w:val="18"/>
              </w:rPr>
            </w:pPr>
            <w:r w:rsidRPr="006F3D6A">
              <w:rPr>
                <w:sz w:val="18"/>
                <w:szCs w:val="18"/>
              </w:rPr>
              <w:t>Evidence that peer-to-peer learning emerging in the classroom</w:t>
            </w:r>
          </w:p>
        </w:tc>
        <w:tc>
          <w:tcPr>
            <w:tcW w:w="2693" w:type="dxa"/>
            <w:tcBorders>
              <w:top w:val="none" w:sz="0" w:space="0" w:color="auto"/>
              <w:bottom w:val="none" w:sz="0" w:space="0" w:color="auto"/>
            </w:tcBorders>
            <w:shd w:val="clear" w:color="auto" w:fill="F2F2F2" w:themeFill="background1" w:themeFillShade="F2"/>
          </w:tcPr>
          <w:p w14:paraId="0324E03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Curriculum Reform</w:t>
            </w:r>
          </w:p>
        </w:tc>
        <w:tc>
          <w:tcPr>
            <w:tcW w:w="4537" w:type="dxa"/>
            <w:tcBorders>
              <w:top w:val="none" w:sz="0" w:space="0" w:color="auto"/>
              <w:bottom w:val="none" w:sz="0" w:space="0" w:color="auto"/>
            </w:tcBorders>
            <w:shd w:val="clear" w:color="auto" w:fill="F2F2F2" w:themeFill="background1" w:themeFillShade="F2"/>
          </w:tcPr>
          <w:p w14:paraId="38BA6803"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Lesson plan assessment</w:t>
            </w:r>
          </w:p>
        </w:tc>
        <w:tc>
          <w:tcPr>
            <w:tcW w:w="4677" w:type="dxa"/>
            <w:tcBorders>
              <w:top w:val="none" w:sz="0" w:space="0" w:color="auto"/>
              <w:bottom w:val="none" w:sz="0" w:space="0" w:color="auto"/>
            </w:tcBorders>
            <w:shd w:val="clear" w:color="auto" w:fill="F2F2F2" w:themeFill="background1" w:themeFillShade="F2"/>
          </w:tcPr>
          <w:p w14:paraId="62350040"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volume and nature of peer-to-peer learning</w:t>
            </w:r>
          </w:p>
        </w:tc>
      </w:tr>
      <w:tr w:rsidR="00AC362E" w:rsidRPr="006F3D6A" w14:paraId="0BBC5793"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05100038" w14:textId="77777777" w:rsidR="00AC362E" w:rsidRPr="006F3D6A" w:rsidRDefault="00AC362E" w:rsidP="00ED0631">
            <w:pPr>
              <w:spacing w:before="60" w:after="60"/>
              <w:rPr>
                <w:sz w:val="18"/>
                <w:szCs w:val="18"/>
              </w:rPr>
            </w:pPr>
            <w:r w:rsidRPr="006F3D6A">
              <w:rPr>
                <w:sz w:val="18"/>
                <w:szCs w:val="18"/>
              </w:rPr>
              <w:t>Evidence that head teachers are mentoring and coaching teachers, and teachers gaining teaching satisfaction and commitment</w:t>
            </w:r>
          </w:p>
        </w:tc>
        <w:tc>
          <w:tcPr>
            <w:tcW w:w="2693" w:type="dxa"/>
            <w:shd w:val="clear" w:color="auto" w:fill="F2F2F2" w:themeFill="background1" w:themeFillShade="F2"/>
          </w:tcPr>
          <w:p w14:paraId="51E518B8"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Curriculum Reform, TPD, Inclusive Education</w:t>
            </w:r>
          </w:p>
        </w:tc>
        <w:tc>
          <w:tcPr>
            <w:tcW w:w="4537" w:type="dxa"/>
            <w:shd w:val="clear" w:color="auto" w:fill="F2F2F2" w:themeFill="background1" w:themeFillShade="F2"/>
          </w:tcPr>
          <w:p w14:paraId="5CF22368"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Teacher and head teacher surveys: volume and perception of coaching and mentoring, and satisfaction and commitment</w:t>
            </w:r>
          </w:p>
          <w:p w14:paraId="50454172"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School administration data: teacher attendance</w:t>
            </w:r>
          </w:p>
        </w:tc>
        <w:tc>
          <w:tcPr>
            <w:tcW w:w="4677" w:type="dxa"/>
            <w:shd w:val="clear" w:color="auto" w:fill="F2F2F2" w:themeFill="background1" w:themeFillShade="F2"/>
          </w:tcPr>
          <w:p w14:paraId="0BEC8523"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In-depth assessment on the quality and nature of tailoring teaching and learning to individuals’ needs especially those at risk (attendance and ed. outcomes)</w:t>
            </w:r>
          </w:p>
        </w:tc>
      </w:tr>
      <w:tr w:rsidR="00AC362E" w:rsidRPr="006F3D6A" w14:paraId="55DF8740"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53785D4C" w14:textId="77777777" w:rsidR="00AC362E" w:rsidRPr="006F3D6A" w:rsidRDefault="00AC362E" w:rsidP="00ED0631">
            <w:pPr>
              <w:spacing w:before="60" w:after="60"/>
              <w:rPr>
                <w:sz w:val="18"/>
                <w:szCs w:val="18"/>
              </w:rPr>
            </w:pPr>
            <w:r w:rsidRPr="006F3D6A">
              <w:rPr>
                <w:sz w:val="18"/>
                <w:szCs w:val="18"/>
              </w:rPr>
              <w:t>Classroom evidence that the new curriculum being applied and teachers have required knowledge and skills</w:t>
            </w:r>
          </w:p>
        </w:tc>
        <w:tc>
          <w:tcPr>
            <w:tcW w:w="2693" w:type="dxa"/>
            <w:tcBorders>
              <w:top w:val="none" w:sz="0" w:space="0" w:color="auto"/>
              <w:bottom w:val="none" w:sz="0" w:space="0" w:color="auto"/>
            </w:tcBorders>
            <w:shd w:val="clear" w:color="auto" w:fill="F2F2F2" w:themeFill="background1" w:themeFillShade="F2"/>
          </w:tcPr>
          <w:p w14:paraId="4B9FFD9B"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Curriculum Reform, Inclusive Education</w:t>
            </w:r>
          </w:p>
        </w:tc>
        <w:tc>
          <w:tcPr>
            <w:tcW w:w="4537" w:type="dxa"/>
            <w:tcBorders>
              <w:top w:val="none" w:sz="0" w:space="0" w:color="auto"/>
              <w:bottom w:val="none" w:sz="0" w:space="0" w:color="auto"/>
            </w:tcBorders>
            <w:shd w:val="clear" w:color="auto" w:fill="F2F2F2" w:themeFill="background1" w:themeFillShade="F2"/>
          </w:tcPr>
          <w:p w14:paraId="53D10AB5"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Teacher and head teacher surveys</w:t>
            </w:r>
          </w:p>
          <w:p w14:paraId="1594B512"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Lesson plan assessment</w:t>
            </w:r>
          </w:p>
        </w:tc>
        <w:tc>
          <w:tcPr>
            <w:tcW w:w="4677" w:type="dxa"/>
            <w:tcBorders>
              <w:top w:val="none" w:sz="0" w:space="0" w:color="auto"/>
              <w:bottom w:val="none" w:sz="0" w:space="0" w:color="auto"/>
            </w:tcBorders>
            <w:shd w:val="clear" w:color="auto" w:fill="F2F2F2" w:themeFill="background1" w:themeFillShade="F2"/>
          </w:tcPr>
          <w:p w14:paraId="04F33BEC"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the quality of teaching delivery</w:t>
            </w:r>
          </w:p>
          <w:p w14:paraId="024E920C"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the inclusive content</w:t>
            </w:r>
          </w:p>
          <w:p w14:paraId="1B458A83"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how classroom assessment is being used to improve learning outcomes</w:t>
            </w:r>
          </w:p>
        </w:tc>
      </w:tr>
      <w:tr w:rsidR="00AC362E" w:rsidRPr="006F3D6A" w14:paraId="08C31936"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7B5493EA" w14:textId="77777777" w:rsidR="00AC362E" w:rsidRPr="006F3D6A" w:rsidRDefault="00AC362E" w:rsidP="00ED0631">
            <w:pPr>
              <w:spacing w:before="60" w:after="60"/>
              <w:rPr>
                <w:sz w:val="18"/>
                <w:szCs w:val="18"/>
              </w:rPr>
            </w:pPr>
            <w:r w:rsidRPr="006F3D6A">
              <w:rPr>
                <w:sz w:val="18"/>
                <w:szCs w:val="18"/>
              </w:rPr>
              <w:lastRenderedPageBreak/>
              <w:t>Evidence that local communities and parents are better informed about the value of, and committed to, education; and new and refurbished facilities (I)</w:t>
            </w:r>
          </w:p>
        </w:tc>
        <w:tc>
          <w:tcPr>
            <w:tcW w:w="2693" w:type="dxa"/>
            <w:shd w:val="clear" w:color="auto" w:fill="F2F2F2" w:themeFill="background1" w:themeFillShade="F2"/>
          </w:tcPr>
          <w:p w14:paraId="76BB66E6"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SIPs, Infrastructure, School Leadership, CCT, Strengthening Examinations and Assessment, Inclusive Education</w:t>
            </w:r>
          </w:p>
        </w:tc>
        <w:tc>
          <w:tcPr>
            <w:tcW w:w="4537" w:type="dxa"/>
            <w:shd w:val="clear" w:color="auto" w:fill="F2F2F2" w:themeFill="background1" w:themeFillShade="F2"/>
          </w:tcPr>
          <w:p w14:paraId="0E677F2B"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Community survey:</w:t>
            </w:r>
          </w:p>
          <w:p w14:paraId="3386409B"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 perception of the value of education</w:t>
            </w:r>
          </w:p>
          <w:p w14:paraId="406945B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 commitment</w:t>
            </w:r>
          </w:p>
        </w:tc>
        <w:tc>
          <w:tcPr>
            <w:tcW w:w="4677" w:type="dxa"/>
            <w:shd w:val="clear" w:color="auto" w:fill="F2F2F2" w:themeFill="background1" w:themeFillShade="F2"/>
          </w:tcPr>
          <w:p w14:paraId="21A3407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the local communities perceptions of the new or refurbished facilities</w:t>
            </w:r>
          </w:p>
          <w:p w14:paraId="0EEBD7D1"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the local communities knowledge and perceptions of the new or refurbished facilities</w:t>
            </w:r>
          </w:p>
        </w:tc>
      </w:tr>
      <w:tr w:rsidR="00AC362E" w:rsidRPr="006F3D6A" w14:paraId="52EFD37A"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3FAAED81" w14:textId="77777777" w:rsidR="00AC362E" w:rsidRPr="006F3D6A" w:rsidRDefault="00AC362E" w:rsidP="00ED0631">
            <w:pPr>
              <w:spacing w:before="60" w:after="60"/>
              <w:rPr>
                <w:sz w:val="18"/>
                <w:szCs w:val="18"/>
              </w:rPr>
            </w:pPr>
            <w:r w:rsidRPr="006F3D6A">
              <w:rPr>
                <w:sz w:val="18"/>
                <w:szCs w:val="18"/>
              </w:rPr>
              <w:t>Evidence that the school has a better understanding of what the community wants from education</w:t>
            </w:r>
          </w:p>
        </w:tc>
        <w:tc>
          <w:tcPr>
            <w:tcW w:w="2693" w:type="dxa"/>
            <w:tcBorders>
              <w:top w:val="none" w:sz="0" w:space="0" w:color="auto"/>
              <w:bottom w:val="none" w:sz="0" w:space="0" w:color="auto"/>
            </w:tcBorders>
            <w:shd w:val="clear" w:color="auto" w:fill="F2F2F2" w:themeFill="background1" w:themeFillShade="F2"/>
          </w:tcPr>
          <w:p w14:paraId="1B66533E"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SIPs</w:t>
            </w:r>
          </w:p>
        </w:tc>
        <w:tc>
          <w:tcPr>
            <w:tcW w:w="4537" w:type="dxa"/>
            <w:tcBorders>
              <w:top w:val="none" w:sz="0" w:space="0" w:color="auto"/>
              <w:bottom w:val="none" w:sz="0" w:space="0" w:color="auto"/>
            </w:tcBorders>
            <w:shd w:val="clear" w:color="auto" w:fill="F2F2F2" w:themeFill="background1" w:themeFillShade="F2"/>
          </w:tcPr>
          <w:p w14:paraId="3F944226"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Triangulation of data from the community survey and head teacher survey</w:t>
            </w:r>
          </w:p>
          <w:p w14:paraId="35BA705D"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SIP delivery</w:t>
            </w:r>
          </w:p>
        </w:tc>
        <w:tc>
          <w:tcPr>
            <w:tcW w:w="4677" w:type="dxa"/>
            <w:tcBorders>
              <w:top w:val="none" w:sz="0" w:space="0" w:color="auto"/>
              <w:bottom w:val="none" w:sz="0" w:space="0" w:color="auto"/>
            </w:tcBorders>
            <w:shd w:val="clear" w:color="auto" w:fill="F2F2F2" w:themeFill="background1" w:themeFillShade="F2"/>
          </w:tcPr>
          <w:p w14:paraId="4C758157"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In-depth quality assessment of the relevance of SIP priorities and meaningfulness of implementation</w:t>
            </w:r>
          </w:p>
        </w:tc>
      </w:tr>
      <w:tr w:rsidR="00AC362E" w:rsidRPr="006F3D6A" w14:paraId="036CFA7C"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5590C63C" w14:textId="77777777" w:rsidR="00AC362E" w:rsidRPr="006F3D6A" w:rsidRDefault="00AC362E" w:rsidP="00ED0631">
            <w:pPr>
              <w:spacing w:before="60" w:after="60"/>
              <w:rPr>
                <w:sz w:val="18"/>
                <w:szCs w:val="18"/>
              </w:rPr>
            </w:pPr>
            <w:r w:rsidRPr="006F3D6A">
              <w:rPr>
                <w:sz w:val="18"/>
                <w:szCs w:val="18"/>
              </w:rPr>
              <w:t>Evidence that schools and teachers are adjusting their approach/systems to the needs of individual children</w:t>
            </w:r>
          </w:p>
        </w:tc>
        <w:tc>
          <w:tcPr>
            <w:tcW w:w="2693" w:type="dxa"/>
            <w:shd w:val="clear" w:color="auto" w:fill="F2F2F2" w:themeFill="background1" w:themeFillShade="F2"/>
          </w:tcPr>
          <w:p w14:paraId="2E11E09D"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Curriculum Reform, Strengthening Examinations and Assessment, Inclusive Education</w:t>
            </w:r>
          </w:p>
        </w:tc>
        <w:tc>
          <w:tcPr>
            <w:tcW w:w="4537" w:type="dxa"/>
            <w:shd w:val="clear" w:color="auto" w:fill="F2F2F2" w:themeFill="background1" w:themeFillShade="F2"/>
          </w:tcPr>
          <w:p w14:paraId="7EE2A153"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Teacher and head teacher surveys</w:t>
            </w:r>
          </w:p>
          <w:p w14:paraId="5753F97E"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Lesson plan assessment - lesson planning/perception data on lessons being tailored to individuals</w:t>
            </w:r>
          </w:p>
        </w:tc>
        <w:tc>
          <w:tcPr>
            <w:tcW w:w="4677" w:type="dxa"/>
            <w:shd w:val="clear" w:color="auto" w:fill="F2F2F2" w:themeFill="background1" w:themeFillShade="F2"/>
          </w:tcPr>
          <w:p w14:paraId="4B9738DB"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In-depth assessment on the quality and nature of tailoring teaching and learning to individuals’ needs especially those at risk (attendance and ed. outcomes)</w:t>
            </w:r>
          </w:p>
        </w:tc>
      </w:tr>
      <w:tr w:rsidR="00AC362E" w:rsidRPr="006F3D6A" w14:paraId="2591E892"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06D2211F" w14:textId="77777777" w:rsidR="00AC362E" w:rsidRPr="006F3D6A" w:rsidRDefault="00AC362E" w:rsidP="00ED0631">
            <w:pPr>
              <w:spacing w:before="60" w:after="60"/>
              <w:rPr>
                <w:sz w:val="18"/>
                <w:szCs w:val="18"/>
              </w:rPr>
            </w:pPr>
            <w:r w:rsidRPr="006F3D6A">
              <w:rPr>
                <w:sz w:val="18"/>
                <w:szCs w:val="18"/>
              </w:rPr>
              <w:t>Evidence that Plans are in-place and understood by key entities, and that some monitoring and reporting is occurring (meaningful)</w:t>
            </w:r>
          </w:p>
        </w:tc>
        <w:tc>
          <w:tcPr>
            <w:tcW w:w="2693" w:type="dxa"/>
            <w:tcBorders>
              <w:top w:val="none" w:sz="0" w:space="0" w:color="auto"/>
              <w:bottom w:val="none" w:sz="0" w:space="0" w:color="auto"/>
            </w:tcBorders>
            <w:shd w:val="clear" w:color="auto" w:fill="F2F2F2" w:themeFill="background1" w:themeFillShade="F2"/>
          </w:tcPr>
          <w:p w14:paraId="464D4CF9"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SIPs</w:t>
            </w:r>
          </w:p>
        </w:tc>
        <w:tc>
          <w:tcPr>
            <w:tcW w:w="4537" w:type="dxa"/>
            <w:tcBorders>
              <w:top w:val="none" w:sz="0" w:space="0" w:color="auto"/>
              <w:bottom w:val="none" w:sz="0" w:space="0" w:color="auto"/>
            </w:tcBorders>
            <w:shd w:val="clear" w:color="auto" w:fill="F2F2F2" w:themeFill="background1" w:themeFillShade="F2"/>
          </w:tcPr>
          <w:p w14:paraId="1E8EB477"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SIP assessment: reporting compared to progress assessment</w:t>
            </w:r>
          </w:p>
        </w:tc>
        <w:tc>
          <w:tcPr>
            <w:tcW w:w="4677" w:type="dxa"/>
            <w:tcBorders>
              <w:top w:val="none" w:sz="0" w:space="0" w:color="auto"/>
              <w:bottom w:val="none" w:sz="0" w:space="0" w:color="auto"/>
            </w:tcBorders>
            <w:shd w:val="clear" w:color="auto" w:fill="F2F2F2" w:themeFill="background1" w:themeFillShade="F2"/>
          </w:tcPr>
          <w:p w14:paraId="63AE020F"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whether school-community committee members can accurately re-count priorities and are aware of implementation</w:t>
            </w:r>
          </w:p>
        </w:tc>
      </w:tr>
      <w:tr w:rsidR="00AC362E" w:rsidRPr="006F3D6A" w14:paraId="1B33F657"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6993EAD3" w14:textId="77777777" w:rsidR="00AC362E" w:rsidRPr="006F3D6A" w:rsidRDefault="00AC362E" w:rsidP="00ED0631">
            <w:pPr>
              <w:spacing w:before="60" w:after="60"/>
              <w:rPr>
                <w:sz w:val="18"/>
                <w:szCs w:val="18"/>
              </w:rPr>
            </w:pPr>
            <w:r w:rsidRPr="006F3D6A">
              <w:rPr>
                <w:sz w:val="18"/>
                <w:szCs w:val="18"/>
              </w:rPr>
              <w:t>Community resources are being applied to the school / and new or refurnished facilities maintained (I)</w:t>
            </w:r>
          </w:p>
        </w:tc>
        <w:tc>
          <w:tcPr>
            <w:tcW w:w="2693" w:type="dxa"/>
            <w:shd w:val="clear" w:color="auto" w:fill="F2F2F2" w:themeFill="background1" w:themeFillShade="F2"/>
          </w:tcPr>
          <w:p w14:paraId="6AA48CEC"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SIPs, Infrastructure</w:t>
            </w:r>
          </w:p>
        </w:tc>
        <w:tc>
          <w:tcPr>
            <w:tcW w:w="4537" w:type="dxa"/>
            <w:shd w:val="clear" w:color="auto" w:fill="F2F2F2" w:themeFill="background1" w:themeFillShade="F2"/>
          </w:tcPr>
          <w:p w14:paraId="45BF25A2"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4677" w:type="dxa"/>
            <w:shd w:val="clear" w:color="auto" w:fill="F2F2F2" w:themeFill="background1" w:themeFillShade="F2"/>
          </w:tcPr>
          <w:p w14:paraId="511380E8"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how and what resources are being used to implement the SIP, and the extent of sustainability</w:t>
            </w:r>
          </w:p>
          <w:p w14:paraId="744521F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the maintenance and resources being applied to the new and refurbished facilities</w:t>
            </w:r>
          </w:p>
        </w:tc>
      </w:tr>
      <w:tr w:rsidR="00AC362E" w:rsidRPr="006F3D6A" w14:paraId="7AECECEE"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337E2EB7" w14:textId="77777777" w:rsidR="00AC362E" w:rsidRPr="006F3D6A" w:rsidRDefault="00AC362E" w:rsidP="00ED0631">
            <w:pPr>
              <w:spacing w:before="60" w:after="60"/>
              <w:rPr>
                <w:sz w:val="18"/>
                <w:szCs w:val="18"/>
              </w:rPr>
            </w:pPr>
            <w:r w:rsidRPr="006F3D6A">
              <w:rPr>
                <w:sz w:val="18"/>
                <w:szCs w:val="18"/>
              </w:rPr>
              <w:t>Evidence that the SIP were formed in partnership, informed by a reasonable assessment of priority needs, and these needs (and community involvement) are understood by key  entities</w:t>
            </w:r>
          </w:p>
        </w:tc>
        <w:tc>
          <w:tcPr>
            <w:tcW w:w="2693" w:type="dxa"/>
            <w:tcBorders>
              <w:top w:val="none" w:sz="0" w:space="0" w:color="auto"/>
              <w:bottom w:val="none" w:sz="0" w:space="0" w:color="auto"/>
            </w:tcBorders>
            <w:shd w:val="clear" w:color="auto" w:fill="F2F2F2" w:themeFill="background1" w:themeFillShade="F2"/>
          </w:tcPr>
          <w:p w14:paraId="0AD2E46C"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SIPs</w:t>
            </w:r>
          </w:p>
        </w:tc>
        <w:tc>
          <w:tcPr>
            <w:tcW w:w="4537" w:type="dxa"/>
            <w:tcBorders>
              <w:top w:val="none" w:sz="0" w:space="0" w:color="auto"/>
              <w:bottom w:val="none" w:sz="0" w:space="0" w:color="auto"/>
            </w:tcBorders>
            <w:shd w:val="clear" w:color="auto" w:fill="F2F2F2" w:themeFill="background1" w:themeFillShade="F2"/>
          </w:tcPr>
          <w:p w14:paraId="5791B0B7"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Community survey</w:t>
            </w:r>
          </w:p>
        </w:tc>
        <w:tc>
          <w:tcPr>
            <w:tcW w:w="4677" w:type="dxa"/>
            <w:tcBorders>
              <w:top w:val="none" w:sz="0" w:space="0" w:color="auto"/>
              <w:bottom w:val="none" w:sz="0" w:space="0" w:color="auto"/>
            </w:tcBorders>
            <w:shd w:val="clear" w:color="auto" w:fill="F2F2F2" w:themeFill="background1" w:themeFillShade="F2"/>
          </w:tcPr>
          <w:p w14:paraId="0B354023"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the SIP process i.e. whether community-based</w:t>
            </w:r>
          </w:p>
          <w:p w14:paraId="14EA4886"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In-depth quality assessment of the relevance of SIP priorities and meaningfulness of implementation</w:t>
            </w:r>
          </w:p>
        </w:tc>
      </w:tr>
      <w:tr w:rsidR="00AC362E" w:rsidRPr="006F3D6A" w14:paraId="56A92727"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6E4A65C3" w14:textId="77777777" w:rsidR="00AC362E" w:rsidRPr="006F3D6A" w:rsidRDefault="00AC362E" w:rsidP="00ED0631">
            <w:pPr>
              <w:spacing w:before="60" w:after="60"/>
              <w:rPr>
                <w:sz w:val="18"/>
                <w:szCs w:val="18"/>
              </w:rPr>
            </w:pPr>
            <w:r w:rsidRPr="006F3D6A">
              <w:rPr>
                <w:sz w:val="18"/>
                <w:szCs w:val="18"/>
              </w:rPr>
              <w:lastRenderedPageBreak/>
              <w:t>Evidence that school capacity gains are sustainable</w:t>
            </w:r>
          </w:p>
        </w:tc>
        <w:tc>
          <w:tcPr>
            <w:tcW w:w="2693" w:type="dxa"/>
            <w:shd w:val="clear" w:color="auto" w:fill="F2F2F2" w:themeFill="background1" w:themeFillShade="F2"/>
          </w:tcPr>
          <w:p w14:paraId="372EDB0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SIP, Curriculum Reform, School Leadership, TPD, CCT</w:t>
            </w:r>
          </w:p>
        </w:tc>
        <w:tc>
          <w:tcPr>
            <w:tcW w:w="4537" w:type="dxa"/>
            <w:shd w:val="clear" w:color="auto" w:fill="F2F2F2" w:themeFill="background1" w:themeFillShade="F2"/>
          </w:tcPr>
          <w:p w14:paraId="1B96939C"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4677" w:type="dxa"/>
            <w:shd w:val="clear" w:color="auto" w:fill="F2F2F2" w:themeFill="background1" w:themeFillShade="F2"/>
          </w:tcPr>
          <w:p w14:paraId="7AA9943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Sustainability assessment i.e. ownership, commitment and resource flows</w:t>
            </w:r>
          </w:p>
        </w:tc>
      </w:tr>
      <w:tr w:rsidR="00AC362E" w:rsidRPr="006F3D6A" w14:paraId="33F53A12"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324FDD28" w14:textId="77777777" w:rsidR="00AC362E" w:rsidRPr="006F3D6A" w:rsidRDefault="00AC362E" w:rsidP="00ED0631">
            <w:pPr>
              <w:spacing w:before="60" w:after="60"/>
              <w:rPr>
                <w:sz w:val="18"/>
                <w:szCs w:val="18"/>
              </w:rPr>
            </w:pPr>
            <w:r w:rsidRPr="006F3D6A">
              <w:rPr>
                <w:sz w:val="18"/>
                <w:szCs w:val="18"/>
              </w:rPr>
              <w:t>Evidence that school leaders addressing the priority needs of the school</w:t>
            </w:r>
          </w:p>
        </w:tc>
        <w:tc>
          <w:tcPr>
            <w:tcW w:w="2693" w:type="dxa"/>
            <w:tcBorders>
              <w:top w:val="none" w:sz="0" w:space="0" w:color="auto"/>
              <w:bottom w:val="none" w:sz="0" w:space="0" w:color="auto"/>
            </w:tcBorders>
            <w:shd w:val="clear" w:color="auto" w:fill="F2F2F2" w:themeFill="background1" w:themeFillShade="F2"/>
          </w:tcPr>
          <w:p w14:paraId="3CE42724"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School Leadership</w:t>
            </w:r>
          </w:p>
        </w:tc>
        <w:tc>
          <w:tcPr>
            <w:tcW w:w="4537" w:type="dxa"/>
            <w:tcBorders>
              <w:top w:val="none" w:sz="0" w:space="0" w:color="auto"/>
              <w:bottom w:val="none" w:sz="0" w:space="0" w:color="auto"/>
            </w:tcBorders>
            <w:shd w:val="clear" w:color="auto" w:fill="F2F2F2" w:themeFill="background1" w:themeFillShade="F2"/>
          </w:tcPr>
          <w:p w14:paraId="17BE613A"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4677" w:type="dxa"/>
            <w:tcBorders>
              <w:top w:val="none" w:sz="0" w:space="0" w:color="auto"/>
              <w:bottom w:val="none" w:sz="0" w:space="0" w:color="auto"/>
            </w:tcBorders>
            <w:shd w:val="clear" w:color="auto" w:fill="F2F2F2" w:themeFill="background1" w:themeFillShade="F2"/>
          </w:tcPr>
          <w:p w14:paraId="7DA4BD0B"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that the focus of the head teacher is on the priority needs of the schools (i.e. MoE policy priorities, SIP)</w:t>
            </w:r>
          </w:p>
        </w:tc>
      </w:tr>
      <w:tr w:rsidR="00AC362E" w:rsidRPr="006F3D6A" w14:paraId="0C308B52"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61C18DBE" w14:textId="77777777" w:rsidR="00AC362E" w:rsidRPr="006F3D6A" w:rsidRDefault="00AC362E" w:rsidP="00ED0631">
            <w:pPr>
              <w:spacing w:before="60" w:after="60"/>
              <w:rPr>
                <w:sz w:val="18"/>
                <w:szCs w:val="18"/>
              </w:rPr>
            </w:pPr>
            <w:r w:rsidRPr="006F3D6A">
              <w:rPr>
                <w:sz w:val="18"/>
                <w:szCs w:val="18"/>
              </w:rPr>
              <w:t>Evidence that staff management is improving and its effect on the school</w:t>
            </w:r>
          </w:p>
        </w:tc>
        <w:tc>
          <w:tcPr>
            <w:tcW w:w="2693" w:type="dxa"/>
            <w:shd w:val="clear" w:color="auto" w:fill="F2F2F2" w:themeFill="background1" w:themeFillShade="F2"/>
          </w:tcPr>
          <w:p w14:paraId="59679D9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School Leadership</w:t>
            </w:r>
          </w:p>
        </w:tc>
        <w:tc>
          <w:tcPr>
            <w:tcW w:w="4537" w:type="dxa"/>
            <w:shd w:val="clear" w:color="auto" w:fill="F2F2F2" w:themeFill="background1" w:themeFillShade="F2"/>
          </w:tcPr>
          <w:p w14:paraId="7716B04E"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Teacher and head teacher surveys</w:t>
            </w:r>
          </w:p>
          <w:p w14:paraId="3C768E7B"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School administration data: teacher attendance</w:t>
            </w:r>
          </w:p>
        </w:tc>
        <w:tc>
          <w:tcPr>
            <w:tcW w:w="4677" w:type="dxa"/>
            <w:shd w:val="clear" w:color="auto" w:fill="F2F2F2" w:themeFill="background1" w:themeFillShade="F2"/>
          </w:tcPr>
          <w:p w14:paraId="2B44DF2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the actions of the head teacher to strengthen staff performance and whether this is likely to lead to better classroom delivery</w:t>
            </w:r>
          </w:p>
        </w:tc>
      </w:tr>
      <w:tr w:rsidR="00AC362E" w:rsidRPr="006F3D6A" w14:paraId="169DA493"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3D5D8136" w14:textId="77777777" w:rsidR="00AC362E" w:rsidRPr="006F3D6A" w:rsidRDefault="00AC362E" w:rsidP="00ED0631">
            <w:pPr>
              <w:spacing w:before="60" w:after="60"/>
              <w:rPr>
                <w:sz w:val="18"/>
                <w:szCs w:val="18"/>
              </w:rPr>
            </w:pPr>
            <w:r w:rsidRPr="006F3D6A">
              <w:rPr>
                <w:sz w:val="18"/>
                <w:szCs w:val="18"/>
              </w:rPr>
              <w:t>Evidence that school leaders are showing a competent understanding of effective school management</w:t>
            </w:r>
          </w:p>
        </w:tc>
        <w:tc>
          <w:tcPr>
            <w:tcW w:w="2693" w:type="dxa"/>
            <w:tcBorders>
              <w:top w:val="none" w:sz="0" w:space="0" w:color="auto"/>
              <w:bottom w:val="none" w:sz="0" w:space="0" w:color="auto"/>
            </w:tcBorders>
            <w:shd w:val="clear" w:color="auto" w:fill="F2F2F2" w:themeFill="background1" w:themeFillShade="F2"/>
          </w:tcPr>
          <w:p w14:paraId="4732C5D7"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School Leadership</w:t>
            </w:r>
          </w:p>
        </w:tc>
        <w:tc>
          <w:tcPr>
            <w:tcW w:w="4537" w:type="dxa"/>
            <w:tcBorders>
              <w:top w:val="none" w:sz="0" w:space="0" w:color="auto"/>
              <w:bottom w:val="none" w:sz="0" w:space="0" w:color="auto"/>
            </w:tcBorders>
            <w:shd w:val="clear" w:color="auto" w:fill="F2F2F2" w:themeFill="background1" w:themeFillShade="F2"/>
          </w:tcPr>
          <w:p w14:paraId="01DC9F0D"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Head teacher survey: time use</w:t>
            </w:r>
          </w:p>
        </w:tc>
        <w:tc>
          <w:tcPr>
            <w:tcW w:w="4677" w:type="dxa"/>
            <w:tcBorders>
              <w:top w:val="none" w:sz="0" w:space="0" w:color="auto"/>
              <w:bottom w:val="none" w:sz="0" w:space="0" w:color="auto"/>
            </w:tcBorders>
            <w:shd w:val="clear" w:color="auto" w:fill="F2F2F2" w:themeFill="background1" w:themeFillShade="F2"/>
          </w:tcPr>
          <w:p w14:paraId="07CE7651"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the head teachers’ perceptions and attitudes</w:t>
            </w:r>
          </w:p>
        </w:tc>
      </w:tr>
      <w:tr w:rsidR="00AC362E" w:rsidRPr="006F3D6A" w14:paraId="2CBE0397"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38BF46C7" w14:textId="77777777" w:rsidR="00AC362E" w:rsidRPr="006F3D6A" w:rsidRDefault="00AC362E" w:rsidP="00ED0631">
            <w:pPr>
              <w:spacing w:before="60" w:after="60"/>
              <w:rPr>
                <w:sz w:val="18"/>
                <w:szCs w:val="18"/>
              </w:rPr>
            </w:pPr>
            <w:r w:rsidRPr="006F3D6A">
              <w:rPr>
                <w:sz w:val="18"/>
                <w:szCs w:val="18"/>
              </w:rPr>
              <w:t>Evidence that school leaders are showing an ability to adapt to maximise improvements</w:t>
            </w:r>
          </w:p>
        </w:tc>
        <w:tc>
          <w:tcPr>
            <w:tcW w:w="2693" w:type="dxa"/>
            <w:shd w:val="clear" w:color="auto" w:fill="F2F2F2" w:themeFill="background1" w:themeFillShade="F2"/>
          </w:tcPr>
          <w:p w14:paraId="1D0B1168"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School Leadership</w:t>
            </w:r>
          </w:p>
        </w:tc>
        <w:tc>
          <w:tcPr>
            <w:tcW w:w="4537" w:type="dxa"/>
            <w:shd w:val="clear" w:color="auto" w:fill="F2F2F2" w:themeFill="background1" w:themeFillShade="F2"/>
          </w:tcPr>
          <w:p w14:paraId="4CA77B2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4677" w:type="dxa"/>
            <w:shd w:val="clear" w:color="auto" w:fill="F2F2F2" w:themeFill="background1" w:themeFillShade="F2"/>
          </w:tcPr>
          <w:p w14:paraId="502B6B3E"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the extent that head teachers have adapted their management to changes &amp; emerging opportunities</w:t>
            </w:r>
          </w:p>
        </w:tc>
      </w:tr>
      <w:tr w:rsidR="00AC362E" w:rsidRPr="006F3D6A" w14:paraId="132626D3"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109C7812" w14:textId="77777777" w:rsidR="00AC362E" w:rsidRPr="006F3D6A" w:rsidRDefault="00AC362E" w:rsidP="00ED0631">
            <w:pPr>
              <w:spacing w:before="60" w:after="60"/>
              <w:rPr>
                <w:sz w:val="18"/>
                <w:szCs w:val="18"/>
              </w:rPr>
            </w:pPr>
            <w:r w:rsidRPr="006F3D6A">
              <w:rPr>
                <w:sz w:val="18"/>
                <w:szCs w:val="18"/>
              </w:rPr>
              <w:t>Evidence that the PD is meeting the capacity gap of teachers</w:t>
            </w:r>
          </w:p>
        </w:tc>
        <w:tc>
          <w:tcPr>
            <w:tcW w:w="2693" w:type="dxa"/>
            <w:tcBorders>
              <w:top w:val="none" w:sz="0" w:space="0" w:color="auto"/>
              <w:bottom w:val="none" w:sz="0" w:space="0" w:color="auto"/>
            </w:tcBorders>
            <w:shd w:val="clear" w:color="auto" w:fill="F2F2F2" w:themeFill="background1" w:themeFillShade="F2"/>
          </w:tcPr>
          <w:p w14:paraId="5DB71790"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TPD</w:t>
            </w:r>
          </w:p>
        </w:tc>
        <w:tc>
          <w:tcPr>
            <w:tcW w:w="4537" w:type="dxa"/>
            <w:tcBorders>
              <w:top w:val="none" w:sz="0" w:space="0" w:color="auto"/>
              <w:bottom w:val="none" w:sz="0" w:space="0" w:color="auto"/>
            </w:tcBorders>
            <w:shd w:val="clear" w:color="auto" w:fill="F2F2F2" w:themeFill="background1" w:themeFillShade="F2"/>
          </w:tcPr>
          <w:p w14:paraId="540FE506"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4677" w:type="dxa"/>
            <w:tcBorders>
              <w:top w:val="none" w:sz="0" w:space="0" w:color="auto"/>
              <w:bottom w:val="none" w:sz="0" w:space="0" w:color="auto"/>
            </w:tcBorders>
            <w:shd w:val="clear" w:color="auto" w:fill="F2F2F2" w:themeFill="background1" w:themeFillShade="F2"/>
          </w:tcPr>
          <w:p w14:paraId="00D1FEBC"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teachers’ needs and relevance (and effectiveness) of TDP</w:t>
            </w:r>
          </w:p>
        </w:tc>
      </w:tr>
      <w:tr w:rsidR="00AC362E" w:rsidRPr="006F3D6A" w14:paraId="74FB4A11"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39AC2CCB" w14:textId="77777777" w:rsidR="00AC362E" w:rsidRPr="006F3D6A" w:rsidRDefault="00AC362E" w:rsidP="00ED0631">
            <w:pPr>
              <w:spacing w:before="60" w:after="60"/>
              <w:rPr>
                <w:sz w:val="18"/>
                <w:szCs w:val="18"/>
              </w:rPr>
            </w:pPr>
            <w:r w:rsidRPr="006F3D6A">
              <w:rPr>
                <w:sz w:val="18"/>
                <w:szCs w:val="18"/>
              </w:rPr>
              <w:t>Evidence that all +L4 teachers have undertaken KELP and are providing appropriate EL teaching in the classroom</w:t>
            </w:r>
          </w:p>
        </w:tc>
        <w:tc>
          <w:tcPr>
            <w:tcW w:w="2693" w:type="dxa"/>
            <w:shd w:val="clear" w:color="auto" w:fill="F2F2F2" w:themeFill="background1" w:themeFillShade="F2"/>
          </w:tcPr>
          <w:p w14:paraId="1D3F394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TPD/KELP</w:t>
            </w:r>
          </w:p>
        </w:tc>
        <w:tc>
          <w:tcPr>
            <w:tcW w:w="4537" w:type="dxa"/>
            <w:shd w:val="clear" w:color="auto" w:fill="F2F2F2" w:themeFill="background1" w:themeFillShade="F2"/>
          </w:tcPr>
          <w:p w14:paraId="1D86477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Teacher survey: +L4 teacher has completed KELP (and how much training they completed)</w:t>
            </w:r>
          </w:p>
        </w:tc>
        <w:tc>
          <w:tcPr>
            <w:tcW w:w="4677" w:type="dxa"/>
            <w:shd w:val="clear" w:color="auto" w:fill="F2F2F2" w:themeFill="background1" w:themeFillShade="F2"/>
          </w:tcPr>
          <w:p w14:paraId="437184AA"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Assessment of teachers’ EL in-class delivery</w:t>
            </w:r>
          </w:p>
        </w:tc>
      </w:tr>
      <w:tr w:rsidR="00AC362E" w:rsidRPr="006F3D6A" w14:paraId="0E0A89C5"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675565FC" w14:textId="77777777" w:rsidR="00AC362E" w:rsidRPr="006F3D6A" w:rsidRDefault="00AC362E" w:rsidP="00ED0631">
            <w:pPr>
              <w:spacing w:before="60" w:after="60"/>
              <w:rPr>
                <w:sz w:val="18"/>
                <w:szCs w:val="18"/>
              </w:rPr>
            </w:pPr>
            <w:r w:rsidRPr="006F3D6A">
              <w:rPr>
                <w:sz w:val="18"/>
                <w:szCs w:val="18"/>
              </w:rPr>
              <w:t>Early evidence that the DEOs/IECs are making a difference in the schools admin, policy implementation, and problem-solving</w:t>
            </w:r>
          </w:p>
        </w:tc>
        <w:tc>
          <w:tcPr>
            <w:tcW w:w="2693" w:type="dxa"/>
            <w:tcBorders>
              <w:top w:val="none" w:sz="0" w:space="0" w:color="auto"/>
              <w:bottom w:val="none" w:sz="0" w:space="0" w:color="auto"/>
            </w:tcBorders>
            <w:shd w:val="clear" w:color="auto" w:fill="F2F2F2" w:themeFill="background1" w:themeFillShade="F2"/>
          </w:tcPr>
          <w:p w14:paraId="52365F7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IECs/DEOs</w:t>
            </w:r>
          </w:p>
        </w:tc>
        <w:tc>
          <w:tcPr>
            <w:tcW w:w="4537" w:type="dxa"/>
            <w:tcBorders>
              <w:top w:val="none" w:sz="0" w:space="0" w:color="auto"/>
              <w:bottom w:val="none" w:sz="0" w:space="0" w:color="auto"/>
            </w:tcBorders>
            <w:shd w:val="clear" w:color="auto" w:fill="F2F2F2" w:themeFill="background1" w:themeFillShade="F2"/>
          </w:tcPr>
          <w:p w14:paraId="0AF96027"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4677" w:type="dxa"/>
            <w:tcBorders>
              <w:top w:val="none" w:sz="0" w:space="0" w:color="auto"/>
              <w:bottom w:val="none" w:sz="0" w:space="0" w:color="auto"/>
            </w:tcBorders>
            <w:shd w:val="clear" w:color="auto" w:fill="F2F2F2" w:themeFill="background1" w:themeFillShade="F2"/>
          </w:tcPr>
          <w:p w14:paraId="1BEA7EAE"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whether the interaction between the school/school leader is likely to be fostering improvements in school administration, policy implementation and problem-solving</w:t>
            </w:r>
          </w:p>
        </w:tc>
      </w:tr>
      <w:tr w:rsidR="00AC362E" w:rsidRPr="006F3D6A" w14:paraId="647D4297"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4553F2A7" w14:textId="77777777" w:rsidR="00AC362E" w:rsidRPr="006F3D6A" w:rsidRDefault="00AC362E" w:rsidP="00ED0631">
            <w:pPr>
              <w:spacing w:before="60" w:after="60"/>
              <w:rPr>
                <w:sz w:val="18"/>
                <w:szCs w:val="18"/>
              </w:rPr>
            </w:pPr>
            <w:r w:rsidRPr="006F3D6A">
              <w:rPr>
                <w:sz w:val="18"/>
                <w:szCs w:val="18"/>
              </w:rPr>
              <w:lastRenderedPageBreak/>
              <w:t>Evidence that the DEOs/IEC are assisting with, and adding value to consultation</w:t>
            </w:r>
          </w:p>
        </w:tc>
        <w:tc>
          <w:tcPr>
            <w:tcW w:w="2693" w:type="dxa"/>
            <w:shd w:val="clear" w:color="auto" w:fill="F2F2F2" w:themeFill="background1" w:themeFillShade="F2"/>
          </w:tcPr>
          <w:p w14:paraId="4090D153"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IECs/DEOs</w:t>
            </w:r>
          </w:p>
        </w:tc>
        <w:tc>
          <w:tcPr>
            <w:tcW w:w="4537" w:type="dxa"/>
            <w:shd w:val="clear" w:color="auto" w:fill="F2F2F2" w:themeFill="background1" w:themeFillShade="F2"/>
          </w:tcPr>
          <w:p w14:paraId="0EBB4322"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4677" w:type="dxa"/>
            <w:shd w:val="clear" w:color="auto" w:fill="F2F2F2" w:themeFill="background1" w:themeFillShade="F2"/>
          </w:tcPr>
          <w:p w14:paraId="410B2AFF"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 above, plus other planned or unintended outcomes</w:t>
            </w:r>
          </w:p>
        </w:tc>
      </w:tr>
      <w:tr w:rsidR="00AC362E" w:rsidRPr="006F3D6A" w14:paraId="022F7FCA"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34707F69" w14:textId="77777777" w:rsidR="00AC362E" w:rsidRPr="006F3D6A" w:rsidRDefault="00AC362E" w:rsidP="00ED0631">
            <w:pPr>
              <w:spacing w:before="60" w:after="60"/>
              <w:rPr>
                <w:sz w:val="18"/>
                <w:szCs w:val="18"/>
              </w:rPr>
            </w:pPr>
            <w:r w:rsidRPr="006F3D6A">
              <w:rPr>
                <w:sz w:val="18"/>
                <w:szCs w:val="18"/>
              </w:rPr>
              <w:t>Evidence that strong relationships are forming</w:t>
            </w:r>
          </w:p>
        </w:tc>
        <w:tc>
          <w:tcPr>
            <w:tcW w:w="2693" w:type="dxa"/>
            <w:tcBorders>
              <w:top w:val="none" w:sz="0" w:space="0" w:color="auto"/>
              <w:bottom w:val="none" w:sz="0" w:space="0" w:color="auto"/>
            </w:tcBorders>
            <w:shd w:val="clear" w:color="auto" w:fill="F2F2F2" w:themeFill="background1" w:themeFillShade="F2"/>
          </w:tcPr>
          <w:p w14:paraId="5AD4AFD7"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IECs/DEOs</w:t>
            </w:r>
          </w:p>
        </w:tc>
        <w:tc>
          <w:tcPr>
            <w:tcW w:w="4537" w:type="dxa"/>
            <w:tcBorders>
              <w:top w:val="none" w:sz="0" w:space="0" w:color="auto"/>
              <w:bottom w:val="none" w:sz="0" w:space="0" w:color="auto"/>
            </w:tcBorders>
            <w:shd w:val="clear" w:color="auto" w:fill="F2F2F2" w:themeFill="background1" w:themeFillShade="F2"/>
          </w:tcPr>
          <w:p w14:paraId="2C6ABCFF"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4677" w:type="dxa"/>
            <w:tcBorders>
              <w:top w:val="none" w:sz="0" w:space="0" w:color="auto"/>
              <w:bottom w:val="none" w:sz="0" w:space="0" w:color="auto"/>
            </w:tcBorders>
            <w:shd w:val="clear" w:color="auto" w:fill="F2F2F2" w:themeFill="background1" w:themeFillShade="F2"/>
          </w:tcPr>
          <w:p w14:paraId="15E16013"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 above, but with a focus on whether trust and reciprocity is emerging</w:t>
            </w:r>
          </w:p>
        </w:tc>
      </w:tr>
      <w:tr w:rsidR="00AC362E" w:rsidRPr="006F3D6A" w14:paraId="6DF59DE5"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73461569" w14:textId="77777777" w:rsidR="00AC362E" w:rsidRPr="006F3D6A" w:rsidRDefault="00AC362E" w:rsidP="00ED0631">
            <w:pPr>
              <w:spacing w:before="60" w:after="60"/>
              <w:rPr>
                <w:sz w:val="18"/>
                <w:szCs w:val="18"/>
              </w:rPr>
            </w:pPr>
            <w:r w:rsidRPr="006F3D6A">
              <w:rPr>
                <w:sz w:val="18"/>
                <w:szCs w:val="18"/>
              </w:rPr>
              <w:t>Evidence that the DEOs/IECs are operating as effective communication intermediaries</w:t>
            </w:r>
          </w:p>
        </w:tc>
        <w:tc>
          <w:tcPr>
            <w:tcW w:w="2693" w:type="dxa"/>
            <w:shd w:val="clear" w:color="auto" w:fill="F2F2F2" w:themeFill="background1" w:themeFillShade="F2"/>
          </w:tcPr>
          <w:p w14:paraId="62B063B7"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IECs/DEOs</w:t>
            </w:r>
          </w:p>
        </w:tc>
        <w:tc>
          <w:tcPr>
            <w:tcW w:w="4537" w:type="dxa"/>
            <w:shd w:val="clear" w:color="auto" w:fill="F2F2F2" w:themeFill="background1" w:themeFillShade="F2"/>
          </w:tcPr>
          <w:p w14:paraId="23EE5D17"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c>
          <w:tcPr>
            <w:tcW w:w="4677" w:type="dxa"/>
            <w:shd w:val="clear" w:color="auto" w:fill="F2F2F2" w:themeFill="background1" w:themeFillShade="F2"/>
          </w:tcPr>
          <w:p w14:paraId="0A760DA1"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As above, but with a focus on the quality and quantity of the communications being shared between the school - DEO/IEC – MoE (both directions)</w:t>
            </w:r>
          </w:p>
        </w:tc>
      </w:tr>
      <w:tr w:rsidR="00AC362E" w:rsidRPr="006F3D6A" w14:paraId="71D062D3"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02B7542E" w14:textId="77777777" w:rsidR="00AC362E" w:rsidRPr="006F3D6A" w:rsidRDefault="00AC362E" w:rsidP="00ED0631">
            <w:pPr>
              <w:spacing w:before="60" w:after="60"/>
              <w:rPr>
                <w:sz w:val="18"/>
                <w:szCs w:val="18"/>
              </w:rPr>
            </w:pPr>
            <w:r w:rsidRPr="006F3D6A">
              <w:rPr>
                <w:sz w:val="18"/>
                <w:szCs w:val="18"/>
              </w:rPr>
              <w:t>Evidence that the DEOs/IECs has the requisite knowledge to assist schools</w:t>
            </w:r>
          </w:p>
        </w:tc>
        <w:tc>
          <w:tcPr>
            <w:tcW w:w="2693" w:type="dxa"/>
            <w:tcBorders>
              <w:top w:val="none" w:sz="0" w:space="0" w:color="auto"/>
              <w:bottom w:val="none" w:sz="0" w:space="0" w:color="auto"/>
            </w:tcBorders>
            <w:shd w:val="clear" w:color="auto" w:fill="F2F2F2" w:themeFill="background1" w:themeFillShade="F2"/>
          </w:tcPr>
          <w:p w14:paraId="4E251119"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IECs/DEOs</w:t>
            </w:r>
          </w:p>
        </w:tc>
        <w:tc>
          <w:tcPr>
            <w:tcW w:w="4537" w:type="dxa"/>
            <w:tcBorders>
              <w:top w:val="none" w:sz="0" w:space="0" w:color="auto"/>
              <w:bottom w:val="none" w:sz="0" w:space="0" w:color="auto"/>
            </w:tcBorders>
            <w:shd w:val="clear" w:color="auto" w:fill="F2F2F2" w:themeFill="background1" w:themeFillShade="F2"/>
          </w:tcPr>
          <w:p w14:paraId="7F0DC240"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4677" w:type="dxa"/>
            <w:tcBorders>
              <w:top w:val="none" w:sz="0" w:space="0" w:color="auto"/>
              <w:bottom w:val="none" w:sz="0" w:space="0" w:color="auto"/>
            </w:tcBorders>
            <w:shd w:val="clear" w:color="auto" w:fill="F2F2F2" w:themeFill="background1" w:themeFillShade="F2"/>
          </w:tcPr>
          <w:p w14:paraId="4DE1FDBF"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 xml:space="preserve">Assessment whether the DEO/IEC and their PD is aligned to the knowledge needed </w:t>
            </w:r>
          </w:p>
        </w:tc>
      </w:tr>
      <w:tr w:rsidR="00AC362E" w:rsidRPr="006F3D6A" w14:paraId="0AA0345C"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626C1BB5" w14:textId="77777777" w:rsidR="00AC362E" w:rsidRPr="006F3D6A" w:rsidRDefault="00AC362E" w:rsidP="00ED0631">
            <w:pPr>
              <w:spacing w:before="60" w:after="60"/>
              <w:rPr>
                <w:sz w:val="18"/>
                <w:szCs w:val="18"/>
              </w:rPr>
            </w:pPr>
            <w:r w:rsidRPr="006F3D6A">
              <w:rPr>
                <w:sz w:val="18"/>
                <w:szCs w:val="18"/>
              </w:rPr>
              <w:t>Communities better informed about education (vision, policy and operation)</w:t>
            </w:r>
          </w:p>
        </w:tc>
        <w:tc>
          <w:tcPr>
            <w:tcW w:w="2693" w:type="dxa"/>
            <w:shd w:val="clear" w:color="auto" w:fill="F2F2F2" w:themeFill="background1" w:themeFillShade="F2"/>
          </w:tcPr>
          <w:p w14:paraId="686FCDB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CCT</w:t>
            </w:r>
          </w:p>
        </w:tc>
        <w:tc>
          <w:tcPr>
            <w:tcW w:w="4537" w:type="dxa"/>
            <w:shd w:val="clear" w:color="auto" w:fill="F2F2F2" w:themeFill="background1" w:themeFillShade="F2"/>
          </w:tcPr>
          <w:p w14:paraId="2432B819"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Community survey</w:t>
            </w:r>
          </w:p>
        </w:tc>
        <w:tc>
          <w:tcPr>
            <w:tcW w:w="4677" w:type="dxa"/>
            <w:shd w:val="clear" w:color="auto" w:fill="F2F2F2" w:themeFill="background1" w:themeFillShade="F2"/>
          </w:tcPr>
          <w:p w14:paraId="48CD64C8"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r w:rsidR="00AC362E" w:rsidRPr="006F3D6A" w14:paraId="0B1D3646"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3F056FE2" w14:textId="77777777" w:rsidR="00AC362E" w:rsidRPr="006F3D6A" w:rsidRDefault="00AC362E" w:rsidP="00ED0631">
            <w:pPr>
              <w:spacing w:before="60" w:after="60"/>
              <w:rPr>
                <w:sz w:val="18"/>
                <w:szCs w:val="18"/>
              </w:rPr>
            </w:pPr>
            <w:r w:rsidRPr="006F3D6A">
              <w:rPr>
                <w:sz w:val="18"/>
                <w:szCs w:val="18"/>
              </w:rPr>
              <w:t>Evidence that the right people attended the consultations and received/ understood the key messages</w:t>
            </w:r>
          </w:p>
        </w:tc>
        <w:tc>
          <w:tcPr>
            <w:tcW w:w="2693" w:type="dxa"/>
            <w:tcBorders>
              <w:top w:val="none" w:sz="0" w:space="0" w:color="auto"/>
              <w:bottom w:val="none" w:sz="0" w:space="0" w:color="auto"/>
            </w:tcBorders>
            <w:shd w:val="clear" w:color="auto" w:fill="F2F2F2" w:themeFill="background1" w:themeFillShade="F2"/>
          </w:tcPr>
          <w:p w14:paraId="4EA20F5C"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CCT</w:t>
            </w:r>
          </w:p>
        </w:tc>
        <w:tc>
          <w:tcPr>
            <w:tcW w:w="4537" w:type="dxa"/>
            <w:tcBorders>
              <w:top w:val="none" w:sz="0" w:space="0" w:color="auto"/>
              <w:bottom w:val="none" w:sz="0" w:space="0" w:color="auto"/>
            </w:tcBorders>
            <w:shd w:val="clear" w:color="auto" w:fill="F2F2F2" w:themeFill="background1" w:themeFillShade="F2"/>
          </w:tcPr>
          <w:p w14:paraId="3A34299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Community survey</w:t>
            </w:r>
          </w:p>
        </w:tc>
        <w:tc>
          <w:tcPr>
            <w:tcW w:w="4677" w:type="dxa"/>
            <w:tcBorders>
              <w:top w:val="none" w:sz="0" w:space="0" w:color="auto"/>
              <w:bottom w:val="none" w:sz="0" w:space="0" w:color="auto"/>
            </w:tcBorders>
            <w:shd w:val="clear" w:color="auto" w:fill="F2F2F2" w:themeFill="background1" w:themeFillShade="F2"/>
          </w:tcPr>
          <w:p w14:paraId="7E2C78A4"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whether the community leaders attended and the extent to which they understood the vision, policy and operational direction/work of MoE</w:t>
            </w:r>
          </w:p>
        </w:tc>
      </w:tr>
      <w:tr w:rsidR="00AC362E" w:rsidRPr="006F3D6A" w14:paraId="18917F16"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7AB7D74B" w14:textId="77777777" w:rsidR="00AC362E" w:rsidRPr="006F3D6A" w:rsidRDefault="00AC362E" w:rsidP="00ED0631">
            <w:pPr>
              <w:spacing w:before="60" w:after="60"/>
              <w:rPr>
                <w:sz w:val="18"/>
                <w:szCs w:val="18"/>
              </w:rPr>
            </w:pPr>
            <w:r w:rsidRPr="006F3D6A">
              <w:rPr>
                <w:sz w:val="18"/>
                <w:szCs w:val="18"/>
              </w:rPr>
              <w:t>Early evidence that parents are starting or intending to change their behaviour to better support achievement</w:t>
            </w:r>
          </w:p>
        </w:tc>
        <w:tc>
          <w:tcPr>
            <w:tcW w:w="2693" w:type="dxa"/>
            <w:shd w:val="clear" w:color="auto" w:fill="F2F2F2" w:themeFill="background1" w:themeFillShade="F2"/>
          </w:tcPr>
          <w:p w14:paraId="79CB5D77"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Strengthening Examinations and Assessment</w:t>
            </w:r>
          </w:p>
        </w:tc>
        <w:tc>
          <w:tcPr>
            <w:tcW w:w="4537" w:type="dxa"/>
            <w:shd w:val="clear" w:color="auto" w:fill="F2F2F2" w:themeFill="background1" w:themeFillShade="F2"/>
          </w:tcPr>
          <w:p w14:paraId="09CD9CF0"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Community survey</w:t>
            </w:r>
          </w:p>
        </w:tc>
        <w:tc>
          <w:tcPr>
            <w:tcW w:w="4677" w:type="dxa"/>
            <w:shd w:val="clear" w:color="auto" w:fill="F2F2F2" w:themeFill="background1" w:themeFillShade="F2"/>
          </w:tcPr>
          <w:p w14:paraId="300A5CA9"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r w:rsidR="00AC362E" w:rsidRPr="006F3D6A" w14:paraId="380DAB34"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20C5319B" w14:textId="77777777" w:rsidR="00AC362E" w:rsidRPr="006F3D6A" w:rsidRDefault="00AC362E" w:rsidP="00ED0631">
            <w:pPr>
              <w:spacing w:before="60" w:after="60"/>
              <w:rPr>
                <w:sz w:val="18"/>
                <w:szCs w:val="18"/>
              </w:rPr>
            </w:pPr>
            <w:r w:rsidRPr="006F3D6A">
              <w:rPr>
                <w:sz w:val="18"/>
                <w:szCs w:val="18"/>
              </w:rPr>
              <w:t>Evidence that parents and schools are better informed about educational achievement</w:t>
            </w:r>
          </w:p>
        </w:tc>
        <w:tc>
          <w:tcPr>
            <w:tcW w:w="2693" w:type="dxa"/>
            <w:tcBorders>
              <w:top w:val="none" w:sz="0" w:space="0" w:color="auto"/>
              <w:bottom w:val="none" w:sz="0" w:space="0" w:color="auto"/>
            </w:tcBorders>
            <w:shd w:val="clear" w:color="auto" w:fill="F2F2F2" w:themeFill="background1" w:themeFillShade="F2"/>
          </w:tcPr>
          <w:p w14:paraId="480CCD24"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Strengthening Examinations and Assessment</w:t>
            </w:r>
          </w:p>
        </w:tc>
        <w:tc>
          <w:tcPr>
            <w:tcW w:w="4537" w:type="dxa"/>
            <w:tcBorders>
              <w:top w:val="none" w:sz="0" w:space="0" w:color="auto"/>
              <w:bottom w:val="none" w:sz="0" w:space="0" w:color="auto"/>
            </w:tcBorders>
            <w:shd w:val="clear" w:color="auto" w:fill="F2F2F2" w:themeFill="background1" w:themeFillShade="F2"/>
          </w:tcPr>
          <w:p w14:paraId="2E26C302"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Community, head teacher and teacher surveys</w:t>
            </w:r>
          </w:p>
        </w:tc>
        <w:tc>
          <w:tcPr>
            <w:tcW w:w="4677" w:type="dxa"/>
            <w:tcBorders>
              <w:top w:val="none" w:sz="0" w:space="0" w:color="auto"/>
              <w:bottom w:val="none" w:sz="0" w:space="0" w:color="auto"/>
            </w:tcBorders>
            <w:shd w:val="clear" w:color="auto" w:fill="F2F2F2" w:themeFill="background1" w:themeFillShade="F2"/>
          </w:tcPr>
          <w:p w14:paraId="2013F0E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as to examination data needs of head teachers and the extent that current data is applicable</w:t>
            </w:r>
          </w:p>
        </w:tc>
      </w:tr>
      <w:tr w:rsidR="00AC362E" w:rsidRPr="006F3D6A" w14:paraId="01B52B32" w14:textId="77777777" w:rsidTr="000D1BC6">
        <w:trPr>
          <w:cantSplit/>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shd w:val="clear" w:color="auto" w:fill="F2F2F2" w:themeFill="background1" w:themeFillShade="F2"/>
          </w:tcPr>
          <w:p w14:paraId="7F6DC932" w14:textId="77777777" w:rsidR="00AC362E" w:rsidRPr="006F3D6A" w:rsidRDefault="00AC362E" w:rsidP="00ED0631">
            <w:pPr>
              <w:spacing w:before="60" w:after="60"/>
              <w:rPr>
                <w:sz w:val="18"/>
                <w:szCs w:val="18"/>
              </w:rPr>
            </w:pPr>
            <w:r w:rsidRPr="006F3D6A">
              <w:rPr>
                <w:sz w:val="18"/>
                <w:szCs w:val="18"/>
              </w:rPr>
              <w:lastRenderedPageBreak/>
              <w:t>Evidence that local communities and parents are showing increased support for at risk children being educated</w:t>
            </w:r>
          </w:p>
        </w:tc>
        <w:tc>
          <w:tcPr>
            <w:tcW w:w="2693" w:type="dxa"/>
            <w:shd w:val="clear" w:color="auto" w:fill="F2F2F2" w:themeFill="background1" w:themeFillShade="F2"/>
          </w:tcPr>
          <w:p w14:paraId="31CC852A"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Inclusive Education</w:t>
            </w:r>
          </w:p>
        </w:tc>
        <w:tc>
          <w:tcPr>
            <w:tcW w:w="4537" w:type="dxa"/>
            <w:shd w:val="clear" w:color="auto" w:fill="F2F2F2" w:themeFill="background1" w:themeFillShade="F2"/>
          </w:tcPr>
          <w:p w14:paraId="0E1D7BCB"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6F3D6A">
              <w:rPr>
                <w:sz w:val="18"/>
                <w:szCs w:val="18"/>
              </w:rPr>
              <w:t>Community survey</w:t>
            </w:r>
          </w:p>
        </w:tc>
        <w:tc>
          <w:tcPr>
            <w:tcW w:w="4677" w:type="dxa"/>
            <w:shd w:val="clear" w:color="auto" w:fill="F2F2F2" w:themeFill="background1" w:themeFillShade="F2"/>
          </w:tcPr>
          <w:p w14:paraId="1C22E4ED" w14:textId="77777777" w:rsidR="00AC362E" w:rsidRPr="006F3D6A" w:rsidRDefault="00AC362E" w:rsidP="00ED0631">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tc>
      </w:tr>
      <w:tr w:rsidR="00AC362E" w:rsidRPr="006F3D6A" w14:paraId="2E64E70C" w14:textId="77777777" w:rsidTr="000D1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bottom w:val="none" w:sz="0" w:space="0" w:color="auto"/>
              <w:right w:val="none" w:sz="0" w:space="0" w:color="auto"/>
            </w:tcBorders>
            <w:shd w:val="clear" w:color="auto" w:fill="F2F2F2" w:themeFill="background1" w:themeFillShade="F2"/>
          </w:tcPr>
          <w:p w14:paraId="1E46E180" w14:textId="77777777" w:rsidR="00AC362E" w:rsidRPr="006F3D6A" w:rsidRDefault="00AC362E" w:rsidP="00ED0631">
            <w:pPr>
              <w:spacing w:before="60" w:after="60"/>
              <w:rPr>
                <w:sz w:val="18"/>
                <w:szCs w:val="18"/>
              </w:rPr>
            </w:pPr>
            <w:r w:rsidRPr="006F3D6A">
              <w:rPr>
                <w:sz w:val="18"/>
                <w:szCs w:val="18"/>
              </w:rPr>
              <w:t>Evidence as to the role that training and constituency building is playing in making a difference</w:t>
            </w:r>
          </w:p>
        </w:tc>
        <w:tc>
          <w:tcPr>
            <w:tcW w:w="2693" w:type="dxa"/>
            <w:tcBorders>
              <w:top w:val="none" w:sz="0" w:space="0" w:color="auto"/>
              <w:bottom w:val="none" w:sz="0" w:space="0" w:color="auto"/>
            </w:tcBorders>
            <w:shd w:val="clear" w:color="auto" w:fill="F2F2F2" w:themeFill="background1" w:themeFillShade="F2"/>
          </w:tcPr>
          <w:p w14:paraId="2045B828"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Inclusive Education</w:t>
            </w:r>
          </w:p>
        </w:tc>
        <w:tc>
          <w:tcPr>
            <w:tcW w:w="4537" w:type="dxa"/>
            <w:tcBorders>
              <w:top w:val="none" w:sz="0" w:space="0" w:color="auto"/>
              <w:bottom w:val="none" w:sz="0" w:space="0" w:color="auto"/>
            </w:tcBorders>
            <w:shd w:val="clear" w:color="auto" w:fill="F2F2F2" w:themeFill="background1" w:themeFillShade="F2"/>
          </w:tcPr>
          <w:p w14:paraId="2DB69A0B"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4677" w:type="dxa"/>
            <w:tcBorders>
              <w:top w:val="none" w:sz="0" w:space="0" w:color="auto"/>
              <w:bottom w:val="none" w:sz="0" w:space="0" w:color="auto"/>
            </w:tcBorders>
            <w:shd w:val="clear" w:color="auto" w:fill="F2F2F2" w:themeFill="background1" w:themeFillShade="F2"/>
          </w:tcPr>
          <w:p w14:paraId="514064B9" w14:textId="77777777" w:rsidR="00AC362E" w:rsidRPr="006F3D6A" w:rsidRDefault="00AC362E" w:rsidP="00ED0631">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6F3D6A">
              <w:rPr>
                <w:sz w:val="18"/>
                <w:szCs w:val="18"/>
              </w:rPr>
              <w:t>Assessment of the ownership and support of key political, community, school leaders and teachers for the inclusive education community</w:t>
            </w:r>
          </w:p>
        </w:tc>
      </w:tr>
    </w:tbl>
    <w:p w14:paraId="70008907" w14:textId="77777777" w:rsidR="00AC362E" w:rsidRDefault="00AC362E"/>
    <w:p w14:paraId="5F95D14B" w14:textId="77777777" w:rsidR="00AC362E" w:rsidRDefault="00AC362E">
      <w:pPr>
        <w:sectPr w:rsidR="00AC362E" w:rsidSect="00ED0631">
          <w:headerReference w:type="default" r:id="rId62"/>
          <w:pgSz w:w="16838" w:h="11906" w:orient="landscape"/>
          <w:pgMar w:top="1440" w:right="1440" w:bottom="1440" w:left="1440" w:header="708" w:footer="708" w:gutter="0"/>
          <w:cols w:space="708"/>
          <w:docGrid w:linePitch="360"/>
        </w:sectPr>
      </w:pPr>
    </w:p>
    <w:p w14:paraId="118B1EEA" w14:textId="77777777" w:rsidR="00AC362E" w:rsidRPr="00184429" w:rsidRDefault="00AC362E" w:rsidP="00491EF1">
      <w:pPr>
        <w:pStyle w:val="Heading1"/>
      </w:pPr>
      <w:r w:rsidRPr="00184429">
        <w:lastRenderedPageBreak/>
        <w:t>Annex 2</w:t>
      </w:r>
    </w:p>
    <w:p w14:paraId="212DA35E" w14:textId="77777777" w:rsidR="00AC362E" w:rsidRPr="00184429" w:rsidRDefault="00AC362E" w:rsidP="00491EF1">
      <w:pPr>
        <w:pStyle w:val="Heading1"/>
      </w:pPr>
      <w:r w:rsidRPr="00184429">
        <w:t xml:space="preserve">Literature Review </w:t>
      </w:r>
    </w:p>
    <w:p w14:paraId="6EE11501" w14:textId="77777777" w:rsidR="00AC362E" w:rsidRDefault="00AC362E" w:rsidP="00ED0631">
      <w:pPr>
        <w:sectPr w:rsidR="00AC362E" w:rsidSect="00ED0631">
          <w:footerReference w:type="default" r:id="rId63"/>
          <w:pgSz w:w="11906" w:h="16838"/>
          <w:pgMar w:top="1440" w:right="1440" w:bottom="1440" w:left="1440" w:header="708" w:footer="708" w:gutter="0"/>
          <w:cols w:space="708"/>
          <w:docGrid w:linePitch="360"/>
        </w:sectPr>
      </w:pPr>
      <w:r>
        <w:br w:type="page"/>
      </w:r>
    </w:p>
    <w:p w14:paraId="4BEFA89F" w14:textId="77777777" w:rsidR="00AC362E" w:rsidRPr="00184429" w:rsidRDefault="00AC362E" w:rsidP="00491EF1">
      <w:pPr>
        <w:pStyle w:val="Heading1"/>
      </w:pPr>
      <w:r w:rsidRPr="00184429">
        <w:lastRenderedPageBreak/>
        <w:t xml:space="preserve">Literature Review </w:t>
      </w:r>
    </w:p>
    <w:bookmarkStart w:id="171" w:name="_Toc435788111" w:displacedByCustomXml="next"/>
    <w:sdt>
      <w:sdtPr>
        <w:id w:val="297117816"/>
        <w:docPartObj>
          <w:docPartGallery w:val="Table of Contents"/>
          <w:docPartUnique/>
        </w:docPartObj>
      </w:sdtPr>
      <w:sdtEndPr>
        <w:rPr>
          <w:noProof/>
        </w:rPr>
      </w:sdtEndPr>
      <w:sdtContent>
        <w:p w14:paraId="4424ACE9" w14:textId="77777777" w:rsidR="00AC362E" w:rsidRPr="00491EF1" w:rsidRDefault="00AC362E" w:rsidP="00ED0631">
          <w:pPr>
            <w:keepNext/>
            <w:keepLines/>
            <w:spacing w:before="480" w:after="480"/>
            <w:rPr>
              <w:rStyle w:val="Heading2NoNumbersChar"/>
            </w:rPr>
          </w:pPr>
          <w:r w:rsidRPr="00491EF1">
            <w:rPr>
              <w:rStyle w:val="Heading2NoNumbersChar"/>
            </w:rPr>
            <w:t>Contents</w:t>
          </w:r>
        </w:p>
        <w:p w14:paraId="4E0A359E" w14:textId="77777777" w:rsidR="00AC362E" w:rsidRPr="00491EF1" w:rsidRDefault="00AC362E" w:rsidP="00ED0631">
          <w:pPr>
            <w:tabs>
              <w:tab w:val="right" w:leader="dot" w:pos="9016"/>
            </w:tabs>
            <w:spacing w:after="100"/>
            <w:rPr>
              <w:rFonts w:eastAsiaTheme="minorEastAsia" w:cstheme="minorHAnsi"/>
              <w:b/>
              <w:noProof/>
              <w:lang w:eastAsia="en-AU"/>
            </w:rPr>
          </w:pPr>
          <w:r w:rsidRPr="00491EF1">
            <w:rPr>
              <w:rFonts w:cstheme="minorHAnsi"/>
              <w:b/>
              <w:noProof/>
            </w:rPr>
            <w:fldChar w:fldCharType="begin"/>
          </w:r>
          <w:r w:rsidRPr="00491EF1">
            <w:rPr>
              <w:rFonts w:cstheme="minorHAnsi"/>
              <w:b/>
              <w:noProof/>
            </w:rPr>
            <w:instrText xml:space="preserve"> TOC \o "1-2" \h \z \u </w:instrText>
          </w:r>
          <w:r w:rsidRPr="00491EF1">
            <w:rPr>
              <w:rFonts w:cstheme="minorHAnsi"/>
              <w:b/>
              <w:noProof/>
            </w:rPr>
            <w:fldChar w:fldCharType="separate"/>
          </w:r>
          <w:hyperlink w:anchor="_Toc435788111" w:history="1">
            <w:r w:rsidRPr="00491EF1">
              <w:rPr>
                <w:rFonts w:eastAsia="Times New Roman" w:cstheme="minorHAnsi"/>
                <w:b/>
                <w:noProof/>
                <w:lang w:eastAsia="en-AU"/>
              </w:rPr>
              <w:t>Backgrou</w:t>
            </w:r>
            <w:r w:rsidRPr="00491EF1">
              <w:rPr>
                <w:rFonts w:cstheme="minorHAnsi"/>
                <w:b/>
                <w:noProof/>
              </w:rPr>
              <w:t>n</w:t>
            </w:r>
            <w:r w:rsidRPr="00491EF1">
              <w:rPr>
                <w:rFonts w:eastAsia="Times New Roman" w:cstheme="minorHAnsi"/>
                <w:b/>
                <w:noProof/>
                <w:lang w:eastAsia="en-AU"/>
              </w:rPr>
              <w:t>d to the Literature Review</w:t>
            </w:r>
            <w:r w:rsidRPr="00491EF1">
              <w:rPr>
                <w:rFonts w:cstheme="minorHAnsi"/>
                <w:b/>
                <w:noProof/>
                <w:webHidden/>
              </w:rPr>
              <w:tab/>
              <w:t>1</w:t>
            </w:r>
          </w:hyperlink>
        </w:p>
        <w:p w14:paraId="78B7D978"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2" w:history="1">
            <w:r w:rsidR="00AC362E" w:rsidRPr="00491EF1">
              <w:rPr>
                <w:rFonts w:eastAsia="Times New Roman"/>
                <w:noProof/>
                <w:lang w:eastAsia="en-AU"/>
              </w:rPr>
              <w:t>Purpose</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_Toc435788112 \h </w:instrText>
            </w:r>
            <w:r w:rsidR="00AC362E" w:rsidRPr="00491EF1">
              <w:rPr>
                <w:noProof/>
                <w:webHidden/>
              </w:rPr>
            </w:r>
            <w:r w:rsidR="00AC362E" w:rsidRPr="00491EF1">
              <w:rPr>
                <w:noProof/>
                <w:webHidden/>
              </w:rPr>
              <w:fldChar w:fldCharType="separate"/>
            </w:r>
            <w:r w:rsidR="000D1BC6">
              <w:rPr>
                <w:noProof/>
                <w:webHidden/>
              </w:rPr>
              <w:t>2</w:t>
            </w:r>
            <w:r w:rsidR="00AC362E" w:rsidRPr="00491EF1">
              <w:rPr>
                <w:noProof/>
                <w:webHidden/>
              </w:rPr>
              <w:fldChar w:fldCharType="end"/>
            </w:r>
          </w:hyperlink>
        </w:p>
        <w:p w14:paraId="401EC016"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3" w:history="1">
            <w:r w:rsidR="00AC362E" w:rsidRPr="00491EF1">
              <w:rPr>
                <w:noProof/>
              </w:rPr>
              <w:t>Theme Selection</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_Toc435788113 \h </w:instrText>
            </w:r>
            <w:r w:rsidR="00AC362E" w:rsidRPr="00491EF1">
              <w:rPr>
                <w:noProof/>
                <w:webHidden/>
              </w:rPr>
            </w:r>
            <w:r w:rsidR="00AC362E" w:rsidRPr="00491EF1">
              <w:rPr>
                <w:noProof/>
                <w:webHidden/>
              </w:rPr>
              <w:fldChar w:fldCharType="separate"/>
            </w:r>
            <w:r w:rsidR="000D1BC6">
              <w:rPr>
                <w:noProof/>
                <w:webHidden/>
              </w:rPr>
              <w:t>2</w:t>
            </w:r>
            <w:r w:rsidR="00AC362E" w:rsidRPr="00491EF1">
              <w:rPr>
                <w:noProof/>
                <w:webHidden/>
              </w:rPr>
              <w:fldChar w:fldCharType="end"/>
            </w:r>
          </w:hyperlink>
        </w:p>
        <w:p w14:paraId="76BBF09E"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4" w:history="1">
            <w:r w:rsidR="00AC362E" w:rsidRPr="00491EF1">
              <w:rPr>
                <w:rFonts w:eastAsia="Times New Roman"/>
                <w:noProof/>
                <w:lang w:eastAsia="en-AU"/>
              </w:rPr>
              <w:t>Intended Users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_Toc435788114 \h </w:instrText>
            </w:r>
            <w:r w:rsidR="00AC362E" w:rsidRPr="00491EF1">
              <w:rPr>
                <w:noProof/>
                <w:webHidden/>
              </w:rPr>
            </w:r>
            <w:r w:rsidR="00AC362E" w:rsidRPr="00491EF1">
              <w:rPr>
                <w:noProof/>
                <w:webHidden/>
              </w:rPr>
              <w:fldChar w:fldCharType="separate"/>
            </w:r>
            <w:r w:rsidR="000D1BC6">
              <w:rPr>
                <w:noProof/>
                <w:webHidden/>
              </w:rPr>
              <w:t>2</w:t>
            </w:r>
            <w:r w:rsidR="00AC362E" w:rsidRPr="00491EF1">
              <w:rPr>
                <w:noProof/>
                <w:webHidden/>
              </w:rPr>
              <w:fldChar w:fldCharType="end"/>
            </w:r>
          </w:hyperlink>
        </w:p>
        <w:p w14:paraId="230ADB6E"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5" w:history="1">
            <w:r w:rsidR="00AC362E" w:rsidRPr="00491EF1">
              <w:rPr>
                <w:rFonts w:eastAsia="Times New Roman"/>
                <w:noProof/>
                <w:lang w:eastAsia="en-AU"/>
              </w:rPr>
              <w:t>Structure of the Literature Review</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_Toc435788115 \h </w:instrText>
            </w:r>
            <w:r w:rsidR="00AC362E" w:rsidRPr="00491EF1">
              <w:rPr>
                <w:noProof/>
                <w:webHidden/>
              </w:rPr>
            </w:r>
            <w:r w:rsidR="00AC362E" w:rsidRPr="00491EF1">
              <w:rPr>
                <w:noProof/>
                <w:webHidden/>
              </w:rPr>
              <w:fldChar w:fldCharType="separate"/>
            </w:r>
            <w:r w:rsidR="000D1BC6">
              <w:rPr>
                <w:noProof/>
                <w:webHidden/>
              </w:rPr>
              <w:t>3</w:t>
            </w:r>
            <w:r w:rsidR="00AC362E" w:rsidRPr="00491EF1">
              <w:rPr>
                <w:noProof/>
                <w:webHidden/>
              </w:rPr>
              <w:fldChar w:fldCharType="end"/>
            </w:r>
          </w:hyperlink>
        </w:p>
        <w:p w14:paraId="7290D284"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6" w:history="1">
            <w:r w:rsidR="00AC362E" w:rsidRPr="00491EF1">
              <w:rPr>
                <w:noProof/>
              </w:rPr>
              <w:t>Research Methodology</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_Toc435788116 \h </w:instrText>
            </w:r>
            <w:r w:rsidR="00AC362E" w:rsidRPr="00491EF1">
              <w:rPr>
                <w:noProof/>
                <w:webHidden/>
              </w:rPr>
            </w:r>
            <w:r w:rsidR="00AC362E" w:rsidRPr="00491EF1">
              <w:rPr>
                <w:noProof/>
                <w:webHidden/>
              </w:rPr>
              <w:fldChar w:fldCharType="separate"/>
            </w:r>
            <w:r w:rsidR="000D1BC6">
              <w:rPr>
                <w:noProof/>
                <w:webHidden/>
              </w:rPr>
              <w:t>3</w:t>
            </w:r>
            <w:r w:rsidR="00AC362E" w:rsidRPr="00491EF1">
              <w:rPr>
                <w:noProof/>
                <w:webHidden/>
              </w:rPr>
              <w:fldChar w:fldCharType="end"/>
            </w:r>
          </w:hyperlink>
        </w:p>
        <w:p w14:paraId="38E8FDB3" w14:textId="77777777" w:rsidR="00AC362E" w:rsidRPr="00491EF1" w:rsidRDefault="00B951C4" w:rsidP="00ED0631">
          <w:pPr>
            <w:tabs>
              <w:tab w:val="right" w:leader="dot" w:pos="9016"/>
            </w:tabs>
            <w:spacing w:after="100"/>
            <w:rPr>
              <w:rFonts w:eastAsiaTheme="minorEastAsia" w:cstheme="minorHAnsi"/>
              <w:b/>
              <w:noProof/>
              <w:lang w:eastAsia="en-AU"/>
            </w:rPr>
          </w:pPr>
          <w:hyperlink w:anchor="_Toc435788117" w:history="1">
            <w:r w:rsidR="00AC362E" w:rsidRPr="00491EF1">
              <w:rPr>
                <w:rFonts w:cstheme="minorHAnsi"/>
                <w:b/>
                <w:noProof/>
              </w:rPr>
              <w:t xml:space="preserve">Research Question 1.  </w:t>
            </w:r>
            <w:r w:rsidR="00AC362E" w:rsidRPr="00491EF1">
              <w:rPr>
                <w:rFonts w:eastAsia="Times New Roman" w:cstheme="minorHAnsi"/>
                <w:b/>
                <w:noProof/>
                <w:lang w:eastAsia="en-AU"/>
              </w:rPr>
              <w:t>What are the core practices and values of effective school leadership?</w:t>
            </w:r>
            <w:r w:rsidR="00AC362E" w:rsidRPr="00491EF1">
              <w:rPr>
                <w:rFonts w:cstheme="minorHAnsi"/>
                <w:b/>
                <w:noProof/>
                <w:webHidden/>
              </w:rPr>
              <w:tab/>
            </w:r>
            <w:r w:rsidR="00AC362E" w:rsidRPr="00491EF1">
              <w:rPr>
                <w:rFonts w:cstheme="minorHAnsi"/>
                <w:b/>
                <w:noProof/>
                <w:webHidden/>
              </w:rPr>
              <w:fldChar w:fldCharType="begin"/>
            </w:r>
            <w:r w:rsidR="00AC362E" w:rsidRPr="00491EF1">
              <w:rPr>
                <w:rFonts w:cstheme="minorHAnsi"/>
                <w:b/>
                <w:noProof/>
                <w:webHidden/>
              </w:rPr>
              <w:instrText xml:space="preserve"> PAGEREF _Toc435788117 \h </w:instrText>
            </w:r>
            <w:r w:rsidR="00AC362E" w:rsidRPr="00491EF1">
              <w:rPr>
                <w:rFonts w:cstheme="minorHAnsi"/>
                <w:b/>
                <w:noProof/>
                <w:webHidden/>
              </w:rPr>
            </w:r>
            <w:r w:rsidR="00AC362E" w:rsidRPr="00491EF1">
              <w:rPr>
                <w:rFonts w:cstheme="minorHAnsi"/>
                <w:b/>
                <w:noProof/>
                <w:webHidden/>
              </w:rPr>
              <w:fldChar w:fldCharType="separate"/>
            </w:r>
            <w:r w:rsidR="000D1BC6">
              <w:rPr>
                <w:rFonts w:cstheme="minorHAnsi"/>
                <w:b/>
                <w:noProof/>
                <w:webHidden/>
              </w:rPr>
              <w:t>4</w:t>
            </w:r>
            <w:r w:rsidR="00AC362E" w:rsidRPr="00491EF1">
              <w:rPr>
                <w:rFonts w:cstheme="minorHAnsi"/>
                <w:b/>
                <w:noProof/>
                <w:webHidden/>
              </w:rPr>
              <w:fldChar w:fldCharType="end"/>
            </w:r>
          </w:hyperlink>
        </w:p>
        <w:p w14:paraId="5D599DA8"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8" w:history="1">
            <w:r w:rsidR="00AC362E" w:rsidRPr="00491EF1">
              <w:rPr>
                <w:noProof/>
              </w:rPr>
              <w:t>Why is leadership important for student’s learning?</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_Toc435788118 \h </w:instrText>
            </w:r>
            <w:r w:rsidR="00AC362E" w:rsidRPr="00491EF1">
              <w:rPr>
                <w:noProof/>
                <w:webHidden/>
              </w:rPr>
            </w:r>
            <w:r w:rsidR="00AC362E" w:rsidRPr="00491EF1">
              <w:rPr>
                <w:noProof/>
                <w:webHidden/>
              </w:rPr>
              <w:fldChar w:fldCharType="separate"/>
            </w:r>
            <w:r w:rsidR="000D1BC6">
              <w:rPr>
                <w:noProof/>
                <w:webHidden/>
              </w:rPr>
              <w:t>4</w:t>
            </w:r>
            <w:r w:rsidR="00AC362E" w:rsidRPr="00491EF1">
              <w:rPr>
                <w:noProof/>
                <w:webHidden/>
              </w:rPr>
              <w:fldChar w:fldCharType="end"/>
            </w:r>
          </w:hyperlink>
        </w:p>
        <w:p w14:paraId="520229DF"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19" w:history="1">
            <w:r w:rsidR="00AC362E" w:rsidRPr="00491EF1">
              <w:rPr>
                <w:noProof/>
              </w:rPr>
              <w:t>What are the characteristics of successful school leadership?</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_Toc435788119 \h </w:instrText>
            </w:r>
            <w:r w:rsidR="00AC362E" w:rsidRPr="00491EF1">
              <w:rPr>
                <w:noProof/>
                <w:webHidden/>
              </w:rPr>
            </w:r>
            <w:r w:rsidR="00AC362E" w:rsidRPr="00491EF1">
              <w:rPr>
                <w:noProof/>
                <w:webHidden/>
              </w:rPr>
              <w:fldChar w:fldCharType="separate"/>
            </w:r>
            <w:r w:rsidR="000D1BC6">
              <w:rPr>
                <w:noProof/>
                <w:webHidden/>
              </w:rPr>
              <w:t>4</w:t>
            </w:r>
            <w:r w:rsidR="00AC362E" w:rsidRPr="00491EF1">
              <w:rPr>
                <w:noProof/>
                <w:webHidden/>
              </w:rPr>
              <w:fldChar w:fldCharType="end"/>
            </w:r>
          </w:hyperlink>
        </w:p>
        <w:p w14:paraId="380D22CF"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0" w:history="1">
            <w:r w:rsidR="00AC362E" w:rsidRPr="00491EF1">
              <w:rPr>
                <w:noProof/>
              </w:rPr>
              <w:t>What are the skills and core values of a successful leader?</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_Toc435788120 \h </w:instrText>
            </w:r>
            <w:r w:rsidR="00AC362E" w:rsidRPr="00491EF1">
              <w:rPr>
                <w:noProof/>
                <w:webHidden/>
              </w:rPr>
            </w:r>
            <w:r w:rsidR="00AC362E" w:rsidRPr="00491EF1">
              <w:rPr>
                <w:noProof/>
                <w:webHidden/>
              </w:rPr>
              <w:fldChar w:fldCharType="separate"/>
            </w:r>
            <w:r w:rsidR="000D1BC6">
              <w:rPr>
                <w:noProof/>
                <w:webHidden/>
              </w:rPr>
              <w:t>6</w:t>
            </w:r>
            <w:r w:rsidR="00AC362E" w:rsidRPr="00491EF1">
              <w:rPr>
                <w:noProof/>
                <w:webHidden/>
              </w:rPr>
              <w:fldChar w:fldCharType="end"/>
            </w:r>
          </w:hyperlink>
        </w:p>
        <w:p w14:paraId="6AFD2E06"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1" w:history="1">
            <w:r w:rsidR="00AC362E" w:rsidRPr="00491EF1">
              <w:rPr>
                <w:noProof/>
              </w:rPr>
              <w:t>What are the constraints for effective leadership?</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_Toc435788121 \h </w:instrText>
            </w:r>
            <w:r w:rsidR="00AC362E" w:rsidRPr="00491EF1">
              <w:rPr>
                <w:noProof/>
                <w:webHidden/>
              </w:rPr>
            </w:r>
            <w:r w:rsidR="00AC362E" w:rsidRPr="00491EF1">
              <w:rPr>
                <w:noProof/>
                <w:webHidden/>
              </w:rPr>
              <w:fldChar w:fldCharType="separate"/>
            </w:r>
            <w:r w:rsidR="000D1BC6">
              <w:rPr>
                <w:noProof/>
                <w:webHidden/>
              </w:rPr>
              <w:t>7</w:t>
            </w:r>
            <w:r w:rsidR="00AC362E" w:rsidRPr="00491EF1">
              <w:rPr>
                <w:noProof/>
                <w:webHidden/>
              </w:rPr>
              <w:fldChar w:fldCharType="end"/>
            </w:r>
          </w:hyperlink>
        </w:p>
        <w:p w14:paraId="0DDB7952"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2" w:history="1">
            <w:r w:rsidR="00AC362E" w:rsidRPr="00491EF1">
              <w:rPr>
                <w:noProof/>
              </w:rPr>
              <w:t>References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_Toc435788122 \h </w:instrText>
            </w:r>
            <w:r w:rsidR="00AC362E" w:rsidRPr="00491EF1">
              <w:rPr>
                <w:noProof/>
                <w:webHidden/>
              </w:rPr>
            </w:r>
            <w:r w:rsidR="00AC362E" w:rsidRPr="00491EF1">
              <w:rPr>
                <w:noProof/>
                <w:webHidden/>
              </w:rPr>
              <w:fldChar w:fldCharType="separate"/>
            </w:r>
            <w:r w:rsidR="000D1BC6">
              <w:rPr>
                <w:noProof/>
                <w:webHidden/>
              </w:rPr>
              <w:t>8</w:t>
            </w:r>
            <w:r w:rsidR="00AC362E" w:rsidRPr="00491EF1">
              <w:rPr>
                <w:noProof/>
                <w:webHidden/>
              </w:rPr>
              <w:fldChar w:fldCharType="end"/>
            </w:r>
          </w:hyperlink>
        </w:p>
        <w:p w14:paraId="37C9E9E0" w14:textId="77777777" w:rsidR="00AC362E" w:rsidRPr="00491EF1" w:rsidRDefault="00B951C4" w:rsidP="00ED0631">
          <w:pPr>
            <w:tabs>
              <w:tab w:val="right" w:leader="dot" w:pos="9016"/>
            </w:tabs>
            <w:spacing w:after="100"/>
            <w:rPr>
              <w:rFonts w:eastAsiaTheme="minorEastAsia" w:cstheme="minorHAnsi"/>
              <w:b/>
              <w:noProof/>
              <w:lang w:eastAsia="en-AU"/>
            </w:rPr>
          </w:pPr>
          <w:hyperlink w:anchor="_Toc435788123" w:history="1">
            <w:r w:rsidR="00AC362E" w:rsidRPr="00491EF1">
              <w:rPr>
                <w:rFonts w:cstheme="minorHAnsi"/>
                <w:b/>
                <w:noProof/>
              </w:rPr>
              <w:t xml:space="preserve">Research Question 2. </w:t>
            </w:r>
            <w:r w:rsidR="00AC362E" w:rsidRPr="00491EF1">
              <w:rPr>
                <w:rFonts w:eastAsia="Times New Roman" w:cstheme="minorHAnsi"/>
                <w:b/>
                <w:noProof/>
                <w:lang w:eastAsia="en-AU"/>
              </w:rPr>
              <w:t>What bilingual education models are most effective for teaching and learning of basic education students for whom English is a second language?</w:t>
            </w:r>
            <w:r w:rsidR="00AC362E" w:rsidRPr="00491EF1">
              <w:rPr>
                <w:rFonts w:cstheme="minorHAnsi"/>
                <w:b/>
                <w:noProof/>
                <w:webHidden/>
              </w:rPr>
              <w:tab/>
            </w:r>
            <w:r w:rsidR="00AC362E" w:rsidRPr="00491EF1">
              <w:rPr>
                <w:rFonts w:cstheme="minorHAnsi"/>
                <w:b/>
                <w:noProof/>
                <w:webHidden/>
              </w:rPr>
              <w:fldChar w:fldCharType="begin"/>
            </w:r>
            <w:r w:rsidR="00AC362E" w:rsidRPr="00491EF1">
              <w:rPr>
                <w:rFonts w:cstheme="minorHAnsi"/>
                <w:b/>
                <w:noProof/>
                <w:webHidden/>
              </w:rPr>
              <w:instrText xml:space="preserve"> PAGEREF _Toc435788123 \h </w:instrText>
            </w:r>
            <w:r w:rsidR="00AC362E" w:rsidRPr="00491EF1">
              <w:rPr>
                <w:rFonts w:cstheme="minorHAnsi"/>
                <w:b/>
                <w:noProof/>
                <w:webHidden/>
              </w:rPr>
            </w:r>
            <w:r w:rsidR="00AC362E" w:rsidRPr="00491EF1">
              <w:rPr>
                <w:rFonts w:cstheme="minorHAnsi"/>
                <w:b/>
                <w:noProof/>
                <w:webHidden/>
              </w:rPr>
              <w:fldChar w:fldCharType="separate"/>
            </w:r>
            <w:r w:rsidR="000D1BC6">
              <w:rPr>
                <w:rFonts w:cstheme="minorHAnsi"/>
                <w:b/>
                <w:noProof/>
                <w:webHidden/>
              </w:rPr>
              <w:t>9</w:t>
            </w:r>
            <w:r w:rsidR="00AC362E" w:rsidRPr="00491EF1">
              <w:rPr>
                <w:rFonts w:cstheme="minorHAnsi"/>
                <w:b/>
                <w:noProof/>
                <w:webHidden/>
              </w:rPr>
              <w:fldChar w:fldCharType="end"/>
            </w:r>
          </w:hyperlink>
        </w:p>
        <w:p w14:paraId="581DFADC"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4" w:history="1">
            <w:r w:rsidR="00AC362E" w:rsidRPr="00491EF1">
              <w:rPr>
                <w:noProof/>
              </w:rPr>
              <w:t>What is the definition of a bilingual education program?</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_Toc435788124 \h </w:instrText>
            </w:r>
            <w:r w:rsidR="00AC362E" w:rsidRPr="00491EF1">
              <w:rPr>
                <w:noProof/>
                <w:webHidden/>
              </w:rPr>
            </w:r>
            <w:r w:rsidR="00AC362E" w:rsidRPr="00491EF1">
              <w:rPr>
                <w:noProof/>
                <w:webHidden/>
              </w:rPr>
              <w:fldChar w:fldCharType="separate"/>
            </w:r>
            <w:r w:rsidR="000D1BC6">
              <w:rPr>
                <w:noProof/>
                <w:webHidden/>
              </w:rPr>
              <w:t>9</w:t>
            </w:r>
            <w:r w:rsidR="00AC362E" w:rsidRPr="00491EF1">
              <w:rPr>
                <w:noProof/>
                <w:webHidden/>
              </w:rPr>
              <w:fldChar w:fldCharType="end"/>
            </w:r>
          </w:hyperlink>
        </w:p>
        <w:p w14:paraId="112DA483"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5" w:history="1">
            <w:r w:rsidR="00AC362E" w:rsidRPr="00491EF1">
              <w:rPr>
                <w:noProof/>
              </w:rPr>
              <w:t>What are the different models used in bilingual education programs?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_Toc435788125 \h </w:instrText>
            </w:r>
            <w:r w:rsidR="00AC362E" w:rsidRPr="00491EF1">
              <w:rPr>
                <w:noProof/>
                <w:webHidden/>
              </w:rPr>
            </w:r>
            <w:r w:rsidR="00AC362E" w:rsidRPr="00491EF1">
              <w:rPr>
                <w:noProof/>
                <w:webHidden/>
              </w:rPr>
              <w:fldChar w:fldCharType="separate"/>
            </w:r>
            <w:r w:rsidR="000D1BC6">
              <w:rPr>
                <w:noProof/>
                <w:webHidden/>
              </w:rPr>
              <w:t>9</w:t>
            </w:r>
            <w:r w:rsidR="00AC362E" w:rsidRPr="00491EF1">
              <w:rPr>
                <w:noProof/>
                <w:webHidden/>
              </w:rPr>
              <w:fldChar w:fldCharType="end"/>
            </w:r>
          </w:hyperlink>
        </w:p>
        <w:p w14:paraId="1F0D0039"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6" w:history="1">
            <w:r w:rsidR="00AC362E" w:rsidRPr="00491EF1">
              <w:rPr>
                <w:noProof/>
              </w:rPr>
              <w:t>Is there an optimal age for being exposed to learning a second language?</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_Toc435788126 \h </w:instrText>
            </w:r>
            <w:r w:rsidR="00AC362E" w:rsidRPr="00491EF1">
              <w:rPr>
                <w:noProof/>
                <w:webHidden/>
              </w:rPr>
            </w:r>
            <w:r w:rsidR="00AC362E" w:rsidRPr="00491EF1">
              <w:rPr>
                <w:noProof/>
                <w:webHidden/>
              </w:rPr>
              <w:fldChar w:fldCharType="separate"/>
            </w:r>
            <w:r w:rsidR="000D1BC6">
              <w:rPr>
                <w:noProof/>
                <w:webHidden/>
              </w:rPr>
              <w:t>10</w:t>
            </w:r>
            <w:r w:rsidR="00AC362E" w:rsidRPr="00491EF1">
              <w:rPr>
                <w:noProof/>
                <w:webHidden/>
              </w:rPr>
              <w:fldChar w:fldCharType="end"/>
            </w:r>
          </w:hyperlink>
        </w:p>
        <w:p w14:paraId="50CE3AE3"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7" w:history="1">
            <w:r w:rsidR="00AC362E" w:rsidRPr="00491EF1">
              <w:rPr>
                <w:rFonts w:eastAsia="Times New Roman"/>
                <w:noProof/>
              </w:rPr>
              <w:t>What factors lead to improved student learning through bilingual education programs?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_Toc435788127 \h </w:instrText>
            </w:r>
            <w:r w:rsidR="00AC362E" w:rsidRPr="00491EF1">
              <w:rPr>
                <w:noProof/>
                <w:webHidden/>
              </w:rPr>
            </w:r>
            <w:r w:rsidR="00AC362E" w:rsidRPr="00491EF1">
              <w:rPr>
                <w:noProof/>
                <w:webHidden/>
              </w:rPr>
              <w:fldChar w:fldCharType="separate"/>
            </w:r>
            <w:r w:rsidR="000D1BC6">
              <w:rPr>
                <w:noProof/>
                <w:webHidden/>
              </w:rPr>
              <w:t>10</w:t>
            </w:r>
            <w:r w:rsidR="00AC362E" w:rsidRPr="00491EF1">
              <w:rPr>
                <w:noProof/>
                <w:webHidden/>
              </w:rPr>
              <w:fldChar w:fldCharType="end"/>
            </w:r>
          </w:hyperlink>
        </w:p>
        <w:p w14:paraId="12B5E871"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28" w:history="1">
            <w:r w:rsidR="00AC362E" w:rsidRPr="00491EF1">
              <w:rPr>
                <w:noProof/>
              </w:rPr>
              <w:t>References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_Toc435788128 \h </w:instrText>
            </w:r>
            <w:r w:rsidR="00AC362E" w:rsidRPr="00491EF1">
              <w:rPr>
                <w:noProof/>
                <w:webHidden/>
              </w:rPr>
            </w:r>
            <w:r w:rsidR="00AC362E" w:rsidRPr="00491EF1">
              <w:rPr>
                <w:noProof/>
                <w:webHidden/>
              </w:rPr>
              <w:fldChar w:fldCharType="separate"/>
            </w:r>
            <w:r w:rsidR="000D1BC6">
              <w:rPr>
                <w:noProof/>
                <w:webHidden/>
              </w:rPr>
              <w:t>14</w:t>
            </w:r>
            <w:r w:rsidR="00AC362E" w:rsidRPr="00491EF1">
              <w:rPr>
                <w:noProof/>
                <w:webHidden/>
              </w:rPr>
              <w:fldChar w:fldCharType="end"/>
            </w:r>
          </w:hyperlink>
        </w:p>
        <w:p w14:paraId="67A2DF96" w14:textId="77777777" w:rsidR="00AC362E" w:rsidRPr="00491EF1" w:rsidRDefault="00B951C4" w:rsidP="00ED0631">
          <w:pPr>
            <w:tabs>
              <w:tab w:val="right" w:leader="dot" w:pos="9016"/>
            </w:tabs>
            <w:spacing w:after="100"/>
            <w:rPr>
              <w:rFonts w:eastAsiaTheme="minorEastAsia" w:cstheme="minorHAnsi"/>
              <w:b/>
              <w:noProof/>
              <w:lang w:eastAsia="en-AU"/>
            </w:rPr>
          </w:pPr>
          <w:hyperlink w:anchor="_Toc435788129" w:history="1">
            <w:r w:rsidR="00AC362E" w:rsidRPr="00491EF1">
              <w:rPr>
                <w:rFonts w:cstheme="minorHAnsi"/>
                <w:b/>
                <w:noProof/>
              </w:rPr>
              <w:t xml:space="preserve">Research Question 3. </w:t>
            </w:r>
            <w:r w:rsidR="00AC362E" w:rsidRPr="00491EF1">
              <w:rPr>
                <w:rFonts w:eastAsia="Times New Roman" w:cstheme="minorHAnsi"/>
                <w:b/>
                <w:noProof/>
                <w:lang w:eastAsia="en-AU"/>
              </w:rPr>
              <w:t>How should assessment be most effectively used in basic education teaching and learning?</w:t>
            </w:r>
            <w:r w:rsidR="00AC362E" w:rsidRPr="00491EF1">
              <w:rPr>
                <w:rFonts w:cstheme="minorHAnsi"/>
                <w:b/>
                <w:noProof/>
                <w:webHidden/>
              </w:rPr>
              <w:tab/>
            </w:r>
            <w:r w:rsidR="00AC362E" w:rsidRPr="00491EF1">
              <w:rPr>
                <w:rFonts w:cstheme="minorHAnsi"/>
                <w:b/>
                <w:noProof/>
                <w:webHidden/>
              </w:rPr>
              <w:fldChar w:fldCharType="begin"/>
            </w:r>
            <w:r w:rsidR="00AC362E" w:rsidRPr="00491EF1">
              <w:rPr>
                <w:rFonts w:cstheme="minorHAnsi"/>
                <w:b/>
                <w:noProof/>
                <w:webHidden/>
              </w:rPr>
              <w:instrText xml:space="preserve"> PAGEREF _Toc435788129 \h </w:instrText>
            </w:r>
            <w:r w:rsidR="00AC362E" w:rsidRPr="00491EF1">
              <w:rPr>
                <w:rFonts w:cstheme="minorHAnsi"/>
                <w:b/>
                <w:noProof/>
                <w:webHidden/>
              </w:rPr>
            </w:r>
            <w:r w:rsidR="00AC362E" w:rsidRPr="00491EF1">
              <w:rPr>
                <w:rFonts w:cstheme="minorHAnsi"/>
                <w:b/>
                <w:noProof/>
                <w:webHidden/>
              </w:rPr>
              <w:fldChar w:fldCharType="separate"/>
            </w:r>
            <w:r w:rsidR="000D1BC6">
              <w:rPr>
                <w:rFonts w:cstheme="minorHAnsi"/>
                <w:b/>
                <w:noProof/>
                <w:webHidden/>
              </w:rPr>
              <w:t>15</w:t>
            </w:r>
            <w:r w:rsidR="00AC362E" w:rsidRPr="00491EF1">
              <w:rPr>
                <w:rFonts w:cstheme="minorHAnsi"/>
                <w:b/>
                <w:noProof/>
                <w:webHidden/>
              </w:rPr>
              <w:fldChar w:fldCharType="end"/>
            </w:r>
          </w:hyperlink>
        </w:p>
        <w:p w14:paraId="6E686198"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0" w:history="1">
            <w:r w:rsidR="00AC362E" w:rsidRPr="00491EF1">
              <w:rPr>
                <w:noProof/>
              </w:rPr>
              <w:t>What is the definition of educational assessment?</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_Toc435788130 \h </w:instrText>
            </w:r>
            <w:r w:rsidR="00AC362E" w:rsidRPr="00491EF1">
              <w:rPr>
                <w:noProof/>
                <w:webHidden/>
              </w:rPr>
            </w:r>
            <w:r w:rsidR="00AC362E" w:rsidRPr="00491EF1">
              <w:rPr>
                <w:noProof/>
                <w:webHidden/>
              </w:rPr>
              <w:fldChar w:fldCharType="separate"/>
            </w:r>
            <w:r w:rsidR="000D1BC6">
              <w:rPr>
                <w:noProof/>
                <w:webHidden/>
              </w:rPr>
              <w:t>15</w:t>
            </w:r>
            <w:r w:rsidR="00AC362E" w:rsidRPr="00491EF1">
              <w:rPr>
                <w:noProof/>
                <w:webHidden/>
              </w:rPr>
              <w:fldChar w:fldCharType="end"/>
            </w:r>
          </w:hyperlink>
        </w:p>
        <w:p w14:paraId="3574F7D6"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1" w:history="1">
            <w:r w:rsidR="00AC362E" w:rsidRPr="00491EF1">
              <w:rPr>
                <w:noProof/>
              </w:rPr>
              <w:t>Who is assessment for?</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_Toc435788131 \h </w:instrText>
            </w:r>
            <w:r w:rsidR="00AC362E" w:rsidRPr="00491EF1">
              <w:rPr>
                <w:noProof/>
                <w:webHidden/>
              </w:rPr>
            </w:r>
            <w:r w:rsidR="00AC362E" w:rsidRPr="00491EF1">
              <w:rPr>
                <w:noProof/>
                <w:webHidden/>
              </w:rPr>
              <w:fldChar w:fldCharType="separate"/>
            </w:r>
            <w:r w:rsidR="000D1BC6">
              <w:rPr>
                <w:noProof/>
                <w:webHidden/>
              </w:rPr>
              <w:t>15</w:t>
            </w:r>
            <w:r w:rsidR="00AC362E" w:rsidRPr="00491EF1">
              <w:rPr>
                <w:noProof/>
                <w:webHidden/>
              </w:rPr>
              <w:fldChar w:fldCharType="end"/>
            </w:r>
          </w:hyperlink>
        </w:p>
        <w:p w14:paraId="63548AB5"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2" w:history="1">
            <w:r w:rsidR="00AC362E" w:rsidRPr="00491EF1">
              <w:rPr>
                <w:noProof/>
              </w:rPr>
              <w:t>What purposes does educational assessment serve?</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_Toc435788132 \h </w:instrText>
            </w:r>
            <w:r w:rsidR="00AC362E" w:rsidRPr="00491EF1">
              <w:rPr>
                <w:noProof/>
                <w:webHidden/>
              </w:rPr>
            </w:r>
            <w:r w:rsidR="00AC362E" w:rsidRPr="00491EF1">
              <w:rPr>
                <w:noProof/>
                <w:webHidden/>
              </w:rPr>
              <w:fldChar w:fldCharType="separate"/>
            </w:r>
            <w:r w:rsidR="000D1BC6">
              <w:rPr>
                <w:noProof/>
                <w:webHidden/>
              </w:rPr>
              <w:t>15</w:t>
            </w:r>
            <w:r w:rsidR="00AC362E" w:rsidRPr="00491EF1">
              <w:rPr>
                <w:noProof/>
                <w:webHidden/>
              </w:rPr>
              <w:fldChar w:fldCharType="end"/>
            </w:r>
          </w:hyperlink>
        </w:p>
        <w:p w14:paraId="3D5A23E9"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3" w:history="1">
            <w:r w:rsidR="00AC362E" w:rsidRPr="00491EF1">
              <w:rPr>
                <w:noProof/>
              </w:rPr>
              <w:t>What are the stages/types of assessments?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_Toc435788133 \h </w:instrText>
            </w:r>
            <w:r w:rsidR="00AC362E" w:rsidRPr="00491EF1">
              <w:rPr>
                <w:noProof/>
                <w:webHidden/>
              </w:rPr>
            </w:r>
            <w:r w:rsidR="00AC362E" w:rsidRPr="00491EF1">
              <w:rPr>
                <w:noProof/>
                <w:webHidden/>
              </w:rPr>
              <w:fldChar w:fldCharType="separate"/>
            </w:r>
            <w:r w:rsidR="000D1BC6">
              <w:rPr>
                <w:noProof/>
                <w:webHidden/>
              </w:rPr>
              <w:t>16</w:t>
            </w:r>
            <w:r w:rsidR="00AC362E" w:rsidRPr="00491EF1">
              <w:rPr>
                <w:noProof/>
                <w:webHidden/>
              </w:rPr>
              <w:fldChar w:fldCharType="end"/>
            </w:r>
          </w:hyperlink>
        </w:p>
        <w:p w14:paraId="46207989"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4" w:history="1">
            <w:r w:rsidR="00AC362E" w:rsidRPr="00491EF1">
              <w:rPr>
                <w:noProof/>
              </w:rPr>
              <w:t>What are the characteristics of good assessments?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_Toc435788134 \h </w:instrText>
            </w:r>
            <w:r w:rsidR="00AC362E" w:rsidRPr="00491EF1">
              <w:rPr>
                <w:noProof/>
                <w:webHidden/>
              </w:rPr>
            </w:r>
            <w:r w:rsidR="00AC362E" w:rsidRPr="00491EF1">
              <w:rPr>
                <w:noProof/>
                <w:webHidden/>
              </w:rPr>
              <w:fldChar w:fldCharType="separate"/>
            </w:r>
            <w:r w:rsidR="000D1BC6">
              <w:rPr>
                <w:noProof/>
                <w:webHidden/>
              </w:rPr>
              <w:t>18</w:t>
            </w:r>
            <w:r w:rsidR="00AC362E" w:rsidRPr="00491EF1">
              <w:rPr>
                <w:noProof/>
                <w:webHidden/>
              </w:rPr>
              <w:fldChar w:fldCharType="end"/>
            </w:r>
          </w:hyperlink>
        </w:p>
        <w:p w14:paraId="66E35914"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5" w:history="1">
            <w:r w:rsidR="00AC362E" w:rsidRPr="00491EF1">
              <w:rPr>
                <w:noProof/>
              </w:rPr>
              <w:t>How should teachers effectively use educational assessment?</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_Toc435788135 \h </w:instrText>
            </w:r>
            <w:r w:rsidR="00AC362E" w:rsidRPr="00491EF1">
              <w:rPr>
                <w:noProof/>
                <w:webHidden/>
              </w:rPr>
            </w:r>
            <w:r w:rsidR="00AC362E" w:rsidRPr="00491EF1">
              <w:rPr>
                <w:noProof/>
                <w:webHidden/>
              </w:rPr>
              <w:fldChar w:fldCharType="separate"/>
            </w:r>
            <w:r w:rsidR="000D1BC6">
              <w:rPr>
                <w:noProof/>
                <w:webHidden/>
              </w:rPr>
              <w:t>18</w:t>
            </w:r>
            <w:r w:rsidR="00AC362E" w:rsidRPr="00491EF1">
              <w:rPr>
                <w:noProof/>
                <w:webHidden/>
              </w:rPr>
              <w:fldChar w:fldCharType="end"/>
            </w:r>
          </w:hyperlink>
        </w:p>
        <w:p w14:paraId="3ADD4C14" w14:textId="77777777" w:rsidR="00AC362E" w:rsidRPr="00491EF1" w:rsidRDefault="00B951C4" w:rsidP="00ED0631">
          <w:pPr>
            <w:tabs>
              <w:tab w:val="right" w:leader="dot" w:pos="9016"/>
            </w:tabs>
            <w:spacing w:after="100"/>
            <w:ind w:left="220"/>
            <w:rPr>
              <w:rFonts w:eastAsiaTheme="minorEastAsia"/>
              <w:noProof/>
              <w:lang w:eastAsia="en-AU"/>
            </w:rPr>
          </w:pPr>
          <w:hyperlink w:anchor="_Toc435788136" w:history="1">
            <w:r w:rsidR="00AC362E" w:rsidRPr="00491EF1">
              <w:rPr>
                <w:noProof/>
              </w:rPr>
              <w:t>What mechanisms are needed to support teachers?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_Toc435788136 \h </w:instrText>
            </w:r>
            <w:r w:rsidR="00AC362E" w:rsidRPr="00491EF1">
              <w:rPr>
                <w:noProof/>
                <w:webHidden/>
              </w:rPr>
            </w:r>
            <w:r w:rsidR="00AC362E" w:rsidRPr="00491EF1">
              <w:rPr>
                <w:noProof/>
                <w:webHidden/>
              </w:rPr>
              <w:fldChar w:fldCharType="separate"/>
            </w:r>
            <w:r w:rsidR="000D1BC6">
              <w:rPr>
                <w:noProof/>
                <w:webHidden/>
              </w:rPr>
              <w:t>19</w:t>
            </w:r>
            <w:r w:rsidR="00AC362E" w:rsidRPr="00491EF1">
              <w:rPr>
                <w:noProof/>
                <w:webHidden/>
              </w:rPr>
              <w:fldChar w:fldCharType="end"/>
            </w:r>
          </w:hyperlink>
        </w:p>
        <w:p w14:paraId="56BC5FC0" w14:textId="1C77EED8" w:rsidR="00AC362E" w:rsidRPr="00491EF1" w:rsidRDefault="00B951C4" w:rsidP="00ED0631">
          <w:pPr>
            <w:tabs>
              <w:tab w:val="right" w:leader="dot" w:pos="9016"/>
            </w:tabs>
            <w:spacing w:after="100"/>
            <w:ind w:left="220"/>
          </w:pPr>
          <w:hyperlink w:anchor="_Toc435788137" w:history="1">
            <w:r w:rsidR="00AC362E" w:rsidRPr="00491EF1">
              <w:rPr>
                <w:noProof/>
              </w:rPr>
              <w:t>References</w:t>
            </w:r>
            <w:r w:rsidR="00AC362E" w:rsidRPr="00491EF1">
              <w:rPr>
                <w:noProof/>
                <w:webHidden/>
              </w:rPr>
              <w:tab/>
            </w:r>
            <w:r w:rsidR="00AC362E" w:rsidRPr="00491EF1">
              <w:rPr>
                <w:noProof/>
                <w:webHidden/>
              </w:rPr>
              <w:fldChar w:fldCharType="begin"/>
            </w:r>
            <w:r w:rsidR="00AC362E" w:rsidRPr="00491EF1">
              <w:rPr>
                <w:noProof/>
                <w:webHidden/>
              </w:rPr>
              <w:instrText xml:space="preserve"> PAGEREF _Toc435788137 \h </w:instrText>
            </w:r>
            <w:r w:rsidR="00AC362E" w:rsidRPr="00491EF1">
              <w:rPr>
                <w:noProof/>
                <w:webHidden/>
              </w:rPr>
            </w:r>
            <w:r w:rsidR="00AC362E" w:rsidRPr="00491EF1">
              <w:rPr>
                <w:noProof/>
                <w:webHidden/>
              </w:rPr>
              <w:fldChar w:fldCharType="separate"/>
            </w:r>
            <w:r w:rsidR="000D1BC6">
              <w:rPr>
                <w:noProof/>
                <w:webHidden/>
              </w:rPr>
              <w:t>19</w:t>
            </w:r>
            <w:r w:rsidR="00AC362E" w:rsidRPr="00491EF1">
              <w:rPr>
                <w:noProof/>
                <w:webHidden/>
              </w:rPr>
              <w:fldChar w:fldCharType="end"/>
            </w:r>
          </w:hyperlink>
          <w:hyperlink w:anchor="_Toc435788138" w:history="1"/>
          <w:r w:rsidR="00AC362E" w:rsidRPr="00491EF1">
            <w:fldChar w:fldCharType="end"/>
          </w:r>
        </w:p>
        <w:p w14:paraId="34028B3C" w14:textId="77777777" w:rsidR="00AC362E" w:rsidRPr="00491EF1" w:rsidRDefault="00B951C4" w:rsidP="00ED0631">
          <w:pPr>
            <w:tabs>
              <w:tab w:val="right" w:leader="dot" w:pos="9016"/>
            </w:tabs>
            <w:spacing w:after="100"/>
            <w:ind w:left="220"/>
            <w:rPr>
              <w:noProof/>
            </w:rPr>
          </w:pPr>
        </w:p>
      </w:sdtContent>
    </w:sdt>
    <w:p w14:paraId="20CD37C7" w14:textId="77777777" w:rsidR="00DE4728" w:rsidRDefault="00DE4728">
      <w:pPr>
        <w:spacing w:line="276" w:lineRule="auto"/>
        <w:rPr>
          <w:rFonts w:asciiTheme="majorHAnsi" w:hAnsiTheme="majorHAnsi" w:cstheme="majorHAnsi"/>
          <w:b/>
          <w:color w:val="A25EA6"/>
          <w:sz w:val="40"/>
          <w:szCs w:val="40"/>
        </w:rPr>
      </w:pPr>
      <w:r>
        <w:br w:type="page"/>
      </w:r>
    </w:p>
    <w:p w14:paraId="60A45356" w14:textId="46A77200" w:rsidR="00AC362E" w:rsidRPr="00165923" w:rsidRDefault="00AC362E" w:rsidP="00ED0631">
      <w:pPr>
        <w:pStyle w:val="Heading1"/>
      </w:pPr>
      <w:bookmarkStart w:id="172" w:name="_Toc461615788"/>
      <w:r w:rsidRPr="00165923">
        <w:lastRenderedPageBreak/>
        <w:t>Background to the Literature Review</w:t>
      </w:r>
      <w:bookmarkEnd w:id="172"/>
      <w:bookmarkEnd w:id="171"/>
    </w:p>
    <w:p w14:paraId="1B1E0294" w14:textId="77777777" w:rsidR="00AC362E" w:rsidRPr="00491EF1" w:rsidRDefault="00AC362E" w:rsidP="00ED0631">
      <w:pPr>
        <w:rPr>
          <w:rFonts w:asciiTheme="majorHAnsi" w:eastAsia="Times New Roman" w:hAnsiTheme="majorHAnsi" w:cstheme="majorHAnsi"/>
          <w:bCs/>
          <w:lang w:eastAsia="en-AU"/>
        </w:rPr>
      </w:pPr>
      <w:r w:rsidRPr="00491EF1">
        <w:rPr>
          <w:rFonts w:asciiTheme="majorHAnsi" w:eastAsia="Times New Roman" w:hAnsiTheme="majorHAnsi" w:cstheme="majorHAnsi"/>
          <w:bCs/>
          <w:lang w:eastAsia="en-AU"/>
        </w:rPr>
        <w:t>In early 2015 the M&amp;E Adviser of the KEIP program developed a Research Plan to guide a comprehensive research to be conducted under Program Phase II in anticipation of the transitioning to program Phase III.</w:t>
      </w:r>
    </w:p>
    <w:p w14:paraId="6955B6AA" w14:textId="77777777" w:rsidR="00AC362E" w:rsidRPr="00491EF1" w:rsidRDefault="00AC362E" w:rsidP="00ED0631">
      <w:pPr>
        <w:rPr>
          <w:rFonts w:asciiTheme="majorHAnsi" w:eastAsia="Times New Roman" w:hAnsiTheme="majorHAnsi" w:cstheme="majorHAnsi"/>
          <w:bCs/>
          <w:spacing w:val="-2"/>
          <w:lang w:eastAsia="en-AU"/>
        </w:rPr>
      </w:pPr>
      <w:r w:rsidRPr="00491EF1">
        <w:rPr>
          <w:rFonts w:asciiTheme="majorHAnsi" w:eastAsia="Times New Roman" w:hAnsiTheme="majorHAnsi" w:cstheme="majorHAnsi"/>
          <w:bCs/>
          <w:spacing w:val="-2"/>
          <w:lang w:eastAsia="en-AU"/>
        </w:rPr>
        <w:t xml:space="preserve">The Research Plan described three complementary components: 1) a Literature Review; 2) School Engagement Data (SED) collected from administrative records, surveys of teachers, head teachers and the community; and 3) Case Study research focused on individual schools.  </w:t>
      </w:r>
    </w:p>
    <w:p w14:paraId="184D7BDD" w14:textId="77777777" w:rsidR="00AC362E" w:rsidRPr="00491EF1" w:rsidRDefault="00AC362E" w:rsidP="00ED0631">
      <w:pPr>
        <w:spacing w:before="240"/>
        <w:rPr>
          <w:rFonts w:asciiTheme="majorHAnsi" w:eastAsia="Times New Roman" w:hAnsiTheme="majorHAnsi" w:cstheme="majorHAnsi"/>
          <w:bCs/>
          <w:lang w:eastAsia="en-AU"/>
        </w:rPr>
      </w:pPr>
      <w:r w:rsidRPr="00491EF1">
        <w:rPr>
          <w:rFonts w:asciiTheme="majorHAnsi" w:eastAsia="Times New Roman" w:hAnsiTheme="majorHAnsi" w:cstheme="majorHAnsi"/>
          <w:bCs/>
          <w:lang w:eastAsia="en-AU"/>
        </w:rPr>
        <w:t>The overall purpose of the comprehensive research was to provide the MoE and DFAT with useful information about what is working and not working under the program and suggest some practical steps to support implementation of basic education in future years.</w:t>
      </w:r>
    </w:p>
    <w:p w14:paraId="6F959A89" w14:textId="77777777" w:rsidR="00AC362E" w:rsidRPr="00491EF1" w:rsidRDefault="00AC362E" w:rsidP="00ED0631">
      <w:pPr>
        <w:rPr>
          <w:rFonts w:asciiTheme="majorHAnsi" w:eastAsia="Times New Roman" w:hAnsiTheme="majorHAnsi" w:cstheme="majorHAnsi"/>
          <w:bCs/>
          <w:lang w:eastAsia="en-AU"/>
        </w:rPr>
      </w:pPr>
      <w:r w:rsidRPr="00491EF1">
        <w:rPr>
          <w:rFonts w:asciiTheme="majorHAnsi" w:eastAsia="Times New Roman" w:hAnsiTheme="majorHAnsi" w:cstheme="majorHAnsi"/>
          <w:bCs/>
          <w:lang w:eastAsia="en-AU"/>
        </w:rPr>
        <w:t xml:space="preserve">The Literature Review component was intended to be completed prior to the case studies to allow the case study design to draw on similarities and differences about what has been successful in similar contexts. However for a variety of reasons the commencement of the literature review was delayed. In order for the research component to be completed as intended by the end of 2015 Literature Review and Case Studies were decided to be conducted in parallel while analysis of the SED is being undertaken. </w:t>
      </w:r>
    </w:p>
    <w:p w14:paraId="59565E06" w14:textId="4B3FAA78" w:rsidR="00AC362E" w:rsidRPr="00491EF1" w:rsidRDefault="00AC362E" w:rsidP="00ED0631">
      <w:pPr>
        <w:rPr>
          <w:rFonts w:asciiTheme="majorHAnsi" w:eastAsia="Times New Roman" w:hAnsiTheme="majorHAnsi" w:cstheme="majorHAnsi"/>
          <w:bCs/>
          <w:lang w:eastAsia="en-AU"/>
        </w:rPr>
      </w:pPr>
      <w:r w:rsidRPr="00491EF1">
        <w:rPr>
          <w:rFonts w:asciiTheme="majorHAnsi" w:eastAsia="Times New Roman" w:hAnsiTheme="majorHAnsi" w:cstheme="majorHAnsi"/>
          <w:bCs/>
          <w:lang w:eastAsia="en-AU"/>
        </w:rPr>
        <w:t>The Literature review was conducted between October and November 2015 by Merve Hosgelen, Research Associate based at Coffey International Development in coordination with the Case Study Adviser (Simon Payne) and KEIP II M&amp;E Adviser (Andrew Kibblewhite). The total input for this component was 20 days.</w:t>
      </w:r>
    </w:p>
    <w:p w14:paraId="6161E784" w14:textId="77777777" w:rsidR="00AC362E" w:rsidRPr="00491EF1" w:rsidRDefault="00AC362E" w:rsidP="00ED0631">
      <w:pPr>
        <w:pStyle w:val="Heading2"/>
        <w:rPr>
          <w:rFonts w:eastAsia="Times New Roman"/>
          <w:lang w:eastAsia="en-AU"/>
        </w:rPr>
      </w:pPr>
      <w:bookmarkStart w:id="173" w:name="_Toc435788112"/>
      <w:bookmarkStart w:id="174" w:name="_Toc461615789"/>
      <w:r w:rsidRPr="00491EF1">
        <w:rPr>
          <w:rFonts w:eastAsia="Times New Roman"/>
          <w:lang w:eastAsia="en-AU"/>
        </w:rPr>
        <w:t>Purpose</w:t>
      </w:r>
      <w:bookmarkEnd w:id="173"/>
      <w:bookmarkEnd w:id="174"/>
    </w:p>
    <w:p w14:paraId="03FB9CE8" w14:textId="77777777" w:rsidR="00AC362E" w:rsidRPr="00491EF1" w:rsidRDefault="00AC362E" w:rsidP="00ED0631">
      <w:pPr>
        <w:rPr>
          <w:rFonts w:asciiTheme="majorHAnsi" w:eastAsia="Times New Roman" w:hAnsiTheme="majorHAnsi" w:cstheme="majorHAnsi"/>
          <w:bCs/>
          <w:spacing w:val="-2"/>
          <w:lang w:eastAsia="en-AU"/>
        </w:rPr>
      </w:pPr>
      <w:r w:rsidRPr="00491EF1">
        <w:rPr>
          <w:rFonts w:asciiTheme="majorHAnsi" w:eastAsia="Times New Roman" w:hAnsiTheme="majorHAnsi" w:cstheme="majorHAnsi"/>
          <w:bCs/>
          <w:spacing w:val="-2"/>
          <w:lang w:eastAsia="en-AU"/>
        </w:rPr>
        <w:t xml:space="preserve">An unfortunate consequence of the delays in commencing the Literature Review was that the research could not inform the Case Study design. However Literature Review was still instrumental in supporting the interpretation of Case Study findings and SED in the areas selected. </w:t>
      </w:r>
    </w:p>
    <w:p w14:paraId="66BF1D9C" w14:textId="77777777" w:rsidR="00AC362E" w:rsidRPr="00491EF1" w:rsidRDefault="00AC362E" w:rsidP="00ED0631">
      <w:pPr>
        <w:rPr>
          <w:rFonts w:asciiTheme="majorHAnsi" w:eastAsia="Times New Roman" w:hAnsiTheme="majorHAnsi" w:cstheme="majorHAnsi"/>
          <w:bCs/>
          <w:spacing w:val="-2"/>
          <w:lang w:eastAsia="en-AU"/>
        </w:rPr>
      </w:pPr>
      <w:r w:rsidRPr="00491EF1">
        <w:rPr>
          <w:rFonts w:asciiTheme="majorHAnsi" w:eastAsia="Times New Roman" w:hAnsiTheme="majorHAnsi" w:cstheme="majorHAnsi"/>
          <w:bCs/>
          <w:spacing w:val="-2"/>
          <w:lang w:eastAsia="en-AU"/>
        </w:rPr>
        <w:t xml:space="preserve">The Literature Review presented in this section describes concepts, approaches and practices that have worked in other international education systems with the aim of providing the KEIP program with some useful information to address some of the more pressing basic education management issues. </w:t>
      </w:r>
    </w:p>
    <w:p w14:paraId="4CDFE5C1" w14:textId="77777777" w:rsidR="00AC362E" w:rsidRPr="00491EF1" w:rsidRDefault="00AC362E" w:rsidP="00ED0631">
      <w:pPr>
        <w:rPr>
          <w:rFonts w:asciiTheme="majorHAnsi" w:eastAsia="Times New Roman" w:hAnsiTheme="majorHAnsi" w:cstheme="majorHAnsi"/>
          <w:bCs/>
          <w:spacing w:val="-2"/>
          <w:lang w:eastAsia="en-AU"/>
        </w:rPr>
      </w:pPr>
      <w:r w:rsidRPr="00491EF1">
        <w:rPr>
          <w:rFonts w:asciiTheme="majorHAnsi" w:eastAsia="Times New Roman" w:hAnsiTheme="majorHAnsi" w:cstheme="majorHAnsi"/>
          <w:bCs/>
          <w:spacing w:val="-2"/>
          <w:lang w:eastAsia="en-AU"/>
        </w:rPr>
        <w:t>The Literature Review substantiates some of the fundamental elements against the selected priority themes. It is expected to be informative for the design and roll-out of initiatives and revised policy settings, programme or implementation design. The aspects of the Kiribati delivery context are undoubtedly unique and the Literature Review itself has its limitations in terms of responding to the local problems. However the intention here is to provide the evidence base that could generate policy discussions on potential solutions that are tailored to the Kiribati context.</w:t>
      </w:r>
    </w:p>
    <w:p w14:paraId="447DEF29" w14:textId="77777777" w:rsidR="00AC362E" w:rsidRPr="00491EF1" w:rsidRDefault="00AC362E" w:rsidP="00ED0631">
      <w:pPr>
        <w:pStyle w:val="Heading2"/>
      </w:pPr>
      <w:bookmarkStart w:id="175" w:name="_Toc435788113"/>
      <w:bookmarkStart w:id="176" w:name="_Toc461615790"/>
      <w:r w:rsidRPr="00491EF1">
        <w:t>Theme Selection</w:t>
      </w:r>
      <w:bookmarkEnd w:id="175"/>
      <w:bookmarkEnd w:id="176"/>
    </w:p>
    <w:p w14:paraId="2E4CCDC4" w14:textId="77777777" w:rsidR="00AC362E" w:rsidRPr="00491EF1" w:rsidRDefault="00AC362E" w:rsidP="00ED0631">
      <w:pPr>
        <w:rPr>
          <w:rFonts w:asciiTheme="majorHAnsi" w:eastAsia="Times New Roman" w:hAnsiTheme="majorHAnsi" w:cstheme="majorHAnsi"/>
          <w:bCs/>
          <w:spacing w:val="-2"/>
          <w:lang w:eastAsia="en-AU"/>
        </w:rPr>
      </w:pPr>
      <w:r w:rsidRPr="00491EF1">
        <w:rPr>
          <w:rFonts w:asciiTheme="majorHAnsi" w:eastAsia="Times New Roman" w:hAnsiTheme="majorHAnsi" w:cstheme="majorHAnsi"/>
          <w:bCs/>
          <w:spacing w:val="-2"/>
          <w:lang w:eastAsia="en-AU"/>
        </w:rPr>
        <w:t xml:space="preserve">For the review of literature, a small number of research topics were identified through consultation with the MoE Research Reference Group and KEIP advisers. Four areas were initially identified as priority themes for the Literature Review. These included Effective Leadership, Bilingual Education Models, Quality Assessment and Capacity Building of In-Service Teachers. After further consultations it was considered that the fourth topic would overstretch the resources available for the literature review and should be considered in future research.  </w:t>
      </w:r>
    </w:p>
    <w:p w14:paraId="537E91D2" w14:textId="77777777" w:rsidR="00AC362E" w:rsidRPr="00491EF1" w:rsidRDefault="00AC362E" w:rsidP="00ED0631">
      <w:pPr>
        <w:rPr>
          <w:rFonts w:asciiTheme="majorHAnsi" w:eastAsia="Times New Roman" w:hAnsiTheme="majorHAnsi" w:cstheme="majorHAnsi"/>
          <w:bCs/>
          <w:spacing w:val="-2"/>
          <w:lang w:eastAsia="en-AU"/>
        </w:rPr>
      </w:pPr>
      <w:r w:rsidRPr="00491EF1">
        <w:rPr>
          <w:rFonts w:asciiTheme="majorHAnsi" w:eastAsia="Times New Roman" w:hAnsiTheme="majorHAnsi" w:cstheme="majorHAnsi"/>
          <w:bCs/>
          <w:spacing w:val="-2"/>
          <w:lang w:eastAsia="en-AU"/>
        </w:rPr>
        <w:t>Guided by the selected themes, the literature review presented in this section focuses on three research questions:</w:t>
      </w:r>
    </w:p>
    <w:p w14:paraId="39AD1947" w14:textId="77777777" w:rsidR="00AC362E" w:rsidRPr="00491EF1" w:rsidRDefault="00AC362E" w:rsidP="00AE24CE">
      <w:pPr>
        <w:numPr>
          <w:ilvl w:val="0"/>
          <w:numId w:val="22"/>
        </w:numPr>
        <w:spacing w:line="276" w:lineRule="auto"/>
        <w:ind w:left="284" w:hanging="284"/>
        <w:contextualSpacing/>
        <w:rPr>
          <w:rFonts w:asciiTheme="majorHAnsi" w:hAnsiTheme="majorHAnsi" w:cstheme="majorHAnsi"/>
          <w:lang w:eastAsia="en-AU"/>
        </w:rPr>
      </w:pPr>
      <w:r w:rsidRPr="00491EF1">
        <w:rPr>
          <w:rFonts w:asciiTheme="majorHAnsi" w:hAnsiTheme="majorHAnsi" w:cstheme="majorHAnsi"/>
          <w:lang w:eastAsia="en-AU"/>
        </w:rPr>
        <w:t>What are the core practices and values of effective school leadership?</w:t>
      </w:r>
    </w:p>
    <w:p w14:paraId="40AF9987" w14:textId="77777777" w:rsidR="00AC362E" w:rsidRPr="00491EF1" w:rsidRDefault="00AC362E" w:rsidP="00AE24CE">
      <w:pPr>
        <w:numPr>
          <w:ilvl w:val="0"/>
          <w:numId w:val="22"/>
        </w:numPr>
        <w:spacing w:line="276" w:lineRule="auto"/>
        <w:ind w:left="284" w:hanging="284"/>
        <w:contextualSpacing/>
        <w:rPr>
          <w:rFonts w:asciiTheme="majorHAnsi" w:hAnsiTheme="majorHAnsi" w:cstheme="majorHAnsi"/>
          <w:lang w:eastAsia="en-AU"/>
        </w:rPr>
      </w:pPr>
      <w:r w:rsidRPr="00491EF1">
        <w:rPr>
          <w:rFonts w:asciiTheme="majorHAnsi" w:hAnsiTheme="majorHAnsi" w:cstheme="majorHAnsi"/>
          <w:lang w:eastAsia="en-AU"/>
        </w:rPr>
        <w:t>What bilingual education models are most effective for teaching and learning of basic education students for whom English is a second language?</w:t>
      </w:r>
    </w:p>
    <w:p w14:paraId="7A08DC95" w14:textId="77777777" w:rsidR="00257F87" w:rsidRPr="00257F87" w:rsidRDefault="00AC362E" w:rsidP="00AE24CE">
      <w:pPr>
        <w:numPr>
          <w:ilvl w:val="0"/>
          <w:numId w:val="22"/>
        </w:numPr>
        <w:spacing w:line="276" w:lineRule="auto"/>
        <w:ind w:left="284" w:hanging="284"/>
        <w:contextualSpacing/>
        <w:rPr>
          <w:rFonts w:eastAsia="Times New Roman"/>
          <w:lang w:eastAsia="en-AU"/>
        </w:rPr>
      </w:pPr>
      <w:r w:rsidRPr="00257F87">
        <w:rPr>
          <w:rFonts w:asciiTheme="majorHAnsi" w:hAnsiTheme="majorHAnsi" w:cstheme="majorHAnsi"/>
          <w:lang w:eastAsia="en-AU"/>
        </w:rPr>
        <w:t>How should assessment be most effectively used in basic education teaching and learning?</w:t>
      </w:r>
      <w:bookmarkStart w:id="177" w:name="_Toc435788114"/>
      <w:r w:rsidR="00257F87">
        <w:rPr>
          <w:rFonts w:asciiTheme="majorHAnsi" w:hAnsiTheme="majorHAnsi" w:cstheme="majorHAnsi"/>
          <w:lang w:eastAsia="en-AU"/>
        </w:rPr>
        <w:t xml:space="preserve"> </w:t>
      </w:r>
      <w:bookmarkStart w:id="178" w:name="_Toc461615791"/>
    </w:p>
    <w:p w14:paraId="711C5602" w14:textId="41034594" w:rsidR="00AC362E" w:rsidRPr="00257F87" w:rsidRDefault="00AC362E" w:rsidP="00257F87">
      <w:pPr>
        <w:pStyle w:val="Heading2"/>
        <w:rPr>
          <w:rFonts w:eastAsia="Times New Roman"/>
          <w:lang w:eastAsia="en-AU"/>
        </w:rPr>
      </w:pPr>
      <w:r w:rsidRPr="00257F87">
        <w:rPr>
          <w:rFonts w:eastAsia="Times New Roman"/>
          <w:lang w:eastAsia="en-AU"/>
        </w:rPr>
        <w:lastRenderedPageBreak/>
        <w:t>Intended Users</w:t>
      </w:r>
      <w:bookmarkEnd w:id="177"/>
      <w:bookmarkEnd w:id="178"/>
    </w:p>
    <w:p w14:paraId="671C7B6B" w14:textId="77777777" w:rsidR="00AC362E" w:rsidRPr="00165923" w:rsidRDefault="00AC362E" w:rsidP="00ED0631">
      <w:pPr>
        <w:rPr>
          <w:rFonts w:eastAsia="Times New Roman" w:cstheme="minorHAnsi"/>
          <w:bCs/>
          <w:lang w:eastAsia="en-AU"/>
        </w:rPr>
      </w:pPr>
      <w:r w:rsidRPr="00165923">
        <w:rPr>
          <w:rFonts w:eastAsia="Times New Roman" w:cstheme="minorHAnsi"/>
          <w:bCs/>
          <w:lang w:eastAsia="en-AU"/>
        </w:rPr>
        <w:t xml:space="preserve">The intended users for the Literature Review is the Ministry of Education (particularly the curriculum and in-service support unit), </w:t>
      </w:r>
      <w:r w:rsidRPr="00165923">
        <w:rPr>
          <w:rFonts w:eastAsia="Times New Roman" w:cstheme="minorHAnsi"/>
          <w:color w:val="000000"/>
          <w:lang w:eastAsia="en-AU"/>
        </w:rPr>
        <w:t>Kiribati Teachers' College,</w:t>
      </w:r>
      <w:r w:rsidRPr="00165923">
        <w:rPr>
          <w:rFonts w:eastAsia="Times New Roman" w:cstheme="minorHAnsi"/>
          <w:bCs/>
          <w:lang w:eastAsia="en-AU"/>
        </w:rPr>
        <w:t xml:space="preserve"> the KEIP program team and advisors and DFAT counterparts.</w:t>
      </w:r>
    </w:p>
    <w:p w14:paraId="4AB798E7" w14:textId="77777777" w:rsidR="00AC362E" w:rsidRPr="00165923" w:rsidRDefault="00AC362E" w:rsidP="00ED0631">
      <w:pPr>
        <w:pStyle w:val="Heading2"/>
        <w:rPr>
          <w:rFonts w:eastAsia="Times New Roman"/>
          <w:lang w:eastAsia="en-AU"/>
        </w:rPr>
      </w:pPr>
      <w:bookmarkStart w:id="179" w:name="_Toc435788115"/>
      <w:bookmarkStart w:id="180" w:name="_Toc461615792"/>
      <w:r w:rsidRPr="00165923">
        <w:rPr>
          <w:rFonts w:eastAsia="Times New Roman"/>
          <w:lang w:eastAsia="en-AU"/>
        </w:rPr>
        <w:t>Structure of the Literature Review</w:t>
      </w:r>
      <w:bookmarkEnd w:id="179"/>
      <w:bookmarkEnd w:id="180"/>
    </w:p>
    <w:p w14:paraId="0071B861" w14:textId="77777777" w:rsidR="00AC362E" w:rsidRPr="00165923" w:rsidRDefault="00AC362E" w:rsidP="00ED0631">
      <w:pPr>
        <w:rPr>
          <w:rFonts w:eastAsia="Times New Roman" w:cstheme="minorHAnsi"/>
          <w:bCs/>
          <w:lang w:eastAsia="en-AU"/>
        </w:rPr>
      </w:pPr>
      <w:r w:rsidRPr="00165923">
        <w:rPr>
          <w:rFonts w:eastAsia="Times New Roman" w:cstheme="minorHAnsi"/>
          <w:bCs/>
          <w:lang w:eastAsia="en-AU"/>
        </w:rPr>
        <w:t xml:space="preserve">The Literature Review starts with a brief description of the research methodology followed by a detailed summary of the findings for each of the selected research questions. </w:t>
      </w:r>
    </w:p>
    <w:p w14:paraId="25BB0847" w14:textId="77777777" w:rsidR="00AC362E" w:rsidRPr="00165923" w:rsidRDefault="00AC362E" w:rsidP="00ED0631">
      <w:pPr>
        <w:pStyle w:val="Heading2"/>
      </w:pPr>
      <w:bookmarkStart w:id="181" w:name="_Toc435788116"/>
      <w:bookmarkStart w:id="182" w:name="_Toc461615793"/>
      <w:r w:rsidRPr="00165923">
        <w:t>Research Methodology</w:t>
      </w:r>
      <w:bookmarkEnd w:id="181"/>
      <w:bookmarkEnd w:id="182"/>
    </w:p>
    <w:p w14:paraId="133957A0" w14:textId="77777777" w:rsidR="00AC362E" w:rsidRPr="00165923" w:rsidRDefault="00AC362E" w:rsidP="00ED0631">
      <w:pPr>
        <w:rPr>
          <w:rFonts w:eastAsia="Times New Roman" w:cstheme="minorHAnsi"/>
          <w:bCs/>
          <w:lang w:eastAsia="en-AU"/>
        </w:rPr>
      </w:pPr>
      <w:r w:rsidRPr="00165923">
        <w:rPr>
          <w:rFonts w:eastAsia="Times New Roman" w:cstheme="minorHAnsi"/>
          <w:bCs/>
          <w:lang w:eastAsia="en-AU"/>
        </w:rPr>
        <w:t>In producing the literature review, a systematic approach was used to identify, appraise, select and synthesise all high quality research evidence that were found relevant for the selected research questions. Initially certain methods were applied to identify potential relevant studies. These methods included:</w:t>
      </w:r>
    </w:p>
    <w:p w14:paraId="19E34D36" w14:textId="77777777" w:rsidR="00AC362E" w:rsidRPr="00165923" w:rsidRDefault="00AC362E" w:rsidP="00AE24CE">
      <w:pPr>
        <w:numPr>
          <w:ilvl w:val="0"/>
          <w:numId w:val="12"/>
        </w:numPr>
        <w:spacing w:line="276" w:lineRule="auto"/>
        <w:ind w:left="284" w:hanging="284"/>
        <w:contextualSpacing/>
      </w:pPr>
      <w:r w:rsidRPr="00165923">
        <w:t xml:space="preserve">Searching multiple bibliographic databases </w:t>
      </w:r>
      <w:r w:rsidRPr="00165923">
        <w:rPr>
          <w:lang w:val="en"/>
        </w:rPr>
        <w:t xml:space="preserve">such as ERIC: </w:t>
      </w:r>
      <w:hyperlink r:id="rId64" w:tooltip="ERIC" w:history="1">
        <w:r w:rsidRPr="00165923">
          <w:rPr>
            <w:rFonts w:cstheme="minorHAnsi"/>
          </w:rPr>
          <w:t>Educational Resource Information Center</w:t>
        </w:r>
      </w:hyperlink>
      <w:r w:rsidRPr="00165923">
        <w:t xml:space="preserve">, </w:t>
      </w:r>
      <w:hyperlink r:id="rId65" w:tooltip="JSTOR" w:history="1">
        <w:r w:rsidRPr="00165923">
          <w:rPr>
            <w:rFonts w:cstheme="minorHAnsi"/>
          </w:rPr>
          <w:t>JSTOR: Journal Storage</w:t>
        </w:r>
      </w:hyperlink>
      <w:r w:rsidRPr="00165923">
        <w:t xml:space="preserve"> and ProQuest Education Journals</w:t>
      </w:r>
    </w:p>
    <w:p w14:paraId="4015D5AA" w14:textId="77777777" w:rsidR="00AC362E" w:rsidRPr="00165923" w:rsidRDefault="00AC362E" w:rsidP="00AE24CE">
      <w:pPr>
        <w:numPr>
          <w:ilvl w:val="0"/>
          <w:numId w:val="12"/>
        </w:numPr>
        <w:spacing w:line="276" w:lineRule="auto"/>
        <w:ind w:left="284" w:hanging="284"/>
        <w:contextualSpacing/>
      </w:pPr>
      <w:r w:rsidRPr="00165923">
        <w:t xml:space="preserve">Scanning reference lists of existing reviews and eligible studies </w:t>
      </w:r>
    </w:p>
    <w:p w14:paraId="20B2B011" w14:textId="77777777" w:rsidR="00AC362E" w:rsidRPr="00165923" w:rsidRDefault="00AC362E" w:rsidP="00AE24CE">
      <w:pPr>
        <w:numPr>
          <w:ilvl w:val="0"/>
          <w:numId w:val="12"/>
        </w:numPr>
        <w:spacing w:line="276" w:lineRule="auto"/>
        <w:ind w:left="284" w:hanging="284"/>
        <w:contextualSpacing/>
      </w:pPr>
      <w:r w:rsidRPr="00165923">
        <w:t xml:space="preserve">Hand-searching key journals </w:t>
      </w:r>
    </w:p>
    <w:p w14:paraId="02193B1F" w14:textId="77777777" w:rsidR="00AC362E" w:rsidRPr="00165923" w:rsidRDefault="00AC362E" w:rsidP="00AE24CE">
      <w:pPr>
        <w:numPr>
          <w:ilvl w:val="0"/>
          <w:numId w:val="12"/>
        </w:numPr>
        <w:spacing w:line="276" w:lineRule="auto"/>
        <w:ind w:left="284" w:hanging="284"/>
        <w:contextualSpacing/>
      </w:pPr>
      <w:r w:rsidRPr="00165923">
        <w:t xml:space="preserve">Forward citation searching of seminal articles </w:t>
      </w:r>
    </w:p>
    <w:p w14:paraId="1CFDB78E" w14:textId="77777777" w:rsidR="00AC362E" w:rsidRPr="00165923" w:rsidRDefault="00AC362E" w:rsidP="00AE24CE">
      <w:pPr>
        <w:numPr>
          <w:ilvl w:val="0"/>
          <w:numId w:val="12"/>
        </w:numPr>
        <w:spacing w:line="276" w:lineRule="auto"/>
        <w:ind w:left="284" w:hanging="284"/>
        <w:contextualSpacing/>
      </w:pPr>
      <w:r w:rsidRPr="00165923">
        <w:t>Searching the Internet (via Google/Google Scholar)</w:t>
      </w:r>
    </w:p>
    <w:p w14:paraId="4C778B45" w14:textId="03453B21" w:rsidR="00AC362E" w:rsidRDefault="00AC362E" w:rsidP="00AE24CE">
      <w:pPr>
        <w:numPr>
          <w:ilvl w:val="0"/>
          <w:numId w:val="12"/>
        </w:numPr>
        <w:spacing w:line="276" w:lineRule="auto"/>
        <w:ind w:left="284" w:hanging="284"/>
        <w:contextualSpacing/>
      </w:pPr>
      <w:r w:rsidRPr="00165923">
        <w:t>Contacting scholars in the area</w:t>
      </w:r>
      <w:r w:rsidR="00257F87">
        <w:t>.</w:t>
      </w:r>
      <w:r w:rsidRPr="00165923">
        <w:t xml:space="preserve"> </w:t>
      </w:r>
    </w:p>
    <w:p w14:paraId="7CB33D57" w14:textId="77777777" w:rsidR="00257F87" w:rsidRPr="00165923" w:rsidRDefault="00257F87" w:rsidP="00257F87">
      <w:pPr>
        <w:spacing w:line="276" w:lineRule="auto"/>
        <w:ind w:left="284"/>
        <w:contextualSpacing/>
      </w:pPr>
    </w:p>
    <w:p w14:paraId="2126A7E4" w14:textId="77777777" w:rsidR="00AC362E" w:rsidRPr="00165923" w:rsidRDefault="00AC362E" w:rsidP="00ED0631">
      <w:r w:rsidRPr="00165923">
        <w:t xml:space="preserve">In identifying relevant literature for each question, certain key words were used such as the ones listed below. </w:t>
      </w:r>
    </w:p>
    <w:tbl>
      <w:tblPr>
        <w:tblStyle w:val="TableGrid1"/>
        <w:tblW w:w="9356" w:type="dxa"/>
        <w:tblInd w:w="108" w:type="dxa"/>
        <w:tblLook w:val="04A0" w:firstRow="1" w:lastRow="0" w:firstColumn="1" w:lastColumn="0" w:noHBand="0" w:noVBand="1"/>
        <w:tblCaption w:val="Selected themes and key words"/>
      </w:tblPr>
      <w:tblGrid>
        <w:gridCol w:w="566"/>
        <w:gridCol w:w="1306"/>
        <w:gridCol w:w="1698"/>
        <w:gridCol w:w="5786"/>
      </w:tblGrid>
      <w:tr w:rsidR="00AC362E" w:rsidRPr="00165923" w14:paraId="30AE6570" w14:textId="77777777" w:rsidTr="00ED0631">
        <w:tc>
          <w:tcPr>
            <w:tcW w:w="1843" w:type="dxa"/>
            <w:gridSpan w:val="2"/>
          </w:tcPr>
          <w:p w14:paraId="630396CA" w14:textId="77777777" w:rsidR="00AC362E" w:rsidRPr="00165923" w:rsidRDefault="00AC362E" w:rsidP="00ED0631">
            <w:pPr>
              <w:rPr>
                <w:b/>
              </w:rPr>
            </w:pPr>
            <w:r w:rsidRPr="00165923">
              <w:rPr>
                <w:b/>
              </w:rPr>
              <w:t>Selected themes</w:t>
            </w:r>
          </w:p>
        </w:tc>
        <w:tc>
          <w:tcPr>
            <w:tcW w:w="7513" w:type="dxa"/>
            <w:gridSpan w:val="2"/>
          </w:tcPr>
          <w:p w14:paraId="1BBCAFBB" w14:textId="77777777" w:rsidR="00AC362E" w:rsidRPr="00165923" w:rsidRDefault="00AC362E" w:rsidP="00ED0631">
            <w:pPr>
              <w:rPr>
                <w:b/>
              </w:rPr>
            </w:pPr>
            <w:r w:rsidRPr="00165923">
              <w:rPr>
                <w:b/>
              </w:rPr>
              <w:t xml:space="preserve">Key words </w:t>
            </w:r>
          </w:p>
        </w:tc>
      </w:tr>
      <w:tr w:rsidR="00AC362E" w:rsidRPr="00165923" w14:paraId="7C9F18F6" w14:textId="77777777" w:rsidTr="00ED0631">
        <w:tc>
          <w:tcPr>
            <w:tcW w:w="567" w:type="dxa"/>
          </w:tcPr>
          <w:p w14:paraId="2D763E9F" w14:textId="77777777" w:rsidR="00AC362E" w:rsidRPr="00165923" w:rsidRDefault="00AC362E" w:rsidP="00ED0631">
            <w:r w:rsidRPr="00165923">
              <w:t>1</w:t>
            </w:r>
          </w:p>
        </w:tc>
        <w:tc>
          <w:tcPr>
            <w:tcW w:w="1276" w:type="dxa"/>
          </w:tcPr>
          <w:p w14:paraId="2C4D37CC" w14:textId="77777777" w:rsidR="00AC362E" w:rsidRPr="00165923" w:rsidRDefault="00AC362E" w:rsidP="00ED0631">
            <w:r w:rsidRPr="00165923">
              <w:rPr>
                <w:rFonts w:eastAsia="Times New Roman"/>
                <w:lang w:eastAsia="en-AU"/>
              </w:rPr>
              <w:t>Leadership</w:t>
            </w:r>
          </w:p>
        </w:tc>
        <w:tc>
          <w:tcPr>
            <w:tcW w:w="1701" w:type="dxa"/>
            <w:vMerge w:val="restart"/>
          </w:tcPr>
          <w:p w14:paraId="29626560" w14:textId="11FA12AB" w:rsidR="00AC362E" w:rsidRPr="00165923" w:rsidRDefault="00AC362E" w:rsidP="00257F87">
            <w:r w:rsidRPr="00165923">
              <w:t>Pacific, primary education, small island countries, Asia-Pacific, developing countries</w:t>
            </w:r>
          </w:p>
        </w:tc>
        <w:tc>
          <w:tcPr>
            <w:tcW w:w="5812" w:type="dxa"/>
          </w:tcPr>
          <w:p w14:paraId="3ED7ECAA" w14:textId="77777777" w:rsidR="00AC362E" w:rsidRPr="00165923" w:rsidRDefault="00AC362E" w:rsidP="00ED0631">
            <w:r w:rsidRPr="00165923">
              <w:t>leadership, core principles, effective leadership, staff development, teacher’s motivation, leaders in primary school</w:t>
            </w:r>
          </w:p>
        </w:tc>
      </w:tr>
      <w:tr w:rsidR="00AC362E" w:rsidRPr="00165923" w14:paraId="4A91270C" w14:textId="77777777" w:rsidTr="00ED0631">
        <w:tc>
          <w:tcPr>
            <w:tcW w:w="567" w:type="dxa"/>
          </w:tcPr>
          <w:p w14:paraId="7E8D8216" w14:textId="77777777" w:rsidR="00AC362E" w:rsidRPr="00165923" w:rsidRDefault="00AC362E" w:rsidP="00ED0631">
            <w:r w:rsidRPr="00165923">
              <w:t>2</w:t>
            </w:r>
          </w:p>
        </w:tc>
        <w:tc>
          <w:tcPr>
            <w:tcW w:w="1276" w:type="dxa"/>
          </w:tcPr>
          <w:p w14:paraId="15C4756A" w14:textId="77777777" w:rsidR="00AC362E" w:rsidRPr="00165923" w:rsidRDefault="00AC362E" w:rsidP="00ED0631">
            <w:r w:rsidRPr="00165923">
              <w:rPr>
                <w:rFonts w:eastAsia="Times New Roman"/>
                <w:lang w:eastAsia="en-AU"/>
              </w:rPr>
              <w:t>Bilingual Education</w:t>
            </w:r>
          </w:p>
        </w:tc>
        <w:tc>
          <w:tcPr>
            <w:tcW w:w="1701" w:type="dxa"/>
            <w:vMerge/>
          </w:tcPr>
          <w:p w14:paraId="2CD91AE2" w14:textId="77777777" w:rsidR="00AC362E" w:rsidRPr="00165923" w:rsidRDefault="00AC362E" w:rsidP="00ED0631"/>
        </w:tc>
        <w:tc>
          <w:tcPr>
            <w:tcW w:w="5812" w:type="dxa"/>
          </w:tcPr>
          <w:p w14:paraId="1FE90C7F" w14:textId="77777777" w:rsidR="00AC362E" w:rsidRPr="00165923" w:rsidRDefault="00AC362E" w:rsidP="00ED0631">
            <w:pPr>
              <w:rPr>
                <w:rFonts w:eastAsia="Times New Roman"/>
                <w:lang w:eastAsia="en-AU"/>
              </w:rPr>
            </w:pPr>
            <w:r w:rsidRPr="00165923">
              <w:t>bilingual education, immersion, L2, teach, bilingualism, teacher skills for bilingualism, English as a second language</w:t>
            </w:r>
          </w:p>
        </w:tc>
      </w:tr>
      <w:tr w:rsidR="00AC362E" w:rsidRPr="00165923" w14:paraId="1F0BB3D3" w14:textId="77777777" w:rsidTr="00ED0631">
        <w:tc>
          <w:tcPr>
            <w:tcW w:w="567" w:type="dxa"/>
          </w:tcPr>
          <w:p w14:paraId="3D93D911" w14:textId="77777777" w:rsidR="00AC362E" w:rsidRPr="00165923" w:rsidRDefault="00AC362E" w:rsidP="00ED0631">
            <w:r w:rsidRPr="00165923">
              <w:t>3</w:t>
            </w:r>
          </w:p>
        </w:tc>
        <w:tc>
          <w:tcPr>
            <w:tcW w:w="1276" w:type="dxa"/>
          </w:tcPr>
          <w:p w14:paraId="6BFB359E" w14:textId="77777777" w:rsidR="00AC362E" w:rsidRPr="00165923" w:rsidRDefault="00AC362E" w:rsidP="00ED0631">
            <w:r w:rsidRPr="00165923">
              <w:rPr>
                <w:rFonts w:eastAsia="Times New Roman"/>
                <w:lang w:eastAsia="en-AU"/>
              </w:rPr>
              <w:t>Assessment</w:t>
            </w:r>
          </w:p>
        </w:tc>
        <w:tc>
          <w:tcPr>
            <w:tcW w:w="1701" w:type="dxa"/>
            <w:vMerge/>
          </w:tcPr>
          <w:p w14:paraId="1F44E370" w14:textId="77777777" w:rsidR="00AC362E" w:rsidRPr="00165923" w:rsidRDefault="00AC362E" w:rsidP="00ED0631"/>
        </w:tc>
        <w:tc>
          <w:tcPr>
            <w:tcW w:w="5812" w:type="dxa"/>
          </w:tcPr>
          <w:p w14:paraId="30D60F0A" w14:textId="77777777" w:rsidR="00AC362E" w:rsidRPr="00165923" w:rsidRDefault="00AC362E" w:rsidP="00ED0631">
            <w:r w:rsidRPr="00165923">
              <w:t>forms of assessment, feedback, effective assessment methods, primary classrooms</w:t>
            </w:r>
          </w:p>
        </w:tc>
      </w:tr>
    </w:tbl>
    <w:p w14:paraId="1EFE5A2E" w14:textId="77777777" w:rsidR="00AC362E" w:rsidRPr="00165923" w:rsidRDefault="00AC362E" w:rsidP="00ED0631">
      <w:pPr>
        <w:spacing w:before="120"/>
        <w:rPr>
          <w:lang w:val="en-US"/>
        </w:rPr>
      </w:pPr>
      <w:r w:rsidRPr="00165923">
        <w:rPr>
          <w:lang w:val="en"/>
        </w:rPr>
        <w:t xml:space="preserve">Once potential studies were identified, their titles and abstracts were explored against some pre-determined criteria for their eligibility and relevance. The following criteria </w:t>
      </w:r>
      <w:r w:rsidRPr="00165923">
        <w:rPr>
          <w:lang w:val="en-US"/>
        </w:rPr>
        <w:t>were applied in final selection of the relevant sources:</w:t>
      </w:r>
    </w:p>
    <w:p w14:paraId="1ED656DA" w14:textId="77777777" w:rsidR="00AC362E" w:rsidRPr="00165923" w:rsidRDefault="00AC362E" w:rsidP="00AE24CE">
      <w:pPr>
        <w:numPr>
          <w:ilvl w:val="0"/>
          <w:numId w:val="13"/>
        </w:numPr>
        <w:spacing w:line="276" w:lineRule="auto"/>
        <w:ind w:left="284" w:hanging="284"/>
        <w:contextualSpacing/>
      </w:pPr>
      <w:r w:rsidRPr="00165923">
        <w:t>Include all theoretical and empirical work that is relevant for the main focus of the research question (These include published scholarly articles as well as commissioned reports)</w:t>
      </w:r>
    </w:p>
    <w:p w14:paraId="1FCEAF41" w14:textId="77777777" w:rsidR="00AC362E" w:rsidRPr="00165923" w:rsidRDefault="00AC362E" w:rsidP="00AE24CE">
      <w:pPr>
        <w:numPr>
          <w:ilvl w:val="0"/>
          <w:numId w:val="13"/>
        </w:numPr>
        <w:spacing w:line="276" w:lineRule="auto"/>
        <w:ind w:left="284" w:hanging="284"/>
        <w:contextualSpacing/>
      </w:pPr>
      <w:r w:rsidRPr="00165923">
        <w:t>Include literature that are written in English and published between 1990 and 2015</w:t>
      </w:r>
    </w:p>
    <w:p w14:paraId="57262415" w14:textId="77777777" w:rsidR="00AC362E" w:rsidRPr="00165923" w:rsidRDefault="00AC362E" w:rsidP="00AE24CE">
      <w:pPr>
        <w:numPr>
          <w:ilvl w:val="0"/>
          <w:numId w:val="13"/>
        </w:numPr>
        <w:spacing w:line="276" w:lineRule="auto"/>
        <w:ind w:left="284" w:hanging="284"/>
        <w:contextualSpacing/>
      </w:pPr>
      <w:r w:rsidRPr="00165923">
        <w:t>Concentrate on studies that use meta-analysis and empirical evidence</w:t>
      </w:r>
    </w:p>
    <w:p w14:paraId="6D4320CD" w14:textId="77777777" w:rsidR="00AC362E" w:rsidRPr="00165923" w:rsidRDefault="00AC362E" w:rsidP="00AE24CE">
      <w:pPr>
        <w:numPr>
          <w:ilvl w:val="0"/>
          <w:numId w:val="13"/>
        </w:numPr>
        <w:spacing w:line="276" w:lineRule="auto"/>
        <w:ind w:left="284" w:hanging="284"/>
        <w:contextualSpacing/>
      </w:pPr>
      <w:r w:rsidRPr="00165923">
        <w:t>Concentrate on studies that are conducted in small island states and more broadly the Asia-Pacific region that relate to Kiribati context)</w:t>
      </w:r>
    </w:p>
    <w:p w14:paraId="616CBFD1" w14:textId="77777777" w:rsidR="00DE4728" w:rsidRDefault="00DE4728">
      <w:pPr>
        <w:spacing w:line="276" w:lineRule="auto"/>
        <w:rPr>
          <w:rFonts w:asciiTheme="majorHAnsi" w:hAnsiTheme="majorHAnsi" w:cstheme="majorHAnsi"/>
          <w:b/>
          <w:color w:val="A25EA6"/>
          <w:sz w:val="40"/>
          <w:szCs w:val="40"/>
        </w:rPr>
      </w:pPr>
      <w:bookmarkStart w:id="183" w:name="_Toc435788117"/>
      <w:r>
        <w:br w:type="page"/>
      </w:r>
    </w:p>
    <w:p w14:paraId="434E5D3F" w14:textId="3FAFCA94" w:rsidR="00AC362E" w:rsidRPr="00165923" w:rsidRDefault="00AC362E" w:rsidP="00257F87">
      <w:pPr>
        <w:pStyle w:val="Heading1"/>
        <w:ind w:left="0" w:firstLine="0"/>
      </w:pPr>
      <w:bookmarkStart w:id="184" w:name="_Toc461615794"/>
      <w:r w:rsidRPr="00165923">
        <w:lastRenderedPageBreak/>
        <w:t xml:space="preserve">Research Question 1.  </w:t>
      </w:r>
      <w:r w:rsidRPr="00165923">
        <w:rPr>
          <w:rFonts w:eastAsia="Times New Roman"/>
          <w:lang w:eastAsia="en-AU"/>
        </w:rPr>
        <w:t>What are the core</w:t>
      </w:r>
      <w:r w:rsidR="00257F87">
        <w:rPr>
          <w:rFonts w:eastAsia="Times New Roman"/>
          <w:lang w:eastAsia="en-AU"/>
        </w:rPr>
        <w:t xml:space="preserve"> </w:t>
      </w:r>
      <w:r w:rsidRPr="00165923">
        <w:rPr>
          <w:rFonts w:eastAsia="Times New Roman"/>
          <w:lang w:eastAsia="en-AU"/>
        </w:rPr>
        <w:t>practices and values of effective school leadership?</w:t>
      </w:r>
      <w:bookmarkEnd w:id="183"/>
      <w:bookmarkEnd w:id="184"/>
    </w:p>
    <w:p w14:paraId="305C0EA2" w14:textId="77777777" w:rsidR="00AC362E" w:rsidRPr="00165923" w:rsidRDefault="00AC362E" w:rsidP="00ED0631">
      <w:pPr>
        <w:pStyle w:val="Heading2"/>
      </w:pPr>
      <w:bookmarkStart w:id="185" w:name="_Toc435788118"/>
      <w:bookmarkStart w:id="186" w:name="_Toc461615795"/>
      <w:r w:rsidRPr="00165923">
        <w:t>Why is leadership important for student’s learning?</w:t>
      </w:r>
      <w:bookmarkEnd w:id="185"/>
      <w:bookmarkEnd w:id="186"/>
    </w:p>
    <w:p w14:paraId="56AA2109" w14:textId="77777777" w:rsidR="00AC362E" w:rsidRPr="00165923" w:rsidRDefault="00AC362E" w:rsidP="00512A02">
      <w:pPr>
        <w:autoSpaceDE w:val="0"/>
        <w:autoSpaceDN w:val="0"/>
        <w:adjustRightInd w:val="0"/>
        <w:spacing w:line="228" w:lineRule="auto"/>
        <w:rPr>
          <w:rFonts w:cstheme="minorHAnsi"/>
        </w:rPr>
      </w:pPr>
      <w:r w:rsidRPr="00165923">
        <w:rPr>
          <w:rFonts w:cstheme="minorHAnsi"/>
        </w:rPr>
        <w:t xml:space="preserve">There is a great deal of empirical evidence suggesting that leadership has very significant effects on the quality of the school organisation and on pupils’ learning (Leithwood et al., 2006). Marzano et al. (2005) conducted a meta-analysis of 69 studies which were published between 1978 and 2001 and focused on the relationship between leadership of principles and the achievement of students. A typical study computed a correlation between the leadership of the principal and the average achievement of students in a sample of schools. These studies covered 2082 schools, spanning grades from Kindergarden to Grade 12. A major finding of the report was that principals have a profound effect on the achievement of students and </w:t>
      </w:r>
      <w:r w:rsidRPr="00165923">
        <w:rPr>
          <w:rFonts w:cstheme="minorHAnsi"/>
          <w:color w:val="000000"/>
        </w:rPr>
        <w:t xml:space="preserve">leadership is second only to classroom instruction among school-related factors that affect student learning. </w:t>
      </w:r>
    </w:p>
    <w:p w14:paraId="57C23B59" w14:textId="77777777" w:rsidR="00AC362E" w:rsidRPr="00512A02" w:rsidRDefault="00AC362E" w:rsidP="00512A02">
      <w:pPr>
        <w:spacing w:before="100" w:beforeAutospacing="1" w:after="100" w:afterAutospacing="1" w:line="228" w:lineRule="auto"/>
        <w:rPr>
          <w:rFonts w:cstheme="minorHAnsi"/>
          <w:spacing w:val="-4"/>
          <w:lang w:eastAsia="en-AU"/>
        </w:rPr>
      </w:pPr>
      <w:r w:rsidRPr="00512A02">
        <w:rPr>
          <w:rFonts w:cstheme="minorHAnsi"/>
          <w:spacing w:val="-4"/>
          <w:lang w:eastAsia="en-AU"/>
        </w:rPr>
        <w:t>In their report entitled ‘How the world’s Best Performing School Systems Come out on Top’, Barber and Mourshed (2007) looked at 25 of the world’s school systems, including the ten of the top performers to examine what high performing school systems have in common and what tools they use to improve student outcomes. Their report found that the school leadership is as influential as classroom teaching on pupil learning and high quality leadership is a key characteristic of effective schools.</w:t>
      </w:r>
    </w:p>
    <w:p w14:paraId="516BA072" w14:textId="77777777" w:rsidR="00AC362E" w:rsidRPr="00512A02" w:rsidRDefault="00AC362E" w:rsidP="00512A02">
      <w:pPr>
        <w:autoSpaceDE w:val="0"/>
        <w:autoSpaceDN w:val="0"/>
        <w:adjustRightInd w:val="0"/>
        <w:spacing w:line="228" w:lineRule="auto"/>
        <w:rPr>
          <w:rFonts w:cstheme="minorHAnsi"/>
          <w:color w:val="000000"/>
        </w:rPr>
      </w:pPr>
      <w:r w:rsidRPr="00512A02">
        <w:rPr>
          <w:rFonts w:cstheme="minorHAnsi"/>
          <w:color w:val="000000"/>
        </w:rPr>
        <w:t xml:space="preserve">Improving school leadership ranks high on the list of priorities for school reform in many countries. According to a detailed survey conducted by </w:t>
      </w:r>
      <w:r w:rsidRPr="00512A02">
        <w:rPr>
          <w:rFonts w:cstheme="minorHAnsi"/>
          <w:bCs/>
          <w:iCs/>
        </w:rPr>
        <w:t xml:space="preserve">Wallace Foundation (2013), </w:t>
      </w:r>
      <w:r w:rsidRPr="00512A02">
        <w:rPr>
          <w:rFonts w:cstheme="minorHAnsi"/>
          <w:color w:val="000000"/>
        </w:rPr>
        <w:t>school and district administrators, policymakers and others declared principal leadership among the most pressing matters on a list of issues in public school educa</w:t>
      </w:r>
      <w:r w:rsidRPr="00512A02">
        <w:rPr>
          <w:rFonts w:cstheme="minorHAnsi"/>
          <w:color w:val="000000"/>
        </w:rPr>
        <w:softHyphen/>
        <w:t xml:space="preserve">tion. Teacher quality stood above everything else, but principal leadership came second, outstripping matters including dropout rates and student testing. </w:t>
      </w:r>
    </w:p>
    <w:p w14:paraId="28F70A76" w14:textId="77777777" w:rsidR="00AC362E" w:rsidRPr="00512A02" w:rsidRDefault="00AC362E" w:rsidP="00512A02">
      <w:pPr>
        <w:spacing w:before="100" w:beforeAutospacing="1" w:after="100" w:afterAutospacing="1" w:line="228" w:lineRule="auto"/>
        <w:rPr>
          <w:rFonts w:cstheme="minorHAnsi"/>
          <w:bCs/>
          <w:iCs/>
          <w:spacing w:val="-4"/>
          <w:lang w:eastAsia="en-AU"/>
        </w:rPr>
      </w:pPr>
      <w:r w:rsidRPr="00512A02">
        <w:rPr>
          <w:rFonts w:cstheme="minorHAnsi"/>
          <w:spacing w:val="-4"/>
          <w:lang w:eastAsia="en-AU"/>
        </w:rPr>
        <w:t xml:space="preserve">The significance of strong leadership is based on evidence that the quality of education depends heavily on school management and leadership. Leithwood et al (2006) argues that </w:t>
      </w:r>
      <w:r w:rsidRPr="00512A02">
        <w:rPr>
          <w:rFonts w:cstheme="minorHAnsi"/>
          <w:bCs/>
          <w:iCs/>
          <w:spacing w:val="-4"/>
          <w:lang w:eastAsia="en-AU"/>
        </w:rPr>
        <w:t>a teacher’s performance is dependent on their 1) motivation, 2) ability or professional knowledge and skills (and their understanding of their job responsibilities) and 3) standard for their work setting (the features of the school and classroom).  The authors went further by simply formulating this relationship as follows:</w:t>
      </w:r>
    </w:p>
    <w:tbl>
      <w:tblPr>
        <w:tblStyle w:val="MediumGrid1-Accent5"/>
        <w:tblW w:w="0" w:type="auto"/>
        <w:tblLook w:val="04A0" w:firstRow="1" w:lastRow="0" w:firstColumn="1" w:lastColumn="0" w:noHBand="0" w:noVBand="1"/>
        <w:tblCaption w:val="P= f (M, A, S)"/>
        <w:tblDescription w:val="P: teacher performance M: teacher motivation A: teacher abilities S: work setting"/>
      </w:tblPr>
      <w:tblGrid>
        <w:gridCol w:w="9242"/>
      </w:tblGrid>
      <w:tr w:rsidR="00AC362E" w:rsidRPr="00165923" w14:paraId="726A42E4"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8590A90" w14:textId="77777777" w:rsidR="00AC362E" w:rsidRPr="00165923" w:rsidRDefault="00AC362E" w:rsidP="00512A02">
            <w:pPr>
              <w:spacing w:before="60" w:after="60" w:line="228" w:lineRule="auto"/>
              <w:jc w:val="center"/>
              <w:rPr>
                <w:rFonts w:cstheme="minorHAnsi"/>
                <w:lang w:eastAsia="en-AU"/>
              </w:rPr>
            </w:pPr>
            <w:r w:rsidRPr="00165923">
              <w:rPr>
                <w:rFonts w:cstheme="minorHAnsi"/>
                <w:lang w:eastAsia="en-AU"/>
              </w:rPr>
              <w:t>P= f (M, A, S)</w:t>
            </w:r>
          </w:p>
          <w:p w14:paraId="7AF70AE7" w14:textId="77777777" w:rsidR="00AC362E" w:rsidRPr="00165923" w:rsidRDefault="00AC362E" w:rsidP="00512A02">
            <w:pPr>
              <w:spacing w:before="60" w:after="60" w:line="228" w:lineRule="auto"/>
              <w:jc w:val="center"/>
              <w:rPr>
                <w:rFonts w:cstheme="minorHAnsi"/>
                <w:sz w:val="24"/>
                <w:szCs w:val="24"/>
                <w:lang w:eastAsia="en-AU"/>
              </w:rPr>
            </w:pPr>
            <w:r w:rsidRPr="00165923">
              <w:rPr>
                <w:rFonts w:cstheme="minorHAnsi"/>
                <w:lang w:eastAsia="en-AU"/>
              </w:rPr>
              <w:t>P: teacher performance M: teacher motivation A: teacher abilities S: work setting</w:t>
            </w:r>
          </w:p>
        </w:tc>
      </w:tr>
    </w:tbl>
    <w:p w14:paraId="71951225" w14:textId="77777777" w:rsidR="00AC362E" w:rsidRPr="00165923" w:rsidRDefault="00AC362E" w:rsidP="00512A02">
      <w:pPr>
        <w:spacing w:before="100" w:beforeAutospacing="1" w:after="100" w:afterAutospacing="1" w:line="228" w:lineRule="auto"/>
        <w:rPr>
          <w:rFonts w:cstheme="minorHAnsi"/>
          <w:lang w:eastAsia="en-AU"/>
        </w:rPr>
      </w:pPr>
      <w:r w:rsidRPr="00165923">
        <w:rPr>
          <w:rFonts w:cstheme="minorHAnsi"/>
          <w:lang w:eastAsia="en-AU"/>
        </w:rPr>
        <w:t xml:space="preserve">Leaders have the potential to influence and give direction to all these inter-dependent elements and </w:t>
      </w:r>
      <w:r w:rsidRPr="00165923">
        <w:rPr>
          <w:rFonts w:cstheme="minorHAnsi"/>
          <w:color w:val="000000"/>
          <w:lang w:eastAsia="en-AU"/>
        </w:rPr>
        <w:t>unleash organisational capacities</w:t>
      </w:r>
      <w:r w:rsidRPr="00165923">
        <w:rPr>
          <w:rFonts w:cstheme="minorHAnsi"/>
          <w:lang w:eastAsia="en-AU"/>
        </w:rPr>
        <w:t xml:space="preserve"> that affect teacher’s performance and hence student’s learning. Therefore leadership can be understood almost as a prerequisite for quality education.</w:t>
      </w:r>
    </w:p>
    <w:p w14:paraId="7EE6163D" w14:textId="77777777" w:rsidR="00AC362E" w:rsidRPr="00257F87" w:rsidRDefault="00AC362E" w:rsidP="00257F87">
      <w:pPr>
        <w:pStyle w:val="Heading2"/>
      </w:pPr>
      <w:bookmarkStart w:id="187" w:name="_Toc435788119"/>
      <w:bookmarkStart w:id="188" w:name="_Toc461615796"/>
      <w:r w:rsidRPr="00257F87">
        <w:t>What are the characteristics of successful school leadership?</w:t>
      </w:r>
      <w:bookmarkEnd w:id="187"/>
      <w:bookmarkEnd w:id="188"/>
    </w:p>
    <w:p w14:paraId="5BF02BA7" w14:textId="77777777" w:rsidR="00AC362E" w:rsidRPr="00165923" w:rsidRDefault="00AC362E" w:rsidP="00512A02">
      <w:pPr>
        <w:spacing w:line="228" w:lineRule="auto"/>
        <w:rPr>
          <w:spacing w:val="-2"/>
        </w:rPr>
      </w:pPr>
      <w:r w:rsidRPr="00165923">
        <w:rPr>
          <w:spacing w:val="-2"/>
        </w:rPr>
        <w:t xml:space="preserve">While the terminology used to describe leadership principles varies, leadership generally describes the direction given to manage and improve performance. Sheppard (1996, cited in Oplatka 2004) identifies a leader as one that is involved in framing and communicating school goals, supervising and evaluating teaching, coordinating the curriculum, mentoring student progress, protecting teaching time, maintaining high visibility, providing incentives for teachers, supporting professional development sessions and providing incentives for learning. </w:t>
      </w:r>
    </w:p>
    <w:tbl>
      <w:tblPr>
        <w:tblStyle w:val="MediumGrid1-Accent5"/>
        <w:tblW w:w="0" w:type="auto"/>
        <w:tblLook w:val="04A0" w:firstRow="1" w:lastRow="0" w:firstColumn="1" w:lastColumn="0" w:noHBand="0" w:noVBand="1"/>
        <w:tblCaption w:val="Leadership influences the goals, school structures, people and culture. "/>
        <w:tblDescription w:val="Referring to the research evidence from Thailand (e.g., Hallinger and Kantamara, 2000), Hong Kong (Walker and Dimmock, 1998), Malaysia (Bajunid, 1995, 1996) and Singapore (Gopinathan and Kam, 2000), Hallinger (2003) suggests that principals in East Asia achieve successful results through similar avenues to the ones used by principles in the developed world. However, the ways principals enact leadership through these basic practices differ in response to the cultural and institutional contexts. "/>
      </w:tblPr>
      <w:tblGrid>
        <w:gridCol w:w="9242"/>
      </w:tblGrid>
      <w:tr w:rsidR="00AC362E" w:rsidRPr="00165923" w14:paraId="2D3F5B35"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7C78B7F" w14:textId="77777777" w:rsidR="00AC362E" w:rsidRPr="00165923" w:rsidRDefault="00AC362E" w:rsidP="00512A02">
            <w:pPr>
              <w:spacing w:line="228" w:lineRule="auto"/>
              <w:rPr>
                <w:rFonts w:cstheme="minorHAnsi"/>
              </w:rPr>
            </w:pPr>
            <w:r w:rsidRPr="00165923">
              <w:rPr>
                <w:rFonts w:cstheme="minorHAnsi"/>
                <w:i/>
              </w:rPr>
              <w:t>Leadership influences the goals, school structures, people and culture.</w:t>
            </w:r>
            <w:r w:rsidRPr="00165923">
              <w:rPr>
                <w:rFonts w:cstheme="minorHAnsi"/>
              </w:rPr>
              <w:t xml:space="preserve"> Referring to the research evidence from Thailand (e.g., Hallinger and Kantamara, 2000), Hong Kong (Walker and Dimmock, 1998), Malaysia (Bajunid, 1995, 1996) and Singapore (Gopinathan and Kam, 2000), Hallinger (2003) suggests that </w:t>
            </w:r>
            <w:r w:rsidRPr="00165923">
              <w:rPr>
                <w:rFonts w:cstheme="minorHAnsi"/>
                <w:i/>
              </w:rPr>
              <w:t>principals in East Asia achieve successful results through similar avenues to the ones used by principles in the developed world. However, the ways principals enact leadership through these basic practices differ in response to the cultural and institutional contexts.</w:t>
            </w:r>
            <w:r w:rsidRPr="00165923">
              <w:rPr>
                <w:rFonts w:cstheme="minorHAnsi"/>
              </w:rPr>
              <w:t xml:space="preserve"> </w:t>
            </w:r>
          </w:p>
        </w:tc>
      </w:tr>
    </w:tbl>
    <w:p w14:paraId="729AD273" w14:textId="77777777" w:rsidR="00AC362E" w:rsidRPr="00165923" w:rsidRDefault="00AC362E" w:rsidP="00ED0631">
      <w:pPr>
        <w:spacing w:before="120"/>
        <w:rPr>
          <w:spacing w:val="-2"/>
        </w:rPr>
      </w:pPr>
      <w:r w:rsidRPr="00165923">
        <w:rPr>
          <w:spacing w:val="-2"/>
        </w:rPr>
        <w:lastRenderedPageBreak/>
        <w:t xml:space="preserve">A meta-analysis of 70 empirical studies over 30 years (including studies using a wide variety of methods) highlights four categories of core responsibilities for successful leadership. Below these categories are discussed with further evidence gathered from a variety of studies conducted by </w:t>
      </w:r>
      <w:r w:rsidRPr="00165923">
        <w:rPr>
          <w:bCs/>
          <w:iCs/>
          <w:spacing w:val="-2"/>
        </w:rPr>
        <w:t xml:space="preserve">Matthews (2009), Wallace Foundation (2013) and </w:t>
      </w:r>
      <w:r w:rsidRPr="00165923">
        <w:rPr>
          <w:spacing w:val="-2"/>
        </w:rPr>
        <w:t>Leithwood et al. (2006).</w:t>
      </w:r>
    </w:p>
    <w:p w14:paraId="38886995" w14:textId="77777777" w:rsidR="00AC362E" w:rsidRPr="00165923" w:rsidRDefault="00AC362E" w:rsidP="00AE24CE">
      <w:pPr>
        <w:numPr>
          <w:ilvl w:val="0"/>
          <w:numId w:val="17"/>
        </w:numPr>
        <w:autoSpaceDE w:val="0"/>
        <w:autoSpaceDN w:val="0"/>
        <w:adjustRightInd w:val="0"/>
        <w:spacing w:before="100" w:beforeAutospacing="1" w:after="0" w:afterAutospacing="1"/>
        <w:contextualSpacing/>
        <w:rPr>
          <w:rFonts w:cstheme="minorHAnsi"/>
          <w:u w:val="single"/>
        </w:rPr>
      </w:pPr>
      <w:r w:rsidRPr="00165923">
        <w:rPr>
          <w:rFonts w:cstheme="minorHAnsi"/>
          <w:u w:val="single"/>
        </w:rPr>
        <w:t>Setting directions and defining school’s mission</w:t>
      </w:r>
    </w:p>
    <w:p w14:paraId="644750DE" w14:textId="77777777" w:rsidR="00AC362E" w:rsidRPr="00165923" w:rsidRDefault="00AC362E" w:rsidP="00ED0631">
      <w:pPr>
        <w:autoSpaceDE w:val="0"/>
        <w:autoSpaceDN w:val="0"/>
        <w:adjustRightInd w:val="0"/>
        <w:spacing w:before="100" w:beforeAutospacing="1" w:afterAutospacing="1"/>
        <w:rPr>
          <w:rFonts w:cstheme="minorHAnsi"/>
        </w:rPr>
      </w:pPr>
      <w:r w:rsidRPr="00165923">
        <w:rPr>
          <w:rFonts w:cstheme="minorHAnsi"/>
        </w:rPr>
        <w:t>Hallinger (2003) finds that mission-building activities (such as framing and communicating the school’s goals) are the most influential set of leadership practices. The author suggests that cooperation and alignment of others to the leader’s set of values and vision is particularly important. Literature stresses that leaders need to be able to develop a vision (that is set on high standards), secure staff’s buy-in for that vision, identify immediate goals and achieve staff clarity and consensus about goals to fulfil the vision. Robinson (2007) finds that establishing goals and expectations have a significant effect on pupil’s learning.</w:t>
      </w:r>
    </w:p>
    <w:p w14:paraId="1EF64964" w14:textId="77777777" w:rsidR="00AC362E" w:rsidRPr="00165923" w:rsidRDefault="00AC362E" w:rsidP="00AE24CE">
      <w:pPr>
        <w:numPr>
          <w:ilvl w:val="0"/>
          <w:numId w:val="17"/>
        </w:numPr>
        <w:autoSpaceDE w:val="0"/>
        <w:autoSpaceDN w:val="0"/>
        <w:adjustRightInd w:val="0"/>
        <w:spacing w:before="100" w:beforeAutospacing="1" w:after="0" w:afterAutospacing="1"/>
        <w:contextualSpacing/>
        <w:rPr>
          <w:rFonts w:cstheme="minorHAnsi"/>
          <w:u w:val="single"/>
        </w:rPr>
      </w:pPr>
      <w:r w:rsidRPr="00165923">
        <w:rPr>
          <w:rFonts w:cstheme="minorHAnsi"/>
          <w:u w:val="single"/>
        </w:rPr>
        <w:t>Developing people and improving teacher quality</w:t>
      </w:r>
    </w:p>
    <w:p w14:paraId="696A34A7" w14:textId="77777777" w:rsidR="00AC362E" w:rsidRPr="00165923" w:rsidRDefault="00AC362E" w:rsidP="00ED0631">
      <w:pPr>
        <w:autoSpaceDE w:val="0"/>
        <w:autoSpaceDN w:val="0"/>
        <w:adjustRightInd w:val="0"/>
        <w:rPr>
          <w:rFonts w:cstheme="minorHAnsi"/>
        </w:rPr>
      </w:pPr>
      <w:r w:rsidRPr="00165923">
        <w:rPr>
          <w:rFonts w:cstheme="minorHAnsi"/>
        </w:rPr>
        <w:t>Teacher quality is the most important school-level determinant of student performance, and school leadership focused on improving the motivation, capacity and working environment of teachers is most likely to improve student learning.</w:t>
      </w:r>
    </w:p>
    <w:p w14:paraId="2A72D4C5" w14:textId="77777777" w:rsidR="00AC362E" w:rsidRPr="00165923" w:rsidRDefault="00AC362E" w:rsidP="00ED0631">
      <w:pPr>
        <w:autoSpaceDE w:val="0"/>
        <w:autoSpaceDN w:val="0"/>
        <w:adjustRightInd w:val="0"/>
        <w:rPr>
          <w:rFonts w:cstheme="minorHAnsi"/>
        </w:rPr>
      </w:pPr>
      <w:r w:rsidRPr="00165923">
        <w:rPr>
          <w:rFonts w:cstheme="minorHAnsi"/>
          <w:b/>
          <w:i/>
        </w:rPr>
        <w:t>Strong leaders motivate and build capacity.</w:t>
      </w:r>
      <w:r w:rsidRPr="00165923">
        <w:rPr>
          <w:rFonts w:cstheme="minorHAnsi"/>
          <w:b/>
        </w:rPr>
        <w:t xml:space="preserve"> </w:t>
      </w:r>
      <w:r w:rsidRPr="00165923">
        <w:rPr>
          <w:rFonts w:cstheme="minorHAnsi"/>
        </w:rPr>
        <w:t>An important element of capacity building is enhancing motivation, commitment and resilience (VOS International, 2009)</w:t>
      </w:r>
      <w:r w:rsidRPr="00165923">
        <w:rPr>
          <w:rFonts w:cstheme="minorHAnsi"/>
          <w:b/>
        </w:rPr>
        <w:t>.</w:t>
      </w:r>
      <w:r w:rsidRPr="00165923">
        <w:rPr>
          <w:rFonts w:cstheme="minorHAnsi"/>
        </w:rPr>
        <w:t xml:space="preserve"> People are motivated when they believe the situation that they are in is conducive to accomplishing the goals that are important to them personally.</w:t>
      </w:r>
      <w:r w:rsidRPr="00165923">
        <w:rPr>
          <w:rFonts w:cstheme="minorHAnsi"/>
          <w:bCs/>
          <w:iCs/>
        </w:rPr>
        <w:t xml:space="preserve"> People are also motivated by what they are good at. Building capacity is hence highly motivational as it helps people become good at their task. To be influential, leaders need to have respect for their colleagues and their concerns about their personal feelings and needs. Literature also suggests that </w:t>
      </w:r>
      <w:r w:rsidRPr="00165923">
        <w:rPr>
          <w:rFonts w:cstheme="minorHAnsi"/>
        </w:rPr>
        <w:t xml:space="preserve">leaders can only be influential if colleagues allow them to be. Teachers are more likely to accept leaders and encourage them to be successful in their roles when they take a ‘humble approach’. If teacher leaders are perceived as judgemental, particularly in relation to classroom visits or observations then this leads to mistrust and teachers largely rejecting or avoiding teacher leader (Margolis, 2013). </w:t>
      </w:r>
      <w:r w:rsidRPr="00165923">
        <w:rPr>
          <w:rFonts w:cstheme="minorHAnsi"/>
          <w:bCs/>
          <w:iCs/>
        </w:rPr>
        <w:t xml:space="preserve">It is hence important that </w:t>
      </w:r>
      <w:r w:rsidRPr="00165923">
        <w:rPr>
          <w:rFonts w:cstheme="minorHAnsi"/>
        </w:rPr>
        <w:t xml:space="preserve">leaders </w:t>
      </w:r>
      <w:r w:rsidRPr="00165923">
        <w:rPr>
          <w:rFonts w:cstheme="minorHAnsi"/>
          <w:bCs/>
          <w:iCs/>
        </w:rPr>
        <w:t xml:space="preserve">show their consideration for people through supporting, recognising and rewarding (OECD, 2009). </w:t>
      </w:r>
    </w:p>
    <w:p w14:paraId="125944D6" w14:textId="77777777" w:rsidR="00AC362E" w:rsidRPr="00165923" w:rsidRDefault="00AC362E" w:rsidP="00ED0631">
      <w:pPr>
        <w:autoSpaceDE w:val="0"/>
        <w:autoSpaceDN w:val="0"/>
        <w:adjustRightInd w:val="0"/>
        <w:rPr>
          <w:rFonts w:cstheme="minorHAnsi"/>
        </w:rPr>
      </w:pPr>
      <w:r w:rsidRPr="00165923">
        <w:rPr>
          <w:rFonts w:cstheme="minorHAnsi"/>
          <w:b/>
          <w:i/>
        </w:rPr>
        <w:t>Effective leaders monitor and evaluate teacher performance</w:t>
      </w:r>
      <w:r w:rsidRPr="00165923">
        <w:rPr>
          <w:rFonts w:cstheme="minorHAnsi"/>
          <w:bCs/>
          <w:i/>
          <w:iCs/>
        </w:rPr>
        <w:t xml:space="preserve">. </w:t>
      </w:r>
      <w:r w:rsidRPr="00165923">
        <w:rPr>
          <w:rFonts w:cstheme="minorHAnsi"/>
          <w:bCs/>
          <w:iCs/>
        </w:rPr>
        <w:t>Empirical evidence suggests that</w:t>
      </w:r>
      <w:r w:rsidRPr="00165923">
        <w:rPr>
          <w:rFonts w:cstheme="minorHAnsi"/>
          <w:bCs/>
          <w:i/>
          <w:iCs/>
        </w:rPr>
        <w:t xml:space="preserve"> </w:t>
      </w:r>
      <w:r w:rsidRPr="00165923">
        <w:rPr>
          <w:rFonts w:cstheme="minorHAnsi"/>
        </w:rPr>
        <w:t>school leaders’ involvement in classroom observation, staff monitoring and subsequent provision of feedback is associated with better student performance (</w:t>
      </w:r>
      <w:r w:rsidRPr="00165923">
        <w:rPr>
          <w:rFonts w:cstheme="minorHAnsi"/>
          <w:bCs/>
          <w:iCs/>
        </w:rPr>
        <w:t>Wallace Foundation, 2013)</w:t>
      </w:r>
      <w:r w:rsidRPr="00165923">
        <w:rPr>
          <w:rFonts w:cstheme="minorHAnsi"/>
        </w:rPr>
        <w:t xml:space="preserve">. Direct involvement in the support and evaluation of teaching through regular classroom visits and the provision of formative and summative feedback to teachers is found to have a moderately large effect on pupil’s learning (Robinson 2007). </w:t>
      </w:r>
      <w:r w:rsidRPr="00165923">
        <w:rPr>
          <w:rFonts w:cstheme="minorHAnsi"/>
          <w:bCs/>
          <w:iCs/>
        </w:rPr>
        <w:t>Wallace Foundation (2013)</w:t>
      </w:r>
      <w:r w:rsidRPr="00165923">
        <w:rPr>
          <w:rFonts w:cstheme="minorHAnsi"/>
        </w:rPr>
        <w:t xml:space="preserve"> highlights that high performing principles frequently and spontaneously observe the classroom instruction for short periods of time (around 20-60 observations a week). They make formative observations and give immediate feedback to teachers to improve their practice.</w:t>
      </w:r>
    </w:p>
    <w:tbl>
      <w:tblPr>
        <w:tblStyle w:val="MediumGrid1-Accent5"/>
        <w:tblW w:w="0" w:type="auto"/>
        <w:tblLook w:val="04A0" w:firstRow="1" w:lastRow="0" w:firstColumn="1" w:lastColumn="0" w:noHBand="0" w:noVBand="1"/>
        <w:tblDescription w:val="School leaders do not always have sufficient time and capacity to focus on this important responsibility. Policy makers need to address constraints limiting the capacity of school leaders to engage in meaningful teacher evaluation activities, including providing appropriate training."/>
      </w:tblPr>
      <w:tblGrid>
        <w:gridCol w:w="9242"/>
      </w:tblGrid>
      <w:tr w:rsidR="00AC362E" w:rsidRPr="00165923" w14:paraId="2EC69E24"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5B29339" w14:textId="77777777" w:rsidR="00AC362E" w:rsidRPr="00165923" w:rsidRDefault="00AC362E" w:rsidP="00ED0631">
            <w:pPr>
              <w:autoSpaceDE w:val="0"/>
              <w:autoSpaceDN w:val="0"/>
              <w:adjustRightInd w:val="0"/>
              <w:spacing w:before="60" w:after="60"/>
              <w:rPr>
                <w:rFonts w:cstheme="minorHAnsi"/>
                <w:i/>
              </w:rPr>
            </w:pPr>
            <w:r w:rsidRPr="00165923">
              <w:rPr>
                <w:rFonts w:cstheme="minorHAnsi"/>
                <w:i/>
              </w:rPr>
              <w:t>School leaders do not always have sufficient time and capacity to focus on this important responsibility. Policy makers need to address constraints limiting the capacity of school leaders to engage in meaningful teacher evaluation activities, including providing appropriate training.</w:t>
            </w:r>
          </w:p>
        </w:tc>
      </w:tr>
    </w:tbl>
    <w:p w14:paraId="14AD99E8" w14:textId="77777777" w:rsidR="00AC362E" w:rsidRPr="00165923" w:rsidRDefault="00AC362E" w:rsidP="00ED0631">
      <w:pPr>
        <w:autoSpaceDE w:val="0"/>
        <w:autoSpaceDN w:val="0"/>
        <w:adjustRightInd w:val="0"/>
        <w:spacing w:before="120"/>
        <w:rPr>
          <w:rFonts w:cstheme="minorHAnsi"/>
        </w:rPr>
      </w:pPr>
      <w:r w:rsidRPr="00165923">
        <w:rPr>
          <w:rFonts w:cstheme="minorHAnsi"/>
          <w:b/>
          <w:i/>
        </w:rPr>
        <w:t>Successful leaders plan</w:t>
      </w:r>
      <w:r w:rsidRPr="00165923">
        <w:rPr>
          <w:rFonts w:cstheme="minorHAnsi"/>
          <w:i/>
        </w:rPr>
        <w:t xml:space="preserve"> </w:t>
      </w:r>
      <w:r w:rsidRPr="00165923">
        <w:rPr>
          <w:rFonts w:cstheme="minorHAnsi"/>
          <w:b/>
          <w:bCs/>
          <w:i/>
          <w:iCs/>
        </w:rPr>
        <w:t>teacher professional development</w:t>
      </w:r>
      <w:r w:rsidRPr="00165923">
        <w:rPr>
          <w:rFonts w:cstheme="minorHAnsi"/>
          <w:bCs/>
          <w:i/>
          <w:iCs/>
        </w:rPr>
        <w:t xml:space="preserve">. </w:t>
      </w:r>
      <w:r w:rsidRPr="00165923">
        <w:rPr>
          <w:rFonts w:cstheme="minorHAnsi"/>
          <w:i/>
          <w:iCs/>
        </w:rPr>
        <w:t xml:space="preserve"> </w:t>
      </w:r>
      <w:r w:rsidRPr="00165923">
        <w:rPr>
          <w:rFonts w:cstheme="minorHAnsi"/>
        </w:rPr>
        <w:t>Providing, promoting and participating in teacher development that is relevant to the local school context and aligned both with overall school improvement goals and teachers’ needs is a key responsibility for school leaders. Robinson (2007) finds that promoting and participating in teacher learning and development (both formal and informal) has a large effect on pupil’s learning.</w:t>
      </w:r>
    </w:p>
    <w:p w14:paraId="62F6100D" w14:textId="77777777" w:rsidR="00AC362E" w:rsidRPr="00165923" w:rsidRDefault="00AC362E" w:rsidP="00ED0631">
      <w:pPr>
        <w:autoSpaceDE w:val="0"/>
        <w:autoSpaceDN w:val="0"/>
        <w:adjustRightInd w:val="0"/>
        <w:rPr>
          <w:rFonts w:cstheme="minorHAnsi"/>
        </w:rPr>
      </w:pPr>
      <w:r w:rsidRPr="00165923">
        <w:rPr>
          <w:rFonts w:cstheme="minorHAnsi"/>
          <w:b/>
          <w:i/>
        </w:rPr>
        <w:t xml:space="preserve">Good leaders orchestrate teamwork and </w:t>
      </w:r>
      <w:r w:rsidRPr="00165923">
        <w:rPr>
          <w:rFonts w:cstheme="minorHAnsi"/>
          <w:b/>
          <w:bCs/>
          <w:i/>
          <w:iCs/>
        </w:rPr>
        <w:t>collaborative work cultures</w:t>
      </w:r>
      <w:r w:rsidRPr="00165923">
        <w:rPr>
          <w:rFonts w:cstheme="minorHAnsi"/>
          <w:bCs/>
          <w:i/>
          <w:iCs/>
        </w:rPr>
        <w:t>.</w:t>
      </w:r>
      <w:r w:rsidRPr="00165923">
        <w:rPr>
          <w:rFonts w:cstheme="minorHAnsi"/>
          <w:i/>
          <w:iCs/>
        </w:rPr>
        <w:t xml:space="preserve"> </w:t>
      </w:r>
      <w:r w:rsidRPr="00165923">
        <w:rPr>
          <w:rFonts w:cstheme="minorHAnsi"/>
        </w:rPr>
        <w:t>Effective teaching in modern schools is collegial and transparent, cooperative and collaborative, and conducted in teams and larger professional learning communities. School leaders play a major role in developing a professional community of teachers who guide one another in improving instruction. Effective leaders promote teamwork</w:t>
      </w:r>
      <w:r w:rsidRPr="00165923">
        <w:rPr>
          <w:rFonts w:cstheme="minorHAnsi"/>
          <w:color w:val="000000"/>
        </w:rPr>
        <w:t xml:space="preserve"> and urge teachers to work with one another and with the administration on a variety of activities such as developing and align</w:t>
      </w:r>
      <w:r w:rsidRPr="00165923">
        <w:rPr>
          <w:rFonts w:cstheme="minorHAnsi"/>
          <w:color w:val="000000"/>
        </w:rPr>
        <w:softHyphen/>
        <w:t xml:space="preserve">ing curriculum, instructional practices, and assessments; problem solving; and participating in peer observations. They also </w:t>
      </w:r>
      <w:r w:rsidRPr="00165923">
        <w:rPr>
          <w:rFonts w:cstheme="minorHAnsi"/>
        </w:rPr>
        <w:t xml:space="preserve">encourage </w:t>
      </w:r>
      <w:r w:rsidRPr="00165923">
        <w:rPr>
          <w:rFonts w:cstheme="minorHAnsi"/>
        </w:rPr>
        <w:lastRenderedPageBreak/>
        <w:t>continuing professional learning and teachers skills building on their own. However</w:t>
      </w:r>
      <w:r w:rsidRPr="00165923">
        <w:rPr>
          <w:rFonts w:cstheme="minorHAnsi"/>
          <w:color w:val="000000"/>
        </w:rPr>
        <w:t xml:space="preserve"> in doing so successful leaders pay special attention to the allocation of school time not to make teachers workload heavier</w:t>
      </w:r>
      <w:r w:rsidRPr="00165923">
        <w:rPr>
          <w:rFonts w:cstheme="minorHAnsi"/>
        </w:rPr>
        <w:t xml:space="preserve">. </w:t>
      </w:r>
    </w:p>
    <w:p w14:paraId="14D2BA76" w14:textId="77777777" w:rsidR="00AC362E" w:rsidRPr="00165923" w:rsidRDefault="00AC362E" w:rsidP="00AE24CE">
      <w:pPr>
        <w:numPr>
          <w:ilvl w:val="0"/>
          <w:numId w:val="17"/>
        </w:numPr>
        <w:autoSpaceDE w:val="0"/>
        <w:autoSpaceDN w:val="0"/>
        <w:adjustRightInd w:val="0"/>
        <w:spacing w:after="0"/>
        <w:contextualSpacing/>
        <w:rPr>
          <w:rFonts w:cstheme="minorHAnsi"/>
          <w:u w:val="single"/>
        </w:rPr>
      </w:pPr>
      <w:r w:rsidRPr="00165923">
        <w:rPr>
          <w:rFonts w:cstheme="minorHAnsi"/>
          <w:u w:val="single"/>
        </w:rPr>
        <w:t>Developing a ‘learning organisation’ culture</w:t>
      </w:r>
    </w:p>
    <w:p w14:paraId="7347FE61" w14:textId="77777777" w:rsidR="00AC362E" w:rsidRPr="00257F87" w:rsidRDefault="00AC362E" w:rsidP="00ED0631">
      <w:pPr>
        <w:spacing w:before="120" w:after="0"/>
        <w:rPr>
          <w:rFonts w:asciiTheme="majorHAnsi" w:eastAsia="Times New Roman" w:hAnsiTheme="majorHAnsi" w:cstheme="majorHAnsi"/>
          <w:spacing w:val="-2"/>
          <w:lang w:eastAsia="en-AU"/>
        </w:rPr>
      </w:pPr>
      <w:r w:rsidRPr="00257F87">
        <w:rPr>
          <w:rFonts w:asciiTheme="majorHAnsi" w:eastAsia="Times New Roman" w:hAnsiTheme="majorHAnsi" w:cstheme="majorHAnsi"/>
          <w:spacing w:val="-2"/>
          <w:lang w:eastAsia="en-AU"/>
        </w:rPr>
        <w:t xml:space="preserve">A learning organisation is defined as a group of people pursuing common purposes (individual purposes as well) with a collective commitment to regularly weighing the value of those purposes, modifying them when that makes sense, and continuously developing more effective and efficient ways of accomplishing those purposes (Leithwood and Aitken, 1998). </w:t>
      </w:r>
    </w:p>
    <w:p w14:paraId="2BF6D450" w14:textId="77777777" w:rsidR="00AC362E" w:rsidRPr="00257F87" w:rsidRDefault="00AC362E" w:rsidP="00ED0631">
      <w:pPr>
        <w:autoSpaceDE w:val="0"/>
        <w:autoSpaceDN w:val="0"/>
        <w:adjustRightInd w:val="0"/>
        <w:spacing w:before="120"/>
        <w:rPr>
          <w:rFonts w:asciiTheme="majorHAnsi" w:hAnsiTheme="majorHAnsi" w:cstheme="majorHAnsi"/>
          <w:bCs/>
          <w:iCs/>
          <w:spacing w:val="-2"/>
        </w:rPr>
      </w:pPr>
      <w:r w:rsidRPr="00257F87">
        <w:rPr>
          <w:rFonts w:asciiTheme="majorHAnsi" w:hAnsiTheme="majorHAnsi" w:cstheme="majorHAnsi"/>
          <w:b/>
          <w:i/>
          <w:iCs/>
          <w:spacing w:val="-2"/>
        </w:rPr>
        <w:t xml:space="preserve">Successful leaders promote a positive school learning climate. </w:t>
      </w:r>
      <w:r w:rsidRPr="00257F87">
        <w:rPr>
          <w:rFonts w:asciiTheme="majorHAnsi" w:hAnsiTheme="majorHAnsi" w:cstheme="majorHAnsi"/>
          <w:bCs/>
          <w:iCs/>
          <w:spacing w:val="-2"/>
        </w:rPr>
        <w:t xml:space="preserve">Motivation and capacity building alone is not sufficient enough to achieve learning outcomes. Leaders need to create an enabling working environment </w:t>
      </w:r>
      <w:r w:rsidRPr="00257F87">
        <w:rPr>
          <w:rFonts w:asciiTheme="majorHAnsi" w:hAnsiTheme="majorHAnsi" w:cstheme="majorHAnsi"/>
          <w:spacing w:val="-2"/>
        </w:rPr>
        <w:t xml:space="preserve">and the conditions that are essential for </w:t>
      </w:r>
      <w:r w:rsidRPr="00257F87">
        <w:rPr>
          <w:rFonts w:asciiTheme="majorHAnsi" w:hAnsiTheme="majorHAnsi" w:cstheme="majorHAnsi"/>
          <w:bCs/>
          <w:iCs/>
          <w:spacing w:val="-2"/>
        </w:rPr>
        <w:t xml:space="preserve">effective application of teachers’ skills and knowledge. </w:t>
      </w:r>
      <w:r w:rsidRPr="00257F87">
        <w:rPr>
          <w:rFonts w:asciiTheme="majorHAnsi" w:hAnsiTheme="majorHAnsi" w:cstheme="majorHAnsi"/>
          <w:iCs/>
          <w:spacing w:val="-2"/>
        </w:rPr>
        <w:t>Leaders promote positive learning environments</w:t>
      </w:r>
      <w:r w:rsidRPr="00257F87">
        <w:rPr>
          <w:rFonts w:asciiTheme="majorHAnsi" w:hAnsiTheme="majorHAnsi" w:cstheme="majorHAnsi"/>
          <w:i/>
          <w:iCs/>
          <w:spacing w:val="-2"/>
        </w:rPr>
        <w:t xml:space="preserve"> </w:t>
      </w:r>
      <w:r w:rsidRPr="00257F87">
        <w:rPr>
          <w:rFonts w:asciiTheme="majorHAnsi" w:hAnsiTheme="majorHAnsi" w:cstheme="majorHAnsi"/>
          <w:spacing w:val="-2"/>
        </w:rPr>
        <w:t>by protecting teaching time, promoting professional development, maintaining high visibility, providing incentives for teachers, and providing incentives for learning.</w:t>
      </w:r>
      <w:r w:rsidRPr="00257F87">
        <w:rPr>
          <w:rFonts w:asciiTheme="majorHAnsi" w:hAnsiTheme="majorHAnsi" w:cstheme="majorHAnsi"/>
          <w:bCs/>
          <w:iCs/>
          <w:spacing w:val="-2"/>
        </w:rPr>
        <w:t xml:space="preserve"> </w:t>
      </w:r>
    </w:p>
    <w:p w14:paraId="373BCB51" w14:textId="77777777" w:rsidR="00AC362E" w:rsidRPr="00165923" w:rsidRDefault="00AC362E" w:rsidP="00ED0631">
      <w:pPr>
        <w:autoSpaceDE w:val="0"/>
        <w:autoSpaceDN w:val="0"/>
        <w:adjustRightInd w:val="0"/>
        <w:rPr>
          <w:rFonts w:cstheme="minorHAnsi"/>
          <w:color w:val="000000"/>
        </w:rPr>
      </w:pPr>
      <w:r w:rsidRPr="00165923">
        <w:rPr>
          <w:rFonts w:cstheme="minorHAnsi"/>
          <w:b/>
          <w:bCs/>
          <w:i/>
          <w:iCs/>
        </w:rPr>
        <w:t>Good leaders build collaborative cultures.</w:t>
      </w:r>
      <w:r w:rsidRPr="00165923">
        <w:rPr>
          <w:rFonts w:cstheme="minorHAnsi"/>
          <w:b/>
          <w:bCs/>
          <w:iCs/>
        </w:rPr>
        <w:t xml:space="preserve"> </w:t>
      </w:r>
      <w:r w:rsidRPr="00165923">
        <w:rPr>
          <w:rFonts w:cstheme="minorHAnsi"/>
          <w:bCs/>
          <w:iCs/>
        </w:rPr>
        <w:t xml:space="preserve">This requires creating a collaborative and achievement oriented work environment, </w:t>
      </w:r>
      <w:r w:rsidRPr="00165923">
        <w:rPr>
          <w:rFonts w:cstheme="minorHAnsi"/>
        </w:rPr>
        <w:t xml:space="preserve">combating teacher isolation, closed doors, negativism and teacher resistance. Successful leaders focus on building a sense of school community that is upbeat, welcoming and solution-oriented. They are aware that being trustworthy and building trust among others is important </w:t>
      </w:r>
      <w:r w:rsidRPr="00165923">
        <w:rPr>
          <w:rFonts w:cstheme="minorHAnsi"/>
          <w:bCs/>
          <w:iCs/>
        </w:rPr>
        <w:t xml:space="preserve">because people are likely to collaborate with people that they trust. </w:t>
      </w:r>
    </w:p>
    <w:p w14:paraId="0BF3BC7E" w14:textId="77777777" w:rsidR="00AC362E" w:rsidRPr="00165923" w:rsidRDefault="00AC362E" w:rsidP="00ED0631">
      <w:pPr>
        <w:autoSpaceDE w:val="0"/>
        <w:autoSpaceDN w:val="0"/>
        <w:adjustRightInd w:val="0"/>
        <w:rPr>
          <w:rFonts w:cstheme="minorHAnsi"/>
          <w:bCs/>
          <w:iCs/>
          <w:spacing w:val="-2"/>
        </w:rPr>
      </w:pPr>
      <w:r w:rsidRPr="00165923">
        <w:rPr>
          <w:rFonts w:cstheme="minorHAnsi"/>
          <w:b/>
          <w:bCs/>
          <w:i/>
          <w:iCs/>
          <w:spacing w:val="-2"/>
        </w:rPr>
        <w:t>Effective leaders distribute leadership.</w:t>
      </w:r>
      <w:r w:rsidRPr="00165923">
        <w:rPr>
          <w:rFonts w:cstheme="minorHAnsi"/>
          <w:b/>
          <w:bCs/>
          <w:iCs/>
          <w:spacing w:val="-2"/>
        </w:rPr>
        <w:t xml:space="preserve"> </w:t>
      </w:r>
      <w:r w:rsidRPr="00165923">
        <w:rPr>
          <w:rFonts w:cstheme="minorHAnsi"/>
          <w:bCs/>
          <w:iCs/>
          <w:spacing w:val="-2"/>
        </w:rPr>
        <w:t>They</w:t>
      </w:r>
      <w:r w:rsidRPr="00165923">
        <w:rPr>
          <w:rFonts w:cstheme="minorHAnsi"/>
          <w:b/>
          <w:bCs/>
          <w:iCs/>
          <w:spacing w:val="-2"/>
        </w:rPr>
        <w:t xml:space="preserve"> </w:t>
      </w:r>
      <w:r w:rsidRPr="00165923">
        <w:rPr>
          <w:rFonts w:cstheme="minorHAnsi"/>
          <w:spacing w:val="-2"/>
        </w:rPr>
        <w:t xml:space="preserve">cultivate leadership in others-so teachers and other adults realise their role in achieving the school vision. </w:t>
      </w:r>
      <w:r w:rsidRPr="00165923">
        <w:rPr>
          <w:rFonts w:cstheme="minorHAnsi"/>
          <w:bCs/>
          <w:iCs/>
          <w:spacing w:val="-2"/>
        </w:rPr>
        <w:t xml:space="preserve">Restructuring the organisation requires leaders to distribute leadership for selected tasks and increase teacher involvement in decision making. </w:t>
      </w:r>
    </w:p>
    <w:p w14:paraId="2092EDFD" w14:textId="77777777" w:rsidR="00AC362E" w:rsidRPr="00165923" w:rsidRDefault="00AC362E" w:rsidP="00ED0631">
      <w:pPr>
        <w:autoSpaceDE w:val="0"/>
        <w:autoSpaceDN w:val="0"/>
        <w:adjustRightInd w:val="0"/>
        <w:rPr>
          <w:rFonts w:cstheme="minorHAnsi"/>
          <w:spacing w:val="-2"/>
        </w:rPr>
      </w:pPr>
      <w:r w:rsidRPr="00165923">
        <w:rPr>
          <w:rFonts w:cstheme="minorHAnsi"/>
          <w:b/>
          <w:bCs/>
          <w:i/>
          <w:iCs/>
          <w:spacing w:val="-2"/>
        </w:rPr>
        <w:t>Good leaders build productive relationships with families and communities.</w:t>
      </w:r>
      <w:r w:rsidRPr="00165923">
        <w:rPr>
          <w:rFonts w:cstheme="minorHAnsi"/>
          <w:b/>
          <w:bCs/>
          <w:iCs/>
          <w:spacing w:val="-2"/>
        </w:rPr>
        <w:t xml:space="preserve"> </w:t>
      </w:r>
      <w:r w:rsidRPr="00165923">
        <w:rPr>
          <w:rFonts w:cstheme="minorHAnsi"/>
          <w:bCs/>
          <w:iCs/>
          <w:spacing w:val="-2"/>
        </w:rPr>
        <w:t>They adapt an approach that</w:t>
      </w:r>
      <w:r w:rsidRPr="00165923">
        <w:rPr>
          <w:rFonts w:cstheme="minorHAnsi"/>
          <w:spacing w:val="-2"/>
        </w:rPr>
        <w:t xml:space="preserve"> </w:t>
      </w:r>
      <w:r w:rsidRPr="00165923">
        <w:rPr>
          <w:rFonts w:cstheme="minorHAnsi"/>
          <w:bCs/>
          <w:iCs/>
          <w:spacing w:val="-2"/>
        </w:rPr>
        <w:t xml:space="preserve">shifts the attention from school staff to one which embraces the role for parent and close relationship with larger community. Many studies find that </w:t>
      </w:r>
      <w:r w:rsidRPr="00165923">
        <w:rPr>
          <w:rFonts w:cstheme="minorHAnsi"/>
          <w:spacing w:val="-2"/>
        </w:rPr>
        <w:t xml:space="preserve">leaders of the most successful schools in challenging circumstances engage with parents and the wider community (involving businesses, sports clubs, faith-based groups and community organisations) and they are also trusted by them. Good leaders establish a more proactive approach to inform parents regarding changes being made in school and the reasons behind them. Good leaders also develop/provide courses for teachers on establishing good relations with parents and managing difficult situations when they arise. </w:t>
      </w:r>
    </w:p>
    <w:p w14:paraId="3FC0CFF0" w14:textId="77777777" w:rsidR="00AC362E" w:rsidRPr="00165923" w:rsidRDefault="00AC362E" w:rsidP="00AE24CE">
      <w:pPr>
        <w:numPr>
          <w:ilvl w:val="0"/>
          <w:numId w:val="17"/>
        </w:numPr>
        <w:autoSpaceDE w:val="0"/>
        <w:autoSpaceDN w:val="0"/>
        <w:adjustRightInd w:val="0"/>
        <w:spacing w:before="100" w:beforeAutospacing="1" w:after="0" w:afterAutospacing="1"/>
        <w:contextualSpacing/>
        <w:rPr>
          <w:rFonts w:cstheme="minorHAnsi"/>
          <w:u w:val="single"/>
        </w:rPr>
      </w:pPr>
      <w:r w:rsidRPr="00165923">
        <w:rPr>
          <w:rFonts w:cstheme="minorHAnsi"/>
          <w:u w:val="single"/>
        </w:rPr>
        <w:t>Managing the teaching and learning program</w:t>
      </w:r>
    </w:p>
    <w:p w14:paraId="62F5F989" w14:textId="77777777" w:rsidR="00AC362E" w:rsidRPr="00165923" w:rsidRDefault="00AC362E" w:rsidP="00ED0631">
      <w:pPr>
        <w:autoSpaceDE w:val="0"/>
        <w:autoSpaceDN w:val="0"/>
        <w:adjustRightInd w:val="0"/>
        <w:rPr>
          <w:rFonts w:cstheme="minorHAnsi"/>
          <w:bCs/>
          <w:iCs/>
        </w:rPr>
      </w:pPr>
      <w:r w:rsidRPr="00165923">
        <w:rPr>
          <w:rFonts w:cstheme="minorHAnsi"/>
          <w:b/>
          <w:i/>
        </w:rPr>
        <w:t>Good leaders are involved in staff selection and recruitment.</w:t>
      </w:r>
      <w:r w:rsidRPr="00165923">
        <w:rPr>
          <w:rFonts w:cstheme="minorHAnsi"/>
        </w:rPr>
        <w:t xml:space="preserve"> Being able to select teaching staff is central to leader’s ability to establish a school culture and capacity conducive to better student learning. </w:t>
      </w:r>
      <w:r w:rsidRPr="00165923">
        <w:rPr>
          <w:rFonts w:cstheme="minorHAnsi"/>
          <w:bCs/>
          <w:iCs/>
        </w:rPr>
        <w:t>Finding teachers with the interest and capacity to further school’s efforts, recruiting and retaining them is a primary task of school leaders.</w:t>
      </w:r>
    </w:p>
    <w:p w14:paraId="1172E453" w14:textId="77777777" w:rsidR="00AC362E" w:rsidRPr="00165923" w:rsidRDefault="00AC362E" w:rsidP="00ED0631">
      <w:pPr>
        <w:autoSpaceDE w:val="0"/>
        <w:autoSpaceDN w:val="0"/>
        <w:adjustRightInd w:val="0"/>
        <w:rPr>
          <w:rFonts w:cstheme="minorHAnsi"/>
        </w:rPr>
      </w:pPr>
      <w:r w:rsidRPr="00165923">
        <w:rPr>
          <w:rFonts w:cstheme="minorHAnsi"/>
          <w:b/>
          <w:i/>
          <w:iCs/>
        </w:rPr>
        <w:t>Effective leaders coordinate the curriculum.</w:t>
      </w:r>
      <w:r w:rsidRPr="00165923">
        <w:rPr>
          <w:rFonts w:cstheme="minorHAnsi"/>
          <w:i/>
          <w:iCs/>
        </w:rPr>
        <w:t xml:space="preserve"> </w:t>
      </w:r>
      <w:r w:rsidRPr="00165923">
        <w:rPr>
          <w:rFonts w:cstheme="minorHAnsi"/>
          <w:iCs/>
        </w:rPr>
        <w:t>Leaders also perform the tasks related to providing instructional (teaching and learning) support which include</w:t>
      </w:r>
      <w:r w:rsidRPr="00165923">
        <w:rPr>
          <w:rFonts w:cstheme="minorHAnsi"/>
        </w:rPr>
        <w:t xml:space="preserve"> coordinating the curriculum and providing resources in support of curriculum, instruction and assessment activities. Leader’s direct oversight of curriculum through school-wide coordination across classes and year levels is found to have a moderately large effect on pupil’s learning (Robinson 2007).</w:t>
      </w:r>
    </w:p>
    <w:p w14:paraId="7FADF8AC" w14:textId="77777777" w:rsidR="00AC362E" w:rsidRPr="00165923" w:rsidRDefault="00AC362E" w:rsidP="00ED0631">
      <w:pPr>
        <w:autoSpaceDE w:val="0"/>
        <w:autoSpaceDN w:val="0"/>
        <w:adjustRightInd w:val="0"/>
        <w:rPr>
          <w:rFonts w:cstheme="minorHAnsi"/>
        </w:rPr>
      </w:pPr>
      <w:r w:rsidRPr="00165923">
        <w:rPr>
          <w:rFonts w:cstheme="minorHAnsi"/>
          <w:b/>
          <w:i/>
        </w:rPr>
        <w:t>Successful leaders manage teacher’s work load.</w:t>
      </w:r>
      <w:r w:rsidRPr="00165923">
        <w:rPr>
          <w:rFonts w:cstheme="minorHAnsi"/>
        </w:rPr>
        <w:t xml:space="preserve"> They </w:t>
      </w:r>
      <w:r w:rsidRPr="00165923">
        <w:rPr>
          <w:rFonts w:cstheme="minorHAnsi"/>
          <w:iCs/>
        </w:rPr>
        <w:t>manage to</w:t>
      </w:r>
      <w:r w:rsidRPr="00165923">
        <w:rPr>
          <w:rFonts w:cstheme="minorHAnsi"/>
        </w:rPr>
        <w:t xml:space="preserve"> </w:t>
      </w:r>
      <w:r w:rsidRPr="00165923">
        <w:rPr>
          <w:rFonts w:cstheme="minorHAnsi"/>
          <w:iCs/>
        </w:rPr>
        <w:t>prevent staff from being pulled in directions which distract them from achieving the goals of the program</w:t>
      </w:r>
      <w:r w:rsidRPr="00165923">
        <w:rPr>
          <w:rFonts w:cstheme="minorHAnsi"/>
          <w:i/>
          <w:iCs/>
        </w:rPr>
        <w:t>.</w:t>
      </w:r>
      <w:r w:rsidRPr="00165923">
        <w:rPr>
          <w:rFonts w:cstheme="minorHAnsi"/>
        </w:rPr>
        <w:t xml:space="preserve"> They protect teaching/learning time, reduce external pressures and interruptions and establish an orderly environment both in and around classrooms.</w:t>
      </w:r>
    </w:p>
    <w:p w14:paraId="5029EB59" w14:textId="77777777" w:rsidR="00AC362E" w:rsidRPr="00257F87" w:rsidRDefault="00AC362E" w:rsidP="00257F87">
      <w:pPr>
        <w:pStyle w:val="Heading2"/>
      </w:pPr>
      <w:bookmarkStart w:id="189" w:name="_Toc435788120"/>
      <w:r w:rsidRPr="00257F87">
        <w:t>What are the skills and core values of a successful leader?</w:t>
      </w:r>
      <w:bookmarkEnd w:id="189"/>
    </w:p>
    <w:p w14:paraId="7336A1C0" w14:textId="77777777" w:rsidR="00AC362E" w:rsidRPr="00165923" w:rsidRDefault="00AC362E" w:rsidP="00ED0631">
      <w:pPr>
        <w:spacing w:before="100" w:beforeAutospacing="1" w:after="100" w:afterAutospacing="1"/>
        <w:rPr>
          <w:rFonts w:cstheme="minorHAnsi"/>
          <w:lang w:eastAsia="en-AU"/>
        </w:rPr>
      </w:pPr>
      <w:r w:rsidRPr="00165923">
        <w:rPr>
          <w:rFonts w:cstheme="minorHAnsi"/>
          <w:b/>
          <w:lang w:eastAsia="en-AU"/>
        </w:rPr>
        <w:t>Skills:</w:t>
      </w:r>
      <w:r w:rsidRPr="00165923">
        <w:rPr>
          <w:rFonts w:cstheme="minorHAnsi"/>
          <w:lang w:eastAsia="en-AU"/>
        </w:rPr>
        <w:t xml:space="preserve"> According to Hallinger (2004), successful implementation of change requires a repertoire of skills associated with leadership. These are</w:t>
      </w:r>
    </w:p>
    <w:p w14:paraId="11E83C96" w14:textId="77777777" w:rsidR="00AC362E" w:rsidRPr="00165923" w:rsidRDefault="00AC362E" w:rsidP="00AE24CE">
      <w:pPr>
        <w:numPr>
          <w:ilvl w:val="0"/>
          <w:numId w:val="16"/>
        </w:numPr>
        <w:spacing w:before="200"/>
        <w:ind w:left="284" w:hanging="284"/>
        <w:rPr>
          <w:rFonts w:cstheme="minorHAnsi"/>
          <w:lang w:eastAsia="en-AU"/>
        </w:rPr>
      </w:pPr>
      <w:r w:rsidRPr="00165923">
        <w:rPr>
          <w:rFonts w:cstheme="minorHAnsi"/>
          <w:i/>
          <w:lang w:eastAsia="en-AU"/>
        </w:rPr>
        <w:t>Vision:</w:t>
      </w:r>
      <w:r w:rsidRPr="00165923">
        <w:rPr>
          <w:rFonts w:cstheme="minorHAnsi"/>
          <w:lang w:eastAsia="en-AU"/>
        </w:rPr>
        <w:t xml:space="preserve"> understanding educational trends and interpreting them in ways that makes sense for local practitioners</w:t>
      </w:r>
    </w:p>
    <w:p w14:paraId="15690775" w14:textId="77777777" w:rsidR="00AC362E" w:rsidRPr="00165923" w:rsidRDefault="00AC362E" w:rsidP="00AE24CE">
      <w:pPr>
        <w:numPr>
          <w:ilvl w:val="0"/>
          <w:numId w:val="16"/>
        </w:numPr>
        <w:spacing w:before="200"/>
        <w:ind w:left="284" w:hanging="284"/>
        <w:rPr>
          <w:rFonts w:cstheme="minorHAnsi"/>
          <w:lang w:eastAsia="en-AU"/>
        </w:rPr>
      </w:pPr>
      <w:r w:rsidRPr="00165923">
        <w:rPr>
          <w:rFonts w:cstheme="minorHAnsi"/>
          <w:i/>
          <w:lang w:eastAsia="en-AU"/>
        </w:rPr>
        <w:lastRenderedPageBreak/>
        <w:t>Motivational skills:</w:t>
      </w:r>
      <w:r w:rsidRPr="00165923">
        <w:rPr>
          <w:rFonts w:cstheme="minorHAnsi"/>
          <w:lang w:eastAsia="en-AU"/>
        </w:rPr>
        <w:t xml:space="preserve"> shaping a school culture that motivates and supports students and staff for life-long learning and change</w:t>
      </w:r>
    </w:p>
    <w:p w14:paraId="794FD97C" w14:textId="77777777" w:rsidR="00AC362E" w:rsidRPr="00165923" w:rsidRDefault="00AC362E" w:rsidP="00AE24CE">
      <w:pPr>
        <w:numPr>
          <w:ilvl w:val="0"/>
          <w:numId w:val="16"/>
        </w:numPr>
        <w:spacing w:before="200"/>
        <w:ind w:left="284" w:hanging="284"/>
        <w:rPr>
          <w:rFonts w:cstheme="minorHAnsi"/>
          <w:lang w:eastAsia="en-AU"/>
        </w:rPr>
      </w:pPr>
      <w:r w:rsidRPr="00165923">
        <w:rPr>
          <w:rFonts w:cstheme="minorHAnsi"/>
          <w:i/>
          <w:lang w:eastAsia="en-AU"/>
        </w:rPr>
        <w:t>Organising skills:</w:t>
      </w:r>
      <w:r w:rsidRPr="00165923">
        <w:rPr>
          <w:rFonts w:cstheme="minorHAnsi"/>
          <w:lang w:eastAsia="en-AU"/>
        </w:rPr>
        <w:t xml:space="preserve"> organising schools fiscal, educational and human resources to achieve its vision for new educational practices.</w:t>
      </w:r>
    </w:p>
    <w:p w14:paraId="07575CEA" w14:textId="77777777" w:rsidR="00AC362E" w:rsidRPr="00165923" w:rsidRDefault="00AC362E" w:rsidP="00ED0631">
      <w:pPr>
        <w:autoSpaceDE w:val="0"/>
        <w:autoSpaceDN w:val="0"/>
        <w:adjustRightInd w:val="0"/>
        <w:rPr>
          <w:rFonts w:cstheme="minorHAnsi"/>
          <w:color w:val="000000"/>
        </w:rPr>
      </w:pPr>
      <w:r w:rsidRPr="00165923">
        <w:rPr>
          <w:rFonts w:cstheme="minorHAnsi"/>
          <w:b/>
        </w:rPr>
        <w:t>Core Values:</w:t>
      </w:r>
      <w:r w:rsidRPr="00165923">
        <w:rPr>
          <w:rFonts w:cstheme="minorHAnsi"/>
        </w:rPr>
        <w:t xml:space="preserve"> </w:t>
      </w:r>
      <w:r w:rsidRPr="00165923">
        <w:rPr>
          <w:rFonts w:cstheme="minorHAnsi"/>
          <w:color w:val="000000"/>
        </w:rPr>
        <w:t>The study conducted by VSO International (2009) showed that the successful heads of school are value-led, people centred, achievement oriented, inwards and outwards facing, are able to manage a number of on-going tensions and dilemmas. They demonstrated care, equity, high expectations and achievement.</w:t>
      </w:r>
    </w:p>
    <w:p w14:paraId="3D944204" w14:textId="77777777" w:rsidR="00AC362E" w:rsidRPr="00165923" w:rsidRDefault="00AC362E" w:rsidP="00ED0631">
      <w:pPr>
        <w:autoSpaceDE w:val="0"/>
        <w:autoSpaceDN w:val="0"/>
        <w:adjustRightInd w:val="0"/>
        <w:rPr>
          <w:rFonts w:cstheme="minorHAnsi"/>
          <w:color w:val="000000"/>
        </w:rPr>
      </w:pPr>
      <w:r w:rsidRPr="00165923">
        <w:rPr>
          <w:rFonts w:cstheme="minorHAnsi"/>
          <w:color w:val="000000"/>
        </w:rPr>
        <w:t>Matthews (2009) focuses on identifying the general characteristics of outstanding head teachers as school leaders. The author finds that successful head teachers:</w:t>
      </w:r>
    </w:p>
    <w:p w14:paraId="7BB57874"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color w:val="000000"/>
        </w:rPr>
        <w:t xml:space="preserve">Have </w:t>
      </w:r>
      <w:r w:rsidRPr="00165923">
        <w:rPr>
          <w:rFonts w:cstheme="minorHAnsi"/>
          <w:bCs/>
        </w:rPr>
        <w:t>enthusiasm</w:t>
      </w:r>
      <w:r w:rsidRPr="00165923">
        <w:rPr>
          <w:rFonts w:cstheme="minorHAnsi"/>
        </w:rPr>
        <w:t>, associated with commitment, passion, hard work and energy.</w:t>
      </w:r>
    </w:p>
    <w:p w14:paraId="7BDAF4A5"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bCs/>
          <w:color w:val="000000"/>
        </w:rPr>
        <w:t>Are role models</w:t>
      </w:r>
      <w:r w:rsidRPr="00165923">
        <w:rPr>
          <w:rFonts w:cstheme="minorHAnsi"/>
          <w:color w:val="000000"/>
        </w:rPr>
        <w:t>, leading by example, especially in teaching.</w:t>
      </w:r>
      <w:r w:rsidRPr="00165923">
        <w:rPr>
          <w:rFonts w:cstheme="minorHAnsi"/>
          <w:bCs/>
        </w:rPr>
        <w:t xml:space="preserve"> </w:t>
      </w:r>
    </w:p>
    <w:p w14:paraId="19E85D8C"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bCs/>
        </w:rPr>
        <w:t>Have high expectations of staff and set high standards for quality teaching.</w:t>
      </w:r>
    </w:p>
    <w:p w14:paraId="0259843A"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bCs/>
          <w:color w:val="000000"/>
        </w:rPr>
        <w:t>Are motivating</w:t>
      </w:r>
      <w:r w:rsidRPr="00165923">
        <w:rPr>
          <w:rFonts w:cstheme="minorHAnsi"/>
          <w:color w:val="000000"/>
        </w:rPr>
        <w:t xml:space="preserve">, encouraging and trusting. They </w:t>
      </w:r>
      <w:r w:rsidRPr="00165923">
        <w:rPr>
          <w:rFonts w:cstheme="minorHAnsi"/>
          <w:bCs/>
          <w:color w:val="000000"/>
        </w:rPr>
        <w:t xml:space="preserve">show interest </w:t>
      </w:r>
      <w:r w:rsidRPr="00165923">
        <w:rPr>
          <w:rFonts w:cstheme="minorHAnsi"/>
          <w:color w:val="000000"/>
        </w:rPr>
        <w:t xml:space="preserve">and are generous with praise, encouragement and support for colleagues to do well. </w:t>
      </w:r>
    </w:p>
    <w:p w14:paraId="3F3259AC"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rPr>
      </w:pPr>
      <w:r w:rsidRPr="00165923">
        <w:rPr>
          <w:rFonts w:cstheme="minorHAnsi"/>
          <w:bCs/>
        </w:rPr>
        <w:t>Are determined and decisive but they don’t</w:t>
      </w:r>
      <w:r w:rsidRPr="00165923">
        <w:rPr>
          <w:rFonts w:cstheme="minorHAnsi"/>
        </w:rPr>
        <w:t xml:space="preserve"> deny the importance of consultation and distributed leadership.</w:t>
      </w:r>
    </w:p>
    <w:p w14:paraId="09A6E299"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bCs/>
          <w:color w:val="000000"/>
        </w:rPr>
        <w:t xml:space="preserve">Promote professional development </w:t>
      </w:r>
      <w:r w:rsidRPr="00165923">
        <w:rPr>
          <w:rFonts w:cstheme="minorHAnsi"/>
          <w:color w:val="000000"/>
        </w:rPr>
        <w:t xml:space="preserve">focused on teaching, learning and leadership. They provide </w:t>
      </w:r>
      <w:r w:rsidRPr="00165923">
        <w:rPr>
          <w:rFonts w:cstheme="minorHAnsi"/>
          <w:bCs/>
          <w:color w:val="000000"/>
        </w:rPr>
        <w:t>opportunities for</w:t>
      </w:r>
      <w:r w:rsidRPr="00165923">
        <w:rPr>
          <w:rFonts w:cstheme="minorHAnsi"/>
          <w:color w:val="000000"/>
        </w:rPr>
        <w:t xml:space="preserve"> teachers to undertake greater responsibility and undergo development programmes from the second year of teaching</w:t>
      </w:r>
    </w:p>
    <w:p w14:paraId="624FBA28"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rPr>
      </w:pPr>
      <w:r w:rsidRPr="00165923">
        <w:rPr>
          <w:rFonts w:cstheme="minorHAnsi"/>
          <w:bCs/>
        </w:rPr>
        <w:t xml:space="preserve">Have effective communication skills </w:t>
      </w:r>
      <w:r w:rsidRPr="00165923">
        <w:rPr>
          <w:rFonts w:cstheme="minorHAnsi"/>
        </w:rPr>
        <w:t>to imbue staff with confidence, relate to learners and manage day-to-day transactions, consultation and corporate decision making.</w:t>
      </w:r>
    </w:p>
    <w:p w14:paraId="27A581AD"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rPr>
        <w:t>Are entrepreneurial and look out for new ideas</w:t>
      </w:r>
      <w:r w:rsidRPr="00165923">
        <w:rPr>
          <w:rFonts w:cstheme="minorHAnsi"/>
          <w:color w:val="000000"/>
        </w:rPr>
        <w:t xml:space="preserve"> to keep abreast of change</w:t>
      </w:r>
      <w:r w:rsidRPr="00165923">
        <w:rPr>
          <w:rFonts w:cstheme="minorHAnsi"/>
        </w:rPr>
        <w:t xml:space="preserve">. They </w:t>
      </w:r>
      <w:r w:rsidRPr="00165923">
        <w:rPr>
          <w:rFonts w:cstheme="minorHAnsi"/>
          <w:color w:val="000000"/>
        </w:rPr>
        <w:t>allow students and staff to experiment</w:t>
      </w:r>
    </w:p>
    <w:p w14:paraId="136C87F7"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bCs/>
          <w:color w:val="000000"/>
        </w:rPr>
        <w:t xml:space="preserve">Are community-minded. They </w:t>
      </w:r>
      <w:r w:rsidRPr="00165923">
        <w:rPr>
          <w:rFonts w:cstheme="minorHAnsi"/>
          <w:color w:val="000000"/>
        </w:rPr>
        <w:t>involve, consult and engage with the local community</w:t>
      </w:r>
    </w:p>
    <w:p w14:paraId="45A8D876"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spacing w:val="-4"/>
        </w:rPr>
      </w:pPr>
      <w:r w:rsidRPr="00165923">
        <w:rPr>
          <w:rFonts w:cstheme="minorHAnsi"/>
          <w:bCs/>
          <w:spacing w:val="-4"/>
        </w:rPr>
        <w:t>Are approachable and accessible for instructional advice. They have the ability and readiness to listen.</w:t>
      </w:r>
    </w:p>
    <w:p w14:paraId="7984F683"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bCs/>
          <w:color w:val="000000"/>
        </w:rPr>
        <w:t xml:space="preserve">Know the names </w:t>
      </w:r>
      <w:r w:rsidRPr="00165923">
        <w:rPr>
          <w:rFonts w:cstheme="minorHAnsi"/>
          <w:color w:val="000000"/>
        </w:rPr>
        <w:t>of a very high proportion of learners. They value and respect students just like they value and respect teachers.</w:t>
      </w:r>
    </w:p>
    <w:p w14:paraId="7CF20303" w14:textId="77777777" w:rsidR="00AC362E" w:rsidRPr="00165923" w:rsidRDefault="00AC362E" w:rsidP="00257F87">
      <w:pPr>
        <w:pStyle w:val="Heading2"/>
      </w:pPr>
      <w:bookmarkStart w:id="190" w:name="_Toc435788121"/>
      <w:r w:rsidRPr="00165923">
        <w:t>What are the constraints for effective leadership?</w:t>
      </w:r>
      <w:bookmarkEnd w:id="190"/>
    </w:p>
    <w:p w14:paraId="6B6A7B01" w14:textId="77777777" w:rsidR="00AC362E" w:rsidRPr="00165923" w:rsidRDefault="00AC362E" w:rsidP="00ED0631">
      <w:pPr>
        <w:rPr>
          <w:rFonts w:cstheme="minorHAnsi"/>
        </w:rPr>
      </w:pPr>
      <w:r w:rsidRPr="00165923">
        <w:rPr>
          <w:rFonts w:cstheme="minorHAnsi"/>
        </w:rPr>
        <w:t>Some of the constraints for school leaders to perform their roles include:</w:t>
      </w:r>
    </w:p>
    <w:p w14:paraId="6EFDCB5F"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color w:val="000000"/>
        </w:rPr>
        <w:t>Large amount of administration to be completed and lack of admin staff to delegate to.</w:t>
      </w:r>
    </w:p>
    <w:p w14:paraId="196FFF03"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color w:val="000000"/>
        </w:rPr>
        <w:t>Lack of clarity about the roles and responsibilities of school leaders.</w:t>
      </w:r>
    </w:p>
    <w:p w14:paraId="7896E789"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color w:val="000000"/>
        </w:rPr>
        <w:t>Lack of autonomy in making decisions about the curriculum, teacher recruitment and development: School leaders are often accountable for learning outcomes for teachers and students. School leaders can only have an impact on student outcomes if they have sufficient autonomy to make important decisions about the curriculum and teacher recruitment and development and if their major areas of responsibility are focused on improving student learning.</w:t>
      </w:r>
    </w:p>
    <w:p w14:paraId="503D5D9E" w14:textId="77777777" w:rsidR="00AC362E" w:rsidRPr="00165923" w:rsidRDefault="00AC362E" w:rsidP="00AE24CE">
      <w:pPr>
        <w:numPr>
          <w:ilvl w:val="0"/>
          <w:numId w:val="16"/>
        </w:numPr>
        <w:autoSpaceDE w:val="0"/>
        <w:autoSpaceDN w:val="0"/>
        <w:adjustRightInd w:val="0"/>
        <w:spacing w:after="0"/>
        <w:ind w:left="284" w:hanging="284"/>
        <w:contextualSpacing/>
        <w:rPr>
          <w:rFonts w:cstheme="minorHAnsi"/>
          <w:color w:val="000000"/>
        </w:rPr>
      </w:pPr>
      <w:r w:rsidRPr="00165923">
        <w:rPr>
          <w:rFonts w:cstheme="minorHAnsi"/>
          <w:color w:val="000000"/>
        </w:rPr>
        <w:t>Lack of ownership for policy development and reform: Policy makers need to engage with school leaders in meaningful and continuous dialogue and consultation on policy development and formulation. School leaders who feel a sense of ownership of reform are more likely to engage their staff and students in implementing and sustaining change.</w:t>
      </w:r>
    </w:p>
    <w:p w14:paraId="5D3D5123" w14:textId="77777777" w:rsidR="00AC362E" w:rsidRDefault="00AC362E">
      <w:pPr>
        <w:rPr>
          <w:rFonts w:cstheme="minorHAnsi"/>
          <w:sz w:val="24"/>
          <w:szCs w:val="24"/>
        </w:rPr>
      </w:pPr>
      <w:r>
        <w:rPr>
          <w:rFonts w:cstheme="minorHAnsi"/>
          <w:sz w:val="24"/>
          <w:szCs w:val="24"/>
        </w:rPr>
        <w:br w:type="page"/>
      </w:r>
    </w:p>
    <w:tbl>
      <w:tblPr>
        <w:tblStyle w:val="MediumGrid1-Accent5"/>
        <w:tblW w:w="0" w:type="auto"/>
        <w:tblLook w:val="04A0" w:firstRow="1" w:lastRow="0" w:firstColumn="1" w:lastColumn="0" w:noHBand="0" w:noVBand="1"/>
        <w:tblCaption w:val="Recommendations to improve leader’s autonomy and accountability"/>
        <w:tblDescription w:val="-Clear and rigorous job requirements need to be created to detail what school leaders (principals/head teachers) need to know and do, and what knowledge, skills and behaviours they need to have to improve teaching and learning&#10;-Only well-trained candidates with the potential and desire to become effective leaders need to be hired. &#10;-A performance management system that is based on a leader’s job description (including clear objectives, roles and responsibilities) needs to be developed for school leaders to improve their accountability and increase their motivation and morale.&#10;-Principals need to be evaluated regularly, their behaviours need to be assessed and be given on-the-job support that they need (including professional development and mentoring, that responds to what the evaluations find for each individual)&#10;-More school budget need to be delegated to give school leaders greater control over their own finances.&#10;-The amount of bureaucracy that the school leaders have to deal with need to be minimised, to free up their time for teacher management and support.&#10;"/>
      </w:tblPr>
      <w:tblGrid>
        <w:gridCol w:w="9006"/>
      </w:tblGrid>
      <w:tr w:rsidR="00AC362E" w:rsidRPr="00165923" w14:paraId="39DD785D" w14:textId="77777777" w:rsidTr="00257F87">
        <w:trPr>
          <w:cnfStyle w:val="100000000000" w:firstRow="1" w:lastRow="0" w:firstColumn="0" w:lastColumn="0" w:oddVBand="0" w:evenVBand="0" w:oddHBand="0" w:evenHBand="0" w:firstRowFirstColumn="0" w:firstRowLastColumn="0" w:lastRowFirstColumn="0" w:lastRowLastColumn="0"/>
          <w:trHeight w:val="3808"/>
        </w:trPr>
        <w:tc>
          <w:tcPr>
            <w:cnfStyle w:val="001000000000" w:firstRow="0" w:lastRow="0" w:firstColumn="1" w:lastColumn="0" w:oddVBand="0" w:evenVBand="0" w:oddHBand="0" w:evenHBand="0" w:firstRowFirstColumn="0" w:firstRowLastColumn="0" w:lastRowFirstColumn="0" w:lastRowLastColumn="0"/>
            <w:tcW w:w="9006" w:type="dxa"/>
          </w:tcPr>
          <w:p w14:paraId="145E8448" w14:textId="77777777" w:rsidR="00AC362E" w:rsidRPr="00165923" w:rsidRDefault="00AC362E" w:rsidP="00ED0631">
            <w:pPr>
              <w:spacing w:before="120"/>
              <w:rPr>
                <w:rFonts w:cstheme="minorHAnsi"/>
              </w:rPr>
            </w:pPr>
            <w:r w:rsidRPr="00165923">
              <w:rPr>
                <w:rFonts w:cstheme="minorHAnsi"/>
              </w:rPr>
              <w:lastRenderedPageBreak/>
              <w:t>Recommendations to improve leader’s autonomy and accountability</w:t>
            </w:r>
          </w:p>
          <w:p w14:paraId="09058C76" w14:textId="77777777" w:rsidR="00AC362E" w:rsidRPr="00257F87" w:rsidRDefault="00AC362E" w:rsidP="00AE24CE">
            <w:pPr>
              <w:numPr>
                <w:ilvl w:val="0"/>
                <w:numId w:val="18"/>
              </w:numPr>
              <w:spacing w:line="276" w:lineRule="auto"/>
              <w:ind w:left="284" w:hanging="284"/>
              <w:contextualSpacing/>
              <w:rPr>
                <w:rFonts w:cstheme="minorHAnsi"/>
                <w:b w:val="0"/>
                <w:color w:val="000000"/>
              </w:rPr>
            </w:pPr>
            <w:r w:rsidRPr="00257F87">
              <w:rPr>
                <w:rFonts w:cstheme="minorHAnsi"/>
                <w:b w:val="0"/>
                <w:color w:val="000000"/>
              </w:rPr>
              <w:t>Clear and rigorous job requirements need to be created to detail what school leaders (principals/head teachers) need to know and do, and what knowledge, skills and behaviours they need to have to improve teaching and learning</w:t>
            </w:r>
          </w:p>
          <w:p w14:paraId="34EA373A" w14:textId="77777777" w:rsidR="00AC362E" w:rsidRPr="00257F87" w:rsidRDefault="00AC362E" w:rsidP="00AE24CE">
            <w:pPr>
              <w:numPr>
                <w:ilvl w:val="0"/>
                <w:numId w:val="18"/>
              </w:numPr>
              <w:spacing w:line="276" w:lineRule="auto"/>
              <w:ind w:left="284" w:hanging="284"/>
              <w:contextualSpacing/>
              <w:rPr>
                <w:rFonts w:cstheme="minorHAnsi"/>
                <w:b w:val="0"/>
                <w:color w:val="000000"/>
              </w:rPr>
            </w:pPr>
            <w:r w:rsidRPr="00257F87">
              <w:rPr>
                <w:rFonts w:cstheme="minorHAnsi"/>
                <w:b w:val="0"/>
                <w:color w:val="000000"/>
              </w:rPr>
              <w:t xml:space="preserve">Only well-trained candidates with the potential and desire to become effective leaders need to be hired. </w:t>
            </w:r>
          </w:p>
          <w:p w14:paraId="185573EE" w14:textId="77777777" w:rsidR="00AC362E" w:rsidRPr="00257F87" w:rsidRDefault="00AC362E" w:rsidP="00AE24CE">
            <w:pPr>
              <w:numPr>
                <w:ilvl w:val="0"/>
                <w:numId w:val="18"/>
              </w:numPr>
              <w:spacing w:before="100" w:beforeAutospacing="1" w:line="276" w:lineRule="auto"/>
              <w:ind w:left="284" w:hanging="284"/>
              <w:rPr>
                <w:rFonts w:cstheme="minorHAnsi"/>
                <w:b w:val="0"/>
                <w:lang w:eastAsia="en-AU"/>
              </w:rPr>
            </w:pPr>
            <w:r w:rsidRPr="00257F87">
              <w:rPr>
                <w:rFonts w:cstheme="minorHAnsi"/>
                <w:b w:val="0"/>
                <w:lang w:eastAsia="en-AU"/>
              </w:rPr>
              <w:t>A performance management system that is based on a leader’s job description (including clear objectives, roles and responsibilities) needs to be developed for school leaders to improve their accountability and increase their motivation and morale.</w:t>
            </w:r>
          </w:p>
          <w:p w14:paraId="214D2C5B" w14:textId="77777777" w:rsidR="00AC362E" w:rsidRPr="00257F87" w:rsidRDefault="00AC362E" w:rsidP="00AE24CE">
            <w:pPr>
              <w:numPr>
                <w:ilvl w:val="0"/>
                <w:numId w:val="18"/>
              </w:numPr>
              <w:spacing w:before="100" w:beforeAutospacing="1" w:line="276" w:lineRule="auto"/>
              <w:ind w:left="284" w:hanging="284"/>
              <w:rPr>
                <w:rFonts w:cstheme="minorHAnsi"/>
                <w:b w:val="0"/>
                <w:lang w:eastAsia="en-AU"/>
              </w:rPr>
            </w:pPr>
            <w:r w:rsidRPr="00257F87">
              <w:rPr>
                <w:rFonts w:cstheme="minorHAnsi"/>
                <w:b w:val="0"/>
                <w:color w:val="000000"/>
                <w:lang w:eastAsia="en-AU"/>
              </w:rPr>
              <w:t>Principals need to be evaluated regularly, their behaviours need to be assessed and be given on-the-job support that they need (including professional development and mentoring, that responds to what the evaluations find for each individual)</w:t>
            </w:r>
          </w:p>
          <w:p w14:paraId="28AB700F" w14:textId="77777777" w:rsidR="00AC362E" w:rsidRPr="00257F87" w:rsidRDefault="00AC362E" w:rsidP="00AE24CE">
            <w:pPr>
              <w:numPr>
                <w:ilvl w:val="0"/>
                <w:numId w:val="18"/>
              </w:numPr>
              <w:spacing w:before="100" w:beforeAutospacing="1" w:line="276" w:lineRule="auto"/>
              <w:ind w:left="284" w:hanging="284"/>
              <w:rPr>
                <w:rFonts w:cstheme="minorHAnsi"/>
                <w:b w:val="0"/>
                <w:lang w:eastAsia="en-AU"/>
              </w:rPr>
            </w:pPr>
            <w:r w:rsidRPr="00257F87">
              <w:rPr>
                <w:rFonts w:cstheme="minorHAnsi"/>
                <w:b w:val="0"/>
                <w:lang w:eastAsia="en-AU"/>
              </w:rPr>
              <w:t>More school budget need to be delegated to give school leaders greater control over their own finances.</w:t>
            </w:r>
          </w:p>
          <w:p w14:paraId="53F6B07C" w14:textId="77777777" w:rsidR="00AC362E" w:rsidRPr="00165923" w:rsidRDefault="00AC362E" w:rsidP="00AE24CE">
            <w:pPr>
              <w:numPr>
                <w:ilvl w:val="0"/>
                <w:numId w:val="18"/>
              </w:numPr>
              <w:spacing w:before="100" w:beforeAutospacing="1" w:line="276" w:lineRule="auto"/>
              <w:ind w:left="284" w:hanging="284"/>
              <w:rPr>
                <w:rFonts w:cstheme="minorHAnsi"/>
                <w:lang w:eastAsia="en-AU"/>
              </w:rPr>
            </w:pPr>
            <w:r w:rsidRPr="00257F87">
              <w:rPr>
                <w:rFonts w:cstheme="minorHAnsi"/>
                <w:b w:val="0"/>
                <w:lang w:eastAsia="en-AU"/>
              </w:rPr>
              <w:t>The amount of bureaucracy that the school leaders have to deal with need to be minimised, to free up their time for teacher management and support.</w:t>
            </w:r>
          </w:p>
        </w:tc>
      </w:tr>
    </w:tbl>
    <w:p w14:paraId="005F502C" w14:textId="77777777" w:rsidR="00AC362E" w:rsidRPr="00257F87" w:rsidRDefault="00AC362E" w:rsidP="00ED0631">
      <w:pPr>
        <w:rPr>
          <w:rFonts w:cstheme="minorHAnsi"/>
          <w:i/>
          <w:sz w:val="16"/>
          <w:szCs w:val="16"/>
        </w:rPr>
      </w:pPr>
      <w:r w:rsidRPr="00257F87">
        <w:rPr>
          <w:rFonts w:cstheme="minorHAnsi"/>
          <w:i/>
          <w:sz w:val="16"/>
          <w:szCs w:val="16"/>
        </w:rPr>
        <w:t>Source: (VSO, 2009; OECD, 2009)</w:t>
      </w:r>
    </w:p>
    <w:p w14:paraId="639346EE" w14:textId="77777777" w:rsidR="00AC362E" w:rsidRPr="00165923" w:rsidRDefault="00AC362E" w:rsidP="00257F87">
      <w:pPr>
        <w:pStyle w:val="Heading2"/>
      </w:pPr>
      <w:bookmarkStart w:id="191" w:name="_Toc435788122"/>
      <w:r w:rsidRPr="00165923">
        <w:t>References</w:t>
      </w:r>
      <w:bookmarkEnd w:id="191"/>
    </w:p>
    <w:p w14:paraId="2414F2FA" w14:textId="77777777" w:rsidR="00AC362E" w:rsidRPr="00165923" w:rsidRDefault="00AC362E" w:rsidP="00AE24CE">
      <w:pPr>
        <w:numPr>
          <w:ilvl w:val="0"/>
          <w:numId w:val="21"/>
        </w:numPr>
        <w:spacing w:before="80" w:after="80"/>
        <w:ind w:left="425" w:hanging="425"/>
        <w:rPr>
          <w:rFonts w:eastAsia="Times New Roman" w:cstheme="minorHAnsi"/>
        </w:rPr>
      </w:pPr>
      <w:r w:rsidRPr="00165923">
        <w:rPr>
          <w:rFonts w:eastAsia="Times New Roman" w:cstheme="minorHAnsi"/>
        </w:rPr>
        <w:t>Bajunid, I., A. (1996). Preliminary explorations of indigenous perspectives of educational management: The evolving Malaysian experience. Journal of Educational Administration, 3 (5), 50-73</w:t>
      </w:r>
    </w:p>
    <w:p w14:paraId="52BA32DE" w14:textId="77777777" w:rsidR="00AC362E" w:rsidRPr="00165923" w:rsidRDefault="00AC362E" w:rsidP="00AE24CE">
      <w:pPr>
        <w:numPr>
          <w:ilvl w:val="0"/>
          <w:numId w:val="21"/>
        </w:numPr>
        <w:spacing w:before="80" w:after="80"/>
        <w:ind w:left="425" w:hanging="425"/>
        <w:rPr>
          <w:rFonts w:cstheme="minorHAnsi"/>
          <w:b/>
        </w:rPr>
      </w:pPr>
      <w:r w:rsidRPr="00165923">
        <w:rPr>
          <w:rFonts w:cstheme="minorHAnsi"/>
        </w:rPr>
        <w:t xml:space="preserve">Barber, M., &amp; Mourshed, M., 2007. </w:t>
      </w:r>
      <w:r w:rsidRPr="00165923">
        <w:rPr>
          <w:rFonts w:cstheme="minorHAnsi"/>
          <w:i/>
          <w:iCs/>
        </w:rPr>
        <w:t>How the world's best-performing school systems come out on top</w:t>
      </w:r>
      <w:r w:rsidRPr="00165923">
        <w:rPr>
          <w:rFonts w:cstheme="minorHAnsi"/>
        </w:rPr>
        <w:t>. London: McKinsey and Company.</w:t>
      </w:r>
    </w:p>
    <w:p w14:paraId="4C3E4484" w14:textId="77777777" w:rsidR="00AC362E" w:rsidRPr="00165923" w:rsidRDefault="00AC362E" w:rsidP="00AE24CE">
      <w:pPr>
        <w:numPr>
          <w:ilvl w:val="0"/>
          <w:numId w:val="21"/>
        </w:numPr>
        <w:spacing w:before="80" w:after="80"/>
        <w:ind w:left="425" w:hanging="425"/>
        <w:rPr>
          <w:rFonts w:eastAsia="Times New Roman" w:cstheme="minorHAnsi"/>
        </w:rPr>
      </w:pPr>
      <w:r w:rsidRPr="00165923">
        <w:rPr>
          <w:rFonts w:eastAsia="Times New Roman" w:cstheme="minorHAnsi"/>
        </w:rPr>
        <w:t>Gopinathan, S. &amp; Kam, H. W., 2000, Educational change and development in Singapore. In T. Townsend &amp; Y.C. Cheng (EDS.), Educational change and development in the Asia Pacific: Challenges for the future (163-184). Lisse, Netherlands: Swets &amp; Zeitlinger.</w:t>
      </w:r>
    </w:p>
    <w:p w14:paraId="0BD75BF1" w14:textId="77777777" w:rsidR="00AC362E" w:rsidRPr="00165923" w:rsidRDefault="00AC362E" w:rsidP="00AE24CE">
      <w:pPr>
        <w:numPr>
          <w:ilvl w:val="0"/>
          <w:numId w:val="21"/>
        </w:numPr>
        <w:spacing w:before="80" w:after="80"/>
        <w:ind w:left="425" w:hanging="425"/>
        <w:rPr>
          <w:rFonts w:cstheme="minorHAnsi"/>
          <w:spacing w:val="-4"/>
        </w:rPr>
      </w:pPr>
      <w:r w:rsidRPr="00165923">
        <w:rPr>
          <w:rFonts w:cstheme="minorHAnsi"/>
          <w:spacing w:val="-4"/>
        </w:rPr>
        <w:t xml:space="preserve">Hallinger, P. &amp; Kantamara, P., 2000, </w:t>
      </w:r>
      <w:hyperlink r:id="rId66" w:history="1">
        <w:r w:rsidRPr="00165923">
          <w:rPr>
            <w:rFonts w:cstheme="minorHAnsi"/>
            <w:color w:val="0000FF"/>
            <w:spacing w:val="-4"/>
            <w:u w:val="single"/>
          </w:rPr>
          <w:t>Leading educational Change in Thailand: Opening a Window onto Leadership as a Cultural Process</w:t>
        </w:r>
      </w:hyperlink>
      <w:r w:rsidRPr="00165923">
        <w:rPr>
          <w:rFonts w:cstheme="minorHAnsi"/>
          <w:spacing w:val="-4"/>
        </w:rPr>
        <w:t>, School Leadership and Management, Vol 20, N.2, pp-189-205</w:t>
      </w:r>
    </w:p>
    <w:p w14:paraId="5FEED3D0" w14:textId="77777777" w:rsidR="00AC362E" w:rsidRPr="00165923" w:rsidRDefault="00AC362E" w:rsidP="00AE24CE">
      <w:pPr>
        <w:numPr>
          <w:ilvl w:val="0"/>
          <w:numId w:val="21"/>
        </w:numPr>
        <w:spacing w:before="80" w:after="80"/>
        <w:ind w:left="425" w:hanging="425"/>
        <w:rPr>
          <w:rFonts w:cstheme="minorHAnsi"/>
        </w:rPr>
      </w:pPr>
      <w:r w:rsidRPr="00165923">
        <w:rPr>
          <w:rFonts w:cstheme="minorHAnsi"/>
        </w:rPr>
        <w:t xml:space="preserve">Hallinger, P., 2003, </w:t>
      </w:r>
      <w:r w:rsidRPr="00165923">
        <w:rPr>
          <w:rFonts w:eastAsia="Times New Roman" w:cstheme="minorHAnsi"/>
        </w:rPr>
        <w:t>Leading Educational Change: reflections on the practice of instructional and transformational leadership. Cambridge Journal of Education. Vol. 33, No. 3, November 2003</w:t>
      </w:r>
    </w:p>
    <w:p w14:paraId="6840B34B" w14:textId="77777777" w:rsidR="00AC362E" w:rsidRPr="00165923" w:rsidRDefault="00AC362E" w:rsidP="00AE24CE">
      <w:pPr>
        <w:numPr>
          <w:ilvl w:val="0"/>
          <w:numId w:val="21"/>
        </w:numPr>
        <w:spacing w:before="80" w:after="80"/>
        <w:ind w:left="425" w:hanging="425"/>
        <w:rPr>
          <w:rFonts w:cstheme="minorHAnsi"/>
          <w:spacing w:val="-4"/>
        </w:rPr>
      </w:pPr>
      <w:r w:rsidRPr="00165923">
        <w:rPr>
          <w:rFonts w:cstheme="minorHAnsi"/>
          <w:spacing w:val="-4"/>
        </w:rPr>
        <w:t>Hallinger, P., 2004, Meeting the challenges of cultural leadership: The changing role of principles in Thailand’ in discourse: Studies in the cultural politics of education, Volume 25, Issue 1. London: Sage.</w:t>
      </w:r>
    </w:p>
    <w:p w14:paraId="152B3132" w14:textId="77777777" w:rsidR="00AC362E" w:rsidRPr="00165923" w:rsidRDefault="00AC362E" w:rsidP="00AE24CE">
      <w:pPr>
        <w:numPr>
          <w:ilvl w:val="0"/>
          <w:numId w:val="21"/>
        </w:numPr>
        <w:spacing w:before="80" w:after="80"/>
        <w:ind w:left="425" w:hanging="425"/>
        <w:rPr>
          <w:rFonts w:cstheme="minorHAnsi"/>
        </w:rPr>
      </w:pPr>
      <w:r w:rsidRPr="00165923">
        <w:rPr>
          <w:rFonts w:eastAsia="Times New Roman" w:cstheme="minorHAnsi"/>
          <w:lang w:eastAsia="en-AU"/>
        </w:rPr>
        <w:t>Leithwood, K., Leonard, L. and Sharratt, L. (1998). Conditions Fostering Organizational Learning in Schools. Educational Administration Quarterly. 34 (2), 243-276</w:t>
      </w:r>
    </w:p>
    <w:p w14:paraId="350B02B0" w14:textId="77777777" w:rsidR="00AC362E" w:rsidRPr="00165923" w:rsidRDefault="00AC362E" w:rsidP="00AE24CE">
      <w:pPr>
        <w:numPr>
          <w:ilvl w:val="0"/>
          <w:numId w:val="21"/>
        </w:numPr>
        <w:autoSpaceDE w:val="0"/>
        <w:autoSpaceDN w:val="0"/>
        <w:adjustRightInd w:val="0"/>
        <w:spacing w:before="80" w:after="80"/>
        <w:ind w:left="425" w:hanging="425"/>
        <w:rPr>
          <w:rFonts w:cstheme="minorHAnsi"/>
        </w:rPr>
      </w:pPr>
      <w:r w:rsidRPr="00165923">
        <w:rPr>
          <w:rFonts w:cstheme="minorHAnsi"/>
        </w:rPr>
        <w:t>Leithwood, K., Day, C., Sammons, P., 2006, Successful School Leadership: What It Is and How It Influences Pupil Learning</w:t>
      </w:r>
    </w:p>
    <w:p w14:paraId="0272E445" w14:textId="77777777" w:rsidR="00AC362E" w:rsidRPr="00165923" w:rsidRDefault="00AC362E" w:rsidP="00AE24CE">
      <w:pPr>
        <w:numPr>
          <w:ilvl w:val="0"/>
          <w:numId w:val="21"/>
        </w:numPr>
        <w:spacing w:before="80" w:after="80"/>
        <w:ind w:left="425" w:hanging="425"/>
        <w:rPr>
          <w:rFonts w:cstheme="minorHAnsi"/>
          <w:b/>
        </w:rPr>
      </w:pPr>
      <w:r w:rsidRPr="00165923">
        <w:rPr>
          <w:rFonts w:cstheme="minorHAnsi"/>
        </w:rPr>
        <w:t>Marzano, R. J., Waters, T., &amp; McNulty, B. A., 2005. School leadership that works: From research to results. Alexandria, VA: Association for Supervision and Curriculum Development</w:t>
      </w:r>
    </w:p>
    <w:p w14:paraId="0CABE5BD" w14:textId="77777777" w:rsidR="00AC362E" w:rsidRPr="00165923" w:rsidRDefault="00AC362E" w:rsidP="00AE24CE">
      <w:pPr>
        <w:numPr>
          <w:ilvl w:val="0"/>
          <w:numId w:val="21"/>
        </w:numPr>
        <w:autoSpaceDE w:val="0"/>
        <w:autoSpaceDN w:val="0"/>
        <w:adjustRightInd w:val="0"/>
        <w:spacing w:before="80" w:after="80"/>
        <w:ind w:left="425" w:hanging="425"/>
        <w:rPr>
          <w:rFonts w:cstheme="minorHAnsi"/>
        </w:rPr>
      </w:pPr>
      <w:r w:rsidRPr="00165923">
        <w:rPr>
          <w:rFonts w:cstheme="minorHAnsi"/>
        </w:rPr>
        <w:t>Matthews, P., 2009, How do school leaders successfully lead learning? Accessible at http://dera.ioe.ac.uk/254/</w:t>
      </w:r>
    </w:p>
    <w:p w14:paraId="39993FC1" w14:textId="77777777" w:rsidR="00AC362E" w:rsidRPr="00165923" w:rsidRDefault="00AC362E" w:rsidP="00AE24CE">
      <w:pPr>
        <w:numPr>
          <w:ilvl w:val="0"/>
          <w:numId w:val="21"/>
        </w:numPr>
        <w:autoSpaceDE w:val="0"/>
        <w:autoSpaceDN w:val="0"/>
        <w:adjustRightInd w:val="0"/>
        <w:spacing w:before="80" w:after="80"/>
        <w:ind w:left="425" w:hanging="425"/>
        <w:rPr>
          <w:rFonts w:cstheme="minorHAnsi"/>
        </w:rPr>
      </w:pPr>
      <w:r w:rsidRPr="00165923">
        <w:rPr>
          <w:rFonts w:cstheme="minorHAnsi"/>
        </w:rPr>
        <w:t>OECD, 2009, Improving School Leadership- The Tool Kit</w:t>
      </w:r>
    </w:p>
    <w:p w14:paraId="472FB382" w14:textId="77777777" w:rsidR="00AC362E" w:rsidRPr="00165923" w:rsidRDefault="00AC362E" w:rsidP="00AE24CE">
      <w:pPr>
        <w:numPr>
          <w:ilvl w:val="0"/>
          <w:numId w:val="21"/>
        </w:numPr>
        <w:spacing w:before="80" w:after="80"/>
        <w:ind w:left="425" w:hanging="425"/>
        <w:rPr>
          <w:rFonts w:cstheme="minorHAnsi"/>
          <w:spacing w:val="-4"/>
        </w:rPr>
      </w:pPr>
      <w:r w:rsidRPr="00165923">
        <w:rPr>
          <w:rFonts w:cstheme="minorHAnsi"/>
          <w:spacing w:val="-4"/>
        </w:rPr>
        <w:t xml:space="preserve">Robinson, V., 2007, The impact of leadership on student outcomes: Making sense of the evidence, Australian Council for Education Research, accessible at </w:t>
      </w:r>
      <w:hyperlink r:id="rId67" w:history="1">
        <w:r w:rsidRPr="00165923">
          <w:rPr>
            <w:rFonts w:cstheme="minorHAnsi"/>
            <w:color w:val="0000FF"/>
            <w:spacing w:val="-4"/>
            <w:u w:val="single"/>
          </w:rPr>
          <w:t>http://research.acer.edu.au/cgi/viewcontent.cgi?article=1006&amp;context=research_conference_2007</w:t>
        </w:r>
      </w:hyperlink>
    </w:p>
    <w:p w14:paraId="0C065C12" w14:textId="77777777" w:rsidR="00AC362E" w:rsidRPr="00165923" w:rsidRDefault="00AC362E" w:rsidP="00AE24CE">
      <w:pPr>
        <w:numPr>
          <w:ilvl w:val="0"/>
          <w:numId w:val="21"/>
        </w:numPr>
        <w:autoSpaceDE w:val="0"/>
        <w:autoSpaceDN w:val="0"/>
        <w:adjustRightInd w:val="0"/>
        <w:spacing w:before="80" w:after="80"/>
        <w:ind w:left="425" w:hanging="425"/>
        <w:rPr>
          <w:rFonts w:cstheme="minorHAnsi"/>
        </w:rPr>
      </w:pPr>
      <w:r w:rsidRPr="00165923">
        <w:rPr>
          <w:rFonts w:cstheme="minorHAnsi"/>
        </w:rPr>
        <w:t>Stein, N. B., 2012, The Role Elementary School Principals Supporting Teachers in the Instruction of Reading for English Language Learners</w:t>
      </w:r>
    </w:p>
    <w:p w14:paraId="6B06C9D8" w14:textId="77777777" w:rsidR="00AC362E" w:rsidRPr="00165923" w:rsidRDefault="00AC362E" w:rsidP="00AE24CE">
      <w:pPr>
        <w:numPr>
          <w:ilvl w:val="0"/>
          <w:numId w:val="21"/>
        </w:numPr>
        <w:autoSpaceDE w:val="0"/>
        <w:autoSpaceDN w:val="0"/>
        <w:adjustRightInd w:val="0"/>
        <w:spacing w:before="80" w:after="80"/>
        <w:ind w:left="425" w:hanging="425"/>
        <w:rPr>
          <w:rFonts w:cstheme="minorHAnsi"/>
        </w:rPr>
      </w:pPr>
      <w:r w:rsidRPr="00165923">
        <w:rPr>
          <w:rFonts w:cstheme="minorHAnsi"/>
        </w:rPr>
        <w:t>Wallace Foundation, 2013, The school principle as leader: Guiding schools to better teaching and learning</w:t>
      </w:r>
    </w:p>
    <w:p w14:paraId="7E7A6338" w14:textId="77777777" w:rsidR="00AC362E" w:rsidRPr="00165923" w:rsidRDefault="00AC362E" w:rsidP="00AE24CE">
      <w:pPr>
        <w:numPr>
          <w:ilvl w:val="0"/>
          <w:numId w:val="21"/>
        </w:numPr>
        <w:spacing w:before="80" w:after="80"/>
        <w:ind w:left="425" w:hanging="425"/>
        <w:rPr>
          <w:rFonts w:eastAsia="Times New Roman" w:cstheme="minorHAnsi"/>
        </w:rPr>
      </w:pPr>
      <w:r w:rsidRPr="00165923">
        <w:rPr>
          <w:rFonts w:eastAsia="Times New Roman" w:cstheme="minorHAnsi"/>
        </w:rPr>
        <w:lastRenderedPageBreak/>
        <w:t xml:space="preserve">Walker, A, Dimmock, C., &amp; Poon, A., 1998. Accounting for culture in the principalship: A case study of four Hong Kong Principals. Paper presented at the Annual meeting of the American Educational Research Association, San Diego: CA. April. </w:t>
      </w:r>
    </w:p>
    <w:p w14:paraId="383D5002" w14:textId="77777777" w:rsidR="00AC362E" w:rsidRPr="00165923" w:rsidRDefault="00AC362E" w:rsidP="00AE24CE">
      <w:pPr>
        <w:numPr>
          <w:ilvl w:val="0"/>
          <w:numId w:val="21"/>
        </w:numPr>
        <w:spacing w:before="80" w:after="80"/>
        <w:ind w:left="425" w:hanging="425"/>
        <w:rPr>
          <w:rFonts w:cstheme="minorHAnsi"/>
        </w:rPr>
      </w:pPr>
      <w:r w:rsidRPr="00165923">
        <w:rPr>
          <w:rFonts w:cstheme="minorHAnsi"/>
        </w:rPr>
        <w:t xml:space="preserve">Urwick, J &amp; Junaidu, S.U., 1991 The effects of school physical facilities on the processes of education: a qualitative study of Nigerian primary schools </w:t>
      </w:r>
      <w:r w:rsidRPr="00165923">
        <w:rPr>
          <w:rFonts w:cstheme="minorHAnsi"/>
          <w:bCs/>
        </w:rPr>
        <w:t>International Journal of Educational Development</w:t>
      </w:r>
      <w:r w:rsidRPr="00165923">
        <w:rPr>
          <w:rFonts w:cstheme="minorHAnsi"/>
        </w:rPr>
        <w:t xml:space="preserve"> 11,1,19-29</w:t>
      </w:r>
    </w:p>
    <w:p w14:paraId="23332F86" w14:textId="77777777" w:rsidR="00AC362E" w:rsidRPr="00165923" w:rsidRDefault="00AC362E" w:rsidP="00AE24CE">
      <w:pPr>
        <w:numPr>
          <w:ilvl w:val="0"/>
          <w:numId w:val="21"/>
        </w:numPr>
        <w:autoSpaceDE w:val="0"/>
        <w:autoSpaceDN w:val="0"/>
        <w:adjustRightInd w:val="0"/>
        <w:spacing w:before="80" w:after="80"/>
        <w:ind w:left="425" w:hanging="425"/>
        <w:rPr>
          <w:rFonts w:cstheme="minorHAnsi"/>
        </w:rPr>
      </w:pPr>
      <w:r w:rsidRPr="00165923">
        <w:rPr>
          <w:rFonts w:cstheme="minorHAnsi"/>
        </w:rPr>
        <w:t>VSO International, 2009, Valuing school leaders: An investigation into the constraints facing school leaders in their efforts to improve the quality of education in the Maldives</w:t>
      </w:r>
    </w:p>
    <w:p w14:paraId="7DB2F680" w14:textId="77777777" w:rsidR="00AC362E" w:rsidRPr="00257F87" w:rsidRDefault="00AC362E" w:rsidP="00257F87">
      <w:pPr>
        <w:pStyle w:val="Heading1"/>
        <w:ind w:left="0" w:firstLine="0"/>
      </w:pPr>
      <w:bookmarkStart w:id="192" w:name="_Toc435788123"/>
      <w:bookmarkStart w:id="193" w:name="_Toc461615797"/>
      <w:r w:rsidRPr="00257F87">
        <w:t>Research Question 2. What bilingual education models are most effective for teaching and learning of basic education students for whom English is a second language?</w:t>
      </w:r>
      <w:bookmarkEnd w:id="192"/>
      <w:bookmarkEnd w:id="193"/>
    </w:p>
    <w:p w14:paraId="55A79000" w14:textId="77777777" w:rsidR="00AC362E" w:rsidRPr="00165923" w:rsidRDefault="00AC362E" w:rsidP="00257F87">
      <w:pPr>
        <w:pStyle w:val="Heading2"/>
      </w:pPr>
      <w:bookmarkStart w:id="194" w:name="_Toc435788124"/>
      <w:bookmarkStart w:id="195" w:name="_Toc461615798"/>
      <w:r w:rsidRPr="00165923">
        <w:t>What is the definition of a bilingual education program?</w:t>
      </w:r>
      <w:bookmarkEnd w:id="194"/>
      <w:bookmarkEnd w:id="195"/>
    </w:p>
    <w:p w14:paraId="184C2173" w14:textId="77777777" w:rsidR="00AC362E" w:rsidRPr="00165923" w:rsidRDefault="00AC362E" w:rsidP="00ED0631">
      <w:pPr>
        <w:rPr>
          <w:rFonts w:cstheme="minorHAnsi"/>
        </w:rPr>
      </w:pPr>
      <w:r w:rsidRPr="00165923">
        <w:rPr>
          <w:rFonts w:cstheme="minorHAnsi"/>
        </w:rPr>
        <w:t>Bilingual education has been practiced in many forms, in many countries, for thousands of years. It is estimated that between 60 and 75 per cent of the world is bilingual, and bilingual education is a common educational approach used throughout the world. A classic definition of bilin</w:t>
      </w:r>
      <w:r w:rsidRPr="00165923">
        <w:rPr>
          <w:rFonts w:cstheme="minorHAnsi"/>
        </w:rPr>
        <w:softHyphen/>
        <w:t xml:space="preserve">gual education is the ‘instruction in two languages and the use of those two languages as mediums of instruction for any part, or all, of the school curriculum’ (Andersson, Boyer, &amp; Southwest Educational Development Laboratory, 1970). According to the definitions that appear in the literature, an education program needs to provide both content and delivery in two languages to be considered bilingual. </w:t>
      </w:r>
    </w:p>
    <w:p w14:paraId="3BABFD43" w14:textId="77777777" w:rsidR="00AC362E" w:rsidRPr="00165923" w:rsidRDefault="00AC362E" w:rsidP="00257F87">
      <w:pPr>
        <w:pStyle w:val="Heading2"/>
      </w:pPr>
      <w:bookmarkStart w:id="196" w:name="_Toc435788125"/>
      <w:bookmarkStart w:id="197" w:name="_Toc461615799"/>
      <w:r w:rsidRPr="00165923">
        <w:t>What are the different models used in bilingual education programs?</w:t>
      </w:r>
      <w:bookmarkEnd w:id="196"/>
      <w:bookmarkEnd w:id="197"/>
    </w:p>
    <w:p w14:paraId="501FCDED" w14:textId="77777777" w:rsidR="00AC362E" w:rsidRPr="00165923" w:rsidRDefault="00AC362E" w:rsidP="00ED0631">
      <w:pPr>
        <w:rPr>
          <w:rFonts w:cstheme="minorHAnsi"/>
          <w:color w:val="000000"/>
          <w:lang w:eastAsia="en-AU"/>
        </w:rPr>
      </w:pPr>
      <w:r w:rsidRPr="00165923">
        <w:rPr>
          <w:rFonts w:cstheme="minorHAnsi"/>
        </w:rPr>
        <w:t xml:space="preserve">Bilingual programs may be implemented in different ways and there may be different educational and linguistic goals in different countries. Various models of bilingual education were found in the literature however four of these immersion programs appear quite distinctly (see below).  </w:t>
      </w:r>
      <w:r w:rsidRPr="00165923">
        <w:rPr>
          <w:rFonts w:cstheme="minorHAnsi"/>
          <w:color w:val="000000"/>
          <w:lang w:eastAsia="en-AU"/>
        </w:rPr>
        <w:t>The approaches used in these models vary according to what the program intends to achieve.</w:t>
      </w:r>
    </w:p>
    <w:tbl>
      <w:tblPr>
        <w:tblStyle w:val="TableGrid1"/>
        <w:tblW w:w="0" w:type="auto"/>
        <w:tblLayout w:type="fixed"/>
        <w:tblLook w:val="04A0" w:firstRow="1" w:lastRow="0" w:firstColumn="1" w:lastColumn="0" w:noHBand="0" w:noVBand="1"/>
        <w:tblCaption w:val="the different models used in bilingual education programs"/>
        <w:tblDescription w:val="Models Aim &#10;1. Maintenance: The aim is bilingualism and biliteracy, albeit somewhat limited. The student’s L1 is maintained so that it can become the basis for L2 learning, but the L1 is not developed or extended. The student’s culture and identity is affirmed. &#10;2. Enrichment: The aim is bilingualism and biliteracy as well as extension of the minority language and culture into the community and nationally. &#10;3. Heritage: The aim is rejuvenation of an indigenous language. The aim is usually bilingualism and biliteracy, although the heritage language can take priority. &#10;4. Transitional: The aim is monolingualism. Instruction in the student’s L1 is temporary because the aim is to leave that behind and teach only using L2. The dominant culture and identity is affirmed. "/>
      </w:tblPr>
      <w:tblGrid>
        <w:gridCol w:w="2268"/>
        <w:gridCol w:w="6771"/>
      </w:tblGrid>
      <w:tr w:rsidR="00AC362E" w:rsidRPr="00165923" w14:paraId="24FD4F9A" w14:textId="77777777" w:rsidTr="00ED0631">
        <w:tc>
          <w:tcPr>
            <w:tcW w:w="2268" w:type="dxa"/>
          </w:tcPr>
          <w:p w14:paraId="6F2BEE16" w14:textId="77777777" w:rsidR="00AC362E" w:rsidRPr="00165923" w:rsidRDefault="00AC362E" w:rsidP="00ED0631">
            <w:pPr>
              <w:autoSpaceDE w:val="0"/>
              <w:autoSpaceDN w:val="0"/>
              <w:adjustRightInd w:val="0"/>
              <w:spacing w:line="241" w:lineRule="atLeast"/>
              <w:rPr>
                <w:rFonts w:cstheme="minorHAnsi"/>
                <w:b/>
                <w:color w:val="000000"/>
              </w:rPr>
            </w:pPr>
            <w:r w:rsidRPr="00165923">
              <w:rPr>
                <w:rFonts w:cstheme="minorHAnsi"/>
                <w:b/>
                <w:color w:val="000000"/>
              </w:rPr>
              <w:t>Models</w:t>
            </w:r>
          </w:p>
        </w:tc>
        <w:tc>
          <w:tcPr>
            <w:tcW w:w="6771" w:type="dxa"/>
          </w:tcPr>
          <w:p w14:paraId="0359BEE7" w14:textId="77777777" w:rsidR="00AC362E" w:rsidRPr="00165923" w:rsidRDefault="00AC362E" w:rsidP="00ED0631">
            <w:pPr>
              <w:autoSpaceDE w:val="0"/>
              <w:autoSpaceDN w:val="0"/>
              <w:adjustRightInd w:val="0"/>
              <w:spacing w:line="241" w:lineRule="atLeast"/>
              <w:rPr>
                <w:rFonts w:cstheme="minorHAnsi"/>
                <w:b/>
                <w:color w:val="000000"/>
              </w:rPr>
            </w:pPr>
            <w:r w:rsidRPr="00165923">
              <w:rPr>
                <w:rFonts w:cstheme="minorHAnsi"/>
                <w:b/>
                <w:color w:val="000000"/>
              </w:rPr>
              <w:t xml:space="preserve">Aim </w:t>
            </w:r>
          </w:p>
        </w:tc>
      </w:tr>
      <w:tr w:rsidR="00AC362E" w:rsidRPr="00165923" w14:paraId="68A5437C" w14:textId="77777777" w:rsidTr="00ED0631">
        <w:tc>
          <w:tcPr>
            <w:tcW w:w="2268" w:type="dxa"/>
          </w:tcPr>
          <w:p w14:paraId="24E39CD1" w14:textId="77777777" w:rsidR="00AC362E" w:rsidRPr="00165923" w:rsidRDefault="00AC362E" w:rsidP="00AE24CE">
            <w:pPr>
              <w:numPr>
                <w:ilvl w:val="0"/>
                <w:numId w:val="23"/>
              </w:numPr>
              <w:autoSpaceDE w:val="0"/>
              <w:autoSpaceDN w:val="0"/>
              <w:adjustRightInd w:val="0"/>
              <w:spacing w:line="241" w:lineRule="atLeast"/>
              <w:ind w:left="284" w:hanging="284"/>
              <w:rPr>
                <w:rFonts w:cstheme="minorHAnsi"/>
                <w:color w:val="000000"/>
              </w:rPr>
            </w:pPr>
            <w:r w:rsidRPr="00165923">
              <w:rPr>
                <w:rFonts w:cstheme="minorHAnsi"/>
                <w:color w:val="000000"/>
              </w:rPr>
              <w:t xml:space="preserve">Maintenance </w:t>
            </w:r>
          </w:p>
        </w:tc>
        <w:tc>
          <w:tcPr>
            <w:tcW w:w="6771" w:type="dxa"/>
          </w:tcPr>
          <w:p w14:paraId="4B03B78C" w14:textId="77777777" w:rsidR="00AC362E" w:rsidRPr="00165923" w:rsidRDefault="00AC362E" w:rsidP="00ED0631">
            <w:pPr>
              <w:autoSpaceDE w:val="0"/>
              <w:autoSpaceDN w:val="0"/>
              <w:adjustRightInd w:val="0"/>
              <w:spacing w:line="241" w:lineRule="atLeast"/>
              <w:rPr>
                <w:rFonts w:cstheme="minorHAnsi"/>
                <w:color w:val="000000"/>
              </w:rPr>
            </w:pPr>
            <w:r w:rsidRPr="00165923">
              <w:rPr>
                <w:rFonts w:cstheme="minorHAnsi"/>
                <w:color w:val="000000"/>
              </w:rPr>
              <w:t>The aim is bilingualism and biliteracy, albeit somewhat limited. The student’s L1 is maintained so that it can become the basis for L2 learning, but the L1 is not de</w:t>
            </w:r>
            <w:r w:rsidRPr="00165923">
              <w:rPr>
                <w:rFonts w:cstheme="minorHAnsi"/>
                <w:color w:val="000000"/>
              </w:rPr>
              <w:softHyphen/>
              <w:t xml:space="preserve">veloped or extended. The student’s culture and identity is affirmed. </w:t>
            </w:r>
          </w:p>
        </w:tc>
      </w:tr>
      <w:tr w:rsidR="00AC362E" w:rsidRPr="00165923" w14:paraId="029D910D" w14:textId="77777777" w:rsidTr="00ED0631">
        <w:tc>
          <w:tcPr>
            <w:tcW w:w="2268" w:type="dxa"/>
          </w:tcPr>
          <w:p w14:paraId="271ACCC8" w14:textId="77777777" w:rsidR="00AC362E" w:rsidRPr="00165923" w:rsidRDefault="00AC362E" w:rsidP="00AE24CE">
            <w:pPr>
              <w:numPr>
                <w:ilvl w:val="0"/>
                <w:numId w:val="23"/>
              </w:numPr>
              <w:autoSpaceDE w:val="0"/>
              <w:autoSpaceDN w:val="0"/>
              <w:adjustRightInd w:val="0"/>
              <w:spacing w:line="241" w:lineRule="atLeast"/>
              <w:ind w:left="284" w:hanging="284"/>
              <w:rPr>
                <w:rFonts w:cstheme="minorHAnsi"/>
                <w:color w:val="000000"/>
              </w:rPr>
            </w:pPr>
            <w:r w:rsidRPr="00165923">
              <w:rPr>
                <w:rFonts w:cstheme="minorHAnsi"/>
                <w:color w:val="000000"/>
              </w:rPr>
              <w:t xml:space="preserve">Enrichment </w:t>
            </w:r>
          </w:p>
        </w:tc>
        <w:tc>
          <w:tcPr>
            <w:tcW w:w="6771" w:type="dxa"/>
          </w:tcPr>
          <w:p w14:paraId="4A2EDB3D" w14:textId="77777777" w:rsidR="00AC362E" w:rsidRPr="00165923" w:rsidRDefault="00AC362E" w:rsidP="00ED0631">
            <w:pPr>
              <w:autoSpaceDE w:val="0"/>
              <w:autoSpaceDN w:val="0"/>
              <w:adjustRightInd w:val="0"/>
              <w:spacing w:line="241" w:lineRule="atLeast"/>
              <w:rPr>
                <w:rFonts w:cstheme="minorHAnsi"/>
                <w:color w:val="000000"/>
              </w:rPr>
            </w:pPr>
            <w:r w:rsidRPr="00165923">
              <w:rPr>
                <w:rFonts w:cstheme="minorHAnsi"/>
                <w:color w:val="000000"/>
              </w:rPr>
              <w:t xml:space="preserve">The aim is bilingualism and biliteracy as well as extension of the minority language and culture into the community and nationally. </w:t>
            </w:r>
          </w:p>
        </w:tc>
      </w:tr>
      <w:tr w:rsidR="00AC362E" w:rsidRPr="00165923" w14:paraId="6281FE8D" w14:textId="77777777" w:rsidTr="00ED0631">
        <w:tc>
          <w:tcPr>
            <w:tcW w:w="2268" w:type="dxa"/>
          </w:tcPr>
          <w:p w14:paraId="71D243AF" w14:textId="77777777" w:rsidR="00AC362E" w:rsidRPr="00165923" w:rsidRDefault="00AC362E" w:rsidP="00AE24CE">
            <w:pPr>
              <w:numPr>
                <w:ilvl w:val="0"/>
                <w:numId w:val="23"/>
              </w:numPr>
              <w:autoSpaceDE w:val="0"/>
              <w:autoSpaceDN w:val="0"/>
              <w:adjustRightInd w:val="0"/>
              <w:spacing w:line="241" w:lineRule="atLeast"/>
              <w:ind w:left="284" w:hanging="284"/>
              <w:rPr>
                <w:rFonts w:cstheme="minorHAnsi"/>
                <w:color w:val="000000"/>
              </w:rPr>
            </w:pPr>
            <w:r w:rsidRPr="00165923">
              <w:rPr>
                <w:rFonts w:cstheme="minorHAnsi"/>
                <w:color w:val="000000"/>
              </w:rPr>
              <w:t xml:space="preserve">Heritage </w:t>
            </w:r>
          </w:p>
        </w:tc>
        <w:tc>
          <w:tcPr>
            <w:tcW w:w="6771" w:type="dxa"/>
          </w:tcPr>
          <w:p w14:paraId="2A7B97F9" w14:textId="77777777" w:rsidR="00AC362E" w:rsidRPr="00165923" w:rsidRDefault="00AC362E" w:rsidP="00ED0631">
            <w:pPr>
              <w:autoSpaceDE w:val="0"/>
              <w:autoSpaceDN w:val="0"/>
              <w:adjustRightInd w:val="0"/>
              <w:spacing w:line="241" w:lineRule="atLeast"/>
              <w:rPr>
                <w:rFonts w:cstheme="minorHAnsi"/>
                <w:color w:val="000000"/>
              </w:rPr>
            </w:pPr>
            <w:r w:rsidRPr="00165923">
              <w:rPr>
                <w:rFonts w:cstheme="minorHAnsi"/>
                <w:color w:val="000000"/>
              </w:rPr>
              <w:t>The aim is rejuvenation of an indigenous language. The aim is usually bilingual</w:t>
            </w:r>
            <w:r w:rsidRPr="00165923">
              <w:rPr>
                <w:rFonts w:cstheme="minorHAnsi"/>
                <w:color w:val="000000"/>
              </w:rPr>
              <w:softHyphen/>
              <w:t xml:space="preserve">ism and biliteracy, although the heritage language can take priority. </w:t>
            </w:r>
          </w:p>
        </w:tc>
      </w:tr>
      <w:tr w:rsidR="00AC362E" w:rsidRPr="00165923" w14:paraId="1BAA83D7" w14:textId="77777777" w:rsidTr="00ED0631">
        <w:tc>
          <w:tcPr>
            <w:tcW w:w="2268" w:type="dxa"/>
          </w:tcPr>
          <w:p w14:paraId="300F51EC" w14:textId="77777777" w:rsidR="00AC362E" w:rsidRPr="00165923" w:rsidRDefault="00AC362E" w:rsidP="00AE24CE">
            <w:pPr>
              <w:numPr>
                <w:ilvl w:val="0"/>
                <w:numId w:val="23"/>
              </w:numPr>
              <w:autoSpaceDE w:val="0"/>
              <w:autoSpaceDN w:val="0"/>
              <w:adjustRightInd w:val="0"/>
              <w:spacing w:line="241" w:lineRule="atLeast"/>
              <w:ind w:left="284" w:hanging="284"/>
              <w:rPr>
                <w:rFonts w:cstheme="minorHAnsi"/>
                <w:color w:val="000000"/>
              </w:rPr>
            </w:pPr>
            <w:r w:rsidRPr="00165923">
              <w:rPr>
                <w:rFonts w:cstheme="minorHAnsi"/>
                <w:color w:val="000000"/>
              </w:rPr>
              <w:t xml:space="preserve">Transitional </w:t>
            </w:r>
          </w:p>
        </w:tc>
        <w:tc>
          <w:tcPr>
            <w:tcW w:w="6771" w:type="dxa"/>
          </w:tcPr>
          <w:p w14:paraId="56C69763" w14:textId="77777777" w:rsidR="00AC362E" w:rsidRPr="00165923" w:rsidRDefault="00AC362E" w:rsidP="00ED0631">
            <w:pPr>
              <w:autoSpaceDE w:val="0"/>
              <w:autoSpaceDN w:val="0"/>
              <w:adjustRightInd w:val="0"/>
              <w:spacing w:line="241" w:lineRule="atLeast"/>
              <w:rPr>
                <w:rFonts w:cstheme="minorHAnsi"/>
                <w:color w:val="000000"/>
              </w:rPr>
            </w:pPr>
            <w:r w:rsidRPr="00165923">
              <w:rPr>
                <w:rFonts w:cstheme="minorHAnsi"/>
                <w:color w:val="000000"/>
              </w:rPr>
              <w:t xml:space="preserve">The aim is monolingualism. Instruction in the student’s L1 is temporary because the aim is to leave that behind and teach only using L2. The dominant culture and identity is affirmed. </w:t>
            </w:r>
          </w:p>
        </w:tc>
      </w:tr>
    </w:tbl>
    <w:p w14:paraId="77907E88" w14:textId="14A334CE" w:rsidR="00AC362E" w:rsidRPr="00165923" w:rsidRDefault="00AC362E" w:rsidP="00ED0631">
      <w:pPr>
        <w:rPr>
          <w:rFonts w:cstheme="minorHAnsi"/>
          <w:color w:val="000000"/>
          <w:lang w:eastAsia="en-AU"/>
        </w:rPr>
      </w:pPr>
      <w:r w:rsidRPr="00165923">
        <w:rPr>
          <w:rFonts w:cstheme="minorHAnsi"/>
          <w:color w:val="000000"/>
          <w:lang w:eastAsia="en-AU"/>
        </w:rPr>
        <w:t xml:space="preserve">Source: </w:t>
      </w:r>
      <w:r w:rsidRPr="00165923">
        <w:rPr>
          <w:rFonts w:cstheme="minorHAnsi"/>
        </w:rPr>
        <w:t>Pacific Policy Research C</w:t>
      </w:r>
      <w:r w:rsidR="00510F8B">
        <w:rPr>
          <w:rFonts w:cstheme="minorHAnsi"/>
        </w:rPr>
        <w:t>entre, 2010; Devette-Chee, 2014</w:t>
      </w:r>
    </w:p>
    <w:p w14:paraId="7D5326C8" w14:textId="77777777" w:rsidR="00AC362E" w:rsidRPr="00257F87" w:rsidRDefault="00AC362E" w:rsidP="00ED0631">
      <w:pPr>
        <w:rPr>
          <w:rFonts w:asciiTheme="majorHAnsi" w:eastAsia="Times New Roman" w:hAnsiTheme="majorHAnsi" w:cstheme="majorHAnsi"/>
          <w:color w:val="000000"/>
          <w:lang w:eastAsia="en-AU"/>
        </w:rPr>
      </w:pPr>
      <w:r w:rsidRPr="00257F87">
        <w:rPr>
          <w:rFonts w:asciiTheme="majorHAnsi" w:hAnsiTheme="majorHAnsi" w:cstheme="majorHAnsi"/>
          <w:color w:val="000000"/>
          <w:lang w:eastAsia="en-AU"/>
        </w:rPr>
        <w:t xml:space="preserve">The model applied in Kiribati is the ‘Maintenance model’ </w:t>
      </w:r>
      <w:r w:rsidRPr="00257F87">
        <w:rPr>
          <w:rFonts w:asciiTheme="majorHAnsi" w:hAnsiTheme="majorHAnsi" w:cstheme="majorHAnsi"/>
          <w:lang w:eastAsia="en-AU"/>
        </w:rPr>
        <w:t xml:space="preserve">where the aim is bilingualism and biliteracy and </w:t>
      </w:r>
      <w:r w:rsidRPr="00257F87">
        <w:rPr>
          <w:rFonts w:asciiTheme="majorHAnsi" w:eastAsia="Times New Roman" w:hAnsiTheme="majorHAnsi" w:cstheme="majorHAnsi"/>
          <w:color w:val="000000"/>
          <w:lang w:eastAsia="en-AU"/>
        </w:rPr>
        <w:t xml:space="preserve">the goal is to preserve and enhance students' skills in the mother tongue (L1) while they acquire a second language (L2). In this model </w:t>
      </w:r>
      <w:r w:rsidRPr="00257F87">
        <w:rPr>
          <w:rFonts w:asciiTheme="majorHAnsi" w:hAnsiTheme="majorHAnsi" w:cstheme="majorHAnsi"/>
          <w:color w:val="000000"/>
          <w:lang w:eastAsia="en-AU"/>
        </w:rPr>
        <w:t>student’s culture and identity is affirmed and their L1 is maintained so that it can become the basis for L2 learning</w:t>
      </w:r>
      <w:r w:rsidRPr="00257F87">
        <w:rPr>
          <w:rFonts w:asciiTheme="majorHAnsi" w:eastAsia="Times New Roman" w:hAnsiTheme="majorHAnsi" w:cstheme="majorHAnsi"/>
          <w:color w:val="000000"/>
          <w:lang w:eastAsia="en-AU"/>
        </w:rPr>
        <w:t xml:space="preserve">.  </w:t>
      </w:r>
    </w:p>
    <w:p w14:paraId="7A03BEC3" w14:textId="77777777" w:rsidR="00AC362E" w:rsidRPr="00257F87" w:rsidRDefault="00AC362E" w:rsidP="00ED0631">
      <w:pPr>
        <w:rPr>
          <w:rFonts w:asciiTheme="majorHAnsi" w:hAnsiTheme="majorHAnsi" w:cstheme="majorHAnsi"/>
        </w:rPr>
      </w:pPr>
      <w:r w:rsidRPr="00257F87">
        <w:rPr>
          <w:rFonts w:asciiTheme="majorHAnsi" w:eastAsia="Times New Roman" w:hAnsiTheme="majorHAnsi" w:cstheme="majorHAnsi"/>
          <w:color w:val="000000"/>
          <w:lang w:eastAsia="en-AU"/>
        </w:rPr>
        <w:t xml:space="preserve">Enrichment model also aims for </w:t>
      </w:r>
      <w:r w:rsidRPr="00257F87">
        <w:rPr>
          <w:rFonts w:asciiTheme="majorHAnsi" w:hAnsiTheme="majorHAnsi" w:cstheme="majorHAnsi"/>
          <w:color w:val="000000"/>
        </w:rPr>
        <w:t xml:space="preserve">bilingualism and biliteracy but the model’s particular intention is to extend the minority language and culture into the community and nationally. For example, </w:t>
      </w:r>
      <w:r w:rsidRPr="00257F87">
        <w:rPr>
          <w:rFonts w:asciiTheme="majorHAnsi" w:hAnsiTheme="majorHAnsi" w:cstheme="majorHAnsi"/>
        </w:rPr>
        <w:t>in Canada, enrichment education programs are designed for native speakers of the majority language (English) to become proficient in a minority language (French).</w:t>
      </w:r>
    </w:p>
    <w:p w14:paraId="7CBA45A2" w14:textId="77777777" w:rsidR="00AC362E" w:rsidRPr="00257F87" w:rsidRDefault="00AC362E" w:rsidP="00ED0631">
      <w:pPr>
        <w:rPr>
          <w:rFonts w:asciiTheme="majorHAnsi" w:hAnsiTheme="majorHAnsi" w:cstheme="majorHAnsi"/>
        </w:rPr>
      </w:pPr>
      <w:r w:rsidRPr="00257F87">
        <w:rPr>
          <w:rFonts w:asciiTheme="majorHAnsi" w:hAnsiTheme="majorHAnsi" w:cstheme="majorHAnsi"/>
          <w:color w:val="000000"/>
          <w:lang w:eastAsia="en-AU"/>
        </w:rPr>
        <w:lastRenderedPageBreak/>
        <w:t>Heritage model on the other hand fundamentally intends to rejuvenate an indigenous language.</w:t>
      </w:r>
      <w:r w:rsidRPr="00257F87">
        <w:rPr>
          <w:rFonts w:asciiTheme="majorHAnsi" w:hAnsiTheme="majorHAnsi" w:cstheme="majorHAnsi"/>
        </w:rPr>
        <w:t xml:space="preserve"> The heritage-language programs (examples of which are common in the United States) are implemented to assist native speakers of indigenous and immigrant languages become proficient in English. </w:t>
      </w:r>
    </w:p>
    <w:p w14:paraId="110E4F5E" w14:textId="77777777" w:rsidR="00AC362E" w:rsidRPr="00257F87" w:rsidRDefault="00AC362E" w:rsidP="00ED0631">
      <w:pPr>
        <w:rPr>
          <w:rFonts w:asciiTheme="majorHAnsi" w:hAnsiTheme="majorHAnsi" w:cstheme="majorHAnsi"/>
        </w:rPr>
      </w:pPr>
      <w:r w:rsidRPr="00257F87">
        <w:rPr>
          <w:rFonts w:asciiTheme="majorHAnsi" w:hAnsiTheme="majorHAnsi" w:cstheme="majorHAnsi"/>
        </w:rPr>
        <w:t xml:space="preserve">Transitional model differs from the other three models substantially as the aim of this model is </w:t>
      </w:r>
      <w:r w:rsidRPr="00257F87">
        <w:rPr>
          <w:rFonts w:asciiTheme="majorHAnsi" w:hAnsiTheme="majorHAnsi" w:cstheme="majorHAnsi"/>
          <w:color w:val="000000"/>
        </w:rPr>
        <w:t>monolingualism. Instruction in the student’s first language is only temporary and early transition to second language teaching is promoted. The application of this model can be found in Singapore.</w:t>
      </w:r>
    </w:p>
    <w:p w14:paraId="6D0771D5" w14:textId="77777777" w:rsidR="00AC362E" w:rsidRPr="00257F87" w:rsidRDefault="00AC362E" w:rsidP="00257F87">
      <w:pPr>
        <w:pStyle w:val="Heading2"/>
      </w:pPr>
      <w:bookmarkStart w:id="198" w:name="_Toc435788126"/>
      <w:bookmarkStart w:id="199" w:name="_Toc461615800"/>
      <w:r w:rsidRPr="00257F87">
        <w:t>Is there an optimal age for being exposed to learning a second language?</w:t>
      </w:r>
      <w:bookmarkEnd w:id="198"/>
      <w:bookmarkEnd w:id="199"/>
    </w:p>
    <w:p w14:paraId="51A6EA6B" w14:textId="77777777" w:rsidR="00AC362E" w:rsidRPr="00165923" w:rsidRDefault="00AC362E" w:rsidP="00ED0631">
      <w:pPr>
        <w:autoSpaceDE w:val="0"/>
        <w:autoSpaceDN w:val="0"/>
        <w:adjustRightInd w:val="0"/>
        <w:spacing w:line="241" w:lineRule="atLeast"/>
        <w:jc w:val="both"/>
        <w:rPr>
          <w:rFonts w:cstheme="minorHAnsi"/>
          <w:iCs/>
          <w:color w:val="000000"/>
        </w:rPr>
      </w:pPr>
      <w:r w:rsidRPr="00165923">
        <w:rPr>
          <w:rFonts w:cstheme="minorHAnsi"/>
          <w:color w:val="000000"/>
        </w:rPr>
        <w:t xml:space="preserve">There is large debate around whether </w:t>
      </w:r>
      <w:r w:rsidRPr="00165923">
        <w:rPr>
          <w:rFonts w:cstheme="minorHAnsi"/>
          <w:iCs/>
          <w:color w:val="000000"/>
        </w:rPr>
        <w:t xml:space="preserve">early second language immersion leads to higher proficiency. </w:t>
      </w:r>
    </w:p>
    <w:tbl>
      <w:tblPr>
        <w:tblStyle w:val="MediumGrid1-Accent5"/>
        <w:tblW w:w="0" w:type="auto"/>
        <w:tblInd w:w="108" w:type="dxa"/>
        <w:tblLook w:val="04A0" w:firstRow="1" w:lastRow="0" w:firstColumn="1" w:lastColumn="0" w:noHBand="0" w:noVBand="1"/>
        <w:tblCaption w:val="Baker (2006) identifies three generic levels of entry into language immersion education programs"/>
        <w:tblDescription w:val="Early immersion: Students begin the second language from age 5 or 6. &#10;Middle immersion: Students begin the second language from age 9 or 10. &#10;Late immersion: Students begin the second language between ages 11 and 14.&#10;"/>
      </w:tblPr>
      <w:tblGrid>
        <w:gridCol w:w="9134"/>
      </w:tblGrid>
      <w:tr w:rsidR="00AC362E" w:rsidRPr="00165923" w14:paraId="7785CC5D"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14:paraId="0B7BF666" w14:textId="77777777" w:rsidR="00AC362E" w:rsidRPr="00165923" w:rsidRDefault="00AC362E" w:rsidP="00ED0631">
            <w:pPr>
              <w:autoSpaceDE w:val="0"/>
              <w:autoSpaceDN w:val="0"/>
              <w:adjustRightInd w:val="0"/>
              <w:spacing w:before="60" w:after="60" w:line="241" w:lineRule="atLeast"/>
              <w:jc w:val="both"/>
              <w:rPr>
                <w:rFonts w:cstheme="minorHAnsi"/>
                <w:color w:val="000000"/>
              </w:rPr>
            </w:pPr>
            <w:r w:rsidRPr="00165923">
              <w:rPr>
                <w:rFonts w:cstheme="minorHAnsi"/>
                <w:color w:val="000000"/>
              </w:rPr>
              <w:t>Baker (2006) identifies three generic levels of entry into language immersion education programs:</w:t>
            </w:r>
          </w:p>
          <w:p w14:paraId="2DA84D45" w14:textId="77777777" w:rsidR="00AC362E" w:rsidRPr="00257F87" w:rsidRDefault="00AC362E" w:rsidP="00AE24CE">
            <w:pPr>
              <w:numPr>
                <w:ilvl w:val="0"/>
                <w:numId w:val="13"/>
              </w:numPr>
              <w:ind w:left="284" w:hanging="284"/>
              <w:contextualSpacing/>
              <w:rPr>
                <w:b w:val="0"/>
              </w:rPr>
            </w:pPr>
            <w:r w:rsidRPr="00257F87">
              <w:rPr>
                <w:b w:val="0"/>
              </w:rPr>
              <w:t xml:space="preserve">Early immersion: Students begin the second language from age 5 or 6. </w:t>
            </w:r>
          </w:p>
          <w:p w14:paraId="2CA91BF8" w14:textId="77777777" w:rsidR="00AC362E" w:rsidRPr="00257F87" w:rsidRDefault="00AC362E" w:rsidP="00AE24CE">
            <w:pPr>
              <w:numPr>
                <w:ilvl w:val="0"/>
                <w:numId w:val="13"/>
              </w:numPr>
              <w:ind w:left="284" w:hanging="284"/>
              <w:contextualSpacing/>
              <w:rPr>
                <w:b w:val="0"/>
              </w:rPr>
            </w:pPr>
            <w:r w:rsidRPr="00257F87">
              <w:rPr>
                <w:b w:val="0"/>
              </w:rPr>
              <w:t xml:space="preserve">Middle immersion: Students begin the second language from age 9 or 10. </w:t>
            </w:r>
          </w:p>
          <w:p w14:paraId="6EA2D301" w14:textId="77777777" w:rsidR="00AC362E" w:rsidRPr="00165923" w:rsidRDefault="00AC362E" w:rsidP="00AE24CE">
            <w:pPr>
              <w:numPr>
                <w:ilvl w:val="0"/>
                <w:numId w:val="13"/>
              </w:numPr>
              <w:ind w:left="284" w:hanging="284"/>
              <w:contextualSpacing/>
              <w:rPr>
                <w:rFonts w:cstheme="minorHAnsi"/>
              </w:rPr>
            </w:pPr>
            <w:r w:rsidRPr="00257F87">
              <w:rPr>
                <w:b w:val="0"/>
              </w:rPr>
              <w:t>Late immersion: Students begin the second language between ages 11 and 14.</w:t>
            </w:r>
          </w:p>
        </w:tc>
      </w:tr>
    </w:tbl>
    <w:p w14:paraId="62FE077D" w14:textId="77777777" w:rsidR="00AC362E" w:rsidRPr="00165923" w:rsidRDefault="00AC362E" w:rsidP="00ED0631">
      <w:pPr>
        <w:autoSpaceDE w:val="0"/>
        <w:autoSpaceDN w:val="0"/>
        <w:adjustRightInd w:val="0"/>
        <w:spacing w:before="120" w:line="241" w:lineRule="atLeast"/>
        <w:jc w:val="both"/>
      </w:pPr>
      <w:r w:rsidRPr="00165923">
        <w:rPr>
          <w:rFonts w:cstheme="minorHAnsi"/>
          <w:iCs/>
          <w:color w:val="000000"/>
        </w:rPr>
        <w:t>Empirical research has concentrated on the ‘</w:t>
      </w:r>
      <w:r w:rsidRPr="00165923">
        <w:rPr>
          <w:rFonts w:cstheme="minorHAnsi"/>
          <w:i/>
          <w:iCs/>
          <w:color w:val="000000"/>
        </w:rPr>
        <w:t>critical period hypothesis’ to find answers to this question.</w:t>
      </w:r>
      <w:r w:rsidRPr="00165923">
        <w:rPr>
          <w:rFonts w:cstheme="minorHAnsi"/>
          <w:iCs/>
          <w:color w:val="000000"/>
        </w:rPr>
        <w:t xml:space="preserve"> </w:t>
      </w:r>
      <w:r w:rsidRPr="00165923">
        <w:rPr>
          <w:rFonts w:cstheme="minorHAnsi"/>
          <w:color w:val="000000"/>
        </w:rPr>
        <w:t xml:space="preserve">The critical period hypothesis refers to the view that there is a critical (or sensitive) period for language acquisition, usually set at puberty, after which learners find it difficult if not impossible to acquire a second language at native-like levels of proficiency. The studies presented below demonstrate that there is a </w:t>
      </w:r>
      <w:r w:rsidRPr="00165923">
        <w:t xml:space="preserve">stronger/prevalent view supported by empirical evidence that there isn’t a critical period for second language acquisition.  Younger learners as a group generally perform better but there is no biologically confirmed advantage of second language acquisition before puberty except for the pronunciation. </w:t>
      </w:r>
    </w:p>
    <w:tbl>
      <w:tblPr>
        <w:tblStyle w:val="TableGrid1"/>
        <w:tblW w:w="0" w:type="auto"/>
        <w:tblLayout w:type="fixed"/>
        <w:tblLook w:val="04A0" w:firstRow="1" w:lastRow="0" w:firstColumn="1" w:lastColumn="0" w:noHBand="0" w:noVBand="1"/>
        <w:tblCaption w:val="Evidence/Arguments For and Against Critical Period Hypothesis"/>
        <w:tblDescription w:val="FOR Johnson and Newport’s (1989) study of Chinese and Korean adult second language speakers of English who had arrived in the US at different ages. They found that adults (all with at least 3 years of unbroken residence in the US) who had arrived before puberty performed better on tests of grammaticality judgment than those who had arrived after puberty.&#10;AGAINST Birdsong (1992), studying a group of non-native speakers of French, all of whom arrived in France after puberty, found that many of these highly-proficient second language learners achieved scores within the native range on tests of grammaticality judgment.&#10;Turnbull, Lapkin, Hart and Swain (1998), comparing early (about age 5-6), middle (about age 10), and late (about age 12) French immersion students in Canada, found that early immersion students seemed to perform better mostly on speaking skills, but despite many more hours of French exposure no significant differences were found in French literacy skills and on a multiple-choice test of listening skills.&#10;Marinova-Todd, Marshall and Snow (2000) find that younger learners (before puberty) as a group outperform older learners (after puberty) as a group; however, the existence of highly proficient older learners raises questions about what factors explain the more variable outcomes of older learners rather than confirming a biological advantage for younger learners.&#10;A meta-analysis conducted by Malartz (2014) find that older children (ages 8 to 12) who have had several years of first language schooling are the most efficient acquirers of second-language cognitive academic language proficiency. Adolescents with solid first-language schooling acquire the second-language school language, equally efficiently, except for pronunciation. They typically retain an accent. The author also highlights that as long as first-language cognitive development is continued through age 12 (the age by which first-language acquisition (L1) is largely achieved), it doesn’t matter when one first receives instruction in second language before puberty for the overall long-term academic achievement.&#10;"/>
      </w:tblPr>
      <w:tblGrid>
        <w:gridCol w:w="1242"/>
        <w:gridCol w:w="8000"/>
      </w:tblGrid>
      <w:tr w:rsidR="00AC362E" w:rsidRPr="00165923" w14:paraId="286ACDF3" w14:textId="77777777" w:rsidTr="00ED0631">
        <w:tc>
          <w:tcPr>
            <w:tcW w:w="9242" w:type="dxa"/>
            <w:gridSpan w:val="2"/>
          </w:tcPr>
          <w:p w14:paraId="4672426B" w14:textId="77777777" w:rsidR="00AC362E" w:rsidRPr="00165923" w:rsidRDefault="00AC362E" w:rsidP="00512A02">
            <w:pPr>
              <w:autoSpaceDE w:val="0"/>
              <w:autoSpaceDN w:val="0"/>
              <w:adjustRightInd w:val="0"/>
              <w:spacing w:before="60" w:after="60" w:line="228" w:lineRule="auto"/>
              <w:jc w:val="both"/>
              <w:rPr>
                <w:rFonts w:cstheme="minorHAnsi"/>
                <w:color w:val="000000"/>
              </w:rPr>
            </w:pPr>
            <w:r w:rsidRPr="00165923">
              <w:rPr>
                <w:rFonts w:cstheme="minorHAnsi"/>
                <w:b/>
                <w:color w:val="000000"/>
              </w:rPr>
              <w:t>Evidence/Arguments For and Against Critical Period Hypothesis</w:t>
            </w:r>
          </w:p>
        </w:tc>
      </w:tr>
      <w:tr w:rsidR="00AC362E" w:rsidRPr="00165923" w14:paraId="04FA0337" w14:textId="77777777" w:rsidTr="00ED0631">
        <w:tc>
          <w:tcPr>
            <w:tcW w:w="1242" w:type="dxa"/>
          </w:tcPr>
          <w:p w14:paraId="246BBD45" w14:textId="77777777" w:rsidR="00AC362E" w:rsidRPr="00165923" w:rsidRDefault="00AC362E" w:rsidP="00512A02">
            <w:pPr>
              <w:autoSpaceDE w:val="0"/>
              <w:autoSpaceDN w:val="0"/>
              <w:adjustRightInd w:val="0"/>
              <w:spacing w:before="60" w:after="60" w:line="228" w:lineRule="auto"/>
              <w:jc w:val="both"/>
              <w:rPr>
                <w:rFonts w:cstheme="minorHAnsi"/>
                <w:color w:val="000000"/>
              </w:rPr>
            </w:pPr>
            <w:r w:rsidRPr="00165923">
              <w:rPr>
                <w:rFonts w:cstheme="minorHAnsi"/>
                <w:b/>
                <w:color w:val="000000"/>
              </w:rPr>
              <w:t xml:space="preserve">FOR </w:t>
            </w:r>
          </w:p>
        </w:tc>
        <w:tc>
          <w:tcPr>
            <w:tcW w:w="8000" w:type="dxa"/>
          </w:tcPr>
          <w:p w14:paraId="5448B950" w14:textId="77777777" w:rsidR="00AC362E" w:rsidRPr="00165923" w:rsidRDefault="00AC362E" w:rsidP="00512A02">
            <w:pPr>
              <w:autoSpaceDE w:val="0"/>
              <w:autoSpaceDN w:val="0"/>
              <w:adjustRightInd w:val="0"/>
              <w:spacing w:before="60" w:after="60" w:line="228" w:lineRule="auto"/>
              <w:jc w:val="both"/>
              <w:rPr>
                <w:rFonts w:cstheme="minorHAnsi"/>
                <w:color w:val="000000"/>
              </w:rPr>
            </w:pPr>
            <w:r w:rsidRPr="00165923">
              <w:rPr>
                <w:rFonts w:cstheme="minorHAnsi"/>
                <w:color w:val="000000"/>
              </w:rPr>
              <w:t>Johnson and Newport’s (1989) study of Chinese and Korean adult second language speakers of English who had arrived in the US at different ages. They found that adults (all with at least 3 years of unbroken residence in the US) who had arrived before puberty performed better on tests of grammaticality judgment than those who had arrived after puberty.</w:t>
            </w:r>
          </w:p>
        </w:tc>
      </w:tr>
      <w:tr w:rsidR="00AC362E" w:rsidRPr="00165923" w14:paraId="4F88AFC2" w14:textId="77777777" w:rsidTr="00ED0631">
        <w:tc>
          <w:tcPr>
            <w:tcW w:w="1242" w:type="dxa"/>
          </w:tcPr>
          <w:p w14:paraId="0659FD98" w14:textId="77777777" w:rsidR="00AC362E" w:rsidRPr="00165923" w:rsidRDefault="00AC362E" w:rsidP="00512A02">
            <w:pPr>
              <w:autoSpaceDE w:val="0"/>
              <w:autoSpaceDN w:val="0"/>
              <w:adjustRightInd w:val="0"/>
              <w:spacing w:before="60" w:after="60" w:line="228" w:lineRule="auto"/>
              <w:jc w:val="both"/>
              <w:rPr>
                <w:rFonts w:cstheme="minorHAnsi"/>
                <w:color w:val="000000"/>
              </w:rPr>
            </w:pPr>
            <w:r w:rsidRPr="00165923">
              <w:rPr>
                <w:rFonts w:cstheme="minorHAnsi"/>
                <w:b/>
                <w:color w:val="000000"/>
              </w:rPr>
              <w:t xml:space="preserve">AGAINST </w:t>
            </w:r>
          </w:p>
        </w:tc>
        <w:tc>
          <w:tcPr>
            <w:tcW w:w="8000" w:type="dxa"/>
          </w:tcPr>
          <w:p w14:paraId="456274EE" w14:textId="77777777" w:rsidR="00AC362E" w:rsidRPr="00512A02" w:rsidRDefault="00AC362E" w:rsidP="00512A02">
            <w:pPr>
              <w:autoSpaceDE w:val="0"/>
              <w:autoSpaceDN w:val="0"/>
              <w:adjustRightInd w:val="0"/>
              <w:spacing w:before="60" w:after="60" w:line="228" w:lineRule="auto"/>
              <w:jc w:val="both"/>
              <w:rPr>
                <w:rFonts w:cstheme="minorHAnsi"/>
                <w:color w:val="000000"/>
                <w:spacing w:val="-2"/>
              </w:rPr>
            </w:pPr>
            <w:r w:rsidRPr="00512A02">
              <w:rPr>
                <w:rFonts w:cstheme="minorHAnsi"/>
                <w:color w:val="000000"/>
                <w:spacing w:val="-2"/>
              </w:rPr>
              <w:t>Birdsong (1992), studying a group of non-native speakers of French, all of whom arrived in France after puberty, found that many of these highly-proficient second language learners achieved scores within the native range on tests of grammaticality judgment.</w:t>
            </w:r>
          </w:p>
          <w:p w14:paraId="6D2C9797" w14:textId="77777777" w:rsidR="00AC362E" w:rsidRPr="00512A02" w:rsidRDefault="00AC362E" w:rsidP="00512A02">
            <w:pPr>
              <w:autoSpaceDE w:val="0"/>
              <w:autoSpaceDN w:val="0"/>
              <w:adjustRightInd w:val="0"/>
              <w:spacing w:before="60" w:after="60" w:line="228" w:lineRule="auto"/>
              <w:jc w:val="both"/>
              <w:rPr>
                <w:rFonts w:cstheme="minorHAnsi"/>
                <w:b/>
                <w:color w:val="000000"/>
                <w:spacing w:val="-2"/>
              </w:rPr>
            </w:pPr>
            <w:r w:rsidRPr="00512A02">
              <w:rPr>
                <w:rFonts w:cstheme="minorHAnsi"/>
                <w:color w:val="000000"/>
                <w:spacing w:val="-2"/>
              </w:rPr>
              <w:t>Turnbull, Lapkin, Hart and Swain (1998), comparing early (about age 5-6), middle (about age 10), and late (about age 12) French immersion students in Canada, found that early immersion students seemed to perform better mostly on speaking skills, but despite many more hours of French exposure no significant differences were found in French literacy skills and on a multiple-choice test of listening skills</w:t>
            </w:r>
            <w:r w:rsidRPr="00512A02">
              <w:rPr>
                <w:rFonts w:cstheme="minorHAnsi"/>
                <w:b/>
                <w:color w:val="000000"/>
                <w:spacing w:val="-2"/>
              </w:rPr>
              <w:t>.</w:t>
            </w:r>
          </w:p>
          <w:p w14:paraId="62C0607B" w14:textId="77777777" w:rsidR="00AC362E" w:rsidRPr="00512A02" w:rsidRDefault="00AC362E" w:rsidP="00512A02">
            <w:pPr>
              <w:autoSpaceDE w:val="0"/>
              <w:autoSpaceDN w:val="0"/>
              <w:adjustRightInd w:val="0"/>
              <w:spacing w:before="60" w:after="60" w:line="228" w:lineRule="auto"/>
              <w:jc w:val="both"/>
              <w:rPr>
                <w:rFonts w:cstheme="minorHAnsi"/>
                <w:color w:val="000000"/>
                <w:spacing w:val="-2"/>
              </w:rPr>
            </w:pPr>
            <w:r w:rsidRPr="00512A02">
              <w:rPr>
                <w:rFonts w:cstheme="minorHAnsi"/>
                <w:color w:val="000000"/>
                <w:spacing w:val="-2"/>
              </w:rPr>
              <w:t>Marinova-Todd, Marshall and Snow (2000) find that younger learners (before puberty) as a group outperform older learners (after puberty) as a group; however, the existence of highly proficient older learners raises questions about what factors explain the more variable outcomes of older learners rather than confirming a biological advantage for younger learners.</w:t>
            </w:r>
          </w:p>
          <w:p w14:paraId="09424CCB" w14:textId="77777777" w:rsidR="00AC362E" w:rsidRPr="00512A02" w:rsidRDefault="00AC362E" w:rsidP="00512A02">
            <w:pPr>
              <w:autoSpaceDE w:val="0"/>
              <w:autoSpaceDN w:val="0"/>
              <w:adjustRightInd w:val="0"/>
              <w:spacing w:before="60" w:after="60" w:line="228" w:lineRule="auto"/>
              <w:jc w:val="both"/>
              <w:rPr>
                <w:rFonts w:cstheme="minorHAnsi"/>
                <w:color w:val="000000"/>
                <w:spacing w:val="-2"/>
              </w:rPr>
            </w:pPr>
            <w:r w:rsidRPr="00512A02">
              <w:rPr>
                <w:rFonts w:cstheme="minorHAnsi"/>
                <w:spacing w:val="-2"/>
              </w:rPr>
              <w:t>A meta-analysis conducted by Malartz (2014) find that older children (ages 8 to 12) who have had several years of first language schooling are the most efficient acquirers of second-language cognitive academic language proficiency. Adolescents with solid first-language schooling acquire the second-language school language, equally efficiently, except for pronunciation. They typically retain an accent. The author also highlights that as long as</w:t>
            </w:r>
            <w:r w:rsidRPr="00512A02">
              <w:rPr>
                <w:rFonts w:cstheme="minorHAnsi"/>
                <w:b/>
                <w:spacing w:val="-2"/>
              </w:rPr>
              <w:t xml:space="preserve"> </w:t>
            </w:r>
            <w:r w:rsidRPr="00512A02">
              <w:rPr>
                <w:rFonts w:cstheme="minorHAnsi"/>
                <w:spacing w:val="-2"/>
              </w:rPr>
              <w:t>first-language cognitive development is continued through age 12 (the age by which first-language acquisition (L1) is largely achieved), it doesn’t matter when one first receives instruction in second language before puberty for the overall long-term academic achievement.</w:t>
            </w:r>
          </w:p>
        </w:tc>
      </w:tr>
    </w:tbl>
    <w:p w14:paraId="267F6C57" w14:textId="77777777" w:rsidR="000D1BC6" w:rsidRDefault="000D1BC6" w:rsidP="00257F87">
      <w:pPr>
        <w:pStyle w:val="Heading2"/>
        <w:ind w:left="0" w:firstLine="0"/>
      </w:pPr>
      <w:bookmarkStart w:id="200" w:name="_Toc435788127"/>
      <w:bookmarkStart w:id="201" w:name="_Toc461615801"/>
    </w:p>
    <w:p w14:paraId="49CB7F2A" w14:textId="016C0FB7" w:rsidR="00AC362E" w:rsidRPr="00257F87" w:rsidRDefault="00AC362E" w:rsidP="00257F87">
      <w:pPr>
        <w:pStyle w:val="Heading2"/>
        <w:ind w:left="0" w:firstLine="0"/>
      </w:pPr>
      <w:r w:rsidRPr="00257F87">
        <w:lastRenderedPageBreak/>
        <w:t>What factors lead to improved student learning through bilingual education programs?</w:t>
      </w:r>
      <w:bookmarkEnd w:id="200"/>
      <w:bookmarkEnd w:id="201"/>
    </w:p>
    <w:p w14:paraId="1EDA585C" w14:textId="77777777" w:rsidR="00AC362E" w:rsidRPr="00257F87" w:rsidRDefault="00AC362E" w:rsidP="00257F87">
      <w:pPr>
        <w:pStyle w:val="Heading3"/>
      </w:pPr>
      <w:bookmarkStart w:id="202" w:name="_Toc435787908"/>
      <w:bookmarkStart w:id="203" w:name="_Toc461615802"/>
      <w:r w:rsidRPr="00257F87">
        <w:t>Mother-tongue based bilingual education</w:t>
      </w:r>
      <w:bookmarkEnd w:id="202"/>
      <w:bookmarkEnd w:id="203"/>
    </w:p>
    <w:p w14:paraId="397C7CB1" w14:textId="77777777" w:rsidR="00AC362E" w:rsidRPr="00165923" w:rsidRDefault="00AC362E" w:rsidP="00ED0631">
      <w:pPr>
        <w:autoSpaceDE w:val="0"/>
        <w:autoSpaceDN w:val="0"/>
        <w:adjustRightInd w:val="0"/>
        <w:rPr>
          <w:rFonts w:eastAsia="MinionPro-Regular" w:cstheme="minorHAnsi"/>
        </w:rPr>
      </w:pPr>
      <w:r w:rsidRPr="00165923">
        <w:rPr>
          <w:rFonts w:eastAsia="MinionPro-Regular" w:cstheme="minorHAnsi"/>
        </w:rPr>
        <w:t xml:space="preserve">UNESCO has been encouraging mother tongue instruction in early childhood and primary education since 1953. Research conducted in various parts of the world has provided evidence for the need to promote and resource mother tongue-based education for young children not only to maintain the world’s languages and cultures but also improve learning in L2. </w:t>
      </w:r>
    </w:p>
    <w:p w14:paraId="77C85FC6" w14:textId="77777777" w:rsidR="00AC362E" w:rsidRPr="00165923" w:rsidRDefault="00AC362E" w:rsidP="00ED0631">
      <w:pPr>
        <w:autoSpaceDE w:val="0"/>
        <w:autoSpaceDN w:val="0"/>
        <w:adjustRightInd w:val="0"/>
        <w:rPr>
          <w:rFonts w:eastAsia="MinionPro-Regular"/>
        </w:rPr>
      </w:pPr>
      <w:r w:rsidRPr="00165923">
        <w:rPr>
          <w:rFonts w:eastAsia="MinionPro-Regular"/>
          <w:b/>
          <w:i/>
        </w:rPr>
        <w:t>Evidence supports early primary education in L1.</w:t>
      </w:r>
      <w:r w:rsidRPr="00165923">
        <w:rPr>
          <w:rFonts w:eastAsia="MinionPro-Regular"/>
          <w:b/>
        </w:rPr>
        <w:t xml:space="preserve"> </w:t>
      </w:r>
      <w:r w:rsidRPr="00165923">
        <w:rPr>
          <w:rFonts w:eastAsia="MinionPro-Regular"/>
        </w:rPr>
        <w:t xml:space="preserve">Empirical evidence increasingly shows that fluency and literacy in the mother tongue lay a cognitive and linguistic foundation for learning additional languages. When children receive formal instruction in L1 throughout primary school and gradually transit to academic learning in L2, they learn L2 more easily and quickly. This is because </w:t>
      </w:r>
      <w:r w:rsidRPr="00165923">
        <w:t xml:space="preserve">concepts that are learned through the L1 can transfer easily to the L2. For example, a child who has learned to solve division problems in his or her L1 need to only learn the vocabulary in L2 necessary to understand the problem posed, rather than the concept of division itself. </w:t>
      </w:r>
      <w:r w:rsidRPr="00165923">
        <w:rPr>
          <w:rFonts w:eastAsia="Times New Roman" w:cstheme="minorHAnsi"/>
        </w:rPr>
        <w:t xml:space="preserve">This notion is based on the interdependence hypothesis proposed by Cummins (1979), which stipulates that there is a common underlying proficiency between languages that promotes the cross-linguistic sharing and transfer of cognitive processes and meta-linguistic knowledge. </w:t>
      </w:r>
      <w:r w:rsidRPr="00165923">
        <w:rPr>
          <w:rFonts w:eastAsia="MinionPro-Regular"/>
        </w:rPr>
        <w:t>Moreover, there is evidence that when children are offered opportunities to learn in their mother tongue, they are more likely to enrol and succeed in school and their parents are more likely to communicate with teachers and participate in their children’s learning (</w:t>
      </w:r>
      <w:r w:rsidRPr="00165923">
        <w:rPr>
          <w:rFonts w:eastAsia="MinionPro-Regular" w:cstheme="minorHAnsi"/>
        </w:rPr>
        <w:t>Kosonen, 2005; Benson, 2002)</w:t>
      </w:r>
      <w:r w:rsidRPr="00165923">
        <w:rPr>
          <w:rFonts w:eastAsia="MinionPro-Regular"/>
        </w:rPr>
        <w:t xml:space="preserve">. </w:t>
      </w:r>
      <w:r w:rsidRPr="00165923">
        <w:rPr>
          <w:rFonts w:eastAsia="MinionPro-Regular" w:cstheme="minorHAnsi"/>
        </w:rPr>
        <w:t xml:space="preserve">Hovens (2002) suggests that mother tongue based education especially benefits disadvantaged groups, including children from rural communities and girls. </w:t>
      </w:r>
      <w:r w:rsidRPr="00165923">
        <w:rPr>
          <w:rFonts w:cstheme="minorHAnsi"/>
        </w:rPr>
        <w:t xml:space="preserve">Baker (2006) argues that bilingual education preserves the students’ native language and culture which in turn increases the students’ self-esteem and cultural identity. </w:t>
      </w:r>
    </w:p>
    <w:p w14:paraId="5D0F2816" w14:textId="77777777" w:rsidR="00AC362E" w:rsidRPr="00165923" w:rsidRDefault="00AC362E" w:rsidP="00ED0631">
      <w:pPr>
        <w:autoSpaceDE w:val="0"/>
        <w:autoSpaceDN w:val="0"/>
        <w:adjustRightInd w:val="0"/>
        <w:rPr>
          <w:rFonts w:eastAsia="MinionPro-Regular"/>
        </w:rPr>
      </w:pPr>
      <w:r w:rsidRPr="00165923">
        <w:rPr>
          <w:rFonts w:eastAsia="MinionPro-Regular"/>
          <w:b/>
          <w:i/>
        </w:rPr>
        <w:t>The transitioning process from learning in a native language to a second language impacts language proficiency, learning and other social factors.</w:t>
      </w:r>
      <w:r w:rsidRPr="00165923">
        <w:rPr>
          <w:rFonts w:eastAsia="MinionPro-Regular"/>
        </w:rPr>
        <w:t xml:space="preserve"> Many </w:t>
      </w:r>
      <w:r w:rsidRPr="00165923">
        <w:t xml:space="preserve">studies have concluded that children who learn in L1 for the first 6-8 years of formal schooling have better academic performance and self-esteem than those who receive instruction exclusively in the second language or those who transition too early from the home language to the second language. Evidence suggests that requiring children to transit too soon to education in a new language can be detrimental to their learning processes and their academic achievement. </w:t>
      </w:r>
      <w:r w:rsidRPr="00165923">
        <w:rPr>
          <w:rFonts w:eastAsia="MinionPro-Regular" w:cstheme="minorHAnsi"/>
        </w:rPr>
        <w:t xml:space="preserve">If, children are forced to switch abruptly or transition too soon from learning in their mother tongue to schooling in a second language, their first language acquisition may be attenuated or even lost. </w:t>
      </w:r>
      <w:r w:rsidRPr="00165923">
        <w:rPr>
          <w:rFonts w:cstheme="minorHAnsi"/>
        </w:rPr>
        <w:t xml:space="preserve">The literature shows that requiring children to transition too soon to education in a new language can be detrimental to their learning processes and their academic achievement (Porter, 1990). </w:t>
      </w:r>
      <w:r w:rsidRPr="00165923">
        <w:t>Studies conclude that for the overall long-term academic achievement, as long as</w:t>
      </w:r>
      <w:r w:rsidRPr="00165923">
        <w:rPr>
          <w:b/>
        </w:rPr>
        <w:t xml:space="preserve"> </w:t>
      </w:r>
      <w:r w:rsidRPr="00165923">
        <w:t>first-language cognitive development is continued through age 12 (the age by which first-language acquisition (L1) is largely achieved), it doesn’t matter when one first receives instruction in L2 before puberty.</w:t>
      </w:r>
    </w:p>
    <w:tbl>
      <w:tblPr>
        <w:tblStyle w:val="MediumGrid1-Accent5"/>
        <w:tblW w:w="0" w:type="auto"/>
        <w:tblLook w:val="04A0" w:firstRow="1" w:lastRow="0" w:firstColumn="1" w:lastColumn="0" w:noHBand="0" w:noVBand="1"/>
        <w:tblCaption w:val="Recommendations for the MoE, school leaders and teachers"/>
        <w:tblDescription w:val="Recommendations for the MoE, school leaders and teachers: &#10;• Awareness raising campaigns on the importance of the development and use of mother tongue-based instruction need to be carried out.&#10;• Mother tongue acquisition, rather than acquisition of a dominant national or international langue need to be recognised as the first priority in judging children’s achievement in preschool and throughout primary school.&#10;• Publicity and public awareness need to be created to promote the value of bilingual education. This can in turn enable teachers and parents to understand the necessity for children to continue to develop proficiency in their L1, and be reassured that, despite some possible initial delay in developing proficiency in English, their children/students are more likely to succeed in acquiring both L1 and English if they are given the opportunity to participate in mother tongue based bi/multilingual pre-primary and bilingual primary education (Ball, 2010, p. 46). "/>
      </w:tblPr>
      <w:tblGrid>
        <w:gridCol w:w="9242"/>
      </w:tblGrid>
      <w:tr w:rsidR="00AC362E" w:rsidRPr="00165923" w14:paraId="473AB584"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981C942" w14:textId="77777777" w:rsidR="00AC362E" w:rsidRPr="00165923" w:rsidRDefault="00AC362E" w:rsidP="00ED0631">
            <w:pPr>
              <w:autoSpaceDE w:val="0"/>
              <w:autoSpaceDN w:val="0"/>
              <w:adjustRightInd w:val="0"/>
              <w:rPr>
                <w:rFonts w:eastAsia="MinionPro-Regular" w:cstheme="minorHAnsi"/>
              </w:rPr>
            </w:pPr>
            <w:r w:rsidRPr="00165923">
              <w:rPr>
                <w:rFonts w:eastAsia="MinionPro-Regular" w:cstheme="minorHAnsi"/>
              </w:rPr>
              <w:t xml:space="preserve">Recommendations for the MoE, school leaders and teachers: </w:t>
            </w:r>
          </w:p>
          <w:p w14:paraId="7312A6B7" w14:textId="77777777" w:rsidR="00AC362E" w:rsidRPr="00257F87" w:rsidRDefault="00AC362E" w:rsidP="00AE24CE">
            <w:pPr>
              <w:numPr>
                <w:ilvl w:val="0"/>
                <w:numId w:val="13"/>
              </w:numPr>
              <w:ind w:left="284" w:hanging="284"/>
              <w:contextualSpacing/>
              <w:rPr>
                <w:b w:val="0"/>
              </w:rPr>
            </w:pPr>
            <w:r w:rsidRPr="00257F87">
              <w:rPr>
                <w:b w:val="0"/>
              </w:rPr>
              <w:t>Awareness raising campaigns on the importance of the development and use of mother tongue-based instruction need to be carried out.</w:t>
            </w:r>
          </w:p>
          <w:p w14:paraId="2D92AE19" w14:textId="77777777" w:rsidR="00AC362E" w:rsidRPr="00257F87" w:rsidRDefault="00AC362E" w:rsidP="00AE24CE">
            <w:pPr>
              <w:numPr>
                <w:ilvl w:val="0"/>
                <w:numId w:val="13"/>
              </w:numPr>
              <w:ind w:left="284" w:hanging="284"/>
              <w:contextualSpacing/>
              <w:rPr>
                <w:b w:val="0"/>
              </w:rPr>
            </w:pPr>
            <w:r w:rsidRPr="00257F87">
              <w:rPr>
                <w:b w:val="0"/>
              </w:rPr>
              <w:t>Mother tongue acquisition, rather than acquisition of a dominant national or international langue need to be recognised as the first priority in judging children’s achievement in preschool and throughout primary school.</w:t>
            </w:r>
          </w:p>
          <w:p w14:paraId="6F2DB30C" w14:textId="77777777" w:rsidR="00AC362E" w:rsidRPr="00165923" w:rsidRDefault="00AC362E" w:rsidP="00AE24CE">
            <w:pPr>
              <w:numPr>
                <w:ilvl w:val="0"/>
                <w:numId w:val="13"/>
              </w:numPr>
              <w:ind w:left="284" w:hanging="284"/>
              <w:contextualSpacing/>
              <w:rPr>
                <w:rFonts w:eastAsia="MinionPro-Regular"/>
              </w:rPr>
            </w:pPr>
            <w:r w:rsidRPr="00257F87">
              <w:rPr>
                <w:b w:val="0"/>
              </w:rPr>
              <w:t>Publicity and public awareness need to be created to promote the value of bilingual education. This can in turn enable teachers and parents to understand the necessity for children to continue to develop proficiency in their L1, and be reassured that, despite some possible initial delay in developing proficiency in English, their children/students are more likely to succeed in acquiring both L1 and English if they are given the opportunity to participate in mother tongue based bi/multilingual pre-primary and bilingual primary education (Ball, 2010, p. 46).</w:t>
            </w:r>
            <w:r w:rsidRPr="00165923">
              <w:t xml:space="preserve"> </w:t>
            </w:r>
          </w:p>
        </w:tc>
      </w:tr>
    </w:tbl>
    <w:p w14:paraId="58122A04" w14:textId="77777777" w:rsidR="00512A02" w:rsidRDefault="00512A02" w:rsidP="00ED0631">
      <w:pPr>
        <w:pStyle w:val="Heading3"/>
      </w:pPr>
      <w:bookmarkStart w:id="204" w:name="_Toc435787909"/>
    </w:p>
    <w:p w14:paraId="52B976C5" w14:textId="77777777" w:rsidR="00512A02" w:rsidRDefault="00512A02">
      <w:pPr>
        <w:spacing w:line="276" w:lineRule="auto"/>
        <w:rPr>
          <w:rFonts w:asciiTheme="majorHAnsi" w:hAnsiTheme="majorHAnsi" w:cstheme="majorHAnsi"/>
          <w:b/>
          <w:color w:val="000000" w:themeColor="text1"/>
          <w:spacing w:val="2"/>
          <w:szCs w:val="32"/>
        </w:rPr>
      </w:pPr>
      <w:r>
        <w:br w:type="page"/>
      </w:r>
    </w:p>
    <w:p w14:paraId="325260FF" w14:textId="4BE2B152" w:rsidR="00AC362E" w:rsidRPr="00165923" w:rsidRDefault="00AC362E" w:rsidP="00ED0631">
      <w:pPr>
        <w:pStyle w:val="Heading3"/>
      </w:pPr>
      <w:bookmarkStart w:id="205" w:name="_Toc461615803"/>
      <w:r w:rsidRPr="00165923">
        <w:lastRenderedPageBreak/>
        <w:t>Teachers with high-level bilingual proficiency</w:t>
      </w:r>
      <w:bookmarkEnd w:id="204"/>
      <w:bookmarkEnd w:id="205"/>
    </w:p>
    <w:p w14:paraId="1D5FDA86" w14:textId="77777777" w:rsidR="00AC362E" w:rsidRDefault="00AC362E" w:rsidP="00ED0631">
      <w:pPr>
        <w:rPr>
          <w:rFonts w:cstheme="minorHAnsi"/>
          <w:color w:val="231F20"/>
        </w:rPr>
      </w:pPr>
      <w:r w:rsidRPr="00165923">
        <w:rPr>
          <w:rFonts w:cstheme="minorHAnsi"/>
        </w:rPr>
        <w:t xml:space="preserve">The teacher and teaching methods employed also have a significant impact on language acquisition – this is referred to as the “input hypothesis”. </w:t>
      </w:r>
      <w:r w:rsidRPr="00165923">
        <w:rPr>
          <w:rFonts w:cstheme="minorHAnsi"/>
          <w:color w:val="231F20"/>
        </w:rPr>
        <w:t>Clark et al (2002) argues that when teachers do not have background in bilingual theory or bilingual education, then they risk making poor program structure, curriculum, and instructional strategy choices, which can lead to low student performance and the perception that bilingual education does not work (</w:t>
      </w:r>
      <w:r w:rsidRPr="00165923">
        <w:rPr>
          <w:rFonts w:cstheme="minorHAnsi"/>
        </w:rPr>
        <w:t>Lindholm-Leary, 2005; New Zealand Ministry of Education, 2013)</w:t>
      </w:r>
      <w:r w:rsidRPr="00165923">
        <w:rPr>
          <w:rFonts w:cstheme="minorHAnsi"/>
          <w:color w:val="231F20"/>
        </w:rPr>
        <w:t xml:space="preserve">. Literature suggests that </w:t>
      </w:r>
      <w:r w:rsidRPr="00165923">
        <w:rPr>
          <w:color w:val="231F20"/>
        </w:rPr>
        <w:t xml:space="preserve">highly effective programs have teachers with high-level bilingual proficiency who provide clear pedagogical leadership. What is stressed above all in the literature is that teachers in dual language education programs need native or native-like ability in either or both of the language(s) in which they are instructing. </w:t>
      </w:r>
      <w:r w:rsidRPr="00165923">
        <w:rPr>
          <w:rFonts w:cstheme="minorHAnsi"/>
          <w:color w:val="231F20"/>
        </w:rPr>
        <w:t>Successful programs ensure that teacher development plans are in place to ensure the quality of teachers’ language proficiency and constant improvement of teaching and learning. They also support staff to grasp second language acquisition theories to secure their buy-in for the bilingual program.</w:t>
      </w:r>
    </w:p>
    <w:tbl>
      <w:tblPr>
        <w:tblStyle w:val="MediumGrid1-Accent5"/>
        <w:tblW w:w="0" w:type="auto"/>
        <w:tblLook w:val="04A0" w:firstRow="1" w:lastRow="0" w:firstColumn="1" w:lastColumn="0" w:noHBand="0" w:noVBand="1"/>
        <w:tblCaption w:val="Recommendations for the MoE and  school leaders"/>
        <w:tblDescription w:val="• A commitment is needed to creating a vision of excellent bilingual and bicultural teacher preparation that meaningfully engages communities and fosters cross-institutional communications.&#10;• Efforts need to be concentrated on recruiting teachers who are fluent in the language of instruction at the level of cognitive academic language proficiency in reading, writing, and speaking. This suggests selecting and/or training teachers who have appropriate teaching certificate, are fully credentialed bilingual and have knowledge of bilingual education (Screening measures can be used to ensure full written and oral proficiency in both languages).&#10;• Training courses targeted at practising teachers need to be developed or revisited to ensure that these teachers are proficient in the language of instruction and are familiar with bilingual teaching methods. &#10;• Pre-service and in-service teacher education need to be provided to ensure that teachers can engage in effective pedagogy, be culturally competent, have subject-matter knowledge for the academic level they teach, and can teach energetically with very young children.&#10;• Head teachers/principles need to be assisted to encourage and support classroom teachers to undergo training&#10;• With the large pool of inexperienced and/or new teachers to bilingual education, professional development activities need to be consistent, uniform, and up-to-date. The in-service activities need to be coupled with innovative ways of persuading teachers to participate, such as granting teachers new roles and responsibilities to facilitate their own professional development.&#10;• Teachers’ teaching practices need to be monitored and assessed and tools need to be developed to do this systematically. Schools need to ensure that multi-level support systems are in place to monitor and mentor quality teachers throughout and beyond certification process. &#10;• Teachers need to be supported with debriefing, coaching, one-on-one counselling sessions. The support programs also need to integrate preparation for meaningful parent engagement.&#10;"/>
      </w:tblPr>
      <w:tblGrid>
        <w:gridCol w:w="9006"/>
      </w:tblGrid>
      <w:tr w:rsidR="00AC362E" w:rsidRPr="00165923" w14:paraId="1467468A"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tcPr>
          <w:p w14:paraId="51213CB3" w14:textId="649BFCEF" w:rsidR="00AC362E" w:rsidRPr="00165923" w:rsidRDefault="00AC362E" w:rsidP="00ED0631">
            <w:pPr>
              <w:autoSpaceDE w:val="0"/>
              <w:autoSpaceDN w:val="0"/>
              <w:adjustRightInd w:val="0"/>
              <w:rPr>
                <w:rFonts w:eastAsia="MinionPro-Regular" w:cstheme="minorHAnsi"/>
              </w:rPr>
            </w:pPr>
            <w:r w:rsidRPr="00165923">
              <w:rPr>
                <w:rFonts w:eastAsia="MinionPro-Regular" w:cstheme="minorHAnsi"/>
              </w:rPr>
              <w:t>Recommendations for the MoE and school leaders:</w:t>
            </w:r>
          </w:p>
          <w:p w14:paraId="03227294" w14:textId="77777777" w:rsidR="00AC362E" w:rsidRPr="00257F87" w:rsidRDefault="00AC362E" w:rsidP="00AE24CE">
            <w:pPr>
              <w:numPr>
                <w:ilvl w:val="0"/>
                <w:numId w:val="13"/>
              </w:numPr>
              <w:ind w:left="284" w:hanging="284"/>
              <w:contextualSpacing/>
              <w:rPr>
                <w:b w:val="0"/>
              </w:rPr>
            </w:pPr>
            <w:r w:rsidRPr="00257F87">
              <w:rPr>
                <w:b w:val="0"/>
              </w:rPr>
              <w:t>A commitment is needed to creating a vision of excellent bilingual and bicultural teacher preparation that meaningfully engages communities and fosters cross-institutional communications.</w:t>
            </w:r>
          </w:p>
          <w:p w14:paraId="5B9244A5" w14:textId="77777777" w:rsidR="00AC362E" w:rsidRPr="00257F87" w:rsidRDefault="00AC362E" w:rsidP="00AE24CE">
            <w:pPr>
              <w:numPr>
                <w:ilvl w:val="0"/>
                <w:numId w:val="13"/>
              </w:numPr>
              <w:ind w:left="284" w:hanging="284"/>
              <w:contextualSpacing/>
              <w:rPr>
                <w:b w:val="0"/>
              </w:rPr>
            </w:pPr>
            <w:r w:rsidRPr="00257F87">
              <w:rPr>
                <w:b w:val="0"/>
              </w:rPr>
              <w:t>Efforts need to be concentrated on recruiting teachers who are fluent in the language of instruction at the level of cognitive academic language proficiency in reading, writing, and speaking. This suggests selecting and/or training teachers who have appropriate teaching certificate, are fully credentialed bilingual and have knowledge of bilingual education (Screening measures can be used to ensure full written and oral proficiency in both languages).</w:t>
            </w:r>
          </w:p>
          <w:p w14:paraId="15606695" w14:textId="77777777" w:rsidR="00AC362E" w:rsidRPr="00257F87" w:rsidRDefault="00AC362E" w:rsidP="00AE24CE">
            <w:pPr>
              <w:numPr>
                <w:ilvl w:val="0"/>
                <w:numId w:val="13"/>
              </w:numPr>
              <w:ind w:left="284" w:hanging="284"/>
              <w:contextualSpacing/>
              <w:rPr>
                <w:b w:val="0"/>
              </w:rPr>
            </w:pPr>
            <w:r w:rsidRPr="00257F87">
              <w:rPr>
                <w:b w:val="0"/>
              </w:rPr>
              <w:t xml:space="preserve">Training courses targeted at practising teachers need to be developed or revisited to ensure that these teachers are proficient in the language of instruction and are familiar with bilingual teaching methods. </w:t>
            </w:r>
          </w:p>
          <w:p w14:paraId="2E4C172E" w14:textId="77777777" w:rsidR="00AC362E" w:rsidRPr="00257F87" w:rsidRDefault="00AC362E" w:rsidP="00AE24CE">
            <w:pPr>
              <w:numPr>
                <w:ilvl w:val="0"/>
                <w:numId w:val="13"/>
              </w:numPr>
              <w:ind w:left="284" w:hanging="284"/>
              <w:contextualSpacing/>
              <w:rPr>
                <w:b w:val="0"/>
              </w:rPr>
            </w:pPr>
            <w:r w:rsidRPr="00257F87">
              <w:rPr>
                <w:b w:val="0"/>
              </w:rPr>
              <w:t>Pre-service and in-service teacher education need to be provided to ensure that teachers can engage in effective pedagogy, be culturally competent, have subject-matter knowledge for the academic level they teach, and can teach energetically with very young children.</w:t>
            </w:r>
          </w:p>
          <w:p w14:paraId="38220A44" w14:textId="77777777" w:rsidR="00AC362E" w:rsidRPr="00257F87" w:rsidRDefault="00AC362E" w:rsidP="00AE24CE">
            <w:pPr>
              <w:numPr>
                <w:ilvl w:val="0"/>
                <w:numId w:val="13"/>
              </w:numPr>
              <w:ind w:left="284" w:hanging="284"/>
              <w:contextualSpacing/>
              <w:rPr>
                <w:b w:val="0"/>
              </w:rPr>
            </w:pPr>
            <w:r w:rsidRPr="00257F87">
              <w:rPr>
                <w:b w:val="0"/>
              </w:rPr>
              <w:t>Head teachers/principles need to be assisted to encourage and support classroom teachers to undergo training</w:t>
            </w:r>
          </w:p>
          <w:p w14:paraId="0CF0A248" w14:textId="77777777" w:rsidR="00AC362E" w:rsidRPr="00257F87" w:rsidRDefault="00AC362E" w:rsidP="00AE24CE">
            <w:pPr>
              <w:numPr>
                <w:ilvl w:val="0"/>
                <w:numId w:val="13"/>
              </w:numPr>
              <w:ind w:left="284" w:hanging="284"/>
              <w:contextualSpacing/>
              <w:rPr>
                <w:b w:val="0"/>
              </w:rPr>
            </w:pPr>
            <w:r w:rsidRPr="00257F87">
              <w:rPr>
                <w:b w:val="0"/>
              </w:rPr>
              <w:t>With the large pool of inexperienced and/or new teachers to bilingual education, professional development activities need to be consistent, uniform, and up-to-date. The in-service activities need to be coupled with innovative ways of persuading teachers to participate, such as granting teachers new roles and responsibilities to facilitate their own professional development.</w:t>
            </w:r>
          </w:p>
          <w:p w14:paraId="068E53E4" w14:textId="77777777" w:rsidR="00AC362E" w:rsidRPr="00257F87" w:rsidRDefault="00AC362E" w:rsidP="00AE24CE">
            <w:pPr>
              <w:numPr>
                <w:ilvl w:val="0"/>
                <w:numId w:val="13"/>
              </w:numPr>
              <w:ind w:left="284" w:hanging="284"/>
              <w:contextualSpacing/>
              <w:rPr>
                <w:b w:val="0"/>
              </w:rPr>
            </w:pPr>
            <w:r w:rsidRPr="00257F87">
              <w:rPr>
                <w:b w:val="0"/>
              </w:rPr>
              <w:t xml:space="preserve">Teachers’ teaching practices need to be monitored and assessed and tools need to be developed to do this systematically. Schools need to ensure that multi-level support systems are in place to monitor and mentor quality teachers throughout and beyond certification process. </w:t>
            </w:r>
          </w:p>
          <w:p w14:paraId="1D34F9FE" w14:textId="77777777" w:rsidR="00AC362E" w:rsidRPr="00165923" w:rsidRDefault="00AC362E" w:rsidP="00AE24CE">
            <w:pPr>
              <w:numPr>
                <w:ilvl w:val="0"/>
                <w:numId w:val="13"/>
              </w:numPr>
              <w:ind w:left="284" w:hanging="284"/>
              <w:contextualSpacing/>
              <w:rPr>
                <w:rFonts w:eastAsia="MinionPro-Regular" w:cstheme="minorHAnsi"/>
                <w:color w:val="000000"/>
              </w:rPr>
            </w:pPr>
            <w:r w:rsidRPr="00257F87">
              <w:rPr>
                <w:b w:val="0"/>
              </w:rPr>
              <w:t>Teachers need to be supported with debriefing, coaching, one-on-one counselling sessions. The support programs also need to integrate preparation for meaningful parent engagement.</w:t>
            </w:r>
          </w:p>
        </w:tc>
      </w:tr>
    </w:tbl>
    <w:p w14:paraId="5909D7A0" w14:textId="77777777" w:rsidR="00AC362E" w:rsidRPr="00257F87" w:rsidRDefault="00AC362E" w:rsidP="00ED0631">
      <w:pPr>
        <w:autoSpaceDE w:val="0"/>
        <w:autoSpaceDN w:val="0"/>
        <w:adjustRightInd w:val="0"/>
        <w:rPr>
          <w:rFonts w:cstheme="minorHAnsi"/>
          <w:i/>
          <w:sz w:val="16"/>
        </w:rPr>
      </w:pPr>
      <w:r w:rsidRPr="00257F87">
        <w:rPr>
          <w:rFonts w:cstheme="minorHAnsi"/>
          <w:i/>
          <w:sz w:val="16"/>
        </w:rPr>
        <w:t xml:space="preserve">Source: (Malarz, 2014; Lindholm-Leary, 2005; New Zealand Ministry of Education, 2013; </w:t>
      </w:r>
      <w:r w:rsidRPr="00257F87">
        <w:rPr>
          <w:rFonts w:eastAsia="Times New Roman" w:cstheme="minorHAnsi"/>
          <w:i/>
          <w:iCs/>
          <w:sz w:val="16"/>
        </w:rPr>
        <w:t>Rodríguez and Cantu, nd)</w:t>
      </w:r>
    </w:p>
    <w:p w14:paraId="69A1F781" w14:textId="77777777" w:rsidR="00AC362E" w:rsidRPr="00257F87" w:rsidRDefault="00AC362E" w:rsidP="00257F87">
      <w:pPr>
        <w:pStyle w:val="Heading3"/>
      </w:pPr>
      <w:bookmarkStart w:id="206" w:name="_Toc435787910"/>
      <w:bookmarkStart w:id="207" w:name="_Toc461615804"/>
      <w:r w:rsidRPr="00257F87">
        <w:t>Family and Community Involvement</w:t>
      </w:r>
      <w:bookmarkEnd w:id="206"/>
      <w:bookmarkEnd w:id="207"/>
    </w:p>
    <w:p w14:paraId="05A0FCAA" w14:textId="77777777" w:rsidR="00AC362E" w:rsidRPr="00512A02" w:rsidRDefault="00AC362E" w:rsidP="00ED0631">
      <w:pPr>
        <w:rPr>
          <w:color w:val="231F20"/>
          <w:spacing w:val="-4"/>
        </w:rPr>
      </w:pPr>
      <w:r w:rsidRPr="00512A02">
        <w:rPr>
          <w:color w:val="231F20"/>
          <w:spacing w:val="-4"/>
        </w:rPr>
        <w:t>Whilst scientific evidence is in favour of mother tongue based bilingual education programs that have middle to late immersion approaches, in various parts of the world the communities raise concerns about L2 being introduced too late and their children missing out on learning L2 adequately. The community concerns have been noted in Kiribati and have also been identified in several studies conducted in PNG, Cameroon, Hawaii, Jamaica, Nigeria, Ghana and South Africa (Devette-Chee, 2014).</w:t>
      </w:r>
    </w:p>
    <w:p w14:paraId="0C09AF59" w14:textId="700724C9" w:rsidR="00257F87" w:rsidRDefault="00AC362E" w:rsidP="00ED0631">
      <w:pPr>
        <w:autoSpaceDE w:val="0"/>
        <w:autoSpaceDN w:val="0"/>
        <w:adjustRightInd w:val="0"/>
        <w:rPr>
          <w:color w:val="231F20"/>
        </w:rPr>
      </w:pPr>
      <w:r w:rsidRPr="00165923">
        <w:rPr>
          <w:color w:val="231F20"/>
        </w:rPr>
        <w:t>Literature suggests that parents need to be assisted, through parent education, demonstration projects, and community-wide awareness raising campaigns, to see the value for children to continue to develop proficiency in L1. Parents need to be reassured that, despite some initial delay in developing proficiency in L2, their children are more likely to succeed in acquiring both L1 and additional languages if they are given the opportunity to participate in mother tongue based bilingual education. This is particularly important because the support that children can get in order to learn is maximised when families and school work together.</w:t>
      </w:r>
    </w:p>
    <w:p w14:paraId="5D1B2BA7" w14:textId="77777777" w:rsidR="00257F87" w:rsidRDefault="00257F87">
      <w:pPr>
        <w:spacing w:line="276" w:lineRule="auto"/>
        <w:rPr>
          <w:color w:val="231F20"/>
        </w:rPr>
      </w:pPr>
      <w:r>
        <w:rPr>
          <w:color w:val="231F20"/>
        </w:rPr>
        <w:br w:type="page"/>
      </w:r>
    </w:p>
    <w:tbl>
      <w:tblPr>
        <w:tblStyle w:val="MediumGrid1-Accent5"/>
        <w:tblW w:w="0" w:type="auto"/>
        <w:tblLook w:val="04A0" w:firstRow="1" w:lastRow="0" w:firstColumn="1" w:lastColumn="0" w:noHBand="0" w:noVBand="1"/>
        <w:tblCaption w:val="Recommendations for MoE, school leaders and teachers: "/>
      </w:tblPr>
      <w:tblGrid>
        <w:gridCol w:w="9006"/>
      </w:tblGrid>
      <w:tr w:rsidR="00AC362E" w:rsidRPr="00165923" w14:paraId="4B172385" w14:textId="77777777" w:rsidTr="000D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tcPr>
          <w:p w14:paraId="6A98958A" w14:textId="77777777" w:rsidR="00AC362E" w:rsidRPr="00165923" w:rsidRDefault="00AC362E" w:rsidP="00ED0631">
            <w:pPr>
              <w:autoSpaceDE w:val="0"/>
              <w:autoSpaceDN w:val="0"/>
              <w:adjustRightInd w:val="0"/>
              <w:rPr>
                <w:rFonts w:eastAsia="MinionPro-Regular" w:cstheme="minorHAnsi"/>
              </w:rPr>
            </w:pPr>
            <w:r w:rsidRPr="00165923">
              <w:rPr>
                <w:rFonts w:eastAsia="MinionPro-Regular" w:cstheme="minorHAnsi"/>
              </w:rPr>
              <w:lastRenderedPageBreak/>
              <w:t xml:space="preserve">Recommendations for MoE, school leaders and teachers: </w:t>
            </w:r>
          </w:p>
          <w:p w14:paraId="7AADAF6A" w14:textId="77777777" w:rsidR="00AC362E" w:rsidRPr="00257F87" w:rsidRDefault="00AC362E" w:rsidP="00AE24CE">
            <w:pPr>
              <w:numPr>
                <w:ilvl w:val="0"/>
                <w:numId w:val="13"/>
              </w:numPr>
              <w:ind w:left="284" w:hanging="284"/>
              <w:contextualSpacing/>
              <w:rPr>
                <w:b w:val="0"/>
              </w:rPr>
            </w:pPr>
            <w:r w:rsidRPr="00257F87">
              <w:rPr>
                <w:b w:val="0"/>
              </w:rPr>
              <w:t xml:space="preserve">A welcoming environment needs to be maintained for parents and community within a school environment that values bilingualism (this could be reflected through signs posted announcements made and community out-reached in both in English and I-Kiribati). </w:t>
            </w:r>
          </w:p>
          <w:p w14:paraId="742F5F01" w14:textId="77777777" w:rsidR="00AC362E" w:rsidRPr="00257F87" w:rsidRDefault="00AC362E" w:rsidP="00AE24CE">
            <w:pPr>
              <w:numPr>
                <w:ilvl w:val="0"/>
                <w:numId w:val="13"/>
              </w:numPr>
              <w:ind w:left="284" w:hanging="284"/>
              <w:contextualSpacing/>
              <w:rPr>
                <w:b w:val="0"/>
              </w:rPr>
            </w:pPr>
            <w:r w:rsidRPr="00257F87">
              <w:rPr>
                <w:b w:val="0"/>
              </w:rPr>
              <w:t xml:space="preserve">Policies need to be promoted that position parents (and other family members) as ‘first teachers’ and that engage parent and community involvement at all stages of programme planning, implementation, and evaluation. </w:t>
            </w:r>
          </w:p>
          <w:p w14:paraId="585C9FF9" w14:textId="77777777" w:rsidR="00AC362E" w:rsidRPr="00257F87" w:rsidRDefault="00AC362E" w:rsidP="00AE24CE">
            <w:pPr>
              <w:numPr>
                <w:ilvl w:val="0"/>
                <w:numId w:val="13"/>
              </w:numPr>
              <w:ind w:left="284" w:hanging="284"/>
              <w:contextualSpacing/>
              <w:rPr>
                <w:b w:val="0"/>
              </w:rPr>
            </w:pPr>
            <w:r w:rsidRPr="00257F87">
              <w:rPr>
                <w:b w:val="0"/>
              </w:rPr>
              <w:t xml:space="preserve">The notion of parents as partners and they play different roles (leadership, decision making, resource) in the educational process needs to be embraced. </w:t>
            </w:r>
          </w:p>
          <w:p w14:paraId="747201F9" w14:textId="77777777" w:rsidR="00AC362E" w:rsidRPr="00257F87" w:rsidRDefault="00AC362E" w:rsidP="00AE24CE">
            <w:pPr>
              <w:numPr>
                <w:ilvl w:val="0"/>
                <w:numId w:val="13"/>
              </w:numPr>
              <w:ind w:left="284" w:hanging="284"/>
              <w:contextualSpacing/>
              <w:rPr>
                <w:b w:val="0"/>
              </w:rPr>
            </w:pPr>
            <w:r w:rsidRPr="00257F87">
              <w:rPr>
                <w:b w:val="0"/>
              </w:rPr>
              <w:t>Awareness among parents needs to be raised on the outcomes of the mother-tongue based bilingual education through small demonstration projects that include collection and dissemination of evidence of school attendance, children’s self-confidence and learning.</w:t>
            </w:r>
          </w:p>
          <w:p w14:paraId="54C2AA96" w14:textId="77777777" w:rsidR="00AC362E" w:rsidRPr="00165923" w:rsidRDefault="00AC362E" w:rsidP="00AE24CE">
            <w:pPr>
              <w:numPr>
                <w:ilvl w:val="0"/>
                <w:numId w:val="13"/>
              </w:numPr>
              <w:ind w:left="284" w:hanging="284"/>
              <w:contextualSpacing/>
              <w:rPr>
                <w:rFonts w:cstheme="minorHAnsi"/>
              </w:rPr>
            </w:pPr>
            <w:r w:rsidRPr="00257F87">
              <w:rPr>
                <w:b w:val="0"/>
              </w:rPr>
              <w:t>The value and viability of mother tongue based early education needs to be reinforced through projects that involve parents in the creation of books and posters for children written in their mother tongue and textbooks for children in early primary grades written in their mother tongue that children can bring home and share with their parents.</w:t>
            </w:r>
          </w:p>
        </w:tc>
      </w:tr>
    </w:tbl>
    <w:p w14:paraId="51BA75CA" w14:textId="77777777" w:rsidR="00AC362E" w:rsidRPr="00165923" w:rsidRDefault="00AC362E" w:rsidP="00ED0631">
      <w:pPr>
        <w:pStyle w:val="Heading3"/>
      </w:pPr>
      <w:bookmarkStart w:id="208" w:name="_Toc435787911"/>
      <w:bookmarkStart w:id="209" w:name="_Toc461615805"/>
      <w:r w:rsidRPr="00165923">
        <w:t>Effective Leadership</w:t>
      </w:r>
      <w:bookmarkEnd w:id="208"/>
      <w:bookmarkEnd w:id="209"/>
      <w:r w:rsidRPr="00165923">
        <w:t xml:space="preserve"> </w:t>
      </w:r>
    </w:p>
    <w:p w14:paraId="7945A35E" w14:textId="77777777" w:rsidR="00AC362E" w:rsidRPr="00165923" w:rsidRDefault="00AC362E" w:rsidP="00ED0631">
      <w:pPr>
        <w:rPr>
          <w:rFonts w:eastAsia="Times New Roman" w:cstheme="minorHAnsi"/>
        </w:rPr>
      </w:pPr>
      <w:r w:rsidRPr="00165923">
        <w:rPr>
          <w:rFonts w:eastAsia="Times New Roman" w:cstheme="minorHAnsi"/>
        </w:rPr>
        <w:t>Leadership occurs at all levels:</w:t>
      </w:r>
    </w:p>
    <w:p w14:paraId="7F9936F2" w14:textId="77777777" w:rsidR="00AC362E" w:rsidRPr="00165923" w:rsidRDefault="00AC362E" w:rsidP="00AE24CE">
      <w:pPr>
        <w:numPr>
          <w:ilvl w:val="0"/>
          <w:numId w:val="13"/>
        </w:numPr>
        <w:spacing w:after="0"/>
        <w:ind w:left="284" w:hanging="284"/>
        <w:contextualSpacing/>
        <w:rPr>
          <w:bCs/>
        </w:rPr>
      </w:pPr>
      <w:r w:rsidRPr="00165923">
        <w:rPr>
          <w:bCs/>
        </w:rPr>
        <w:t>Students provide leadership by aspiring to become bilingual Villarreal and Solis, nd)</w:t>
      </w:r>
      <w:hyperlink r:id="rId68" w:history="1">
        <w:r w:rsidRPr="00165923">
          <w:rPr>
            <w:bCs/>
          </w:rPr>
          <w:t>.</w:t>
        </w:r>
      </w:hyperlink>
      <w:r w:rsidRPr="00165923">
        <w:rPr>
          <w:bCs/>
        </w:rPr>
        <w:t xml:space="preserve"> </w:t>
      </w:r>
    </w:p>
    <w:p w14:paraId="33DDCE09" w14:textId="77777777" w:rsidR="00AC362E" w:rsidRPr="00165923" w:rsidRDefault="00AC362E" w:rsidP="00AE24CE">
      <w:pPr>
        <w:numPr>
          <w:ilvl w:val="0"/>
          <w:numId w:val="13"/>
        </w:numPr>
        <w:spacing w:after="0"/>
        <w:ind w:left="284" w:hanging="284"/>
        <w:contextualSpacing/>
        <w:rPr>
          <w:bCs/>
        </w:rPr>
      </w:pPr>
      <w:r w:rsidRPr="00165923">
        <w:rPr>
          <w:bCs/>
        </w:rPr>
        <w:t xml:space="preserve">Parents become community voices and create a support network that sustains and nurtures the valuable role schools play in promoting bilingualism. </w:t>
      </w:r>
    </w:p>
    <w:p w14:paraId="5F360D4E" w14:textId="77777777" w:rsidR="00AC362E" w:rsidRPr="00165923" w:rsidRDefault="00AC362E" w:rsidP="00AE24CE">
      <w:pPr>
        <w:numPr>
          <w:ilvl w:val="0"/>
          <w:numId w:val="13"/>
        </w:numPr>
        <w:spacing w:after="0"/>
        <w:ind w:left="284" w:hanging="284"/>
        <w:contextualSpacing/>
        <w:rPr>
          <w:bCs/>
        </w:rPr>
      </w:pPr>
      <w:r w:rsidRPr="00165923">
        <w:rPr>
          <w:bCs/>
        </w:rPr>
        <w:t xml:space="preserve">Teachers create learning opportunities for children to experience the benefits of bilingualism. </w:t>
      </w:r>
    </w:p>
    <w:p w14:paraId="5C1DA748" w14:textId="77777777" w:rsidR="00257F87" w:rsidRPr="00257F87" w:rsidRDefault="00AC362E" w:rsidP="00AE24CE">
      <w:pPr>
        <w:numPr>
          <w:ilvl w:val="0"/>
          <w:numId w:val="13"/>
        </w:numPr>
        <w:spacing w:after="0"/>
        <w:ind w:left="284" w:hanging="284"/>
        <w:contextualSpacing/>
        <w:rPr>
          <w:rFonts w:cstheme="minorHAnsi"/>
          <w:b/>
        </w:rPr>
      </w:pPr>
      <w:r w:rsidRPr="00257F87">
        <w:rPr>
          <w:bCs/>
        </w:rPr>
        <w:t xml:space="preserve">Administrators are the pro-active and informed voices in the community responsible for orchestrating the resources that make bilingualism a reality on a school campus. </w:t>
      </w:r>
    </w:p>
    <w:p w14:paraId="47DBA3CC" w14:textId="77777777" w:rsidR="00257F87" w:rsidRPr="00257F87" w:rsidRDefault="00257F87" w:rsidP="00257F87">
      <w:pPr>
        <w:spacing w:after="0"/>
        <w:contextualSpacing/>
        <w:rPr>
          <w:rFonts w:cstheme="minorHAnsi"/>
          <w:b/>
        </w:rPr>
      </w:pPr>
    </w:p>
    <w:p w14:paraId="734689BC" w14:textId="78A75E5A" w:rsidR="00AC362E" w:rsidRDefault="00AC362E" w:rsidP="00257F87">
      <w:pPr>
        <w:spacing w:after="0"/>
        <w:contextualSpacing/>
        <w:rPr>
          <w:rFonts w:cstheme="minorHAnsi"/>
          <w:color w:val="231F20"/>
        </w:rPr>
      </w:pPr>
      <w:r w:rsidRPr="00257F87">
        <w:rPr>
          <w:rFonts w:eastAsia="Times New Roman" w:cstheme="minorHAnsi"/>
        </w:rPr>
        <w:t xml:space="preserve">The absence of leadership on a campus can significantly undermine a bilingual education program. Support from central administration is extremely important to facilitate and accelerate the success of the bilingual education program. </w:t>
      </w:r>
      <w:r w:rsidRPr="00257F87">
        <w:rPr>
          <w:rFonts w:cstheme="minorHAnsi"/>
          <w:color w:val="231F20"/>
        </w:rPr>
        <w:t xml:space="preserve">Literature identified three major tasks for program leaders to execute bilingual programs effectively: </w:t>
      </w:r>
    </w:p>
    <w:p w14:paraId="5027A1C0" w14:textId="77777777" w:rsidR="00257F87" w:rsidRPr="00257F87" w:rsidRDefault="00257F87" w:rsidP="00257F87">
      <w:pPr>
        <w:spacing w:after="0"/>
        <w:contextualSpacing/>
        <w:rPr>
          <w:rFonts w:cstheme="minorHAnsi"/>
          <w:b/>
        </w:rPr>
      </w:pPr>
    </w:p>
    <w:p w14:paraId="741ED480" w14:textId="77777777" w:rsidR="00AC362E" w:rsidRPr="00165923" w:rsidRDefault="00AC362E" w:rsidP="00ED0631">
      <w:pPr>
        <w:autoSpaceDE w:val="0"/>
        <w:autoSpaceDN w:val="0"/>
        <w:adjustRightInd w:val="0"/>
        <w:rPr>
          <w:rFonts w:cstheme="minorHAnsi"/>
          <w:color w:val="231F20"/>
        </w:rPr>
      </w:pPr>
      <w:r w:rsidRPr="00165923">
        <w:rPr>
          <w:rFonts w:cstheme="minorHAnsi"/>
          <w:b/>
          <w:i/>
          <w:color w:val="231F20"/>
        </w:rPr>
        <w:t>School leaders need to act as program advocate and liaison</w:t>
      </w:r>
      <w:r w:rsidRPr="00165923">
        <w:rPr>
          <w:rFonts w:cstheme="minorHAnsi"/>
          <w:i/>
          <w:color w:val="231F20"/>
        </w:rPr>
        <w:t>.</w:t>
      </w:r>
      <w:r w:rsidRPr="00165923">
        <w:rPr>
          <w:rFonts w:cstheme="minorHAnsi"/>
          <w:color w:val="231F20"/>
        </w:rPr>
        <w:t xml:space="preserve"> An effective leader serves the critical role of spokesperson for the program with the local school administration, the local Board of Education, the parents and the community.</w:t>
      </w:r>
    </w:p>
    <w:p w14:paraId="5DCB1F38" w14:textId="77777777" w:rsidR="00AC362E" w:rsidRPr="00165923" w:rsidRDefault="00AC362E" w:rsidP="00ED0631">
      <w:pPr>
        <w:autoSpaceDE w:val="0"/>
        <w:autoSpaceDN w:val="0"/>
        <w:adjustRightInd w:val="0"/>
        <w:rPr>
          <w:rFonts w:cstheme="minorHAnsi"/>
          <w:color w:val="231F20"/>
        </w:rPr>
      </w:pPr>
      <w:r w:rsidRPr="00165923">
        <w:rPr>
          <w:rFonts w:cstheme="minorHAnsi"/>
          <w:b/>
          <w:i/>
          <w:color w:val="231F20"/>
        </w:rPr>
        <w:t>School leaders need to supervise development, planning and coordination</w:t>
      </w:r>
      <w:r w:rsidRPr="00165923">
        <w:rPr>
          <w:rFonts w:cstheme="minorHAnsi"/>
          <w:b/>
          <w:color w:val="231F20"/>
        </w:rPr>
        <w:t>.</w:t>
      </w:r>
      <w:r w:rsidRPr="00165923">
        <w:rPr>
          <w:rFonts w:cstheme="minorHAnsi"/>
          <w:color w:val="231F20"/>
        </w:rPr>
        <w:t xml:space="preserve">  An effective leader is in charge of developing, planning, implementing, and evaluating the bilingual education model at the school site. This role necessitates a clear understanding of the theory underlying the model in order to make appropriate instructional decisions when implementation questions arise. Once the instructional model is developed and implemented, it is important that leadership continues in the capacity of model development, as research shows that a higher level of planning and coordination across grades is almost always a feature of more successful programs (Levine &amp; Lezotte, 1995; Met &amp; Lorenz, 1997). </w:t>
      </w:r>
    </w:p>
    <w:p w14:paraId="547996C3" w14:textId="77777777" w:rsidR="00AC362E" w:rsidRPr="00165923" w:rsidRDefault="00AC362E" w:rsidP="00ED0631">
      <w:pPr>
        <w:autoSpaceDE w:val="0"/>
        <w:autoSpaceDN w:val="0"/>
        <w:adjustRightInd w:val="0"/>
        <w:rPr>
          <w:rFonts w:cstheme="minorHAnsi"/>
          <w:color w:val="231F20"/>
        </w:rPr>
      </w:pPr>
      <w:r w:rsidRPr="00165923">
        <w:rPr>
          <w:rFonts w:cstheme="minorHAnsi"/>
          <w:b/>
          <w:i/>
          <w:color w:val="231F20"/>
        </w:rPr>
        <w:t>School leaders need to facilitate staff cohesion, collegiality, and development.</w:t>
      </w:r>
      <w:r w:rsidRPr="00165923">
        <w:rPr>
          <w:rFonts w:cstheme="minorHAnsi"/>
          <w:b/>
          <w:color w:val="231F20"/>
        </w:rPr>
        <w:t xml:space="preserve"> </w:t>
      </w:r>
      <w:r w:rsidRPr="00165923">
        <w:rPr>
          <w:rFonts w:cstheme="minorHAnsi"/>
          <w:bCs/>
          <w:iCs/>
        </w:rPr>
        <w:t xml:space="preserve">This requires creating a collaborative and achievement oriented work environment, </w:t>
      </w:r>
      <w:r w:rsidRPr="00165923">
        <w:rPr>
          <w:rFonts w:cstheme="minorHAnsi"/>
        </w:rPr>
        <w:t>combating teacher isolation, closed doors, negativism and teacher resistance. Successful leaders focus on building a sense of school community that is upbeat, welcoming and solution-oriented</w:t>
      </w:r>
    </w:p>
    <w:p w14:paraId="57999480" w14:textId="3912A62E" w:rsidR="00257F87" w:rsidRDefault="00AC362E" w:rsidP="00ED0631">
      <w:pPr>
        <w:autoSpaceDE w:val="0"/>
        <w:autoSpaceDN w:val="0"/>
        <w:adjustRightInd w:val="0"/>
        <w:rPr>
          <w:rFonts w:cstheme="minorHAnsi"/>
          <w:color w:val="231F20"/>
        </w:rPr>
      </w:pPr>
      <w:r w:rsidRPr="00165923">
        <w:rPr>
          <w:rFonts w:cstheme="minorHAnsi"/>
          <w:color w:val="231F20"/>
        </w:rPr>
        <w:t>To carry out these responsibilities, it is important that the leader or leadership group has extensive knowledge of the language education model being implemented at the site, second language development, bilingual and immersion education theory and research, instructional methodologies, effective classroom practices, and the belief that the selected language education model can work.</w:t>
      </w:r>
    </w:p>
    <w:p w14:paraId="1B7E1578" w14:textId="77777777" w:rsidR="00257F87" w:rsidRDefault="00257F87">
      <w:pPr>
        <w:spacing w:line="276" w:lineRule="auto"/>
        <w:rPr>
          <w:rFonts w:cstheme="minorHAnsi"/>
          <w:color w:val="231F20"/>
        </w:rPr>
      </w:pPr>
      <w:r>
        <w:rPr>
          <w:rFonts w:cstheme="minorHAnsi"/>
          <w:color w:val="231F20"/>
        </w:rPr>
        <w:br w:type="page"/>
      </w:r>
    </w:p>
    <w:tbl>
      <w:tblPr>
        <w:tblStyle w:val="MediumGrid1-Accent5"/>
        <w:tblW w:w="0" w:type="auto"/>
        <w:tblLook w:val="04A0" w:firstRow="1" w:lastRow="0" w:firstColumn="1" w:lastColumn="0" w:noHBand="0" w:noVBand="1"/>
        <w:tblCaption w:val="Recommendations for school leaders"/>
        <w:tblDescription w:val="• Leaders need to provide leadership, credibility and respect for the program and its articulation. &#10;• Publicity and public awareness need to be created to promote the value of bilingual program and the approach adopted.&#10;• Leaders need to be well-informed on the rationale for bilingual education and share an active commitment to bilingualism. &#10;• A pro-active approach is required to involve the community and private sector in the design and development of the bilingual program. &#10;"/>
      </w:tblPr>
      <w:tblGrid>
        <w:gridCol w:w="9006"/>
      </w:tblGrid>
      <w:tr w:rsidR="00AC362E" w:rsidRPr="00165923" w14:paraId="56E7D130" w14:textId="77777777" w:rsidTr="00257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tcPr>
          <w:p w14:paraId="39E2CE4A" w14:textId="77777777" w:rsidR="00AC362E" w:rsidRPr="00165923" w:rsidRDefault="00AC362E" w:rsidP="00ED0631">
            <w:pPr>
              <w:rPr>
                <w:rFonts w:cstheme="minorHAnsi"/>
              </w:rPr>
            </w:pPr>
            <w:r w:rsidRPr="00165923">
              <w:rPr>
                <w:rFonts w:cstheme="minorHAnsi"/>
              </w:rPr>
              <w:lastRenderedPageBreak/>
              <w:t>Recommendations for school leaders:</w:t>
            </w:r>
          </w:p>
          <w:p w14:paraId="4D10B3EA" w14:textId="77777777" w:rsidR="00AC362E" w:rsidRPr="00257F87" w:rsidRDefault="00AC362E" w:rsidP="00AE24CE">
            <w:pPr>
              <w:numPr>
                <w:ilvl w:val="0"/>
                <w:numId w:val="13"/>
              </w:numPr>
              <w:ind w:left="284" w:hanging="284"/>
              <w:contextualSpacing/>
              <w:rPr>
                <w:b w:val="0"/>
              </w:rPr>
            </w:pPr>
            <w:r w:rsidRPr="00257F87">
              <w:rPr>
                <w:b w:val="0"/>
              </w:rPr>
              <w:t xml:space="preserve">Leaders need to provide leadership, credibility and respect for the program and its articulation. </w:t>
            </w:r>
          </w:p>
          <w:p w14:paraId="14D2F958" w14:textId="77777777" w:rsidR="00AC362E" w:rsidRPr="00257F87" w:rsidRDefault="00AC362E" w:rsidP="00AE24CE">
            <w:pPr>
              <w:numPr>
                <w:ilvl w:val="0"/>
                <w:numId w:val="13"/>
              </w:numPr>
              <w:ind w:left="284" w:hanging="284"/>
              <w:contextualSpacing/>
              <w:rPr>
                <w:b w:val="0"/>
              </w:rPr>
            </w:pPr>
            <w:r w:rsidRPr="00257F87">
              <w:rPr>
                <w:b w:val="0"/>
              </w:rPr>
              <w:t>Publicity and public awareness need to be created to promote the value of bilingual program and the approach adopted.</w:t>
            </w:r>
          </w:p>
          <w:p w14:paraId="7CB45691" w14:textId="77777777" w:rsidR="00AC362E" w:rsidRPr="00257F87" w:rsidRDefault="00AC362E" w:rsidP="00AE24CE">
            <w:pPr>
              <w:numPr>
                <w:ilvl w:val="0"/>
                <w:numId w:val="13"/>
              </w:numPr>
              <w:ind w:left="284" w:hanging="284"/>
              <w:contextualSpacing/>
              <w:rPr>
                <w:b w:val="0"/>
              </w:rPr>
            </w:pPr>
            <w:r w:rsidRPr="00257F87">
              <w:rPr>
                <w:b w:val="0"/>
              </w:rPr>
              <w:t xml:space="preserve">Leaders need to be well-informed on the rationale for bilingual education and share an active commitment to bilingualism. </w:t>
            </w:r>
          </w:p>
          <w:p w14:paraId="2D6A0252" w14:textId="77777777" w:rsidR="00AC362E" w:rsidRPr="00165923" w:rsidRDefault="00AC362E" w:rsidP="00AE24CE">
            <w:pPr>
              <w:numPr>
                <w:ilvl w:val="0"/>
                <w:numId w:val="13"/>
              </w:numPr>
              <w:ind w:left="284" w:hanging="284"/>
              <w:contextualSpacing/>
              <w:rPr>
                <w:rFonts w:eastAsia="Times New Roman" w:cstheme="minorHAnsi"/>
              </w:rPr>
            </w:pPr>
            <w:r w:rsidRPr="00257F87">
              <w:rPr>
                <w:b w:val="0"/>
              </w:rPr>
              <w:t>A pro-active approach is required to involve the community and private sector in the design and development of the bilingual program.</w:t>
            </w:r>
            <w:r w:rsidRPr="00257F87">
              <w:rPr>
                <w:rFonts w:eastAsia="Times New Roman" w:cstheme="minorHAnsi"/>
                <w:b w:val="0"/>
              </w:rPr>
              <w:t xml:space="preserve"> </w:t>
            </w:r>
          </w:p>
        </w:tc>
      </w:tr>
    </w:tbl>
    <w:p w14:paraId="165110A2" w14:textId="77777777" w:rsidR="00AC362E" w:rsidRPr="00165923" w:rsidRDefault="00AC362E" w:rsidP="00ED0631">
      <w:pPr>
        <w:pStyle w:val="Heading2"/>
      </w:pPr>
      <w:bookmarkStart w:id="210" w:name="_Toc435788128"/>
      <w:bookmarkStart w:id="211" w:name="_Toc461615806"/>
      <w:r w:rsidRPr="00165923">
        <w:t>References</w:t>
      </w:r>
      <w:bookmarkEnd w:id="210"/>
      <w:bookmarkEnd w:id="211"/>
    </w:p>
    <w:p w14:paraId="3EF7C36F" w14:textId="77777777" w:rsidR="00AC362E" w:rsidRPr="000D1BC6" w:rsidRDefault="00AC362E" w:rsidP="00AE24CE">
      <w:pPr>
        <w:numPr>
          <w:ilvl w:val="0"/>
          <w:numId w:val="24"/>
        </w:numPr>
        <w:spacing w:before="80" w:after="80" w:line="276" w:lineRule="auto"/>
        <w:ind w:left="426" w:hanging="426"/>
        <w:rPr>
          <w:rFonts w:cstheme="minorHAnsi"/>
          <w:spacing w:val="-6"/>
          <w:lang w:eastAsia="en-AU"/>
        </w:rPr>
      </w:pPr>
      <w:r w:rsidRPr="000D1BC6">
        <w:rPr>
          <w:rFonts w:cstheme="minorHAnsi"/>
          <w:bCs/>
          <w:spacing w:val="-6"/>
          <w:lang w:eastAsia="en-AU"/>
        </w:rPr>
        <w:t>Andersson, T., &amp; Boyer, M.</w:t>
      </w:r>
      <w:r w:rsidRPr="000D1BC6">
        <w:rPr>
          <w:rFonts w:cstheme="minorHAnsi"/>
          <w:spacing w:val="-6"/>
          <w:lang w:eastAsia="en-AU"/>
        </w:rPr>
        <w:t xml:space="preserve">, 1970, </w:t>
      </w:r>
      <w:r w:rsidRPr="000D1BC6">
        <w:rPr>
          <w:rFonts w:cstheme="minorHAnsi"/>
          <w:i/>
          <w:iCs/>
          <w:spacing w:val="-6"/>
          <w:lang w:eastAsia="en-AU"/>
        </w:rPr>
        <w:t>Bilingual schooling in the United States</w:t>
      </w:r>
      <w:r w:rsidRPr="000D1BC6">
        <w:rPr>
          <w:rFonts w:cstheme="minorHAnsi"/>
          <w:spacing w:val="-6"/>
          <w:lang w:eastAsia="en-AU"/>
        </w:rPr>
        <w:t>, Vol. 1. Austin, TX: Southwest Educational Development Laboratory</w:t>
      </w:r>
    </w:p>
    <w:p w14:paraId="42115616"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 xml:space="preserve">Baker, C., 2006, </w:t>
      </w:r>
      <w:r w:rsidRPr="000D1BC6">
        <w:rPr>
          <w:rFonts w:cstheme="minorHAnsi"/>
          <w:i/>
          <w:iCs/>
          <w:spacing w:val="-6"/>
        </w:rPr>
        <w:t>Foundations of Bilingual Education and Bilingualism</w:t>
      </w:r>
      <w:r w:rsidRPr="000D1BC6">
        <w:rPr>
          <w:rFonts w:cstheme="minorHAnsi"/>
          <w:spacing w:val="-6"/>
        </w:rPr>
        <w:t xml:space="preserve"> (4rd ed.), Clevedon, England: Multilingual Matters.</w:t>
      </w:r>
    </w:p>
    <w:p w14:paraId="2E205EE3" w14:textId="77777777" w:rsidR="00AC362E" w:rsidRPr="000D1BC6" w:rsidRDefault="00AC362E" w:rsidP="00AE24CE">
      <w:pPr>
        <w:numPr>
          <w:ilvl w:val="0"/>
          <w:numId w:val="24"/>
        </w:numPr>
        <w:autoSpaceDE w:val="0"/>
        <w:autoSpaceDN w:val="0"/>
        <w:adjustRightInd w:val="0"/>
        <w:spacing w:before="80" w:after="80" w:line="276" w:lineRule="auto"/>
        <w:ind w:left="426" w:hanging="426"/>
        <w:rPr>
          <w:rFonts w:cstheme="minorHAnsi"/>
          <w:spacing w:val="-6"/>
        </w:rPr>
      </w:pPr>
      <w:r w:rsidRPr="000D1BC6">
        <w:rPr>
          <w:rFonts w:cstheme="minorHAnsi"/>
          <w:spacing w:val="-6"/>
        </w:rPr>
        <w:t>Birdsong, D., 1992, ‘Ultimate attainment in second language acquisition’. Language 68, pp. 706-755.</w:t>
      </w:r>
    </w:p>
    <w:p w14:paraId="2AE4FC96" w14:textId="2BA6A3D4"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 xml:space="preserve">Cummins, J., 1979, Cognitive/academic language proficiency, linguistic interdependence, the optimum age question and some other matters.  </w:t>
      </w:r>
      <w:r w:rsidRPr="000D1BC6">
        <w:rPr>
          <w:rFonts w:cstheme="minorHAnsi"/>
          <w:spacing w:val="-6"/>
          <w:u w:val="single"/>
        </w:rPr>
        <w:t>Working Papers on Bilingualism</w:t>
      </w:r>
      <w:r w:rsidRPr="000D1BC6">
        <w:rPr>
          <w:rFonts w:cstheme="minorHAnsi"/>
          <w:spacing w:val="-6"/>
        </w:rPr>
        <w:t>, No. 19, 121-129.</w:t>
      </w:r>
    </w:p>
    <w:p w14:paraId="2DBAE354" w14:textId="77777777" w:rsidR="00AC362E" w:rsidRPr="000D1BC6" w:rsidRDefault="00AC362E" w:rsidP="00AE24CE">
      <w:pPr>
        <w:numPr>
          <w:ilvl w:val="0"/>
          <w:numId w:val="24"/>
        </w:numPr>
        <w:spacing w:before="80" w:after="80" w:line="276" w:lineRule="auto"/>
        <w:ind w:left="426" w:hanging="426"/>
        <w:rPr>
          <w:rFonts w:cstheme="minorHAnsi"/>
          <w:i/>
          <w:iCs/>
          <w:spacing w:val="-6"/>
        </w:rPr>
      </w:pPr>
      <w:r w:rsidRPr="000D1BC6">
        <w:rPr>
          <w:rFonts w:cstheme="minorHAnsi"/>
          <w:spacing w:val="-6"/>
        </w:rPr>
        <w:t xml:space="preserve">Cummins, J., 1998, Immersion education for the millennium: What have we learned from 30 years of research on second language immersion? In M. R. Childs &amp; R. M. Bostwick (Eds.) </w:t>
      </w:r>
      <w:r w:rsidRPr="000D1BC6">
        <w:rPr>
          <w:rFonts w:cstheme="minorHAnsi"/>
          <w:i/>
          <w:iCs/>
          <w:spacing w:val="-6"/>
        </w:rPr>
        <w:t xml:space="preserve">Learning through two languages: Research and practice. </w:t>
      </w:r>
    </w:p>
    <w:p w14:paraId="75AFE960"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 xml:space="preserve">Devette-Chee, K., 2014, BILINGUAL EDUCATION IN A MULTILINGUAL NATION: Attitudes towards Tok Pisin and Tolai in Papua New Guinea Primary Schools. </w:t>
      </w:r>
      <w:r w:rsidRPr="000D1BC6">
        <w:rPr>
          <w:rFonts w:cstheme="minorHAnsi"/>
          <w:i/>
          <w:iCs/>
          <w:spacing w:val="-6"/>
        </w:rPr>
        <w:t xml:space="preserve">Katoh Gakuen International Symposium on Immersion and Bilingual Education. </w:t>
      </w:r>
      <w:r w:rsidRPr="000D1BC6">
        <w:rPr>
          <w:rFonts w:cstheme="minorHAnsi"/>
          <w:spacing w:val="-6"/>
        </w:rPr>
        <w:t>(pp. 34-47). Katoh Gakuen, Japan.</w:t>
      </w:r>
    </w:p>
    <w:p w14:paraId="7898FC3C"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Jacqueline, S. and Newport, E., 1989, Critical Period Effects in Second Language Learning: The Influence of Maturational, State on the Acquisition of English as a Second Language. Cognitive Psychology 21.</w:t>
      </w:r>
    </w:p>
    <w:p w14:paraId="20118D73"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Lindholm-Leary, K. J., 2005, Review of Research and Best Practice on Effective Features of Dual Language Education Programs</w:t>
      </w:r>
    </w:p>
    <w:p w14:paraId="3D25CDB7" w14:textId="70E57B16" w:rsidR="00AC362E" w:rsidRPr="000D1BC6" w:rsidRDefault="00AC362E" w:rsidP="00AE24CE">
      <w:pPr>
        <w:numPr>
          <w:ilvl w:val="0"/>
          <w:numId w:val="24"/>
        </w:numPr>
        <w:autoSpaceDE w:val="0"/>
        <w:autoSpaceDN w:val="0"/>
        <w:adjustRightInd w:val="0"/>
        <w:spacing w:before="80" w:after="80"/>
        <w:ind w:left="426" w:hanging="426"/>
        <w:rPr>
          <w:rFonts w:cstheme="minorHAnsi"/>
          <w:bCs/>
          <w:spacing w:val="-6"/>
          <w:kern w:val="36"/>
          <w:lang w:val="en-US" w:eastAsia="en-AU"/>
        </w:rPr>
      </w:pPr>
      <w:r w:rsidRPr="000D1BC6">
        <w:rPr>
          <w:rFonts w:cstheme="minorHAnsi"/>
          <w:color w:val="000000"/>
          <w:spacing w:val="-6"/>
        </w:rPr>
        <w:t>Malarz, L.,2014, Bilingual Education: Effective Programming for Language-Minority Students</w:t>
      </w:r>
      <w:r w:rsidRPr="000D1BC6">
        <w:rPr>
          <w:rFonts w:cstheme="minorHAnsi"/>
          <w:bCs/>
          <w:spacing w:val="-6"/>
          <w:kern w:val="36"/>
          <w:lang w:val="en-US" w:eastAsia="en-AU"/>
        </w:rPr>
        <w:t xml:space="preserve"> </w:t>
      </w:r>
      <w:r w:rsidR="00AA73E1" w:rsidRPr="000D1BC6">
        <w:rPr>
          <w:rFonts w:cstheme="minorHAnsi"/>
          <w:bCs/>
          <w:spacing w:val="-6"/>
          <w:kern w:val="36"/>
          <w:lang w:val="en-US" w:eastAsia="en-AU"/>
        </w:rPr>
        <w:t xml:space="preserve">accessible at: </w:t>
      </w:r>
      <w:r w:rsidRPr="000D1BC6">
        <w:rPr>
          <w:rFonts w:cstheme="minorHAnsi"/>
          <w:bCs/>
          <w:spacing w:val="-6"/>
          <w:kern w:val="36"/>
          <w:lang w:val="en-US" w:eastAsia="en-AU"/>
        </w:rPr>
        <w:t>http://www.ascd.org/publications/curriculum_handbook/413/chapters/Bilingual_Education@_Effective_Programming_for_Language-Minority_Students.aspx</w:t>
      </w:r>
    </w:p>
    <w:p w14:paraId="6E51C0D1" w14:textId="77777777" w:rsidR="00AC362E" w:rsidRPr="000D1BC6" w:rsidRDefault="00AC362E" w:rsidP="00AE24CE">
      <w:pPr>
        <w:numPr>
          <w:ilvl w:val="0"/>
          <w:numId w:val="24"/>
        </w:numPr>
        <w:autoSpaceDE w:val="0"/>
        <w:autoSpaceDN w:val="0"/>
        <w:adjustRightInd w:val="0"/>
        <w:spacing w:before="80" w:after="80" w:line="276" w:lineRule="auto"/>
        <w:ind w:left="426" w:hanging="426"/>
        <w:rPr>
          <w:rFonts w:eastAsia="Times New Roman" w:cstheme="minorHAnsi"/>
          <w:spacing w:val="-6"/>
        </w:rPr>
      </w:pPr>
      <w:r w:rsidRPr="000D1BC6">
        <w:rPr>
          <w:rFonts w:cstheme="minorHAnsi"/>
          <w:spacing w:val="-6"/>
        </w:rPr>
        <w:t>New Zealand Ministry of Education, 2013. Tau Mai Te Reo: The Mäori language in education strategy 2013–2017. Wellington, New Zealand</w:t>
      </w:r>
    </w:p>
    <w:p w14:paraId="515EFBE0"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Pacific Policy Research Centre, 2010, Successful Bilingual and Immersion Education Models/Programs. Honolulu. Kamehameha Schools, Research and Evaluation Divison.</w:t>
      </w:r>
    </w:p>
    <w:p w14:paraId="43F19438"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eastAsia="Times New Roman" w:cstheme="minorHAnsi"/>
          <w:i/>
          <w:iCs/>
          <w:spacing w:val="-6"/>
        </w:rPr>
        <w:t xml:space="preserve">Rodríguez, </w:t>
      </w:r>
      <w:r w:rsidRPr="000D1BC6">
        <w:rPr>
          <w:rFonts w:cstheme="minorHAnsi"/>
          <w:spacing w:val="-6"/>
        </w:rPr>
        <w:t>R. G.</w:t>
      </w:r>
      <w:r w:rsidRPr="000D1BC6">
        <w:rPr>
          <w:rFonts w:eastAsia="Times New Roman" w:cstheme="minorHAnsi"/>
          <w:i/>
          <w:iCs/>
          <w:spacing w:val="-6"/>
        </w:rPr>
        <w:t xml:space="preserve"> and Cantu, L., nd., </w:t>
      </w:r>
      <w:r w:rsidRPr="000D1BC6">
        <w:rPr>
          <w:rFonts w:eastAsia="Times New Roman" w:cstheme="minorHAnsi"/>
          <w:spacing w:val="-6"/>
        </w:rPr>
        <w:t>Building Teaching Quality from the Start</w:t>
      </w:r>
      <w:r w:rsidRPr="000D1BC6">
        <w:rPr>
          <w:rFonts w:eastAsia="Times New Roman" w:cstheme="minorHAnsi"/>
          <w:bCs/>
          <w:spacing w:val="-6"/>
        </w:rPr>
        <w:t xml:space="preserve"> New Skills for New Teachers. IDRA</w:t>
      </w:r>
    </w:p>
    <w:p w14:paraId="25D00C00" w14:textId="77777777" w:rsidR="00AC362E" w:rsidRPr="000D1BC6" w:rsidRDefault="00AC362E" w:rsidP="00AE24CE">
      <w:pPr>
        <w:numPr>
          <w:ilvl w:val="0"/>
          <w:numId w:val="24"/>
        </w:numPr>
        <w:spacing w:before="80" w:after="80" w:line="276" w:lineRule="auto"/>
        <w:ind w:left="426" w:hanging="426"/>
        <w:rPr>
          <w:rFonts w:eastAsia="Times New Roman" w:cstheme="minorHAnsi"/>
          <w:spacing w:val="-6"/>
        </w:rPr>
      </w:pPr>
      <w:r w:rsidRPr="000D1BC6">
        <w:rPr>
          <w:rFonts w:cstheme="minorHAnsi"/>
          <w:spacing w:val="-6"/>
        </w:rPr>
        <w:t xml:space="preserve">Rodríguez, R. G. and Villarreal, A., nd., </w:t>
      </w:r>
      <w:r w:rsidRPr="000D1BC6">
        <w:rPr>
          <w:rFonts w:eastAsia="Times New Roman" w:cstheme="minorHAnsi"/>
          <w:spacing w:val="-6"/>
        </w:rPr>
        <w:t>Effective Bilingual Teacher Preparation: an action agenda. IDRA</w:t>
      </w:r>
    </w:p>
    <w:p w14:paraId="396925CE" w14:textId="2EAFEE3C"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 xml:space="preserve">Stefka H. Marinova-Todd; D. Bradford Marshall; Catherine E. Snow; </w:t>
      </w:r>
      <w:r w:rsidRPr="000D1BC6">
        <w:rPr>
          <w:rFonts w:cstheme="minorHAnsi"/>
          <w:bCs/>
          <w:spacing w:val="-6"/>
        </w:rPr>
        <w:t xml:space="preserve">Three Misconceptions about Age and L2 Learning; </w:t>
      </w:r>
      <w:r w:rsidRPr="000D1BC6">
        <w:rPr>
          <w:rFonts w:cstheme="minorHAnsi"/>
          <w:i/>
          <w:iCs/>
          <w:spacing w:val="-6"/>
        </w:rPr>
        <w:t>TESOL Quarterly</w:t>
      </w:r>
      <w:r w:rsidRPr="000D1BC6">
        <w:rPr>
          <w:rFonts w:cstheme="minorHAnsi"/>
          <w:spacing w:val="-6"/>
        </w:rPr>
        <w:t>, Vol. 34, No. 1. (Spring, 2000), pp. 9-34.</w:t>
      </w:r>
    </w:p>
    <w:p w14:paraId="11DC2675" w14:textId="77777777" w:rsidR="00AC362E" w:rsidRPr="000D1BC6" w:rsidRDefault="00AC362E" w:rsidP="00AE24CE">
      <w:pPr>
        <w:numPr>
          <w:ilvl w:val="0"/>
          <w:numId w:val="24"/>
        </w:numPr>
        <w:spacing w:before="80" w:after="80" w:line="276" w:lineRule="auto"/>
        <w:ind w:left="426" w:hanging="426"/>
        <w:rPr>
          <w:rFonts w:cstheme="minorHAnsi"/>
          <w:spacing w:val="-6"/>
        </w:rPr>
      </w:pPr>
      <w:r w:rsidRPr="000D1BC6">
        <w:rPr>
          <w:rFonts w:cstheme="minorHAnsi"/>
          <w:spacing w:val="-6"/>
        </w:rPr>
        <w:t xml:space="preserve">Turnbull, M., Lapkin, S., Hart, D., &amp; Swain, M. (1998). Time on task and immersion graduates’ French proficiency. In S. Lapkin (ed.), </w:t>
      </w:r>
      <w:r w:rsidRPr="000D1BC6">
        <w:rPr>
          <w:rFonts w:cstheme="minorHAnsi"/>
          <w:i/>
          <w:iCs/>
          <w:spacing w:val="-6"/>
        </w:rPr>
        <w:t xml:space="preserve">French second language education in Canada: Empirical studies </w:t>
      </w:r>
      <w:r w:rsidRPr="000D1BC6">
        <w:rPr>
          <w:rFonts w:cstheme="minorHAnsi"/>
          <w:spacing w:val="-6"/>
        </w:rPr>
        <w:t>(pp. 31-55). Toronto: University of Toronto Press.</w:t>
      </w:r>
    </w:p>
    <w:p w14:paraId="45BC0915" w14:textId="77777777" w:rsidR="00AC362E" w:rsidRPr="000D1BC6" w:rsidRDefault="00AC362E" w:rsidP="00AE24CE">
      <w:pPr>
        <w:numPr>
          <w:ilvl w:val="0"/>
          <w:numId w:val="24"/>
        </w:numPr>
        <w:autoSpaceDE w:val="0"/>
        <w:autoSpaceDN w:val="0"/>
        <w:adjustRightInd w:val="0"/>
        <w:spacing w:before="80" w:after="80" w:line="276" w:lineRule="auto"/>
        <w:ind w:left="426" w:hanging="426"/>
        <w:rPr>
          <w:rFonts w:cstheme="minorHAnsi"/>
          <w:spacing w:val="-6"/>
        </w:rPr>
      </w:pPr>
      <w:r w:rsidRPr="000D1BC6">
        <w:rPr>
          <w:rFonts w:cstheme="minorHAnsi"/>
          <w:spacing w:val="-6"/>
        </w:rPr>
        <w:t>UNESCO (Jessica ball), 2011, Enhancing Learning of children from diverse language backgrounds- Mother Tongue-Based Bilingual or Multilingual Education in the Early Years.</w:t>
      </w:r>
    </w:p>
    <w:p w14:paraId="59B53568" w14:textId="77777777" w:rsidR="00AC362E" w:rsidRPr="000D1BC6" w:rsidRDefault="00AC362E" w:rsidP="00AE24CE">
      <w:pPr>
        <w:numPr>
          <w:ilvl w:val="0"/>
          <w:numId w:val="24"/>
        </w:numPr>
        <w:autoSpaceDE w:val="0"/>
        <w:autoSpaceDN w:val="0"/>
        <w:adjustRightInd w:val="0"/>
        <w:spacing w:before="80" w:after="80" w:line="276" w:lineRule="auto"/>
        <w:ind w:left="426" w:hanging="426"/>
        <w:rPr>
          <w:rFonts w:cstheme="minorHAnsi"/>
          <w:spacing w:val="-6"/>
        </w:rPr>
      </w:pPr>
      <w:r w:rsidRPr="000D1BC6">
        <w:rPr>
          <w:rFonts w:eastAsia="Times New Roman" w:cstheme="minorHAnsi"/>
          <w:spacing w:val="-6"/>
        </w:rPr>
        <w:t xml:space="preserve">Villarreal, A. and </w:t>
      </w:r>
      <w:hyperlink r:id="rId69" w:history="1">
        <w:r w:rsidRPr="000D1BC6">
          <w:rPr>
            <w:rFonts w:eastAsia="Times New Roman" w:cstheme="minorHAnsi"/>
            <w:spacing w:val="-6"/>
          </w:rPr>
          <w:t>Solís, A.</w:t>
        </w:r>
      </w:hyperlink>
      <w:r w:rsidRPr="000D1BC6">
        <w:rPr>
          <w:rFonts w:eastAsia="Times New Roman" w:cstheme="minorHAnsi"/>
          <w:spacing w:val="-6"/>
        </w:rPr>
        <w:t xml:space="preserve">, nd., </w:t>
      </w:r>
      <w:r w:rsidRPr="000D1BC6">
        <w:rPr>
          <w:rFonts w:eastAsia="Times New Roman" w:cstheme="minorHAnsi"/>
          <w:bCs/>
          <w:spacing w:val="-6"/>
        </w:rPr>
        <w:t>Summary of Effective Implementation of Bilingual Programs: Reflections from the Field. IDRA</w:t>
      </w:r>
    </w:p>
    <w:p w14:paraId="17CEBB43" w14:textId="77777777" w:rsidR="00AC362E" w:rsidRPr="00257F87" w:rsidRDefault="00AC362E" w:rsidP="00257F87">
      <w:pPr>
        <w:pStyle w:val="Heading1"/>
        <w:ind w:left="0" w:firstLine="0"/>
      </w:pPr>
      <w:bookmarkStart w:id="212" w:name="_Toc435788129"/>
      <w:bookmarkStart w:id="213" w:name="_Toc461615807"/>
      <w:r w:rsidRPr="00257F87">
        <w:lastRenderedPageBreak/>
        <w:t>Research Question 3. How should assessment be most effectively used in basic education teaching and learning?</w:t>
      </w:r>
      <w:bookmarkEnd w:id="212"/>
      <w:bookmarkEnd w:id="213"/>
    </w:p>
    <w:p w14:paraId="70F2C311" w14:textId="77777777" w:rsidR="00AC362E" w:rsidRPr="00257F87" w:rsidRDefault="00AC362E" w:rsidP="00257F87">
      <w:pPr>
        <w:pStyle w:val="Heading2"/>
      </w:pPr>
      <w:bookmarkStart w:id="214" w:name="_Toc435788130"/>
      <w:bookmarkStart w:id="215" w:name="_Toc461615808"/>
      <w:r w:rsidRPr="00257F87">
        <w:t>What is the definition of educational assessment?</w:t>
      </w:r>
      <w:bookmarkEnd w:id="214"/>
      <w:bookmarkEnd w:id="215"/>
    </w:p>
    <w:p w14:paraId="2C325930" w14:textId="77777777" w:rsidR="00AC362E" w:rsidRPr="00512A02" w:rsidRDefault="00AC362E" w:rsidP="00ED0631">
      <w:pPr>
        <w:autoSpaceDE w:val="0"/>
        <w:autoSpaceDN w:val="0"/>
        <w:adjustRightInd w:val="0"/>
        <w:rPr>
          <w:rFonts w:cstheme="minorHAnsi"/>
          <w:spacing w:val="-4"/>
        </w:rPr>
      </w:pPr>
      <w:r w:rsidRPr="00512A02">
        <w:rPr>
          <w:rFonts w:eastAsia="Times New Roman" w:cstheme="minorHAnsi"/>
          <w:spacing w:val="-4"/>
        </w:rPr>
        <w:t xml:space="preserve">Educational assessment is an act of </w:t>
      </w:r>
      <w:r w:rsidRPr="00512A02">
        <w:rPr>
          <w:rFonts w:cstheme="minorHAnsi"/>
          <w:bCs/>
          <w:spacing w:val="-4"/>
        </w:rPr>
        <w:t>seeking and interpreting evidence for use by learners and their teachers to decide where the learners are in their learning, where they need to go and how best to get there” (</w:t>
      </w:r>
      <w:r w:rsidRPr="00512A02">
        <w:rPr>
          <w:rFonts w:cstheme="minorHAnsi"/>
          <w:spacing w:val="-4"/>
        </w:rPr>
        <w:t xml:space="preserve">DfES, 2004; </w:t>
      </w:r>
      <w:r w:rsidRPr="00512A02">
        <w:rPr>
          <w:rFonts w:cstheme="minorHAnsi"/>
          <w:bCs/>
          <w:spacing w:val="-4"/>
        </w:rPr>
        <w:t xml:space="preserve">New South Wales Government, nd; </w:t>
      </w:r>
      <w:r w:rsidRPr="00512A02">
        <w:rPr>
          <w:rFonts w:cstheme="minorHAnsi"/>
          <w:spacing w:val="-4"/>
          <w:lang w:val="en-US"/>
        </w:rPr>
        <w:t>Department for Children Schools and Families, 2008</w:t>
      </w:r>
      <w:r w:rsidRPr="00512A02">
        <w:rPr>
          <w:rFonts w:cstheme="minorHAnsi"/>
          <w:spacing w:val="-4"/>
        </w:rPr>
        <w:t xml:space="preserve">; </w:t>
      </w:r>
      <w:r w:rsidRPr="00512A02">
        <w:rPr>
          <w:rFonts w:cstheme="minorHAnsi"/>
          <w:iCs/>
          <w:spacing w:val="-4"/>
        </w:rPr>
        <w:t xml:space="preserve">Assessment Reform Group, 2002). </w:t>
      </w:r>
      <w:r w:rsidRPr="00512A02">
        <w:rPr>
          <w:rFonts w:cstheme="minorHAnsi"/>
          <w:spacing w:val="-4"/>
        </w:rPr>
        <w:t>It is an integral part of the quest for improved education and</w:t>
      </w:r>
      <w:r w:rsidRPr="00512A02">
        <w:rPr>
          <w:rFonts w:eastAsia="Times New Roman" w:cstheme="minorHAnsi"/>
          <w:spacing w:val="-4"/>
        </w:rPr>
        <w:t xml:space="preserve"> is a fundamental component in the teaching-learning cycle (National Research Council, 2001). </w:t>
      </w:r>
    </w:p>
    <w:p w14:paraId="22946393" w14:textId="77777777" w:rsidR="00AC362E" w:rsidRPr="00257F87" w:rsidRDefault="00AC362E" w:rsidP="00257F87">
      <w:pPr>
        <w:pStyle w:val="Heading2"/>
      </w:pPr>
      <w:bookmarkStart w:id="216" w:name="_Toc435788131"/>
      <w:bookmarkStart w:id="217" w:name="_Toc461615809"/>
      <w:r w:rsidRPr="00257F87">
        <w:t>Who is assessment for?</w:t>
      </w:r>
      <w:bookmarkEnd w:id="216"/>
      <w:bookmarkEnd w:id="217"/>
    </w:p>
    <w:tbl>
      <w:tblPr>
        <w:tblStyle w:val="TableGrid1"/>
        <w:tblW w:w="0" w:type="auto"/>
        <w:tblInd w:w="108" w:type="dxa"/>
        <w:tblLook w:val="04A0" w:firstRow="1" w:lastRow="0" w:firstColumn="1" w:lastColumn="0" w:noHBand="0" w:noVBand="1"/>
        <w:tblCaption w:val="Who is assessment for?"/>
      </w:tblPr>
      <w:tblGrid>
        <w:gridCol w:w="1472"/>
        <w:gridCol w:w="7662"/>
      </w:tblGrid>
      <w:tr w:rsidR="00AC362E" w:rsidRPr="00165923" w14:paraId="2DED5DE9" w14:textId="77777777" w:rsidTr="00ED0631">
        <w:tc>
          <w:tcPr>
            <w:tcW w:w="1418" w:type="dxa"/>
          </w:tcPr>
          <w:p w14:paraId="31BCCFC7"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For teachers</w:t>
            </w:r>
          </w:p>
        </w:tc>
        <w:tc>
          <w:tcPr>
            <w:tcW w:w="7716" w:type="dxa"/>
          </w:tcPr>
          <w:p w14:paraId="337BC2CF"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 xml:space="preserve">Assessment serves as a tool for teachers to research in to their own teaching practices, to inform and guide their instruction. It allows teachers to determine which instructional strategies are effective and which ones need to be modified to improve classroom practice and plan curriculum. </w:t>
            </w:r>
          </w:p>
        </w:tc>
      </w:tr>
      <w:tr w:rsidR="00AC362E" w:rsidRPr="00165923" w14:paraId="5AFE25F9" w14:textId="77777777" w:rsidTr="00ED0631">
        <w:tc>
          <w:tcPr>
            <w:tcW w:w="1418" w:type="dxa"/>
          </w:tcPr>
          <w:p w14:paraId="06387DE7"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For learners</w:t>
            </w:r>
          </w:p>
        </w:tc>
        <w:tc>
          <w:tcPr>
            <w:tcW w:w="7716" w:type="dxa"/>
          </w:tcPr>
          <w:p w14:paraId="4042BA9E"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Assessment is a vehicle to empower students to be self-reflective learners who monitor and evaluate their own progress as they develop the capacity to be self-directed learners.</w:t>
            </w:r>
          </w:p>
        </w:tc>
      </w:tr>
      <w:tr w:rsidR="00AC362E" w:rsidRPr="00165923" w14:paraId="7ACFA442" w14:textId="77777777" w:rsidTr="00ED0631">
        <w:tc>
          <w:tcPr>
            <w:tcW w:w="1418" w:type="dxa"/>
          </w:tcPr>
          <w:p w14:paraId="6303B4D8"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For administrators</w:t>
            </w:r>
          </w:p>
        </w:tc>
        <w:tc>
          <w:tcPr>
            <w:tcW w:w="7716" w:type="dxa"/>
          </w:tcPr>
          <w:p w14:paraId="203DB82F"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 xml:space="preserve">Assessment allows relevant administrators to measure student achievement, examine further opportunities for them to learn. Assessment provides the basis for evaluating a particular school’s, a region’s or a nation’s education outcomes. </w:t>
            </w:r>
          </w:p>
        </w:tc>
      </w:tr>
      <w:tr w:rsidR="00AC362E" w:rsidRPr="00165923" w14:paraId="77A08954" w14:textId="77777777" w:rsidTr="00ED0631">
        <w:tc>
          <w:tcPr>
            <w:tcW w:w="1418" w:type="dxa"/>
          </w:tcPr>
          <w:p w14:paraId="0ADD793B" w14:textId="77777777" w:rsidR="00AC362E" w:rsidRPr="00165923" w:rsidRDefault="00AC362E" w:rsidP="00ED0631">
            <w:pPr>
              <w:spacing w:before="100" w:beforeAutospacing="1" w:after="100" w:afterAutospacing="1"/>
              <w:rPr>
                <w:rFonts w:eastAsia="Times New Roman" w:cstheme="minorHAnsi"/>
              </w:rPr>
            </w:pPr>
            <w:r w:rsidRPr="00165923">
              <w:rPr>
                <w:rFonts w:eastAsia="Times New Roman" w:cstheme="minorHAnsi"/>
              </w:rPr>
              <w:t>For parents</w:t>
            </w:r>
          </w:p>
        </w:tc>
        <w:tc>
          <w:tcPr>
            <w:tcW w:w="7716" w:type="dxa"/>
          </w:tcPr>
          <w:p w14:paraId="6D808CA5" w14:textId="77777777" w:rsidR="00AC362E" w:rsidRPr="00165923" w:rsidRDefault="00AC362E" w:rsidP="00ED0631">
            <w:pPr>
              <w:autoSpaceDE w:val="0"/>
              <w:autoSpaceDN w:val="0"/>
              <w:adjustRightInd w:val="0"/>
              <w:rPr>
                <w:rFonts w:cstheme="minorHAnsi"/>
              </w:rPr>
            </w:pPr>
            <w:r w:rsidRPr="00165923">
              <w:rPr>
                <w:rFonts w:eastAsia="Times New Roman" w:cstheme="minorHAnsi"/>
              </w:rPr>
              <w:t xml:space="preserve">Assessment allows parents to be informed about the learning progress of their children. When parents are informed about and involved in the educational assessment, they feel more confident as co-educators and have </w:t>
            </w:r>
            <w:r w:rsidRPr="00165923">
              <w:rPr>
                <w:rFonts w:cstheme="minorHAnsi"/>
              </w:rPr>
              <w:t>greater understanding of strategies to support their child’s development.</w:t>
            </w:r>
          </w:p>
        </w:tc>
      </w:tr>
    </w:tbl>
    <w:p w14:paraId="64C1513A" w14:textId="77777777" w:rsidR="00AC362E" w:rsidRPr="00257F87" w:rsidRDefault="00AC362E" w:rsidP="00ED0631">
      <w:pPr>
        <w:rPr>
          <w:rFonts w:cstheme="minorHAnsi"/>
          <w:i/>
          <w:sz w:val="16"/>
        </w:rPr>
      </w:pPr>
      <w:r w:rsidRPr="00257F87">
        <w:rPr>
          <w:rFonts w:cstheme="minorHAnsi"/>
          <w:i/>
          <w:sz w:val="16"/>
        </w:rPr>
        <w:t>Source: (DfES, 2004; Badders, 2000)</w:t>
      </w:r>
    </w:p>
    <w:p w14:paraId="675605B2" w14:textId="77777777" w:rsidR="00AC362E" w:rsidRPr="00257F87" w:rsidRDefault="00AC362E" w:rsidP="00257F87">
      <w:pPr>
        <w:pStyle w:val="Heading2"/>
      </w:pPr>
      <w:bookmarkStart w:id="218" w:name="_Toc435788132"/>
      <w:bookmarkStart w:id="219" w:name="_Toc461615810"/>
      <w:r w:rsidRPr="00257F87">
        <w:t>What purposes does educational assessment serve?</w:t>
      </w:r>
      <w:bookmarkEnd w:id="218"/>
      <w:bookmarkEnd w:id="219"/>
    </w:p>
    <w:p w14:paraId="6A255F85" w14:textId="77777777" w:rsidR="00AC362E" w:rsidRPr="00165923" w:rsidRDefault="00AC362E" w:rsidP="00ED0631">
      <w:pPr>
        <w:autoSpaceDE w:val="0"/>
        <w:autoSpaceDN w:val="0"/>
        <w:adjustRightInd w:val="0"/>
        <w:rPr>
          <w:rFonts w:cstheme="minorHAnsi"/>
          <w:spacing w:val="-2"/>
        </w:rPr>
      </w:pPr>
      <w:r w:rsidRPr="00165923">
        <w:rPr>
          <w:rFonts w:cstheme="minorHAnsi"/>
          <w:spacing w:val="-2"/>
        </w:rPr>
        <w:t xml:space="preserve">Assessment is instrumental in providing feedback to students, educators, parents, policy makers, and the public about the effectiveness of educational services. The central purpose </w:t>
      </w:r>
      <w:r w:rsidRPr="00165923">
        <w:rPr>
          <w:rFonts w:cstheme="minorHAnsi"/>
          <w:iCs/>
          <w:color w:val="000000"/>
          <w:spacing w:val="-2"/>
        </w:rPr>
        <w:t>of educational assessment is to provide information on student achievement and progress and set the direction for ongoing teaching and learning (</w:t>
      </w:r>
      <w:r w:rsidRPr="00165923">
        <w:rPr>
          <w:rFonts w:cstheme="minorHAnsi"/>
          <w:bCs/>
          <w:spacing w:val="-2"/>
        </w:rPr>
        <w:t xml:space="preserve">New South Wales Government, nd; </w:t>
      </w:r>
      <w:r w:rsidRPr="00165923">
        <w:rPr>
          <w:rFonts w:cstheme="minorHAnsi"/>
          <w:spacing w:val="-2"/>
        </w:rPr>
        <w:t>NSW Department of Education and Training, 2007</w:t>
      </w:r>
      <w:r w:rsidRPr="00165923">
        <w:rPr>
          <w:rFonts w:cstheme="minorHAnsi"/>
          <w:iCs/>
          <w:color w:val="000000"/>
          <w:spacing w:val="-2"/>
        </w:rPr>
        <w:t xml:space="preserve">). The contemporary debate on the purposes of assessment focuses on </w:t>
      </w:r>
      <w:r w:rsidRPr="00165923">
        <w:rPr>
          <w:rFonts w:cstheme="minorHAnsi"/>
          <w:spacing w:val="-2"/>
        </w:rPr>
        <w:t>three categories:</w:t>
      </w:r>
    </w:p>
    <w:p w14:paraId="36CE53B3" w14:textId="77777777" w:rsidR="00AC362E" w:rsidRPr="00165923" w:rsidRDefault="00AC362E" w:rsidP="00AE24CE">
      <w:pPr>
        <w:numPr>
          <w:ilvl w:val="0"/>
          <w:numId w:val="19"/>
        </w:numPr>
        <w:spacing w:before="120" w:after="120"/>
        <w:ind w:left="284" w:hanging="284"/>
        <w:rPr>
          <w:rFonts w:cstheme="minorHAnsi"/>
          <w:b/>
        </w:rPr>
      </w:pPr>
      <w:r w:rsidRPr="00165923">
        <w:rPr>
          <w:rFonts w:cstheme="minorHAnsi"/>
          <w:b/>
          <w:u w:val="single"/>
        </w:rPr>
        <w:t xml:space="preserve">Assessment OF learning </w:t>
      </w:r>
      <w:r w:rsidRPr="00165923">
        <w:rPr>
          <w:rFonts w:cstheme="minorHAnsi"/>
        </w:rPr>
        <w:t xml:space="preserve">describes the extent to which a student has achieved the desired learning goals. The information is often used for reporting to students, parents and to provide a cumulative record of the child’s progress and attainment at different stages in his/her development usually at the end of a unit, a program, a semester or a year of study. Its purpose is summative and gives an “overview of previous learning” (Black 1998, p28) (or a judgement on student achievement against pre-set goals and standards). However it </w:t>
      </w:r>
      <w:r w:rsidRPr="00165923">
        <w:rPr>
          <w:rFonts w:cstheme="minorHAnsi"/>
          <w:color w:val="000000"/>
        </w:rPr>
        <w:t>can be used formatively to plan for future learning goals (Government of Victoria, 2005)</w:t>
      </w:r>
      <w:r w:rsidRPr="00165923">
        <w:rPr>
          <w:rFonts w:cstheme="minorHAnsi"/>
        </w:rPr>
        <w:t xml:space="preserve">. </w:t>
      </w:r>
    </w:p>
    <w:p w14:paraId="246DC076" w14:textId="77777777" w:rsidR="00AC362E" w:rsidRPr="00165923" w:rsidRDefault="00AC362E" w:rsidP="00AE24CE">
      <w:pPr>
        <w:numPr>
          <w:ilvl w:val="0"/>
          <w:numId w:val="19"/>
        </w:numPr>
        <w:autoSpaceDE w:val="0"/>
        <w:autoSpaceDN w:val="0"/>
        <w:adjustRightInd w:val="0"/>
        <w:spacing w:before="120" w:after="120"/>
        <w:ind w:left="284" w:hanging="284"/>
        <w:rPr>
          <w:rFonts w:cstheme="minorHAnsi"/>
          <w:color w:val="000000"/>
        </w:rPr>
      </w:pPr>
      <w:r w:rsidRPr="00165923">
        <w:rPr>
          <w:rFonts w:cstheme="minorHAnsi"/>
          <w:b/>
          <w:u w:val="single"/>
        </w:rPr>
        <w:t xml:space="preserve">Assessment AS learning </w:t>
      </w:r>
      <w:r w:rsidRPr="00165923">
        <w:rPr>
          <w:rFonts w:cstheme="minorHAnsi"/>
          <w:color w:val="000000"/>
          <w:lang w:val="en"/>
        </w:rPr>
        <w:t xml:space="preserve">occurs when students are their own assessors. It </w:t>
      </w:r>
      <w:r w:rsidRPr="00165923">
        <w:rPr>
          <w:rFonts w:cstheme="minorHAnsi"/>
        </w:rPr>
        <w:t>establishes students’ roles and responsibilities in relation to their learning and assessment.</w:t>
      </w:r>
      <w:r w:rsidRPr="00165923">
        <w:rPr>
          <w:rFonts w:cstheme="minorHAnsi"/>
          <w:b/>
          <w:bCs/>
        </w:rPr>
        <w:t xml:space="preserve"> </w:t>
      </w:r>
      <w:r w:rsidRPr="00165923">
        <w:rPr>
          <w:rFonts w:cstheme="minorHAnsi"/>
        </w:rPr>
        <w:t xml:space="preserve">It engages students in self- and peer-assessment and promotes students’ confidence and self-esteem through an understanding of how they learn. Its focus on student reflection on their learning is powerful in building metacognition and an ability to plan for their own future learning goals. In assessment </w:t>
      </w:r>
      <w:r w:rsidRPr="00165923">
        <w:rPr>
          <w:rFonts w:cstheme="minorHAnsi"/>
          <w:iCs/>
        </w:rPr>
        <w:t xml:space="preserve">as </w:t>
      </w:r>
      <w:r w:rsidRPr="00165923">
        <w:rPr>
          <w:rFonts w:cstheme="minorHAnsi"/>
        </w:rPr>
        <w:t xml:space="preserve">learning students monitor their learning and use feedback from this monitoring to make adaptations and adjustments to what they understand (Earl 2003). Earl also expresses the view that “effective assessment empowers students to ask reflective questions and consider a range of strategies for learning, setting future learning goals, and acting on them. The culture in ‘Assessment as Learning’ is emphasises the importance of students as  </w:t>
      </w:r>
      <w:r w:rsidRPr="00165923">
        <w:rPr>
          <w:rFonts w:cstheme="minorHAnsi"/>
          <w:color w:val="000000"/>
        </w:rPr>
        <w:t xml:space="preserve">engaged participants who share responsibility in sharing and developing criteria, in self– and peer–assessment, in reflecting </w:t>
      </w:r>
      <w:r w:rsidRPr="00165923">
        <w:rPr>
          <w:rFonts w:cstheme="minorHAnsi"/>
          <w:color w:val="000000"/>
        </w:rPr>
        <w:lastRenderedPageBreak/>
        <w:t xml:space="preserve">on their own learning and keeping track of their performance, and in utilising feedback to refine their knowledge, skills and behaviours (Government of Victoria, 2005). </w:t>
      </w:r>
    </w:p>
    <w:p w14:paraId="217D3ED1" w14:textId="77777777" w:rsidR="00AC362E" w:rsidRPr="00165923" w:rsidRDefault="00AC362E" w:rsidP="00AE24CE">
      <w:pPr>
        <w:numPr>
          <w:ilvl w:val="0"/>
          <w:numId w:val="19"/>
        </w:numPr>
        <w:spacing w:before="120" w:after="120"/>
        <w:ind w:left="284" w:hanging="284"/>
      </w:pPr>
      <w:r w:rsidRPr="00165923">
        <w:rPr>
          <w:rFonts w:cstheme="minorHAnsi"/>
          <w:b/>
          <w:u w:val="single"/>
        </w:rPr>
        <w:t>Assessment FOR learning</w:t>
      </w:r>
      <w:r w:rsidRPr="00165923">
        <w:rPr>
          <w:rFonts w:cstheme="minorHAnsi"/>
        </w:rPr>
        <w:t xml:space="preserve"> occurs when teachers use inferences about student progress to inform their teaching. It is a regular and ongoing process and generally involves recognising and responding to the student’s learning in order to enhance their development. Assessment for learning requires teachers to engage children in their own learning by providing rich feedback and using effective questioning and through promoting student peer and self-assessment. </w:t>
      </w:r>
      <w:r w:rsidRPr="00165923">
        <w:rPr>
          <w:rFonts w:cstheme="minorHAnsi"/>
          <w:color w:val="000000"/>
        </w:rPr>
        <w:t>The information</w:t>
      </w:r>
      <w:r w:rsidRPr="00165923">
        <w:rPr>
          <w:rFonts w:cstheme="minorHAnsi"/>
        </w:rPr>
        <w:t xml:space="preserve"> then</w:t>
      </w:r>
      <w:r w:rsidRPr="00165923">
        <w:rPr>
          <w:rFonts w:cstheme="minorHAnsi"/>
          <w:color w:val="000000"/>
        </w:rPr>
        <w:t xml:space="preserve"> needs to be used to shape future teaching and learning processes (</w:t>
      </w:r>
      <w:r w:rsidRPr="00165923">
        <w:rPr>
          <w:rFonts w:cstheme="minorHAnsi"/>
        </w:rPr>
        <w:t>NSW Department of Education and Training, 2007</w:t>
      </w:r>
      <w:r w:rsidRPr="00165923">
        <w:rPr>
          <w:rFonts w:cstheme="minorHAnsi"/>
          <w:color w:val="000000"/>
        </w:rPr>
        <w:t xml:space="preserve">; Government of Victoria, 2005). </w:t>
      </w:r>
      <w:r w:rsidRPr="00165923">
        <w:rPr>
          <w:rFonts w:cstheme="minorHAnsi"/>
        </w:rPr>
        <w:t>Many teachers have been educated in a system that promotes the assessment of learning, testing or assessment that comes at the end of instruction to prove whether or not teaching and learning has taken place (Stiggins, 2002). Assessment for learning aims to use evidence to guide teaching practice for improved learning</w:t>
      </w:r>
      <w:r w:rsidRPr="00165923">
        <w:rPr>
          <w:rFonts w:cstheme="minorHAnsi"/>
          <w:color w:val="000000"/>
        </w:rPr>
        <w:t>.</w:t>
      </w:r>
    </w:p>
    <w:p w14:paraId="5CDFAA7F" w14:textId="77777777" w:rsidR="00AC362E" w:rsidRPr="00165923" w:rsidRDefault="00AC362E" w:rsidP="00ED0631">
      <w:pPr>
        <w:pStyle w:val="Heading2"/>
      </w:pPr>
      <w:bookmarkStart w:id="220" w:name="_Toc435788133"/>
      <w:bookmarkStart w:id="221" w:name="_Toc461615811"/>
      <w:r w:rsidRPr="00165923">
        <w:t>What are the stages/types of assessments?</w:t>
      </w:r>
      <w:bookmarkEnd w:id="220"/>
      <w:bookmarkEnd w:id="221"/>
    </w:p>
    <w:p w14:paraId="0B9CAA6C" w14:textId="77777777" w:rsidR="00AC362E" w:rsidRPr="00165923" w:rsidRDefault="00AC362E" w:rsidP="00ED0631">
      <w:pPr>
        <w:autoSpaceDE w:val="0"/>
        <w:autoSpaceDN w:val="0"/>
        <w:adjustRightInd w:val="0"/>
        <w:spacing w:after="160" w:line="264" w:lineRule="auto"/>
        <w:rPr>
          <w:rFonts w:cstheme="minorHAnsi"/>
          <w:u w:val="single"/>
        </w:rPr>
      </w:pPr>
      <w:r w:rsidRPr="00165923">
        <w:rPr>
          <w:rFonts w:eastAsia="Times New Roman" w:cstheme="minorHAnsi"/>
        </w:rPr>
        <w:t>Assessment is generally divided into three stages: baseline/diagnostic assessment, formative assessment, and summative assessment (</w:t>
      </w:r>
      <w:r w:rsidRPr="00165923">
        <w:rPr>
          <w:rFonts w:cstheme="minorHAnsi"/>
        </w:rPr>
        <w:t>Badders, 2000)</w:t>
      </w:r>
      <w:r w:rsidRPr="00165923">
        <w:rPr>
          <w:rFonts w:eastAsia="Times New Roman" w:cstheme="minorHAnsi"/>
        </w:rPr>
        <w:t>. Baseline assessment establishes the "starting point" of the student's understanding. Formative assessment provides information to help guide the instruction throughout the unit, and summative assessment informs both the student and the teacher about the level of conceptual understanding and performance capabilities that the student has achieved.</w:t>
      </w:r>
    </w:p>
    <w:p w14:paraId="1442B460" w14:textId="77777777" w:rsidR="00AC362E" w:rsidRPr="00165923" w:rsidRDefault="00AC362E" w:rsidP="00ED0631">
      <w:pPr>
        <w:spacing w:after="160" w:line="264" w:lineRule="auto"/>
        <w:rPr>
          <w:rFonts w:eastAsia="Times New Roman" w:cstheme="minorHAnsi"/>
        </w:rPr>
      </w:pPr>
      <w:r w:rsidRPr="00165923">
        <w:rPr>
          <w:rFonts w:cstheme="minorHAnsi"/>
          <w:b/>
        </w:rPr>
        <w:t>Baseline/Diagnostic assessments</w:t>
      </w:r>
      <w:r w:rsidRPr="00165923">
        <w:rPr>
          <w:rFonts w:eastAsia="Times New Roman" w:cstheme="minorHAnsi"/>
          <w:b/>
        </w:rPr>
        <w:t>:</w:t>
      </w:r>
      <w:r w:rsidRPr="00165923">
        <w:rPr>
          <w:rFonts w:eastAsia="Times New Roman" w:cstheme="minorHAnsi"/>
        </w:rPr>
        <w:t xml:space="preserve"> These types of assessments are </w:t>
      </w:r>
      <w:r w:rsidRPr="00165923">
        <w:rPr>
          <w:rFonts w:cstheme="minorHAnsi"/>
        </w:rPr>
        <w:t>used to diagnose strengths and areas of need in all students</w:t>
      </w:r>
      <w:r w:rsidRPr="00165923">
        <w:rPr>
          <w:rFonts w:eastAsia="Times New Roman" w:cstheme="minorHAnsi"/>
        </w:rPr>
        <w:t xml:space="preserve">. Also </w:t>
      </w:r>
      <w:r w:rsidRPr="00165923">
        <w:rPr>
          <w:rFonts w:cstheme="minorHAnsi"/>
        </w:rPr>
        <w:t>known as pre-assessments, they provide teachers with information about student's prior knowledge and misconceptions before beginning a learning activity. They assist teachers to plan for appropriate pedagogy and teaching. These assessments are used ‘for learning’. Examples include student self-assessment, diagnostic tests/quizzes, surveys, posters, mind maps.</w:t>
      </w:r>
    </w:p>
    <w:p w14:paraId="5E0E70C2" w14:textId="77777777" w:rsidR="00AC362E" w:rsidRPr="00165923" w:rsidRDefault="00AC362E" w:rsidP="00ED0631">
      <w:pPr>
        <w:autoSpaceDE w:val="0"/>
        <w:autoSpaceDN w:val="0"/>
        <w:adjustRightInd w:val="0"/>
        <w:spacing w:after="160" w:line="264" w:lineRule="auto"/>
        <w:rPr>
          <w:rFonts w:cstheme="minorHAnsi"/>
        </w:rPr>
      </w:pPr>
      <w:r w:rsidRPr="00165923">
        <w:rPr>
          <w:rFonts w:cstheme="minorHAnsi"/>
          <w:b/>
        </w:rPr>
        <w:t xml:space="preserve">Formative assessments: </w:t>
      </w:r>
      <w:r w:rsidRPr="00165923">
        <w:rPr>
          <w:rFonts w:cstheme="minorHAnsi"/>
        </w:rPr>
        <w:t>These are distinguished by the fact that their main purpose is to aid or improve learning rather</w:t>
      </w:r>
      <w:r w:rsidRPr="00165923">
        <w:rPr>
          <w:rFonts w:cstheme="minorHAnsi"/>
          <w:b/>
        </w:rPr>
        <w:t xml:space="preserve"> </w:t>
      </w:r>
      <w:r w:rsidRPr="00165923">
        <w:rPr>
          <w:rFonts w:cstheme="minorHAnsi"/>
        </w:rPr>
        <w:t xml:space="preserve">than simply attributing a grade (Marshall and Drummond 2006). It refers to a wide variety of methods that teachers use to conduct in-process evaluations of student comprehension, learning needs, and academic progress during a lesson, unit, or course. Formative assessments are </w:t>
      </w:r>
      <w:r w:rsidRPr="00165923">
        <w:rPr>
          <w:rFonts w:cstheme="minorHAnsi"/>
          <w:iCs/>
        </w:rPr>
        <w:t>for</w:t>
      </w:r>
      <w:r w:rsidRPr="00165923">
        <w:rPr>
          <w:rFonts w:cstheme="minorHAnsi"/>
        </w:rPr>
        <w:t xml:space="preserve"> learning.  Black and William (2009) conceptualizes formative assessment as consisting of five key strategies: (1) clarifying and sharing learning intentions and criteria for success; (2) engineering effective classroom discussions and other learning tasks that elicit evidence of student understanding; (3) providing feedback that moves learners forward; (4) activating students </w:t>
      </w:r>
      <w:r w:rsidRPr="00165923">
        <w:rPr>
          <w:rFonts w:cstheme="minorHAnsi"/>
          <w:color w:val="131413"/>
        </w:rPr>
        <w:t>as instructional resources for one another; and (5) activating students as the owners of their own learning. Common examples of formative assessment include interviews, small group discussions, observations of student participation, demonstration and written reports.</w:t>
      </w:r>
    </w:p>
    <w:p w14:paraId="6B08B0EB" w14:textId="77BED32B" w:rsidR="00AC362E" w:rsidRPr="00165923" w:rsidRDefault="00AC362E" w:rsidP="00ED0631">
      <w:pPr>
        <w:autoSpaceDE w:val="0"/>
        <w:autoSpaceDN w:val="0"/>
        <w:adjustRightInd w:val="0"/>
        <w:spacing w:after="160" w:line="264" w:lineRule="auto"/>
        <w:rPr>
          <w:rFonts w:cstheme="minorHAnsi"/>
          <w:color w:val="131413"/>
        </w:rPr>
      </w:pPr>
      <w:r w:rsidRPr="00165923">
        <w:rPr>
          <w:rFonts w:cstheme="minorHAnsi"/>
          <w:color w:val="000000"/>
        </w:rPr>
        <w:t>A worldwide review of research on assessment by Black and Wil</w:t>
      </w:r>
      <w:r w:rsidR="00257F87">
        <w:rPr>
          <w:rFonts w:cstheme="minorHAnsi"/>
          <w:color w:val="000000"/>
        </w:rPr>
        <w:t>l</w:t>
      </w:r>
      <w:r w:rsidRPr="00165923">
        <w:rPr>
          <w:rFonts w:cstheme="minorHAnsi"/>
          <w:color w:val="000000"/>
        </w:rPr>
        <w:t xml:space="preserve">iam (1998a, 1998b) and more recently by OECD/CERI (2005) characterise gains in student achievement through formative assessment “among the largest ever reported for educational interventions”, with substantial impact for lower achieving students. These studies also indicate that formative assessment is one of the most effective strategies in developing students’ “learning to learn” skills (OECD/CERI 2005). </w:t>
      </w:r>
      <w:r w:rsidRPr="00165923">
        <w:rPr>
          <w:rFonts w:cstheme="minorHAnsi"/>
        </w:rPr>
        <w:t xml:space="preserve">In an experiment discussed in Fontana and Fernandes (1994) </w:t>
      </w:r>
      <w:r w:rsidRPr="00165923">
        <w:rPr>
          <w:rFonts w:cstheme="minorHAnsi"/>
          <w:color w:val="131413"/>
        </w:rPr>
        <w:t>primary school pupils were progressively trained to carry out self-assessment that involved setting their own learning objectives, constructing relevant problems to test their learning, selecting appropriate tasks, and carrying out self-assessments. Over the period of the experiment, the learning gains of this group were twice as great as those of a matched ‘control’ group.</w:t>
      </w:r>
      <w:r w:rsidRPr="00165923">
        <w:rPr>
          <w:rFonts w:cstheme="minorHAnsi"/>
          <w:color w:val="000000"/>
        </w:rPr>
        <w:t xml:space="preserve"> Evidence from various studies also suggests that the employment of formative assessment strategies empowers teachers and students and improves student learning and teacher satisfaction (Hayward and Hedge, 2005)</w:t>
      </w:r>
      <w:r w:rsidRPr="00165923">
        <w:rPr>
          <w:rFonts w:cstheme="minorHAnsi"/>
          <w:color w:val="131413"/>
        </w:rPr>
        <w:t>.</w:t>
      </w:r>
    </w:p>
    <w:p w14:paraId="47781D88" w14:textId="77777777" w:rsidR="00AC362E" w:rsidRPr="00165923" w:rsidRDefault="00AC362E" w:rsidP="00ED0631">
      <w:pPr>
        <w:autoSpaceDE w:val="0"/>
        <w:autoSpaceDN w:val="0"/>
        <w:adjustRightInd w:val="0"/>
        <w:spacing w:after="160" w:line="264" w:lineRule="auto"/>
        <w:rPr>
          <w:rFonts w:cstheme="minorHAnsi"/>
        </w:rPr>
      </w:pPr>
      <w:r w:rsidRPr="00165923">
        <w:rPr>
          <w:rFonts w:cstheme="minorHAnsi"/>
          <w:b/>
        </w:rPr>
        <w:t xml:space="preserve">Summative assessments: </w:t>
      </w:r>
      <w:r w:rsidRPr="00165923">
        <w:rPr>
          <w:rFonts w:cstheme="minorHAnsi"/>
        </w:rPr>
        <w:t xml:space="preserve"> Primary schools have a long tradition of gathering summative assessment information (DfES, 2004). They are used to evaluate student learning, skill acquisition, </w:t>
      </w:r>
      <w:r w:rsidRPr="00165923">
        <w:rPr>
          <w:rFonts w:cstheme="minorHAnsi"/>
        </w:rPr>
        <w:lastRenderedPageBreak/>
        <w:t>and academic achievement at the conclusion of a defined instructional period—typically at the end of a project, unit, course, semester, program, or school year – they are characterised as assessments OF learning. They are often recorded as scores or grades that are then factored into a student’s permanent academic record. Common examples include standardised tests/exams administered by the state, portfolios of student work collected over extended periods of time. Some educators consider interim tests to be formative, since they are often used diagnostically to inform instructional modifications, but others consider them to be summative. There is ongoing debate in the education community about this distinction.</w:t>
      </w:r>
    </w:p>
    <w:p w14:paraId="6611D57A" w14:textId="77777777" w:rsidR="00AC362E" w:rsidRPr="00165923" w:rsidRDefault="00AC362E" w:rsidP="00ED0631">
      <w:pPr>
        <w:rPr>
          <w:rFonts w:cstheme="minorHAnsi"/>
          <w:b/>
        </w:rPr>
      </w:pPr>
      <w:r w:rsidRPr="00165923">
        <w:rPr>
          <w:rFonts w:cstheme="minorHAnsi"/>
          <w:b/>
        </w:rPr>
        <w:t xml:space="preserve">Commonly used assessment methods </w:t>
      </w:r>
    </w:p>
    <w:tbl>
      <w:tblPr>
        <w:tblStyle w:val="TableGrid1"/>
        <w:tblW w:w="8951" w:type="dxa"/>
        <w:tblInd w:w="108" w:type="dxa"/>
        <w:tblLook w:val="04A0" w:firstRow="1" w:lastRow="0" w:firstColumn="1" w:lastColumn="0" w:noHBand="0" w:noVBand="1"/>
        <w:tblCaption w:val="Commonly used assessment methods "/>
      </w:tblPr>
      <w:tblGrid>
        <w:gridCol w:w="2018"/>
        <w:gridCol w:w="4766"/>
        <w:gridCol w:w="2167"/>
      </w:tblGrid>
      <w:tr w:rsidR="00AC362E" w:rsidRPr="00165923" w14:paraId="50EE4831" w14:textId="77777777" w:rsidTr="00ED0631">
        <w:tc>
          <w:tcPr>
            <w:tcW w:w="8951" w:type="dxa"/>
            <w:gridSpan w:val="3"/>
            <w:hideMark/>
          </w:tcPr>
          <w:p w14:paraId="553798D0" w14:textId="77777777" w:rsidR="00AC362E" w:rsidRPr="00165923" w:rsidRDefault="00AC362E" w:rsidP="00ED0631">
            <w:pPr>
              <w:spacing w:before="60" w:after="60"/>
              <w:jc w:val="center"/>
              <w:rPr>
                <w:rFonts w:eastAsia="Times New Roman" w:cstheme="minorHAnsi"/>
              </w:rPr>
            </w:pPr>
            <w:r w:rsidRPr="00165923">
              <w:rPr>
                <w:rFonts w:eastAsia="Times New Roman" w:cstheme="minorHAnsi"/>
                <w:b/>
                <w:bCs/>
              </w:rPr>
              <w:t>ASSESSMENT FORMATS</w:t>
            </w:r>
          </w:p>
        </w:tc>
      </w:tr>
      <w:tr w:rsidR="00AC362E" w:rsidRPr="00165923" w14:paraId="506205EC" w14:textId="77777777" w:rsidTr="00ED0631">
        <w:tc>
          <w:tcPr>
            <w:tcW w:w="1510" w:type="dxa"/>
            <w:hideMark/>
          </w:tcPr>
          <w:p w14:paraId="60545777" w14:textId="77777777" w:rsidR="00AC362E" w:rsidRPr="00165923" w:rsidRDefault="00AC362E" w:rsidP="00ED0631">
            <w:pPr>
              <w:spacing w:before="60" w:after="60"/>
              <w:jc w:val="center"/>
              <w:rPr>
                <w:rFonts w:eastAsia="Times New Roman" w:cstheme="minorHAnsi"/>
              </w:rPr>
            </w:pPr>
            <w:r w:rsidRPr="00165923">
              <w:rPr>
                <w:rFonts w:eastAsia="Times New Roman" w:cstheme="minorHAnsi"/>
                <w:b/>
                <w:bCs/>
              </w:rPr>
              <w:t>Format</w:t>
            </w:r>
          </w:p>
        </w:tc>
        <w:tc>
          <w:tcPr>
            <w:tcW w:w="6003" w:type="dxa"/>
            <w:hideMark/>
          </w:tcPr>
          <w:p w14:paraId="1EAC5E01" w14:textId="77777777" w:rsidR="00AC362E" w:rsidRPr="00165923" w:rsidRDefault="00AC362E" w:rsidP="00ED0631">
            <w:pPr>
              <w:spacing w:before="60" w:after="60"/>
              <w:jc w:val="center"/>
              <w:rPr>
                <w:rFonts w:eastAsia="Times New Roman" w:cstheme="minorHAnsi"/>
              </w:rPr>
            </w:pPr>
            <w:r w:rsidRPr="00165923">
              <w:rPr>
                <w:rFonts w:eastAsia="Times New Roman" w:cstheme="minorHAnsi"/>
                <w:b/>
                <w:bCs/>
              </w:rPr>
              <w:t>Nature/Purpose</w:t>
            </w:r>
          </w:p>
        </w:tc>
        <w:tc>
          <w:tcPr>
            <w:tcW w:w="1438" w:type="dxa"/>
            <w:hideMark/>
          </w:tcPr>
          <w:p w14:paraId="559F03CF" w14:textId="77777777" w:rsidR="00AC362E" w:rsidRPr="00165923" w:rsidRDefault="00AC362E" w:rsidP="00ED0631">
            <w:pPr>
              <w:spacing w:before="60" w:after="60"/>
              <w:jc w:val="center"/>
              <w:rPr>
                <w:rFonts w:eastAsia="Times New Roman" w:cstheme="minorHAnsi"/>
              </w:rPr>
            </w:pPr>
            <w:r w:rsidRPr="00165923">
              <w:rPr>
                <w:rFonts w:eastAsia="Times New Roman" w:cstheme="minorHAnsi"/>
                <w:b/>
                <w:bCs/>
              </w:rPr>
              <w:t>Stage</w:t>
            </w:r>
          </w:p>
        </w:tc>
      </w:tr>
      <w:tr w:rsidR="00AC362E" w:rsidRPr="00165923" w14:paraId="5DBE8D16" w14:textId="77777777" w:rsidTr="00ED0631">
        <w:tc>
          <w:tcPr>
            <w:tcW w:w="0" w:type="auto"/>
            <w:hideMark/>
          </w:tcPr>
          <w:p w14:paraId="5B8A13E3" w14:textId="77777777" w:rsidR="00AC362E" w:rsidRPr="00165923" w:rsidRDefault="00AC362E" w:rsidP="00ED0631">
            <w:pPr>
              <w:spacing w:before="60" w:after="60"/>
              <w:rPr>
                <w:rFonts w:eastAsia="Times New Roman" w:cstheme="minorHAnsi"/>
              </w:rPr>
            </w:pPr>
            <w:r w:rsidRPr="00165923">
              <w:rPr>
                <w:rFonts w:eastAsia="Times New Roman" w:cstheme="minorHAnsi"/>
              </w:rPr>
              <w:t>Paper and Pencil Tests</w:t>
            </w:r>
          </w:p>
        </w:tc>
        <w:tc>
          <w:tcPr>
            <w:tcW w:w="6003" w:type="dxa"/>
            <w:hideMark/>
          </w:tcPr>
          <w:p w14:paraId="5B29CD8B" w14:textId="77777777" w:rsidR="00AC362E" w:rsidRPr="00165923" w:rsidRDefault="00AC362E" w:rsidP="00ED0631">
            <w:pPr>
              <w:spacing w:before="60" w:after="60"/>
              <w:rPr>
                <w:rFonts w:eastAsia="Times New Roman" w:cstheme="minorHAnsi"/>
              </w:rPr>
            </w:pPr>
            <w:r w:rsidRPr="00165923">
              <w:rPr>
                <w:rFonts w:eastAsia="Times New Roman" w:cstheme="minorHAnsi"/>
              </w:rPr>
              <w:t>Multiple choice, short answer, essay, constructed response, written reports</w:t>
            </w:r>
            <w:r w:rsidRPr="00165923">
              <w:rPr>
                <w:rFonts w:eastAsia="Times New Roman" w:cstheme="minorHAnsi"/>
              </w:rPr>
              <w:br/>
              <w:t>Assess students acquisition of knowledge and concepts</w:t>
            </w:r>
          </w:p>
        </w:tc>
        <w:tc>
          <w:tcPr>
            <w:tcW w:w="0" w:type="auto"/>
            <w:hideMark/>
          </w:tcPr>
          <w:p w14:paraId="6DBF44C8" w14:textId="77777777" w:rsidR="00AC362E" w:rsidRPr="00165923" w:rsidRDefault="00AC362E" w:rsidP="00ED0631">
            <w:pPr>
              <w:spacing w:before="60" w:after="60"/>
              <w:rPr>
                <w:rFonts w:eastAsia="Times New Roman" w:cstheme="minorHAnsi"/>
              </w:rPr>
            </w:pPr>
            <w:r w:rsidRPr="00165923">
              <w:rPr>
                <w:rFonts w:eastAsia="Times New Roman" w:cstheme="minorHAnsi"/>
              </w:rPr>
              <w:t>Formative</w:t>
            </w:r>
          </w:p>
        </w:tc>
      </w:tr>
      <w:tr w:rsidR="00AC362E" w:rsidRPr="00165923" w14:paraId="12F94DCD" w14:textId="77777777" w:rsidTr="00ED0631">
        <w:tc>
          <w:tcPr>
            <w:tcW w:w="0" w:type="auto"/>
            <w:hideMark/>
          </w:tcPr>
          <w:p w14:paraId="72377C80" w14:textId="77777777" w:rsidR="00AC362E" w:rsidRPr="00165923" w:rsidRDefault="00AC362E" w:rsidP="00ED0631">
            <w:pPr>
              <w:spacing w:before="60" w:after="60"/>
              <w:rPr>
                <w:rFonts w:eastAsia="Times New Roman" w:cstheme="minorHAnsi"/>
              </w:rPr>
            </w:pPr>
            <w:r w:rsidRPr="00165923">
              <w:rPr>
                <w:rFonts w:eastAsia="Times New Roman" w:cstheme="minorHAnsi"/>
              </w:rPr>
              <w:t>Oral Reports</w:t>
            </w:r>
          </w:p>
        </w:tc>
        <w:tc>
          <w:tcPr>
            <w:tcW w:w="6003" w:type="dxa"/>
            <w:hideMark/>
          </w:tcPr>
          <w:p w14:paraId="55B02FD6" w14:textId="77777777" w:rsidR="00AC362E" w:rsidRPr="00165923" w:rsidRDefault="00AC362E" w:rsidP="00ED0631">
            <w:pPr>
              <w:spacing w:before="60" w:after="60"/>
              <w:rPr>
                <w:rFonts w:eastAsia="Times New Roman" w:cstheme="minorHAnsi"/>
              </w:rPr>
            </w:pPr>
            <w:r w:rsidRPr="00165923">
              <w:rPr>
                <w:rFonts w:eastAsia="Times New Roman" w:cstheme="minorHAnsi"/>
              </w:rPr>
              <w:t>Require communication by the student that demonstrates scientific understanding</w:t>
            </w:r>
          </w:p>
        </w:tc>
        <w:tc>
          <w:tcPr>
            <w:tcW w:w="0" w:type="auto"/>
            <w:hideMark/>
          </w:tcPr>
          <w:p w14:paraId="63280FF6" w14:textId="77777777" w:rsidR="00AC362E" w:rsidRPr="00165923" w:rsidRDefault="00AC362E" w:rsidP="00ED0631">
            <w:pPr>
              <w:spacing w:before="60" w:after="60"/>
              <w:rPr>
                <w:rFonts w:eastAsia="Times New Roman" w:cstheme="minorHAnsi"/>
              </w:rPr>
            </w:pPr>
            <w:r w:rsidRPr="00165923">
              <w:rPr>
                <w:rFonts w:eastAsia="Times New Roman" w:cstheme="minorHAnsi"/>
              </w:rPr>
              <w:t>Formative</w:t>
            </w:r>
          </w:p>
        </w:tc>
      </w:tr>
      <w:tr w:rsidR="00AC362E" w:rsidRPr="00165923" w14:paraId="034ABEB5" w14:textId="77777777" w:rsidTr="00ED0631">
        <w:tc>
          <w:tcPr>
            <w:tcW w:w="0" w:type="auto"/>
            <w:hideMark/>
          </w:tcPr>
          <w:p w14:paraId="012A6780" w14:textId="77777777" w:rsidR="00AC362E" w:rsidRPr="00165923" w:rsidRDefault="00AC362E" w:rsidP="00ED0631">
            <w:pPr>
              <w:spacing w:before="60" w:after="60"/>
              <w:rPr>
                <w:rFonts w:eastAsia="Times New Roman" w:cstheme="minorHAnsi"/>
              </w:rPr>
            </w:pPr>
            <w:r w:rsidRPr="00165923">
              <w:rPr>
                <w:rFonts w:eastAsia="Times New Roman" w:cstheme="minorHAnsi"/>
              </w:rPr>
              <w:t>Interviews</w:t>
            </w:r>
          </w:p>
        </w:tc>
        <w:tc>
          <w:tcPr>
            <w:tcW w:w="6003" w:type="dxa"/>
            <w:hideMark/>
          </w:tcPr>
          <w:p w14:paraId="52D14B8D" w14:textId="77777777" w:rsidR="00AC362E" w:rsidRPr="00165923" w:rsidRDefault="00AC362E" w:rsidP="00ED0631">
            <w:pPr>
              <w:spacing w:before="60" w:after="60"/>
              <w:rPr>
                <w:rFonts w:eastAsia="Times New Roman" w:cstheme="minorHAnsi"/>
              </w:rPr>
            </w:pPr>
            <w:r w:rsidRPr="00165923">
              <w:rPr>
                <w:rFonts w:eastAsia="Times New Roman" w:cstheme="minorHAnsi"/>
              </w:rPr>
              <w:t>Assess individual and group performance before, during, and after a learning task</w:t>
            </w:r>
          </w:p>
        </w:tc>
        <w:tc>
          <w:tcPr>
            <w:tcW w:w="0" w:type="auto"/>
            <w:hideMark/>
          </w:tcPr>
          <w:p w14:paraId="424C46F3" w14:textId="77777777" w:rsidR="00AC362E" w:rsidRPr="00165923" w:rsidRDefault="00AC362E" w:rsidP="00ED0631">
            <w:pPr>
              <w:spacing w:before="60" w:after="60"/>
              <w:rPr>
                <w:rFonts w:eastAsia="Times New Roman" w:cstheme="minorHAnsi"/>
              </w:rPr>
            </w:pPr>
            <w:r w:rsidRPr="00165923">
              <w:rPr>
                <w:rFonts w:eastAsia="Times New Roman" w:cstheme="minorHAnsi"/>
              </w:rPr>
              <w:t>Formative</w:t>
            </w:r>
          </w:p>
        </w:tc>
      </w:tr>
      <w:tr w:rsidR="00AC362E" w:rsidRPr="00165923" w14:paraId="5DB9997A" w14:textId="77777777" w:rsidTr="00ED0631">
        <w:tc>
          <w:tcPr>
            <w:tcW w:w="0" w:type="auto"/>
            <w:hideMark/>
          </w:tcPr>
          <w:p w14:paraId="6582E4D7" w14:textId="77777777" w:rsidR="00AC362E" w:rsidRPr="00165923" w:rsidRDefault="00AC362E" w:rsidP="00ED0631">
            <w:pPr>
              <w:spacing w:before="60" w:after="60"/>
              <w:rPr>
                <w:rFonts w:eastAsia="Times New Roman" w:cstheme="minorHAnsi"/>
              </w:rPr>
            </w:pPr>
            <w:r w:rsidRPr="00165923">
              <w:rPr>
                <w:rFonts w:eastAsia="Times New Roman" w:cstheme="minorHAnsi"/>
              </w:rPr>
              <w:t>Performance Tasks</w:t>
            </w:r>
          </w:p>
        </w:tc>
        <w:tc>
          <w:tcPr>
            <w:tcW w:w="6003" w:type="dxa"/>
            <w:hideMark/>
          </w:tcPr>
          <w:p w14:paraId="69920A0F" w14:textId="77777777" w:rsidR="00AC362E" w:rsidRPr="00165923" w:rsidRDefault="00AC362E" w:rsidP="00ED0631">
            <w:pPr>
              <w:spacing w:before="60" w:after="60"/>
              <w:rPr>
                <w:rFonts w:eastAsia="Times New Roman" w:cstheme="minorHAnsi"/>
              </w:rPr>
            </w:pPr>
            <w:r w:rsidRPr="00165923">
              <w:rPr>
                <w:rFonts w:eastAsia="Times New Roman" w:cstheme="minorHAnsi"/>
              </w:rPr>
              <w:t>Require students to create or take an action related to a problem, issue, or learning concept</w:t>
            </w:r>
          </w:p>
        </w:tc>
        <w:tc>
          <w:tcPr>
            <w:tcW w:w="0" w:type="auto"/>
            <w:hideMark/>
          </w:tcPr>
          <w:p w14:paraId="2298DF42" w14:textId="77777777" w:rsidR="00AC362E" w:rsidRPr="00165923" w:rsidRDefault="00AC362E" w:rsidP="00ED0631">
            <w:pPr>
              <w:spacing w:before="60" w:after="60"/>
              <w:rPr>
                <w:rFonts w:eastAsia="Times New Roman" w:cstheme="minorHAnsi"/>
              </w:rPr>
            </w:pPr>
            <w:r w:rsidRPr="00165923">
              <w:rPr>
                <w:rFonts w:eastAsia="Times New Roman" w:cstheme="minorHAnsi"/>
              </w:rPr>
              <w:t>Formative and Summative</w:t>
            </w:r>
          </w:p>
        </w:tc>
      </w:tr>
      <w:tr w:rsidR="00AC362E" w:rsidRPr="00165923" w14:paraId="6455239A" w14:textId="77777777" w:rsidTr="00ED0631">
        <w:tc>
          <w:tcPr>
            <w:tcW w:w="0" w:type="auto"/>
            <w:hideMark/>
          </w:tcPr>
          <w:p w14:paraId="3441C77F" w14:textId="77777777" w:rsidR="00AC362E" w:rsidRPr="00165923" w:rsidRDefault="00AC362E" w:rsidP="00ED0631">
            <w:pPr>
              <w:spacing w:before="60" w:after="60"/>
              <w:rPr>
                <w:rFonts w:eastAsia="Times New Roman" w:cstheme="minorHAnsi"/>
              </w:rPr>
            </w:pPr>
            <w:r w:rsidRPr="00165923">
              <w:rPr>
                <w:rFonts w:eastAsia="Times New Roman" w:cstheme="minorHAnsi"/>
              </w:rPr>
              <w:t>Checklists</w:t>
            </w:r>
          </w:p>
        </w:tc>
        <w:tc>
          <w:tcPr>
            <w:tcW w:w="6003" w:type="dxa"/>
            <w:hideMark/>
          </w:tcPr>
          <w:p w14:paraId="5A8F155F" w14:textId="77777777" w:rsidR="00AC362E" w:rsidRPr="00165923" w:rsidRDefault="00AC362E" w:rsidP="00ED0631">
            <w:pPr>
              <w:spacing w:before="60" w:after="60"/>
              <w:rPr>
                <w:rFonts w:eastAsia="Times New Roman" w:cstheme="minorHAnsi"/>
              </w:rPr>
            </w:pPr>
            <w:r w:rsidRPr="00165923">
              <w:rPr>
                <w:rFonts w:eastAsia="Times New Roman" w:cstheme="minorHAnsi"/>
              </w:rPr>
              <w:t>Monitor and record anecdotal information. The quality of information acquired through the use of checklists, rating scales, and rubrics is highly dependent on the quality of the descriptors chosen for assessment. Their benefit is also dependent on students’ direct involvement in the assessment and interpretation of the feedback provided</w:t>
            </w:r>
          </w:p>
        </w:tc>
        <w:tc>
          <w:tcPr>
            <w:tcW w:w="0" w:type="auto"/>
            <w:hideMark/>
          </w:tcPr>
          <w:p w14:paraId="3E33CD3B" w14:textId="77777777" w:rsidR="00AC362E" w:rsidRPr="00165923" w:rsidRDefault="00AC362E" w:rsidP="00ED0631">
            <w:pPr>
              <w:spacing w:before="60" w:after="60"/>
              <w:rPr>
                <w:rFonts w:eastAsia="Times New Roman" w:cstheme="minorHAnsi"/>
              </w:rPr>
            </w:pPr>
            <w:r w:rsidRPr="00165923">
              <w:rPr>
                <w:rFonts w:eastAsia="Times New Roman" w:cstheme="minorHAnsi"/>
              </w:rPr>
              <w:t>Formative and Summative</w:t>
            </w:r>
          </w:p>
        </w:tc>
      </w:tr>
      <w:tr w:rsidR="00AC362E" w:rsidRPr="00165923" w14:paraId="7BB31C01" w14:textId="77777777" w:rsidTr="00ED0631">
        <w:tc>
          <w:tcPr>
            <w:tcW w:w="0" w:type="auto"/>
            <w:hideMark/>
          </w:tcPr>
          <w:p w14:paraId="3143BC9D" w14:textId="77777777" w:rsidR="00AC362E" w:rsidRPr="00165923" w:rsidRDefault="00AC362E" w:rsidP="00ED0631">
            <w:pPr>
              <w:spacing w:before="60" w:after="60"/>
              <w:rPr>
                <w:rFonts w:eastAsia="Times New Roman" w:cstheme="minorHAnsi"/>
              </w:rPr>
            </w:pPr>
            <w:r w:rsidRPr="00165923">
              <w:rPr>
                <w:rFonts w:eastAsia="Times New Roman" w:cstheme="minorHAnsi"/>
              </w:rPr>
              <w:t>Portfolios</w:t>
            </w:r>
          </w:p>
        </w:tc>
        <w:tc>
          <w:tcPr>
            <w:tcW w:w="6003" w:type="dxa"/>
            <w:hideMark/>
          </w:tcPr>
          <w:p w14:paraId="0EA79B92" w14:textId="77777777" w:rsidR="00AC362E" w:rsidRPr="00165923" w:rsidRDefault="00AC362E" w:rsidP="00ED0631">
            <w:pPr>
              <w:spacing w:before="60" w:after="60"/>
              <w:rPr>
                <w:rFonts w:eastAsia="Times New Roman" w:cstheme="minorHAnsi"/>
              </w:rPr>
            </w:pPr>
            <w:r w:rsidRPr="00165923">
              <w:rPr>
                <w:rFonts w:eastAsia="Times New Roman" w:cstheme="minorHAnsi"/>
              </w:rPr>
              <w:t>Assist students in the process of developing and reflecting on a purposeful collection of student-generated data.</w:t>
            </w:r>
          </w:p>
        </w:tc>
        <w:tc>
          <w:tcPr>
            <w:tcW w:w="0" w:type="auto"/>
            <w:hideMark/>
          </w:tcPr>
          <w:p w14:paraId="4F07DCEC" w14:textId="77777777" w:rsidR="00AC362E" w:rsidRPr="00165923" w:rsidRDefault="00AC362E" w:rsidP="00ED0631">
            <w:pPr>
              <w:spacing w:before="60" w:after="60"/>
              <w:rPr>
                <w:rFonts w:eastAsia="Times New Roman" w:cstheme="minorHAnsi"/>
              </w:rPr>
            </w:pPr>
            <w:r w:rsidRPr="00165923">
              <w:rPr>
                <w:rFonts w:eastAsia="Times New Roman" w:cstheme="minorHAnsi"/>
              </w:rPr>
              <w:t>Formative and Summative</w:t>
            </w:r>
          </w:p>
        </w:tc>
      </w:tr>
    </w:tbl>
    <w:p w14:paraId="21463D23" w14:textId="77777777" w:rsidR="00AC362E" w:rsidRPr="00257F87" w:rsidRDefault="00AC362E" w:rsidP="00ED0631">
      <w:pPr>
        <w:autoSpaceDE w:val="0"/>
        <w:autoSpaceDN w:val="0"/>
        <w:adjustRightInd w:val="0"/>
        <w:rPr>
          <w:rFonts w:eastAsia="Times New Roman" w:cstheme="minorHAnsi"/>
          <w:i/>
          <w:sz w:val="16"/>
        </w:rPr>
      </w:pPr>
      <w:r w:rsidRPr="00257F87">
        <w:rPr>
          <w:rFonts w:eastAsia="Times New Roman" w:cstheme="minorHAnsi"/>
          <w:i/>
          <w:sz w:val="16"/>
        </w:rPr>
        <w:t xml:space="preserve">Source: </w:t>
      </w:r>
      <w:r w:rsidRPr="00257F87">
        <w:rPr>
          <w:rFonts w:cstheme="minorHAnsi"/>
          <w:i/>
          <w:sz w:val="16"/>
        </w:rPr>
        <w:t>National Council for Curriculum and Assessment, 2004</w:t>
      </w:r>
    </w:p>
    <w:p w14:paraId="1EA43B69" w14:textId="77777777" w:rsidR="00AC362E" w:rsidRPr="00165923" w:rsidRDefault="00AC362E" w:rsidP="00ED0631">
      <w:pPr>
        <w:rPr>
          <w:rFonts w:cstheme="minorHAnsi"/>
        </w:rPr>
      </w:pPr>
      <w:r w:rsidRPr="00165923">
        <w:rPr>
          <w:rFonts w:cstheme="minorHAnsi"/>
        </w:rPr>
        <w:t xml:space="preserve">Evidence suggests that </w:t>
      </w:r>
      <w:r w:rsidRPr="00165923">
        <w:rPr>
          <w:rFonts w:eastAsia="Times New Roman" w:cstheme="minorHAnsi"/>
        </w:rPr>
        <w:t xml:space="preserve">the use of a diverse set of data-collection formats will yield a deeper and more meaningful understanding of what children know and are able to do. It is important </w:t>
      </w:r>
      <w:r w:rsidRPr="00165923">
        <w:rPr>
          <w:rFonts w:cstheme="minorHAnsi"/>
        </w:rPr>
        <w:t xml:space="preserve">that both </w:t>
      </w:r>
      <w:r w:rsidRPr="00165923">
        <w:rPr>
          <w:rFonts w:cstheme="minorHAnsi"/>
          <w:color w:val="000000"/>
        </w:rPr>
        <w:t>diagnostic formative and summative classroom assessments integrated to the learning and teaching cycle. They also need to be aligned so that formative work can feed into summative work and summative work can be used formatively.</w:t>
      </w:r>
    </w:p>
    <w:p w14:paraId="40B65061" w14:textId="77777777" w:rsidR="00512A02" w:rsidRDefault="00512A02">
      <w:pPr>
        <w:spacing w:line="276" w:lineRule="auto"/>
        <w:rPr>
          <w:rFonts w:asciiTheme="majorHAnsi" w:hAnsiTheme="majorHAnsi" w:cstheme="majorHAnsi"/>
          <w:b/>
          <w:color w:val="000000" w:themeColor="text1"/>
          <w:spacing w:val="2"/>
          <w:sz w:val="24"/>
          <w:szCs w:val="36"/>
        </w:rPr>
      </w:pPr>
      <w:bookmarkStart w:id="222" w:name="_Toc435788134"/>
      <w:r>
        <w:br w:type="page"/>
      </w:r>
    </w:p>
    <w:p w14:paraId="1D8800DD" w14:textId="573C55D9" w:rsidR="00AC362E" w:rsidRPr="00257F87" w:rsidRDefault="00AC362E" w:rsidP="00257F87">
      <w:pPr>
        <w:pStyle w:val="Heading2"/>
      </w:pPr>
      <w:bookmarkStart w:id="223" w:name="_Toc461615812"/>
      <w:r w:rsidRPr="00257F87">
        <w:lastRenderedPageBreak/>
        <w:t>What are the characteristics of good assessments?</w:t>
      </w:r>
      <w:bookmarkEnd w:id="222"/>
      <w:bookmarkEnd w:id="223"/>
    </w:p>
    <w:p w14:paraId="0595F056" w14:textId="77777777" w:rsidR="00AC362E" w:rsidRPr="00165923" w:rsidRDefault="00AC362E" w:rsidP="00ED0631">
      <w:pPr>
        <w:autoSpaceDE w:val="0"/>
        <w:autoSpaceDN w:val="0"/>
        <w:adjustRightInd w:val="0"/>
        <w:rPr>
          <w:rFonts w:cstheme="minorHAnsi"/>
        </w:rPr>
      </w:pPr>
      <w:r w:rsidRPr="00165923">
        <w:rPr>
          <w:rFonts w:cstheme="minorHAnsi"/>
        </w:rPr>
        <w:t>The following assessment qualities are identified based on the review of a number of studies which focus on good assessment practices. Effective educational assessment need to develop measurement devices and procedures that are in consistent with the criteria identified below:</w:t>
      </w:r>
    </w:p>
    <w:tbl>
      <w:tblPr>
        <w:tblStyle w:val="TableGrid1"/>
        <w:tblW w:w="9214" w:type="dxa"/>
        <w:tblInd w:w="108" w:type="dxa"/>
        <w:tblLook w:val="04A0" w:firstRow="1" w:lastRow="0" w:firstColumn="1" w:lastColumn="0" w:noHBand="0" w:noVBand="1"/>
        <w:tblCaption w:val="the characteristics of good assessments"/>
      </w:tblPr>
      <w:tblGrid>
        <w:gridCol w:w="2127"/>
        <w:gridCol w:w="7087"/>
      </w:tblGrid>
      <w:tr w:rsidR="00AC362E" w:rsidRPr="00165923" w14:paraId="6408F95E" w14:textId="77777777" w:rsidTr="00ED0631">
        <w:tc>
          <w:tcPr>
            <w:tcW w:w="9214" w:type="dxa"/>
            <w:gridSpan w:val="2"/>
          </w:tcPr>
          <w:p w14:paraId="6431C2BF" w14:textId="77777777" w:rsidR="00AC362E" w:rsidRPr="00165923" w:rsidRDefault="00AC362E" w:rsidP="00ED0631">
            <w:pPr>
              <w:rPr>
                <w:b/>
              </w:rPr>
            </w:pPr>
            <w:r w:rsidRPr="00165923">
              <w:rPr>
                <w:b/>
              </w:rPr>
              <w:t>Good Assessment</w:t>
            </w:r>
          </w:p>
        </w:tc>
      </w:tr>
      <w:tr w:rsidR="00AC362E" w:rsidRPr="00165923" w14:paraId="079EFC5D" w14:textId="77777777" w:rsidTr="00ED0631">
        <w:tc>
          <w:tcPr>
            <w:tcW w:w="2127" w:type="dxa"/>
          </w:tcPr>
          <w:p w14:paraId="47537F23" w14:textId="77777777" w:rsidR="00AC362E" w:rsidRPr="00165923" w:rsidRDefault="00AC362E" w:rsidP="00ED0631">
            <w:pPr>
              <w:rPr>
                <w:b/>
              </w:rPr>
            </w:pPr>
            <w:r w:rsidRPr="00165923">
              <w:rPr>
                <w:b/>
              </w:rPr>
              <w:t>Qualities</w:t>
            </w:r>
          </w:p>
        </w:tc>
        <w:tc>
          <w:tcPr>
            <w:tcW w:w="7087" w:type="dxa"/>
          </w:tcPr>
          <w:p w14:paraId="69414272" w14:textId="77777777" w:rsidR="00AC362E" w:rsidRPr="00165923" w:rsidRDefault="00AC362E" w:rsidP="00ED0631">
            <w:pPr>
              <w:rPr>
                <w:rFonts w:eastAsia="Times New Roman"/>
                <w:b/>
              </w:rPr>
            </w:pPr>
            <w:r w:rsidRPr="00165923">
              <w:rPr>
                <w:rFonts w:eastAsia="Times New Roman"/>
                <w:b/>
              </w:rPr>
              <w:t>is/does</w:t>
            </w:r>
          </w:p>
        </w:tc>
      </w:tr>
      <w:tr w:rsidR="00AC362E" w:rsidRPr="00165923" w14:paraId="52119E21" w14:textId="77777777" w:rsidTr="00ED0631">
        <w:tc>
          <w:tcPr>
            <w:tcW w:w="2127" w:type="dxa"/>
          </w:tcPr>
          <w:p w14:paraId="7944334E" w14:textId="77777777" w:rsidR="00AC362E" w:rsidRPr="00165923" w:rsidRDefault="00AC362E" w:rsidP="00ED0631">
            <w:r w:rsidRPr="00165923">
              <w:t>Valid, reliable, targeted and clear</w:t>
            </w:r>
          </w:p>
        </w:tc>
        <w:tc>
          <w:tcPr>
            <w:tcW w:w="7087" w:type="dxa"/>
          </w:tcPr>
          <w:p w14:paraId="48712807" w14:textId="77777777" w:rsidR="00AC362E" w:rsidRPr="00165923" w:rsidRDefault="00AC362E" w:rsidP="00AE24CE">
            <w:pPr>
              <w:numPr>
                <w:ilvl w:val="0"/>
                <w:numId w:val="13"/>
              </w:numPr>
              <w:ind w:left="284" w:hanging="284"/>
              <w:contextualSpacing/>
            </w:pPr>
            <w:r w:rsidRPr="00165923">
              <w:t xml:space="preserve">measures what it intends to measure; </w:t>
            </w:r>
          </w:p>
          <w:p w14:paraId="38197593" w14:textId="77777777" w:rsidR="00AC362E" w:rsidRPr="00165923" w:rsidRDefault="00AC362E" w:rsidP="00AE24CE">
            <w:pPr>
              <w:numPr>
                <w:ilvl w:val="0"/>
                <w:numId w:val="13"/>
              </w:numPr>
              <w:ind w:left="284" w:hanging="284"/>
              <w:contextualSpacing/>
            </w:pPr>
            <w:r w:rsidRPr="00165923">
              <w:t xml:space="preserve">is reliable across its applications within classroom, school and province; </w:t>
            </w:r>
          </w:p>
          <w:p w14:paraId="43C06ADC" w14:textId="77777777" w:rsidR="00AC362E" w:rsidRPr="00165923" w:rsidRDefault="00AC362E" w:rsidP="00AE24CE">
            <w:pPr>
              <w:numPr>
                <w:ilvl w:val="0"/>
                <w:numId w:val="13"/>
              </w:numPr>
              <w:ind w:left="284" w:hanging="284"/>
              <w:contextualSpacing/>
            </w:pPr>
            <w:r w:rsidRPr="00165923">
              <w:t xml:space="preserve">is targeted and leads to goal setting; </w:t>
            </w:r>
          </w:p>
          <w:p w14:paraId="47D04753" w14:textId="77777777" w:rsidR="00AC362E" w:rsidRPr="00165923" w:rsidRDefault="00AC362E" w:rsidP="00AE24CE">
            <w:pPr>
              <w:numPr>
                <w:ilvl w:val="0"/>
                <w:numId w:val="13"/>
              </w:numPr>
              <w:ind w:left="284" w:hanging="284"/>
              <w:contextualSpacing/>
            </w:pPr>
            <w:r w:rsidRPr="00165923">
              <w:t xml:space="preserve">provides its purpose, criteria and standards explicitly; </w:t>
            </w:r>
          </w:p>
          <w:p w14:paraId="1C4D06FB" w14:textId="77777777" w:rsidR="00AC362E" w:rsidRPr="00165923" w:rsidRDefault="00AC362E" w:rsidP="00AE24CE">
            <w:pPr>
              <w:numPr>
                <w:ilvl w:val="0"/>
                <w:numId w:val="13"/>
              </w:numPr>
              <w:ind w:left="284" w:hanging="284"/>
              <w:contextualSpacing/>
            </w:pPr>
            <w:r w:rsidRPr="00165923">
              <w:t>uses a wide variety of methods/measures</w:t>
            </w:r>
          </w:p>
        </w:tc>
      </w:tr>
      <w:tr w:rsidR="00AC362E" w:rsidRPr="00165923" w14:paraId="0C140CA7" w14:textId="77777777" w:rsidTr="00ED0631">
        <w:tc>
          <w:tcPr>
            <w:tcW w:w="2127" w:type="dxa"/>
          </w:tcPr>
          <w:p w14:paraId="08EC34C1" w14:textId="77777777" w:rsidR="00AC362E" w:rsidRPr="00165923" w:rsidRDefault="00AC362E" w:rsidP="00ED0631">
            <w:r w:rsidRPr="00165923">
              <w:rPr>
                <w:rFonts w:eastAsia="Times New Roman"/>
              </w:rPr>
              <w:t>Continuous and ongoing</w:t>
            </w:r>
          </w:p>
        </w:tc>
        <w:tc>
          <w:tcPr>
            <w:tcW w:w="7087" w:type="dxa"/>
          </w:tcPr>
          <w:p w14:paraId="68B07EA4" w14:textId="77777777" w:rsidR="00AC362E" w:rsidRPr="00165923" w:rsidRDefault="00AC362E" w:rsidP="00AE24CE">
            <w:pPr>
              <w:numPr>
                <w:ilvl w:val="0"/>
                <w:numId w:val="13"/>
              </w:numPr>
              <w:ind w:left="284" w:hanging="284"/>
              <w:contextualSpacing/>
            </w:pPr>
            <w:r w:rsidRPr="00165923">
              <w:t xml:space="preserve">occurs continuously and systematically through all instructional activities; </w:t>
            </w:r>
          </w:p>
          <w:p w14:paraId="55F75210" w14:textId="77777777" w:rsidR="00AC362E" w:rsidRPr="00165923" w:rsidRDefault="00AC362E" w:rsidP="00AE24CE">
            <w:pPr>
              <w:numPr>
                <w:ilvl w:val="0"/>
                <w:numId w:val="13"/>
              </w:numPr>
              <w:ind w:left="284" w:hanging="284"/>
              <w:contextualSpacing/>
            </w:pPr>
            <w:r w:rsidRPr="00165923">
              <w:t xml:space="preserve">involves task oriented feedback and reflection </w:t>
            </w:r>
          </w:p>
        </w:tc>
      </w:tr>
      <w:tr w:rsidR="00AC362E" w:rsidRPr="00165923" w14:paraId="77ECFFEF" w14:textId="77777777" w:rsidTr="00ED0631">
        <w:tc>
          <w:tcPr>
            <w:tcW w:w="2127" w:type="dxa"/>
          </w:tcPr>
          <w:p w14:paraId="7836182A" w14:textId="77777777" w:rsidR="00AC362E" w:rsidRPr="00165923" w:rsidRDefault="00AC362E" w:rsidP="00ED0631">
            <w:r w:rsidRPr="00165923">
              <w:rPr>
                <w:rFonts w:eastAsia="Times New Roman"/>
              </w:rPr>
              <w:t>Authentic and meaningful</w:t>
            </w:r>
          </w:p>
        </w:tc>
        <w:tc>
          <w:tcPr>
            <w:tcW w:w="7087" w:type="dxa"/>
          </w:tcPr>
          <w:p w14:paraId="4E49F79F" w14:textId="77777777" w:rsidR="00AC362E" w:rsidRPr="00165923" w:rsidRDefault="00AC362E" w:rsidP="00AE24CE">
            <w:pPr>
              <w:numPr>
                <w:ilvl w:val="0"/>
                <w:numId w:val="13"/>
              </w:numPr>
              <w:ind w:left="284" w:hanging="284"/>
              <w:contextualSpacing/>
            </w:pPr>
            <w:r w:rsidRPr="00165923">
              <w:t xml:space="preserve">is clear and meaningful to students; </w:t>
            </w:r>
          </w:p>
          <w:p w14:paraId="06AD6C0D" w14:textId="77777777" w:rsidR="00AC362E" w:rsidRPr="00165923" w:rsidRDefault="00AC362E" w:rsidP="00AE24CE">
            <w:pPr>
              <w:numPr>
                <w:ilvl w:val="0"/>
                <w:numId w:val="13"/>
              </w:numPr>
              <w:ind w:left="284" w:hanging="284"/>
              <w:contextualSpacing/>
            </w:pPr>
            <w:r w:rsidRPr="00165923">
              <w:t xml:space="preserve">is completed for a variety of purposes and audiences; </w:t>
            </w:r>
          </w:p>
          <w:p w14:paraId="4616E7AB" w14:textId="77777777" w:rsidR="00AC362E" w:rsidRPr="00165923" w:rsidRDefault="00AC362E" w:rsidP="00AE24CE">
            <w:pPr>
              <w:numPr>
                <w:ilvl w:val="0"/>
                <w:numId w:val="13"/>
              </w:numPr>
              <w:ind w:left="284" w:hanging="284"/>
              <w:contextualSpacing/>
            </w:pPr>
            <w:r w:rsidRPr="00165923">
              <w:t xml:space="preserve">focuses on students’ critical reflection; </w:t>
            </w:r>
          </w:p>
          <w:p w14:paraId="77C266C1" w14:textId="77777777" w:rsidR="00AC362E" w:rsidRPr="00165923" w:rsidRDefault="00AC362E" w:rsidP="00AE24CE">
            <w:pPr>
              <w:numPr>
                <w:ilvl w:val="0"/>
                <w:numId w:val="13"/>
              </w:numPr>
              <w:ind w:left="284" w:hanging="284"/>
              <w:contextualSpacing/>
            </w:pPr>
            <w:r w:rsidRPr="00165923">
              <w:t>puts emphasis on connecting prior to new knowledge and their application to daily life</w:t>
            </w:r>
          </w:p>
        </w:tc>
      </w:tr>
      <w:tr w:rsidR="00AC362E" w:rsidRPr="00165923" w14:paraId="6624C6EA" w14:textId="77777777" w:rsidTr="00ED0631">
        <w:tc>
          <w:tcPr>
            <w:tcW w:w="2127" w:type="dxa"/>
          </w:tcPr>
          <w:p w14:paraId="5A235D8C" w14:textId="77777777" w:rsidR="00AC362E" w:rsidRPr="00165923" w:rsidRDefault="00AC362E" w:rsidP="00ED0631">
            <w:r w:rsidRPr="00165923">
              <w:rPr>
                <w:rFonts w:eastAsia="Times New Roman"/>
              </w:rPr>
              <w:t>Credible and collaborative</w:t>
            </w:r>
          </w:p>
        </w:tc>
        <w:tc>
          <w:tcPr>
            <w:tcW w:w="7087" w:type="dxa"/>
          </w:tcPr>
          <w:p w14:paraId="19C8A917" w14:textId="77777777" w:rsidR="00AC362E" w:rsidRPr="00165923" w:rsidRDefault="00AC362E" w:rsidP="00AE24CE">
            <w:pPr>
              <w:numPr>
                <w:ilvl w:val="0"/>
                <w:numId w:val="13"/>
              </w:numPr>
              <w:ind w:left="284" w:hanging="284"/>
              <w:contextualSpacing/>
            </w:pPr>
            <w:r w:rsidRPr="00165923">
              <w:t xml:space="preserve">Focuses on meaningful student involvement in setting assessment criteria and measuring progress; </w:t>
            </w:r>
          </w:p>
          <w:p w14:paraId="420B9A0B" w14:textId="77777777" w:rsidR="00AC362E" w:rsidRPr="00165923" w:rsidRDefault="00AC362E" w:rsidP="00AE24CE">
            <w:pPr>
              <w:numPr>
                <w:ilvl w:val="0"/>
                <w:numId w:val="13"/>
              </w:numPr>
              <w:ind w:left="284" w:hanging="284"/>
              <w:contextualSpacing/>
            </w:pPr>
            <w:r w:rsidRPr="00165923">
              <w:t xml:space="preserve">promotes self and peer-assessment; </w:t>
            </w:r>
          </w:p>
          <w:p w14:paraId="522164CC" w14:textId="77777777" w:rsidR="00AC362E" w:rsidRPr="00165923" w:rsidRDefault="00AC362E" w:rsidP="00AE24CE">
            <w:pPr>
              <w:numPr>
                <w:ilvl w:val="0"/>
                <w:numId w:val="13"/>
              </w:numPr>
              <w:ind w:left="284" w:hanging="284"/>
              <w:contextualSpacing/>
            </w:pPr>
            <w:r w:rsidRPr="00165923">
              <w:t>involves parents as partners and informs them with credible information periodically</w:t>
            </w:r>
          </w:p>
        </w:tc>
      </w:tr>
      <w:tr w:rsidR="00AC362E" w:rsidRPr="00165923" w14:paraId="61A86B44" w14:textId="77777777" w:rsidTr="00ED0631">
        <w:tc>
          <w:tcPr>
            <w:tcW w:w="2127" w:type="dxa"/>
          </w:tcPr>
          <w:p w14:paraId="2BEFF2EC" w14:textId="77777777" w:rsidR="00AC362E" w:rsidRPr="00165923" w:rsidRDefault="00AC362E" w:rsidP="00ED0631">
            <w:r w:rsidRPr="00165923">
              <w:rPr>
                <w:rFonts w:eastAsia="Times New Roman"/>
              </w:rPr>
              <w:t>Developmentally and culturally appropriate</w:t>
            </w:r>
          </w:p>
        </w:tc>
        <w:tc>
          <w:tcPr>
            <w:tcW w:w="7087" w:type="dxa"/>
          </w:tcPr>
          <w:p w14:paraId="2F472180" w14:textId="77777777" w:rsidR="00AC362E" w:rsidRPr="00165923" w:rsidRDefault="00AC362E" w:rsidP="00AE24CE">
            <w:pPr>
              <w:numPr>
                <w:ilvl w:val="0"/>
                <w:numId w:val="13"/>
              </w:numPr>
              <w:ind w:left="284" w:hanging="284"/>
              <w:contextualSpacing/>
            </w:pPr>
            <w:r w:rsidRPr="00165923">
              <w:t xml:space="preserve">is suited to students’ developmental levels; </w:t>
            </w:r>
          </w:p>
          <w:p w14:paraId="56DCF634" w14:textId="77777777" w:rsidR="00AC362E" w:rsidRPr="00165923" w:rsidRDefault="00AC362E" w:rsidP="00AE24CE">
            <w:pPr>
              <w:numPr>
                <w:ilvl w:val="0"/>
                <w:numId w:val="13"/>
              </w:numPr>
              <w:ind w:left="284" w:hanging="284"/>
              <w:contextualSpacing/>
            </w:pPr>
            <w:r w:rsidRPr="00165923">
              <w:t xml:space="preserve">considers preferred learning styles and provides for differentiation; </w:t>
            </w:r>
          </w:p>
          <w:p w14:paraId="75DE0666" w14:textId="77777777" w:rsidR="00AC362E" w:rsidRPr="00165923" w:rsidRDefault="00AC362E" w:rsidP="00AE24CE">
            <w:pPr>
              <w:numPr>
                <w:ilvl w:val="0"/>
                <w:numId w:val="13"/>
              </w:numPr>
              <w:ind w:left="284" w:hanging="284"/>
              <w:contextualSpacing/>
            </w:pPr>
            <w:r w:rsidRPr="00165923">
              <w:t>is fair and unbiased and sensitive to diverse social, cultural, and linguistic backgrounds</w:t>
            </w:r>
          </w:p>
        </w:tc>
      </w:tr>
      <w:tr w:rsidR="00AC362E" w:rsidRPr="00165923" w14:paraId="1579DB73" w14:textId="77777777" w:rsidTr="00ED0631">
        <w:tc>
          <w:tcPr>
            <w:tcW w:w="2127" w:type="dxa"/>
          </w:tcPr>
          <w:p w14:paraId="1528056B" w14:textId="77777777" w:rsidR="00AC362E" w:rsidRPr="00165923" w:rsidRDefault="00AC362E" w:rsidP="00ED0631">
            <w:r w:rsidRPr="00165923">
              <w:t>Focussed on students strengths</w:t>
            </w:r>
          </w:p>
        </w:tc>
        <w:tc>
          <w:tcPr>
            <w:tcW w:w="7087" w:type="dxa"/>
          </w:tcPr>
          <w:p w14:paraId="3B649B0F" w14:textId="77777777" w:rsidR="00AC362E" w:rsidRPr="00165923" w:rsidRDefault="00AC362E" w:rsidP="00AE24CE">
            <w:pPr>
              <w:numPr>
                <w:ilvl w:val="0"/>
                <w:numId w:val="13"/>
              </w:numPr>
              <w:ind w:left="284" w:hanging="284"/>
              <w:contextualSpacing/>
            </w:pPr>
            <w:r w:rsidRPr="00165923">
              <w:t xml:space="preserve">provides safe environment where children can take risks and feel a sense of achievement; </w:t>
            </w:r>
          </w:p>
          <w:p w14:paraId="1D9D6957" w14:textId="77777777" w:rsidR="00AC362E" w:rsidRPr="00165923" w:rsidRDefault="00AC362E" w:rsidP="00AE24CE">
            <w:pPr>
              <w:numPr>
                <w:ilvl w:val="0"/>
                <w:numId w:val="13"/>
              </w:numPr>
              <w:ind w:left="284" w:hanging="284"/>
              <w:contextualSpacing/>
            </w:pPr>
            <w:r w:rsidRPr="00165923">
              <w:t xml:space="preserve">pinpoints strengths and how they can be further developed; </w:t>
            </w:r>
          </w:p>
          <w:p w14:paraId="3ADEEEBF" w14:textId="77777777" w:rsidR="00AC362E" w:rsidRPr="00165923" w:rsidRDefault="00AC362E" w:rsidP="00AE24CE">
            <w:pPr>
              <w:numPr>
                <w:ilvl w:val="0"/>
                <w:numId w:val="13"/>
              </w:numPr>
              <w:ind w:left="284" w:hanging="284"/>
              <w:contextualSpacing/>
            </w:pPr>
            <w:r w:rsidRPr="00165923">
              <w:t>provides constructive feedback on weaknesses and how they might be addressed recognising that assessment influences student’s motivation and self-esteem.</w:t>
            </w:r>
          </w:p>
        </w:tc>
      </w:tr>
    </w:tbl>
    <w:p w14:paraId="7EE477E1" w14:textId="77777777" w:rsidR="00AC362E" w:rsidRPr="00257F87" w:rsidRDefault="00AC362E" w:rsidP="00ED0631">
      <w:pPr>
        <w:autoSpaceDE w:val="0"/>
        <w:autoSpaceDN w:val="0"/>
        <w:adjustRightInd w:val="0"/>
        <w:spacing w:after="0"/>
        <w:rPr>
          <w:rFonts w:cstheme="minorHAnsi"/>
          <w:i/>
          <w:spacing w:val="2"/>
          <w:sz w:val="16"/>
          <w:szCs w:val="16"/>
        </w:rPr>
      </w:pPr>
      <w:r w:rsidRPr="00257F87">
        <w:rPr>
          <w:rFonts w:cstheme="minorHAnsi"/>
          <w:i/>
          <w:spacing w:val="2"/>
          <w:sz w:val="16"/>
          <w:szCs w:val="16"/>
        </w:rPr>
        <w:t xml:space="preserve">Source: NSW Department of Education and Training, 2007; </w:t>
      </w:r>
      <w:r w:rsidRPr="00257F87">
        <w:rPr>
          <w:rFonts w:cstheme="minorHAnsi"/>
          <w:i/>
          <w:color w:val="000000"/>
          <w:spacing w:val="2"/>
          <w:sz w:val="16"/>
          <w:szCs w:val="16"/>
        </w:rPr>
        <w:t xml:space="preserve">Government of Victoria, 2005; </w:t>
      </w:r>
      <w:r w:rsidRPr="00257F87">
        <w:rPr>
          <w:rFonts w:cstheme="minorHAnsi"/>
          <w:i/>
          <w:spacing w:val="2"/>
          <w:sz w:val="16"/>
          <w:szCs w:val="16"/>
        </w:rPr>
        <w:t xml:space="preserve">Badders, 2000; </w:t>
      </w:r>
      <w:r w:rsidRPr="00257F87">
        <w:rPr>
          <w:rFonts w:cstheme="minorHAnsi"/>
          <w:i/>
          <w:spacing w:val="2"/>
          <w:sz w:val="16"/>
          <w:szCs w:val="16"/>
          <w:lang w:val="en-US"/>
        </w:rPr>
        <w:t xml:space="preserve">Department for Children Schools and Families, 2008; </w:t>
      </w:r>
      <w:r w:rsidRPr="00257F87">
        <w:rPr>
          <w:rFonts w:eastAsia="Times New Roman" w:cstheme="minorHAnsi"/>
          <w:i/>
          <w:spacing w:val="2"/>
          <w:sz w:val="16"/>
          <w:szCs w:val="16"/>
        </w:rPr>
        <w:t xml:space="preserve">National Research Council, 2001; </w:t>
      </w:r>
      <w:r w:rsidRPr="00257F87">
        <w:rPr>
          <w:rFonts w:cstheme="minorHAnsi"/>
          <w:i/>
          <w:spacing w:val="2"/>
          <w:sz w:val="16"/>
          <w:szCs w:val="16"/>
        </w:rPr>
        <w:t>DfES, 2004</w:t>
      </w:r>
    </w:p>
    <w:p w14:paraId="1DD80048" w14:textId="77777777" w:rsidR="00AC362E" w:rsidRPr="00165923" w:rsidRDefault="00AC362E" w:rsidP="00ED0631">
      <w:pPr>
        <w:pStyle w:val="Heading2"/>
      </w:pPr>
      <w:bookmarkStart w:id="224" w:name="_Toc435788135"/>
      <w:bookmarkStart w:id="225" w:name="_Toc461615813"/>
      <w:r w:rsidRPr="00165923">
        <w:t>How should teachers effectively use educational assessment?</w:t>
      </w:r>
      <w:bookmarkEnd w:id="224"/>
      <w:bookmarkEnd w:id="225"/>
    </w:p>
    <w:p w14:paraId="028F8248" w14:textId="77777777" w:rsidR="00AC362E" w:rsidRPr="00165923" w:rsidRDefault="00AC362E" w:rsidP="00ED0631">
      <w:pPr>
        <w:autoSpaceDE w:val="0"/>
        <w:autoSpaceDN w:val="0"/>
        <w:adjustRightInd w:val="0"/>
        <w:rPr>
          <w:rFonts w:eastAsia="Times New Roman"/>
        </w:rPr>
      </w:pPr>
      <w:r w:rsidRPr="00165923">
        <w:t xml:space="preserve">Evidence from literature suggests that </w:t>
      </w:r>
      <w:r w:rsidRPr="00165923">
        <w:rPr>
          <w:rFonts w:eastAsia="Times New Roman"/>
        </w:rPr>
        <w:t xml:space="preserve">the teachers need to </w:t>
      </w:r>
    </w:p>
    <w:p w14:paraId="5685B981" w14:textId="77777777" w:rsidR="00AC362E" w:rsidRPr="00165923" w:rsidRDefault="00AC362E" w:rsidP="00AE24CE">
      <w:pPr>
        <w:numPr>
          <w:ilvl w:val="0"/>
          <w:numId w:val="13"/>
        </w:numPr>
        <w:spacing w:after="0"/>
        <w:ind w:left="284" w:hanging="284"/>
        <w:contextualSpacing/>
      </w:pPr>
      <w:r w:rsidRPr="00165923">
        <w:t>recognise technical qualities of different assessment instruments and how they can be appropriately used in particular circumstances</w:t>
      </w:r>
    </w:p>
    <w:p w14:paraId="632A704A" w14:textId="77777777" w:rsidR="00AC362E" w:rsidRPr="00165923" w:rsidRDefault="00AC362E" w:rsidP="00AE24CE">
      <w:pPr>
        <w:numPr>
          <w:ilvl w:val="0"/>
          <w:numId w:val="13"/>
        </w:numPr>
        <w:spacing w:after="0"/>
        <w:ind w:left="284" w:hanging="284"/>
        <w:contextualSpacing/>
      </w:pPr>
      <w:r w:rsidRPr="00165923">
        <w:t>use all types of diagnostic, formative and summative classroom assessments however align their overall objectives to achieve a deeper and more meaningful understanding of student’s learning.</w:t>
      </w:r>
    </w:p>
    <w:p w14:paraId="6E22C356" w14:textId="77777777" w:rsidR="00AC362E" w:rsidRPr="00165923" w:rsidRDefault="00AC362E" w:rsidP="00AE24CE">
      <w:pPr>
        <w:numPr>
          <w:ilvl w:val="0"/>
          <w:numId w:val="13"/>
        </w:numPr>
        <w:spacing w:after="0"/>
        <w:ind w:left="284" w:hanging="284"/>
        <w:contextualSpacing/>
      </w:pPr>
      <w:r w:rsidRPr="00165923">
        <w:t xml:space="preserve">use modes of assessment appropriate to the child’s age and stage of development </w:t>
      </w:r>
    </w:p>
    <w:p w14:paraId="46ACAF21" w14:textId="77777777" w:rsidR="00AC362E" w:rsidRPr="00165923" w:rsidRDefault="00AC362E" w:rsidP="00AE24CE">
      <w:pPr>
        <w:numPr>
          <w:ilvl w:val="0"/>
          <w:numId w:val="13"/>
        </w:numPr>
        <w:spacing w:after="0"/>
        <w:ind w:left="284" w:hanging="284"/>
        <w:contextualSpacing/>
      </w:pPr>
      <w:r w:rsidRPr="00165923">
        <w:t>ensure vigilance in identifying learning difficulties in particular children and use assessment information to provide appropriate intervention and support</w:t>
      </w:r>
    </w:p>
    <w:p w14:paraId="69C76C9D" w14:textId="77777777" w:rsidR="00AC362E" w:rsidRPr="00165923" w:rsidRDefault="00AC362E" w:rsidP="00AE24CE">
      <w:pPr>
        <w:numPr>
          <w:ilvl w:val="0"/>
          <w:numId w:val="13"/>
        </w:numPr>
        <w:spacing w:after="0"/>
        <w:ind w:left="284" w:hanging="284"/>
        <w:contextualSpacing/>
      </w:pPr>
      <w:r w:rsidRPr="00165923">
        <w:t xml:space="preserve">provide constructive feedback about each learner’s particular strengths and areas for improvement after each assessment </w:t>
      </w:r>
    </w:p>
    <w:p w14:paraId="229EA4E5" w14:textId="77777777" w:rsidR="00AC362E" w:rsidRPr="00165923" w:rsidRDefault="00AC362E" w:rsidP="00AE24CE">
      <w:pPr>
        <w:numPr>
          <w:ilvl w:val="0"/>
          <w:numId w:val="13"/>
        </w:numPr>
        <w:spacing w:after="0"/>
        <w:ind w:left="284" w:hanging="284"/>
        <w:contextualSpacing/>
      </w:pPr>
      <w:r w:rsidRPr="00165923">
        <w:t>allow time in each classroom day for active observation of children in and out of the class in order to construct as fuller picture of their progress and development</w:t>
      </w:r>
    </w:p>
    <w:p w14:paraId="3B28A136" w14:textId="77777777" w:rsidR="00AC362E" w:rsidRPr="00165923" w:rsidRDefault="00AC362E" w:rsidP="00AE24CE">
      <w:pPr>
        <w:numPr>
          <w:ilvl w:val="0"/>
          <w:numId w:val="13"/>
        </w:numPr>
        <w:spacing w:after="0"/>
        <w:ind w:left="284" w:hanging="284"/>
        <w:contextualSpacing/>
      </w:pPr>
      <w:r w:rsidRPr="00165923">
        <w:t>make judgements over a period of time by taking account of the developmental variability displayed by individual children</w:t>
      </w:r>
    </w:p>
    <w:p w14:paraId="20BD5B0D" w14:textId="77777777" w:rsidR="00AC362E" w:rsidRPr="00165923" w:rsidRDefault="00AC362E" w:rsidP="00AE24CE">
      <w:pPr>
        <w:numPr>
          <w:ilvl w:val="0"/>
          <w:numId w:val="13"/>
        </w:numPr>
        <w:spacing w:after="0"/>
        <w:ind w:left="284" w:hanging="284"/>
        <w:contextualSpacing/>
      </w:pPr>
      <w:r w:rsidRPr="00165923">
        <w:t>maintain close and consistent contact with parents, in order to share information about children and to explore the interpretation of children’s attitudes, actions and learning styles</w:t>
      </w:r>
    </w:p>
    <w:tbl>
      <w:tblPr>
        <w:tblStyle w:val="MediumGrid1-Accent5"/>
        <w:tblW w:w="0" w:type="auto"/>
        <w:tblLook w:val="04A0" w:firstRow="1" w:lastRow="0" w:firstColumn="1" w:lastColumn="0" w:noHBand="0" w:noVBand="1"/>
        <w:tblCaption w:val="How should teachers effectively use educational assessment"/>
        <w:tblDescription w:val="Informing parents: Parents and carers need clear information about assessment, when it takes place and by whom, and how the information will be shared with them, both formally and informally. It is important to share with parents and carers how work is assessed and how it is linked to further learning. &#10;Involving parents: There needs to be an acceptance and a real understanding that parents and carers have not only the skills, but also the right to participate in the assessment process. Inviting parents and carers to spend time in the classroom is a very powerful way of involving them, demonstrating that their involvement is highly valued. Having them watch a lesson, in the company of two or three other parents and carers, can provide the opportunity to demonstrate to them aspects of learning and teaching."/>
      </w:tblPr>
      <w:tblGrid>
        <w:gridCol w:w="9134"/>
      </w:tblGrid>
      <w:tr w:rsidR="00AC362E" w:rsidRPr="00165923" w14:paraId="2865A75F" w14:textId="77777777" w:rsidTr="00ED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14:paraId="1B5AD1AC" w14:textId="77777777" w:rsidR="00AC362E" w:rsidRPr="00257F87" w:rsidRDefault="00AC362E" w:rsidP="00ED0631">
            <w:pPr>
              <w:autoSpaceDE w:val="0"/>
              <w:autoSpaceDN w:val="0"/>
              <w:adjustRightInd w:val="0"/>
              <w:spacing w:before="60" w:after="60"/>
              <w:rPr>
                <w:rFonts w:cstheme="minorHAnsi"/>
                <w:b w:val="0"/>
              </w:rPr>
            </w:pPr>
            <w:r w:rsidRPr="00165923">
              <w:rPr>
                <w:rFonts w:cstheme="minorHAnsi"/>
              </w:rPr>
              <w:t xml:space="preserve">Informing parents: </w:t>
            </w:r>
            <w:r w:rsidRPr="00257F87">
              <w:rPr>
                <w:rFonts w:cstheme="minorHAnsi"/>
                <w:b w:val="0"/>
              </w:rPr>
              <w:t xml:space="preserve">Parents and carers need clear information about assessment, when it takes </w:t>
            </w:r>
            <w:r w:rsidRPr="00257F87">
              <w:rPr>
                <w:rFonts w:cstheme="minorHAnsi"/>
                <w:b w:val="0"/>
              </w:rPr>
              <w:lastRenderedPageBreak/>
              <w:t xml:space="preserve">place and by whom, and how the information will be shared with them, both formally and informally. It is important to share with parents and carers how work is assessed and how it is linked to further learning. </w:t>
            </w:r>
          </w:p>
          <w:p w14:paraId="062A860F" w14:textId="77777777" w:rsidR="00AC362E" w:rsidRPr="00165923" w:rsidRDefault="00AC362E" w:rsidP="00ED0631">
            <w:pPr>
              <w:autoSpaceDE w:val="0"/>
              <w:autoSpaceDN w:val="0"/>
              <w:adjustRightInd w:val="0"/>
              <w:spacing w:before="60" w:after="60"/>
              <w:rPr>
                <w:rFonts w:cstheme="minorHAnsi"/>
              </w:rPr>
            </w:pPr>
            <w:r w:rsidRPr="00165923">
              <w:rPr>
                <w:rFonts w:cstheme="minorHAnsi"/>
              </w:rPr>
              <w:t xml:space="preserve">Involving parents: </w:t>
            </w:r>
            <w:r w:rsidRPr="00257F87">
              <w:rPr>
                <w:rFonts w:cstheme="minorHAnsi"/>
                <w:b w:val="0"/>
              </w:rPr>
              <w:t>There needs to be an acceptance and a real understanding that parents and carers have not only the skills, but also the right to participate in the assessment process. Inviting parents and carers to spend time in the classroom is a very powerful way of involving them, demonstrating that their involvement is highly valued. Having them watch a lesson, in the company of two or three other parents and carers, can provide the opportunity to demonstrate to them aspects of learning and teaching.</w:t>
            </w:r>
          </w:p>
        </w:tc>
      </w:tr>
    </w:tbl>
    <w:p w14:paraId="5ED2AAA5" w14:textId="77777777" w:rsidR="00AC362E" w:rsidRPr="00257F87" w:rsidRDefault="00AC362E" w:rsidP="00ED0631">
      <w:pPr>
        <w:rPr>
          <w:rFonts w:cstheme="minorHAnsi"/>
          <w:i/>
        </w:rPr>
      </w:pPr>
      <w:r w:rsidRPr="00257F87">
        <w:rPr>
          <w:rFonts w:cstheme="minorHAnsi"/>
          <w:i/>
        </w:rPr>
        <w:lastRenderedPageBreak/>
        <w:t>Source: DfES, 2004</w:t>
      </w:r>
    </w:p>
    <w:p w14:paraId="52E9728D" w14:textId="77777777" w:rsidR="00AC362E" w:rsidRPr="00165923" w:rsidRDefault="00AC362E" w:rsidP="00ED0631">
      <w:pPr>
        <w:autoSpaceDE w:val="0"/>
        <w:autoSpaceDN w:val="0"/>
        <w:adjustRightInd w:val="0"/>
        <w:spacing w:before="60" w:after="160" w:line="221" w:lineRule="atLeast"/>
        <w:jc w:val="both"/>
        <w:rPr>
          <w:rFonts w:cstheme="minorHAnsi"/>
          <w:color w:val="000000"/>
        </w:rPr>
      </w:pPr>
      <w:r w:rsidRPr="00165923">
        <w:rPr>
          <w:rFonts w:cstheme="minorHAnsi"/>
          <w:color w:val="000000"/>
        </w:rPr>
        <w:t>There are a number of resources available to teachers to assist them in making informed decisions around assessment. Below two web-links are listed for the consideration of the Kiribati teachers. The resources available through these links are put together by the New South Wales Department of Education and Training, Australia.</w:t>
      </w:r>
    </w:p>
    <w:p w14:paraId="60DC79AA" w14:textId="77777777" w:rsidR="00AC362E" w:rsidRPr="00165923" w:rsidRDefault="00AC362E" w:rsidP="00AE24CE">
      <w:pPr>
        <w:numPr>
          <w:ilvl w:val="0"/>
          <w:numId w:val="13"/>
        </w:numPr>
        <w:spacing w:after="0"/>
        <w:ind w:left="284" w:hanging="284"/>
        <w:contextualSpacing/>
      </w:pPr>
      <w:r w:rsidRPr="00165923">
        <w:t>The Curriculum planning, programming, assessing and reporting to parents K–12 website at &lt; http://www.curriculumsupport.education.nsw.gov.au/timetoteach/&gt;.</w:t>
      </w:r>
    </w:p>
    <w:p w14:paraId="053464EC" w14:textId="77777777" w:rsidR="00AC362E" w:rsidRPr="00165923" w:rsidRDefault="00AC362E" w:rsidP="00AE24CE">
      <w:pPr>
        <w:numPr>
          <w:ilvl w:val="0"/>
          <w:numId w:val="13"/>
        </w:numPr>
        <w:spacing w:after="0"/>
        <w:ind w:left="284" w:hanging="284"/>
        <w:contextualSpacing/>
      </w:pPr>
      <w:r w:rsidRPr="00165923">
        <w:t>The Board of Studies Assessment Resource Centre (ARC) website at &lt;http://arc.boardofstudies.nsw.edu.au//&gt;.</w:t>
      </w:r>
    </w:p>
    <w:p w14:paraId="4610765E" w14:textId="77777777" w:rsidR="00AC362E" w:rsidRPr="00165923" w:rsidRDefault="00AC362E" w:rsidP="00ED0631">
      <w:pPr>
        <w:pStyle w:val="Heading2"/>
      </w:pPr>
      <w:bookmarkStart w:id="226" w:name="_Toc435788136"/>
      <w:bookmarkStart w:id="227" w:name="_Toc461615814"/>
      <w:r w:rsidRPr="00165923">
        <w:t>What mechanisms are needed to support teachers?</w:t>
      </w:r>
      <w:bookmarkEnd w:id="226"/>
      <w:bookmarkEnd w:id="227"/>
    </w:p>
    <w:p w14:paraId="0099DCAD" w14:textId="77777777" w:rsidR="00AC362E" w:rsidRPr="00165923" w:rsidRDefault="00AC362E" w:rsidP="00ED0631">
      <w:pPr>
        <w:autoSpaceDE w:val="0"/>
        <w:autoSpaceDN w:val="0"/>
        <w:adjustRightInd w:val="0"/>
        <w:rPr>
          <w:rFonts w:cstheme="minorHAnsi"/>
          <w:b/>
          <w:i/>
        </w:rPr>
      </w:pPr>
      <w:r w:rsidRPr="00165923">
        <w:rPr>
          <w:rFonts w:cstheme="minorHAnsi"/>
          <w:b/>
          <w:i/>
        </w:rPr>
        <w:t xml:space="preserve">Pre-service teacher training is required to improve teachers’ assessment literacy both in theory and practice. </w:t>
      </w:r>
      <w:r w:rsidRPr="00165923">
        <w:rPr>
          <w:rFonts w:cstheme="minorHAnsi"/>
        </w:rPr>
        <w:t>In a study conducted by Jett (2009) it is found that "Assessment is often viewed as something in competition with teaching, rather than as an integral part of teaching and learning". Moreover, teachers' value of diagnostic/formative assessment does serve as an indicator of teachers' likely use of those strategies. In light of these challenges, it is important that pre-service teacher training equips teachers with the assessment literacy both in theory and practice (Maclellan, 2004). The training should</w:t>
      </w:r>
      <w:r w:rsidRPr="00165923">
        <w:rPr>
          <w:rFonts w:cstheme="minorHAnsi"/>
          <w:b/>
          <w:bCs/>
        </w:rPr>
        <w:t xml:space="preserve"> </w:t>
      </w:r>
      <w:r w:rsidRPr="00165923">
        <w:rPr>
          <w:rFonts w:cstheme="minorHAnsi"/>
        </w:rPr>
        <w:t>be linked to actual experience in classrooms in assessing and interpreting</w:t>
      </w:r>
      <w:r w:rsidRPr="00165923">
        <w:rPr>
          <w:rFonts w:cstheme="minorHAnsi"/>
          <w:b/>
          <w:bCs/>
        </w:rPr>
        <w:t xml:space="preserve"> </w:t>
      </w:r>
      <w:r w:rsidRPr="00165923">
        <w:rPr>
          <w:rFonts w:cstheme="minorHAnsi"/>
        </w:rPr>
        <w:t>the development of student competence. National standards for teacher accreditation can include specific requirements focused on the proper integration of learning and assessment in teachers’ educational experience (</w:t>
      </w:r>
      <w:r w:rsidRPr="00165923">
        <w:rPr>
          <w:rFonts w:eastAsia="Times New Roman" w:cstheme="minorHAnsi"/>
        </w:rPr>
        <w:t>National Research Council, 2001)</w:t>
      </w:r>
      <w:r w:rsidRPr="00165923">
        <w:rPr>
          <w:rFonts w:cstheme="minorHAnsi"/>
        </w:rPr>
        <w:t>.</w:t>
      </w:r>
    </w:p>
    <w:p w14:paraId="29B39B3C" w14:textId="77777777" w:rsidR="00AC362E" w:rsidRPr="00165923" w:rsidRDefault="00AC362E" w:rsidP="00ED0631">
      <w:pPr>
        <w:autoSpaceDE w:val="0"/>
        <w:autoSpaceDN w:val="0"/>
        <w:adjustRightInd w:val="0"/>
        <w:rPr>
          <w:rFonts w:cstheme="minorHAnsi"/>
          <w:b/>
          <w:i/>
          <w:iCs/>
        </w:rPr>
      </w:pPr>
      <w:r w:rsidRPr="00165923">
        <w:rPr>
          <w:rFonts w:cstheme="minorHAnsi"/>
          <w:b/>
          <w:i/>
          <w:iCs/>
        </w:rPr>
        <w:t xml:space="preserve">Encouragement for teachers is needed to use formative assessment ‘AS learning and FOR learning’. </w:t>
      </w:r>
      <w:r w:rsidRPr="00165923">
        <w:rPr>
          <w:rFonts w:cstheme="minorHAnsi"/>
          <w:color w:val="131413"/>
        </w:rPr>
        <w:t>Various studies identified that assessment processes in some countries are still highly teacher-centred and teachers are unwilling to pass some of their assessment control power over to students. The formative assessment is not well understood and is weak in practice. The challenge there is about changing perceptions and practice in class and to support and facilitate teachers capture the spirit of formative assessment (</w:t>
      </w:r>
      <w:r w:rsidRPr="00165923">
        <w:rPr>
          <w:rFonts w:cstheme="minorHAnsi"/>
        </w:rPr>
        <w:t>Antoniou and James, 2014</w:t>
      </w:r>
      <w:r w:rsidRPr="00165923">
        <w:rPr>
          <w:rFonts w:cstheme="minorHAnsi"/>
          <w:color w:val="131413"/>
        </w:rPr>
        <w:t xml:space="preserve">). In this respect, </w:t>
      </w:r>
      <w:r w:rsidRPr="00165923">
        <w:rPr>
          <w:rFonts w:cstheme="minorHAnsi"/>
          <w:iCs/>
        </w:rPr>
        <w:t>it</w:t>
      </w:r>
      <w:r w:rsidRPr="00165923">
        <w:rPr>
          <w:rFonts w:cstheme="minorHAnsi"/>
          <w:color w:val="131413"/>
        </w:rPr>
        <w:t xml:space="preserve"> is essential to provide training, developmental opportunities and support to teachers so as to enable them to use assessment in a genuinely formative way.</w:t>
      </w:r>
    </w:p>
    <w:p w14:paraId="6A572416" w14:textId="77777777" w:rsidR="00AC362E" w:rsidRPr="00165923" w:rsidRDefault="00AC362E" w:rsidP="00ED0631">
      <w:pPr>
        <w:pStyle w:val="Heading2"/>
      </w:pPr>
      <w:bookmarkStart w:id="228" w:name="_Toc435788137"/>
      <w:bookmarkStart w:id="229" w:name="_Toc461615815"/>
      <w:r w:rsidRPr="00165923">
        <w:t>References</w:t>
      </w:r>
      <w:bookmarkEnd w:id="228"/>
      <w:bookmarkEnd w:id="229"/>
    </w:p>
    <w:p w14:paraId="2C105CC9"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 xml:space="preserve">Ajayi, L., 2014. Investigating effective teaching methods for a place-based teacher preparation in a rural community. </w:t>
      </w:r>
      <w:r w:rsidRPr="00165923">
        <w:rPr>
          <w:rFonts w:cstheme="minorHAnsi"/>
          <w:i/>
          <w:iCs/>
          <w:spacing w:val="-2"/>
        </w:rPr>
        <w:t xml:space="preserve">Educational Research for Policy and Practice, </w:t>
      </w:r>
      <w:r w:rsidRPr="00165923">
        <w:rPr>
          <w:rFonts w:cstheme="minorHAnsi"/>
          <w:bCs/>
          <w:spacing w:val="-2"/>
        </w:rPr>
        <w:t>13</w:t>
      </w:r>
      <w:r w:rsidRPr="00165923">
        <w:rPr>
          <w:rFonts w:cstheme="minorHAnsi"/>
          <w:spacing w:val="-2"/>
        </w:rPr>
        <w:t>(3), pp. 251-268.</w:t>
      </w:r>
    </w:p>
    <w:p w14:paraId="0AC465B0"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Antoniou, P. and James, M., 2014, Exploring formative assessment in primary school classrooms: Developing a framework of actions and strategies, Journal of Education Assessment, Vol. 26, pp.</w:t>
      </w:r>
      <w:r w:rsidRPr="00165923">
        <w:rPr>
          <w:rFonts w:cstheme="minorHAnsi"/>
          <w:color w:val="131413"/>
          <w:spacing w:val="-2"/>
        </w:rPr>
        <w:t xml:space="preserve"> 153–176.</w:t>
      </w:r>
    </w:p>
    <w:p w14:paraId="2B7DBC2C"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 xml:space="preserve">Badders, W , 2000, Methods of Assessment, accessible at </w:t>
      </w:r>
      <w:hyperlink r:id="rId70" w:history="1">
        <w:r w:rsidRPr="00165923">
          <w:rPr>
            <w:rFonts w:cstheme="minorHAnsi"/>
            <w:color w:val="0000FF"/>
            <w:spacing w:val="-2"/>
            <w:u w:val="single"/>
          </w:rPr>
          <w:t>http://eduplace.com/science/profdev/articles/badders.html</w:t>
        </w:r>
      </w:hyperlink>
    </w:p>
    <w:p w14:paraId="11A8B669" w14:textId="77777777" w:rsidR="00AC362E" w:rsidRPr="00165923" w:rsidRDefault="00AC362E" w:rsidP="00AE24CE">
      <w:pPr>
        <w:numPr>
          <w:ilvl w:val="0"/>
          <w:numId w:val="20"/>
        </w:numPr>
        <w:spacing w:before="80" w:after="80"/>
        <w:ind w:left="426" w:hanging="426"/>
        <w:rPr>
          <w:rFonts w:eastAsia="Times New Roman" w:cstheme="minorHAnsi"/>
          <w:spacing w:val="-2"/>
          <w:lang w:eastAsia="en-AU"/>
        </w:rPr>
      </w:pPr>
      <w:r w:rsidRPr="00165923">
        <w:rPr>
          <w:rFonts w:eastAsia="Times New Roman" w:cstheme="minorHAnsi"/>
          <w:spacing w:val="-2"/>
          <w:lang w:eastAsia="en-AU"/>
        </w:rPr>
        <w:t>Black, P., &amp; Wiliam, D., 1998a, Assessment and classroom learning. Assessment in Education: Principles Policy and Practice, 5 (1), 7–73.</w:t>
      </w:r>
    </w:p>
    <w:p w14:paraId="4C93E8B0" w14:textId="77777777" w:rsidR="00257F87" w:rsidRPr="00257F87" w:rsidRDefault="00AC362E" w:rsidP="00AE24CE">
      <w:pPr>
        <w:numPr>
          <w:ilvl w:val="0"/>
          <w:numId w:val="20"/>
        </w:numPr>
        <w:spacing w:before="80" w:after="80"/>
        <w:ind w:left="426" w:hanging="426"/>
        <w:rPr>
          <w:lang w:eastAsia="en-AU"/>
        </w:rPr>
      </w:pPr>
      <w:r w:rsidRPr="00257F87">
        <w:rPr>
          <w:rFonts w:eastAsia="Times New Roman" w:cstheme="minorHAnsi"/>
          <w:spacing w:val="-2"/>
          <w:lang w:eastAsia="en-AU"/>
        </w:rPr>
        <w:t>Black, P., &amp; Wiliam, D., 1998b, Inside the black box: Raising standards through classroom assessment. London: GL Assessment.</w:t>
      </w:r>
      <w:bookmarkStart w:id="230" w:name="_Toc461615816"/>
    </w:p>
    <w:p w14:paraId="61A86B5D" w14:textId="61527E08" w:rsidR="00AC362E" w:rsidRPr="00165923" w:rsidRDefault="00AC362E" w:rsidP="00AE24CE">
      <w:pPr>
        <w:numPr>
          <w:ilvl w:val="0"/>
          <w:numId w:val="20"/>
        </w:numPr>
        <w:spacing w:before="80" w:after="80"/>
        <w:ind w:left="426" w:hanging="426"/>
        <w:rPr>
          <w:lang w:eastAsia="en-AU"/>
        </w:rPr>
      </w:pPr>
      <w:r w:rsidRPr="00165923">
        <w:rPr>
          <w:lang w:eastAsia="en-AU"/>
        </w:rPr>
        <w:t xml:space="preserve">Black, P., &amp; Wiliam, D., 2009, </w:t>
      </w:r>
      <w:r w:rsidRPr="00165923">
        <w:t xml:space="preserve">Developing the theory of formative </w:t>
      </w:r>
      <w:r w:rsidRPr="00E24C01">
        <w:t>assessment</w:t>
      </w:r>
      <w:r w:rsidRPr="00165923">
        <w:rPr>
          <w:lang w:eastAsia="en-AU"/>
        </w:rPr>
        <w:t>. Educ Asse Eval Acc (2009) 21:5–31</w:t>
      </w:r>
      <w:bookmarkEnd w:id="230"/>
    </w:p>
    <w:p w14:paraId="152BC4A6"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6"/>
        </w:rPr>
      </w:pPr>
      <w:r w:rsidRPr="00165923">
        <w:rPr>
          <w:rFonts w:cstheme="minorHAnsi"/>
          <w:spacing w:val="-6"/>
        </w:rPr>
        <w:lastRenderedPageBreak/>
        <w:t xml:space="preserve">Deluca, C. and Lam, C.Y., 2014. Preparing Teachers for Assessment within Diverse Classrooms: An Analysis of Teacher Candidates' Conceptualizations. </w:t>
      </w:r>
      <w:r w:rsidRPr="00165923">
        <w:rPr>
          <w:rFonts w:cstheme="minorHAnsi"/>
          <w:i/>
          <w:iCs/>
          <w:spacing w:val="-6"/>
        </w:rPr>
        <w:t xml:space="preserve">Teacher Education Quarterly, Vol. </w:t>
      </w:r>
      <w:r w:rsidRPr="00165923">
        <w:rPr>
          <w:rFonts w:cstheme="minorHAnsi"/>
          <w:bCs/>
          <w:spacing w:val="-6"/>
        </w:rPr>
        <w:t>41</w:t>
      </w:r>
      <w:r w:rsidRPr="00165923">
        <w:rPr>
          <w:rFonts w:cstheme="minorHAnsi"/>
          <w:spacing w:val="-6"/>
        </w:rPr>
        <w:t>(3), pp. 3-24.</w:t>
      </w:r>
    </w:p>
    <w:p w14:paraId="4B23E36E" w14:textId="77777777" w:rsidR="00AC362E" w:rsidRPr="00165923" w:rsidRDefault="00AC362E" w:rsidP="00AE24CE">
      <w:pPr>
        <w:numPr>
          <w:ilvl w:val="0"/>
          <w:numId w:val="20"/>
        </w:numPr>
        <w:spacing w:before="80" w:after="80"/>
        <w:ind w:left="426" w:hanging="426"/>
        <w:rPr>
          <w:rFonts w:cstheme="minorHAnsi"/>
          <w:spacing w:val="-2"/>
          <w:lang w:eastAsia="en-AU"/>
        </w:rPr>
      </w:pPr>
      <w:r w:rsidRPr="00165923">
        <w:rPr>
          <w:rFonts w:cstheme="minorHAnsi"/>
          <w:spacing w:val="-2"/>
          <w:lang w:eastAsia="en-AU"/>
        </w:rPr>
        <w:t>DfES, 2004, Day to Day assessment- Primary National Strategy, accessible at: http://www.lancsngfl.ac.uk/curriculum/assessment/download/file/04%20Day%20to%20Day%20Ass%20Strategies.pdf</w:t>
      </w:r>
    </w:p>
    <w:p w14:paraId="3AD8C59C"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lang w:val="en-US"/>
        </w:rPr>
        <w:t xml:space="preserve">Department for Children Schools and Families, 2008, The Assessment for Learning Strategy,  accessible at: </w:t>
      </w:r>
      <w:hyperlink r:id="rId71" w:history="1">
        <w:r w:rsidRPr="00165923">
          <w:rPr>
            <w:rFonts w:cstheme="minorHAnsi"/>
            <w:color w:val="0000FF"/>
            <w:spacing w:val="-2"/>
            <w:u w:val="single"/>
            <w:lang w:val="en-US"/>
          </w:rPr>
          <w:t>http://dera.ioe.ac.uk/8161/</w:t>
        </w:r>
      </w:hyperlink>
    </w:p>
    <w:p w14:paraId="2921B290" w14:textId="77777777" w:rsidR="00AC362E" w:rsidRPr="00165923" w:rsidRDefault="00AC362E" w:rsidP="00AE24CE">
      <w:pPr>
        <w:numPr>
          <w:ilvl w:val="0"/>
          <w:numId w:val="20"/>
        </w:numPr>
        <w:spacing w:before="80" w:after="80"/>
        <w:ind w:left="426" w:hanging="426"/>
        <w:rPr>
          <w:rFonts w:eastAsia="Times New Roman" w:cstheme="minorHAnsi"/>
          <w:spacing w:val="-2"/>
          <w:lang w:eastAsia="en-AU"/>
        </w:rPr>
      </w:pPr>
      <w:r w:rsidRPr="00165923">
        <w:rPr>
          <w:rFonts w:eastAsia="Times New Roman" w:cstheme="minorHAnsi"/>
          <w:spacing w:val="-2"/>
          <w:lang w:eastAsia="en-AU"/>
        </w:rPr>
        <w:t>Earl, L., 2003. Assessment as Learning: Using Classroom Assessment to Maximize Student Learning. San Francisco: Corwin Press.</w:t>
      </w:r>
    </w:p>
    <w:p w14:paraId="0CCBFD55" w14:textId="77777777" w:rsidR="00AC362E" w:rsidRPr="00165923" w:rsidRDefault="00AC362E" w:rsidP="00AE24CE">
      <w:pPr>
        <w:numPr>
          <w:ilvl w:val="0"/>
          <w:numId w:val="20"/>
        </w:numPr>
        <w:spacing w:before="80" w:after="80"/>
        <w:ind w:left="426" w:hanging="426"/>
        <w:rPr>
          <w:rFonts w:cstheme="minorHAnsi"/>
          <w:spacing w:val="-2"/>
        </w:rPr>
      </w:pPr>
      <w:r w:rsidRPr="00165923">
        <w:rPr>
          <w:rFonts w:cstheme="minorHAnsi"/>
          <w:spacing w:val="-2"/>
        </w:rPr>
        <w:t>Fontana, D., &amp; Fernandes, M., 1994,</w:t>
      </w:r>
      <w:r w:rsidRPr="00165923">
        <w:rPr>
          <w:rFonts w:cstheme="minorHAnsi"/>
          <w:b/>
          <w:bCs/>
          <w:i/>
          <w:iCs/>
          <w:spacing w:val="-2"/>
        </w:rPr>
        <w:t xml:space="preserve"> </w:t>
      </w:r>
      <w:r w:rsidRPr="00165923">
        <w:rPr>
          <w:rFonts w:cstheme="minorHAnsi"/>
          <w:spacing w:val="-2"/>
        </w:rPr>
        <w:t xml:space="preserve">Improvements in mathematics performance as a consequence of self-assessment in Portuguese primary school pupils. </w:t>
      </w:r>
      <w:r w:rsidRPr="00165923">
        <w:rPr>
          <w:rFonts w:cstheme="minorHAnsi"/>
          <w:i/>
          <w:iCs/>
          <w:spacing w:val="-2"/>
        </w:rPr>
        <w:t>British Journal of Educational Psychology</w:t>
      </w:r>
      <w:r w:rsidRPr="00165923">
        <w:rPr>
          <w:rFonts w:cstheme="minorHAnsi"/>
          <w:spacing w:val="-2"/>
        </w:rPr>
        <w:t xml:space="preserve">, </w:t>
      </w:r>
      <w:r w:rsidRPr="00165923">
        <w:rPr>
          <w:rFonts w:cstheme="minorHAnsi"/>
          <w:i/>
          <w:iCs/>
          <w:spacing w:val="-2"/>
        </w:rPr>
        <w:t>64</w:t>
      </w:r>
      <w:r w:rsidRPr="00165923">
        <w:rPr>
          <w:rFonts w:cstheme="minorHAnsi"/>
          <w:spacing w:val="-2"/>
        </w:rPr>
        <w:t xml:space="preserve"> (3), 407-417.</w:t>
      </w:r>
    </w:p>
    <w:p w14:paraId="08C25024"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color w:val="000000"/>
          <w:spacing w:val="-2"/>
        </w:rPr>
        <w:t>Gordon, E. W., 1995, Toward an Equitable System of Educational Assessment, The Journal of Negro Education, Vol. 64, No. 3, Myths and Realities: African Americans and the Measurement of Human Abilities, pp. 360-372</w:t>
      </w:r>
    </w:p>
    <w:p w14:paraId="218939A4"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6"/>
        </w:rPr>
      </w:pPr>
      <w:r w:rsidRPr="00165923">
        <w:rPr>
          <w:rFonts w:cstheme="minorHAnsi"/>
          <w:color w:val="000000"/>
          <w:spacing w:val="-6"/>
        </w:rPr>
        <w:t xml:space="preserve">Government of Victoria, 2005, Current Perspectives on Assessment accessible at </w:t>
      </w:r>
      <w:hyperlink r:id="rId72" w:history="1">
        <w:r w:rsidRPr="00165923">
          <w:rPr>
            <w:rFonts w:cstheme="minorHAnsi"/>
            <w:color w:val="0000FF"/>
            <w:spacing w:val="-6"/>
            <w:u w:val="single"/>
          </w:rPr>
          <w:t>https://www.eduweb.vic.gov.au/edulibrary/public/teachlearn/student/assessment_current_per.pdf</w:t>
        </w:r>
      </w:hyperlink>
    </w:p>
    <w:p w14:paraId="287503C6" w14:textId="77777777" w:rsidR="00AC362E" w:rsidRPr="00165923" w:rsidRDefault="00AC362E" w:rsidP="00AE24CE">
      <w:pPr>
        <w:numPr>
          <w:ilvl w:val="0"/>
          <w:numId w:val="20"/>
        </w:numPr>
        <w:spacing w:before="80" w:after="80"/>
        <w:ind w:left="426" w:hanging="426"/>
        <w:rPr>
          <w:rFonts w:eastAsia="Times New Roman" w:cstheme="minorHAnsi"/>
          <w:spacing w:val="-2"/>
          <w:lang w:eastAsia="en-AU"/>
        </w:rPr>
      </w:pPr>
      <w:r w:rsidRPr="00165923">
        <w:rPr>
          <w:rFonts w:eastAsia="Times New Roman" w:cstheme="minorHAnsi"/>
          <w:spacing w:val="-2"/>
          <w:lang w:eastAsia="en-AU"/>
        </w:rPr>
        <w:t>Hayward, L. &amp; Hedge, N., 2005. Travelling towards change in assessment: policy, practice and research in education.  Assessment in Education, Vol.12, No.1, pp55-75</w:t>
      </w:r>
    </w:p>
    <w:p w14:paraId="2C1E8970"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 xml:space="preserve">Jett, P.M., 2009. </w:t>
      </w:r>
      <w:r w:rsidRPr="00165923">
        <w:rPr>
          <w:rFonts w:cstheme="minorHAnsi"/>
          <w:i/>
          <w:iCs/>
          <w:spacing w:val="-2"/>
        </w:rPr>
        <w:t>Teachers Valuation And Implementation Of Formative Assessment Strategies In Elementary Science Classrooms</w:t>
      </w:r>
      <w:r w:rsidRPr="00165923">
        <w:rPr>
          <w:rFonts w:cstheme="minorHAnsi"/>
          <w:spacing w:val="-2"/>
        </w:rPr>
        <w:t>, University Of Louisville</w:t>
      </w:r>
    </w:p>
    <w:p w14:paraId="2A8B649B"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Low, M., Winton, C., Keti, W., 2002, Assessing Early Reading: Change, Culture, and Community in a Pacific Island School</w:t>
      </w:r>
    </w:p>
    <w:p w14:paraId="409F5CC2" w14:textId="77777777" w:rsidR="00AC362E" w:rsidRPr="00165923" w:rsidRDefault="00AC362E" w:rsidP="00AE24CE">
      <w:pPr>
        <w:numPr>
          <w:ilvl w:val="0"/>
          <w:numId w:val="20"/>
        </w:numPr>
        <w:shd w:val="clear" w:color="auto" w:fill="FFFFFF"/>
        <w:spacing w:before="80" w:after="80"/>
        <w:ind w:left="426" w:hanging="426"/>
        <w:rPr>
          <w:rFonts w:eastAsia="Times New Roman" w:cstheme="minorHAnsi"/>
          <w:spacing w:val="-2"/>
          <w:lang w:eastAsia="en-AU"/>
        </w:rPr>
      </w:pPr>
      <w:r w:rsidRPr="00165923">
        <w:rPr>
          <w:rFonts w:eastAsia="Times New Roman" w:cstheme="minorHAnsi"/>
          <w:spacing w:val="-2"/>
          <w:lang w:eastAsia="en-AU"/>
        </w:rPr>
        <w:t>Maclellan, E., 2004, Authenticity in assessment tasks: a heuristic exploration of academics’ perceptions. Higher Education Research and Development, 23 (1). pp. 19-33.</w:t>
      </w:r>
    </w:p>
    <w:p w14:paraId="3CB65F22" w14:textId="77777777" w:rsidR="00AC362E" w:rsidRPr="00165923" w:rsidRDefault="00AC362E" w:rsidP="00AE24CE">
      <w:pPr>
        <w:numPr>
          <w:ilvl w:val="0"/>
          <w:numId w:val="20"/>
        </w:numPr>
        <w:spacing w:before="80" w:after="80"/>
        <w:ind w:left="426" w:hanging="426"/>
        <w:rPr>
          <w:rFonts w:eastAsia="Times New Roman" w:cstheme="minorHAnsi"/>
          <w:spacing w:val="-2"/>
          <w:lang w:eastAsia="en-AU"/>
        </w:rPr>
      </w:pPr>
      <w:r w:rsidRPr="00165923">
        <w:rPr>
          <w:rFonts w:eastAsia="Times New Roman" w:cstheme="minorHAnsi"/>
          <w:spacing w:val="-2"/>
          <w:lang w:eastAsia="en-AU"/>
        </w:rPr>
        <w:t>Marshall, B., &amp; Drummond, M., 2006, How teachers engage with Assessment for Learning: lessons from the classroom. Research Papers in Education, 21(2), 133 – 149</w:t>
      </w:r>
    </w:p>
    <w:p w14:paraId="3B6C8154"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 xml:space="preserve">National Council for Curriculum and Assessment, 2004, </w:t>
      </w:r>
      <w:r w:rsidRPr="00165923">
        <w:rPr>
          <w:rFonts w:cstheme="minorHAnsi"/>
          <w:spacing w:val="-2"/>
          <w:lang w:val="en-US"/>
        </w:rPr>
        <w:t>Assessment in primary schools, accessible at : http://www.ncca.ie/uploadedfiles/Publications/AssessPrim.pdf</w:t>
      </w:r>
    </w:p>
    <w:p w14:paraId="4CAA5585" w14:textId="77777777" w:rsidR="00AC362E" w:rsidRPr="00165923" w:rsidRDefault="00AC362E" w:rsidP="00AE24CE">
      <w:pPr>
        <w:numPr>
          <w:ilvl w:val="0"/>
          <w:numId w:val="20"/>
        </w:numPr>
        <w:spacing w:before="80" w:after="80"/>
        <w:ind w:left="426" w:hanging="426"/>
        <w:rPr>
          <w:rFonts w:eastAsia="Times New Roman" w:cstheme="minorHAnsi"/>
          <w:spacing w:val="-2"/>
          <w:lang w:eastAsia="en-AU"/>
        </w:rPr>
      </w:pPr>
      <w:r w:rsidRPr="00165923">
        <w:rPr>
          <w:rFonts w:eastAsia="Times New Roman" w:cstheme="minorHAnsi"/>
          <w:spacing w:val="-2"/>
        </w:rPr>
        <w:t xml:space="preserve">National Research Council, 2001, </w:t>
      </w:r>
      <w:r w:rsidRPr="00165923">
        <w:rPr>
          <w:rFonts w:cstheme="minorHAnsi"/>
          <w:spacing w:val="-2"/>
        </w:rPr>
        <w:t>Knowing What Students Know: The Science and Design of Educational Assessment</w:t>
      </w:r>
      <w:r w:rsidRPr="00165923">
        <w:rPr>
          <w:rFonts w:eastAsia="Times New Roman" w:cstheme="minorHAnsi"/>
          <w:spacing w:val="-2"/>
        </w:rPr>
        <w:t>, Division of Behavioural and Social Sciences and Education, Centre for Education</w:t>
      </w:r>
    </w:p>
    <w:p w14:paraId="3D9FBFA2" w14:textId="77777777" w:rsidR="00AC362E" w:rsidRPr="00165923" w:rsidRDefault="00AC362E" w:rsidP="00AE24CE">
      <w:pPr>
        <w:numPr>
          <w:ilvl w:val="0"/>
          <w:numId w:val="20"/>
        </w:numPr>
        <w:spacing w:before="80" w:after="80"/>
        <w:ind w:left="426" w:hanging="426"/>
        <w:outlineLvl w:val="0"/>
        <w:rPr>
          <w:rFonts w:eastAsia="Times New Roman" w:cstheme="minorHAnsi"/>
          <w:bCs/>
          <w:spacing w:val="-2"/>
          <w:kern w:val="36"/>
        </w:rPr>
      </w:pPr>
      <w:bookmarkStart w:id="231" w:name="_Toc435788138"/>
      <w:bookmarkStart w:id="232" w:name="_Toc461615817"/>
      <w:r w:rsidRPr="00165923">
        <w:rPr>
          <w:rFonts w:cstheme="minorHAnsi"/>
          <w:bCs/>
          <w:spacing w:val="-2"/>
        </w:rPr>
        <w:t xml:space="preserve">New South Wales Government, nd., </w:t>
      </w:r>
      <w:r w:rsidRPr="00165923">
        <w:rPr>
          <w:rFonts w:eastAsia="Times New Roman" w:cstheme="minorHAnsi"/>
          <w:bCs/>
          <w:spacing w:val="-2"/>
          <w:kern w:val="36"/>
        </w:rPr>
        <w:t>Standards-referenced assessment in primary schools, accessible at http://k6.boardofstudies.nsw.edu.au/wps/portal/go/parents/standards-referenced-assessment-in-primary-schools</w:t>
      </w:r>
      <w:bookmarkEnd w:id="231"/>
      <w:bookmarkEnd w:id="232"/>
    </w:p>
    <w:p w14:paraId="34878E68" w14:textId="77777777" w:rsidR="00AC362E" w:rsidRPr="00165923" w:rsidRDefault="00AC362E" w:rsidP="00AE24CE">
      <w:pPr>
        <w:numPr>
          <w:ilvl w:val="0"/>
          <w:numId w:val="20"/>
        </w:numPr>
        <w:autoSpaceDE w:val="0"/>
        <w:autoSpaceDN w:val="0"/>
        <w:adjustRightInd w:val="0"/>
        <w:spacing w:before="80" w:after="80"/>
        <w:ind w:left="426" w:hanging="426"/>
        <w:rPr>
          <w:rFonts w:cstheme="minorHAnsi"/>
          <w:spacing w:val="-2"/>
        </w:rPr>
      </w:pPr>
      <w:r w:rsidRPr="00165923">
        <w:rPr>
          <w:rFonts w:cstheme="minorHAnsi"/>
          <w:spacing w:val="-2"/>
        </w:rPr>
        <w:t>NSW Department of Education and Training, 2007, Assessment in Primary Schools, Vol. 12. No.2</w:t>
      </w:r>
    </w:p>
    <w:p w14:paraId="4F6EFC7A" w14:textId="77777777" w:rsidR="00AC362E" w:rsidRPr="00165923" w:rsidRDefault="00AC362E" w:rsidP="00AE24CE">
      <w:pPr>
        <w:numPr>
          <w:ilvl w:val="0"/>
          <w:numId w:val="20"/>
        </w:numPr>
        <w:spacing w:before="80" w:after="80"/>
        <w:ind w:left="426" w:hanging="426"/>
        <w:rPr>
          <w:rFonts w:eastAsia="Times New Roman" w:cstheme="minorHAnsi"/>
          <w:spacing w:val="-2"/>
          <w:lang w:eastAsia="en-AU"/>
        </w:rPr>
      </w:pPr>
      <w:r w:rsidRPr="00165923">
        <w:rPr>
          <w:rFonts w:eastAsia="Times New Roman" w:cstheme="minorHAnsi"/>
          <w:spacing w:val="-2"/>
          <w:lang w:eastAsia="en-AU"/>
        </w:rPr>
        <w:t xml:space="preserve">OECD/CERI, 2005, Formative Assessment –Improving Learning in Secondary Classrooms, OECD Publishing </w:t>
      </w:r>
    </w:p>
    <w:p w14:paraId="6FD8C635" w14:textId="77777777" w:rsidR="00AC362E" w:rsidRDefault="00AC362E" w:rsidP="00AE24CE">
      <w:pPr>
        <w:numPr>
          <w:ilvl w:val="0"/>
          <w:numId w:val="20"/>
        </w:numPr>
        <w:spacing w:before="80" w:after="80"/>
        <w:ind w:left="426" w:hanging="426"/>
      </w:pPr>
      <w:r w:rsidRPr="00BD0460">
        <w:rPr>
          <w:rFonts w:cstheme="minorHAnsi"/>
          <w:spacing w:val="-2"/>
        </w:rPr>
        <w:t>Stiggins, R., 2002, Assessment Crisis: The Absence of Assessment FOR Learning.  Phi Delta Kappan, 83 (10), 758-765.</w:t>
      </w:r>
    </w:p>
    <w:p w14:paraId="6A38E30D" w14:textId="77777777" w:rsidR="00AC362E" w:rsidRDefault="00AC362E" w:rsidP="00ED0631">
      <w:pPr>
        <w:sectPr w:rsidR="00AC362E" w:rsidSect="00ED0631">
          <w:footerReference w:type="default" r:id="rId73"/>
          <w:pgSz w:w="11906" w:h="16838"/>
          <w:pgMar w:top="1440" w:right="1440" w:bottom="1440" w:left="1440" w:header="708" w:footer="708" w:gutter="0"/>
          <w:pgNumType w:start="1"/>
          <w:cols w:space="708"/>
          <w:docGrid w:linePitch="360"/>
        </w:sectPr>
      </w:pPr>
    </w:p>
    <w:p w14:paraId="236B570C" w14:textId="77777777" w:rsidR="00AC362E" w:rsidRPr="00184429" w:rsidRDefault="00AC362E" w:rsidP="00257F87">
      <w:pPr>
        <w:pStyle w:val="Annexheading"/>
      </w:pPr>
      <w:r w:rsidRPr="00184429">
        <w:lastRenderedPageBreak/>
        <w:t>Annex 3</w:t>
      </w:r>
    </w:p>
    <w:p w14:paraId="67F71B5C" w14:textId="77777777" w:rsidR="00AC362E" w:rsidRPr="00184429" w:rsidRDefault="00AC362E" w:rsidP="00257F87">
      <w:pPr>
        <w:pStyle w:val="Annexheading"/>
      </w:pPr>
      <w:r w:rsidRPr="00184429">
        <w:t xml:space="preserve">Summary Tables of SED Analysis </w:t>
      </w:r>
    </w:p>
    <w:p w14:paraId="0DE17483" w14:textId="77777777" w:rsidR="00AC362E" w:rsidRPr="00184429" w:rsidRDefault="00AC362E" w:rsidP="00257F87">
      <w:pPr>
        <w:pStyle w:val="Annexheading"/>
        <w:sectPr w:rsidR="00AC362E" w:rsidRPr="00184429" w:rsidSect="00ED0631">
          <w:footerReference w:type="default" r:id="rId74"/>
          <w:pgSz w:w="11906" w:h="16838"/>
          <w:pgMar w:top="1440" w:right="1440" w:bottom="1440" w:left="1440" w:header="708" w:footer="708" w:gutter="0"/>
          <w:cols w:space="708"/>
          <w:docGrid w:linePitch="360"/>
        </w:sectPr>
      </w:pPr>
    </w:p>
    <w:p w14:paraId="1D3F8222" w14:textId="77777777" w:rsidR="00AC362E" w:rsidRPr="0084107D" w:rsidRDefault="00AC362E" w:rsidP="00257F87">
      <w:pPr>
        <w:pStyle w:val="Heading2"/>
      </w:pPr>
      <w:bookmarkStart w:id="233" w:name="_Toc461615818"/>
      <w:r w:rsidRPr="0084107D">
        <w:lastRenderedPageBreak/>
        <w:t>School Engagement Survey Data</w:t>
      </w:r>
      <w:r w:rsidRPr="0084107D">
        <w:rPr>
          <w:sz w:val="32"/>
          <w:szCs w:val="32"/>
          <w:vertAlign w:val="superscript"/>
        </w:rPr>
        <w:footnoteReference w:id="48"/>
      </w:r>
      <w:bookmarkEnd w:id="233"/>
    </w:p>
    <w:p w14:paraId="28702333" w14:textId="77777777" w:rsidR="00AC362E" w:rsidRPr="0084107D" w:rsidRDefault="00AC362E" w:rsidP="00257F87">
      <w:pPr>
        <w:pStyle w:val="Heading3"/>
      </w:pPr>
      <w:bookmarkStart w:id="234" w:name="_Toc461615819"/>
      <w:r w:rsidRPr="0084107D">
        <w:t>Household Survey Data</w:t>
      </w:r>
      <w:bookmarkEnd w:id="234"/>
    </w:p>
    <w:p w14:paraId="710334FD" w14:textId="77777777" w:rsidR="00AC362E" w:rsidRPr="00257F87"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257F87">
        <w:rPr>
          <w:rFonts w:asciiTheme="majorHAnsi" w:eastAsia="Times New Roman" w:hAnsiTheme="majorHAnsi" w:cstheme="majorHAnsi"/>
          <w:b/>
          <w:color w:val="000000"/>
          <w:lang w:eastAsia="en-AU"/>
        </w:rPr>
        <w:t>Table 1a: Average number of children in each Household</w:t>
      </w:r>
    </w:p>
    <w:tbl>
      <w:tblPr>
        <w:tblW w:w="8676" w:type="dxa"/>
        <w:tblInd w:w="93" w:type="dxa"/>
        <w:tblLook w:val="04A0" w:firstRow="1" w:lastRow="0" w:firstColumn="1" w:lastColumn="0" w:noHBand="0" w:noVBand="1"/>
      </w:tblPr>
      <w:tblGrid>
        <w:gridCol w:w="1791"/>
        <w:gridCol w:w="691"/>
        <w:gridCol w:w="659"/>
        <w:gridCol w:w="532"/>
        <w:gridCol w:w="532"/>
        <w:gridCol w:w="439"/>
        <w:gridCol w:w="659"/>
        <w:gridCol w:w="916"/>
        <w:gridCol w:w="1297"/>
        <w:gridCol w:w="1180"/>
      </w:tblGrid>
      <w:tr w:rsidR="00AC362E" w:rsidRPr="00257F87" w14:paraId="417599D3" w14:textId="77777777" w:rsidTr="00ED0631">
        <w:trPr>
          <w:trHeight w:val="315"/>
        </w:trPr>
        <w:tc>
          <w:tcPr>
            <w:tcW w:w="1791" w:type="dxa"/>
            <w:tcBorders>
              <w:top w:val="single" w:sz="4" w:space="0" w:color="auto"/>
              <w:left w:val="nil"/>
              <w:bottom w:val="single" w:sz="4" w:space="0" w:color="auto"/>
              <w:right w:val="nil"/>
            </w:tcBorders>
            <w:shd w:val="clear" w:color="auto" w:fill="auto"/>
            <w:noWrap/>
            <w:vAlign w:val="bottom"/>
            <w:hideMark/>
          </w:tcPr>
          <w:p w14:paraId="2314C978" w14:textId="77777777" w:rsidR="00AC362E" w:rsidRPr="00257F87" w:rsidRDefault="00AC362E" w:rsidP="00ED0631">
            <w:pPr>
              <w:spacing w:after="0"/>
              <w:rPr>
                <w:rFonts w:asciiTheme="majorHAnsi" w:eastAsia="Times New Roman" w:hAnsiTheme="majorHAnsi" w:cstheme="majorHAnsi"/>
                <w:b/>
                <w:bCs/>
                <w:color w:val="000000"/>
                <w:lang w:eastAsia="en-AU"/>
              </w:rPr>
            </w:pPr>
            <w:r w:rsidRPr="00257F87">
              <w:rPr>
                <w:rFonts w:asciiTheme="majorHAnsi" w:eastAsia="Times New Roman" w:hAnsiTheme="majorHAnsi" w:cstheme="majorHAnsi"/>
                <w:b/>
                <w:bCs/>
                <w:color w:val="000000"/>
                <w:lang w:eastAsia="en-AU"/>
              </w:rPr>
              <w:t>Unweighted</w:t>
            </w:r>
          </w:p>
        </w:tc>
        <w:tc>
          <w:tcPr>
            <w:tcW w:w="691" w:type="dxa"/>
            <w:tcBorders>
              <w:top w:val="single" w:sz="4" w:space="0" w:color="auto"/>
              <w:left w:val="nil"/>
              <w:bottom w:val="single" w:sz="4" w:space="0" w:color="auto"/>
              <w:right w:val="nil"/>
            </w:tcBorders>
            <w:shd w:val="clear" w:color="auto" w:fill="auto"/>
            <w:noWrap/>
            <w:vAlign w:val="bottom"/>
            <w:hideMark/>
          </w:tcPr>
          <w:p w14:paraId="6F81C84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659" w:type="dxa"/>
            <w:tcBorders>
              <w:top w:val="single" w:sz="4" w:space="0" w:color="auto"/>
              <w:left w:val="nil"/>
              <w:bottom w:val="single" w:sz="4" w:space="0" w:color="auto"/>
              <w:right w:val="nil"/>
            </w:tcBorders>
            <w:shd w:val="clear" w:color="auto" w:fill="auto"/>
            <w:noWrap/>
            <w:vAlign w:val="bottom"/>
            <w:hideMark/>
          </w:tcPr>
          <w:p w14:paraId="60EE054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532" w:type="dxa"/>
            <w:tcBorders>
              <w:top w:val="single" w:sz="4" w:space="0" w:color="auto"/>
              <w:left w:val="nil"/>
              <w:bottom w:val="single" w:sz="4" w:space="0" w:color="auto"/>
              <w:right w:val="nil"/>
            </w:tcBorders>
            <w:shd w:val="clear" w:color="auto" w:fill="auto"/>
            <w:noWrap/>
            <w:vAlign w:val="bottom"/>
            <w:hideMark/>
          </w:tcPr>
          <w:p w14:paraId="264DE77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532" w:type="dxa"/>
            <w:tcBorders>
              <w:top w:val="single" w:sz="4" w:space="0" w:color="auto"/>
              <w:left w:val="nil"/>
              <w:bottom w:val="single" w:sz="4" w:space="0" w:color="auto"/>
              <w:right w:val="nil"/>
            </w:tcBorders>
            <w:shd w:val="clear" w:color="auto" w:fill="auto"/>
            <w:noWrap/>
            <w:vAlign w:val="bottom"/>
            <w:hideMark/>
          </w:tcPr>
          <w:p w14:paraId="15B666B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419" w:type="dxa"/>
            <w:tcBorders>
              <w:top w:val="single" w:sz="4" w:space="0" w:color="auto"/>
              <w:left w:val="nil"/>
              <w:bottom w:val="single" w:sz="4" w:space="0" w:color="auto"/>
              <w:right w:val="nil"/>
            </w:tcBorders>
            <w:shd w:val="clear" w:color="auto" w:fill="auto"/>
            <w:noWrap/>
            <w:vAlign w:val="bottom"/>
            <w:hideMark/>
          </w:tcPr>
          <w:p w14:paraId="118EB50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659" w:type="dxa"/>
            <w:tcBorders>
              <w:top w:val="single" w:sz="4" w:space="0" w:color="auto"/>
              <w:left w:val="nil"/>
              <w:bottom w:val="single" w:sz="4" w:space="0" w:color="auto"/>
              <w:right w:val="nil"/>
            </w:tcBorders>
            <w:shd w:val="clear" w:color="auto" w:fill="auto"/>
            <w:noWrap/>
            <w:vAlign w:val="bottom"/>
            <w:hideMark/>
          </w:tcPr>
          <w:p w14:paraId="2AC3726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916" w:type="dxa"/>
            <w:tcBorders>
              <w:top w:val="single" w:sz="4" w:space="0" w:color="auto"/>
              <w:left w:val="nil"/>
              <w:bottom w:val="single" w:sz="4" w:space="0" w:color="auto"/>
              <w:right w:val="nil"/>
            </w:tcBorders>
            <w:shd w:val="clear" w:color="auto" w:fill="auto"/>
            <w:noWrap/>
            <w:vAlign w:val="bottom"/>
            <w:hideMark/>
          </w:tcPr>
          <w:p w14:paraId="2708E7B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297" w:type="dxa"/>
            <w:tcBorders>
              <w:top w:val="single" w:sz="4" w:space="0" w:color="auto"/>
              <w:left w:val="nil"/>
              <w:bottom w:val="single" w:sz="4" w:space="0" w:color="auto"/>
              <w:right w:val="nil"/>
            </w:tcBorders>
            <w:shd w:val="clear" w:color="auto" w:fill="auto"/>
            <w:noWrap/>
            <w:vAlign w:val="bottom"/>
            <w:hideMark/>
          </w:tcPr>
          <w:p w14:paraId="1BADE21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180" w:type="dxa"/>
            <w:tcBorders>
              <w:top w:val="single" w:sz="4" w:space="0" w:color="auto"/>
              <w:left w:val="nil"/>
              <w:bottom w:val="single" w:sz="4" w:space="0" w:color="auto"/>
              <w:right w:val="nil"/>
            </w:tcBorders>
            <w:shd w:val="clear" w:color="auto" w:fill="auto"/>
            <w:noWrap/>
            <w:vAlign w:val="bottom"/>
            <w:hideMark/>
          </w:tcPr>
          <w:p w14:paraId="78C8912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r>
      <w:tr w:rsidR="00AC362E" w:rsidRPr="00257F87" w14:paraId="2DB34583" w14:textId="77777777" w:rsidTr="00ED0631">
        <w:trPr>
          <w:trHeight w:val="315"/>
        </w:trPr>
        <w:tc>
          <w:tcPr>
            <w:tcW w:w="1791" w:type="dxa"/>
            <w:tcBorders>
              <w:top w:val="nil"/>
              <w:left w:val="nil"/>
              <w:bottom w:val="single" w:sz="4" w:space="0" w:color="auto"/>
              <w:right w:val="nil"/>
            </w:tcBorders>
            <w:shd w:val="clear" w:color="auto" w:fill="auto"/>
            <w:noWrap/>
            <w:vAlign w:val="bottom"/>
            <w:hideMark/>
          </w:tcPr>
          <w:p w14:paraId="579B1BE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 in each HH</w:t>
            </w:r>
          </w:p>
        </w:tc>
        <w:tc>
          <w:tcPr>
            <w:tcW w:w="691" w:type="dxa"/>
            <w:tcBorders>
              <w:top w:val="nil"/>
              <w:left w:val="nil"/>
              <w:bottom w:val="single" w:sz="4" w:space="0" w:color="auto"/>
              <w:right w:val="nil"/>
            </w:tcBorders>
            <w:shd w:val="clear" w:color="auto" w:fill="auto"/>
            <w:noWrap/>
            <w:vAlign w:val="bottom"/>
            <w:hideMark/>
          </w:tcPr>
          <w:p w14:paraId="7489539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single" w:sz="4" w:space="0" w:color="auto"/>
              <w:right w:val="nil"/>
            </w:tcBorders>
            <w:shd w:val="clear" w:color="auto" w:fill="auto"/>
            <w:noWrap/>
            <w:vAlign w:val="bottom"/>
            <w:hideMark/>
          </w:tcPr>
          <w:p w14:paraId="535995C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532" w:type="dxa"/>
            <w:tcBorders>
              <w:top w:val="nil"/>
              <w:left w:val="nil"/>
              <w:bottom w:val="single" w:sz="4" w:space="0" w:color="auto"/>
              <w:right w:val="nil"/>
            </w:tcBorders>
            <w:shd w:val="clear" w:color="auto" w:fill="auto"/>
            <w:noWrap/>
            <w:vAlign w:val="bottom"/>
            <w:hideMark/>
          </w:tcPr>
          <w:p w14:paraId="2ED5161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532" w:type="dxa"/>
            <w:tcBorders>
              <w:top w:val="nil"/>
              <w:left w:val="nil"/>
              <w:bottom w:val="single" w:sz="4" w:space="0" w:color="auto"/>
              <w:right w:val="nil"/>
            </w:tcBorders>
            <w:shd w:val="clear" w:color="auto" w:fill="auto"/>
            <w:noWrap/>
            <w:vAlign w:val="bottom"/>
            <w:hideMark/>
          </w:tcPr>
          <w:p w14:paraId="3FBC6B4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419" w:type="dxa"/>
            <w:tcBorders>
              <w:top w:val="nil"/>
              <w:left w:val="nil"/>
              <w:bottom w:val="single" w:sz="4" w:space="0" w:color="auto"/>
              <w:right w:val="nil"/>
            </w:tcBorders>
            <w:shd w:val="clear" w:color="auto" w:fill="auto"/>
            <w:noWrap/>
            <w:vAlign w:val="bottom"/>
            <w:hideMark/>
          </w:tcPr>
          <w:p w14:paraId="3A6C929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659" w:type="dxa"/>
            <w:tcBorders>
              <w:top w:val="nil"/>
              <w:left w:val="nil"/>
              <w:bottom w:val="single" w:sz="4" w:space="0" w:color="auto"/>
              <w:right w:val="nil"/>
            </w:tcBorders>
            <w:shd w:val="clear" w:color="auto" w:fill="auto"/>
            <w:noWrap/>
            <w:vAlign w:val="bottom"/>
            <w:hideMark/>
          </w:tcPr>
          <w:p w14:paraId="7240276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 </w:t>
            </w:r>
          </w:p>
        </w:tc>
        <w:tc>
          <w:tcPr>
            <w:tcW w:w="916" w:type="dxa"/>
            <w:tcBorders>
              <w:top w:val="nil"/>
              <w:left w:val="nil"/>
              <w:bottom w:val="single" w:sz="4" w:space="0" w:color="auto"/>
              <w:right w:val="nil"/>
            </w:tcBorders>
            <w:shd w:val="clear" w:color="auto" w:fill="auto"/>
            <w:noWrap/>
            <w:vAlign w:val="bottom"/>
            <w:hideMark/>
          </w:tcPr>
          <w:p w14:paraId="2234B35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Total HH </w:t>
            </w:r>
          </w:p>
        </w:tc>
        <w:tc>
          <w:tcPr>
            <w:tcW w:w="1297" w:type="dxa"/>
            <w:tcBorders>
              <w:top w:val="nil"/>
              <w:left w:val="nil"/>
              <w:bottom w:val="single" w:sz="4" w:space="0" w:color="auto"/>
              <w:right w:val="nil"/>
            </w:tcBorders>
            <w:shd w:val="clear" w:color="auto" w:fill="auto"/>
            <w:noWrap/>
            <w:vAlign w:val="bottom"/>
            <w:hideMark/>
          </w:tcPr>
          <w:p w14:paraId="5AD12CD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Total Children </w:t>
            </w:r>
          </w:p>
        </w:tc>
        <w:tc>
          <w:tcPr>
            <w:tcW w:w="1180" w:type="dxa"/>
            <w:tcBorders>
              <w:top w:val="nil"/>
              <w:left w:val="nil"/>
              <w:bottom w:val="single" w:sz="4" w:space="0" w:color="auto"/>
              <w:right w:val="nil"/>
            </w:tcBorders>
            <w:shd w:val="clear" w:color="auto" w:fill="auto"/>
            <w:noWrap/>
            <w:vAlign w:val="bottom"/>
            <w:hideMark/>
          </w:tcPr>
          <w:p w14:paraId="25B1B68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Avg. PHH </w:t>
            </w:r>
          </w:p>
        </w:tc>
      </w:tr>
      <w:tr w:rsidR="00AC362E" w:rsidRPr="00257F87" w14:paraId="5CA2F0CC" w14:textId="77777777" w:rsidTr="00ED0631">
        <w:trPr>
          <w:trHeight w:val="315"/>
        </w:trPr>
        <w:tc>
          <w:tcPr>
            <w:tcW w:w="1791" w:type="dxa"/>
            <w:tcBorders>
              <w:top w:val="nil"/>
              <w:left w:val="nil"/>
              <w:bottom w:val="nil"/>
              <w:right w:val="nil"/>
            </w:tcBorders>
            <w:shd w:val="clear" w:color="auto" w:fill="auto"/>
            <w:noWrap/>
            <w:vAlign w:val="bottom"/>
            <w:hideMark/>
          </w:tcPr>
          <w:p w14:paraId="517E737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Abaiang</w:t>
            </w:r>
          </w:p>
        </w:tc>
        <w:tc>
          <w:tcPr>
            <w:tcW w:w="691" w:type="dxa"/>
            <w:tcBorders>
              <w:top w:val="nil"/>
              <w:left w:val="nil"/>
              <w:bottom w:val="nil"/>
              <w:right w:val="nil"/>
            </w:tcBorders>
            <w:shd w:val="clear" w:color="auto" w:fill="auto"/>
            <w:noWrap/>
            <w:vAlign w:val="bottom"/>
            <w:hideMark/>
          </w:tcPr>
          <w:p w14:paraId="7B20F4B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21 </w:t>
            </w:r>
          </w:p>
        </w:tc>
        <w:tc>
          <w:tcPr>
            <w:tcW w:w="659" w:type="dxa"/>
            <w:tcBorders>
              <w:top w:val="nil"/>
              <w:left w:val="nil"/>
              <w:bottom w:val="nil"/>
              <w:right w:val="nil"/>
            </w:tcBorders>
            <w:shd w:val="clear" w:color="auto" w:fill="auto"/>
            <w:noWrap/>
            <w:vAlign w:val="bottom"/>
            <w:hideMark/>
          </w:tcPr>
          <w:p w14:paraId="3A5847A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21 </w:t>
            </w:r>
          </w:p>
        </w:tc>
        <w:tc>
          <w:tcPr>
            <w:tcW w:w="532" w:type="dxa"/>
            <w:tcBorders>
              <w:top w:val="nil"/>
              <w:left w:val="nil"/>
              <w:bottom w:val="nil"/>
              <w:right w:val="nil"/>
            </w:tcBorders>
            <w:shd w:val="clear" w:color="auto" w:fill="auto"/>
            <w:noWrap/>
            <w:vAlign w:val="bottom"/>
            <w:hideMark/>
          </w:tcPr>
          <w:p w14:paraId="67C1963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532" w:type="dxa"/>
            <w:tcBorders>
              <w:top w:val="nil"/>
              <w:left w:val="nil"/>
              <w:bottom w:val="nil"/>
              <w:right w:val="nil"/>
            </w:tcBorders>
            <w:shd w:val="clear" w:color="auto" w:fill="auto"/>
            <w:noWrap/>
            <w:vAlign w:val="bottom"/>
            <w:hideMark/>
          </w:tcPr>
          <w:p w14:paraId="08AD10A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419" w:type="dxa"/>
            <w:tcBorders>
              <w:top w:val="nil"/>
              <w:left w:val="nil"/>
              <w:bottom w:val="nil"/>
              <w:right w:val="nil"/>
            </w:tcBorders>
            <w:shd w:val="clear" w:color="auto" w:fill="auto"/>
            <w:noWrap/>
            <w:vAlign w:val="bottom"/>
            <w:hideMark/>
          </w:tcPr>
          <w:p w14:paraId="7263B6F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659" w:type="dxa"/>
            <w:tcBorders>
              <w:top w:val="nil"/>
              <w:left w:val="nil"/>
              <w:bottom w:val="nil"/>
              <w:right w:val="nil"/>
            </w:tcBorders>
            <w:shd w:val="clear" w:color="auto" w:fill="auto"/>
            <w:noWrap/>
            <w:vAlign w:val="bottom"/>
            <w:hideMark/>
          </w:tcPr>
          <w:p w14:paraId="76702B8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916" w:type="dxa"/>
            <w:tcBorders>
              <w:top w:val="nil"/>
              <w:left w:val="nil"/>
              <w:bottom w:val="nil"/>
              <w:right w:val="nil"/>
            </w:tcBorders>
            <w:shd w:val="clear" w:color="auto" w:fill="auto"/>
            <w:noWrap/>
            <w:vAlign w:val="bottom"/>
            <w:hideMark/>
          </w:tcPr>
          <w:p w14:paraId="4843B50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55 </w:t>
            </w:r>
          </w:p>
        </w:tc>
        <w:tc>
          <w:tcPr>
            <w:tcW w:w="1297" w:type="dxa"/>
            <w:tcBorders>
              <w:top w:val="nil"/>
              <w:left w:val="nil"/>
              <w:bottom w:val="nil"/>
              <w:right w:val="nil"/>
            </w:tcBorders>
            <w:shd w:val="clear" w:color="auto" w:fill="auto"/>
            <w:noWrap/>
            <w:vAlign w:val="bottom"/>
            <w:hideMark/>
          </w:tcPr>
          <w:p w14:paraId="6884FB0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108 </w:t>
            </w:r>
          </w:p>
        </w:tc>
        <w:tc>
          <w:tcPr>
            <w:tcW w:w="1180" w:type="dxa"/>
            <w:tcBorders>
              <w:top w:val="nil"/>
              <w:left w:val="nil"/>
              <w:bottom w:val="nil"/>
              <w:right w:val="nil"/>
            </w:tcBorders>
            <w:shd w:val="clear" w:color="auto" w:fill="auto"/>
            <w:noWrap/>
            <w:vAlign w:val="bottom"/>
            <w:hideMark/>
          </w:tcPr>
          <w:p w14:paraId="509E1BF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1.96 </w:t>
            </w:r>
          </w:p>
        </w:tc>
      </w:tr>
      <w:tr w:rsidR="00AC362E" w:rsidRPr="00257F87" w14:paraId="7F18DB2C" w14:textId="77777777" w:rsidTr="00ED0631">
        <w:trPr>
          <w:trHeight w:val="315"/>
        </w:trPr>
        <w:tc>
          <w:tcPr>
            <w:tcW w:w="1791" w:type="dxa"/>
            <w:tcBorders>
              <w:top w:val="nil"/>
              <w:left w:val="nil"/>
              <w:bottom w:val="nil"/>
              <w:right w:val="nil"/>
            </w:tcBorders>
            <w:shd w:val="clear" w:color="auto" w:fill="auto"/>
            <w:noWrap/>
            <w:vAlign w:val="bottom"/>
            <w:hideMark/>
          </w:tcPr>
          <w:p w14:paraId="71FCB2C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Butaritari</w:t>
            </w:r>
          </w:p>
        </w:tc>
        <w:tc>
          <w:tcPr>
            <w:tcW w:w="691" w:type="dxa"/>
            <w:tcBorders>
              <w:top w:val="nil"/>
              <w:left w:val="nil"/>
              <w:bottom w:val="nil"/>
              <w:right w:val="nil"/>
            </w:tcBorders>
            <w:shd w:val="clear" w:color="auto" w:fill="auto"/>
            <w:noWrap/>
            <w:vAlign w:val="bottom"/>
            <w:hideMark/>
          </w:tcPr>
          <w:p w14:paraId="0664438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26 </w:t>
            </w:r>
          </w:p>
        </w:tc>
        <w:tc>
          <w:tcPr>
            <w:tcW w:w="659" w:type="dxa"/>
            <w:tcBorders>
              <w:top w:val="nil"/>
              <w:left w:val="nil"/>
              <w:bottom w:val="nil"/>
              <w:right w:val="nil"/>
            </w:tcBorders>
            <w:shd w:val="clear" w:color="auto" w:fill="auto"/>
            <w:noWrap/>
            <w:vAlign w:val="bottom"/>
            <w:hideMark/>
          </w:tcPr>
          <w:p w14:paraId="4F7E8E6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22 </w:t>
            </w:r>
          </w:p>
        </w:tc>
        <w:tc>
          <w:tcPr>
            <w:tcW w:w="532" w:type="dxa"/>
            <w:tcBorders>
              <w:top w:val="nil"/>
              <w:left w:val="nil"/>
              <w:bottom w:val="nil"/>
              <w:right w:val="nil"/>
            </w:tcBorders>
            <w:shd w:val="clear" w:color="auto" w:fill="auto"/>
            <w:noWrap/>
            <w:vAlign w:val="bottom"/>
            <w:hideMark/>
          </w:tcPr>
          <w:p w14:paraId="45298D1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532" w:type="dxa"/>
            <w:tcBorders>
              <w:top w:val="nil"/>
              <w:left w:val="nil"/>
              <w:bottom w:val="nil"/>
              <w:right w:val="nil"/>
            </w:tcBorders>
            <w:shd w:val="clear" w:color="auto" w:fill="auto"/>
            <w:noWrap/>
            <w:vAlign w:val="bottom"/>
            <w:hideMark/>
          </w:tcPr>
          <w:p w14:paraId="6615668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419" w:type="dxa"/>
            <w:tcBorders>
              <w:top w:val="nil"/>
              <w:left w:val="nil"/>
              <w:bottom w:val="nil"/>
              <w:right w:val="nil"/>
            </w:tcBorders>
            <w:shd w:val="clear" w:color="auto" w:fill="auto"/>
            <w:noWrap/>
            <w:vAlign w:val="bottom"/>
            <w:hideMark/>
          </w:tcPr>
          <w:p w14:paraId="5E0ACFA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nil"/>
              <w:right w:val="nil"/>
            </w:tcBorders>
            <w:shd w:val="clear" w:color="auto" w:fill="auto"/>
            <w:noWrap/>
            <w:vAlign w:val="bottom"/>
            <w:hideMark/>
          </w:tcPr>
          <w:p w14:paraId="5FCC797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916" w:type="dxa"/>
            <w:tcBorders>
              <w:top w:val="nil"/>
              <w:left w:val="nil"/>
              <w:bottom w:val="nil"/>
              <w:right w:val="nil"/>
            </w:tcBorders>
            <w:shd w:val="clear" w:color="auto" w:fill="auto"/>
            <w:noWrap/>
            <w:vAlign w:val="bottom"/>
            <w:hideMark/>
          </w:tcPr>
          <w:p w14:paraId="425C3DC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58 </w:t>
            </w:r>
          </w:p>
        </w:tc>
        <w:tc>
          <w:tcPr>
            <w:tcW w:w="1297" w:type="dxa"/>
            <w:tcBorders>
              <w:top w:val="nil"/>
              <w:left w:val="nil"/>
              <w:bottom w:val="nil"/>
              <w:right w:val="nil"/>
            </w:tcBorders>
            <w:shd w:val="clear" w:color="auto" w:fill="auto"/>
            <w:noWrap/>
            <w:vAlign w:val="bottom"/>
            <w:hideMark/>
          </w:tcPr>
          <w:p w14:paraId="67BB68B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108 </w:t>
            </w:r>
          </w:p>
        </w:tc>
        <w:tc>
          <w:tcPr>
            <w:tcW w:w="1180" w:type="dxa"/>
            <w:tcBorders>
              <w:top w:val="nil"/>
              <w:left w:val="nil"/>
              <w:bottom w:val="nil"/>
              <w:right w:val="nil"/>
            </w:tcBorders>
            <w:shd w:val="clear" w:color="auto" w:fill="auto"/>
            <w:noWrap/>
            <w:vAlign w:val="bottom"/>
            <w:hideMark/>
          </w:tcPr>
          <w:p w14:paraId="1BAE0C4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1.86 </w:t>
            </w:r>
          </w:p>
        </w:tc>
      </w:tr>
      <w:tr w:rsidR="00AC362E" w:rsidRPr="00257F87" w14:paraId="47ACF5B8" w14:textId="77777777" w:rsidTr="00ED0631">
        <w:trPr>
          <w:trHeight w:val="315"/>
        </w:trPr>
        <w:tc>
          <w:tcPr>
            <w:tcW w:w="1791" w:type="dxa"/>
            <w:tcBorders>
              <w:top w:val="nil"/>
              <w:left w:val="nil"/>
              <w:bottom w:val="nil"/>
              <w:right w:val="nil"/>
            </w:tcBorders>
            <w:shd w:val="clear" w:color="auto" w:fill="auto"/>
            <w:noWrap/>
            <w:vAlign w:val="bottom"/>
            <w:hideMark/>
          </w:tcPr>
          <w:p w14:paraId="779D24B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Kiritimati</w:t>
            </w:r>
          </w:p>
        </w:tc>
        <w:tc>
          <w:tcPr>
            <w:tcW w:w="691" w:type="dxa"/>
            <w:tcBorders>
              <w:top w:val="nil"/>
              <w:left w:val="nil"/>
              <w:bottom w:val="nil"/>
              <w:right w:val="nil"/>
            </w:tcBorders>
            <w:shd w:val="clear" w:color="auto" w:fill="auto"/>
            <w:noWrap/>
            <w:vAlign w:val="bottom"/>
            <w:hideMark/>
          </w:tcPr>
          <w:p w14:paraId="6296528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17 </w:t>
            </w:r>
          </w:p>
        </w:tc>
        <w:tc>
          <w:tcPr>
            <w:tcW w:w="659" w:type="dxa"/>
            <w:tcBorders>
              <w:top w:val="nil"/>
              <w:left w:val="nil"/>
              <w:bottom w:val="nil"/>
              <w:right w:val="nil"/>
            </w:tcBorders>
            <w:shd w:val="clear" w:color="auto" w:fill="auto"/>
            <w:noWrap/>
            <w:vAlign w:val="bottom"/>
            <w:hideMark/>
          </w:tcPr>
          <w:p w14:paraId="3BE8DAF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 </w:t>
            </w:r>
          </w:p>
        </w:tc>
        <w:tc>
          <w:tcPr>
            <w:tcW w:w="532" w:type="dxa"/>
            <w:tcBorders>
              <w:top w:val="nil"/>
              <w:left w:val="nil"/>
              <w:bottom w:val="nil"/>
              <w:right w:val="nil"/>
            </w:tcBorders>
            <w:shd w:val="clear" w:color="auto" w:fill="auto"/>
            <w:noWrap/>
            <w:vAlign w:val="bottom"/>
            <w:hideMark/>
          </w:tcPr>
          <w:p w14:paraId="6F25DC7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532" w:type="dxa"/>
            <w:tcBorders>
              <w:top w:val="nil"/>
              <w:left w:val="nil"/>
              <w:bottom w:val="nil"/>
              <w:right w:val="nil"/>
            </w:tcBorders>
            <w:shd w:val="clear" w:color="auto" w:fill="auto"/>
            <w:noWrap/>
            <w:vAlign w:val="bottom"/>
            <w:hideMark/>
          </w:tcPr>
          <w:p w14:paraId="1A88E402"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419" w:type="dxa"/>
            <w:tcBorders>
              <w:top w:val="nil"/>
              <w:left w:val="nil"/>
              <w:bottom w:val="nil"/>
              <w:right w:val="nil"/>
            </w:tcBorders>
            <w:shd w:val="clear" w:color="auto" w:fill="auto"/>
            <w:noWrap/>
            <w:vAlign w:val="bottom"/>
            <w:hideMark/>
          </w:tcPr>
          <w:p w14:paraId="109FDB8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nil"/>
              <w:right w:val="nil"/>
            </w:tcBorders>
            <w:shd w:val="clear" w:color="auto" w:fill="auto"/>
            <w:noWrap/>
            <w:vAlign w:val="bottom"/>
            <w:hideMark/>
          </w:tcPr>
          <w:p w14:paraId="5FB653E3"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916" w:type="dxa"/>
            <w:tcBorders>
              <w:top w:val="nil"/>
              <w:left w:val="nil"/>
              <w:bottom w:val="nil"/>
              <w:right w:val="nil"/>
            </w:tcBorders>
            <w:shd w:val="clear" w:color="auto" w:fill="auto"/>
            <w:noWrap/>
            <w:vAlign w:val="bottom"/>
            <w:hideMark/>
          </w:tcPr>
          <w:p w14:paraId="70BD16F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46 </w:t>
            </w:r>
          </w:p>
        </w:tc>
        <w:tc>
          <w:tcPr>
            <w:tcW w:w="1297" w:type="dxa"/>
            <w:tcBorders>
              <w:top w:val="nil"/>
              <w:left w:val="nil"/>
              <w:bottom w:val="nil"/>
              <w:right w:val="nil"/>
            </w:tcBorders>
            <w:shd w:val="clear" w:color="auto" w:fill="auto"/>
            <w:noWrap/>
            <w:vAlign w:val="bottom"/>
            <w:hideMark/>
          </w:tcPr>
          <w:p w14:paraId="2127B47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87 </w:t>
            </w:r>
          </w:p>
        </w:tc>
        <w:tc>
          <w:tcPr>
            <w:tcW w:w="1180" w:type="dxa"/>
            <w:tcBorders>
              <w:top w:val="nil"/>
              <w:left w:val="nil"/>
              <w:bottom w:val="nil"/>
              <w:right w:val="nil"/>
            </w:tcBorders>
            <w:shd w:val="clear" w:color="auto" w:fill="auto"/>
            <w:noWrap/>
            <w:vAlign w:val="bottom"/>
            <w:hideMark/>
          </w:tcPr>
          <w:p w14:paraId="0B43EB7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1.89 </w:t>
            </w:r>
          </w:p>
        </w:tc>
      </w:tr>
      <w:tr w:rsidR="00AC362E" w:rsidRPr="00257F87" w14:paraId="71E295D6" w14:textId="77777777" w:rsidTr="00ED0631">
        <w:trPr>
          <w:trHeight w:val="315"/>
        </w:trPr>
        <w:tc>
          <w:tcPr>
            <w:tcW w:w="1791" w:type="dxa"/>
            <w:tcBorders>
              <w:top w:val="nil"/>
              <w:left w:val="nil"/>
              <w:bottom w:val="nil"/>
              <w:right w:val="nil"/>
            </w:tcBorders>
            <w:shd w:val="clear" w:color="auto" w:fill="auto"/>
            <w:noWrap/>
            <w:vAlign w:val="bottom"/>
            <w:hideMark/>
          </w:tcPr>
          <w:p w14:paraId="515B643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Maiana</w:t>
            </w:r>
          </w:p>
        </w:tc>
        <w:tc>
          <w:tcPr>
            <w:tcW w:w="691" w:type="dxa"/>
            <w:tcBorders>
              <w:top w:val="nil"/>
              <w:left w:val="nil"/>
              <w:bottom w:val="nil"/>
              <w:right w:val="nil"/>
            </w:tcBorders>
            <w:shd w:val="clear" w:color="auto" w:fill="auto"/>
            <w:noWrap/>
            <w:vAlign w:val="bottom"/>
            <w:hideMark/>
          </w:tcPr>
          <w:p w14:paraId="3A21748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 </w:t>
            </w:r>
          </w:p>
        </w:tc>
        <w:tc>
          <w:tcPr>
            <w:tcW w:w="659" w:type="dxa"/>
            <w:tcBorders>
              <w:top w:val="nil"/>
              <w:left w:val="nil"/>
              <w:bottom w:val="nil"/>
              <w:right w:val="nil"/>
            </w:tcBorders>
            <w:shd w:val="clear" w:color="auto" w:fill="auto"/>
            <w:noWrap/>
            <w:vAlign w:val="bottom"/>
            <w:hideMark/>
          </w:tcPr>
          <w:p w14:paraId="3080C00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12 </w:t>
            </w:r>
          </w:p>
        </w:tc>
        <w:tc>
          <w:tcPr>
            <w:tcW w:w="532" w:type="dxa"/>
            <w:tcBorders>
              <w:top w:val="nil"/>
              <w:left w:val="nil"/>
              <w:bottom w:val="nil"/>
              <w:right w:val="nil"/>
            </w:tcBorders>
            <w:shd w:val="clear" w:color="auto" w:fill="auto"/>
            <w:noWrap/>
            <w:vAlign w:val="bottom"/>
            <w:hideMark/>
          </w:tcPr>
          <w:p w14:paraId="56549E7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532" w:type="dxa"/>
            <w:tcBorders>
              <w:top w:val="nil"/>
              <w:left w:val="nil"/>
              <w:bottom w:val="nil"/>
              <w:right w:val="nil"/>
            </w:tcBorders>
            <w:shd w:val="clear" w:color="auto" w:fill="auto"/>
            <w:noWrap/>
            <w:vAlign w:val="bottom"/>
            <w:hideMark/>
          </w:tcPr>
          <w:p w14:paraId="0750431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419" w:type="dxa"/>
            <w:tcBorders>
              <w:top w:val="nil"/>
              <w:left w:val="nil"/>
              <w:bottom w:val="nil"/>
              <w:right w:val="nil"/>
            </w:tcBorders>
            <w:shd w:val="clear" w:color="auto" w:fill="auto"/>
            <w:noWrap/>
            <w:vAlign w:val="bottom"/>
            <w:hideMark/>
          </w:tcPr>
          <w:p w14:paraId="2D2A15C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nil"/>
              <w:right w:val="nil"/>
            </w:tcBorders>
            <w:shd w:val="clear" w:color="auto" w:fill="auto"/>
            <w:noWrap/>
            <w:vAlign w:val="bottom"/>
            <w:hideMark/>
          </w:tcPr>
          <w:p w14:paraId="42935AE0"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916" w:type="dxa"/>
            <w:tcBorders>
              <w:top w:val="nil"/>
              <w:left w:val="nil"/>
              <w:bottom w:val="nil"/>
              <w:right w:val="nil"/>
            </w:tcBorders>
            <w:shd w:val="clear" w:color="auto" w:fill="auto"/>
            <w:noWrap/>
            <w:vAlign w:val="bottom"/>
            <w:hideMark/>
          </w:tcPr>
          <w:p w14:paraId="2A12117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42 </w:t>
            </w:r>
          </w:p>
        </w:tc>
        <w:tc>
          <w:tcPr>
            <w:tcW w:w="1297" w:type="dxa"/>
            <w:tcBorders>
              <w:top w:val="nil"/>
              <w:left w:val="nil"/>
              <w:bottom w:val="nil"/>
              <w:right w:val="nil"/>
            </w:tcBorders>
            <w:shd w:val="clear" w:color="auto" w:fill="auto"/>
            <w:noWrap/>
            <w:vAlign w:val="bottom"/>
            <w:hideMark/>
          </w:tcPr>
          <w:p w14:paraId="12344CF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82 </w:t>
            </w:r>
          </w:p>
        </w:tc>
        <w:tc>
          <w:tcPr>
            <w:tcW w:w="1180" w:type="dxa"/>
            <w:tcBorders>
              <w:top w:val="nil"/>
              <w:left w:val="nil"/>
              <w:bottom w:val="nil"/>
              <w:right w:val="nil"/>
            </w:tcBorders>
            <w:shd w:val="clear" w:color="auto" w:fill="auto"/>
            <w:noWrap/>
            <w:vAlign w:val="bottom"/>
            <w:hideMark/>
          </w:tcPr>
          <w:p w14:paraId="7B79273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1.95 </w:t>
            </w:r>
          </w:p>
        </w:tc>
      </w:tr>
      <w:tr w:rsidR="00AC362E" w:rsidRPr="00257F87" w14:paraId="7317CADE" w14:textId="77777777" w:rsidTr="00ED0631">
        <w:trPr>
          <w:trHeight w:val="315"/>
        </w:trPr>
        <w:tc>
          <w:tcPr>
            <w:tcW w:w="1791" w:type="dxa"/>
            <w:tcBorders>
              <w:top w:val="nil"/>
              <w:left w:val="nil"/>
              <w:bottom w:val="nil"/>
              <w:right w:val="nil"/>
            </w:tcBorders>
            <w:shd w:val="clear" w:color="auto" w:fill="auto"/>
            <w:noWrap/>
            <w:vAlign w:val="bottom"/>
            <w:hideMark/>
          </w:tcPr>
          <w:p w14:paraId="1C9B34B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Nonouti</w:t>
            </w:r>
          </w:p>
        </w:tc>
        <w:tc>
          <w:tcPr>
            <w:tcW w:w="691" w:type="dxa"/>
            <w:tcBorders>
              <w:top w:val="nil"/>
              <w:left w:val="nil"/>
              <w:bottom w:val="nil"/>
              <w:right w:val="nil"/>
            </w:tcBorders>
            <w:shd w:val="clear" w:color="auto" w:fill="auto"/>
            <w:noWrap/>
            <w:vAlign w:val="bottom"/>
            <w:hideMark/>
          </w:tcPr>
          <w:p w14:paraId="09433C9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17 </w:t>
            </w:r>
          </w:p>
        </w:tc>
        <w:tc>
          <w:tcPr>
            <w:tcW w:w="659" w:type="dxa"/>
            <w:tcBorders>
              <w:top w:val="nil"/>
              <w:left w:val="nil"/>
              <w:bottom w:val="nil"/>
              <w:right w:val="nil"/>
            </w:tcBorders>
            <w:shd w:val="clear" w:color="auto" w:fill="auto"/>
            <w:noWrap/>
            <w:vAlign w:val="bottom"/>
            <w:hideMark/>
          </w:tcPr>
          <w:p w14:paraId="7377042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 </w:t>
            </w:r>
          </w:p>
        </w:tc>
        <w:tc>
          <w:tcPr>
            <w:tcW w:w="532" w:type="dxa"/>
            <w:tcBorders>
              <w:top w:val="nil"/>
              <w:left w:val="nil"/>
              <w:bottom w:val="nil"/>
              <w:right w:val="nil"/>
            </w:tcBorders>
            <w:shd w:val="clear" w:color="auto" w:fill="auto"/>
            <w:noWrap/>
            <w:vAlign w:val="bottom"/>
            <w:hideMark/>
          </w:tcPr>
          <w:p w14:paraId="37E6391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 </w:t>
            </w:r>
          </w:p>
        </w:tc>
        <w:tc>
          <w:tcPr>
            <w:tcW w:w="532" w:type="dxa"/>
            <w:tcBorders>
              <w:top w:val="nil"/>
              <w:left w:val="nil"/>
              <w:bottom w:val="nil"/>
              <w:right w:val="nil"/>
            </w:tcBorders>
            <w:shd w:val="clear" w:color="auto" w:fill="auto"/>
            <w:noWrap/>
            <w:vAlign w:val="bottom"/>
            <w:hideMark/>
          </w:tcPr>
          <w:p w14:paraId="1628C56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419" w:type="dxa"/>
            <w:tcBorders>
              <w:top w:val="nil"/>
              <w:left w:val="nil"/>
              <w:bottom w:val="nil"/>
              <w:right w:val="nil"/>
            </w:tcBorders>
            <w:shd w:val="clear" w:color="auto" w:fill="auto"/>
            <w:noWrap/>
            <w:vAlign w:val="bottom"/>
            <w:hideMark/>
          </w:tcPr>
          <w:p w14:paraId="3529D40A"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659" w:type="dxa"/>
            <w:tcBorders>
              <w:top w:val="nil"/>
              <w:left w:val="nil"/>
              <w:bottom w:val="nil"/>
              <w:right w:val="nil"/>
            </w:tcBorders>
            <w:shd w:val="clear" w:color="auto" w:fill="auto"/>
            <w:noWrap/>
            <w:vAlign w:val="bottom"/>
            <w:hideMark/>
          </w:tcPr>
          <w:p w14:paraId="20B8526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916" w:type="dxa"/>
            <w:tcBorders>
              <w:top w:val="nil"/>
              <w:left w:val="nil"/>
              <w:bottom w:val="nil"/>
              <w:right w:val="nil"/>
            </w:tcBorders>
            <w:shd w:val="clear" w:color="auto" w:fill="auto"/>
            <w:noWrap/>
            <w:vAlign w:val="bottom"/>
            <w:hideMark/>
          </w:tcPr>
          <w:p w14:paraId="5A3D4FC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49 </w:t>
            </w:r>
          </w:p>
        </w:tc>
        <w:tc>
          <w:tcPr>
            <w:tcW w:w="1297" w:type="dxa"/>
            <w:tcBorders>
              <w:top w:val="nil"/>
              <w:left w:val="nil"/>
              <w:bottom w:val="nil"/>
              <w:right w:val="nil"/>
            </w:tcBorders>
            <w:shd w:val="clear" w:color="auto" w:fill="auto"/>
            <w:noWrap/>
            <w:vAlign w:val="bottom"/>
            <w:hideMark/>
          </w:tcPr>
          <w:p w14:paraId="7D2A0E0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102 </w:t>
            </w:r>
          </w:p>
        </w:tc>
        <w:tc>
          <w:tcPr>
            <w:tcW w:w="1180" w:type="dxa"/>
            <w:tcBorders>
              <w:top w:val="nil"/>
              <w:left w:val="nil"/>
              <w:bottom w:val="nil"/>
              <w:right w:val="nil"/>
            </w:tcBorders>
            <w:shd w:val="clear" w:color="auto" w:fill="auto"/>
            <w:noWrap/>
            <w:vAlign w:val="bottom"/>
            <w:hideMark/>
          </w:tcPr>
          <w:p w14:paraId="516A38F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2.08 </w:t>
            </w:r>
          </w:p>
        </w:tc>
      </w:tr>
      <w:tr w:rsidR="00AC362E" w:rsidRPr="00257F87" w14:paraId="050A1D73" w14:textId="77777777" w:rsidTr="00ED0631">
        <w:trPr>
          <w:trHeight w:val="315"/>
        </w:trPr>
        <w:tc>
          <w:tcPr>
            <w:tcW w:w="1791" w:type="dxa"/>
            <w:tcBorders>
              <w:top w:val="nil"/>
              <w:left w:val="nil"/>
              <w:bottom w:val="nil"/>
              <w:right w:val="nil"/>
            </w:tcBorders>
            <w:shd w:val="clear" w:color="auto" w:fill="auto"/>
            <w:noWrap/>
            <w:vAlign w:val="bottom"/>
            <w:hideMark/>
          </w:tcPr>
          <w:p w14:paraId="72CEABD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Tabiteuea</w:t>
            </w:r>
          </w:p>
        </w:tc>
        <w:tc>
          <w:tcPr>
            <w:tcW w:w="691" w:type="dxa"/>
            <w:tcBorders>
              <w:top w:val="nil"/>
              <w:left w:val="nil"/>
              <w:bottom w:val="nil"/>
              <w:right w:val="nil"/>
            </w:tcBorders>
            <w:shd w:val="clear" w:color="auto" w:fill="auto"/>
            <w:noWrap/>
            <w:vAlign w:val="bottom"/>
            <w:hideMark/>
          </w:tcPr>
          <w:p w14:paraId="7DA4625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 </w:t>
            </w:r>
          </w:p>
        </w:tc>
        <w:tc>
          <w:tcPr>
            <w:tcW w:w="659" w:type="dxa"/>
            <w:tcBorders>
              <w:top w:val="nil"/>
              <w:left w:val="nil"/>
              <w:bottom w:val="nil"/>
              <w:right w:val="nil"/>
            </w:tcBorders>
            <w:shd w:val="clear" w:color="auto" w:fill="auto"/>
            <w:noWrap/>
            <w:vAlign w:val="bottom"/>
            <w:hideMark/>
          </w:tcPr>
          <w:p w14:paraId="265DF68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 </w:t>
            </w:r>
          </w:p>
        </w:tc>
        <w:tc>
          <w:tcPr>
            <w:tcW w:w="532" w:type="dxa"/>
            <w:tcBorders>
              <w:top w:val="nil"/>
              <w:left w:val="nil"/>
              <w:bottom w:val="nil"/>
              <w:right w:val="nil"/>
            </w:tcBorders>
            <w:shd w:val="clear" w:color="auto" w:fill="auto"/>
            <w:noWrap/>
            <w:vAlign w:val="bottom"/>
            <w:hideMark/>
          </w:tcPr>
          <w:p w14:paraId="7DC77F2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 </w:t>
            </w:r>
          </w:p>
        </w:tc>
        <w:tc>
          <w:tcPr>
            <w:tcW w:w="532" w:type="dxa"/>
            <w:tcBorders>
              <w:top w:val="nil"/>
              <w:left w:val="nil"/>
              <w:bottom w:val="nil"/>
              <w:right w:val="nil"/>
            </w:tcBorders>
            <w:shd w:val="clear" w:color="auto" w:fill="auto"/>
            <w:noWrap/>
            <w:vAlign w:val="bottom"/>
            <w:hideMark/>
          </w:tcPr>
          <w:p w14:paraId="6966849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419" w:type="dxa"/>
            <w:tcBorders>
              <w:top w:val="nil"/>
              <w:left w:val="nil"/>
              <w:bottom w:val="nil"/>
              <w:right w:val="nil"/>
            </w:tcBorders>
            <w:shd w:val="clear" w:color="auto" w:fill="auto"/>
            <w:noWrap/>
            <w:vAlign w:val="bottom"/>
            <w:hideMark/>
          </w:tcPr>
          <w:p w14:paraId="1CF8708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nil"/>
              <w:right w:val="nil"/>
            </w:tcBorders>
            <w:shd w:val="clear" w:color="auto" w:fill="auto"/>
            <w:noWrap/>
            <w:vAlign w:val="bottom"/>
            <w:hideMark/>
          </w:tcPr>
          <w:p w14:paraId="02022B03"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916" w:type="dxa"/>
            <w:tcBorders>
              <w:top w:val="nil"/>
              <w:left w:val="nil"/>
              <w:bottom w:val="nil"/>
              <w:right w:val="nil"/>
            </w:tcBorders>
            <w:shd w:val="clear" w:color="auto" w:fill="auto"/>
            <w:noWrap/>
            <w:vAlign w:val="bottom"/>
            <w:hideMark/>
          </w:tcPr>
          <w:p w14:paraId="2838D38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39 </w:t>
            </w:r>
          </w:p>
        </w:tc>
        <w:tc>
          <w:tcPr>
            <w:tcW w:w="1297" w:type="dxa"/>
            <w:tcBorders>
              <w:top w:val="nil"/>
              <w:left w:val="nil"/>
              <w:bottom w:val="nil"/>
              <w:right w:val="nil"/>
            </w:tcBorders>
            <w:shd w:val="clear" w:color="auto" w:fill="auto"/>
            <w:noWrap/>
            <w:vAlign w:val="bottom"/>
            <w:hideMark/>
          </w:tcPr>
          <w:p w14:paraId="2716C54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90 </w:t>
            </w:r>
          </w:p>
        </w:tc>
        <w:tc>
          <w:tcPr>
            <w:tcW w:w="1180" w:type="dxa"/>
            <w:tcBorders>
              <w:top w:val="nil"/>
              <w:left w:val="nil"/>
              <w:bottom w:val="nil"/>
              <w:right w:val="nil"/>
            </w:tcBorders>
            <w:shd w:val="clear" w:color="auto" w:fill="auto"/>
            <w:noWrap/>
            <w:vAlign w:val="bottom"/>
            <w:hideMark/>
          </w:tcPr>
          <w:p w14:paraId="2F9BBF6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2.31 </w:t>
            </w:r>
          </w:p>
        </w:tc>
      </w:tr>
      <w:tr w:rsidR="00AC362E" w:rsidRPr="00257F87" w14:paraId="53FD8CC9" w14:textId="77777777" w:rsidTr="00ED0631">
        <w:trPr>
          <w:trHeight w:val="315"/>
        </w:trPr>
        <w:tc>
          <w:tcPr>
            <w:tcW w:w="1791" w:type="dxa"/>
            <w:tcBorders>
              <w:top w:val="nil"/>
              <w:left w:val="nil"/>
              <w:bottom w:val="nil"/>
              <w:right w:val="nil"/>
            </w:tcBorders>
            <w:shd w:val="clear" w:color="auto" w:fill="auto"/>
            <w:noWrap/>
            <w:vAlign w:val="bottom"/>
            <w:hideMark/>
          </w:tcPr>
          <w:p w14:paraId="7018682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Tarawa</w:t>
            </w:r>
          </w:p>
        </w:tc>
        <w:tc>
          <w:tcPr>
            <w:tcW w:w="691" w:type="dxa"/>
            <w:tcBorders>
              <w:top w:val="nil"/>
              <w:left w:val="nil"/>
              <w:bottom w:val="nil"/>
              <w:right w:val="nil"/>
            </w:tcBorders>
            <w:shd w:val="clear" w:color="auto" w:fill="auto"/>
            <w:noWrap/>
            <w:vAlign w:val="bottom"/>
            <w:hideMark/>
          </w:tcPr>
          <w:p w14:paraId="7360231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 </w:t>
            </w:r>
          </w:p>
        </w:tc>
        <w:tc>
          <w:tcPr>
            <w:tcW w:w="659" w:type="dxa"/>
            <w:tcBorders>
              <w:top w:val="nil"/>
              <w:left w:val="nil"/>
              <w:bottom w:val="nil"/>
              <w:right w:val="nil"/>
            </w:tcBorders>
            <w:shd w:val="clear" w:color="auto" w:fill="auto"/>
            <w:noWrap/>
            <w:vAlign w:val="bottom"/>
            <w:hideMark/>
          </w:tcPr>
          <w:p w14:paraId="4A2F067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 </w:t>
            </w:r>
          </w:p>
        </w:tc>
        <w:tc>
          <w:tcPr>
            <w:tcW w:w="532" w:type="dxa"/>
            <w:tcBorders>
              <w:top w:val="nil"/>
              <w:left w:val="nil"/>
              <w:bottom w:val="nil"/>
              <w:right w:val="nil"/>
            </w:tcBorders>
            <w:shd w:val="clear" w:color="auto" w:fill="auto"/>
            <w:noWrap/>
            <w:vAlign w:val="bottom"/>
            <w:hideMark/>
          </w:tcPr>
          <w:p w14:paraId="0918E13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 </w:t>
            </w:r>
          </w:p>
        </w:tc>
        <w:tc>
          <w:tcPr>
            <w:tcW w:w="532" w:type="dxa"/>
            <w:tcBorders>
              <w:top w:val="nil"/>
              <w:left w:val="nil"/>
              <w:bottom w:val="nil"/>
              <w:right w:val="nil"/>
            </w:tcBorders>
            <w:shd w:val="clear" w:color="auto" w:fill="auto"/>
            <w:noWrap/>
            <w:vAlign w:val="bottom"/>
            <w:hideMark/>
          </w:tcPr>
          <w:p w14:paraId="1A850C3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419" w:type="dxa"/>
            <w:tcBorders>
              <w:top w:val="nil"/>
              <w:left w:val="nil"/>
              <w:bottom w:val="nil"/>
              <w:right w:val="nil"/>
            </w:tcBorders>
            <w:shd w:val="clear" w:color="auto" w:fill="auto"/>
            <w:noWrap/>
            <w:vAlign w:val="bottom"/>
            <w:hideMark/>
          </w:tcPr>
          <w:p w14:paraId="7D318E6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nil"/>
              <w:right w:val="nil"/>
            </w:tcBorders>
            <w:shd w:val="clear" w:color="auto" w:fill="auto"/>
            <w:noWrap/>
            <w:vAlign w:val="bottom"/>
            <w:hideMark/>
          </w:tcPr>
          <w:p w14:paraId="71305CF4"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916" w:type="dxa"/>
            <w:tcBorders>
              <w:top w:val="nil"/>
              <w:left w:val="nil"/>
              <w:bottom w:val="nil"/>
              <w:right w:val="nil"/>
            </w:tcBorders>
            <w:shd w:val="clear" w:color="auto" w:fill="auto"/>
            <w:noWrap/>
            <w:vAlign w:val="bottom"/>
            <w:hideMark/>
          </w:tcPr>
          <w:p w14:paraId="676AF98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43 </w:t>
            </w:r>
          </w:p>
        </w:tc>
        <w:tc>
          <w:tcPr>
            <w:tcW w:w="1297" w:type="dxa"/>
            <w:tcBorders>
              <w:top w:val="nil"/>
              <w:left w:val="nil"/>
              <w:bottom w:val="nil"/>
              <w:right w:val="nil"/>
            </w:tcBorders>
            <w:shd w:val="clear" w:color="auto" w:fill="auto"/>
            <w:noWrap/>
            <w:vAlign w:val="bottom"/>
            <w:hideMark/>
          </w:tcPr>
          <w:p w14:paraId="0DF441E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96 </w:t>
            </w:r>
          </w:p>
        </w:tc>
        <w:tc>
          <w:tcPr>
            <w:tcW w:w="1180" w:type="dxa"/>
            <w:tcBorders>
              <w:top w:val="nil"/>
              <w:left w:val="nil"/>
              <w:bottom w:val="nil"/>
              <w:right w:val="nil"/>
            </w:tcBorders>
            <w:shd w:val="clear" w:color="auto" w:fill="auto"/>
            <w:noWrap/>
            <w:vAlign w:val="bottom"/>
            <w:hideMark/>
          </w:tcPr>
          <w:p w14:paraId="6E91372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2.23 </w:t>
            </w:r>
          </w:p>
        </w:tc>
      </w:tr>
      <w:tr w:rsidR="00AC362E" w:rsidRPr="00257F87" w14:paraId="44683745" w14:textId="77777777" w:rsidTr="00ED0631">
        <w:trPr>
          <w:trHeight w:val="315"/>
        </w:trPr>
        <w:tc>
          <w:tcPr>
            <w:tcW w:w="1791" w:type="dxa"/>
            <w:tcBorders>
              <w:top w:val="nil"/>
              <w:left w:val="nil"/>
              <w:bottom w:val="nil"/>
              <w:right w:val="nil"/>
            </w:tcBorders>
            <w:shd w:val="clear" w:color="auto" w:fill="auto"/>
            <w:noWrap/>
            <w:vAlign w:val="bottom"/>
            <w:hideMark/>
          </w:tcPr>
          <w:p w14:paraId="410EEF1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Tabiteuea</w:t>
            </w:r>
          </w:p>
        </w:tc>
        <w:tc>
          <w:tcPr>
            <w:tcW w:w="691" w:type="dxa"/>
            <w:tcBorders>
              <w:top w:val="nil"/>
              <w:left w:val="nil"/>
              <w:bottom w:val="nil"/>
              <w:right w:val="nil"/>
            </w:tcBorders>
            <w:shd w:val="clear" w:color="auto" w:fill="auto"/>
            <w:noWrap/>
            <w:vAlign w:val="bottom"/>
            <w:hideMark/>
          </w:tcPr>
          <w:p w14:paraId="74F6E05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17 </w:t>
            </w:r>
          </w:p>
        </w:tc>
        <w:tc>
          <w:tcPr>
            <w:tcW w:w="659" w:type="dxa"/>
            <w:tcBorders>
              <w:top w:val="nil"/>
              <w:left w:val="nil"/>
              <w:bottom w:val="nil"/>
              <w:right w:val="nil"/>
            </w:tcBorders>
            <w:shd w:val="clear" w:color="auto" w:fill="auto"/>
            <w:noWrap/>
            <w:vAlign w:val="bottom"/>
            <w:hideMark/>
          </w:tcPr>
          <w:p w14:paraId="3E08DF5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17 </w:t>
            </w:r>
          </w:p>
        </w:tc>
        <w:tc>
          <w:tcPr>
            <w:tcW w:w="532" w:type="dxa"/>
            <w:tcBorders>
              <w:top w:val="nil"/>
              <w:left w:val="nil"/>
              <w:bottom w:val="nil"/>
              <w:right w:val="nil"/>
            </w:tcBorders>
            <w:shd w:val="clear" w:color="auto" w:fill="auto"/>
            <w:noWrap/>
            <w:vAlign w:val="bottom"/>
            <w:hideMark/>
          </w:tcPr>
          <w:p w14:paraId="756CEAF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532" w:type="dxa"/>
            <w:tcBorders>
              <w:top w:val="nil"/>
              <w:left w:val="nil"/>
              <w:bottom w:val="nil"/>
              <w:right w:val="nil"/>
            </w:tcBorders>
            <w:shd w:val="clear" w:color="auto" w:fill="auto"/>
            <w:noWrap/>
            <w:vAlign w:val="bottom"/>
            <w:hideMark/>
          </w:tcPr>
          <w:p w14:paraId="6E7DED5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419" w:type="dxa"/>
            <w:tcBorders>
              <w:top w:val="nil"/>
              <w:left w:val="nil"/>
              <w:bottom w:val="nil"/>
              <w:right w:val="nil"/>
            </w:tcBorders>
            <w:shd w:val="clear" w:color="auto" w:fill="auto"/>
            <w:noWrap/>
            <w:vAlign w:val="bottom"/>
            <w:hideMark/>
          </w:tcPr>
          <w:p w14:paraId="700677F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659" w:type="dxa"/>
            <w:tcBorders>
              <w:top w:val="nil"/>
              <w:left w:val="nil"/>
              <w:bottom w:val="nil"/>
              <w:right w:val="nil"/>
            </w:tcBorders>
            <w:shd w:val="clear" w:color="auto" w:fill="auto"/>
            <w:noWrap/>
            <w:vAlign w:val="bottom"/>
            <w:hideMark/>
          </w:tcPr>
          <w:p w14:paraId="433557CF"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916" w:type="dxa"/>
            <w:tcBorders>
              <w:top w:val="nil"/>
              <w:left w:val="nil"/>
              <w:bottom w:val="nil"/>
              <w:right w:val="nil"/>
            </w:tcBorders>
            <w:shd w:val="clear" w:color="auto" w:fill="auto"/>
            <w:noWrap/>
            <w:vAlign w:val="bottom"/>
            <w:hideMark/>
          </w:tcPr>
          <w:p w14:paraId="70767DA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44 </w:t>
            </w:r>
          </w:p>
        </w:tc>
        <w:tc>
          <w:tcPr>
            <w:tcW w:w="1297" w:type="dxa"/>
            <w:tcBorders>
              <w:top w:val="nil"/>
              <w:left w:val="nil"/>
              <w:bottom w:val="nil"/>
              <w:right w:val="nil"/>
            </w:tcBorders>
            <w:shd w:val="clear" w:color="auto" w:fill="auto"/>
            <w:noWrap/>
            <w:vAlign w:val="bottom"/>
            <w:hideMark/>
          </w:tcPr>
          <w:p w14:paraId="0CBE9D1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87 </w:t>
            </w:r>
          </w:p>
        </w:tc>
        <w:tc>
          <w:tcPr>
            <w:tcW w:w="1180" w:type="dxa"/>
            <w:tcBorders>
              <w:top w:val="nil"/>
              <w:left w:val="nil"/>
              <w:bottom w:val="nil"/>
              <w:right w:val="nil"/>
            </w:tcBorders>
            <w:shd w:val="clear" w:color="auto" w:fill="auto"/>
            <w:noWrap/>
            <w:vAlign w:val="bottom"/>
            <w:hideMark/>
          </w:tcPr>
          <w:p w14:paraId="079D9BA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1.98 </w:t>
            </w:r>
          </w:p>
        </w:tc>
      </w:tr>
      <w:tr w:rsidR="00AC362E" w:rsidRPr="00257F87" w14:paraId="19651B57" w14:textId="77777777" w:rsidTr="00ED0631">
        <w:trPr>
          <w:trHeight w:val="315"/>
        </w:trPr>
        <w:tc>
          <w:tcPr>
            <w:tcW w:w="1791" w:type="dxa"/>
            <w:tcBorders>
              <w:top w:val="nil"/>
              <w:left w:val="nil"/>
              <w:bottom w:val="nil"/>
              <w:right w:val="nil"/>
            </w:tcBorders>
            <w:shd w:val="clear" w:color="auto" w:fill="auto"/>
            <w:noWrap/>
            <w:vAlign w:val="bottom"/>
            <w:hideMark/>
          </w:tcPr>
          <w:p w14:paraId="6D1D2C5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Tarawa</w:t>
            </w:r>
          </w:p>
        </w:tc>
        <w:tc>
          <w:tcPr>
            <w:tcW w:w="691" w:type="dxa"/>
            <w:tcBorders>
              <w:top w:val="nil"/>
              <w:left w:val="nil"/>
              <w:bottom w:val="nil"/>
              <w:right w:val="nil"/>
            </w:tcBorders>
            <w:shd w:val="clear" w:color="auto" w:fill="auto"/>
            <w:noWrap/>
            <w:vAlign w:val="bottom"/>
            <w:hideMark/>
          </w:tcPr>
          <w:p w14:paraId="133B742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62 </w:t>
            </w:r>
          </w:p>
        </w:tc>
        <w:tc>
          <w:tcPr>
            <w:tcW w:w="659" w:type="dxa"/>
            <w:tcBorders>
              <w:top w:val="nil"/>
              <w:left w:val="nil"/>
              <w:bottom w:val="nil"/>
              <w:right w:val="nil"/>
            </w:tcBorders>
            <w:shd w:val="clear" w:color="auto" w:fill="auto"/>
            <w:noWrap/>
            <w:vAlign w:val="bottom"/>
            <w:hideMark/>
          </w:tcPr>
          <w:p w14:paraId="6AE4C95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51 </w:t>
            </w:r>
          </w:p>
        </w:tc>
        <w:tc>
          <w:tcPr>
            <w:tcW w:w="532" w:type="dxa"/>
            <w:tcBorders>
              <w:top w:val="nil"/>
              <w:left w:val="nil"/>
              <w:bottom w:val="nil"/>
              <w:right w:val="nil"/>
            </w:tcBorders>
            <w:shd w:val="clear" w:color="auto" w:fill="auto"/>
            <w:noWrap/>
            <w:vAlign w:val="bottom"/>
            <w:hideMark/>
          </w:tcPr>
          <w:p w14:paraId="660E385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27 </w:t>
            </w:r>
          </w:p>
        </w:tc>
        <w:tc>
          <w:tcPr>
            <w:tcW w:w="532" w:type="dxa"/>
            <w:tcBorders>
              <w:top w:val="nil"/>
              <w:left w:val="nil"/>
              <w:bottom w:val="nil"/>
              <w:right w:val="nil"/>
            </w:tcBorders>
            <w:shd w:val="clear" w:color="auto" w:fill="auto"/>
            <w:noWrap/>
            <w:vAlign w:val="bottom"/>
            <w:hideMark/>
          </w:tcPr>
          <w:p w14:paraId="4A948B7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 </w:t>
            </w:r>
          </w:p>
        </w:tc>
        <w:tc>
          <w:tcPr>
            <w:tcW w:w="419" w:type="dxa"/>
            <w:tcBorders>
              <w:top w:val="nil"/>
              <w:left w:val="nil"/>
              <w:bottom w:val="nil"/>
              <w:right w:val="nil"/>
            </w:tcBorders>
            <w:shd w:val="clear" w:color="auto" w:fill="auto"/>
            <w:noWrap/>
            <w:vAlign w:val="bottom"/>
            <w:hideMark/>
          </w:tcPr>
          <w:p w14:paraId="3FB74BF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659" w:type="dxa"/>
            <w:tcBorders>
              <w:top w:val="nil"/>
              <w:left w:val="nil"/>
              <w:bottom w:val="nil"/>
              <w:right w:val="nil"/>
            </w:tcBorders>
            <w:shd w:val="clear" w:color="auto" w:fill="auto"/>
            <w:noWrap/>
            <w:vAlign w:val="bottom"/>
            <w:hideMark/>
          </w:tcPr>
          <w:p w14:paraId="75EA269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916" w:type="dxa"/>
            <w:tcBorders>
              <w:top w:val="nil"/>
              <w:left w:val="nil"/>
              <w:bottom w:val="nil"/>
              <w:right w:val="nil"/>
            </w:tcBorders>
            <w:shd w:val="clear" w:color="auto" w:fill="auto"/>
            <w:noWrap/>
            <w:vAlign w:val="bottom"/>
            <w:hideMark/>
          </w:tcPr>
          <w:p w14:paraId="32D80D6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149 </w:t>
            </w:r>
          </w:p>
        </w:tc>
        <w:tc>
          <w:tcPr>
            <w:tcW w:w="1297" w:type="dxa"/>
            <w:tcBorders>
              <w:top w:val="nil"/>
              <w:left w:val="nil"/>
              <w:bottom w:val="nil"/>
              <w:right w:val="nil"/>
            </w:tcBorders>
            <w:shd w:val="clear" w:color="auto" w:fill="auto"/>
            <w:noWrap/>
            <w:vAlign w:val="bottom"/>
            <w:hideMark/>
          </w:tcPr>
          <w:p w14:paraId="258632D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285 </w:t>
            </w:r>
          </w:p>
        </w:tc>
        <w:tc>
          <w:tcPr>
            <w:tcW w:w="1180" w:type="dxa"/>
            <w:tcBorders>
              <w:top w:val="nil"/>
              <w:left w:val="nil"/>
              <w:bottom w:val="nil"/>
              <w:right w:val="nil"/>
            </w:tcBorders>
            <w:shd w:val="clear" w:color="auto" w:fill="auto"/>
            <w:noWrap/>
            <w:vAlign w:val="bottom"/>
            <w:hideMark/>
          </w:tcPr>
          <w:p w14:paraId="2859D5A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1.91 </w:t>
            </w:r>
          </w:p>
        </w:tc>
      </w:tr>
      <w:tr w:rsidR="00AC362E" w:rsidRPr="00257F87" w14:paraId="76BEA76F" w14:textId="77777777" w:rsidTr="00ED0631">
        <w:trPr>
          <w:trHeight w:val="315"/>
        </w:trPr>
        <w:tc>
          <w:tcPr>
            <w:tcW w:w="1791" w:type="dxa"/>
            <w:tcBorders>
              <w:top w:val="nil"/>
              <w:left w:val="nil"/>
              <w:bottom w:val="nil"/>
              <w:right w:val="nil"/>
            </w:tcBorders>
            <w:shd w:val="clear" w:color="auto" w:fill="auto"/>
            <w:noWrap/>
            <w:vAlign w:val="bottom"/>
            <w:hideMark/>
          </w:tcPr>
          <w:p w14:paraId="56D6A5A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Tamana</w:t>
            </w:r>
          </w:p>
        </w:tc>
        <w:tc>
          <w:tcPr>
            <w:tcW w:w="691" w:type="dxa"/>
            <w:tcBorders>
              <w:top w:val="nil"/>
              <w:left w:val="nil"/>
              <w:bottom w:val="nil"/>
              <w:right w:val="nil"/>
            </w:tcBorders>
            <w:shd w:val="clear" w:color="auto" w:fill="auto"/>
            <w:noWrap/>
            <w:vAlign w:val="bottom"/>
            <w:hideMark/>
          </w:tcPr>
          <w:p w14:paraId="039D073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36 </w:t>
            </w:r>
          </w:p>
        </w:tc>
        <w:tc>
          <w:tcPr>
            <w:tcW w:w="659" w:type="dxa"/>
            <w:tcBorders>
              <w:top w:val="nil"/>
              <w:left w:val="nil"/>
              <w:bottom w:val="nil"/>
              <w:right w:val="nil"/>
            </w:tcBorders>
            <w:shd w:val="clear" w:color="auto" w:fill="auto"/>
            <w:noWrap/>
            <w:vAlign w:val="bottom"/>
            <w:hideMark/>
          </w:tcPr>
          <w:p w14:paraId="3A2A171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 </w:t>
            </w:r>
          </w:p>
        </w:tc>
        <w:tc>
          <w:tcPr>
            <w:tcW w:w="532" w:type="dxa"/>
            <w:tcBorders>
              <w:top w:val="nil"/>
              <w:left w:val="nil"/>
              <w:bottom w:val="nil"/>
              <w:right w:val="nil"/>
            </w:tcBorders>
            <w:shd w:val="clear" w:color="auto" w:fill="auto"/>
            <w:noWrap/>
            <w:vAlign w:val="bottom"/>
            <w:hideMark/>
          </w:tcPr>
          <w:p w14:paraId="7BC4352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532" w:type="dxa"/>
            <w:tcBorders>
              <w:top w:val="nil"/>
              <w:left w:val="nil"/>
              <w:bottom w:val="nil"/>
              <w:right w:val="nil"/>
            </w:tcBorders>
            <w:shd w:val="clear" w:color="auto" w:fill="auto"/>
            <w:noWrap/>
            <w:vAlign w:val="bottom"/>
            <w:hideMark/>
          </w:tcPr>
          <w:p w14:paraId="3137FFAC"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419" w:type="dxa"/>
            <w:tcBorders>
              <w:top w:val="nil"/>
              <w:left w:val="nil"/>
              <w:bottom w:val="nil"/>
              <w:right w:val="nil"/>
            </w:tcBorders>
            <w:shd w:val="clear" w:color="auto" w:fill="auto"/>
            <w:noWrap/>
            <w:vAlign w:val="bottom"/>
            <w:hideMark/>
          </w:tcPr>
          <w:p w14:paraId="4C582F8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659" w:type="dxa"/>
            <w:tcBorders>
              <w:top w:val="nil"/>
              <w:left w:val="nil"/>
              <w:bottom w:val="nil"/>
              <w:right w:val="nil"/>
            </w:tcBorders>
            <w:shd w:val="clear" w:color="auto" w:fill="auto"/>
            <w:noWrap/>
            <w:vAlign w:val="bottom"/>
            <w:hideMark/>
          </w:tcPr>
          <w:p w14:paraId="6E24BAF7"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916" w:type="dxa"/>
            <w:tcBorders>
              <w:top w:val="nil"/>
              <w:left w:val="nil"/>
              <w:bottom w:val="nil"/>
              <w:right w:val="nil"/>
            </w:tcBorders>
            <w:shd w:val="clear" w:color="auto" w:fill="auto"/>
            <w:noWrap/>
            <w:vAlign w:val="bottom"/>
            <w:hideMark/>
          </w:tcPr>
          <w:p w14:paraId="12257CE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47 </w:t>
            </w:r>
          </w:p>
        </w:tc>
        <w:tc>
          <w:tcPr>
            <w:tcW w:w="1297" w:type="dxa"/>
            <w:tcBorders>
              <w:top w:val="nil"/>
              <w:left w:val="nil"/>
              <w:bottom w:val="nil"/>
              <w:right w:val="nil"/>
            </w:tcBorders>
            <w:shd w:val="clear" w:color="auto" w:fill="auto"/>
            <w:noWrap/>
            <w:vAlign w:val="bottom"/>
            <w:hideMark/>
          </w:tcPr>
          <w:p w14:paraId="4335AEC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66 </w:t>
            </w:r>
          </w:p>
        </w:tc>
        <w:tc>
          <w:tcPr>
            <w:tcW w:w="1180" w:type="dxa"/>
            <w:tcBorders>
              <w:top w:val="nil"/>
              <w:left w:val="nil"/>
              <w:bottom w:val="nil"/>
              <w:right w:val="nil"/>
            </w:tcBorders>
            <w:shd w:val="clear" w:color="auto" w:fill="auto"/>
            <w:noWrap/>
            <w:vAlign w:val="bottom"/>
            <w:hideMark/>
          </w:tcPr>
          <w:p w14:paraId="7D7E70E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1.40 </w:t>
            </w:r>
          </w:p>
        </w:tc>
      </w:tr>
      <w:tr w:rsidR="00AC362E" w:rsidRPr="00257F87" w14:paraId="56B0ACC6" w14:textId="77777777" w:rsidTr="00ED0631">
        <w:trPr>
          <w:trHeight w:val="315"/>
        </w:trPr>
        <w:tc>
          <w:tcPr>
            <w:tcW w:w="1791" w:type="dxa"/>
            <w:tcBorders>
              <w:top w:val="single" w:sz="4" w:space="0" w:color="auto"/>
              <w:left w:val="nil"/>
              <w:bottom w:val="single" w:sz="4" w:space="0" w:color="auto"/>
              <w:right w:val="nil"/>
            </w:tcBorders>
            <w:shd w:val="clear" w:color="auto" w:fill="auto"/>
            <w:noWrap/>
            <w:vAlign w:val="bottom"/>
            <w:hideMark/>
          </w:tcPr>
          <w:p w14:paraId="0B2A32D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p>
        </w:tc>
        <w:tc>
          <w:tcPr>
            <w:tcW w:w="691" w:type="dxa"/>
            <w:tcBorders>
              <w:top w:val="single" w:sz="4" w:space="0" w:color="auto"/>
              <w:left w:val="nil"/>
              <w:bottom w:val="single" w:sz="4" w:space="0" w:color="auto"/>
              <w:right w:val="nil"/>
            </w:tcBorders>
            <w:shd w:val="clear" w:color="auto" w:fill="auto"/>
            <w:noWrap/>
            <w:vAlign w:val="bottom"/>
            <w:hideMark/>
          </w:tcPr>
          <w:p w14:paraId="6CEDB3D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233 </w:t>
            </w:r>
          </w:p>
        </w:tc>
        <w:tc>
          <w:tcPr>
            <w:tcW w:w="659" w:type="dxa"/>
            <w:tcBorders>
              <w:top w:val="single" w:sz="4" w:space="0" w:color="auto"/>
              <w:left w:val="nil"/>
              <w:bottom w:val="single" w:sz="4" w:space="0" w:color="auto"/>
              <w:right w:val="nil"/>
            </w:tcBorders>
            <w:shd w:val="clear" w:color="auto" w:fill="auto"/>
            <w:noWrap/>
            <w:vAlign w:val="bottom"/>
            <w:hideMark/>
          </w:tcPr>
          <w:p w14:paraId="7618B5A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204 </w:t>
            </w:r>
          </w:p>
        </w:tc>
        <w:tc>
          <w:tcPr>
            <w:tcW w:w="532" w:type="dxa"/>
            <w:tcBorders>
              <w:top w:val="single" w:sz="4" w:space="0" w:color="auto"/>
              <w:left w:val="nil"/>
              <w:bottom w:val="single" w:sz="4" w:space="0" w:color="auto"/>
              <w:right w:val="nil"/>
            </w:tcBorders>
            <w:shd w:val="clear" w:color="auto" w:fill="auto"/>
            <w:noWrap/>
            <w:vAlign w:val="bottom"/>
            <w:hideMark/>
          </w:tcPr>
          <w:p w14:paraId="2CFE191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88 </w:t>
            </w:r>
          </w:p>
        </w:tc>
        <w:tc>
          <w:tcPr>
            <w:tcW w:w="532" w:type="dxa"/>
            <w:tcBorders>
              <w:top w:val="single" w:sz="4" w:space="0" w:color="auto"/>
              <w:left w:val="nil"/>
              <w:bottom w:val="single" w:sz="4" w:space="0" w:color="auto"/>
              <w:right w:val="nil"/>
            </w:tcBorders>
            <w:shd w:val="clear" w:color="auto" w:fill="auto"/>
            <w:noWrap/>
            <w:vAlign w:val="bottom"/>
            <w:hideMark/>
          </w:tcPr>
          <w:p w14:paraId="2B157B9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32 </w:t>
            </w:r>
          </w:p>
        </w:tc>
        <w:tc>
          <w:tcPr>
            <w:tcW w:w="419" w:type="dxa"/>
            <w:tcBorders>
              <w:top w:val="single" w:sz="4" w:space="0" w:color="auto"/>
              <w:left w:val="nil"/>
              <w:bottom w:val="single" w:sz="4" w:space="0" w:color="auto"/>
              <w:right w:val="nil"/>
            </w:tcBorders>
            <w:shd w:val="clear" w:color="auto" w:fill="auto"/>
            <w:noWrap/>
            <w:vAlign w:val="bottom"/>
            <w:hideMark/>
          </w:tcPr>
          <w:p w14:paraId="72325F4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12 </w:t>
            </w:r>
          </w:p>
        </w:tc>
        <w:tc>
          <w:tcPr>
            <w:tcW w:w="659" w:type="dxa"/>
            <w:tcBorders>
              <w:top w:val="single" w:sz="4" w:space="0" w:color="auto"/>
              <w:left w:val="nil"/>
              <w:bottom w:val="single" w:sz="4" w:space="0" w:color="auto"/>
              <w:right w:val="nil"/>
            </w:tcBorders>
            <w:shd w:val="clear" w:color="auto" w:fill="auto"/>
            <w:noWrap/>
            <w:vAlign w:val="bottom"/>
            <w:hideMark/>
          </w:tcPr>
          <w:p w14:paraId="117F60A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916" w:type="dxa"/>
            <w:tcBorders>
              <w:top w:val="single" w:sz="4" w:space="0" w:color="auto"/>
              <w:left w:val="nil"/>
              <w:bottom w:val="single" w:sz="4" w:space="0" w:color="auto"/>
              <w:right w:val="nil"/>
            </w:tcBorders>
            <w:shd w:val="clear" w:color="auto" w:fill="auto"/>
            <w:noWrap/>
            <w:vAlign w:val="bottom"/>
            <w:hideMark/>
          </w:tcPr>
          <w:p w14:paraId="5EAB790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572 </w:t>
            </w:r>
          </w:p>
        </w:tc>
        <w:tc>
          <w:tcPr>
            <w:tcW w:w="1297" w:type="dxa"/>
            <w:tcBorders>
              <w:top w:val="single" w:sz="4" w:space="0" w:color="auto"/>
              <w:left w:val="nil"/>
              <w:bottom w:val="single" w:sz="4" w:space="0" w:color="auto"/>
              <w:right w:val="nil"/>
            </w:tcBorders>
            <w:shd w:val="clear" w:color="auto" w:fill="auto"/>
            <w:noWrap/>
            <w:vAlign w:val="bottom"/>
            <w:hideMark/>
          </w:tcPr>
          <w:p w14:paraId="734EC84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1,111 </w:t>
            </w:r>
          </w:p>
        </w:tc>
        <w:tc>
          <w:tcPr>
            <w:tcW w:w="1180" w:type="dxa"/>
            <w:tcBorders>
              <w:top w:val="single" w:sz="4" w:space="0" w:color="auto"/>
              <w:left w:val="nil"/>
              <w:bottom w:val="single" w:sz="4" w:space="0" w:color="auto"/>
              <w:right w:val="nil"/>
            </w:tcBorders>
            <w:shd w:val="clear" w:color="auto" w:fill="auto"/>
            <w:noWrap/>
            <w:vAlign w:val="bottom"/>
            <w:hideMark/>
          </w:tcPr>
          <w:p w14:paraId="3066114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1.94 </w:t>
            </w:r>
          </w:p>
        </w:tc>
      </w:tr>
    </w:tbl>
    <w:p w14:paraId="52E110AE" w14:textId="77777777" w:rsidR="00AC362E" w:rsidRPr="0084107D" w:rsidRDefault="00AC362E" w:rsidP="00ED0631">
      <w:r w:rsidRPr="0084107D">
        <w:br w:type="page"/>
      </w:r>
    </w:p>
    <w:p w14:paraId="1F49BA81" w14:textId="23F824B6" w:rsidR="00AC362E" w:rsidRPr="00257F87"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257F87">
        <w:rPr>
          <w:rFonts w:asciiTheme="majorHAnsi" w:eastAsia="Times New Roman" w:hAnsiTheme="majorHAnsi" w:cstheme="majorHAnsi"/>
          <w:b/>
          <w:color w:val="000000"/>
          <w:lang w:eastAsia="en-AU"/>
        </w:rPr>
        <w:lastRenderedPageBreak/>
        <w:t xml:space="preserve">Table 1b: Average number of children in each </w:t>
      </w:r>
      <w:r w:rsidR="00257F87">
        <w:rPr>
          <w:rFonts w:asciiTheme="majorHAnsi" w:eastAsia="Times New Roman" w:hAnsiTheme="majorHAnsi" w:cstheme="majorHAnsi"/>
          <w:b/>
          <w:color w:val="000000"/>
          <w:lang w:eastAsia="en-AU"/>
        </w:rPr>
        <w:t>h</w:t>
      </w:r>
      <w:r w:rsidRPr="00257F87">
        <w:rPr>
          <w:rFonts w:asciiTheme="majorHAnsi" w:eastAsia="Times New Roman" w:hAnsiTheme="majorHAnsi" w:cstheme="majorHAnsi"/>
          <w:b/>
          <w:color w:val="000000"/>
          <w:lang w:eastAsia="en-AU"/>
        </w:rPr>
        <w:t>ousehold</w:t>
      </w:r>
    </w:p>
    <w:tbl>
      <w:tblPr>
        <w:tblW w:w="10709" w:type="dxa"/>
        <w:tblInd w:w="93" w:type="dxa"/>
        <w:tblLook w:val="04A0" w:firstRow="1" w:lastRow="0" w:firstColumn="1" w:lastColumn="0" w:noHBand="0" w:noVBand="1"/>
      </w:tblPr>
      <w:tblGrid>
        <w:gridCol w:w="1480"/>
        <w:gridCol w:w="1480"/>
        <w:gridCol w:w="662"/>
        <w:gridCol w:w="708"/>
        <w:gridCol w:w="709"/>
        <w:gridCol w:w="709"/>
        <w:gridCol w:w="709"/>
        <w:gridCol w:w="567"/>
        <w:gridCol w:w="1134"/>
        <w:gridCol w:w="1417"/>
        <w:gridCol w:w="1134"/>
      </w:tblGrid>
      <w:tr w:rsidR="00AC362E" w:rsidRPr="00257F87" w14:paraId="051F72C3" w14:textId="77777777" w:rsidTr="00ED0631">
        <w:trPr>
          <w:trHeight w:val="315"/>
        </w:trPr>
        <w:tc>
          <w:tcPr>
            <w:tcW w:w="1480" w:type="dxa"/>
            <w:tcBorders>
              <w:top w:val="single" w:sz="4" w:space="0" w:color="auto"/>
              <w:left w:val="nil"/>
              <w:bottom w:val="single" w:sz="4" w:space="0" w:color="auto"/>
              <w:right w:val="nil"/>
            </w:tcBorders>
            <w:vAlign w:val="bottom"/>
          </w:tcPr>
          <w:p w14:paraId="6A84B1CA" w14:textId="77777777" w:rsidR="00AC362E" w:rsidRPr="00257F87" w:rsidRDefault="00AC362E" w:rsidP="00ED0631">
            <w:pPr>
              <w:spacing w:after="0"/>
              <w:rPr>
                <w:rFonts w:asciiTheme="majorHAnsi" w:eastAsia="Times New Roman" w:hAnsiTheme="majorHAnsi" w:cstheme="majorHAnsi"/>
                <w:b/>
                <w:bCs/>
                <w:color w:val="000000"/>
                <w:lang w:eastAsia="en-AU"/>
              </w:rPr>
            </w:pPr>
          </w:p>
        </w:tc>
        <w:tc>
          <w:tcPr>
            <w:tcW w:w="1480" w:type="dxa"/>
            <w:tcBorders>
              <w:top w:val="single" w:sz="4" w:space="0" w:color="auto"/>
              <w:left w:val="nil"/>
              <w:bottom w:val="single" w:sz="4" w:space="0" w:color="auto"/>
              <w:right w:val="nil"/>
            </w:tcBorders>
            <w:shd w:val="clear" w:color="auto" w:fill="auto"/>
            <w:noWrap/>
            <w:vAlign w:val="bottom"/>
            <w:hideMark/>
          </w:tcPr>
          <w:p w14:paraId="7FA584CB" w14:textId="77777777" w:rsidR="00AC362E" w:rsidRPr="00257F87" w:rsidRDefault="00AC362E" w:rsidP="00ED0631">
            <w:pPr>
              <w:spacing w:after="0"/>
              <w:rPr>
                <w:rFonts w:asciiTheme="majorHAnsi" w:eastAsia="Times New Roman" w:hAnsiTheme="majorHAnsi" w:cstheme="majorHAnsi"/>
                <w:b/>
                <w:bCs/>
                <w:color w:val="000000"/>
                <w:lang w:eastAsia="en-AU"/>
              </w:rPr>
            </w:pPr>
            <w:r w:rsidRPr="00257F87">
              <w:rPr>
                <w:rFonts w:asciiTheme="majorHAnsi" w:eastAsia="Times New Roman" w:hAnsiTheme="majorHAnsi" w:cstheme="majorHAnsi"/>
                <w:b/>
                <w:bCs/>
                <w:color w:val="000000"/>
                <w:lang w:eastAsia="en-AU"/>
              </w:rPr>
              <w:t>Weighted</w:t>
            </w:r>
            <w:r w:rsidRPr="00257F87">
              <w:rPr>
                <w:rFonts w:asciiTheme="majorHAnsi" w:eastAsia="Times New Roman" w:hAnsiTheme="majorHAnsi" w:cstheme="majorHAnsi"/>
                <w:b/>
                <w:bCs/>
                <w:color w:val="000000"/>
                <w:vertAlign w:val="superscript"/>
                <w:lang w:eastAsia="en-AU"/>
              </w:rPr>
              <w:footnoteReference w:id="49"/>
            </w:r>
          </w:p>
        </w:tc>
        <w:tc>
          <w:tcPr>
            <w:tcW w:w="662" w:type="dxa"/>
            <w:tcBorders>
              <w:top w:val="single" w:sz="4" w:space="0" w:color="auto"/>
              <w:left w:val="nil"/>
              <w:bottom w:val="single" w:sz="4" w:space="0" w:color="auto"/>
              <w:right w:val="nil"/>
            </w:tcBorders>
            <w:shd w:val="clear" w:color="auto" w:fill="auto"/>
            <w:noWrap/>
            <w:vAlign w:val="bottom"/>
            <w:hideMark/>
          </w:tcPr>
          <w:p w14:paraId="0BE46DF7" w14:textId="77777777" w:rsidR="00AC362E" w:rsidRPr="00257F87" w:rsidRDefault="00AC362E" w:rsidP="00ED0631">
            <w:pPr>
              <w:spacing w:after="0"/>
              <w:rPr>
                <w:rFonts w:asciiTheme="majorHAnsi" w:eastAsia="Times New Roman" w:hAnsiTheme="majorHAnsi" w:cstheme="majorHAnsi"/>
                <w:b/>
                <w:bCs/>
                <w:color w:val="000000"/>
                <w:lang w:eastAsia="en-AU"/>
              </w:rPr>
            </w:pPr>
            <w:r w:rsidRPr="00257F87">
              <w:rPr>
                <w:rFonts w:asciiTheme="majorHAnsi" w:eastAsia="Times New Roman" w:hAnsiTheme="majorHAnsi" w:cstheme="majorHAnsi"/>
                <w:b/>
                <w:bCs/>
                <w:color w:val="000000"/>
                <w:lang w:eastAsia="en-AU"/>
              </w:rPr>
              <w:t> </w:t>
            </w:r>
          </w:p>
        </w:tc>
        <w:tc>
          <w:tcPr>
            <w:tcW w:w="708" w:type="dxa"/>
            <w:tcBorders>
              <w:top w:val="single" w:sz="4" w:space="0" w:color="auto"/>
              <w:left w:val="nil"/>
              <w:bottom w:val="single" w:sz="4" w:space="0" w:color="auto"/>
              <w:right w:val="nil"/>
            </w:tcBorders>
            <w:shd w:val="clear" w:color="auto" w:fill="auto"/>
            <w:noWrap/>
            <w:vAlign w:val="bottom"/>
            <w:hideMark/>
          </w:tcPr>
          <w:p w14:paraId="555B46E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709" w:type="dxa"/>
            <w:tcBorders>
              <w:top w:val="single" w:sz="4" w:space="0" w:color="auto"/>
              <w:left w:val="nil"/>
              <w:bottom w:val="single" w:sz="4" w:space="0" w:color="auto"/>
              <w:right w:val="nil"/>
            </w:tcBorders>
            <w:shd w:val="clear" w:color="auto" w:fill="auto"/>
            <w:noWrap/>
            <w:vAlign w:val="bottom"/>
            <w:hideMark/>
          </w:tcPr>
          <w:p w14:paraId="29BC62F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709" w:type="dxa"/>
            <w:tcBorders>
              <w:top w:val="single" w:sz="4" w:space="0" w:color="auto"/>
              <w:left w:val="nil"/>
              <w:bottom w:val="single" w:sz="4" w:space="0" w:color="auto"/>
              <w:right w:val="nil"/>
            </w:tcBorders>
            <w:shd w:val="clear" w:color="auto" w:fill="auto"/>
            <w:noWrap/>
            <w:vAlign w:val="bottom"/>
            <w:hideMark/>
          </w:tcPr>
          <w:p w14:paraId="3B2D5D0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709" w:type="dxa"/>
            <w:tcBorders>
              <w:top w:val="single" w:sz="4" w:space="0" w:color="auto"/>
              <w:left w:val="nil"/>
              <w:bottom w:val="single" w:sz="4" w:space="0" w:color="auto"/>
              <w:right w:val="nil"/>
            </w:tcBorders>
            <w:shd w:val="clear" w:color="auto" w:fill="auto"/>
            <w:noWrap/>
            <w:vAlign w:val="bottom"/>
            <w:hideMark/>
          </w:tcPr>
          <w:p w14:paraId="56575B7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567" w:type="dxa"/>
            <w:tcBorders>
              <w:top w:val="single" w:sz="4" w:space="0" w:color="auto"/>
              <w:left w:val="nil"/>
              <w:bottom w:val="single" w:sz="4" w:space="0" w:color="auto"/>
              <w:right w:val="nil"/>
            </w:tcBorders>
            <w:shd w:val="clear" w:color="auto" w:fill="auto"/>
            <w:noWrap/>
            <w:vAlign w:val="bottom"/>
            <w:hideMark/>
          </w:tcPr>
          <w:p w14:paraId="705DCB3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134" w:type="dxa"/>
            <w:tcBorders>
              <w:top w:val="single" w:sz="4" w:space="0" w:color="auto"/>
              <w:left w:val="nil"/>
              <w:bottom w:val="single" w:sz="4" w:space="0" w:color="auto"/>
              <w:right w:val="nil"/>
            </w:tcBorders>
            <w:shd w:val="clear" w:color="auto" w:fill="auto"/>
            <w:noWrap/>
            <w:vAlign w:val="bottom"/>
            <w:hideMark/>
          </w:tcPr>
          <w:p w14:paraId="5949B9A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417" w:type="dxa"/>
            <w:tcBorders>
              <w:top w:val="single" w:sz="4" w:space="0" w:color="auto"/>
              <w:left w:val="nil"/>
              <w:bottom w:val="single" w:sz="4" w:space="0" w:color="auto"/>
              <w:right w:val="nil"/>
            </w:tcBorders>
            <w:shd w:val="clear" w:color="auto" w:fill="auto"/>
            <w:noWrap/>
            <w:vAlign w:val="bottom"/>
            <w:hideMark/>
          </w:tcPr>
          <w:p w14:paraId="7C64DA6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134" w:type="dxa"/>
            <w:tcBorders>
              <w:top w:val="single" w:sz="4" w:space="0" w:color="auto"/>
              <w:left w:val="nil"/>
              <w:bottom w:val="single" w:sz="4" w:space="0" w:color="auto"/>
              <w:right w:val="nil"/>
            </w:tcBorders>
            <w:shd w:val="clear" w:color="auto" w:fill="auto"/>
            <w:noWrap/>
            <w:vAlign w:val="bottom"/>
            <w:hideMark/>
          </w:tcPr>
          <w:p w14:paraId="441C1A0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r>
      <w:tr w:rsidR="00AC362E" w:rsidRPr="00257F87" w14:paraId="1DC6B6A2" w14:textId="77777777" w:rsidTr="00ED0631">
        <w:trPr>
          <w:trHeight w:val="315"/>
        </w:trPr>
        <w:tc>
          <w:tcPr>
            <w:tcW w:w="1480" w:type="dxa"/>
            <w:tcBorders>
              <w:top w:val="nil"/>
              <w:left w:val="nil"/>
              <w:bottom w:val="single" w:sz="4" w:space="0" w:color="auto"/>
              <w:right w:val="nil"/>
            </w:tcBorders>
            <w:vAlign w:val="bottom"/>
          </w:tcPr>
          <w:p w14:paraId="22824BC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 in each HH</w:t>
            </w:r>
          </w:p>
        </w:tc>
        <w:tc>
          <w:tcPr>
            <w:tcW w:w="1480" w:type="dxa"/>
            <w:tcBorders>
              <w:top w:val="nil"/>
              <w:left w:val="nil"/>
              <w:bottom w:val="single" w:sz="4" w:space="0" w:color="auto"/>
              <w:right w:val="nil"/>
            </w:tcBorders>
            <w:shd w:val="clear" w:color="auto" w:fill="auto"/>
            <w:noWrap/>
            <w:vAlign w:val="bottom"/>
            <w:hideMark/>
          </w:tcPr>
          <w:p w14:paraId="7BA0E55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Adjustment </w:t>
            </w:r>
          </w:p>
        </w:tc>
        <w:tc>
          <w:tcPr>
            <w:tcW w:w="662" w:type="dxa"/>
            <w:tcBorders>
              <w:top w:val="nil"/>
              <w:left w:val="nil"/>
              <w:bottom w:val="single" w:sz="4" w:space="0" w:color="auto"/>
              <w:right w:val="nil"/>
            </w:tcBorders>
            <w:shd w:val="clear" w:color="auto" w:fill="auto"/>
            <w:noWrap/>
            <w:vAlign w:val="bottom"/>
            <w:hideMark/>
          </w:tcPr>
          <w:p w14:paraId="668ACCE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708" w:type="dxa"/>
            <w:tcBorders>
              <w:top w:val="nil"/>
              <w:left w:val="nil"/>
              <w:bottom w:val="single" w:sz="4" w:space="0" w:color="auto"/>
              <w:right w:val="nil"/>
            </w:tcBorders>
            <w:shd w:val="clear" w:color="auto" w:fill="auto"/>
            <w:noWrap/>
            <w:vAlign w:val="bottom"/>
            <w:hideMark/>
          </w:tcPr>
          <w:p w14:paraId="75E3069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709" w:type="dxa"/>
            <w:tcBorders>
              <w:top w:val="nil"/>
              <w:left w:val="nil"/>
              <w:bottom w:val="single" w:sz="4" w:space="0" w:color="auto"/>
              <w:right w:val="nil"/>
            </w:tcBorders>
            <w:shd w:val="clear" w:color="auto" w:fill="auto"/>
            <w:noWrap/>
            <w:vAlign w:val="bottom"/>
            <w:hideMark/>
          </w:tcPr>
          <w:p w14:paraId="2180BEC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709" w:type="dxa"/>
            <w:tcBorders>
              <w:top w:val="nil"/>
              <w:left w:val="nil"/>
              <w:bottom w:val="single" w:sz="4" w:space="0" w:color="auto"/>
              <w:right w:val="nil"/>
            </w:tcBorders>
            <w:shd w:val="clear" w:color="auto" w:fill="auto"/>
            <w:noWrap/>
            <w:vAlign w:val="bottom"/>
            <w:hideMark/>
          </w:tcPr>
          <w:p w14:paraId="6324805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709" w:type="dxa"/>
            <w:tcBorders>
              <w:top w:val="nil"/>
              <w:left w:val="nil"/>
              <w:bottom w:val="single" w:sz="4" w:space="0" w:color="auto"/>
              <w:right w:val="nil"/>
            </w:tcBorders>
            <w:shd w:val="clear" w:color="auto" w:fill="auto"/>
            <w:noWrap/>
            <w:vAlign w:val="bottom"/>
            <w:hideMark/>
          </w:tcPr>
          <w:p w14:paraId="0A5C301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567" w:type="dxa"/>
            <w:tcBorders>
              <w:top w:val="nil"/>
              <w:left w:val="nil"/>
              <w:bottom w:val="single" w:sz="4" w:space="0" w:color="auto"/>
              <w:right w:val="nil"/>
            </w:tcBorders>
            <w:shd w:val="clear" w:color="auto" w:fill="auto"/>
            <w:noWrap/>
            <w:vAlign w:val="bottom"/>
            <w:hideMark/>
          </w:tcPr>
          <w:p w14:paraId="0DAED6A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 </w:t>
            </w:r>
          </w:p>
        </w:tc>
        <w:tc>
          <w:tcPr>
            <w:tcW w:w="1134" w:type="dxa"/>
            <w:tcBorders>
              <w:top w:val="nil"/>
              <w:left w:val="nil"/>
              <w:bottom w:val="single" w:sz="4" w:space="0" w:color="auto"/>
              <w:right w:val="nil"/>
            </w:tcBorders>
            <w:shd w:val="clear" w:color="auto" w:fill="auto"/>
            <w:noWrap/>
            <w:vAlign w:val="bottom"/>
            <w:hideMark/>
          </w:tcPr>
          <w:p w14:paraId="076E7448" w14:textId="01A52606"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r w:rsidR="00257F87">
              <w:rPr>
                <w:rFonts w:asciiTheme="majorHAnsi" w:eastAsia="Times New Roman" w:hAnsiTheme="majorHAnsi" w:cstheme="majorHAnsi"/>
                <w:color w:val="000000"/>
                <w:lang w:eastAsia="en-AU"/>
              </w:rPr>
              <w:t xml:space="preserve"> </w:t>
            </w:r>
            <w:r w:rsidRPr="00257F87">
              <w:rPr>
                <w:rFonts w:asciiTheme="majorHAnsi" w:eastAsia="Times New Roman" w:hAnsiTheme="majorHAnsi" w:cstheme="majorHAnsi"/>
                <w:color w:val="000000"/>
                <w:lang w:eastAsia="en-AU"/>
              </w:rPr>
              <w:t xml:space="preserve">HH </w:t>
            </w:r>
          </w:p>
        </w:tc>
        <w:tc>
          <w:tcPr>
            <w:tcW w:w="1417" w:type="dxa"/>
            <w:tcBorders>
              <w:top w:val="nil"/>
              <w:left w:val="nil"/>
              <w:bottom w:val="single" w:sz="4" w:space="0" w:color="auto"/>
              <w:right w:val="nil"/>
            </w:tcBorders>
            <w:shd w:val="clear" w:color="auto" w:fill="auto"/>
            <w:noWrap/>
            <w:vAlign w:val="bottom"/>
            <w:hideMark/>
          </w:tcPr>
          <w:p w14:paraId="336FA1EF" w14:textId="37B067BB"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r w:rsidR="00257F87">
              <w:rPr>
                <w:rFonts w:asciiTheme="majorHAnsi" w:eastAsia="Times New Roman" w:hAnsiTheme="majorHAnsi" w:cstheme="majorHAnsi"/>
                <w:color w:val="000000"/>
                <w:lang w:eastAsia="en-AU"/>
              </w:rPr>
              <w:t xml:space="preserve"> </w:t>
            </w:r>
            <w:r w:rsidRPr="00257F87">
              <w:rPr>
                <w:rFonts w:asciiTheme="majorHAnsi" w:eastAsia="Times New Roman" w:hAnsiTheme="majorHAnsi" w:cstheme="majorHAnsi"/>
                <w:color w:val="000000"/>
                <w:lang w:eastAsia="en-AU"/>
              </w:rPr>
              <w:t xml:space="preserve">Children </w:t>
            </w:r>
          </w:p>
        </w:tc>
        <w:tc>
          <w:tcPr>
            <w:tcW w:w="1134" w:type="dxa"/>
            <w:tcBorders>
              <w:top w:val="nil"/>
              <w:left w:val="nil"/>
              <w:bottom w:val="single" w:sz="4" w:space="0" w:color="auto"/>
              <w:right w:val="nil"/>
            </w:tcBorders>
            <w:shd w:val="clear" w:color="auto" w:fill="auto"/>
            <w:noWrap/>
            <w:vAlign w:val="bottom"/>
            <w:hideMark/>
          </w:tcPr>
          <w:p w14:paraId="5CA4150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Avg. PHH </w:t>
            </w:r>
          </w:p>
        </w:tc>
      </w:tr>
      <w:tr w:rsidR="00AC362E" w:rsidRPr="00257F87" w14:paraId="57332093" w14:textId="77777777" w:rsidTr="00ED0631">
        <w:trPr>
          <w:trHeight w:val="315"/>
        </w:trPr>
        <w:tc>
          <w:tcPr>
            <w:tcW w:w="1480" w:type="dxa"/>
            <w:tcBorders>
              <w:top w:val="nil"/>
              <w:left w:val="nil"/>
              <w:bottom w:val="nil"/>
              <w:right w:val="nil"/>
            </w:tcBorders>
            <w:vAlign w:val="bottom"/>
          </w:tcPr>
          <w:p w14:paraId="6B59349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Abaiang</w:t>
            </w:r>
          </w:p>
        </w:tc>
        <w:tc>
          <w:tcPr>
            <w:tcW w:w="1480" w:type="dxa"/>
            <w:tcBorders>
              <w:top w:val="nil"/>
              <w:left w:val="nil"/>
              <w:bottom w:val="nil"/>
              <w:right w:val="nil"/>
            </w:tcBorders>
            <w:shd w:val="clear" w:color="auto" w:fill="auto"/>
            <w:noWrap/>
            <w:vAlign w:val="bottom"/>
            <w:hideMark/>
          </w:tcPr>
          <w:p w14:paraId="5842CF6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0.9472 </w:t>
            </w:r>
          </w:p>
        </w:tc>
        <w:tc>
          <w:tcPr>
            <w:tcW w:w="662" w:type="dxa"/>
            <w:tcBorders>
              <w:top w:val="nil"/>
              <w:left w:val="nil"/>
              <w:bottom w:val="nil"/>
              <w:right w:val="nil"/>
            </w:tcBorders>
            <w:shd w:val="clear" w:color="auto" w:fill="auto"/>
            <w:noWrap/>
            <w:vAlign w:val="bottom"/>
            <w:hideMark/>
          </w:tcPr>
          <w:p w14:paraId="161C9BA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20 </w:t>
            </w:r>
          </w:p>
        </w:tc>
        <w:tc>
          <w:tcPr>
            <w:tcW w:w="708" w:type="dxa"/>
            <w:tcBorders>
              <w:top w:val="nil"/>
              <w:left w:val="nil"/>
              <w:bottom w:val="nil"/>
              <w:right w:val="nil"/>
            </w:tcBorders>
            <w:shd w:val="clear" w:color="auto" w:fill="auto"/>
            <w:noWrap/>
            <w:vAlign w:val="bottom"/>
            <w:hideMark/>
          </w:tcPr>
          <w:p w14:paraId="628D518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20 </w:t>
            </w:r>
          </w:p>
        </w:tc>
        <w:tc>
          <w:tcPr>
            <w:tcW w:w="709" w:type="dxa"/>
            <w:tcBorders>
              <w:top w:val="nil"/>
              <w:left w:val="nil"/>
              <w:bottom w:val="nil"/>
              <w:right w:val="nil"/>
            </w:tcBorders>
            <w:shd w:val="clear" w:color="auto" w:fill="auto"/>
            <w:noWrap/>
            <w:vAlign w:val="bottom"/>
            <w:hideMark/>
          </w:tcPr>
          <w:p w14:paraId="627E8B4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709" w:type="dxa"/>
            <w:tcBorders>
              <w:top w:val="nil"/>
              <w:left w:val="nil"/>
              <w:bottom w:val="nil"/>
              <w:right w:val="nil"/>
            </w:tcBorders>
            <w:shd w:val="clear" w:color="auto" w:fill="auto"/>
            <w:noWrap/>
            <w:vAlign w:val="bottom"/>
            <w:hideMark/>
          </w:tcPr>
          <w:p w14:paraId="2BB202B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709" w:type="dxa"/>
            <w:tcBorders>
              <w:top w:val="nil"/>
              <w:left w:val="nil"/>
              <w:bottom w:val="nil"/>
              <w:right w:val="nil"/>
            </w:tcBorders>
            <w:shd w:val="clear" w:color="auto" w:fill="auto"/>
            <w:noWrap/>
            <w:vAlign w:val="bottom"/>
            <w:hideMark/>
          </w:tcPr>
          <w:p w14:paraId="671E7A0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567" w:type="dxa"/>
            <w:tcBorders>
              <w:top w:val="nil"/>
              <w:left w:val="nil"/>
              <w:bottom w:val="nil"/>
              <w:right w:val="nil"/>
            </w:tcBorders>
            <w:shd w:val="clear" w:color="auto" w:fill="auto"/>
            <w:noWrap/>
            <w:vAlign w:val="bottom"/>
            <w:hideMark/>
          </w:tcPr>
          <w:p w14:paraId="173D033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1AB11B3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52 </w:t>
            </w:r>
          </w:p>
        </w:tc>
        <w:tc>
          <w:tcPr>
            <w:tcW w:w="1417" w:type="dxa"/>
            <w:tcBorders>
              <w:top w:val="nil"/>
              <w:left w:val="nil"/>
              <w:bottom w:val="nil"/>
              <w:right w:val="nil"/>
            </w:tcBorders>
            <w:shd w:val="clear" w:color="auto" w:fill="auto"/>
            <w:noWrap/>
            <w:vAlign w:val="bottom"/>
            <w:hideMark/>
          </w:tcPr>
          <w:p w14:paraId="176CE1D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102 </w:t>
            </w:r>
          </w:p>
        </w:tc>
        <w:tc>
          <w:tcPr>
            <w:tcW w:w="1134" w:type="dxa"/>
            <w:tcBorders>
              <w:top w:val="nil"/>
              <w:left w:val="nil"/>
              <w:bottom w:val="nil"/>
              <w:right w:val="nil"/>
            </w:tcBorders>
            <w:shd w:val="clear" w:color="auto" w:fill="auto"/>
            <w:noWrap/>
            <w:vAlign w:val="bottom"/>
            <w:hideMark/>
          </w:tcPr>
          <w:p w14:paraId="4720FA6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1.96 </w:t>
            </w:r>
          </w:p>
        </w:tc>
      </w:tr>
      <w:tr w:rsidR="00AC362E" w:rsidRPr="00257F87" w14:paraId="0D9D4557" w14:textId="77777777" w:rsidTr="00ED0631">
        <w:trPr>
          <w:trHeight w:val="315"/>
        </w:trPr>
        <w:tc>
          <w:tcPr>
            <w:tcW w:w="1480" w:type="dxa"/>
            <w:tcBorders>
              <w:top w:val="nil"/>
              <w:left w:val="nil"/>
              <w:bottom w:val="nil"/>
              <w:right w:val="nil"/>
            </w:tcBorders>
            <w:vAlign w:val="bottom"/>
          </w:tcPr>
          <w:p w14:paraId="5F759B7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Butaritari</w:t>
            </w:r>
          </w:p>
        </w:tc>
        <w:tc>
          <w:tcPr>
            <w:tcW w:w="1480" w:type="dxa"/>
            <w:tcBorders>
              <w:top w:val="nil"/>
              <w:left w:val="nil"/>
              <w:bottom w:val="nil"/>
              <w:right w:val="nil"/>
            </w:tcBorders>
            <w:shd w:val="clear" w:color="auto" w:fill="auto"/>
            <w:noWrap/>
            <w:vAlign w:val="bottom"/>
            <w:hideMark/>
          </w:tcPr>
          <w:p w14:paraId="3DDA0BE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0.6111 </w:t>
            </w:r>
          </w:p>
        </w:tc>
        <w:tc>
          <w:tcPr>
            <w:tcW w:w="662" w:type="dxa"/>
            <w:tcBorders>
              <w:top w:val="nil"/>
              <w:left w:val="nil"/>
              <w:bottom w:val="nil"/>
              <w:right w:val="nil"/>
            </w:tcBorders>
            <w:shd w:val="clear" w:color="auto" w:fill="auto"/>
            <w:noWrap/>
            <w:vAlign w:val="bottom"/>
            <w:hideMark/>
          </w:tcPr>
          <w:p w14:paraId="7108924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16 </w:t>
            </w:r>
          </w:p>
        </w:tc>
        <w:tc>
          <w:tcPr>
            <w:tcW w:w="708" w:type="dxa"/>
            <w:tcBorders>
              <w:top w:val="nil"/>
              <w:left w:val="nil"/>
              <w:bottom w:val="nil"/>
              <w:right w:val="nil"/>
            </w:tcBorders>
            <w:shd w:val="clear" w:color="auto" w:fill="auto"/>
            <w:noWrap/>
            <w:vAlign w:val="bottom"/>
            <w:hideMark/>
          </w:tcPr>
          <w:p w14:paraId="70E0D8C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13 </w:t>
            </w:r>
          </w:p>
        </w:tc>
        <w:tc>
          <w:tcPr>
            <w:tcW w:w="709" w:type="dxa"/>
            <w:tcBorders>
              <w:top w:val="nil"/>
              <w:left w:val="nil"/>
              <w:bottom w:val="nil"/>
              <w:right w:val="nil"/>
            </w:tcBorders>
            <w:shd w:val="clear" w:color="auto" w:fill="auto"/>
            <w:noWrap/>
            <w:vAlign w:val="bottom"/>
            <w:hideMark/>
          </w:tcPr>
          <w:p w14:paraId="7CE9379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709" w:type="dxa"/>
            <w:tcBorders>
              <w:top w:val="nil"/>
              <w:left w:val="nil"/>
              <w:bottom w:val="nil"/>
              <w:right w:val="nil"/>
            </w:tcBorders>
            <w:shd w:val="clear" w:color="auto" w:fill="auto"/>
            <w:noWrap/>
            <w:vAlign w:val="bottom"/>
            <w:hideMark/>
          </w:tcPr>
          <w:p w14:paraId="1A075C7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709" w:type="dxa"/>
            <w:tcBorders>
              <w:top w:val="nil"/>
              <w:left w:val="nil"/>
              <w:bottom w:val="nil"/>
              <w:right w:val="nil"/>
            </w:tcBorders>
            <w:shd w:val="clear" w:color="auto" w:fill="auto"/>
            <w:noWrap/>
            <w:vAlign w:val="bottom"/>
            <w:hideMark/>
          </w:tcPr>
          <w:p w14:paraId="2773711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567" w:type="dxa"/>
            <w:tcBorders>
              <w:top w:val="nil"/>
              <w:left w:val="nil"/>
              <w:bottom w:val="nil"/>
              <w:right w:val="nil"/>
            </w:tcBorders>
            <w:shd w:val="clear" w:color="auto" w:fill="auto"/>
            <w:noWrap/>
            <w:vAlign w:val="bottom"/>
            <w:hideMark/>
          </w:tcPr>
          <w:p w14:paraId="12C63EB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134" w:type="dxa"/>
            <w:tcBorders>
              <w:top w:val="nil"/>
              <w:left w:val="nil"/>
              <w:bottom w:val="nil"/>
              <w:right w:val="nil"/>
            </w:tcBorders>
            <w:shd w:val="clear" w:color="auto" w:fill="auto"/>
            <w:noWrap/>
            <w:vAlign w:val="bottom"/>
            <w:hideMark/>
          </w:tcPr>
          <w:p w14:paraId="5A61F27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35 </w:t>
            </w:r>
          </w:p>
        </w:tc>
        <w:tc>
          <w:tcPr>
            <w:tcW w:w="1417" w:type="dxa"/>
            <w:tcBorders>
              <w:top w:val="nil"/>
              <w:left w:val="nil"/>
              <w:bottom w:val="nil"/>
              <w:right w:val="nil"/>
            </w:tcBorders>
            <w:shd w:val="clear" w:color="auto" w:fill="auto"/>
            <w:noWrap/>
            <w:vAlign w:val="bottom"/>
            <w:hideMark/>
          </w:tcPr>
          <w:p w14:paraId="7AA07BB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66 </w:t>
            </w:r>
          </w:p>
        </w:tc>
        <w:tc>
          <w:tcPr>
            <w:tcW w:w="1134" w:type="dxa"/>
            <w:tcBorders>
              <w:top w:val="nil"/>
              <w:left w:val="nil"/>
              <w:bottom w:val="nil"/>
              <w:right w:val="nil"/>
            </w:tcBorders>
            <w:shd w:val="clear" w:color="auto" w:fill="auto"/>
            <w:noWrap/>
            <w:vAlign w:val="bottom"/>
            <w:hideMark/>
          </w:tcPr>
          <w:p w14:paraId="79B771F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1.86 </w:t>
            </w:r>
          </w:p>
        </w:tc>
      </w:tr>
      <w:tr w:rsidR="00AC362E" w:rsidRPr="00257F87" w14:paraId="1D345F16" w14:textId="77777777" w:rsidTr="00ED0631">
        <w:trPr>
          <w:trHeight w:val="315"/>
        </w:trPr>
        <w:tc>
          <w:tcPr>
            <w:tcW w:w="1480" w:type="dxa"/>
            <w:tcBorders>
              <w:top w:val="nil"/>
              <w:left w:val="nil"/>
              <w:bottom w:val="nil"/>
              <w:right w:val="nil"/>
            </w:tcBorders>
            <w:vAlign w:val="bottom"/>
          </w:tcPr>
          <w:p w14:paraId="6579DE4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Kiritimati</w:t>
            </w:r>
          </w:p>
        </w:tc>
        <w:tc>
          <w:tcPr>
            <w:tcW w:w="1480" w:type="dxa"/>
            <w:tcBorders>
              <w:top w:val="nil"/>
              <w:left w:val="nil"/>
              <w:bottom w:val="nil"/>
              <w:right w:val="nil"/>
            </w:tcBorders>
            <w:shd w:val="clear" w:color="auto" w:fill="auto"/>
            <w:noWrap/>
            <w:vAlign w:val="bottom"/>
            <w:hideMark/>
          </w:tcPr>
          <w:p w14:paraId="0F50B15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1.0482 </w:t>
            </w:r>
          </w:p>
        </w:tc>
        <w:tc>
          <w:tcPr>
            <w:tcW w:w="662" w:type="dxa"/>
            <w:tcBorders>
              <w:top w:val="nil"/>
              <w:left w:val="nil"/>
              <w:bottom w:val="nil"/>
              <w:right w:val="nil"/>
            </w:tcBorders>
            <w:shd w:val="clear" w:color="auto" w:fill="auto"/>
            <w:noWrap/>
            <w:vAlign w:val="bottom"/>
            <w:hideMark/>
          </w:tcPr>
          <w:p w14:paraId="25B134B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 </w:t>
            </w:r>
          </w:p>
        </w:tc>
        <w:tc>
          <w:tcPr>
            <w:tcW w:w="708" w:type="dxa"/>
            <w:tcBorders>
              <w:top w:val="nil"/>
              <w:left w:val="nil"/>
              <w:bottom w:val="nil"/>
              <w:right w:val="nil"/>
            </w:tcBorders>
            <w:shd w:val="clear" w:color="auto" w:fill="auto"/>
            <w:noWrap/>
            <w:vAlign w:val="bottom"/>
            <w:hideMark/>
          </w:tcPr>
          <w:p w14:paraId="1A4155C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20 </w:t>
            </w:r>
          </w:p>
        </w:tc>
        <w:tc>
          <w:tcPr>
            <w:tcW w:w="709" w:type="dxa"/>
            <w:tcBorders>
              <w:top w:val="nil"/>
              <w:left w:val="nil"/>
              <w:bottom w:val="nil"/>
              <w:right w:val="nil"/>
            </w:tcBorders>
            <w:shd w:val="clear" w:color="auto" w:fill="auto"/>
            <w:noWrap/>
            <w:vAlign w:val="bottom"/>
            <w:hideMark/>
          </w:tcPr>
          <w:p w14:paraId="5785B88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709" w:type="dxa"/>
            <w:tcBorders>
              <w:top w:val="nil"/>
              <w:left w:val="nil"/>
              <w:bottom w:val="nil"/>
              <w:right w:val="nil"/>
            </w:tcBorders>
            <w:shd w:val="clear" w:color="auto" w:fill="auto"/>
            <w:noWrap/>
            <w:vAlign w:val="bottom"/>
            <w:hideMark/>
          </w:tcPr>
          <w:p w14:paraId="40059E3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709" w:type="dxa"/>
            <w:tcBorders>
              <w:top w:val="nil"/>
              <w:left w:val="nil"/>
              <w:bottom w:val="nil"/>
              <w:right w:val="nil"/>
            </w:tcBorders>
            <w:shd w:val="clear" w:color="auto" w:fill="auto"/>
            <w:noWrap/>
            <w:vAlign w:val="bottom"/>
            <w:hideMark/>
          </w:tcPr>
          <w:p w14:paraId="329459A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567" w:type="dxa"/>
            <w:tcBorders>
              <w:top w:val="nil"/>
              <w:left w:val="nil"/>
              <w:bottom w:val="nil"/>
              <w:right w:val="nil"/>
            </w:tcBorders>
            <w:shd w:val="clear" w:color="auto" w:fill="auto"/>
            <w:noWrap/>
            <w:vAlign w:val="bottom"/>
            <w:hideMark/>
          </w:tcPr>
          <w:p w14:paraId="0040778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4435FBF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48 </w:t>
            </w:r>
          </w:p>
        </w:tc>
        <w:tc>
          <w:tcPr>
            <w:tcW w:w="1417" w:type="dxa"/>
            <w:tcBorders>
              <w:top w:val="nil"/>
              <w:left w:val="nil"/>
              <w:bottom w:val="nil"/>
              <w:right w:val="nil"/>
            </w:tcBorders>
            <w:shd w:val="clear" w:color="auto" w:fill="auto"/>
            <w:noWrap/>
            <w:vAlign w:val="bottom"/>
            <w:hideMark/>
          </w:tcPr>
          <w:p w14:paraId="660FF39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91 </w:t>
            </w:r>
          </w:p>
        </w:tc>
        <w:tc>
          <w:tcPr>
            <w:tcW w:w="1134" w:type="dxa"/>
            <w:tcBorders>
              <w:top w:val="nil"/>
              <w:left w:val="nil"/>
              <w:bottom w:val="nil"/>
              <w:right w:val="nil"/>
            </w:tcBorders>
            <w:shd w:val="clear" w:color="auto" w:fill="auto"/>
            <w:noWrap/>
            <w:vAlign w:val="bottom"/>
            <w:hideMark/>
          </w:tcPr>
          <w:p w14:paraId="0D01E82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1.89 </w:t>
            </w:r>
          </w:p>
        </w:tc>
      </w:tr>
      <w:tr w:rsidR="00AC362E" w:rsidRPr="00257F87" w14:paraId="53AF18E6" w14:textId="77777777" w:rsidTr="00ED0631">
        <w:trPr>
          <w:trHeight w:val="315"/>
        </w:trPr>
        <w:tc>
          <w:tcPr>
            <w:tcW w:w="1480" w:type="dxa"/>
            <w:tcBorders>
              <w:top w:val="nil"/>
              <w:left w:val="nil"/>
              <w:bottom w:val="nil"/>
              <w:right w:val="nil"/>
            </w:tcBorders>
            <w:vAlign w:val="bottom"/>
          </w:tcPr>
          <w:p w14:paraId="7D30A1E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Maiana</w:t>
            </w:r>
          </w:p>
        </w:tc>
        <w:tc>
          <w:tcPr>
            <w:tcW w:w="1480" w:type="dxa"/>
            <w:tcBorders>
              <w:top w:val="nil"/>
              <w:left w:val="nil"/>
              <w:bottom w:val="nil"/>
              <w:right w:val="nil"/>
            </w:tcBorders>
            <w:shd w:val="clear" w:color="auto" w:fill="auto"/>
            <w:noWrap/>
            <w:vAlign w:val="bottom"/>
            <w:hideMark/>
          </w:tcPr>
          <w:p w14:paraId="4DC150F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0.5130 </w:t>
            </w:r>
          </w:p>
        </w:tc>
        <w:tc>
          <w:tcPr>
            <w:tcW w:w="662" w:type="dxa"/>
            <w:tcBorders>
              <w:top w:val="nil"/>
              <w:left w:val="nil"/>
              <w:bottom w:val="nil"/>
              <w:right w:val="nil"/>
            </w:tcBorders>
            <w:shd w:val="clear" w:color="auto" w:fill="auto"/>
            <w:noWrap/>
            <w:vAlign w:val="bottom"/>
            <w:hideMark/>
          </w:tcPr>
          <w:p w14:paraId="0C4B4F5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708" w:type="dxa"/>
            <w:tcBorders>
              <w:top w:val="nil"/>
              <w:left w:val="nil"/>
              <w:bottom w:val="nil"/>
              <w:right w:val="nil"/>
            </w:tcBorders>
            <w:shd w:val="clear" w:color="auto" w:fill="auto"/>
            <w:noWrap/>
            <w:vAlign w:val="bottom"/>
            <w:hideMark/>
          </w:tcPr>
          <w:p w14:paraId="402EDCD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 </w:t>
            </w:r>
          </w:p>
        </w:tc>
        <w:tc>
          <w:tcPr>
            <w:tcW w:w="709" w:type="dxa"/>
            <w:tcBorders>
              <w:top w:val="nil"/>
              <w:left w:val="nil"/>
              <w:bottom w:val="nil"/>
              <w:right w:val="nil"/>
            </w:tcBorders>
            <w:shd w:val="clear" w:color="auto" w:fill="auto"/>
            <w:noWrap/>
            <w:vAlign w:val="bottom"/>
            <w:hideMark/>
          </w:tcPr>
          <w:p w14:paraId="60DB456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709" w:type="dxa"/>
            <w:tcBorders>
              <w:top w:val="nil"/>
              <w:left w:val="nil"/>
              <w:bottom w:val="nil"/>
              <w:right w:val="nil"/>
            </w:tcBorders>
            <w:shd w:val="clear" w:color="auto" w:fill="auto"/>
            <w:noWrap/>
            <w:vAlign w:val="bottom"/>
            <w:hideMark/>
          </w:tcPr>
          <w:p w14:paraId="5703433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709" w:type="dxa"/>
            <w:tcBorders>
              <w:top w:val="nil"/>
              <w:left w:val="nil"/>
              <w:bottom w:val="nil"/>
              <w:right w:val="nil"/>
            </w:tcBorders>
            <w:shd w:val="clear" w:color="auto" w:fill="auto"/>
            <w:noWrap/>
            <w:vAlign w:val="bottom"/>
            <w:hideMark/>
          </w:tcPr>
          <w:p w14:paraId="3336359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567" w:type="dxa"/>
            <w:tcBorders>
              <w:top w:val="nil"/>
              <w:left w:val="nil"/>
              <w:bottom w:val="nil"/>
              <w:right w:val="nil"/>
            </w:tcBorders>
            <w:shd w:val="clear" w:color="auto" w:fill="auto"/>
            <w:noWrap/>
            <w:vAlign w:val="bottom"/>
            <w:hideMark/>
          </w:tcPr>
          <w:p w14:paraId="41B222C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69EC954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22 </w:t>
            </w:r>
          </w:p>
        </w:tc>
        <w:tc>
          <w:tcPr>
            <w:tcW w:w="1417" w:type="dxa"/>
            <w:tcBorders>
              <w:top w:val="nil"/>
              <w:left w:val="nil"/>
              <w:bottom w:val="nil"/>
              <w:right w:val="nil"/>
            </w:tcBorders>
            <w:shd w:val="clear" w:color="auto" w:fill="auto"/>
            <w:noWrap/>
            <w:vAlign w:val="bottom"/>
            <w:hideMark/>
          </w:tcPr>
          <w:p w14:paraId="34281AC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42 </w:t>
            </w:r>
          </w:p>
        </w:tc>
        <w:tc>
          <w:tcPr>
            <w:tcW w:w="1134" w:type="dxa"/>
            <w:tcBorders>
              <w:top w:val="nil"/>
              <w:left w:val="nil"/>
              <w:bottom w:val="nil"/>
              <w:right w:val="nil"/>
            </w:tcBorders>
            <w:shd w:val="clear" w:color="auto" w:fill="auto"/>
            <w:noWrap/>
            <w:vAlign w:val="bottom"/>
            <w:hideMark/>
          </w:tcPr>
          <w:p w14:paraId="0198883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1.95 </w:t>
            </w:r>
          </w:p>
        </w:tc>
      </w:tr>
      <w:tr w:rsidR="00AC362E" w:rsidRPr="00257F87" w14:paraId="41229495" w14:textId="77777777" w:rsidTr="00ED0631">
        <w:trPr>
          <w:trHeight w:val="315"/>
        </w:trPr>
        <w:tc>
          <w:tcPr>
            <w:tcW w:w="1480" w:type="dxa"/>
            <w:tcBorders>
              <w:top w:val="nil"/>
              <w:left w:val="nil"/>
              <w:bottom w:val="nil"/>
              <w:right w:val="nil"/>
            </w:tcBorders>
            <w:vAlign w:val="bottom"/>
          </w:tcPr>
          <w:p w14:paraId="7F5B04B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Nonouti</w:t>
            </w:r>
          </w:p>
        </w:tc>
        <w:tc>
          <w:tcPr>
            <w:tcW w:w="1480" w:type="dxa"/>
            <w:tcBorders>
              <w:top w:val="nil"/>
              <w:left w:val="nil"/>
              <w:bottom w:val="nil"/>
              <w:right w:val="nil"/>
            </w:tcBorders>
            <w:shd w:val="clear" w:color="auto" w:fill="auto"/>
            <w:noWrap/>
            <w:vAlign w:val="bottom"/>
            <w:hideMark/>
          </w:tcPr>
          <w:p w14:paraId="61D20CD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0.5833 </w:t>
            </w:r>
          </w:p>
        </w:tc>
        <w:tc>
          <w:tcPr>
            <w:tcW w:w="662" w:type="dxa"/>
            <w:tcBorders>
              <w:top w:val="nil"/>
              <w:left w:val="nil"/>
              <w:bottom w:val="nil"/>
              <w:right w:val="nil"/>
            </w:tcBorders>
            <w:shd w:val="clear" w:color="auto" w:fill="auto"/>
            <w:noWrap/>
            <w:vAlign w:val="bottom"/>
            <w:hideMark/>
          </w:tcPr>
          <w:p w14:paraId="5243A53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 </w:t>
            </w:r>
          </w:p>
        </w:tc>
        <w:tc>
          <w:tcPr>
            <w:tcW w:w="708" w:type="dxa"/>
            <w:tcBorders>
              <w:top w:val="nil"/>
              <w:left w:val="nil"/>
              <w:bottom w:val="nil"/>
              <w:right w:val="nil"/>
            </w:tcBorders>
            <w:shd w:val="clear" w:color="auto" w:fill="auto"/>
            <w:noWrap/>
            <w:vAlign w:val="bottom"/>
            <w:hideMark/>
          </w:tcPr>
          <w:p w14:paraId="08270F2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 </w:t>
            </w:r>
          </w:p>
        </w:tc>
        <w:tc>
          <w:tcPr>
            <w:tcW w:w="709" w:type="dxa"/>
            <w:tcBorders>
              <w:top w:val="nil"/>
              <w:left w:val="nil"/>
              <w:bottom w:val="nil"/>
              <w:right w:val="nil"/>
            </w:tcBorders>
            <w:shd w:val="clear" w:color="auto" w:fill="auto"/>
            <w:noWrap/>
            <w:vAlign w:val="bottom"/>
            <w:hideMark/>
          </w:tcPr>
          <w:p w14:paraId="5D7CCD3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709" w:type="dxa"/>
            <w:tcBorders>
              <w:top w:val="nil"/>
              <w:left w:val="nil"/>
              <w:bottom w:val="nil"/>
              <w:right w:val="nil"/>
            </w:tcBorders>
            <w:shd w:val="clear" w:color="auto" w:fill="auto"/>
            <w:noWrap/>
            <w:vAlign w:val="bottom"/>
            <w:hideMark/>
          </w:tcPr>
          <w:p w14:paraId="17D8A6F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709" w:type="dxa"/>
            <w:tcBorders>
              <w:top w:val="nil"/>
              <w:left w:val="nil"/>
              <w:bottom w:val="nil"/>
              <w:right w:val="nil"/>
            </w:tcBorders>
            <w:shd w:val="clear" w:color="auto" w:fill="auto"/>
            <w:noWrap/>
            <w:vAlign w:val="bottom"/>
            <w:hideMark/>
          </w:tcPr>
          <w:p w14:paraId="6D8A4D9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567" w:type="dxa"/>
            <w:tcBorders>
              <w:top w:val="nil"/>
              <w:left w:val="nil"/>
              <w:bottom w:val="nil"/>
              <w:right w:val="nil"/>
            </w:tcBorders>
            <w:shd w:val="clear" w:color="auto" w:fill="auto"/>
            <w:noWrap/>
            <w:vAlign w:val="bottom"/>
            <w:hideMark/>
          </w:tcPr>
          <w:p w14:paraId="6DCF56F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134" w:type="dxa"/>
            <w:tcBorders>
              <w:top w:val="nil"/>
              <w:left w:val="nil"/>
              <w:bottom w:val="nil"/>
              <w:right w:val="nil"/>
            </w:tcBorders>
            <w:shd w:val="clear" w:color="auto" w:fill="auto"/>
            <w:noWrap/>
            <w:vAlign w:val="bottom"/>
            <w:hideMark/>
          </w:tcPr>
          <w:p w14:paraId="464956D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29 </w:t>
            </w:r>
          </w:p>
        </w:tc>
        <w:tc>
          <w:tcPr>
            <w:tcW w:w="1417" w:type="dxa"/>
            <w:tcBorders>
              <w:top w:val="nil"/>
              <w:left w:val="nil"/>
              <w:bottom w:val="nil"/>
              <w:right w:val="nil"/>
            </w:tcBorders>
            <w:shd w:val="clear" w:color="auto" w:fill="auto"/>
            <w:noWrap/>
            <w:vAlign w:val="bottom"/>
            <w:hideMark/>
          </w:tcPr>
          <w:p w14:paraId="0696619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59 </w:t>
            </w:r>
          </w:p>
        </w:tc>
        <w:tc>
          <w:tcPr>
            <w:tcW w:w="1134" w:type="dxa"/>
            <w:tcBorders>
              <w:top w:val="nil"/>
              <w:left w:val="nil"/>
              <w:bottom w:val="nil"/>
              <w:right w:val="nil"/>
            </w:tcBorders>
            <w:shd w:val="clear" w:color="auto" w:fill="auto"/>
            <w:noWrap/>
            <w:vAlign w:val="bottom"/>
            <w:hideMark/>
          </w:tcPr>
          <w:p w14:paraId="522A704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2.08 </w:t>
            </w:r>
          </w:p>
        </w:tc>
      </w:tr>
      <w:tr w:rsidR="00AC362E" w:rsidRPr="00257F87" w14:paraId="3843448F" w14:textId="77777777" w:rsidTr="00ED0631">
        <w:trPr>
          <w:trHeight w:val="315"/>
        </w:trPr>
        <w:tc>
          <w:tcPr>
            <w:tcW w:w="1480" w:type="dxa"/>
            <w:tcBorders>
              <w:top w:val="nil"/>
              <w:left w:val="nil"/>
              <w:bottom w:val="nil"/>
              <w:right w:val="nil"/>
            </w:tcBorders>
            <w:vAlign w:val="bottom"/>
          </w:tcPr>
          <w:p w14:paraId="66AAFFD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Tabiteuea</w:t>
            </w:r>
          </w:p>
        </w:tc>
        <w:tc>
          <w:tcPr>
            <w:tcW w:w="1480" w:type="dxa"/>
            <w:tcBorders>
              <w:top w:val="nil"/>
              <w:left w:val="nil"/>
              <w:bottom w:val="nil"/>
              <w:right w:val="nil"/>
            </w:tcBorders>
            <w:shd w:val="clear" w:color="auto" w:fill="auto"/>
            <w:noWrap/>
            <w:vAlign w:val="bottom"/>
            <w:hideMark/>
          </w:tcPr>
          <w:p w14:paraId="492550D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0.9838 </w:t>
            </w:r>
          </w:p>
        </w:tc>
        <w:tc>
          <w:tcPr>
            <w:tcW w:w="662" w:type="dxa"/>
            <w:tcBorders>
              <w:top w:val="nil"/>
              <w:left w:val="nil"/>
              <w:bottom w:val="nil"/>
              <w:right w:val="nil"/>
            </w:tcBorders>
            <w:shd w:val="clear" w:color="auto" w:fill="auto"/>
            <w:noWrap/>
            <w:vAlign w:val="bottom"/>
            <w:hideMark/>
          </w:tcPr>
          <w:p w14:paraId="379B265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 </w:t>
            </w:r>
          </w:p>
        </w:tc>
        <w:tc>
          <w:tcPr>
            <w:tcW w:w="708" w:type="dxa"/>
            <w:tcBorders>
              <w:top w:val="nil"/>
              <w:left w:val="nil"/>
              <w:bottom w:val="nil"/>
              <w:right w:val="nil"/>
            </w:tcBorders>
            <w:shd w:val="clear" w:color="auto" w:fill="auto"/>
            <w:noWrap/>
            <w:vAlign w:val="bottom"/>
            <w:hideMark/>
          </w:tcPr>
          <w:p w14:paraId="561BAAF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18 </w:t>
            </w:r>
          </w:p>
        </w:tc>
        <w:tc>
          <w:tcPr>
            <w:tcW w:w="709" w:type="dxa"/>
            <w:tcBorders>
              <w:top w:val="nil"/>
              <w:left w:val="nil"/>
              <w:bottom w:val="nil"/>
              <w:right w:val="nil"/>
            </w:tcBorders>
            <w:shd w:val="clear" w:color="auto" w:fill="auto"/>
            <w:noWrap/>
            <w:vAlign w:val="bottom"/>
            <w:hideMark/>
          </w:tcPr>
          <w:p w14:paraId="7E7A456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 </w:t>
            </w:r>
          </w:p>
        </w:tc>
        <w:tc>
          <w:tcPr>
            <w:tcW w:w="709" w:type="dxa"/>
            <w:tcBorders>
              <w:top w:val="nil"/>
              <w:left w:val="nil"/>
              <w:bottom w:val="nil"/>
              <w:right w:val="nil"/>
            </w:tcBorders>
            <w:shd w:val="clear" w:color="auto" w:fill="auto"/>
            <w:noWrap/>
            <w:vAlign w:val="bottom"/>
            <w:hideMark/>
          </w:tcPr>
          <w:p w14:paraId="33C6714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709" w:type="dxa"/>
            <w:tcBorders>
              <w:top w:val="nil"/>
              <w:left w:val="nil"/>
              <w:bottom w:val="nil"/>
              <w:right w:val="nil"/>
            </w:tcBorders>
            <w:shd w:val="clear" w:color="auto" w:fill="auto"/>
            <w:noWrap/>
            <w:vAlign w:val="bottom"/>
            <w:hideMark/>
          </w:tcPr>
          <w:p w14:paraId="5EF5061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567" w:type="dxa"/>
            <w:tcBorders>
              <w:top w:val="nil"/>
              <w:left w:val="nil"/>
              <w:bottom w:val="nil"/>
              <w:right w:val="nil"/>
            </w:tcBorders>
            <w:shd w:val="clear" w:color="auto" w:fill="auto"/>
            <w:noWrap/>
            <w:vAlign w:val="bottom"/>
            <w:hideMark/>
          </w:tcPr>
          <w:p w14:paraId="78F8656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6C56ABE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38 </w:t>
            </w:r>
          </w:p>
        </w:tc>
        <w:tc>
          <w:tcPr>
            <w:tcW w:w="1417" w:type="dxa"/>
            <w:tcBorders>
              <w:top w:val="nil"/>
              <w:left w:val="nil"/>
              <w:bottom w:val="nil"/>
              <w:right w:val="nil"/>
            </w:tcBorders>
            <w:shd w:val="clear" w:color="auto" w:fill="auto"/>
            <w:noWrap/>
            <w:vAlign w:val="bottom"/>
            <w:hideMark/>
          </w:tcPr>
          <w:p w14:paraId="540CCEF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89 </w:t>
            </w:r>
          </w:p>
        </w:tc>
        <w:tc>
          <w:tcPr>
            <w:tcW w:w="1134" w:type="dxa"/>
            <w:tcBorders>
              <w:top w:val="nil"/>
              <w:left w:val="nil"/>
              <w:bottom w:val="nil"/>
              <w:right w:val="nil"/>
            </w:tcBorders>
            <w:shd w:val="clear" w:color="auto" w:fill="auto"/>
            <w:noWrap/>
            <w:vAlign w:val="bottom"/>
            <w:hideMark/>
          </w:tcPr>
          <w:p w14:paraId="0A6DFB0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2.31 </w:t>
            </w:r>
          </w:p>
        </w:tc>
      </w:tr>
      <w:tr w:rsidR="00AC362E" w:rsidRPr="00257F87" w14:paraId="7223E8F3" w14:textId="77777777" w:rsidTr="00ED0631">
        <w:trPr>
          <w:trHeight w:val="315"/>
        </w:trPr>
        <w:tc>
          <w:tcPr>
            <w:tcW w:w="1480" w:type="dxa"/>
            <w:tcBorders>
              <w:top w:val="nil"/>
              <w:left w:val="nil"/>
              <w:bottom w:val="nil"/>
              <w:right w:val="nil"/>
            </w:tcBorders>
            <w:vAlign w:val="bottom"/>
          </w:tcPr>
          <w:p w14:paraId="07A9EAB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Tarawa</w:t>
            </w:r>
          </w:p>
        </w:tc>
        <w:tc>
          <w:tcPr>
            <w:tcW w:w="1480" w:type="dxa"/>
            <w:tcBorders>
              <w:top w:val="nil"/>
              <w:left w:val="nil"/>
              <w:bottom w:val="nil"/>
              <w:right w:val="nil"/>
            </w:tcBorders>
            <w:shd w:val="clear" w:color="auto" w:fill="auto"/>
            <w:noWrap/>
            <w:vAlign w:val="bottom"/>
            <w:hideMark/>
          </w:tcPr>
          <w:p w14:paraId="1C9DE38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1.3110 </w:t>
            </w:r>
          </w:p>
        </w:tc>
        <w:tc>
          <w:tcPr>
            <w:tcW w:w="662" w:type="dxa"/>
            <w:tcBorders>
              <w:top w:val="nil"/>
              <w:left w:val="nil"/>
              <w:bottom w:val="nil"/>
              <w:right w:val="nil"/>
            </w:tcBorders>
            <w:shd w:val="clear" w:color="auto" w:fill="auto"/>
            <w:noWrap/>
            <w:vAlign w:val="bottom"/>
            <w:hideMark/>
          </w:tcPr>
          <w:p w14:paraId="702F116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14 </w:t>
            </w:r>
          </w:p>
        </w:tc>
        <w:tc>
          <w:tcPr>
            <w:tcW w:w="708" w:type="dxa"/>
            <w:tcBorders>
              <w:top w:val="nil"/>
              <w:left w:val="nil"/>
              <w:bottom w:val="nil"/>
              <w:right w:val="nil"/>
            </w:tcBorders>
            <w:shd w:val="clear" w:color="auto" w:fill="auto"/>
            <w:noWrap/>
            <w:vAlign w:val="bottom"/>
            <w:hideMark/>
          </w:tcPr>
          <w:p w14:paraId="58BB885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24 </w:t>
            </w:r>
          </w:p>
        </w:tc>
        <w:tc>
          <w:tcPr>
            <w:tcW w:w="709" w:type="dxa"/>
            <w:tcBorders>
              <w:top w:val="nil"/>
              <w:left w:val="nil"/>
              <w:bottom w:val="nil"/>
              <w:right w:val="nil"/>
            </w:tcBorders>
            <w:shd w:val="clear" w:color="auto" w:fill="auto"/>
            <w:noWrap/>
            <w:vAlign w:val="bottom"/>
            <w:hideMark/>
          </w:tcPr>
          <w:p w14:paraId="2D69547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 </w:t>
            </w:r>
          </w:p>
        </w:tc>
        <w:tc>
          <w:tcPr>
            <w:tcW w:w="709" w:type="dxa"/>
            <w:tcBorders>
              <w:top w:val="nil"/>
              <w:left w:val="nil"/>
              <w:bottom w:val="nil"/>
              <w:right w:val="nil"/>
            </w:tcBorders>
            <w:shd w:val="clear" w:color="auto" w:fill="auto"/>
            <w:noWrap/>
            <w:vAlign w:val="bottom"/>
            <w:hideMark/>
          </w:tcPr>
          <w:p w14:paraId="3CDAD05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 </w:t>
            </w:r>
          </w:p>
        </w:tc>
        <w:tc>
          <w:tcPr>
            <w:tcW w:w="709" w:type="dxa"/>
            <w:tcBorders>
              <w:top w:val="nil"/>
              <w:left w:val="nil"/>
              <w:bottom w:val="nil"/>
              <w:right w:val="nil"/>
            </w:tcBorders>
            <w:shd w:val="clear" w:color="auto" w:fill="auto"/>
            <w:noWrap/>
            <w:vAlign w:val="bottom"/>
            <w:hideMark/>
          </w:tcPr>
          <w:p w14:paraId="31779BC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567" w:type="dxa"/>
            <w:tcBorders>
              <w:top w:val="nil"/>
              <w:left w:val="nil"/>
              <w:bottom w:val="nil"/>
              <w:right w:val="nil"/>
            </w:tcBorders>
            <w:shd w:val="clear" w:color="auto" w:fill="auto"/>
            <w:noWrap/>
            <w:vAlign w:val="bottom"/>
            <w:hideMark/>
          </w:tcPr>
          <w:p w14:paraId="549F288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78E1E48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56 </w:t>
            </w:r>
          </w:p>
        </w:tc>
        <w:tc>
          <w:tcPr>
            <w:tcW w:w="1417" w:type="dxa"/>
            <w:tcBorders>
              <w:top w:val="nil"/>
              <w:left w:val="nil"/>
              <w:bottom w:val="nil"/>
              <w:right w:val="nil"/>
            </w:tcBorders>
            <w:shd w:val="clear" w:color="auto" w:fill="auto"/>
            <w:noWrap/>
            <w:vAlign w:val="bottom"/>
            <w:hideMark/>
          </w:tcPr>
          <w:p w14:paraId="0D0A19E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126 </w:t>
            </w:r>
          </w:p>
        </w:tc>
        <w:tc>
          <w:tcPr>
            <w:tcW w:w="1134" w:type="dxa"/>
            <w:tcBorders>
              <w:top w:val="nil"/>
              <w:left w:val="nil"/>
              <w:bottom w:val="nil"/>
              <w:right w:val="nil"/>
            </w:tcBorders>
            <w:shd w:val="clear" w:color="auto" w:fill="auto"/>
            <w:noWrap/>
            <w:vAlign w:val="bottom"/>
            <w:hideMark/>
          </w:tcPr>
          <w:p w14:paraId="5791097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2.23 </w:t>
            </w:r>
          </w:p>
        </w:tc>
      </w:tr>
      <w:tr w:rsidR="00AC362E" w:rsidRPr="00257F87" w14:paraId="6E1C4A4E" w14:textId="77777777" w:rsidTr="00ED0631">
        <w:trPr>
          <w:trHeight w:val="315"/>
        </w:trPr>
        <w:tc>
          <w:tcPr>
            <w:tcW w:w="1480" w:type="dxa"/>
            <w:tcBorders>
              <w:top w:val="nil"/>
              <w:left w:val="nil"/>
              <w:bottom w:val="nil"/>
              <w:right w:val="nil"/>
            </w:tcBorders>
            <w:vAlign w:val="bottom"/>
          </w:tcPr>
          <w:p w14:paraId="66AC954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Tabiteuea</w:t>
            </w:r>
          </w:p>
        </w:tc>
        <w:tc>
          <w:tcPr>
            <w:tcW w:w="1480" w:type="dxa"/>
            <w:tcBorders>
              <w:top w:val="nil"/>
              <w:left w:val="nil"/>
              <w:bottom w:val="nil"/>
              <w:right w:val="nil"/>
            </w:tcBorders>
            <w:shd w:val="clear" w:color="auto" w:fill="auto"/>
            <w:noWrap/>
            <w:vAlign w:val="bottom"/>
            <w:hideMark/>
          </w:tcPr>
          <w:p w14:paraId="05E6DCD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0.3184 </w:t>
            </w:r>
          </w:p>
        </w:tc>
        <w:tc>
          <w:tcPr>
            <w:tcW w:w="662" w:type="dxa"/>
            <w:tcBorders>
              <w:top w:val="nil"/>
              <w:left w:val="nil"/>
              <w:bottom w:val="nil"/>
              <w:right w:val="nil"/>
            </w:tcBorders>
            <w:shd w:val="clear" w:color="auto" w:fill="auto"/>
            <w:noWrap/>
            <w:vAlign w:val="bottom"/>
            <w:hideMark/>
          </w:tcPr>
          <w:p w14:paraId="04B40CF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708" w:type="dxa"/>
            <w:tcBorders>
              <w:top w:val="nil"/>
              <w:left w:val="nil"/>
              <w:bottom w:val="nil"/>
              <w:right w:val="nil"/>
            </w:tcBorders>
            <w:shd w:val="clear" w:color="auto" w:fill="auto"/>
            <w:noWrap/>
            <w:vAlign w:val="bottom"/>
            <w:hideMark/>
          </w:tcPr>
          <w:p w14:paraId="0A620AD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709" w:type="dxa"/>
            <w:tcBorders>
              <w:top w:val="nil"/>
              <w:left w:val="nil"/>
              <w:bottom w:val="nil"/>
              <w:right w:val="nil"/>
            </w:tcBorders>
            <w:shd w:val="clear" w:color="auto" w:fill="auto"/>
            <w:noWrap/>
            <w:vAlign w:val="bottom"/>
            <w:hideMark/>
          </w:tcPr>
          <w:p w14:paraId="6E45B86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709" w:type="dxa"/>
            <w:tcBorders>
              <w:top w:val="nil"/>
              <w:left w:val="nil"/>
              <w:bottom w:val="nil"/>
              <w:right w:val="nil"/>
            </w:tcBorders>
            <w:shd w:val="clear" w:color="auto" w:fill="auto"/>
            <w:noWrap/>
            <w:vAlign w:val="bottom"/>
            <w:hideMark/>
          </w:tcPr>
          <w:p w14:paraId="03C06EB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709" w:type="dxa"/>
            <w:tcBorders>
              <w:top w:val="nil"/>
              <w:left w:val="nil"/>
              <w:bottom w:val="nil"/>
              <w:right w:val="nil"/>
            </w:tcBorders>
            <w:shd w:val="clear" w:color="auto" w:fill="auto"/>
            <w:noWrap/>
            <w:vAlign w:val="bottom"/>
            <w:hideMark/>
          </w:tcPr>
          <w:p w14:paraId="0864ED0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 </w:t>
            </w:r>
          </w:p>
        </w:tc>
        <w:tc>
          <w:tcPr>
            <w:tcW w:w="567" w:type="dxa"/>
            <w:tcBorders>
              <w:top w:val="nil"/>
              <w:left w:val="nil"/>
              <w:bottom w:val="nil"/>
              <w:right w:val="nil"/>
            </w:tcBorders>
            <w:shd w:val="clear" w:color="auto" w:fill="auto"/>
            <w:noWrap/>
            <w:vAlign w:val="bottom"/>
            <w:hideMark/>
          </w:tcPr>
          <w:p w14:paraId="22E4F68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44D1CD7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14 </w:t>
            </w:r>
          </w:p>
        </w:tc>
        <w:tc>
          <w:tcPr>
            <w:tcW w:w="1417" w:type="dxa"/>
            <w:tcBorders>
              <w:top w:val="nil"/>
              <w:left w:val="nil"/>
              <w:bottom w:val="nil"/>
              <w:right w:val="nil"/>
            </w:tcBorders>
            <w:shd w:val="clear" w:color="auto" w:fill="auto"/>
            <w:noWrap/>
            <w:vAlign w:val="bottom"/>
            <w:hideMark/>
          </w:tcPr>
          <w:p w14:paraId="3FC3375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28 </w:t>
            </w:r>
          </w:p>
        </w:tc>
        <w:tc>
          <w:tcPr>
            <w:tcW w:w="1134" w:type="dxa"/>
            <w:tcBorders>
              <w:top w:val="nil"/>
              <w:left w:val="nil"/>
              <w:bottom w:val="nil"/>
              <w:right w:val="nil"/>
            </w:tcBorders>
            <w:shd w:val="clear" w:color="auto" w:fill="auto"/>
            <w:noWrap/>
            <w:vAlign w:val="bottom"/>
            <w:hideMark/>
          </w:tcPr>
          <w:p w14:paraId="3F2E4BB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1.98 </w:t>
            </w:r>
          </w:p>
        </w:tc>
      </w:tr>
      <w:tr w:rsidR="00AC362E" w:rsidRPr="00257F87" w14:paraId="77CAB0CC" w14:textId="77777777" w:rsidTr="00ED0631">
        <w:trPr>
          <w:trHeight w:val="315"/>
        </w:trPr>
        <w:tc>
          <w:tcPr>
            <w:tcW w:w="1480" w:type="dxa"/>
            <w:tcBorders>
              <w:top w:val="nil"/>
              <w:left w:val="nil"/>
              <w:bottom w:val="nil"/>
              <w:right w:val="nil"/>
            </w:tcBorders>
            <w:vAlign w:val="bottom"/>
          </w:tcPr>
          <w:p w14:paraId="4E5B787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Tarawa</w:t>
            </w:r>
          </w:p>
        </w:tc>
        <w:tc>
          <w:tcPr>
            <w:tcW w:w="1480" w:type="dxa"/>
            <w:tcBorders>
              <w:top w:val="nil"/>
              <w:left w:val="nil"/>
              <w:bottom w:val="nil"/>
              <w:right w:val="nil"/>
            </w:tcBorders>
            <w:shd w:val="clear" w:color="auto" w:fill="auto"/>
            <w:noWrap/>
            <w:vAlign w:val="bottom"/>
            <w:hideMark/>
          </w:tcPr>
          <w:p w14:paraId="262936E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1.7852 </w:t>
            </w:r>
          </w:p>
        </w:tc>
        <w:tc>
          <w:tcPr>
            <w:tcW w:w="662" w:type="dxa"/>
            <w:tcBorders>
              <w:top w:val="nil"/>
              <w:left w:val="nil"/>
              <w:bottom w:val="nil"/>
              <w:right w:val="nil"/>
            </w:tcBorders>
            <w:shd w:val="clear" w:color="auto" w:fill="auto"/>
            <w:noWrap/>
            <w:vAlign w:val="bottom"/>
            <w:hideMark/>
          </w:tcPr>
          <w:p w14:paraId="162B6B2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111 </w:t>
            </w:r>
          </w:p>
        </w:tc>
        <w:tc>
          <w:tcPr>
            <w:tcW w:w="708" w:type="dxa"/>
            <w:tcBorders>
              <w:top w:val="nil"/>
              <w:left w:val="nil"/>
              <w:bottom w:val="nil"/>
              <w:right w:val="nil"/>
            </w:tcBorders>
            <w:shd w:val="clear" w:color="auto" w:fill="auto"/>
            <w:noWrap/>
            <w:vAlign w:val="bottom"/>
            <w:hideMark/>
          </w:tcPr>
          <w:p w14:paraId="1ABA4BA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91 </w:t>
            </w:r>
          </w:p>
        </w:tc>
        <w:tc>
          <w:tcPr>
            <w:tcW w:w="709" w:type="dxa"/>
            <w:tcBorders>
              <w:top w:val="nil"/>
              <w:left w:val="nil"/>
              <w:bottom w:val="nil"/>
              <w:right w:val="nil"/>
            </w:tcBorders>
            <w:shd w:val="clear" w:color="auto" w:fill="auto"/>
            <w:noWrap/>
            <w:vAlign w:val="bottom"/>
            <w:hideMark/>
          </w:tcPr>
          <w:p w14:paraId="77F4032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48 </w:t>
            </w:r>
          </w:p>
        </w:tc>
        <w:tc>
          <w:tcPr>
            <w:tcW w:w="709" w:type="dxa"/>
            <w:tcBorders>
              <w:top w:val="nil"/>
              <w:left w:val="nil"/>
              <w:bottom w:val="nil"/>
              <w:right w:val="nil"/>
            </w:tcBorders>
            <w:shd w:val="clear" w:color="auto" w:fill="auto"/>
            <w:noWrap/>
            <w:vAlign w:val="bottom"/>
            <w:hideMark/>
          </w:tcPr>
          <w:p w14:paraId="6729DAB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 </w:t>
            </w:r>
          </w:p>
        </w:tc>
        <w:tc>
          <w:tcPr>
            <w:tcW w:w="709" w:type="dxa"/>
            <w:tcBorders>
              <w:top w:val="nil"/>
              <w:left w:val="nil"/>
              <w:bottom w:val="nil"/>
              <w:right w:val="nil"/>
            </w:tcBorders>
            <w:shd w:val="clear" w:color="auto" w:fill="auto"/>
            <w:noWrap/>
            <w:vAlign w:val="bottom"/>
            <w:hideMark/>
          </w:tcPr>
          <w:p w14:paraId="4BB784F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567" w:type="dxa"/>
            <w:tcBorders>
              <w:top w:val="nil"/>
              <w:left w:val="nil"/>
              <w:bottom w:val="nil"/>
              <w:right w:val="nil"/>
            </w:tcBorders>
            <w:shd w:val="clear" w:color="auto" w:fill="auto"/>
            <w:noWrap/>
            <w:vAlign w:val="bottom"/>
            <w:hideMark/>
          </w:tcPr>
          <w:p w14:paraId="5A74578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1134" w:type="dxa"/>
            <w:tcBorders>
              <w:top w:val="nil"/>
              <w:left w:val="nil"/>
              <w:bottom w:val="nil"/>
              <w:right w:val="nil"/>
            </w:tcBorders>
            <w:shd w:val="clear" w:color="auto" w:fill="auto"/>
            <w:noWrap/>
            <w:vAlign w:val="bottom"/>
            <w:hideMark/>
          </w:tcPr>
          <w:p w14:paraId="3C4E126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266 </w:t>
            </w:r>
          </w:p>
        </w:tc>
        <w:tc>
          <w:tcPr>
            <w:tcW w:w="1417" w:type="dxa"/>
            <w:tcBorders>
              <w:top w:val="nil"/>
              <w:left w:val="nil"/>
              <w:bottom w:val="nil"/>
              <w:right w:val="nil"/>
            </w:tcBorders>
            <w:shd w:val="clear" w:color="auto" w:fill="auto"/>
            <w:noWrap/>
            <w:vAlign w:val="bottom"/>
            <w:hideMark/>
          </w:tcPr>
          <w:p w14:paraId="1A24129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509 </w:t>
            </w:r>
          </w:p>
        </w:tc>
        <w:tc>
          <w:tcPr>
            <w:tcW w:w="1134" w:type="dxa"/>
            <w:tcBorders>
              <w:top w:val="nil"/>
              <w:left w:val="nil"/>
              <w:bottom w:val="nil"/>
              <w:right w:val="nil"/>
            </w:tcBorders>
            <w:shd w:val="clear" w:color="auto" w:fill="auto"/>
            <w:noWrap/>
            <w:vAlign w:val="bottom"/>
            <w:hideMark/>
          </w:tcPr>
          <w:p w14:paraId="74EB092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1.91 </w:t>
            </w:r>
          </w:p>
        </w:tc>
      </w:tr>
      <w:tr w:rsidR="00AC362E" w:rsidRPr="00257F87" w14:paraId="72DCAB85" w14:textId="77777777" w:rsidTr="00ED0631">
        <w:trPr>
          <w:trHeight w:val="315"/>
        </w:trPr>
        <w:tc>
          <w:tcPr>
            <w:tcW w:w="1480" w:type="dxa"/>
            <w:tcBorders>
              <w:top w:val="nil"/>
              <w:left w:val="nil"/>
              <w:bottom w:val="nil"/>
              <w:right w:val="nil"/>
            </w:tcBorders>
            <w:vAlign w:val="bottom"/>
          </w:tcPr>
          <w:p w14:paraId="35ED72B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Tamana</w:t>
            </w:r>
          </w:p>
        </w:tc>
        <w:tc>
          <w:tcPr>
            <w:tcW w:w="1480" w:type="dxa"/>
            <w:tcBorders>
              <w:top w:val="nil"/>
              <w:left w:val="nil"/>
              <w:bottom w:val="nil"/>
              <w:right w:val="nil"/>
            </w:tcBorders>
            <w:shd w:val="clear" w:color="auto" w:fill="auto"/>
            <w:noWrap/>
            <w:vAlign w:val="bottom"/>
            <w:hideMark/>
          </w:tcPr>
          <w:p w14:paraId="715723B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0.2418 </w:t>
            </w:r>
          </w:p>
        </w:tc>
        <w:tc>
          <w:tcPr>
            <w:tcW w:w="662" w:type="dxa"/>
            <w:tcBorders>
              <w:top w:val="nil"/>
              <w:left w:val="nil"/>
              <w:bottom w:val="nil"/>
              <w:right w:val="nil"/>
            </w:tcBorders>
            <w:shd w:val="clear" w:color="auto" w:fill="auto"/>
            <w:noWrap/>
            <w:vAlign w:val="bottom"/>
            <w:hideMark/>
          </w:tcPr>
          <w:p w14:paraId="3701C44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708" w:type="dxa"/>
            <w:tcBorders>
              <w:top w:val="nil"/>
              <w:left w:val="nil"/>
              <w:bottom w:val="nil"/>
              <w:right w:val="nil"/>
            </w:tcBorders>
            <w:shd w:val="clear" w:color="auto" w:fill="auto"/>
            <w:noWrap/>
            <w:vAlign w:val="bottom"/>
            <w:hideMark/>
          </w:tcPr>
          <w:p w14:paraId="59D4870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709" w:type="dxa"/>
            <w:tcBorders>
              <w:top w:val="nil"/>
              <w:left w:val="nil"/>
              <w:bottom w:val="nil"/>
              <w:right w:val="nil"/>
            </w:tcBorders>
            <w:shd w:val="clear" w:color="auto" w:fill="auto"/>
            <w:noWrap/>
            <w:vAlign w:val="bottom"/>
            <w:hideMark/>
          </w:tcPr>
          <w:p w14:paraId="494CF53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 </w:t>
            </w:r>
          </w:p>
        </w:tc>
        <w:tc>
          <w:tcPr>
            <w:tcW w:w="709" w:type="dxa"/>
            <w:tcBorders>
              <w:top w:val="nil"/>
              <w:left w:val="nil"/>
              <w:bottom w:val="nil"/>
              <w:right w:val="nil"/>
            </w:tcBorders>
            <w:shd w:val="clear" w:color="auto" w:fill="auto"/>
            <w:noWrap/>
            <w:vAlign w:val="bottom"/>
            <w:hideMark/>
          </w:tcPr>
          <w:p w14:paraId="2867A7A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709" w:type="dxa"/>
            <w:tcBorders>
              <w:top w:val="nil"/>
              <w:left w:val="nil"/>
              <w:bottom w:val="nil"/>
              <w:right w:val="nil"/>
            </w:tcBorders>
            <w:shd w:val="clear" w:color="auto" w:fill="auto"/>
            <w:noWrap/>
            <w:vAlign w:val="bottom"/>
            <w:hideMark/>
          </w:tcPr>
          <w:p w14:paraId="2B98853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 </w:t>
            </w:r>
          </w:p>
        </w:tc>
        <w:tc>
          <w:tcPr>
            <w:tcW w:w="567" w:type="dxa"/>
            <w:tcBorders>
              <w:top w:val="nil"/>
              <w:left w:val="nil"/>
              <w:bottom w:val="nil"/>
              <w:right w:val="nil"/>
            </w:tcBorders>
            <w:shd w:val="clear" w:color="auto" w:fill="auto"/>
            <w:noWrap/>
            <w:vAlign w:val="bottom"/>
            <w:hideMark/>
          </w:tcPr>
          <w:p w14:paraId="153C7CD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134" w:type="dxa"/>
            <w:tcBorders>
              <w:top w:val="nil"/>
              <w:left w:val="nil"/>
              <w:bottom w:val="nil"/>
              <w:right w:val="nil"/>
            </w:tcBorders>
            <w:shd w:val="clear" w:color="auto" w:fill="auto"/>
            <w:noWrap/>
            <w:vAlign w:val="bottom"/>
            <w:hideMark/>
          </w:tcPr>
          <w:p w14:paraId="4C8EB58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 </w:t>
            </w:r>
          </w:p>
        </w:tc>
        <w:tc>
          <w:tcPr>
            <w:tcW w:w="1417" w:type="dxa"/>
            <w:tcBorders>
              <w:top w:val="nil"/>
              <w:left w:val="nil"/>
              <w:bottom w:val="nil"/>
              <w:right w:val="nil"/>
            </w:tcBorders>
            <w:shd w:val="clear" w:color="auto" w:fill="auto"/>
            <w:noWrap/>
            <w:vAlign w:val="bottom"/>
            <w:hideMark/>
          </w:tcPr>
          <w:p w14:paraId="19D6B8F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16 </w:t>
            </w:r>
          </w:p>
        </w:tc>
        <w:tc>
          <w:tcPr>
            <w:tcW w:w="1134" w:type="dxa"/>
            <w:tcBorders>
              <w:top w:val="nil"/>
              <w:left w:val="nil"/>
              <w:bottom w:val="nil"/>
              <w:right w:val="nil"/>
            </w:tcBorders>
            <w:shd w:val="clear" w:color="auto" w:fill="auto"/>
            <w:noWrap/>
            <w:vAlign w:val="bottom"/>
            <w:hideMark/>
          </w:tcPr>
          <w:p w14:paraId="5D8282B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1.40 </w:t>
            </w:r>
          </w:p>
        </w:tc>
      </w:tr>
      <w:tr w:rsidR="00AC362E" w:rsidRPr="00257F87" w14:paraId="21C2B696" w14:textId="77777777" w:rsidTr="00ED0631">
        <w:trPr>
          <w:trHeight w:val="315"/>
        </w:trPr>
        <w:tc>
          <w:tcPr>
            <w:tcW w:w="1480" w:type="dxa"/>
            <w:tcBorders>
              <w:top w:val="single" w:sz="4" w:space="0" w:color="auto"/>
              <w:left w:val="nil"/>
              <w:bottom w:val="single" w:sz="4" w:space="0" w:color="auto"/>
              <w:right w:val="nil"/>
            </w:tcBorders>
            <w:vAlign w:val="bottom"/>
          </w:tcPr>
          <w:p w14:paraId="16AD0AC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p>
        </w:tc>
        <w:tc>
          <w:tcPr>
            <w:tcW w:w="1480" w:type="dxa"/>
            <w:tcBorders>
              <w:top w:val="single" w:sz="4" w:space="0" w:color="auto"/>
              <w:left w:val="nil"/>
              <w:bottom w:val="single" w:sz="4" w:space="0" w:color="auto"/>
              <w:right w:val="nil"/>
            </w:tcBorders>
            <w:shd w:val="clear" w:color="auto" w:fill="auto"/>
            <w:noWrap/>
            <w:vAlign w:val="bottom"/>
            <w:hideMark/>
          </w:tcPr>
          <w:p w14:paraId="07821DE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662" w:type="dxa"/>
            <w:tcBorders>
              <w:top w:val="single" w:sz="4" w:space="0" w:color="auto"/>
              <w:left w:val="nil"/>
              <w:bottom w:val="single" w:sz="4" w:space="0" w:color="auto"/>
              <w:right w:val="nil"/>
            </w:tcBorders>
            <w:shd w:val="clear" w:color="auto" w:fill="auto"/>
            <w:noWrap/>
            <w:vAlign w:val="bottom"/>
            <w:hideMark/>
          </w:tcPr>
          <w:p w14:paraId="25C2CD1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220 </w:t>
            </w:r>
          </w:p>
        </w:tc>
        <w:tc>
          <w:tcPr>
            <w:tcW w:w="708" w:type="dxa"/>
            <w:tcBorders>
              <w:top w:val="single" w:sz="4" w:space="0" w:color="auto"/>
              <w:left w:val="nil"/>
              <w:bottom w:val="single" w:sz="4" w:space="0" w:color="auto"/>
              <w:right w:val="nil"/>
            </w:tcBorders>
            <w:shd w:val="clear" w:color="auto" w:fill="auto"/>
            <w:noWrap/>
            <w:vAlign w:val="bottom"/>
            <w:hideMark/>
          </w:tcPr>
          <w:p w14:paraId="3D42A37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210 </w:t>
            </w:r>
          </w:p>
        </w:tc>
        <w:tc>
          <w:tcPr>
            <w:tcW w:w="709" w:type="dxa"/>
            <w:tcBorders>
              <w:top w:val="single" w:sz="4" w:space="0" w:color="auto"/>
              <w:left w:val="nil"/>
              <w:bottom w:val="single" w:sz="4" w:space="0" w:color="auto"/>
              <w:right w:val="nil"/>
            </w:tcBorders>
            <w:shd w:val="clear" w:color="auto" w:fill="auto"/>
            <w:noWrap/>
            <w:vAlign w:val="bottom"/>
            <w:hideMark/>
          </w:tcPr>
          <w:p w14:paraId="40865B0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97 </w:t>
            </w:r>
          </w:p>
        </w:tc>
        <w:tc>
          <w:tcPr>
            <w:tcW w:w="709" w:type="dxa"/>
            <w:tcBorders>
              <w:top w:val="single" w:sz="4" w:space="0" w:color="auto"/>
              <w:left w:val="nil"/>
              <w:bottom w:val="single" w:sz="4" w:space="0" w:color="auto"/>
              <w:right w:val="nil"/>
            </w:tcBorders>
            <w:shd w:val="clear" w:color="auto" w:fill="auto"/>
            <w:noWrap/>
            <w:vAlign w:val="bottom"/>
            <w:hideMark/>
          </w:tcPr>
          <w:p w14:paraId="7D5F285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31 </w:t>
            </w:r>
          </w:p>
        </w:tc>
        <w:tc>
          <w:tcPr>
            <w:tcW w:w="709" w:type="dxa"/>
            <w:tcBorders>
              <w:top w:val="single" w:sz="4" w:space="0" w:color="auto"/>
              <w:left w:val="nil"/>
              <w:bottom w:val="single" w:sz="4" w:space="0" w:color="auto"/>
              <w:right w:val="nil"/>
            </w:tcBorders>
            <w:shd w:val="clear" w:color="auto" w:fill="auto"/>
            <w:noWrap/>
            <w:vAlign w:val="bottom"/>
            <w:hideMark/>
          </w:tcPr>
          <w:p w14:paraId="469B2A5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 </w:t>
            </w:r>
          </w:p>
        </w:tc>
        <w:tc>
          <w:tcPr>
            <w:tcW w:w="567" w:type="dxa"/>
            <w:tcBorders>
              <w:top w:val="single" w:sz="4" w:space="0" w:color="auto"/>
              <w:left w:val="nil"/>
              <w:bottom w:val="single" w:sz="4" w:space="0" w:color="auto"/>
              <w:right w:val="nil"/>
            </w:tcBorders>
            <w:shd w:val="clear" w:color="auto" w:fill="auto"/>
            <w:noWrap/>
            <w:vAlign w:val="bottom"/>
            <w:hideMark/>
          </w:tcPr>
          <w:p w14:paraId="49B3D69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1134" w:type="dxa"/>
            <w:tcBorders>
              <w:top w:val="single" w:sz="4" w:space="0" w:color="auto"/>
              <w:left w:val="nil"/>
              <w:bottom w:val="single" w:sz="4" w:space="0" w:color="auto"/>
              <w:right w:val="nil"/>
            </w:tcBorders>
            <w:shd w:val="clear" w:color="auto" w:fill="auto"/>
            <w:noWrap/>
            <w:vAlign w:val="bottom"/>
            <w:hideMark/>
          </w:tcPr>
          <w:p w14:paraId="133D602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572 </w:t>
            </w:r>
          </w:p>
        </w:tc>
        <w:tc>
          <w:tcPr>
            <w:tcW w:w="1417" w:type="dxa"/>
            <w:tcBorders>
              <w:top w:val="single" w:sz="4" w:space="0" w:color="auto"/>
              <w:left w:val="nil"/>
              <w:bottom w:val="single" w:sz="4" w:space="0" w:color="auto"/>
              <w:right w:val="nil"/>
            </w:tcBorders>
            <w:shd w:val="clear" w:color="auto" w:fill="auto"/>
            <w:noWrap/>
            <w:vAlign w:val="bottom"/>
            <w:hideMark/>
          </w:tcPr>
          <w:p w14:paraId="349DF86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1,128 </w:t>
            </w:r>
          </w:p>
        </w:tc>
        <w:tc>
          <w:tcPr>
            <w:tcW w:w="1134" w:type="dxa"/>
            <w:tcBorders>
              <w:top w:val="single" w:sz="4" w:space="0" w:color="auto"/>
              <w:left w:val="nil"/>
              <w:bottom w:val="single" w:sz="4" w:space="0" w:color="auto"/>
              <w:right w:val="nil"/>
            </w:tcBorders>
            <w:shd w:val="clear" w:color="auto" w:fill="auto"/>
            <w:noWrap/>
            <w:vAlign w:val="bottom"/>
            <w:hideMark/>
          </w:tcPr>
          <w:p w14:paraId="2B4F718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1.97 </w:t>
            </w:r>
          </w:p>
        </w:tc>
      </w:tr>
    </w:tbl>
    <w:p w14:paraId="45E365F8" w14:textId="77777777" w:rsidR="00AC362E" w:rsidRPr="0084107D" w:rsidRDefault="00AC362E" w:rsidP="00ED0631"/>
    <w:p w14:paraId="3FCBADE4" w14:textId="77777777" w:rsidR="00AC362E" w:rsidRPr="0084107D" w:rsidRDefault="00AC362E" w:rsidP="00ED0631">
      <w:pPr>
        <w:sectPr w:rsidR="00AC362E" w:rsidRPr="0084107D" w:rsidSect="00ED0631">
          <w:footerReference w:type="default" r:id="rId75"/>
          <w:pgSz w:w="16838" w:h="11906" w:orient="landscape"/>
          <w:pgMar w:top="1440" w:right="1440" w:bottom="1440" w:left="1440" w:header="708" w:footer="708" w:gutter="0"/>
          <w:pgNumType w:start="1"/>
          <w:cols w:space="708"/>
          <w:docGrid w:linePitch="360"/>
        </w:sectPr>
      </w:pPr>
    </w:p>
    <w:tbl>
      <w:tblPr>
        <w:tblW w:w="6520" w:type="dxa"/>
        <w:tblInd w:w="93" w:type="dxa"/>
        <w:tblLook w:val="04A0" w:firstRow="1" w:lastRow="0" w:firstColumn="1" w:lastColumn="0" w:noHBand="0" w:noVBand="1"/>
      </w:tblPr>
      <w:tblGrid>
        <w:gridCol w:w="2009"/>
        <w:gridCol w:w="1483"/>
        <w:gridCol w:w="1514"/>
        <w:gridCol w:w="1514"/>
      </w:tblGrid>
      <w:tr w:rsidR="00AC362E" w:rsidRPr="00257F87" w14:paraId="7CD02DCD" w14:textId="77777777" w:rsidTr="00470803">
        <w:trPr>
          <w:trHeight w:val="315"/>
        </w:trPr>
        <w:tc>
          <w:tcPr>
            <w:tcW w:w="6520" w:type="dxa"/>
            <w:gridSpan w:val="4"/>
            <w:tcBorders>
              <w:top w:val="nil"/>
              <w:left w:val="nil"/>
              <w:bottom w:val="nil"/>
              <w:right w:val="nil"/>
            </w:tcBorders>
            <w:shd w:val="clear" w:color="auto" w:fill="auto"/>
            <w:noWrap/>
            <w:vAlign w:val="bottom"/>
            <w:hideMark/>
          </w:tcPr>
          <w:p w14:paraId="03DAD2A8" w14:textId="77777777" w:rsidR="00AC362E" w:rsidRPr="00257F87"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257F87">
              <w:rPr>
                <w:rFonts w:asciiTheme="majorHAnsi" w:eastAsia="Times New Roman" w:hAnsiTheme="majorHAnsi" w:cstheme="majorHAnsi"/>
                <w:b/>
                <w:color w:val="000000"/>
                <w:lang w:eastAsia="en-AU"/>
              </w:rPr>
              <w:lastRenderedPageBreak/>
              <w:t>Table 2a: Enrolment status of basic education eligible children</w:t>
            </w:r>
          </w:p>
        </w:tc>
      </w:tr>
      <w:tr w:rsidR="00AC362E" w:rsidRPr="00257F87" w14:paraId="27D2E7A6" w14:textId="77777777" w:rsidTr="00470803">
        <w:trPr>
          <w:trHeight w:val="315"/>
        </w:trPr>
        <w:tc>
          <w:tcPr>
            <w:tcW w:w="2009" w:type="dxa"/>
            <w:tcBorders>
              <w:top w:val="single" w:sz="4" w:space="0" w:color="auto"/>
              <w:left w:val="nil"/>
              <w:bottom w:val="single" w:sz="4" w:space="0" w:color="auto"/>
              <w:right w:val="nil"/>
            </w:tcBorders>
            <w:shd w:val="clear" w:color="auto" w:fill="auto"/>
            <w:noWrap/>
            <w:vAlign w:val="bottom"/>
            <w:hideMark/>
          </w:tcPr>
          <w:p w14:paraId="597A0935" w14:textId="77777777" w:rsidR="00AC362E" w:rsidRPr="00257F87" w:rsidRDefault="00AC362E" w:rsidP="00ED0631">
            <w:pPr>
              <w:spacing w:after="0"/>
              <w:rPr>
                <w:rFonts w:asciiTheme="majorHAnsi" w:eastAsia="Times New Roman" w:hAnsiTheme="majorHAnsi" w:cstheme="majorHAnsi"/>
                <w:b/>
                <w:bCs/>
                <w:color w:val="000000"/>
                <w:lang w:eastAsia="en-AU"/>
              </w:rPr>
            </w:pPr>
            <w:r w:rsidRPr="00257F87">
              <w:rPr>
                <w:rFonts w:asciiTheme="majorHAnsi" w:eastAsia="Times New Roman" w:hAnsiTheme="majorHAnsi" w:cstheme="majorHAnsi"/>
                <w:b/>
                <w:bCs/>
                <w:color w:val="000000"/>
                <w:lang w:eastAsia="en-AU"/>
              </w:rPr>
              <w:t>Unweighted</w:t>
            </w:r>
          </w:p>
        </w:tc>
        <w:tc>
          <w:tcPr>
            <w:tcW w:w="1483" w:type="dxa"/>
            <w:tcBorders>
              <w:top w:val="single" w:sz="4" w:space="0" w:color="auto"/>
              <w:left w:val="nil"/>
              <w:bottom w:val="single" w:sz="4" w:space="0" w:color="auto"/>
              <w:right w:val="nil"/>
            </w:tcBorders>
            <w:shd w:val="clear" w:color="auto" w:fill="auto"/>
            <w:noWrap/>
            <w:vAlign w:val="bottom"/>
            <w:hideMark/>
          </w:tcPr>
          <w:p w14:paraId="39C01A4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514" w:type="dxa"/>
            <w:tcBorders>
              <w:top w:val="single" w:sz="4" w:space="0" w:color="auto"/>
              <w:left w:val="nil"/>
              <w:bottom w:val="single" w:sz="4" w:space="0" w:color="auto"/>
              <w:right w:val="nil"/>
            </w:tcBorders>
            <w:shd w:val="clear" w:color="auto" w:fill="auto"/>
            <w:noWrap/>
            <w:vAlign w:val="bottom"/>
            <w:hideMark/>
          </w:tcPr>
          <w:p w14:paraId="19BD28C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514" w:type="dxa"/>
            <w:tcBorders>
              <w:top w:val="single" w:sz="4" w:space="0" w:color="auto"/>
              <w:left w:val="nil"/>
              <w:bottom w:val="single" w:sz="4" w:space="0" w:color="auto"/>
              <w:right w:val="nil"/>
            </w:tcBorders>
            <w:shd w:val="clear" w:color="auto" w:fill="auto"/>
            <w:noWrap/>
            <w:vAlign w:val="bottom"/>
            <w:hideMark/>
          </w:tcPr>
          <w:p w14:paraId="08D328D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r>
      <w:tr w:rsidR="00AC362E" w:rsidRPr="00257F87" w14:paraId="3F1B3806" w14:textId="77777777" w:rsidTr="00470803">
        <w:trPr>
          <w:trHeight w:val="315"/>
        </w:trPr>
        <w:tc>
          <w:tcPr>
            <w:tcW w:w="2009" w:type="dxa"/>
            <w:tcBorders>
              <w:top w:val="nil"/>
              <w:left w:val="nil"/>
              <w:bottom w:val="single" w:sz="4" w:space="0" w:color="auto"/>
              <w:right w:val="nil"/>
            </w:tcBorders>
            <w:shd w:val="clear" w:color="auto" w:fill="auto"/>
            <w:noWrap/>
            <w:vAlign w:val="bottom"/>
            <w:hideMark/>
          </w:tcPr>
          <w:p w14:paraId="610D847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Enrolment status</w:t>
            </w:r>
          </w:p>
        </w:tc>
        <w:tc>
          <w:tcPr>
            <w:tcW w:w="1483" w:type="dxa"/>
            <w:tcBorders>
              <w:top w:val="nil"/>
              <w:left w:val="nil"/>
              <w:bottom w:val="single" w:sz="4" w:space="0" w:color="auto"/>
              <w:right w:val="nil"/>
            </w:tcBorders>
            <w:shd w:val="clear" w:color="auto" w:fill="auto"/>
            <w:noWrap/>
            <w:vAlign w:val="bottom"/>
            <w:hideMark/>
          </w:tcPr>
          <w:p w14:paraId="5EA0067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Not Enrolled</w:t>
            </w:r>
          </w:p>
        </w:tc>
        <w:tc>
          <w:tcPr>
            <w:tcW w:w="1514" w:type="dxa"/>
            <w:tcBorders>
              <w:top w:val="nil"/>
              <w:left w:val="nil"/>
              <w:bottom w:val="single" w:sz="4" w:space="0" w:color="auto"/>
              <w:right w:val="nil"/>
            </w:tcBorders>
            <w:shd w:val="clear" w:color="auto" w:fill="auto"/>
            <w:noWrap/>
            <w:vAlign w:val="bottom"/>
            <w:hideMark/>
          </w:tcPr>
          <w:p w14:paraId="3C262F9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Enrolled</w:t>
            </w:r>
          </w:p>
        </w:tc>
        <w:tc>
          <w:tcPr>
            <w:tcW w:w="1514" w:type="dxa"/>
            <w:tcBorders>
              <w:top w:val="nil"/>
              <w:left w:val="nil"/>
              <w:bottom w:val="single" w:sz="4" w:space="0" w:color="auto"/>
              <w:right w:val="nil"/>
            </w:tcBorders>
            <w:shd w:val="clear" w:color="auto" w:fill="auto"/>
            <w:noWrap/>
            <w:vAlign w:val="bottom"/>
            <w:hideMark/>
          </w:tcPr>
          <w:p w14:paraId="1FFCC4E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p>
        </w:tc>
      </w:tr>
      <w:tr w:rsidR="00AC362E" w:rsidRPr="00257F87" w14:paraId="4AD4B077" w14:textId="77777777" w:rsidTr="00470803">
        <w:trPr>
          <w:trHeight w:val="315"/>
        </w:trPr>
        <w:tc>
          <w:tcPr>
            <w:tcW w:w="2009" w:type="dxa"/>
            <w:tcBorders>
              <w:top w:val="nil"/>
              <w:left w:val="nil"/>
              <w:bottom w:val="nil"/>
              <w:right w:val="nil"/>
            </w:tcBorders>
            <w:shd w:val="clear" w:color="auto" w:fill="auto"/>
            <w:noWrap/>
            <w:vAlign w:val="bottom"/>
            <w:hideMark/>
          </w:tcPr>
          <w:p w14:paraId="1241110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Abaiang</w:t>
            </w:r>
          </w:p>
        </w:tc>
        <w:tc>
          <w:tcPr>
            <w:tcW w:w="1483" w:type="dxa"/>
            <w:tcBorders>
              <w:top w:val="nil"/>
              <w:left w:val="nil"/>
              <w:bottom w:val="nil"/>
              <w:right w:val="nil"/>
            </w:tcBorders>
            <w:shd w:val="clear" w:color="auto" w:fill="auto"/>
            <w:noWrap/>
            <w:vAlign w:val="bottom"/>
            <w:hideMark/>
          </w:tcPr>
          <w:p w14:paraId="6537F58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514" w:type="dxa"/>
            <w:tcBorders>
              <w:top w:val="nil"/>
              <w:left w:val="nil"/>
              <w:bottom w:val="nil"/>
              <w:right w:val="nil"/>
            </w:tcBorders>
            <w:shd w:val="clear" w:color="auto" w:fill="auto"/>
            <w:noWrap/>
            <w:vAlign w:val="bottom"/>
            <w:hideMark/>
          </w:tcPr>
          <w:p w14:paraId="2ED2A1F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106 </w:t>
            </w:r>
          </w:p>
        </w:tc>
        <w:tc>
          <w:tcPr>
            <w:tcW w:w="1514" w:type="dxa"/>
            <w:tcBorders>
              <w:top w:val="nil"/>
              <w:left w:val="nil"/>
              <w:bottom w:val="nil"/>
              <w:right w:val="nil"/>
            </w:tcBorders>
            <w:shd w:val="clear" w:color="auto" w:fill="auto"/>
            <w:noWrap/>
            <w:vAlign w:val="bottom"/>
            <w:hideMark/>
          </w:tcPr>
          <w:p w14:paraId="619C78D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106 </w:t>
            </w:r>
          </w:p>
        </w:tc>
      </w:tr>
      <w:tr w:rsidR="00AC362E" w:rsidRPr="00257F87" w14:paraId="6047BF0D" w14:textId="77777777" w:rsidTr="00470803">
        <w:trPr>
          <w:trHeight w:val="315"/>
        </w:trPr>
        <w:tc>
          <w:tcPr>
            <w:tcW w:w="2009" w:type="dxa"/>
            <w:tcBorders>
              <w:top w:val="nil"/>
              <w:left w:val="nil"/>
              <w:bottom w:val="nil"/>
              <w:right w:val="nil"/>
            </w:tcBorders>
            <w:shd w:val="clear" w:color="auto" w:fill="auto"/>
            <w:noWrap/>
            <w:vAlign w:val="bottom"/>
            <w:hideMark/>
          </w:tcPr>
          <w:p w14:paraId="5C828F5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Butartari</w:t>
            </w:r>
          </w:p>
        </w:tc>
        <w:tc>
          <w:tcPr>
            <w:tcW w:w="1483" w:type="dxa"/>
            <w:tcBorders>
              <w:top w:val="nil"/>
              <w:left w:val="nil"/>
              <w:bottom w:val="nil"/>
              <w:right w:val="nil"/>
            </w:tcBorders>
            <w:shd w:val="clear" w:color="auto" w:fill="auto"/>
            <w:noWrap/>
            <w:vAlign w:val="bottom"/>
            <w:hideMark/>
          </w:tcPr>
          <w:p w14:paraId="17C1A25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 </w:t>
            </w:r>
          </w:p>
        </w:tc>
        <w:tc>
          <w:tcPr>
            <w:tcW w:w="1514" w:type="dxa"/>
            <w:tcBorders>
              <w:top w:val="nil"/>
              <w:left w:val="nil"/>
              <w:bottom w:val="nil"/>
              <w:right w:val="nil"/>
            </w:tcBorders>
            <w:shd w:val="clear" w:color="auto" w:fill="auto"/>
            <w:noWrap/>
            <w:vAlign w:val="bottom"/>
            <w:hideMark/>
          </w:tcPr>
          <w:p w14:paraId="7A7EDEF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105 </w:t>
            </w:r>
          </w:p>
        </w:tc>
        <w:tc>
          <w:tcPr>
            <w:tcW w:w="1514" w:type="dxa"/>
            <w:tcBorders>
              <w:top w:val="nil"/>
              <w:left w:val="nil"/>
              <w:bottom w:val="nil"/>
              <w:right w:val="nil"/>
            </w:tcBorders>
            <w:shd w:val="clear" w:color="auto" w:fill="auto"/>
            <w:noWrap/>
            <w:vAlign w:val="bottom"/>
            <w:hideMark/>
          </w:tcPr>
          <w:p w14:paraId="703C9C5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107 </w:t>
            </w:r>
          </w:p>
        </w:tc>
      </w:tr>
      <w:tr w:rsidR="00AC362E" w:rsidRPr="00257F87" w14:paraId="3ABE51D0" w14:textId="77777777" w:rsidTr="00470803">
        <w:trPr>
          <w:trHeight w:val="315"/>
        </w:trPr>
        <w:tc>
          <w:tcPr>
            <w:tcW w:w="2009" w:type="dxa"/>
            <w:tcBorders>
              <w:top w:val="nil"/>
              <w:left w:val="nil"/>
              <w:bottom w:val="nil"/>
              <w:right w:val="nil"/>
            </w:tcBorders>
            <w:shd w:val="clear" w:color="auto" w:fill="auto"/>
            <w:noWrap/>
            <w:vAlign w:val="bottom"/>
            <w:hideMark/>
          </w:tcPr>
          <w:p w14:paraId="3B794E2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Kiritimati</w:t>
            </w:r>
          </w:p>
        </w:tc>
        <w:tc>
          <w:tcPr>
            <w:tcW w:w="1483" w:type="dxa"/>
            <w:tcBorders>
              <w:top w:val="nil"/>
              <w:left w:val="nil"/>
              <w:bottom w:val="nil"/>
              <w:right w:val="nil"/>
            </w:tcBorders>
            <w:shd w:val="clear" w:color="auto" w:fill="auto"/>
            <w:noWrap/>
            <w:vAlign w:val="bottom"/>
            <w:hideMark/>
          </w:tcPr>
          <w:p w14:paraId="37B7443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514" w:type="dxa"/>
            <w:tcBorders>
              <w:top w:val="nil"/>
              <w:left w:val="nil"/>
              <w:bottom w:val="nil"/>
              <w:right w:val="nil"/>
            </w:tcBorders>
            <w:shd w:val="clear" w:color="auto" w:fill="auto"/>
            <w:noWrap/>
            <w:vAlign w:val="bottom"/>
            <w:hideMark/>
          </w:tcPr>
          <w:p w14:paraId="0CC0F85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86 </w:t>
            </w:r>
          </w:p>
        </w:tc>
        <w:tc>
          <w:tcPr>
            <w:tcW w:w="1514" w:type="dxa"/>
            <w:tcBorders>
              <w:top w:val="nil"/>
              <w:left w:val="nil"/>
              <w:bottom w:val="nil"/>
              <w:right w:val="nil"/>
            </w:tcBorders>
            <w:shd w:val="clear" w:color="auto" w:fill="auto"/>
            <w:noWrap/>
            <w:vAlign w:val="bottom"/>
            <w:hideMark/>
          </w:tcPr>
          <w:p w14:paraId="62037C2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86 </w:t>
            </w:r>
          </w:p>
        </w:tc>
      </w:tr>
      <w:tr w:rsidR="00AC362E" w:rsidRPr="00257F87" w14:paraId="1A05EFF5" w14:textId="77777777" w:rsidTr="00470803">
        <w:trPr>
          <w:trHeight w:val="315"/>
        </w:trPr>
        <w:tc>
          <w:tcPr>
            <w:tcW w:w="2009" w:type="dxa"/>
            <w:tcBorders>
              <w:top w:val="nil"/>
              <w:left w:val="nil"/>
              <w:bottom w:val="nil"/>
              <w:right w:val="nil"/>
            </w:tcBorders>
            <w:shd w:val="clear" w:color="auto" w:fill="auto"/>
            <w:noWrap/>
            <w:vAlign w:val="bottom"/>
            <w:hideMark/>
          </w:tcPr>
          <w:p w14:paraId="32555F2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Maiana</w:t>
            </w:r>
          </w:p>
        </w:tc>
        <w:tc>
          <w:tcPr>
            <w:tcW w:w="1483" w:type="dxa"/>
            <w:tcBorders>
              <w:top w:val="nil"/>
              <w:left w:val="nil"/>
              <w:bottom w:val="nil"/>
              <w:right w:val="nil"/>
            </w:tcBorders>
            <w:shd w:val="clear" w:color="auto" w:fill="auto"/>
            <w:noWrap/>
            <w:vAlign w:val="bottom"/>
            <w:hideMark/>
          </w:tcPr>
          <w:p w14:paraId="102FEC5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514" w:type="dxa"/>
            <w:tcBorders>
              <w:top w:val="nil"/>
              <w:left w:val="nil"/>
              <w:bottom w:val="nil"/>
              <w:right w:val="nil"/>
            </w:tcBorders>
            <w:shd w:val="clear" w:color="auto" w:fill="auto"/>
            <w:noWrap/>
            <w:vAlign w:val="bottom"/>
            <w:hideMark/>
          </w:tcPr>
          <w:p w14:paraId="198A1CD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74 </w:t>
            </w:r>
          </w:p>
        </w:tc>
        <w:tc>
          <w:tcPr>
            <w:tcW w:w="1514" w:type="dxa"/>
            <w:tcBorders>
              <w:top w:val="nil"/>
              <w:left w:val="nil"/>
              <w:bottom w:val="nil"/>
              <w:right w:val="nil"/>
            </w:tcBorders>
            <w:shd w:val="clear" w:color="auto" w:fill="auto"/>
            <w:noWrap/>
            <w:vAlign w:val="bottom"/>
            <w:hideMark/>
          </w:tcPr>
          <w:p w14:paraId="62816B8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75 </w:t>
            </w:r>
          </w:p>
        </w:tc>
      </w:tr>
      <w:tr w:rsidR="00AC362E" w:rsidRPr="00257F87" w14:paraId="24CBF2A9" w14:textId="77777777" w:rsidTr="00470803">
        <w:trPr>
          <w:trHeight w:val="315"/>
        </w:trPr>
        <w:tc>
          <w:tcPr>
            <w:tcW w:w="2009" w:type="dxa"/>
            <w:tcBorders>
              <w:top w:val="nil"/>
              <w:left w:val="nil"/>
              <w:bottom w:val="nil"/>
              <w:right w:val="nil"/>
            </w:tcBorders>
            <w:shd w:val="clear" w:color="auto" w:fill="auto"/>
            <w:noWrap/>
            <w:vAlign w:val="bottom"/>
            <w:hideMark/>
          </w:tcPr>
          <w:p w14:paraId="70D3576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Nonouti</w:t>
            </w:r>
          </w:p>
        </w:tc>
        <w:tc>
          <w:tcPr>
            <w:tcW w:w="1483" w:type="dxa"/>
            <w:tcBorders>
              <w:top w:val="nil"/>
              <w:left w:val="nil"/>
              <w:bottom w:val="nil"/>
              <w:right w:val="nil"/>
            </w:tcBorders>
            <w:shd w:val="clear" w:color="auto" w:fill="auto"/>
            <w:noWrap/>
            <w:vAlign w:val="bottom"/>
            <w:hideMark/>
          </w:tcPr>
          <w:p w14:paraId="76CCFC9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514" w:type="dxa"/>
            <w:tcBorders>
              <w:top w:val="nil"/>
              <w:left w:val="nil"/>
              <w:bottom w:val="nil"/>
              <w:right w:val="nil"/>
            </w:tcBorders>
            <w:shd w:val="clear" w:color="auto" w:fill="auto"/>
            <w:noWrap/>
            <w:vAlign w:val="bottom"/>
            <w:hideMark/>
          </w:tcPr>
          <w:p w14:paraId="3103BF9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100 </w:t>
            </w:r>
          </w:p>
        </w:tc>
        <w:tc>
          <w:tcPr>
            <w:tcW w:w="1514" w:type="dxa"/>
            <w:tcBorders>
              <w:top w:val="nil"/>
              <w:left w:val="nil"/>
              <w:bottom w:val="nil"/>
              <w:right w:val="nil"/>
            </w:tcBorders>
            <w:shd w:val="clear" w:color="auto" w:fill="auto"/>
            <w:noWrap/>
            <w:vAlign w:val="bottom"/>
            <w:hideMark/>
          </w:tcPr>
          <w:p w14:paraId="77DAED3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101 </w:t>
            </w:r>
          </w:p>
        </w:tc>
      </w:tr>
      <w:tr w:rsidR="00AC362E" w:rsidRPr="00257F87" w14:paraId="54B62D1E" w14:textId="77777777" w:rsidTr="00470803">
        <w:trPr>
          <w:trHeight w:val="315"/>
        </w:trPr>
        <w:tc>
          <w:tcPr>
            <w:tcW w:w="2009" w:type="dxa"/>
            <w:tcBorders>
              <w:top w:val="nil"/>
              <w:left w:val="nil"/>
              <w:bottom w:val="nil"/>
              <w:right w:val="nil"/>
            </w:tcBorders>
            <w:shd w:val="clear" w:color="auto" w:fill="auto"/>
            <w:noWrap/>
            <w:vAlign w:val="bottom"/>
            <w:hideMark/>
          </w:tcPr>
          <w:p w14:paraId="3F290B8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Tabiteuea</w:t>
            </w:r>
          </w:p>
        </w:tc>
        <w:tc>
          <w:tcPr>
            <w:tcW w:w="1483" w:type="dxa"/>
            <w:tcBorders>
              <w:top w:val="nil"/>
              <w:left w:val="nil"/>
              <w:bottom w:val="nil"/>
              <w:right w:val="nil"/>
            </w:tcBorders>
            <w:shd w:val="clear" w:color="auto" w:fill="auto"/>
            <w:noWrap/>
            <w:vAlign w:val="bottom"/>
            <w:hideMark/>
          </w:tcPr>
          <w:p w14:paraId="24ACBEA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1514" w:type="dxa"/>
            <w:tcBorders>
              <w:top w:val="nil"/>
              <w:left w:val="nil"/>
              <w:bottom w:val="nil"/>
              <w:right w:val="nil"/>
            </w:tcBorders>
            <w:shd w:val="clear" w:color="auto" w:fill="auto"/>
            <w:noWrap/>
            <w:vAlign w:val="bottom"/>
            <w:hideMark/>
          </w:tcPr>
          <w:p w14:paraId="121A900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81 </w:t>
            </w:r>
          </w:p>
        </w:tc>
        <w:tc>
          <w:tcPr>
            <w:tcW w:w="1514" w:type="dxa"/>
            <w:tcBorders>
              <w:top w:val="nil"/>
              <w:left w:val="nil"/>
              <w:bottom w:val="nil"/>
              <w:right w:val="nil"/>
            </w:tcBorders>
            <w:shd w:val="clear" w:color="auto" w:fill="auto"/>
            <w:noWrap/>
            <w:vAlign w:val="bottom"/>
            <w:hideMark/>
          </w:tcPr>
          <w:p w14:paraId="2014B02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85 </w:t>
            </w:r>
          </w:p>
        </w:tc>
      </w:tr>
      <w:tr w:rsidR="00AC362E" w:rsidRPr="00257F87" w14:paraId="47E41CB3" w14:textId="77777777" w:rsidTr="00470803">
        <w:trPr>
          <w:trHeight w:val="315"/>
        </w:trPr>
        <w:tc>
          <w:tcPr>
            <w:tcW w:w="2009" w:type="dxa"/>
            <w:tcBorders>
              <w:top w:val="nil"/>
              <w:left w:val="nil"/>
              <w:bottom w:val="nil"/>
              <w:right w:val="nil"/>
            </w:tcBorders>
            <w:shd w:val="clear" w:color="auto" w:fill="auto"/>
            <w:noWrap/>
            <w:vAlign w:val="bottom"/>
            <w:hideMark/>
          </w:tcPr>
          <w:p w14:paraId="6BEDC22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Tarawa</w:t>
            </w:r>
          </w:p>
        </w:tc>
        <w:tc>
          <w:tcPr>
            <w:tcW w:w="1483" w:type="dxa"/>
            <w:tcBorders>
              <w:top w:val="nil"/>
              <w:left w:val="nil"/>
              <w:bottom w:val="nil"/>
              <w:right w:val="nil"/>
            </w:tcBorders>
            <w:shd w:val="clear" w:color="auto" w:fill="auto"/>
            <w:noWrap/>
            <w:vAlign w:val="bottom"/>
            <w:hideMark/>
          </w:tcPr>
          <w:p w14:paraId="1B3DF50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1514" w:type="dxa"/>
            <w:tcBorders>
              <w:top w:val="nil"/>
              <w:left w:val="nil"/>
              <w:bottom w:val="nil"/>
              <w:right w:val="nil"/>
            </w:tcBorders>
            <w:shd w:val="clear" w:color="auto" w:fill="auto"/>
            <w:noWrap/>
            <w:vAlign w:val="bottom"/>
            <w:hideMark/>
          </w:tcPr>
          <w:p w14:paraId="32ED396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90 </w:t>
            </w:r>
          </w:p>
        </w:tc>
        <w:tc>
          <w:tcPr>
            <w:tcW w:w="1514" w:type="dxa"/>
            <w:tcBorders>
              <w:top w:val="nil"/>
              <w:left w:val="nil"/>
              <w:bottom w:val="nil"/>
              <w:right w:val="nil"/>
            </w:tcBorders>
            <w:shd w:val="clear" w:color="auto" w:fill="auto"/>
            <w:noWrap/>
            <w:vAlign w:val="bottom"/>
            <w:hideMark/>
          </w:tcPr>
          <w:p w14:paraId="51BFD89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95 </w:t>
            </w:r>
          </w:p>
        </w:tc>
      </w:tr>
      <w:tr w:rsidR="00AC362E" w:rsidRPr="00257F87" w14:paraId="00ACEF01" w14:textId="77777777" w:rsidTr="00470803">
        <w:trPr>
          <w:trHeight w:val="315"/>
        </w:trPr>
        <w:tc>
          <w:tcPr>
            <w:tcW w:w="2009" w:type="dxa"/>
            <w:tcBorders>
              <w:top w:val="nil"/>
              <w:left w:val="nil"/>
              <w:bottom w:val="nil"/>
              <w:right w:val="nil"/>
            </w:tcBorders>
            <w:shd w:val="clear" w:color="auto" w:fill="auto"/>
            <w:noWrap/>
            <w:vAlign w:val="bottom"/>
            <w:hideMark/>
          </w:tcPr>
          <w:p w14:paraId="152DD9B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Tabiteuea</w:t>
            </w:r>
          </w:p>
        </w:tc>
        <w:tc>
          <w:tcPr>
            <w:tcW w:w="1483" w:type="dxa"/>
            <w:tcBorders>
              <w:top w:val="nil"/>
              <w:left w:val="nil"/>
              <w:bottom w:val="nil"/>
              <w:right w:val="nil"/>
            </w:tcBorders>
            <w:shd w:val="clear" w:color="auto" w:fill="auto"/>
            <w:noWrap/>
            <w:vAlign w:val="bottom"/>
            <w:hideMark/>
          </w:tcPr>
          <w:p w14:paraId="1B052CE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 </w:t>
            </w:r>
          </w:p>
        </w:tc>
        <w:tc>
          <w:tcPr>
            <w:tcW w:w="1514" w:type="dxa"/>
            <w:tcBorders>
              <w:top w:val="nil"/>
              <w:left w:val="nil"/>
              <w:bottom w:val="nil"/>
              <w:right w:val="nil"/>
            </w:tcBorders>
            <w:shd w:val="clear" w:color="auto" w:fill="auto"/>
            <w:noWrap/>
            <w:vAlign w:val="bottom"/>
            <w:hideMark/>
          </w:tcPr>
          <w:p w14:paraId="309845F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78 </w:t>
            </w:r>
          </w:p>
        </w:tc>
        <w:tc>
          <w:tcPr>
            <w:tcW w:w="1514" w:type="dxa"/>
            <w:tcBorders>
              <w:top w:val="nil"/>
              <w:left w:val="nil"/>
              <w:bottom w:val="nil"/>
              <w:right w:val="nil"/>
            </w:tcBorders>
            <w:shd w:val="clear" w:color="auto" w:fill="auto"/>
            <w:noWrap/>
            <w:vAlign w:val="bottom"/>
            <w:hideMark/>
          </w:tcPr>
          <w:p w14:paraId="5CC15A2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81 </w:t>
            </w:r>
          </w:p>
        </w:tc>
      </w:tr>
      <w:tr w:rsidR="00AC362E" w:rsidRPr="00257F87" w14:paraId="4715CFDD" w14:textId="77777777" w:rsidTr="00470803">
        <w:trPr>
          <w:trHeight w:val="315"/>
        </w:trPr>
        <w:tc>
          <w:tcPr>
            <w:tcW w:w="2009" w:type="dxa"/>
            <w:tcBorders>
              <w:top w:val="nil"/>
              <w:left w:val="nil"/>
              <w:bottom w:val="nil"/>
              <w:right w:val="nil"/>
            </w:tcBorders>
            <w:shd w:val="clear" w:color="auto" w:fill="auto"/>
            <w:noWrap/>
            <w:vAlign w:val="bottom"/>
            <w:hideMark/>
          </w:tcPr>
          <w:p w14:paraId="0559A28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Tarawa</w:t>
            </w:r>
          </w:p>
        </w:tc>
        <w:tc>
          <w:tcPr>
            <w:tcW w:w="1483" w:type="dxa"/>
            <w:tcBorders>
              <w:top w:val="nil"/>
              <w:left w:val="nil"/>
              <w:bottom w:val="nil"/>
              <w:right w:val="nil"/>
            </w:tcBorders>
            <w:shd w:val="clear" w:color="auto" w:fill="auto"/>
            <w:noWrap/>
            <w:vAlign w:val="bottom"/>
            <w:hideMark/>
          </w:tcPr>
          <w:p w14:paraId="5ABBD7A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 </w:t>
            </w:r>
          </w:p>
        </w:tc>
        <w:tc>
          <w:tcPr>
            <w:tcW w:w="1514" w:type="dxa"/>
            <w:tcBorders>
              <w:top w:val="nil"/>
              <w:left w:val="nil"/>
              <w:bottom w:val="nil"/>
              <w:right w:val="nil"/>
            </w:tcBorders>
            <w:shd w:val="clear" w:color="auto" w:fill="auto"/>
            <w:noWrap/>
            <w:vAlign w:val="bottom"/>
            <w:hideMark/>
          </w:tcPr>
          <w:p w14:paraId="734BF34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274 </w:t>
            </w:r>
          </w:p>
        </w:tc>
        <w:tc>
          <w:tcPr>
            <w:tcW w:w="1514" w:type="dxa"/>
            <w:tcBorders>
              <w:top w:val="nil"/>
              <w:left w:val="nil"/>
              <w:bottom w:val="nil"/>
              <w:right w:val="nil"/>
            </w:tcBorders>
            <w:shd w:val="clear" w:color="auto" w:fill="auto"/>
            <w:noWrap/>
            <w:vAlign w:val="bottom"/>
            <w:hideMark/>
          </w:tcPr>
          <w:p w14:paraId="43C065FF"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279 </w:t>
            </w:r>
          </w:p>
        </w:tc>
      </w:tr>
      <w:tr w:rsidR="00AC362E" w:rsidRPr="00257F87" w14:paraId="6E33D8FC" w14:textId="77777777" w:rsidTr="00470803">
        <w:trPr>
          <w:trHeight w:val="315"/>
        </w:trPr>
        <w:tc>
          <w:tcPr>
            <w:tcW w:w="2009" w:type="dxa"/>
            <w:tcBorders>
              <w:top w:val="nil"/>
              <w:left w:val="nil"/>
              <w:bottom w:val="nil"/>
              <w:right w:val="nil"/>
            </w:tcBorders>
            <w:shd w:val="clear" w:color="auto" w:fill="auto"/>
            <w:noWrap/>
            <w:vAlign w:val="bottom"/>
            <w:hideMark/>
          </w:tcPr>
          <w:p w14:paraId="2AD41E2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Tamana</w:t>
            </w:r>
          </w:p>
        </w:tc>
        <w:tc>
          <w:tcPr>
            <w:tcW w:w="1483" w:type="dxa"/>
            <w:tcBorders>
              <w:top w:val="nil"/>
              <w:left w:val="nil"/>
              <w:bottom w:val="nil"/>
              <w:right w:val="nil"/>
            </w:tcBorders>
            <w:shd w:val="clear" w:color="auto" w:fill="auto"/>
            <w:noWrap/>
            <w:vAlign w:val="bottom"/>
            <w:hideMark/>
          </w:tcPr>
          <w:p w14:paraId="2695F2A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514" w:type="dxa"/>
            <w:tcBorders>
              <w:top w:val="nil"/>
              <w:left w:val="nil"/>
              <w:bottom w:val="nil"/>
              <w:right w:val="nil"/>
            </w:tcBorders>
            <w:shd w:val="clear" w:color="auto" w:fill="auto"/>
            <w:noWrap/>
            <w:vAlign w:val="bottom"/>
            <w:hideMark/>
          </w:tcPr>
          <w:p w14:paraId="618B79E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66 </w:t>
            </w:r>
          </w:p>
        </w:tc>
        <w:tc>
          <w:tcPr>
            <w:tcW w:w="1514" w:type="dxa"/>
            <w:tcBorders>
              <w:top w:val="nil"/>
              <w:left w:val="nil"/>
              <w:bottom w:val="nil"/>
              <w:right w:val="nil"/>
            </w:tcBorders>
            <w:shd w:val="clear" w:color="auto" w:fill="auto"/>
            <w:noWrap/>
            <w:vAlign w:val="bottom"/>
            <w:hideMark/>
          </w:tcPr>
          <w:p w14:paraId="3ED0E02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66 </w:t>
            </w:r>
          </w:p>
        </w:tc>
      </w:tr>
      <w:tr w:rsidR="00AC362E" w:rsidRPr="00257F87" w14:paraId="2B758542" w14:textId="77777777" w:rsidTr="00470803">
        <w:trPr>
          <w:trHeight w:val="315"/>
        </w:trPr>
        <w:tc>
          <w:tcPr>
            <w:tcW w:w="2009" w:type="dxa"/>
            <w:tcBorders>
              <w:top w:val="single" w:sz="4" w:space="0" w:color="auto"/>
              <w:left w:val="nil"/>
              <w:bottom w:val="single" w:sz="4" w:space="0" w:color="auto"/>
              <w:right w:val="nil"/>
            </w:tcBorders>
            <w:shd w:val="clear" w:color="auto" w:fill="auto"/>
            <w:noWrap/>
            <w:vAlign w:val="bottom"/>
            <w:hideMark/>
          </w:tcPr>
          <w:p w14:paraId="56182AD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p>
        </w:tc>
        <w:tc>
          <w:tcPr>
            <w:tcW w:w="1483" w:type="dxa"/>
            <w:tcBorders>
              <w:top w:val="single" w:sz="4" w:space="0" w:color="auto"/>
              <w:left w:val="nil"/>
              <w:bottom w:val="single" w:sz="4" w:space="0" w:color="auto"/>
              <w:right w:val="nil"/>
            </w:tcBorders>
            <w:shd w:val="clear" w:color="auto" w:fill="auto"/>
            <w:noWrap/>
            <w:vAlign w:val="bottom"/>
            <w:hideMark/>
          </w:tcPr>
          <w:p w14:paraId="782F63B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21 </w:t>
            </w:r>
          </w:p>
        </w:tc>
        <w:tc>
          <w:tcPr>
            <w:tcW w:w="1514" w:type="dxa"/>
            <w:tcBorders>
              <w:top w:val="single" w:sz="4" w:space="0" w:color="auto"/>
              <w:left w:val="nil"/>
              <w:bottom w:val="single" w:sz="4" w:space="0" w:color="auto"/>
              <w:right w:val="nil"/>
            </w:tcBorders>
            <w:shd w:val="clear" w:color="auto" w:fill="auto"/>
            <w:noWrap/>
            <w:vAlign w:val="bottom"/>
            <w:hideMark/>
          </w:tcPr>
          <w:p w14:paraId="4D119B3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1,060 </w:t>
            </w:r>
          </w:p>
        </w:tc>
        <w:tc>
          <w:tcPr>
            <w:tcW w:w="1514" w:type="dxa"/>
            <w:tcBorders>
              <w:top w:val="single" w:sz="4" w:space="0" w:color="auto"/>
              <w:left w:val="nil"/>
              <w:bottom w:val="single" w:sz="4" w:space="0" w:color="auto"/>
              <w:right w:val="nil"/>
            </w:tcBorders>
            <w:shd w:val="clear" w:color="auto" w:fill="auto"/>
            <w:noWrap/>
            <w:vAlign w:val="bottom"/>
            <w:hideMark/>
          </w:tcPr>
          <w:p w14:paraId="377C026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1,081 </w:t>
            </w:r>
          </w:p>
        </w:tc>
      </w:tr>
    </w:tbl>
    <w:p w14:paraId="0FDB5E89" w14:textId="77777777" w:rsidR="00470803" w:rsidRDefault="00470803"/>
    <w:tbl>
      <w:tblPr>
        <w:tblW w:w="7103" w:type="dxa"/>
        <w:tblInd w:w="93" w:type="dxa"/>
        <w:tblLook w:val="04A0" w:firstRow="1" w:lastRow="0" w:firstColumn="1" w:lastColumn="0" w:noHBand="0" w:noVBand="1"/>
      </w:tblPr>
      <w:tblGrid>
        <w:gridCol w:w="1848"/>
        <w:gridCol w:w="1408"/>
        <w:gridCol w:w="1358"/>
        <w:gridCol w:w="1393"/>
        <w:gridCol w:w="1096"/>
      </w:tblGrid>
      <w:tr w:rsidR="00AC362E" w:rsidRPr="00257F87" w14:paraId="6F917DFE" w14:textId="77777777" w:rsidTr="00ED0631">
        <w:trPr>
          <w:trHeight w:val="315"/>
        </w:trPr>
        <w:tc>
          <w:tcPr>
            <w:tcW w:w="7103" w:type="dxa"/>
            <w:gridSpan w:val="5"/>
            <w:tcBorders>
              <w:top w:val="nil"/>
              <w:left w:val="nil"/>
              <w:bottom w:val="nil"/>
              <w:right w:val="nil"/>
            </w:tcBorders>
            <w:shd w:val="clear" w:color="auto" w:fill="auto"/>
            <w:noWrap/>
            <w:vAlign w:val="bottom"/>
            <w:hideMark/>
          </w:tcPr>
          <w:p w14:paraId="56860C44" w14:textId="77777777" w:rsidR="00AC362E" w:rsidRPr="00257F87"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257F87">
              <w:rPr>
                <w:rFonts w:asciiTheme="majorHAnsi" w:eastAsia="Times New Roman" w:hAnsiTheme="majorHAnsi" w:cstheme="majorHAnsi"/>
                <w:b/>
                <w:color w:val="000000"/>
                <w:lang w:eastAsia="en-AU"/>
              </w:rPr>
              <w:t>Table 2b: Weighted enrolment status of basic education eligible children</w:t>
            </w:r>
          </w:p>
        </w:tc>
      </w:tr>
      <w:tr w:rsidR="00AC362E" w:rsidRPr="00257F87" w14:paraId="418DC389" w14:textId="77777777" w:rsidTr="00ED0631">
        <w:trPr>
          <w:trHeight w:val="315"/>
        </w:trPr>
        <w:tc>
          <w:tcPr>
            <w:tcW w:w="1848" w:type="dxa"/>
            <w:tcBorders>
              <w:top w:val="single" w:sz="4" w:space="0" w:color="auto"/>
              <w:left w:val="nil"/>
              <w:bottom w:val="single" w:sz="4" w:space="0" w:color="auto"/>
              <w:right w:val="nil"/>
            </w:tcBorders>
            <w:shd w:val="clear" w:color="auto" w:fill="auto"/>
            <w:noWrap/>
            <w:vAlign w:val="bottom"/>
            <w:hideMark/>
          </w:tcPr>
          <w:p w14:paraId="3B9B6BB1" w14:textId="77777777" w:rsidR="00AC362E" w:rsidRPr="00257F87" w:rsidRDefault="00AC362E" w:rsidP="00ED0631">
            <w:pPr>
              <w:spacing w:after="0"/>
              <w:rPr>
                <w:rFonts w:asciiTheme="majorHAnsi" w:eastAsia="Times New Roman" w:hAnsiTheme="majorHAnsi" w:cstheme="majorHAnsi"/>
                <w:color w:val="000000"/>
                <w:lang w:eastAsia="en-AU"/>
              </w:rPr>
            </w:pPr>
          </w:p>
        </w:tc>
        <w:tc>
          <w:tcPr>
            <w:tcW w:w="1408" w:type="dxa"/>
            <w:tcBorders>
              <w:top w:val="single" w:sz="4" w:space="0" w:color="auto"/>
              <w:left w:val="nil"/>
              <w:bottom w:val="single" w:sz="4" w:space="0" w:color="auto"/>
              <w:right w:val="nil"/>
            </w:tcBorders>
            <w:shd w:val="clear" w:color="auto" w:fill="auto"/>
            <w:noWrap/>
            <w:vAlign w:val="bottom"/>
            <w:hideMark/>
          </w:tcPr>
          <w:p w14:paraId="547F26DD" w14:textId="77777777" w:rsidR="00AC362E" w:rsidRPr="00257F87" w:rsidRDefault="00AC362E" w:rsidP="00ED0631">
            <w:pPr>
              <w:spacing w:after="0"/>
              <w:rPr>
                <w:rFonts w:asciiTheme="majorHAnsi" w:eastAsia="Times New Roman" w:hAnsiTheme="majorHAnsi" w:cstheme="majorHAnsi"/>
                <w:b/>
                <w:bCs/>
                <w:color w:val="000000"/>
                <w:lang w:eastAsia="en-AU"/>
              </w:rPr>
            </w:pPr>
            <w:r w:rsidRPr="00257F87">
              <w:rPr>
                <w:rFonts w:asciiTheme="majorHAnsi" w:eastAsia="Times New Roman" w:hAnsiTheme="majorHAnsi" w:cstheme="majorHAnsi"/>
                <w:b/>
                <w:bCs/>
                <w:color w:val="000000"/>
                <w:lang w:eastAsia="en-AU"/>
              </w:rPr>
              <w:t>Weighted</w:t>
            </w:r>
          </w:p>
        </w:tc>
        <w:tc>
          <w:tcPr>
            <w:tcW w:w="1358" w:type="dxa"/>
            <w:tcBorders>
              <w:top w:val="single" w:sz="4" w:space="0" w:color="auto"/>
              <w:left w:val="nil"/>
              <w:bottom w:val="single" w:sz="4" w:space="0" w:color="auto"/>
              <w:right w:val="nil"/>
            </w:tcBorders>
            <w:shd w:val="clear" w:color="auto" w:fill="auto"/>
            <w:noWrap/>
            <w:vAlign w:val="bottom"/>
            <w:hideMark/>
          </w:tcPr>
          <w:p w14:paraId="2D02C3A7" w14:textId="77777777" w:rsidR="00AC362E" w:rsidRPr="00257F87" w:rsidRDefault="00AC362E" w:rsidP="00ED0631">
            <w:pPr>
              <w:spacing w:after="0"/>
              <w:rPr>
                <w:rFonts w:asciiTheme="majorHAnsi" w:eastAsia="Times New Roman" w:hAnsiTheme="majorHAnsi" w:cstheme="majorHAnsi"/>
                <w:b/>
                <w:bCs/>
                <w:color w:val="000000"/>
                <w:lang w:eastAsia="en-AU"/>
              </w:rPr>
            </w:pPr>
            <w:r w:rsidRPr="00257F87">
              <w:rPr>
                <w:rFonts w:asciiTheme="majorHAnsi" w:eastAsia="Times New Roman" w:hAnsiTheme="majorHAnsi" w:cstheme="majorHAnsi"/>
                <w:b/>
                <w:bCs/>
                <w:color w:val="000000"/>
                <w:lang w:eastAsia="en-AU"/>
              </w:rPr>
              <w:t> </w:t>
            </w:r>
          </w:p>
        </w:tc>
        <w:tc>
          <w:tcPr>
            <w:tcW w:w="1393" w:type="dxa"/>
            <w:tcBorders>
              <w:top w:val="single" w:sz="4" w:space="0" w:color="auto"/>
              <w:left w:val="nil"/>
              <w:bottom w:val="single" w:sz="4" w:space="0" w:color="auto"/>
              <w:right w:val="nil"/>
            </w:tcBorders>
            <w:shd w:val="clear" w:color="auto" w:fill="auto"/>
            <w:noWrap/>
            <w:vAlign w:val="bottom"/>
            <w:hideMark/>
          </w:tcPr>
          <w:p w14:paraId="5E18AF9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096" w:type="dxa"/>
            <w:tcBorders>
              <w:top w:val="single" w:sz="4" w:space="0" w:color="auto"/>
              <w:left w:val="nil"/>
              <w:bottom w:val="single" w:sz="4" w:space="0" w:color="auto"/>
              <w:right w:val="nil"/>
            </w:tcBorders>
            <w:shd w:val="clear" w:color="auto" w:fill="auto"/>
            <w:noWrap/>
            <w:vAlign w:val="bottom"/>
            <w:hideMark/>
          </w:tcPr>
          <w:p w14:paraId="7414159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r>
      <w:tr w:rsidR="00AC362E" w:rsidRPr="00257F87" w14:paraId="39259A00" w14:textId="77777777" w:rsidTr="00ED0631">
        <w:trPr>
          <w:trHeight w:val="315"/>
        </w:trPr>
        <w:tc>
          <w:tcPr>
            <w:tcW w:w="1848" w:type="dxa"/>
            <w:tcBorders>
              <w:top w:val="single" w:sz="4" w:space="0" w:color="auto"/>
              <w:left w:val="nil"/>
              <w:bottom w:val="single" w:sz="4" w:space="0" w:color="auto"/>
              <w:right w:val="nil"/>
            </w:tcBorders>
            <w:shd w:val="clear" w:color="auto" w:fill="auto"/>
            <w:noWrap/>
            <w:vAlign w:val="bottom"/>
            <w:hideMark/>
          </w:tcPr>
          <w:p w14:paraId="76932BB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Enrolment status</w:t>
            </w:r>
          </w:p>
        </w:tc>
        <w:tc>
          <w:tcPr>
            <w:tcW w:w="1408" w:type="dxa"/>
            <w:tcBorders>
              <w:top w:val="single" w:sz="4" w:space="0" w:color="auto"/>
              <w:left w:val="nil"/>
              <w:bottom w:val="single" w:sz="4" w:space="0" w:color="auto"/>
              <w:right w:val="nil"/>
            </w:tcBorders>
            <w:shd w:val="clear" w:color="auto" w:fill="auto"/>
            <w:noWrap/>
            <w:vAlign w:val="bottom"/>
            <w:hideMark/>
          </w:tcPr>
          <w:p w14:paraId="0701209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Adjustment </w:t>
            </w:r>
          </w:p>
        </w:tc>
        <w:tc>
          <w:tcPr>
            <w:tcW w:w="1358" w:type="dxa"/>
            <w:tcBorders>
              <w:top w:val="single" w:sz="4" w:space="0" w:color="auto"/>
              <w:left w:val="nil"/>
              <w:bottom w:val="single" w:sz="4" w:space="0" w:color="auto"/>
              <w:right w:val="nil"/>
            </w:tcBorders>
            <w:shd w:val="clear" w:color="auto" w:fill="auto"/>
            <w:noWrap/>
            <w:vAlign w:val="bottom"/>
            <w:hideMark/>
          </w:tcPr>
          <w:p w14:paraId="514C065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Not Enrolled</w:t>
            </w:r>
          </w:p>
        </w:tc>
        <w:tc>
          <w:tcPr>
            <w:tcW w:w="1393" w:type="dxa"/>
            <w:tcBorders>
              <w:top w:val="single" w:sz="4" w:space="0" w:color="auto"/>
              <w:left w:val="nil"/>
              <w:bottom w:val="single" w:sz="4" w:space="0" w:color="auto"/>
              <w:right w:val="nil"/>
            </w:tcBorders>
            <w:shd w:val="clear" w:color="auto" w:fill="auto"/>
            <w:noWrap/>
            <w:vAlign w:val="bottom"/>
            <w:hideMark/>
          </w:tcPr>
          <w:p w14:paraId="6C9B138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Enrolled</w:t>
            </w:r>
          </w:p>
        </w:tc>
        <w:tc>
          <w:tcPr>
            <w:tcW w:w="1096" w:type="dxa"/>
            <w:tcBorders>
              <w:top w:val="single" w:sz="4" w:space="0" w:color="auto"/>
              <w:left w:val="nil"/>
              <w:bottom w:val="single" w:sz="4" w:space="0" w:color="auto"/>
              <w:right w:val="nil"/>
            </w:tcBorders>
            <w:shd w:val="clear" w:color="auto" w:fill="auto"/>
            <w:noWrap/>
            <w:vAlign w:val="bottom"/>
            <w:hideMark/>
          </w:tcPr>
          <w:p w14:paraId="14486A6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p>
        </w:tc>
      </w:tr>
      <w:tr w:rsidR="00AC362E" w:rsidRPr="00257F87" w14:paraId="421EDCA3" w14:textId="77777777" w:rsidTr="00ED0631">
        <w:trPr>
          <w:trHeight w:val="315"/>
        </w:trPr>
        <w:tc>
          <w:tcPr>
            <w:tcW w:w="1848" w:type="dxa"/>
            <w:tcBorders>
              <w:top w:val="nil"/>
              <w:left w:val="nil"/>
              <w:bottom w:val="nil"/>
              <w:right w:val="nil"/>
            </w:tcBorders>
            <w:shd w:val="clear" w:color="auto" w:fill="auto"/>
            <w:noWrap/>
            <w:vAlign w:val="bottom"/>
            <w:hideMark/>
          </w:tcPr>
          <w:p w14:paraId="7291C38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Abaiang</w:t>
            </w:r>
          </w:p>
        </w:tc>
        <w:tc>
          <w:tcPr>
            <w:tcW w:w="1408" w:type="dxa"/>
            <w:tcBorders>
              <w:top w:val="nil"/>
              <w:left w:val="nil"/>
              <w:bottom w:val="nil"/>
              <w:right w:val="nil"/>
            </w:tcBorders>
            <w:shd w:val="clear" w:color="auto" w:fill="auto"/>
            <w:noWrap/>
            <w:vAlign w:val="bottom"/>
            <w:hideMark/>
          </w:tcPr>
          <w:p w14:paraId="5D06B72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0.9472 </w:t>
            </w:r>
          </w:p>
        </w:tc>
        <w:tc>
          <w:tcPr>
            <w:tcW w:w="1358" w:type="dxa"/>
            <w:tcBorders>
              <w:top w:val="nil"/>
              <w:left w:val="nil"/>
              <w:bottom w:val="nil"/>
              <w:right w:val="nil"/>
            </w:tcBorders>
            <w:shd w:val="clear" w:color="auto" w:fill="auto"/>
            <w:noWrap/>
            <w:vAlign w:val="bottom"/>
            <w:hideMark/>
          </w:tcPr>
          <w:p w14:paraId="65AC69E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393" w:type="dxa"/>
            <w:tcBorders>
              <w:top w:val="nil"/>
              <w:left w:val="nil"/>
              <w:bottom w:val="nil"/>
              <w:right w:val="nil"/>
            </w:tcBorders>
            <w:shd w:val="clear" w:color="auto" w:fill="auto"/>
            <w:noWrap/>
            <w:vAlign w:val="bottom"/>
            <w:hideMark/>
          </w:tcPr>
          <w:p w14:paraId="2267482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100 </w:t>
            </w:r>
          </w:p>
        </w:tc>
        <w:tc>
          <w:tcPr>
            <w:tcW w:w="1096" w:type="dxa"/>
            <w:tcBorders>
              <w:top w:val="nil"/>
              <w:left w:val="nil"/>
              <w:bottom w:val="nil"/>
              <w:right w:val="nil"/>
            </w:tcBorders>
            <w:shd w:val="clear" w:color="auto" w:fill="auto"/>
            <w:noWrap/>
            <w:vAlign w:val="bottom"/>
            <w:hideMark/>
          </w:tcPr>
          <w:p w14:paraId="6F48422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100 </w:t>
            </w:r>
          </w:p>
        </w:tc>
      </w:tr>
      <w:tr w:rsidR="00AC362E" w:rsidRPr="00257F87" w14:paraId="093898C3" w14:textId="77777777" w:rsidTr="00ED0631">
        <w:trPr>
          <w:trHeight w:val="315"/>
        </w:trPr>
        <w:tc>
          <w:tcPr>
            <w:tcW w:w="1848" w:type="dxa"/>
            <w:tcBorders>
              <w:top w:val="nil"/>
              <w:left w:val="nil"/>
              <w:bottom w:val="nil"/>
              <w:right w:val="nil"/>
            </w:tcBorders>
            <w:shd w:val="clear" w:color="auto" w:fill="auto"/>
            <w:noWrap/>
            <w:vAlign w:val="bottom"/>
            <w:hideMark/>
          </w:tcPr>
          <w:p w14:paraId="3503267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Butartari</w:t>
            </w:r>
          </w:p>
        </w:tc>
        <w:tc>
          <w:tcPr>
            <w:tcW w:w="1408" w:type="dxa"/>
            <w:tcBorders>
              <w:top w:val="nil"/>
              <w:left w:val="nil"/>
              <w:bottom w:val="nil"/>
              <w:right w:val="nil"/>
            </w:tcBorders>
            <w:shd w:val="clear" w:color="auto" w:fill="auto"/>
            <w:noWrap/>
            <w:vAlign w:val="bottom"/>
            <w:hideMark/>
          </w:tcPr>
          <w:p w14:paraId="54E7877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0.6111 </w:t>
            </w:r>
          </w:p>
        </w:tc>
        <w:tc>
          <w:tcPr>
            <w:tcW w:w="1358" w:type="dxa"/>
            <w:tcBorders>
              <w:top w:val="nil"/>
              <w:left w:val="nil"/>
              <w:bottom w:val="nil"/>
              <w:right w:val="nil"/>
            </w:tcBorders>
            <w:shd w:val="clear" w:color="auto" w:fill="auto"/>
            <w:noWrap/>
            <w:vAlign w:val="bottom"/>
            <w:hideMark/>
          </w:tcPr>
          <w:p w14:paraId="51457B3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393" w:type="dxa"/>
            <w:tcBorders>
              <w:top w:val="nil"/>
              <w:left w:val="nil"/>
              <w:bottom w:val="nil"/>
              <w:right w:val="nil"/>
            </w:tcBorders>
            <w:shd w:val="clear" w:color="auto" w:fill="auto"/>
            <w:noWrap/>
            <w:vAlign w:val="bottom"/>
            <w:hideMark/>
          </w:tcPr>
          <w:p w14:paraId="719588C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64 </w:t>
            </w:r>
          </w:p>
        </w:tc>
        <w:tc>
          <w:tcPr>
            <w:tcW w:w="1096" w:type="dxa"/>
            <w:tcBorders>
              <w:top w:val="nil"/>
              <w:left w:val="nil"/>
              <w:bottom w:val="nil"/>
              <w:right w:val="nil"/>
            </w:tcBorders>
            <w:shd w:val="clear" w:color="auto" w:fill="auto"/>
            <w:noWrap/>
            <w:vAlign w:val="bottom"/>
            <w:hideMark/>
          </w:tcPr>
          <w:p w14:paraId="10AE492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65 </w:t>
            </w:r>
          </w:p>
        </w:tc>
      </w:tr>
      <w:tr w:rsidR="00AC362E" w:rsidRPr="00257F87" w14:paraId="4FF6A119" w14:textId="77777777" w:rsidTr="00ED0631">
        <w:trPr>
          <w:trHeight w:val="315"/>
        </w:trPr>
        <w:tc>
          <w:tcPr>
            <w:tcW w:w="1848" w:type="dxa"/>
            <w:tcBorders>
              <w:top w:val="nil"/>
              <w:left w:val="nil"/>
              <w:bottom w:val="nil"/>
              <w:right w:val="nil"/>
            </w:tcBorders>
            <w:shd w:val="clear" w:color="auto" w:fill="auto"/>
            <w:noWrap/>
            <w:vAlign w:val="bottom"/>
            <w:hideMark/>
          </w:tcPr>
          <w:p w14:paraId="5B492A8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Kiritimati</w:t>
            </w:r>
          </w:p>
        </w:tc>
        <w:tc>
          <w:tcPr>
            <w:tcW w:w="1408" w:type="dxa"/>
            <w:tcBorders>
              <w:top w:val="nil"/>
              <w:left w:val="nil"/>
              <w:bottom w:val="nil"/>
              <w:right w:val="nil"/>
            </w:tcBorders>
            <w:shd w:val="clear" w:color="auto" w:fill="auto"/>
            <w:noWrap/>
            <w:vAlign w:val="bottom"/>
            <w:hideMark/>
          </w:tcPr>
          <w:p w14:paraId="20F19E5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1.0482 </w:t>
            </w:r>
          </w:p>
        </w:tc>
        <w:tc>
          <w:tcPr>
            <w:tcW w:w="1358" w:type="dxa"/>
            <w:tcBorders>
              <w:top w:val="nil"/>
              <w:left w:val="nil"/>
              <w:bottom w:val="nil"/>
              <w:right w:val="nil"/>
            </w:tcBorders>
            <w:shd w:val="clear" w:color="auto" w:fill="auto"/>
            <w:noWrap/>
            <w:vAlign w:val="bottom"/>
            <w:hideMark/>
          </w:tcPr>
          <w:p w14:paraId="7055326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393" w:type="dxa"/>
            <w:tcBorders>
              <w:top w:val="nil"/>
              <w:left w:val="nil"/>
              <w:bottom w:val="nil"/>
              <w:right w:val="nil"/>
            </w:tcBorders>
            <w:shd w:val="clear" w:color="auto" w:fill="auto"/>
            <w:noWrap/>
            <w:vAlign w:val="bottom"/>
            <w:hideMark/>
          </w:tcPr>
          <w:p w14:paraId="0F7B3A0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90 </w:t>
            </w:r>
          </w:p>
        </w:tc>
        <w:tc>
          <w:tcPr>
            <w:tcW w:w="1096" w:type="dxa"/>
            <w:tcBorders>
              <w:top w:val="nil"/>
              <w:left w:val="nil"/>
              <w:bottom w:val="nil"/>
              <w:right w:val="nil"/>
            </w:tcBorders>
            <w:shd w:val="clear" w:color="auto" w:fill="auto"/>
            <w:noWrap/>
            <w:vAlign w:val="bottom"/>
            <w:hideMark/>
          </w:tcPr>
          <w:p w14:paraId="056D5F8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90 </w:t>
            </w:r>
          </w:p>
        </w:tc>
      </w:tr>
      <w:tr w:rsidR="00AC362E" w:rsidRPr="00257F87" w14:paraId="79B1D063" w14:textId="77777777" w:rsidTr="00ED0631">
        <w:trPr>
          <w:trHeight w:val="315"/>
        </w:trPr>
        <w:tc>
          <w:tcPr>
            <w:tcW w:w="1848" w:type="dxa"/>
            <w:tcBorders>
              <w:top w:val="nil"/>
              <w:left w:val="nil"/>
              <w:bottom w:val="nil"/>
              <w:right w:val="nil"/>
            </w:tcBorders>
            <w:shd w:val="clear" w:color="auto" w:fill="auto"/>
            <w:noWrap/>
            <w:vAlign w:val="bottom"/>
            <w:hideMark/>
          </w:tcPr>
          <w:p w14:paraId="438F1AD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Maiana</w:t>
            </w:r>
          </w:p>
        </w:tc>
        <w:tc>
          <w:tcPr>
            <w:tcW w:w="1408" w:type="dxa"/>
            <w:tcBorders>
              <w:top w:val="nil"/>
              <w:left w:val="nil"/>
              <w:bottom w:val="nil"/>
              <w:right w:val="nil"/>
            </w:tcBorders>
            <w:shd w:val="clear" w:color="auto" w:fill="auto"/>
            <w:noWrap/>
            <w:vAlign w:val="bottom"/>
            <w:hideMark/>
          </w:tcPr>
          <w:p w14:paraId="640687D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0.5130 </w:t>
            </w:r>
          </w:p>
        </w:tc>
        <w:tc>
          <w:tcPr>
            <w:tcW w:w="1358" w:type="dxa"/>
            <w:tcBorders>
              <w:top w:val="nil"/>
              <w:left w:val="nil"/>
              <w:bottom w:val="nil"/>
              <w:right w:val="nil"/>
            </w:tcBorders>
            <w:shd w:val="clear" w:color="auto" w:fill="auto"/>
            <w:noWrap/>
            <w:vAlign w:val="bottom"/>
            <w:hideMark/>
          </w:tcPr>
          <w:p w14:paraId="69974BF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393" w:type="dxa"/>
            <w:tcBorders>
              <w:top w:val="nil"/>
              <w:left w:val="nil"/>
              <w:bottom w:val="nil"/>
              <w:right w:val="nil"/>
            </w:tcBorders>
            <w:shd w:val="clear" w:color="auto" w:fill="auto"/>
            <w:noWrap/>
            <w:vAlign w:val="bottom"/>
            <w:hideMark/>
          </w:tcPr>
          <w:p w14:paraId="6C49B69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38 </w:t>
            </w:r>
          </w:p>
        </w:tc>
        <w:tc>
          <w:tcPr>
            <w:tcW w:w="1096" w:type="dxa"/>
            <w:tcBorders>
              <w:top w:val="nil"/>
              <w:left w:val="nil"/>
              <w:bottom w:val="nil"/>
              <w:right w:val="nil"/>
            </w:tcBorders>
            <w:shd w:val="clear" w:color="auto" w:fill="auto"/>
            <w:noWrap/>
            <w:vAlign w:val="bottom"/>
            <w:hideMark/>
          </w:tcPr>
          <w:p w14:paraId="62EEAEB9"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38 </w:t>
            </w:r>
          </w:p>
        </w:tc>
      </w:tr>
      <w:tr w:rsidR="00AC362E" w:rsidRPr="00257F87" w14:paraId="22B6F98E" w14:textId="77777777" w:rsidTr="00ED0631">
        <w:trPr>
          <w:trHeight w:val="315"/>
        </w:trPr>
        <w:tc>
          <w:tcPr>
            <w:tcW w:w="1848" w:type="dxa"/>
            <w:tcBorders>
              <w:top w:val="nil"/>
              <w:left w:val="nil"/>
              <w:bottom w:val="nil"/>
              <w:right w:val="nil"/>
            </w:tcBorders>
            <w:shd w:val="clear" w:color="auto" w:fill="auto"/>
            <w:noWrap/>
            <w:vAlign w:val="bottom"/>
            <w:hideMark/>
          </w:tcPr>
          <w:p w14:paraId="3594565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Nonouti</w:t>
            </w:r>
          </w:p>
        </w:tc>
        <w:tc>
          <w:tcPr>
            <w:tcW w:w="1408" w:type="dxa"/>
            <w:tcBorders>
              <w:top w:val="nil"/>
              <w:left w:val="nil"/>
              <w:bottom w:val="nil"/>
              <w:right w:val="nil"/>
            </w:tcBorders>
            <w:shd w:val="clear" w:color="auto" w:fill="auto"/>
            <w:noWrap/>
            <w:vAlign w:val="bottom"/>
            <w:hideMark/>
          </w:tcPr>
          <w:p w14:paraId="16C1CC9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0.5833 </w:t>
            </w:r>
          </w:p>
        </w:tc>
        <w:tc>
          <w:tcPr>
            <w:tcW w:w="1358" w:type="dxa"/>
            <w:tcBorders>
              <w:top w:val="nil"/>
              <w:left w:val="nil"/>
              <w:bottom w:val="nil"/>
              <w:right w:val="nil"/>
            </w:tcBorders>
            <w:shd w:val="clear" w:color="auto" w:fill="auto"/>
            <w:noWrap/>
            <w:vAlign w:val="bottom"/>
            <w:hideMark/>
          </w:tcPr>
          <w:p w14:paraId="23D23CB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393" w:type="dxa"/>
            <w:tcBorders>
              <w:top w:val="nil"/>
              <w:left w:val="nil"/>
              <w:bottom w:val="nil"/>
              <w:right w:val="nil"/>
            </w:tcBorders>
            <w:shd w:val="clear" w:color="auto" w:fill="auto"/>
            <w:noWrap/>
            <w:vAlign w:val="bottom"/>
            <w:hideMark/>
          </w:tcPr>
          <w:p w14:paraId="536FB7A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58 </w:t>
            </w:r>
          </w:p>
        </w:tc>
        <w:tc>
          <w:tcPr>
            <w:tcW w:w="1096" w:type="dxa"/>
            <w:tcBorders>
              <w:top w:val="nil"/>
              <w:left w:val="nil"/>
              <w:bottom w:val="nil"/>
              <w:right w:val="nil"/>
            </w:tcBorders>
            <w:shd w:val="clear" w:color="auto" w:fill="auto"/>
            <w:noWrap/>
            <w:vAlign w:val="bottom"/>
            <w:hideMark/>
          </w:tcPr>
          <w:p w14:paraId="7FE581F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59 </w:t>
            </w:r>
          </w:p>
        </w:tc>
      </w:tr>
      <w:tr w:rsidR="00AC362E" w:rsidRPr="00257F87" w14:paraId="64CD9587" w14:textId="77777777" w:rsidTr="00ED0631">
        <w:trPr>
          <w:trHeight w:val="315"/>
        </w:trPr>
        <w:tc>
          <w:tcPr>
            <w:tcW w:w="1848" w:type="dxa"/>
            <w:tcBorders>
              <w:top w:val="nil"/>
              <w:left w:val="nil"/>
              <w:bottom w:val="nil"/>
              <w:right w:val="nil"/>
            </w:tcBorders>
            <w:shd w:val="clear" w:color="auto" w:fill="auto"/>
            <w:noWrap/>
            <w:vAlign w:val="bottom"/>
            <w:hideMark/>
          </w:tcPr>
          <w:p w14:paraId="609091E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Tabiteuea</w:t>
            </w:r>
          </w:p>
        </w:tc>
        <w:tc>
          <w:tcPr>
            <w:tcW w:w="1408" w:type="dxa"/>
            <w:tcBorders>
              <w:top w:val="nil"/>
              <w:left w:val="nil"/>
              <w:bottom w:val="nil"/>
              <w:right w:val="nil"/>
            </w:tcBorders>
            <w:shd w:val="clear" w:color="auto" w:fill="auto"/>
            <w:noWrap/>
            <w:vAlign w:val="bottom"/>
            <w:hideMark/>
          </w:tcPr>
          <w:p w14:paraId="253B2D0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0.9838 </w:t>
            </w:r>
          </w:p>
        </w:tc>
        <w:tc>
          <w:tcPr>
            <w:tcW w:w="1358" w:type="dxa"/>
            <w:tcBorders>
              <w:top w:val="nil"/>
              <w:left w:val="nil"/>
              <w:bottom w:val="nil"/>
              <w:right w:val="nil"/>
            </w:tcBorders>
            <w:shd w:val="clear" w:color="auto" w:fill="auto"/>
            <w:noWrap/>
            <w:vAlign w:val="bottom"/>
            <w:hideMark/>
          </w:tcPr>
          <w:p w14:paraId="6A3B5004"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 </w:t>
            </w:r>
          </w:p>
        </w:tc>
        <w:tc>
          <w:tcPr>
            <w:tcW w:w="1393" w:type="dxa"/>
            <w:tcBorders>
              <w:top w:val="nil"/>
              <w:left w:val="nil"/>
              <w:bottom w:val="nil"/>
              <w:right w:val="nil"/>
            </w:tcBorders>
            <w:shd w:val="clear" w:color="auto" w:fill="auto"/>
            <w:noWrap/>
            <w:vAlign w:val="bottom"/>
            <w:hideMark/>
          </w:tcPr>
          <w:p w14:paraId="0079879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80 </w:t>
            </w:r>
          </w:p>
        </w:tc>
        <w:tc>
          <w:tcPr>
            <w:tcW w:w="1096" w:type="dxa"/>
            <w:tcBorders>
              <w:top w:val="nil"/>
              <w:left w:val="nil"/>
              <w:bottom w:val="nil"/>
              <w:right w:val="nil"/>
            </w:tcBorders>
            <w:shd w:val="clear" w:color="auto" w:fill="auto"/>
            <w:noWrap/>
            <w:vAlign w:val="bottom"/>
            <w:hideMark/>
          </w:tcPr>
          <w:p w14:paraId="51527E8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84 </w:t>
            </w:r>
          </w:p>
        </w:tc>
      </w:tr>
      <w:tr w:rsidR="00AC362E" w:rsidRPr="00257F87" w14:paraId="2D1DC5C1" w14:textId="77777777" w:rsidTr="00ED0631">
        <w:trPr>
          <w:trHeight w:val="315"/>
        </w:trPr>
        <w:tc>
          <w:tcPr>
            <w:tcW w:w="1848" w:type="dxa"/>
            <w:tcBorders>
              <w:top w:val="nil"/>
              <w:left w:val="nil"/>
              <w:bottom w:val="nil"/>
              <w:right w:val="nil"/>
            </w:tcBorders>
            <w:shd w:val="clear" w:color="auto" w:fill="auto"/>
            <w:noWrap/>
            <w:vAlign w:val="bottom"/>
            <w:hideMark/>
          </w:tcPr>
          <w:p w14:paraId="3DEE4B1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North Tarawa</w:t>
            </w:r>
          </w:p>
        </w:tc>
        <w:tc>
          <w:tcPr>
            <w:tcW w:w="1408" w:type="dxa"/>
            <w:tcBorders>
              <w:top w:val="nil"/>
              <w:left w:val="nil"/>
              <w:bottom w:val="nil"/>
              <w:right w:val="nil"/>
            </w:tcBorders>
            <w:shd w:val="clear" w:color="auto" w:fill="auto"/>
            <w:noWrap/>
            <w:vAlign w:val="bottom"/>
            <w:hideMark/>
          </w:tcPr>
          <w:p w14:paraId="79C36C2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1.3110 </w:t>
            </w:r>
          </w:p>
        </w:tc>
        <w:tc>
          <w:tcPr>
            <w:tcW w:w="1358" w:type="dxa"/>
            <w:tcBorders>
              <w:top w:val="nil"/>
              <w:left w:val="nil"/>
              <w:bottom w:val="nil"/>
              <w:right w:val="nil"/>
            </w:tcBorders>
            <w:shd w:val="clear" w:color="auto" w:fill="auto"/>
            <w:noWrap/>
            <w:vAlign w:val="bottom"/>
            <w:hideMark/>
          </w:tcPr>
          <w:p w14:paraId="5919C46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7 </w:t>
            </w:r>
          </w:p>
        </w:tc>
        <w:tc>
          <w:tcPr>
            <w:tcW w:w="1393" w:type="dxa"/>
            <w:tcBorders>
              <w:top w:val="nil"/>
              <w:left w:val="nil"/>
              <w:bottom w:val="nil"/>
              <w:right w:val="nil"/>
            </w:tcBorders>
            <w:shd w:val="clear" w:color="auto" w:fill="auto"/>
            <w:noWrap/>
            <w:vAlign w:val="bottom"/>
            <w:hideMark/>
          </w:tcPr>
          <w:p w14:paraId="4C8F826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118 </w:t>
            </w:r>
          </w:p>
        </w:tc>
        <w:tc>
          <w:tcPr>
            <w:tcW w:w="1096" w:type="dxa"/>
            <w:tcBorders>
              <w:top w:val="nil"/>
              <w:left w:val="nil"/>
              <w:bottom w:val="nil"/>
              <w:right w:val="nil"/>
            </w:tcBorders>
            <w:shd w:val="clear" w:color="auto" w:fill="auto"/>
            <w:noWrap/>
            <w:vAlign w:val="bottom"/>
            <w:hideMark/>
          </w:tcPr>
          <w:p w14:paraId="388A4FA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125 </w:t>
            </w:r>
          </w:p>
        </w:tc>
      </w:tr>
      <w:tr w:rsidR="00AC362E" w:rsidRPr="00257F87" w14:paraId="699DE7CD" w14:textId="77777777" w:rsidTr="00ED0631">
        <w:trPr>
          <w:trHeight w:val="315"/>
        </w:trPr>
        <w:tc>
          <w:tcPr>
            <w:tcW w:w="1848" w:type="dxa"/>
            <w:tcBorders>
              <w:top w:val="nil"/>
              <w:left w:val="nil"/>
              <w:bottom w:val="nil"/>
              <w:right w:val="nil"/>
            </w:tcBorders>
            <w:shd w:val="clear" w:color="auto" w:fill="auto"/>
            <w:noWrap/>
            <w:vAlign w:val="bottom"/>
            <w:hideMark/>
          </w:tcPr>
          <w:p w14:paraId="6A38570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Tabiteuea</w:t>
            </w:r>
          </w:p>
        </w:tc>
        <w:tc>
          <w:tcPr>
            <w:tcW w:w="1408" w:type="dxa"/>
            <w:tcBorders>
              <w:top w:val="nil"/>
              <w:left w:val="nil"/>
              <w:bottom w:val="nil"/>
              <w:right w:val="nil"/>
            </w:tcBorders>
            <w:shd w:val="clear" w:color="auto" w:fill="auto"/>
            <w:noWrap/>
            <w:vAlign w:val="bottom"/>
            <w:hideMark/>
          </w:tcPr>
          <w:p w14:paraId="0E6F803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0.3184 </w:t>
            </w:r>
          </w:p>
        </w:tc>
        <w:tc>
          <w:tcPr>
            <w:tcW w:w="1358" w:type="dxa"/>
            <w:tcBorders>
              <w:top w:val="nil"/>
              <w:left w:val="nil"/>
              <w:bottom w:val="nil"/>
              <w:right w:val="nil"/>
            </w:tcBorders>
            <w:shd w:val="clear" w:color="auto" w:fill="auto"/>
            <w:noWrap/>
            <w:vAlign w:val="bottom"/>
            <w:hideMark/>
          </w:tcPr>
          <w:p w14:paraId="66956057"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 </w:t>
            </w:r>
          </w:p>
        </w:tc>
        <w:tc>
          <w:tcPr>
            <w:tcW w:w="1393" w:type="dxa"/>
            <w:tcBorders>
              <w:top w:val="nil"/>
              <w:left w:val="nil"/>
              <w:bottom w:val="nil"/>
              <w:right w:val="nil"/>
            </w:tcBorders>
            <w:shd w:val="clear" w:color="auto" w:fill="auto"/>
            <w:noWrap/>
            <w:vAlign w:val="bottom"/>
            <w:hideMark/>
          </w:tcPr>
          <w:p w14:paraId="0B9DDE92"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25 </w:t>
            </w:r>
          </w:p>
        </w:tc>
        <w:tc>
          <w:tcPr>
            <w:tcW w:w="1096" w:type="dxa"/>
            <w:tcBorders>
              <w:top w:val="nil"/>
              <w:left w:val="nil"/>
              <w:bottom w:val="nil"/>
              <w:right w:val="nil"/>
            </w:tcBorders>
            <w:shd w:val="clear" w:color="auto" w:fill="auto"/>
            <w:noWrap/>
            <w:vAlign w:val="bottom"/>
            <w:hideMark/>
          </w:tcPr>
          <w:p w14:paraId="42704F45"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26 </w:t>
            </w:r>
          </w:p>
        </w:tc>
      </w:tr>
      <w:tr w:rsidR="00AC362E" w:rsidRPr="00257F87" w14:paraId="0D29D1F0" w14:textId="77777777" w:rsidTr="00ED0631">
        <w:trPr>
          <w:trHeight w:val="315"/>
        </w:trPr>
        <w:tc>
          <w:tcPr>
            <w:tcW w:w="1848" w:type="dxa"/>
            <w:tcBorders>
              <w:top w:val="nil"/>
              <w:left w:val="nil"/>
              <w:bottom w:val="nil"/>
              <w:right w:val="nil"/>
            </w:tcBorders>
            <w:shd w:val="clear" w:color="auto" w:fill="auto"/>
            <w:noWrap/>
            <w:vAlign w:val="bottom"/>
            <w:hideMark/>
          </w:tcPr>
          <w:p w14:paraId="69D2863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South Tarawa</w:t>
            </w:r>
          </w:p>
        </w:tc>
        <w:tc>
          <w:tcPr>
            <w:tcW w:w="1408" w:type="dxa"/>
            <w:tcBorders>
              <w:top w:val="nil"/>
              <w:left w:val="nil"/>
              <w:bottom w:val="nil"/>
              <w:right w:val="nil"/>
            </w:tcBorders>
            <w:shd w:val="clear" w:color="auto" w:fill="auto"/>
            <w:noWrap/>
            <w:vAlign w:val="bottom"/>
            <w:hideMark/>
          </w:tcPr>
          <w:p w14:paraId="4C744858"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1.7852 </w:t>
            </w:r>
          </w:p>
        </w:tc>
        <w:tc>
          <w:tcPr>
            <w:tcW w:w="1358" w:type="dxa"/>
            <w:tcBorders>
              <w:top w:val="nil"/>
              <w:left w:val="nil"/>
              <w:bottom w:val="nil"/>
              <w:right w:val="nil"/>
            </w:tcBorders>
            <w:shd w:val="clear" w:color="auto" w:fill="auto"/>
            <w:noWrap/>
            <w:vAlign w:val="bottom"/>
            <w:hideMark/>
          </w:tcPr>
          <w:p w14:paraId="240839AD"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9 </w:t>
            </w:r>
          </w:p>
        </w:tc>
        <w:tc>
          <w:tcPr>
            <w:tcW w:w="1393" w:type="dxa"/>
            <w:tcBorders>
              <w:top w:val="nil"/>
              <w:left w:val="nil"/>
              <w:bottom w:val="nil"/>
              <w:right w:val="nil"/>
            </w:tcBorders>
            <w:shd w:val="clear" w:color="auto" w:fill="auto"/>
            <w:noWrap/>
            <w:vAlign w:val="bottom"/>
            <w:hideMark/>
          </w:tcPr>
          <w:p w14:paraId="6A99764A"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489 </w:t>
            </w:r>
          </w:p>
        </w:tc>
        <w:tc>
          <w:tcPr>
            <w:tcW w:w="1096" w:type="dxa"/>
            <w:tcBorders>
              <w:top w:val="nil"/>
              <w:left w:val="nil"/>
              <w:bottom w:val="nil"/>
              <w:right w:val="nil"/>
            </w:tcBorders>
            <w:shd w:val="clear" w:color="auto" w:fill="auto"/>
            <w:noWrap/>
            <w:vAlign w:val="bottom"/>
            <w:hideMark/>
          </w:tcPr>
          <w:p w14:paraId="1C5BE9E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498 </w:t>
            </w:r>
          </w:p>
        </w:tc>
      </w:tr>
      <w:tr w:rsidR="00AC362E" w:rsidRPr="00257F87" w14:paraId="6EFD6CAA" w14:textId="77777777" w:rsidTr="00ED0631">
        <w:trPr>
          <w:trHeight w:val="315"/>
        </w:trPr>
        <w:tc>
          <w:tcPr>
            <w:tcW w:w="1848" w:type="dxa"/>
            <w:tcBorders>
              <w:top w:val="nil"/>
              <w:left w:val="nil"/>
              <w:bottom w:val="nil"/>
              <w:right w:val="nil"/>
            </w:tcBorders>
            <w:shd w:val="clear" w:color="auto" w:fill="auto"/>
            <w:noWrap/>
            <w:vAlign w:val="bottom"/>
            <w:hideMark/>
          </w:tcPr>
          <w:p w14:paraId="1867977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Tamana</w:t>
            </w:r>
          </w:p>
        </w:tc>
        <w:tc>
          <w:tcPr>
            <w:tcW w:w="1408" w:type="dxa"/>
            <w:tcBorders>
              <w:top w:val="nil"/>
              <w:left w:val="nil"/>
              <w:bottom w:val="nil"/>
              <w:right w:val="nil"/>
            </w:tcBorders>
            <w:shd w:val="clear" w:color="auto" w:fill="auto"/>
            <w:noWrap/>
            <w:vAlign w:val="bottom"/>
            <w:hideMark/>
          </w:tcPr>
          <w:p w14:paraId="592986D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0.2418 </w:t>
            </w:r>
          </w:p>
        </w:tc>
        <w:tc>
          <w:tcPr>
            <w:tcW w:w="1358" w:type="dxa"/>
            <w:tcBorders>
              <w:top w:val="nil"/>
              <w:left w:val="nil"/>
              <w:bottom w:val="nil"/>
              <w:right w:val="nil"/>
            </w:tcBorders>
            <w:shd w:val="clear" w:color="auto" w:fill="auto"/>
            <w:noWrap/>
            <w:vAlign w:val="bottom"/>
            <w:hideMark/>
          </w:tcPr>
          <w:p w14:paraId="2925E5AE"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 - </w:t>
            </w:r>
          </w:p>
        </w:tc>
        <w:tc>
          <w:tcPr>
            <w:tcW w:w="1393" w:type="dxa"/>
            <w:tcBorders>
              <w:top w:val="nil"/>
              <w:left w:val="nil"/>
              <w:bottom w:val="nil"/>
              <w:right w:val="nil"/>
            </w:tcBorders>
            <w:shd w:val="clear" w:color="auto" w:fill="auto"/>
            <w:noWrap/>
            <w:vAlign w:val="bottom"/>
            <w:hideMark/>
          </w:tcPr>
          <w:p w14:paraId="2DE9115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16 </w:t>
            </w:r>
          </w:p>
        </w:tc>
        <w:tc>
          <w:tcPr>
            <w:tcW w:w="1096" w:type="dxa"/>
            <w:tcBorders>
              <w:top w:val="nil"/>
              <w:left w:val="nil"/>
              <w:bottom w:val="nil"/>
              <w:right w:val="nil"/>
            </w:tcBorders>
            <w:shd w:val="clear" w:color="auto" w:fill="auto"/>
            <w:noWrap/>
            <w:vAlign w:val="bottom"/>
            <w:hideMark/>
          </w:tcPr>
          <w:p w14:paraId="614A0061"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16 </w:t>
            </w:r>
          </w:p>
        </w:tc>
      </w:tr>
      <w:tr w:rsidR="00AC362E" w:rsidRPr="00257F87" w14:paraId="6622E02B" w14:textId="77777777" w:rsidTr="00ED0631">
        <w:trPr>
          <w:trHeight w:val="315"/>
        </w:trPr>
        <w:tc>
          <w:tcPr>
            <w:tcW w:w="1848" w:type="dxa"/>
            <w:tcBorders>
              <w:top w:val="single" w:sz="4" w:space="0" w:color="auto"/>
              <w:left w:val="nil"/>
              <w:bottom w:val="single" w:sz="4" w:space="0" w:color="auto"/>
              <w:right w:val="nil"/>
            </w:tcBorders>
            <w:shd w:val="clear" w:color="auto" w:fill="auto"/>
            <w:noWrap/>
            <w:vAlign w:val="bottom"/>
            <w:hideMark/>
          </w:tcPr>
          <w:p w14:paraId="0B3EB763"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Total</w:t>
            </w:r>
          </w:p>
        </w:tc>
        <w:tc>
          <w:tcPr>
            <w:tcW w:w="1408" w:type="dxa"/>
            <w:tcBorders>
              <w:top w:val="single" w:sz="4" w:space="0" w:color="auto"/>
              <w:left w:val="nil"/>
              <w:bottom w:val="single" w:sz="4" w:space="0" w:color="auto"/>
              <w:right w:val="nil"/>
            </w:tcBorders>
            <w:shd w:val="clear" w:color="auto" w:fill="auto"/>
            <w:noWrap/>
            <w:vAlign w:val="bottom"/>
            <w:hideMark/>
          </w:tcPr>
          <w:p w14:paraId="000E0DBC"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w:t>
            </w:r>
          </w:p>
        </w:tc>
        <w:tc>
          <w:tcPr>
            <w:tcW w:w="1358" w:type="dxa"/>
            <w:tcBorders>
              <w:top w:val="single" w:sz="4" w:space="0" w:color="auto"/>
              <w:left w:val="nil"/>
              <w:bottom w:val="single" w:sz="4" w:space="0" w:color="auto"/>
              <w:right w:val="nil"/>
            </w:tcBorders>
            <w:shd w:val="clear" w:color="auto" w:fill="auto"/>
            <w:noWrap/>
            <w:vAlign w:val="bottom"/>
            <w:hideMark/>
          </w:tcPr>
          <w:p w14:paraId="3631A4B0"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23 </w:t>
            </w:r>
          </w:p>
        </w:tc>
        <w:tc>
          <w:tcPr>
            <w:tcW w:w="1393" w:type="dxa"/>
            <w:tcBorders>
              <w:top w:val="single" w:sz="4" w:space="0" w:color="auto"/>
              <w:left w:val="nil"/>
              <w:bottom w:val="single" w:sz="4" w:space="0" w:color="auto"/>
              <w:right w:val="nil"/>
            </w:tcBorders>
            <w:shd w:val="clear" w:color="auto" w:fill="auto"/>
            <w:noWrap/>
            <w:vAlign w:val="bottom"/>
            <w:hideMark/>
          </w:tcPr>
          <w:p w14:paraId="2987C10B"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1,079 </w:t>
            </w:r>
          </w:p>
        </w:tc>
        <w:tc>
          <w:tcPr>
            <w:tcW w:w="1096" w:type="dxa"/>
            <w:tcBorders>
              <w:top w:val="single" w:sz="4" w:space="0" w:color="auto"/>
              <w:left w:val="nil"/>
              <w:bottom w:val="single" w:sz="4" w:space="0" w:color="auto"/>
              <w:right w:val="nil"/>
            </w:tcBorders>
            <w:shd w:val="clear" w:color="auto" w:fill="auto"/>
            <w:noWrap/>
            <w:vAlign w:val="bottom"/>
            <w:hideMark/>
          </w:tcPr>
          <w:p w14:paraId="58058096" w14:textId="77777777" w:rsidR="00AC362E" w:rsidRPr="00257F87" w:rsidRDefault="00AC362E" w:rsidP="00ED0631">
            <w:pPr>
              <w:spacing w:after="0"/>
              <w:rPr>
                <w:rFonts w:asciiTheme="majorHAnsi" w:eastAsia="Times New Roman" w:hAnsiTheme="majorHAnsi" w:cstheme="majorHAnsi"/>
                <w:color w:val="000000"/>
                <w:lang w:eastAsia="en-AU"/>
              </w:rPr>
            </w:pPr>
            <w:r w:rsidRPr="00257F87">
              <w:rPr>
                <w:rFonts w:asciiTheme="majorHAnsi" w:eastAsia="Times New Roman" w:hAnsiTheme="majorHAnsi" w:cstheme="majorHAnsi"/>
                <w:color w:val="000000"/>
                <w:lang w:eastAsia="en-AU"/>
              </w:rPr>
              <w:t xml:space="preserve">1,101 </w:t>
            </w:r>
          </w:p>
        </w:tc>
      </w:tr>
    </w:tbl>
    <w:p w14:paraId="62FEBE1E" w14:textId="77777777" w:rsidR="00AC362E" w:rsidRPr="0084107D" w:rsidRDefault="00AC362E" w:rsidP="00ED0631">
      <w:pPr>
        <w:sectPr w:rsidR="00AC362E" w:rsidRPr="0084107D" w:rsidSect="00ED0631">
          <w:pgSz w:w="11906" w:h="16838"/>
          <w:pgMar w:top="1440" w:right="1440" w:bottom="1440" w:left="1440" w:header="708" w:footer="708" w:gutter="0"/>
          <w:cols w:space="708"/>
          <w:docGrid w:linePitch="360"/>
        </w:sectPr>
      </w:pPr>
    </w:p>
    <w:p w14:paraId="61D05F56" w14:textId="77777777" w:rsidR="00AC362E" w:rsidRPr="00491EF1" w:rsidRDefault="00AC362E" w:rsidP="00470803">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3: Number of households experiencing school commitments (all enrolled children)</w:t>
      </w:r>
    </w:p>
    <w:p w14:paraId="11E6494D" w14:textId="77777777" w:rsidR="00AC362E" w:rsidRPr="00491EF1" w:rsidRDefault="00AC362E" w:rsidP="00470803">
      <w:pPr>
        <w:spacing w:after="0"/>
        <w:ind w:left="91"/>
        <w:rPr>
          <w:rFonts w:asciiTheme="majorHAnsi" w:eastAsia="Times New Roman" w:hAnsiTheme="majorHAnsi" w:cstheme="majorHAnsi"/>
          <w:i/>
          <w:iCs/>
          <w:color w:val="000000"/>
          <w:lang w:eastAsia="en-AU"/>
        </w:rPr>
      </w:pPr>
      <w:r w:rsidRPr="00491EF1">
        <w:rPr>
          <w:rFonts w:asciiTheme="majorHAnsi" w:eastAsia="Times New Roman" w:hAnsiTheme="majorHAnsi" w:cstheme="majorHAnsi"/>
          <w:i/>
          <w:iCs/>
          <w:color w:val="000000"/>
          <w:lang w:eastAsia="en-AU"/>
        </w:rPr>
        <w:t>Note: some donation costs could have been recorded as fees meaning 'fees' maybe over-stated</w:t>
      </w:r>
    </w:p>
    <w:tbl>
      <w:tblPr>
        <w:tblW w:w="10403" w:type="dxa"/>
        <w:tblInd w:w="93" w:type="dxa"/>
        <w:tblLook w:val="04A0" w:firstRow="1" w:lastRow="0" w:firstColumn="1" w:lastColumn="0" w:noHBand="0" w:noVBand="1"/>
      </w:tblPr>
      <w:tblGrid>
        <w:gridCol w:w="1832"/>
        <w:gridCol w:w="696"/>
        <w:gridCol w:w="696"/>
        <w:gridCol w:w="688"/>
        <w:gridCol w:w="696"/>
        <w:gridCol w:w="787"/>
        <w:gridCol w:w="696"/>
        <w:gridCol w:w="749"/>
        <w:gridCol w:w="696"/>
        <w:gridCol w:w="706"/>
        <w:gridCol w:w="696"/>
        <w:gridCol w:w="785"/>
        <w:gridCol w:w="680"/>
      </w:tblGrid>
      <w:tr w:rsidR="00AC362E" w:rsidRPr="00491EF1" w14:paraId="58C3C22A" w14:textId="77777777" w:rsidTr="00ED0631">
        <w:trPr>
          <w:trHeight w:val="315"/>
        </w:trPr>
        <w:tc>
          <w:tcPr>
            <w:tcW w:w="1832" w:type="dxa"/>
            <w:tcBorders>
              <w:top w:val="single" w:sz="4" w:space="0" w:color="auto"/>
              <w:left w:val="nil"/>
              <w:bottom w:val="single" w:sz="4" w:space="0" w:color="auto"/>
              <w:right w:val="nil"/>
            </w:tcBorders>
            <w:shd w:val="clear" w:color="auto" w:fill="auto"/>
            <w:noWrap/>
            <w:vAlign w:val="bottom"/>
            <w:hideMark/>
          </w:tcPr>
          <w:p w14:paraId="4A96C76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Unweighted</w:t>
            </w:r>
          </w:p>
        </w:tc>
        <w:tc>
          <w:tcPr>
            <w:tcW w:w="696" w:type="dxa"/>
            <w:tcBorders>
              <w:top w:val="single" w:sz="4" w:space="0" w:color="auto"/>
              <w:left w:val="nil"/>
              <w:bottom w:val="single" w:sz="4" w:space="0" w:color="auto"/>
              <w:right w:val="nil"/>
            </w:tcBorders>
            <w:shd w:val="clear" w:color="auto" w:fill="auto"/>
            <w:vAlign w:val="bottom"/>
            <w:hideMark/>
          </w:tcPr>
          <w:p w14:paraId="156C3E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96" w:type="dxa"/>
            <w:tcBorders>
              <w:top w:val="single" w:sz="4" w:space="0" w:color="auto"/>
              <w:left w:val="nil"/>
              <w:bottom w:val="single" w:sz="4" w:space="0" w:color="auto"/>
              <w:right w:val="nil"/>
            </w:tcBorders>
            <w:shd w:val="clear" w:color="auto" w:fill="auto"/>
            <w:vAlign w:val="bottom"/>
            <w:hideMark/>
          </w:tcPr>
          <w:p w14:paraId="74B66C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88" w:type="dxa"/>
            <w:tcBorders>
              <w:top w:val="single" w:sz="4" w:space="0" w:color="auto"/>
              <w:left w:val="nil"/>
              <w:bottom w:val="single" w:sz="4" w:space="0" w:color="auto"/>
              <w:right w:val="nil"/>
            </w:tcBorders>
            <w:shd w:val="clear" w:color="auto" w:fill="auto"/>
            <w:vAlign w:val="bottom"/>
            <w:hideMark/>
          </w:tcPr>
          <w:p w14:paraId="157E8D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96" w:type="dxa"/>
            <w:tcBorders>
              <w:top w:val="single" w:sz="4" w:space="0" w:color="auto"/>
              <w:left w:val="nil"/>
              <w:bottom w:val="single" w:sz="4" w:space="0" w:color="auto"/>
              <w:right w:val="nil"/>
            </w:tcBorders>
            <w:shd w:val="clear" w:color="auto" w:fill="auto"/>
            <w:vAlign w:val="bottom"/>
            <w:hideMark/>
          </w:tcPr>
          <w:p w14:paraId="32FCDA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87" w:type="dxa"/>
            <w:tcBorders>
              <w:top w:val="single" w:sz="4" w:space="0" w:color="auto"/>
              <w:left w:val="nil"/>
              <w:bottom w:val="single" w:sz="4" w:space="0" w:color="auto"/>
              <w:right w:val="nil"/>
            </w:tcBorders>
            <w:shd w:val="clear" w:color="auto" w:fill="auto"/>
            <w:vAlign w:val="bottom"/>
            <w:hideMark/>
          </w:tcPr>
          <w:p w14:paraId="29476D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96" w:type="dxa"/>
            <w:tcBorders>
              <w:top w:val="single" w:sz="4" w:space="0" w:color="auto"/>
              <w:left w:val="nil"/>
              <w:bottom w:val="single" w:sz="4" w:space="0" w:color="auto"/>
              <w:right w:val="nil"/>
            </w:tcBorders>
            <w:shd w:val="clear" w:color="auto" w:fill="auto"/>
            <w:vAlign w:val="bottom"/>
            <w:hideMark/>
          </w:tcPr>
          <w:p w14:paraId="342ED3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49" w:type="dxa"/>
            <w:tcBorders>
              <w:top w:val="single" w:sz="4" w:space="0" w:color="auto"/>
              <w:left w:val="nil"/>
              <w:bottom w:val="single" w:sz="4" w:space="0" w:color="auto"/>
              <w:right w:val="nil"/>
            </w:tcBorders>
            <w:shd w:val="clear" w:color="auto" w:fill="auto"/>
            <w:vAlign w:val="bottom"/>
            <w:hideMark/>
          </w:tcPr>
          <w:p w14:paraId="0372D3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96" w:type="dxa"/>
            <w:tcBorders>
              <w:top w:val="single" w:sz="4" w:space="0" w:color="auto"/>
              <w:left w:val="nil"/>
              <w:bottom w:val="single" w:sz="4" w:space="0" w:color="auto"/>
              <w:right w:val="nil"/>
            </w:tcBorders>
            <w:shd w:val="clear" w:color="auto" w:fill="auto"/>
            <w:vAlign w:val="bottom"/>
            <w:hideMark/>
          </w:tcPr>
          <w:p w14:paraId="671C04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06" w:type="dxa"/>
            <w:tcBorders>
              <w:top w:val="single" w:sz="4" w:space="0" w:color="auto"/>
              <w:left w:val="nil"/>
              <w:bottom w:val="single" w:sz="4" w:space="0" w:color="auto"/>
              <w:right w:val="nil"/>
            </w:tcBorders>
            <w:shd w:val="clear" w:color="auto" w:fill="auto"/>
            <w:vAlign w:val="bottom"/>
            <w:hideMark/>
          </w:tcPr>
          <w:p w14:paraId="38D7CC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96" w:type="dxa"/>
            <w:tcBorders>
              <w:top w:val="single" w:sz="4" w:space="0" w:color="auto"/>
              <w:left w:val="nil"/>
              <w:bottom w:val="single" w:sz="4" w:space="0" w:color="auto"/>
              <w:right w:val="nil"/>
            </w:tcBorders>
            <w:shd w:val="clear" w:color="auto" w:fill="auto"/>
            <w:vAlign w:val="bottom"/>
            <w:hideMark/>
          </w:tcPr>
          <w:p w14:paraId="49BAA7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85" w:type="dxa"/>
            <w:tcBorders>
              <w:top w:val="single" w:sz="4" w:space="0" w:color="auto"/>
              <w:left w:val="nil"/>
              <w:bottom w:val="single" w:sz="4" w:space="0" w:color="auto"/>
              <w:right w:val="nil"/>
            </w:tcBorders>
            <w:shd w:val="clear" w:color="auto" w:fill="auto"/>
            <w:vAlign w:val="bottom"/>
            <w:hideMark/>
          </w:tcPr>
          <w:p w14:paraId="18C117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80" w:type="dxa"/>
            <w:tcBorders>
              <w:top w:val="single" w:sz="4" w:space="0" w:color="auto"/>
              <w:left w:val="nil"/>
              <w:bottom w:val="single" w:sz="4" w:space="0" w:color="auto"/>
              <w:right w:val="nil"/>
            </w:tcBorders>
            <w:shd w:val="clear" w:color="auto" w:fill="auto"/>
            <w:vAlign w:val="bottom"/>
            <w:hideMark/>
          </w:tcPr>
          <w:p w14:paraId="42B946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5D5BF702" w14:textId="77777777" w:rsidTr="00ED0631">
        <w:trPr>
          <w:trHeight w:val="315"/>
        </w:trPr>
        <w:tc>
          <w:tcPr>
            <w:tcW w:w="1832" w:type="dxa"/>
            <w:tcBorders>
              <w:top w:val="nil"/>
              <w:left w:val="nil"/>
              <w:bottom w:val="single" w:sz="4" w:space="0" w:color="auto"/>
              <w:right w:val="nil"/>
            </w:tcBorders>
            <w:shd w:val="clear" w:color="auto" w:fill="auto"/>
            <w:noWrap/>
            <w:vAlign w:val="bottom"/>
            <w:hideMark/>
          </w:tcPr>
          <w:p w14:paraId="68FCBA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Commitments</w:t>
            </w:r>
          </w:p>
        </w:tc>
        <w:tc>
          <w:tcPr>
            <w:tcW w:w="696" w:type="dxa"/>
            <w:tcBorders>
              <w:top w:val="nil"/>
              <w:left w:val="nil"/>
              <w:bottom w:val="single" w:sz="4" w:space="0" w:color="auto"/>
              <w:right w:val="nil"/>
            </w:tcBorders>
            <w:shd w:val="clear" w:color="auto" w:fill="auto"/>
            <w:noWrap/>
            <w:vAlign w:val="bottom"/>
            <w:hideMark/>
          </w:tcPr>
          <w:p w14:paraId="4280E4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Fees </w:t>
            </w:r>
          </w:p>
        </w:tc>
        <w:tc>
          <w:tcPr>
            <w:tcW w:w="696" w:type="dxa"/>
            <w:tcBorders>
              <w:top w:val="nil"/>
              <w:left w:val="nil"/>
              <w:bottom w:val="single" w:sz="4" w:space="0" w:color="auto"/>
              <w:right w:val="nil"/>
            </w:tcBorders>
            <w:shd w:val="clear" w:color="auto" w:fill="auto"/>
            <w:noWrap/>
            <w:vAlign w:val="bottom"/>
            <w:hideMark/>
          </w:tcPr>
          <w:p w14:paraId="65DBA8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384" w:type="dxa"/>
            <w:gridSpan w:val="2"/>
            <w:tcBorders>
              <w:top w:val="single" w:sz="4" w:space="0" w:color="auto"/>
              <w:left w:val="nil"/>
              <w:bottom w:val="single" w:sz="4" w:space="0" w:color="auto"/>
              <w:right w:val="nil"/>
            </w:tcBorders>
            <w:shd w:val="clear" w:color="auto" w:fill="auto"/>
            <w:noWrap/>
            <w:vAlign w:val="bottom"/>
            <w:hideMark/>
          </w:tcPr>
          <w:p w14:paraId="36EC48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Donations </w:t>
            </w:r>
          </w:p>
        </w:tc>
        <w:tc>
          <w:tcPr>
            <w:tcW w:w="787" w:type="dxa"/>
            <w:tcBorders>
              <w:top w:val="nil"/>
              <w:left w:val="nil"/>
              <w:bottom w:val="single" w:sz="4" w:space="0" w:color="auto"/>
              <w:right w:val="nil"/>
            </w:tcBorders>
            <w:shd w:val="clear" w:color="auto" w:fill="auto"/>
            <w:noWrap/>
            <w:vAlign w:val="bottom"/>
            <w:hideMark/>
          </w:tcPr>
          <w:p w14:paraId="21A5CC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Prizes </w:t>
            </w:r>
          </w:p>
        </w:tc>
        <w:tc>
          <w:tcPr>
            <w:tcW w:w="696" w:type="dxa"/>
            <w:tcBorders>
              <w:top w:val="nil"/>
              <w:left w:val="nil"/>
              <w:bottom w:val="single" w:sz="4" w:space="0" w:color="auto"/>
              <w:right w:val="nil"/>
            </w:tcBorders>
            <w:shd w:val="clear" w:color="auto" w:fill="auto"/>
            <w:noWrap/>
            <w:vAlign w:val="bottom"/>
            <w:hideMark/>
          </w:tcPr>
          <w:p w14:paraId="70AA37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49" w:type="dxa"/>
            <w:tcBorders>
              <w:top w:val="nil"/>
              <w:left w:val="nil"/>
              <w:bottom w:val="single" w:sz="4" w:space="0" w:color="auto"/>
              <w:right w:val="nil"/>
            </w:tcBorders>
            <w:shd w:val="clear" w:color="auto" w:fill="auto"/>
            <w:noWrap/>
            <w:vAlign w:val="bottom"/>
            <w:hideMark/>
          </w:tcPr>
          <w:p w14:paraId="4D1799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Work </w:t>
            </w:r>
          </w:p>
        </w:tc>
        <w:tc>
          <w:tcPr>
            <w:tcW w:w="696" w:type="dxa"/>
            <w:tcBorders>
              <w:top w:val="nil"/>
              <w:left w:val="nil"/>
              <w:bottom w:val="single" w:sz="4" w:space="0" w:color="auto"/>
              <w:right w:val="nil"/>
            </w:tcBorders>
            <w:shd w:val="clear" w:color="auto" w:fill="auto"/>
            <w:noWrap/>
            <w:vAlign w:val="bottom"/>
            <w:hideMark/>
          </w:tcPr>
          <w:p w14:paraId="1D6C77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06" w:type="dxa"/>
            <w:tcBorders>
              <w:top w:val="nil"/>
              <w:left w:val="nil"/>
              <w:bottom w:val="single" w:sz="4" w:space="0" w:color="auto"/>
              <w:right w:val="nil"/>
            </w:tcBorders>
            <w:shd w:val="clear" w:color="auto" w:fill="auto"/>
            <w:noWrap/>
            <w:vAlign w:val="bottom"/>
            <w:hideMark/>
          </w:tcPr>
          <w:p w14:paraId="6538BD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Food </w:t>
            </w:r>
          </w:p>
        </w:tc>
        <w:tc>
          <w:tcPr>
            <w:tcW w:w="696" w:type="dxa"/>
            <w:tcBorders>
              <w:top w:val="nil"/>
              <w:left w:val="nil"/>
              <w:bottom w:val="single" w:sz="4" w:space="0" w:color="auto"/>
              <w:right w:val="nil"/>
            </w:tcBorders>
            <w:shd w:val="clear" w:color="auto" w:fill="auto"/>
            <w:noWrap/>
            <w:vAlign w:val="bottom"/>
            <w:hideMark/>
          </w:tcPr>
          <w:p w14:paraId="4CD769D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85" w:type="dxa"/>
            <w:tcBorders>
              <w:top w:val="nil"/>
              <w:left w:val="nil"/>
              <w:bottom w:val="single" w:sz="4" w:space="0" w:color="auto"/>
              <w:right w:val="nil"/>
            </w:tcBorders>
            <w:shd w:val="clear" w:color="auto" w:fill="auto"/>
            <w:noWrap/>
            <w:vAlign w:val="bottom"/>
            <w:hideMark/>
          </w:tcPr>
          <w:p w14:paraId="7F0573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c>
          <w:tcPr>
            <w:tcW w:w="680" w:type="dxa"/>
            <w:tcBorders>
              <w:top w:val="nil"/>
              <w:left w:val="nil"/>
              <w:bottom w:val="single" w:sz="4" w:space="0" w:color="auto"/>
              <w:right w:val="nil"/>
            </w:tcBorders>
            <w:shd w:val="clear" w:color="auto" w:fill="auto"/>
            <w:noWrap/>
            <w:vAlign w:val="bottom"/>
            <w:hideMark/>
          </w:tcPr>
          <w:p w14:paraId="0F2D71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53F1DEA8" w14:textId="77777777" w:rsidTr="00ED0631">
        <w:trPr>
          <w:trHeight w:val="315"/>
        </w:trPr>
        <w:tc>
          <w:tcPr>
            <w:tcW w:w="1832" w:type="dxa"/>
            <w:tcBorders>
              <w:top w:val="nil"/>
              <w:left w:val="nil"/>
              <w:bottom w:val="single" w:sz="4" w:space="0" w:color="auto"/>
              <w:right w:val="nil"/>
            </w:tcBorders>
            <w:shd w:val="clear" w:color="auto" w:fill="auto"/>
            <w:noWrap/>
            <w:vAlign w:val="bottom"/>
            <w:hideMark/>
          </w:tcPr>
          <w:p w14:paraId="2C1FE6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96" w:type="dxa"/>
            <w:tcBorders>
              <w:top w:val="nil"/>
              <w:left w:val="nil"/>
              <w:bottom w:val="single" w:sz="4" w:space="0" w:color="auto"/>
              <w:right w:val="nil"/>
            </w:tcBorders>
            <w:shd w:val="clear" w:color="auto" w:fill="auto"/>
            <w:noWrap/>
            <w:vAlign w:val="bottom"/>
            <w:hideMark/>
          </w:tcPr>
          <w:p w14:paraId="5EE9602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696" w:type="dxa"/>
            <w:tcBorders>
              <w:top w:val="nil"/>
              <w:left w:val="nil"/>
              <w:bottom w:val="single" w:sz="4" w:space="0" w:color="auto"/>
              <w:right w:val="nil"/>
            </w:tcBorders>
            <w:shd w:val="clear" w:color="auto" w:fill="auto"/>
            <w:noWrap/>
            <w:vAlign w:val="bottom"/>
            <w:hideMark/>
          </w:tcPr>
          <w:p w14:paraId="3A1B12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688" w:type="dxa"/>
            <w:tcBorders>
              <w:top w:val="nil"/>
              <w:left w:val="nil"/>
              <w:bottom w:val="single" w:sz="4" w:space="0" w:color="auto"/>
              <w:right w:val="nil"/>
            </w:tcBorders>
            <w:shd w:val="clear" w:color="auto" w:fill="auto"/>
            <w:noWrap/>
            <w:vAlign w:val="bottom"/>
            <w:hideMark/>
          </w:tcPr>
          <w:p w14:paraId="3BB329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696" w:type="dxa"/>
            <w:tcBorders>
              <w:top w:val="nil"/>
              <w:left w:val="nil"/>
              <w:bottom w:val="single" w:sz="4" w:space="0" w:color="auto"/>
              <w:right w:val="nil"/>
            </w:tcBorders>
            <w:shd w:val="clear" w:color="auto" w:fill="auto"/>
            <w:noWrap/>
            <w:vAlign w:val="bottom"/>
            <w:hideMark/>
          </w:tcPr>
          <w:p w14:paraId="635888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787" w:type="dxa"/>
            <w:tcBorders>
              <w:top w:val="nil"/>
              <w:left w:val="nil"/>
              <w:bottom w:val="single" w:sz="4" w:space="0" w:color="auto"/>
              <w:right w:val="nil"/>
            </w:tcBorders>
            <w:shd w:val="clear" w:color="auto" w:fill="auto"/>
            <w:noWrap/>
            <w:vAlign w:val="bottom"/>
            <w:hideMark/>
          </w:tcPr>
          <w:p w14:paraId="5670D2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696" w:type="dxa"/>
            <w:tcBorders>
              <w:top w:val="nil"/>
              <w:left w:val="nil"/>
              <w:bottom w:val="single" w:sz="4" w:space="0" w:color="auto"/>
              <w:right w:val="nil"/>
            </w:tcBorders>
            <w:shd w:val="clear" w:color="auto" w:fill="auto"/>
            <w:noWrap/>
            <w:vAlign w:val="bottom"/>
            <w:hideMark/>
          </w:tcPr>
          <w:p w14:paraId="414C2A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749" w:type="dxa"/>
            <w:tcBorders>
              <w:top w:val="nil"/>
              <w:left w:val="nil"/>
              <w:bottom w:val="single" w:sz="4" w:space="0" w:color="auto"/>
              <w:right w:val="nil"/>
            </w:tcBorders>
            <w:shd w:val="clear" w:color="auto" w:fill="auto"/>
            <w:noWrap/>
            <w:vAlign w:val="bottom"/>
            <w:hideMark/>
          </w:tcPr>
          <w:p w14:paraId="220262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696" w:type="dxa"/>
            <w:tcBorders>
              <w:top w:val="nil"/>
              <w:left w:val="nil"/>
              <w:bottom w:val="single" w:sz="4" w:space="0" w:color="auto"/>
              <w:right w:val="nil"/>
            </w:tcBorders>
            <w:shd w:val="clear" w:color="auto" w:fill="auto"/>
            <w:noWrap/>
            <w:vAlign w:val="bottom"/>
            <w:hideMark/>
          </w:tcPr>
          <w:p w14:paraId="5096B4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706" w:type="dxa"/>
            <w:tcBorders>
              <w:top w:val="nil"/>
              <w:left w:val="nil"/>
              <w:bottom w:val="single" w:sz="4" w:space="0" w:color="auto"/>
              <w:right w:val="nil"/>
            </w:tcBorders>
            <w:shd w:val="clear" w:color="auto" w:fill="auto"/>
            <w:noWrap/>
            <w:vAlign w:val="bottom"/>
            <w:hideMark/>
          </w:tcPr>
          <w:p w14:paraId="408E46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696" w:type="dxa"/>
            <w:tcBorders>
              <w:top w:val="nil"/>
              <w:left w:val="nil"/>
              <w:bottom w:val="single" w:sz="4" w:space="0" w:color="auto"/>
              <w:right w:val="nil"/>
            </w:tcBorders>
            <w:shd w:val="clear" w:color="auto" w:fill="auto"/>
            <w:noWrap/>
            <w:vAlign w:val="bottom"/>
            <w:hideMark/>
          </w:tcPr>
          <w:p w14:paraId="2D2921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785" w:type="dxa"/>
            <w:tcBorders>
              <w:top w:val="nil"/>
              <w:left w:val="nil"/>
              <w:bottom w:val="single" w:sz="4" w:space="0" w:color="auto"/>
              <w:right w:val="nil"/>
            </w:tcBorders>
            <w:shd w:val="clear" w:color="auto" w:fill="auto"/>
            <w:noWrap/>
            <w:vAlign w:val="bottom"/>
            <w:hideMark/>
          </w:tcPr>
          <w:p w14:paraId="1E006D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680" w:type="dxa"/>
            <w:tcBorders>
              <w:top w:val="nil"/>
              <w:left w:val="nil"/>
              <w:bottom w:val="single" w:sz="4" w:space="0" w:color="auto"/>
              <w:right w:val="nil"/>
            </w:tcBorders>
            <w:shd w:val="clear" w:color="auto" w:fill="auto"/>
            <w:noWrap/>
            <w:vAlign w:val="bottom"/>
            <w:hideMark/>
          </w:tcPr>
          <w:p w14:paraId="11826F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76B9BFB5" w14:textId="77777777" w:rsidTr="00ED0631">
        <w:trPr>
          <w:trHeight w:val="315"/>
        </w:trPr>
        <w:tc>
          <w:tcPr>
            <w:tcW w:w="1832" w:type="dxa"/>
            <w:tcBorders>
              <w:top w:val="nil"/>
              <w:left w:val="nil"/>
              <w:bottom w:val="nil"/>
              <w:right w:val="nil"/>
            </w:tcBorders>
            <w:shd w:val="clear" w:color="auto" w:fill="auto"/>
            <w:noWrap/>
            <w:vAlign w:val="bottom"/>
            <w:hideMark/>
          </w:tcPr>
          <w:p w14:paraId="00F7C4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696" w:type="dxa"/>
            <w:tcBorders>
              <w:top w:val="nil"/>
              <w:left w:val="nil"/>
              <w:bottom w:val="nil"/>
              <w:right w:val="nil"/>
            </w:tcBorders>
            <w:shd w:val="clear" w:color="auto" w:fill="auto"/>
            <w:noWrap/>
            <w:vAlign w:val="bottom"/>
            <w:hideMark/>
          </w:tcPr>
          <w:p w14:paraId="3C27F0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 </w:t>
            </w:r>
          </w:p>
        </w:tc>
        <w:tc>
          <w:tcPr>
            <w:tcW w:w="696" w:type="dxa"/>
            <w:tcBorders>
              <w:top w:val="nil"/>
              <w:left w:val="nil"/>
              <w:bottom w:val="nil"/>
              <w:right w:val="nil"/>
            </w:tcBorders>
            <w:shd w:val="clear" w:color="auto" w:fill="auto"/>
            <w:noWrap/>
            <w:vAlign w:val="bottom"/>
            <w:hideMark/>
          </w:tcPr>
          <w:p w14:paraId="634ABB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42 </w:t>
            </w:r>
          </w:p>
        </w:tc>
        <w:tc>
          <w:tcPr>
            <w:tcW w:w="688" w:type="dxa"/>
            <w:tcBorders>
              <w:top w:val="nil"/>
              <w:left w:val="nil"/>
              <w:bottom w:val="nil"/>
              <w:right w:val="nil"/>
            </w:tcBorders>
            <w:shd w:val="clear" w:color="auto" w:fill="auto"/>
            <w:noWrap/>
            <w:vAlign w:val="bottom"/>
            <w:hideMark/>
          </w:tcPr>
          <w:p w14:paraId="44FBAE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696" w:type="dxa"/>
            <w:tcBorders>
              <w:top w:val="nil"/>
              <w:left w:val="nil"/>
              <w:bottom w:val="nil"/>
              <w:right w:val="nil"/>
            </w:tcBorders>
            <w:shd w:val="clear" w:color="auto" w:fill="auto"/>
            <w:noWrap/>
            <w:vAlign w:val="bottom"/>
            <w:hideMark/>
          </w:tcPr>
          <w:p w14:paraId="0651EA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49 </w:t>
            </w:r>
          </w:p>
        </w:tc>
        <w:tc>
          <w:tcPr>
            <w:tcW w:w="787" w:type="dxa"/>
            <w:tcBorders>
              <w:top w:val="nil"/>
              <w:left w:val="nil"/>
              <w:bottom w:val="nil"/>
              <w:right w:val="nil"/>
            </w:tcBorders>
            <w:shd w:val="clear" w:color="auto" w:fill="auto"/>
            <w:noWrap/>
            <w:vAlign w:val="bottom"/>
            <w:hideMark/>
          </w:tcPr>
          <w:p w14:paraId="0FB0CE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696" w:type="dxa"/>
            <w:tcBorders>
              <w:top w:val="nil"/>
              <w:left w:val="nil"/>
              <w:bottom w:val="nil"/>
              <w:right w:val="nil"/>
            </w:tcBorders>
            <w:shd w:val="clear" w:color="auto" w:fill="auto"/>
            <w:noWrap/>
            <w:vAlign w:val="bottom"/>
            <w:hideMark/>
          </w:tcPr>
          <w:p w14:paraId="0CFAF8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52 </w:t>
            </w:r>
          </w:p>
        </w:tc>
        <w:tc>
          <w:tcPr>
            <w:tcW w:w="749" w:type="dxa"/>
            <w:tcBorders>
              <w:top w:val="nil"/>
              <w:left w:val="nil"/>
              <w:bottom w:val="nil"/>
              <w:right w:val="nil"/>
            </w:tcBorders>
            <w:shd w:val="clear" w:color="auto" w:fill="auto"/>
            <w:noWrap/>
            <w:vAlign w:val="bottom"/>
            <w:hideMark/>
          </w:tcPr>
          <w:p w14:paraId="13269D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 </w:t>
            </w:r>
          </w:p>
        </w:tc>
        <w:tc>
          <w:tcPr>
            <w:tcW w:w="696" w:type="dxa"/>
            <w:tcBorders>
              <w:top w:val="nil"/>
              <w:left w:val="nil"/>
              <w:bottom w:val="nil"/>
              <w:right w:val="nil"/>
            </w:tcBorders>
            <w:shd w:val="clear" w:color="auto" w:fill="auto"/>
            <w:noWrap/>
            <w:vAlign w:val="bottom"/>
            <w:hideMark/>
          </w:tcPr>
          <w:p w14:paraId="4B7100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706" w:type="dxa"/>
            <w:tcBorders>
              <w:top w:val="nil"/>
              <w:left w:val="nil"/>
              <w:bottom w:val="nil"/>
              <w:right w:val="nil"/>
            </w:tcBorders>
            <w:shd w:val="clear" w:color="auto" w:fill="auto"/>
            <w:noWrap/>
            <w:vAlign w:val="bottom"/>
            <w:hideMark/>
          </w:tcPr>
          <w:p w14:paraId="493BCC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696" w:type="dxa"/>
            <w:tcBorders>
              <w:top w:val="nil"/>
              <w:left w:val="nil"/>
              <w:bottom w:val="nil"/>
              <w:right w:val="nil"/>
            </w:tcBorders>
            <w:shd w:val="clear" w:color="auto" w:fill="auto"/>
            <w:noWrap/>
            <w:vAlign w:val="bottom"/>
            <w:hideMark/>
          </w:tcPr>
          <w:p w14:paraId="1611A7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52 </w:t>
            </w:r>
          </w:p>
        </w:tc>
        <w:tc>
          <w:tcPr>
            <w:tcW w:w="785" w:type="dxa"/>
            <w:tcBorders>
              <w:top w:val="nil"/>
              <w:left w:val="nil"/>
              <w:bottom w:val="nil"/>
              <w:right w:val="nil"/>
            </w:tcBorders>
            <w:shd w:val="clear" w:color="auto" w:fill="auto"/>
            <w:noWrap/>
            <w:vAlign w:val="bottom"/>
            <w:hideMark/>
          </w:tcPr>
          <w:p w14:paraId="3E512A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80" w:type="dxa"/>
            <w:tcBorders>
              <w:top w:val="nil"/>
              <w:left w:val="nil"/>
              <w:bottom w:val="nil"/>
              <w:right w:val="nil"/>
            </w:tcBorders>
            <w:shd w:val="clear" w:color="auto" w:fill="auto"/>
            <w:noWrap/>
            <w:vAlign w:val="bottom"/>
            <w:hideMark/>
          </w:tcPr>
          <w:p w14:paraId="4ADF61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55 </w:t>
            </w:r>
          </w:p>
        </w:tc>
      </w:tr>
      <w:tr w:rsidR="00AC362E" w:rsidRPr="00491EF1" w14:paraId="25A2DC7C" w14:textId="77777777" w:rsidTr="00ED0631">
        <w:trPr>
          <w:trHeight w:val="315"/>
        </w:trPr>
        <w:tc>
          <w:tcPr>
            <w:tcW w:w="1832" w:type="dxa"/>
            <w:tcBorders>
              <w:top w:val="nil"/>
              <w:left w:val="nil"/>
              <w:bottom w:val="nil"/>
              <w:right w:val="nil"/>
            </w:tcBorders>
            <w:shd w:val="clear" w:color="auto" w:fill="auto"/>
            <w:noWrap/>
            <w:vAlign w:val="bottom"/>
            <w:hideMark/>
          </w:tcPr>
          <w:p w14:paraId="4EFC88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696" w:type="dxa"/>
            <w:tcBorders>
              <w:top w:val="nil"/>
              <w:left w:val="nil"/>
              <w:bottom w:val="nil"/>
              <w:right w:val="nil"/>
            </w:tcBorders>
            <w:shd w:val="clear" w:color="auto" w:fill="auto"/>
            <w:noWrap/>
            <w:vAlign w:val="bottom"/>
            <w:hideMark/>
          </w:tcPr>
          <w:p w14:paraId="491EB86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696" w:type="dxa"/>
            <w:tcBorders>
              <w:top w:val="nil"/>
              <w:left w:val="nil"/>
              <w:bottom w:val="nil"/>
              <w:right w:val="nil"/>
            </w:tcBorders>
            <w:shd w:val="clear" w:color="auto" w:fill="auto"/>
            <w:noWrap/>
            <w:vAlign w:val="bottom"/>
            <w:hideMark/>
          </w:tcPr>
          <w:p w14:paraId="3A9537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40 </w:t>
            </w:r>
          </w:p>
        </w:tc>
        <w:tc>
          <w:tcPr>
            <w:tcW w:w="688" w:type="dxa"/>
            <w:tcBorders>
              <w:top w:val="nil"/>
              <w:left w:val="nil"/>
              <w:bottom w:val="nil"/>
              <w:right w:val="nil"/>
            </w:tcBorders>
            <w:shd w:val="clear" w:color="auto" w:fill="auto"/>
            <w:noWrap/>
            <w:vAlign w:val="bottom"/>
            <w:hideMark/>
          </w:tcPr>
          <w:p w14:paraId="0979AC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696" w:type="dxa"/>
            <w:tcBorders>
              <w:top w:val="nil"/>
              <w:left w:val="nil"/>
              <w:bottom w:val="nil"/>
              <w:right w:val="nil"/>
            </w:tcBorders>
            <w:shd w:val="clear" w:color="auto" w:fill="auto"/>
            <w:noWrap/>
            <w:vAlign w:val="bottom"/>
            <w:hideMark/>
          </w:tcPr>
          <w:p w14:paraId="1BDB69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54 </w:t>
            </w:r>
          </w:p>
        </w:tc>
        <w:tc>
          <w:tcPr>
            <w:tcW w:w="787" w:type="dxa"/>
            <w:tcBorders>
              <w:top w:val="nil"/>
              <w:left w:val="nil"/>
              <w:bottom w:val="nil"/>
              <w:right w:val="nil"/>
            </w:tcBorders>
            <w:shd w:val="clear" w:color="auto" w:fill="auto"/>
            <w:noWrap/>
            <w:vAlign w:val="bottom"/>
            <w:hideMark/>
          </w:tcPr>
          <w:p w14:paraId="4B68DD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 </w:t>
            </w:r>
          </w:p>
        </w:tc>
        <w:tc>
          <w:tcPr>
            <w:tcW w:w="696" w:type="dxa"/>
            <w:tcBorders>
              <w:top w:val="nil"/>
              <w:left w:val="nil"/>
              <w:bottom w:val="nil"/>
              <w:right w:val="nil"/>
            </w:tcBorders>
            <w:shd w:val="clear" w:color="auto" w:fill="auto"/>
            <w:noWrap/>
            <w:vAlign w:val="bottom"/>
            <w:hideMark/>
          </w:tcPr>
          <w:p w14:paraId="110E31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50 </w:t>
            </w:r>
          </w:p>
        </w:tc>
        <w:tc>
          <w:tcPr>
            <w:tcW w:w="749" w:type="dxa"/>
            <w:tcBorders>
              <w:top w:val="nil"/>
              <w:left w:val="nil"/>
              <w:bottom w:val="nil"/>
              <w:right w:val="nil"/>
            </w:tcBorders>
            <w:shd w:val="clear" w:color="auto" w:fill="auto"/>
            <w:noWrap/>
            <w:vAlign w:val="bottom"/>
            <w:hideMark/>
          </w:tcPr>
          <w:p w14:paraId="688B50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 </w:t>
            </w:r>
          </w:p>
        </w:tc>
        <w:tc>
          <w:tcPr>
            <w:tcW w:w="696" w:type="dxa"/>
            <w:tcBorders>
              <w:top w:val="nil"/>
              <w:left w:val="nil"/>
              <w:bottom w:val="nil"/>
              <w:right w:val="nil"/>
            </w:tcBorders>
            <w:shd w:val="clear" w:color="auto" w:fill="auto"/>
            <w:noWrap/>
            <w:vAlign w:val="bottom"/>
            <w:hideMark/>
          </w:tcPr>
          <w:p w14:paraId="439C55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706" w:type="dxa"/>
            <w:tcBorders>
              <w:top w:val="nil"/>
              <w:left w:val="nil"/>
              <w:bottom w:val="nil"/>
              <w:right w:val="nil"/>
            </w:tcBorders>
            <w:shd w:val="clear" w:color="auto" w:fill="auto"/>
            <w:noWrap/>
            <w:vAlign w:val="bottom"/>
            <w:hideMark/>
          </w:tcPr>
          <w:p w14:paraId="5F7F8A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 </w:t>
            </w:r>
          </w:p>
        </w:tc>
        <w:tc>
          <w:tcPr>
            <w:tcW w:w="696" w:type="dxa"/>
            <w:tcBorders>
              <w:top w:val="nil"/>
              <w:left w:val="nil"/>
              <w:bottom w:val="nil"/>
              <w:right w:val="nil"/>
            </w:tcBorders>
            <w:shd w:val="clear" w:color="auto" w:fill="auto"/>
            <w:noWrap/>
            <w:vAlign w:val="bottom"/>
            <w:hideMark/>
          </w:tcPr>
          <w:p w14:paraId="3AE32D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50 </w:t>
            </w:r>
          </w:p>
        </w:tc>
        <w:tc>
          <w:tcPr>
            <w:tcW w:w="785" w:type="dxa"/>
            <w:tcBorders>
              <w:top w:val="nil"/>
              <w:left w:val="nil"/>
              <w:bottom w:val="nil"/>
              <w:right w:val="nil"/>
            </w:tcBorders>
            <w:shd w:val="clear" w:color="auto" w:fill="auto"/>
            <w:noWrap/>
            <w:vAlign w:val="bottom"/>
            <w:hideMark/>
          </w:tcPr>
          <w:p w14:paraId="384D62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80" w:type="dxa"/>
            <w:tcBorders>
              <w:top w:val="nil"/>
              <w:left w:val="nil"/>
              <w:bottom w:val="nil"/>
              <w:right w:val="nil"/>
            </w:tcBorders>
            <w:shd w:val="clear" w:color="auto" w:fill="auto"/>
            <w:noWrap/>
            <w:vAlign w:val="bottom"/>
            <w:hideMark/>
          </w:tcPr>
          <w:p w14:paraId="0BBB25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58 </w:t>
            </w:r>
          </w:p>
        </w:tc>
      </w:tr>
      <w:tr w:rsidR="00AC362E" w:rsidRPr="00491EF1" w14:paraId="19A55ADB" w14:textId="77777777" w:rsidTr="00ED0631">
        <w:trPr>
          <w:trHeight w:val="315"/>
        </w:trPr>
        <w:tc>
          <w:tcPr>
            <w:tcW w:w="1832" w:type="dxa"/>
            <w:tcBorders>
              <w:top w:val="nil"/>
              <w:left w:val="nil"/>
              <w:bottom w:val="nil"/>
              <w:right w:val="nil"/>
            </w:tcBorders>
            <w:shd w:val="clear" w:color="auto" w:fill="auto"/>
            <w:noWrap/>
            <w:vAlign w:val="bottom"/>
            <w:hideMark/>
          </w:tcPr>
          <w:p w14:paraId="73F156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696" w:type="dxa"/>
            <w:tcBorders>
              <w:top w:val="nil"/>
              <w:left w:val="nil"/>
              <w:bottom w:val="nil"/>
              <w:right w:val="nil"/>
            </w:tcBorders>
            <w:shd w:val="clear" w:color="auto" w:fill="auto"/>
            <w:noWrap/>
            <w:vAlign w:val="bottom"/>
            <w:hideMark/>
          </w:tcPr>
          <w:p w14:paraId="0C8930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696" w:type="dxa"/>
            <w:tcBorders>
              <w:top w:val="nil"/>
              <w:left w:val="nil"/>
              <w:bottom w:val="nil"/>
              <w:right w:val="nil"/>
            </w:tcBorders>
            <w:shd w:val="clear" w:color="auto" w:fill="auto"/>
            <w:noWrap/>
            <w:vAlign w:val="bottom"/>
            <w:hideMark/>
          </w:tcPr>
          <w:p w14:paraId="060444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28 </w:t>
            </w:r>
          </w:p>
        </w:tc>
        <w:tc>
          <w:tcPr>
            <w:tcW w:w="688" w:type="dxa"/>
            <w:tcBorders>
              <w:top w:val="nil"/>
              <w:left w:val="nil"/>
              <w:bottom w:val="nil"/>
              <w:right w:val="nil"/>
            </w:tcBorders>
            <w:shd w:val="clear" w:color="auto" w:fill="auto"/>
            <w:noWrap/>
            <w:vAlign w:val="bottom"/>
            <w:hideMark/>
          </w:tcPr>
          <w:p w14:paraId="6CD21D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96" w:type="dxa"/>
            <w:tcBorders>
              <w:top w:val="nil"/>
              <w:left w:val="nil"/>
              <w:bottom w:val="nil"/>
              <w:right w:val="nil"/>
            </w:tcBorders>
            <w:shd w:val="clear" w:color="auto" w:fill="auto"/>
            <w:noWrap/>
            <w:vAlign w:val="bottom"/>
            <w:hideMark/>
          </w:tcPr>
          <w:p w14:paraId="53C3EF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46 </w:t>
            </w:r>
          </w:p>
        </w:tc>
        <w:tc>
          <w:tcPr>
            <w:tcW w:w="787" w:type="dxa"/>
            <w:tcBorders>
              <w:top w:val="nil"/>
              <w:left w:val="nil"/>
              <w:bottom w:val="nil"/>
              <w:right w:val="nil"/>
            </w:tcBorders>
            <w:shd w:val="clear" w:color="auto" w:fill="auto"/>
            <w:noWrap/>
            <w:vAlign w:val="bottom"/>
            <w:hideMark/>
          </w:tcPr>
          <w:p w14:paraId="1EC42C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 </w:t>
            </w:r>
          </w:p>
        </w:tc>
        <w:tc>
          <w:tcPr>
            <w:tcW w:w="696" w:type="dxa"/>
            <w:tcBorders>
              <w:top w:val="nil"/>
              <w:left w:val="nil"/>
              <w:bottom w:val="nil"/>
              <w:right w:val="nil"/>
            </w:tcBorders>
            <w:shd w:val="clear" w:color="auto" w:fill="auto"/>
            <w:noWrap/>
            <w:vAlign w:val="bottom"/>
            <w:hideMark/>
          </w:tcPr>
          <w:p w14:paraId="66DE46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26 </w:t>
            </w:r>
          </w:p>
        </w:tc>
        <w:tc>
          <w:tcPr>
            <w:tcW w:w="749" w:type="dxa"/>
            <w:tcBorders>
              <w:top w:val="nil"/>
              <w:left w:val="nil"/>
              <w:bottom w:val="nil"/>
              <w:right w:val="nil"/>
            </w:tcBorders>
            <w:shd w:val="clear" w:color="auto" w:fill="auto"/>
            <w:noWrap/>
            <w:vAlign w:val="bottom"/>
            <w:hideMark/>
          </w:tcPr>
          <w:p w14:paraId="783927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696" w:type="dxa"/>
            <w:tcBorders>
              <w:top w:val="nil"/>
              <w:left w:val="nil"/>
              <w:bottom w:val="nil"/>
              <w:right w:val="nil"/>
            </w:tcBorders>
            <w:shd w:val="clear" w:color="auto" w:fill="auto"/>
            <w:noWrap/>
            <w:vAlign w:val="bottom"/>
            <w:hideMark/>
          </w:tcPr>
          <w:p w14:paraId="43ADC3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41 </w:t>
            </w:r>
          </w:p>
        </w:tc>
        <w:tc>
          <w:tcPr>
            <w:tcW w:w="706" w:type="dxa"/>
            <w:tcBorders>
              <w:top w:val="nil"/>
              <w:left w:val="nil"/>
              <w:bottom w:val="nil"/>
              <w:right w:val="nil"/>
            </w:tcBorders>
            <w:shd w:val="clear" w:color="auto" w:fill="auto"/>
            <w:noWrap/>
            <w:vAlign w:val="bottom"/>
            <w:hideMark/>
          </w:tcPr>
          <w:p w14:paraId="7C4048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 </w:t>
            </w:r>
          </w:p>
        </w:tc>
        <w:tc>
          <w:tcPr>
            <w:tcW w:w="696" w:type="dxa"/>
            <w:tcBorders>
              <w:top w:val="nil"/>
              <w:left w:val="nil"/>
              <w:bottom w:val="nil"/>
              <w:right w:val="nil"/>
            </w:tcBorders>
            <w:shd w:val="clear" w:color="auto" w:fill="auto"/>
            <w:noWrap/>
            <w:vAlign w:val="bottom"/>
            <w:hideMark/>
          </w:tcPr>
          <w:p w14:paraId="4935FE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785" w:type="dxa"/>
            <w:tcBorders>
              <w:top w:val="nil"/>
              <w:left w:val="nil"/>
              <w:bottom w:val="nil"/>
              <w:right w:val="nil"/>
            </w:tcBorders>
            <w:shd w:val="clear" w:color="auto" w:fill="auto"/>
            <w:noWrap/>
            <w:vAlign w:val="bottom"/>
            <w:hideMark/>
          </w:tcPr>
          <w:p w14:paraId="37688B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80" w:type="dxa"/>
            <w:tcBorders>
              <w:top w:val="nil"/>
              <w:left w:val="nil"/>
              <w:bottom w:val="nil"/>
              <w:right w:val="nil"/>
            </w:tcBorders>
            <w:shd w:val="clear" w:color="auto" w:fill="auto"/>
            <w:noWrap/>
            <w:vAlign w:val="bottom"/>
            <w:hideMark/>
          </w:tcPr>
          <w:p w14:paraId="40BFD0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46 </w:t>
            </w:r>
          </w:p>
        </w:tc>
      </w:tr>
      <w:tr w:rsidR="00AC362E" w:rsidRPr="00491EF1" w14:paraId="75E8EAF8" w14:textId="77777777" w:rsidTr="00ED0631">
        <w:trPr>
          <w:trHeight w:val="315"/>
        </w:trPr>
        <w:tc>
          <w:tcPr>
            <w:tcW w:w="1832" w:type="dxa"/>
            <w:tcBorders>
              <w:top w:val="nil"/>
              <w:left w:val="nil"/>
              <w:bottom w:val="nil"/>
              <w:right w:val="nil"/>
            </w:tcBorders>
            <w:shd w:val="clear" w:color="auto" w:fill="auto"/>
            <w:noWrap/>
            <w:vAlign w:val="bottom"/>
            <w:hideMark/>
          </w:tcPr>
          <w:p w14:paraId="779B46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696" w:type="dxa"/>
            <w:tcBorders>
              <w:top w:val="nil"/>
              <w:left w:val="nil"/>
              <w:bottom w:val="nil"/>
              <w:right w:val="nil"/>
            </w:tcBorders>
            <w:shd w:val="clear" w:color="auto" w:fill="auto"/>
            <w:noWrap/>
            <w:vAlign w:val="bottom"/>
            <w:hideMark/>
          </w:tcPr>
          <w:p w14:paraId="1ADCEB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696" w:type="dxa"/>
            <w:tcBorders>
              <w:top w:val="nil"/>
              <w:left w:val="nil"/>
              <w:bottom w:val="nil"/>
              <w:right w:val="nil"/>
            </w:tcBorders>
            <w:shd w:val="clear" w:color="auto" w:fill="auto"/>
            <w:noWrap/>
            <w:vAlign w:val="bottom"/>
            <w:hideMark/>
          </w:tcPr>
          <w:p w14:paraId="28548C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37 </w:t>
            </w:r>
          </w:p>
        </w:tc>
        <w:tc>
          <w:tcPr>
            <w:tcW w:w="688" w:type="dxa"/>
            <w:tcBorders>
              <w:top w:val="nil"/>
              <w:left w:val="nil"/>
              <w:bottom w:val="nil"/>
              <w:right w:val="nil"/>
            </w:tcBorders>
            <w:shd w:val="clear" w:color="auto" w:fill="auto"/>
            <w:noWrap/>
            <w:vAlign w:val="bottom"/>
            <w:hideMark/>
          </w:tcPr>
          <w:p w14:paraId="4E8D2F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696" w:type="dxa"/>
            <w:tcBorders>
              <w:top w:val="nil"/>
              <w:left w:val="nil"/>
              <w:bottom w:val="nil"/>
              <w:right w:val="nil"/>
            </w:tcBorders>
            <w:shd w:val="clear" w:color="auto" w:fill="auto"/>
            <w:noWrap/>
            <w:vAlign w:val="bottom"/>
            <w:hideMark/>
          </w:tcPr>
          <w:p w14:paraId="19605F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37 </w:t>
            </w:r>
          </w:p>
        </w:tc>
        <w:tc>
          <w:tcPr>
            <w:tcW w:w="787" w:type="dxa"/>
            <w:tcBorders>
              <w:top w:val="nil"/>
              <w:left w:val="nil"/>
              <w:bottom w:val="nil"/>
              <w:right w:val="nil"/>
            </w:tcBorders>
            <w:shd w:val="clear" w:color="auto" w:fill="auto"/>
            <w:noWrap/>
            <w:vAlign w:val="bottom"/>
            <w:hideMark/>
          </w:tcPr>
          <w:p w14:paraId="212D5C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 </w:t>
            </w:r>
          </w:p>
        </w:tc>
        <w:tc>
          <w:tcPr>
            <w:tcW w:w="696" w:type="dxa"/>
            <w:tcBorders>
              <w:top w:val="nil"/>
              <w:left w:val="nil"/>
              <w:bottom w:val="nil"/>
              <w:right w:val="nil"/>
            </w:tcBorders>
            <w:shd w:val="clear" w:color="auto" w:fill="auto"/>
            <w:noWrap/>
            <w:vAlign w:val="bottom"/>
            <w:hideMark/>
          </w:tcPr>
          <w:p w14:paraId="644B6E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27 </w:t>
            </w:r>
          </w:p>
        </w:tc>
        <w:tc>
          <w:tcPr>
            <w:tcW w:w="749" w:type="dxa"/>
            <w:tcBorders>
              <w:top w:val="nil"/>
              <w:left w:val="nil"/>
              <w:bottom w:val="nil"/>
              <w:right w:val="nil"/>
            </w:tcBorders>
            <w:shd w:val="clear" w:color="auto" w:fill="auto"/>
            <w:noWrap/>
            <w:vAlign w:val="bottom"/>
            <w:hideMark/>
          </w:tcPr>
          <w:p w14:paraId="3CDC80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696" w:type="dxa"/>
            <w:tcBorders>
              <w:top w:val="nil"/>
              <w:left w:val="nil"/>
              <w:bottom w:val="nil"/>
              <w:right w:val="nil"/>
            </w:tcBorders>
            <w:shd w:val="clear" w:color="auto" w:fill="auto"/>
            <w:noWrap/>
            <w:vAlign w:val="bottom"/>
            <w:hideMark/>
          </w:tcPr>
          <w:p w14:paraId="723E26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32 </w:t>
            </w:r>
          </w:p>
        </w:tc>
        <w:tc>
          <w:tcPr>
            <w:tcW w:w="706" w:type="dxa"/>
            <w:tcBorders>
              <w:top w:val="nil"/>
              <w:left w:val="nil"/>
              <w:bottom w:val="nil"/>
              <w:right w:val="nil"/>
            </w:tcBorders>
            <w:shd w:val="clear" w:color="auto" w:fill="auto"/>
            <w:noWrap/>
            <w:vAlign w:val="bottom"/>
            <w:hideMark/>
          </w:tcPr>
          <w:p w14:paraId="555BC4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696" w:type="dxa"/>
            <w:tcBorders>
              <w:top w:val="nil"/>
              <w:left w:val="nil"/>
              <w:bottom w:val="nil"/>
              <w:right w:val="nil"/>
            </w:tcBorders>
            <w:shd w:val="clear" w:color="auto" w:fill="auto"/>
            <w:noWrap/>
            <w:vAlign w:val="bottom"/>
            <w:hideMark/>
          </w:tcPr>
          <w:p w14:paraId="3C9030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785" w:type="dxa"/>
            <w:tcBorders>
              <w:top w:val="nil"/>
              <w:left w:val="nil"/>
              <w:bottom w:val="nil"/>
              <w:right w:val="nil"/>
            </w:tcBorders>
            <w:shd w:val="clear" w:color="auto" w:fill="auto"/>
            <w:noWrap/>
            <w:vAlign w:val="bottom"/>
            <w:hideMark/>
          </w:tcPr>
          <w:p w14:paraId="02A3C7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80" w:type="dxa"/>
            <w:tcBorders>
              <w:top w:val="nil"/>
              <w:left w:val="nil"/>
              <w:bottom w:val="nil"/>
              <w:right w:val="nil"/>
            </w:tcBorders>
            <w:shd w:val="clear" w:color="auto" w:fill="auto"/>
            <w:noWrap/>
            <w:vAlign w:val="bottom"/>
            <w:hideMark/>
          </w:tcPr>
          <w:p w14:paraId="603896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42 </w:t>
            </w:r>
          </w:p>
        </w:tc>
      </w:tr>
      <w:tr w:rsidR="00AC362E" w:rsidRPr="00491EF1" w14:paraId="1AE2118B" w14:textId="77777777" w:rsidTr="00ED0631">
        <w:trPr>
          <w:trHeight w:val="315"/>
        </w:trPr>
        <w:tc>
          <w:tcPr>
            <w:tcW w:w="1832" w:type="dxa"/>
            <w:tcBorders>
              <w:top w:val="nil"/>
              <w:left w:val="nil"/>
              <w:bottom w:val="nil"/>
              <w:right w:val="nil"/>
            </w:tcBorders>
            <w:shd w:val="clear" w:color="auto" w:fill="auto"/>
            <w:noWrap/>
            <w:vAlign w:val="bottom"/>
            <w:hideMark/>
          </w:tcPr>
          <w:p w14:paraId="038B15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696" w:type="dxa"/>
            <w:tcBorders>
              <w:top w:val="nil"/>
              <w:left w:val="nil"/>
              <w:bottom w:val="nil"/>
              <w:right w:val="nil"/>
            </w:tcBorders>
            <w:shd w:val="clear" w:color="auto" w:fill="auto"/>
            <w:noWrap/>
            <w:vAlign w:val="bottom"/>
            <w:hideMark/>
          </w:tcPr>
          <w:p w14:paraId="09B6F9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696" w:type="dxa"/>
            <w:tcBorders>
              <w:top w:val="nil"/>
              <w:left w:val="nil"/>
              <w:bottom w:val="nil"/>
              <w:right w:val="nil"/>
            </w:tcBorders>
            <w:shd w:val="clear" w:color="auto" w:fill="auto"/>
            <w:noWrap/>
            <w:vAlign w:val="bottom"/>
            <w:hideMark/>
          </w:tcPr>
          <w:p w14:paraId="4B8A60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40 </w:t>
            </w:r>
          </w:p>
        </w:tc>
        <w:tc>
          <w:tcPr>
            <w:tcW w:w="688" w:type="dxa"/>
            <w:tcBorders>
              <w:top w:val="nil"/>
              <w:left w:val="nil"/>
              <w:bottom w:val="nil"/>
              <w:right w:val="nil"/>
            </w:tcBorders>
            <w:shd w:val="clear" w:color="auto" w:fill="auto"/>
            <w:noWrap/>
            <w:vAlign w:val="bottom"/>
            <w:hideMark/>
          </w:tcPr>
          <w:p w14:paraId="16947E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96" w:type="dxa"/>
            <w:tcBorders>
              <w:top w:val="nil"/>
              <w:left w:val="nil"/>
              <w:bottom w:val="nil"/>
              <w:right w:val="nil"/>
            </w:tcBorders>
            <w:shd w:val="clear" w:color="auto" w:fill="auto"/>
            <w:noWrap/>
            <w:vAlign w:val="bottom"/>
            <w:hideMark/>
          </w:tcPr>
          <w:p w14:paraId="59BAB8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49 </w:t>
            </w:r>
          </w:p>
        </w:tc>
        <w:tc>
          <w:tcPr>
            <w:tcW w:w="787" w:type="dxa"/>
            <w:tcBorders>
              <w:top w:val="nil"/>
              <w:left w:val="nil"/>
              <w:bottom w:val="nil"/>
              <w:right w:val="nil"/>
            </w:tcBorders>
            <w:shd w:val="clear" w:color="auto" w:fill="auto"/>
            <w:noWrap/>
            <w:vAlign w:val="bottom"/>
            <w:hideMark/>
          </w:tcPr>
          <w:p w14:paraId="6B36B40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28 </w:t>
            </w:r>
          </w:p>
        </w:tc>
        <w:tc>
          <w:tcPr>
            <w:tcW w:w="696" w:type="dxa"/>
            <w:tcBorders>
              <w:top w:val="nil"/>
              <w:left w:val="nil"/>
              <w:bottom w:val="nil"/>
              <w:right w:val="nil"/>
            </w:tcBorders>
            <w:shd w:val="clear" w:color="auto" w:fill="auto"/>
            <w:noWrap/>
            <w:vAlign w:val="bottom"/>
            <w:hideMark/>
          </w:tcPr>
          <w:p w14:paraId="2CA4B1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 </w:t>
            </w:r>
          </w:p>
        </w:tc>
        <w:tc>
          <w:tcPr>
            <w:tcW w:w="749" w:type="dxa"/>
            <w:tcBorders>
              <w:top w:val="nil"/>
              <w:left w:val="nil"/>
              <w:bottom w:val="nil"/>
              <w:right w:val="nil"/>
            </w:tcBorders>
            <w:shd w:val="clear" w:color="auto" w:fill="auto"/>
            <w:noWrap/>
            <w:vAlign w:val="bottom"/>
            <w:hideMark/>
          </w:tcPr>
          <w:p w14:paraId="45440A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 </w:t>
            </w:r>
          </w:p>
        </w:tc>
        <w:tc>
          <w:tcPr>
            <w:tcW w:w="696" w:type="dxa"/>
            <w:tcBorders>
              <w:top w:val="nil"/>
              <w:left w:val="nil"/>
              <w:bottom w:val="nil"/>
              <w:right w:val="nil"/>
            </w:tcBorders>
            <w:shd w:val="clear" w:color="auto" w:fill="auto"/>
            <w:noWrap/>
            <w:vAlign w:val="bottom"/>
            <w:hideMark/>
          </w:tcPr>
          <w:p w14:paraId="5E617A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 </w:t>
            </w:r>
          </w:p>
        </w:tc>
        <w:tc>
          <w:tcPr>
            <w:tcW w:w="706" w:type="dxa"/>
            <w:tcBorders>
              <w:top w:val="nil"/>
              <w:left w:val="nil"/>
              <w:bottom w:val="nil"/>
              <w:right w:val="nil"/>
            </w:tcBorders>
            <w:shd w:val="clear" w:color="auto" w:fill="auto"/>
            <w:noWrap/>
            <w:vAlign w:val="bottom"/>
            <w:hideMark/>
          </w:tcPr>
          <w:p w14:paraId="5C9CE6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696" w:type="dxa"/>
            <w:tcBorders>
              <w:top w:val="nil"/>
              <w:left w:val="nil"/>
              <w:bottom w:val="nil"/>
              <w:right w:val="nil"/>
            </w:tcBorders>
            <w:shd w:val="clear" w:color="auto" w:fill="auto"/>
            <w:noWrap/>
            <w:vAlign w:val="bottom"/>
            <w:hideMark/>
          </w:tcPr>
          <w:p w14:paraId="0A3A64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42 </w:t>
            </w:r>
          </w:p>
        </w:tc>
        <w:tc>
          <w:tcPr>
            <w:tcW w:w="785" w:type="dxa"/>
            <w:tcBorders>
              <w:top w:val="nil"/>
              <w:left w:val="nil"/>
              <w:bottom w:val="nil"/>
              <w:right w:val="nil"/>
            </w:tcBorders>
            <w:shd w:val="clear" w:color="auto" w:fill="auto"/>
            <w:noWrap/>
            <w:vAlign w:val="bottom"/>
            <w:hideMark/>
          </w:tcPr>
          <w:p w14:paraId="7D2D18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680" w:type="dxa"/>
            <w:tcBorders>
              <w:top w:val="nil"/>
              <w:left w:val="nil"/>
              <w:bottom w:val="nil"/>
              <w:right w:val="nil"/>
            </w:tcBorders>
            <w:shd w:val="clear" w:color="auto" w:fill="auto"/>
            <w:noWrap/>
            <w:vAlign w:val="bottom"/>
            <w:hideMark/>
          </w:tcPr>
          <w:p w14:paraId="460077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r>
      <w:tr w:rsidR="00AC362E" w:rsidRPr="00491EF1" w14:paraId="516D043B" w14:textId="77777777" w:rsidTr="00ED0631">
        <w:trPr>
          <w:trHeight w:val="315"/>
        </w:trPr>
        <w:tc>
          <w:tcPr>
            <w:tcW w:w="1832" w:type="dxa"/>
            <w:tcBorders>
              <w:top w:val="nil"/>
              <w:left w:val="nil"/>
              <w:bottom w:val="nil"/>
              <w:right w:val="nil"/>
            </w:tcBorders>
            <w:shd w:val="clear" w:color="auto" w:fill="auto"/>
            <w:noWrap/>
            <w:vAlign w:val="bottom"/>
            <w:hideMark/>
          </w:tcPr>
          <w:p w14:paraId="6DC7D3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696" w:type="dxa"/>
            <w:tcBorders>
              <w:top w:val="nil"/>
              <w:left w:val="nil"/>
              <w:bottom w:val="nil"/>
              <w:right w:val="nil"/>
            </w:tcBorders>
            <w:shd w:val="clear" w:color="auto" w:fill="auto"/>
            <w:noWrap/>
            <w:vAlign w:val="bottom"/>
            <w:hideMark/>
          </w:tcPr>
          <w:p w14:paraId="260871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696" w:type="dxa"/>
            <w:tcBorders>
              <w:top w:val="nil"/>
              <w:left w:val="nil"/>
              <w:bottom w:val="nil"/>
              <w:right w:val="nil"/>
            </w:tcBorders>
            <w:shd w:val="clear" w:color="auto" w:fill="auto"/>
            <w:noWrap/>
            <w:vAlign w:val="bottom"/>
            <w:hideMark/>
          </w:tcPr>
          <w:p w14:paraId="2CF6D2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34 </w:t>
            </w:r>
          </w:p>
        </w:tc>
        <w:tc>
          <w:tcPr>
            <w:tcW w:w="688" w:type="dxa"/>
            <w:tcBorders>
              <w:top w:val="nil"/>
              <w:left w:val="nil"/>
              <w:bottom w:val="nil"/>
              <w:right w:val="nil"/>
            </w:tcBorders>
            <w:shd w:val="clear" w:color="auto" w:fill="auto"/>
            <w:noWrap/>
            <w:vAlign w:val="bottom"/>
            <w:hideMark/>
          </w:tcPr>
          <w:p w14:paraId="1407AE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696" w:type="dxa"/>
            <w:tcBorders>
              <w:top w:val="nil"/>
              <w:left w:val="nil"/>
              <w:bottom w:val="nil"/>
              <w:right w:val="nil"/>
            </w:tcBorders>
            <w:shd w:val="clear" w:color="auto" w:fill="auto"/>
            <w:noWrap/>
            <w:vAlign w:val="bottom"/>
            <w:hideMark/>
          </w:tcPr>
          <w:p w14:paraId="05CC0E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30 </w:t>
            </w:r>
          </w:p>
        </w:tc>
        <w:tc>
          <w:tcPr>
            <w:tcW w:w="787" w:type="dxa"/>
            <w:tcBorders>
              <w:top w:val="nil"/>
              <w:left w:val="nil"/>
              <w:bottom w:val="nil"/>
              <w:right w:val="nil"/>
            </w:tcBorders>
            <w:shd w:val="clear" w:color="auto" w:fill="auto"/>
            <w:noWrap/>
            <w:vAlign w:val="bottom"/>
            <w:hideMark/>
          </w:tcPr>
          <w:p w14:paraId="00440A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96" w:type="dxa"/>
            <w:tcBorders>
              <w:top w:val="nil"/>
              <w:left w:val="nil"/>
              <w:bottom w:val="nil"/>
              <w:right w:val="nil"/>
            </w:tcBorders>
            <w:shd w:val="clear" w:color="auto" w:fill="auto"/>
            <w:noWrap/>
            <w:vAlign w:val="bottom"/>
            <w:hideMark/>
          </w:tcPr>
          <w:p w14:paraId="4D595A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39 </w:t>
            </w:r>
          </w:p>
        </w:tc>
        <w:tc>
          <w:tcPr>
            <w:tcW w:w="749" w:type="dxa"/>
            <w:tcBorders>
              <w:top w:val="nil"/>
              <w:left w:val="nil"/>
              <w:bottom w:val="nil"/>
              <w:right w:val="nil"/>
            </w:tcBorders>
            <w:shd w:val="clear" w:color="auto" w:fill="auto"/>
            <w:noWrap/>
            <w:vAlign w:val="bottom"/>
            <w:hideMark/>
          </w:tcPr>
          <w:p w14:paraId="77FD0B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696" w:type="dxa"/>
            <w:tcBorders>
              <w:top w:val="nil"/>
              <w:left w:val="nil"/>
              <w:bottom w:val="nil"/>
              <w:right w:val="nil"/>
            </w:tcBorders>
            <w:shd w:val="clear" w:color="auto" w:fill="auto"/>
            <w:noWrap/>
            <w:vAlign w:val="bottom"/>
            <w:hideMark/>
          </w:tcPr>
          <w:p w14:paraId="41ACD3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29 </w:t>
            </w:r>
          </w:p>
        </w:tc>
        <w:tc>
          <w:tcPr>
            <w:tcW w:w="706" w:type="dxa"/>
            <w:tcBorders>
              <w:top w:val="nil"/>
              <w:left w:val="nil"/>
              <w:bottom w:val="nil"/>
              <w:right w:val="nil"/>
            </w:tcBorders>
            <w:shd w:val="clear" w:color="auto" w:fill="auto"/>
            <w:noWrap/>
            <w:vAlign w:val="bottom"/>
            <w:hideMark/>
          </w:tcPr>
          <w:p w14:paraId="1E3233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696" w:type="dxa"/>
            <w:tcBorders>
              <w:top w:val="nil"/>
              <w:left w:val="nil"/>
              <w:bottom w:val="nil"/>
              <w:right w:val="nil"/>
            </w:tcBorders>
            <w:shd w:val="clear" w:color="auto" w:fill="auto"/>
            <w:noWrap/>
            <w:vAlign w:val="bottom"/>
            <w:hideMark/>
          </w:tcPr>
          <w:p w14:paraId="06FE92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785" w:type="dxa"/>
            <w:tcBorders>
              <w:top w:val="nil"/>
              <w:left w:val="nil"/>
              <w:bottom w:val="nil"/>
              <w:right w:val="nil"/>
            </w:tcBorders>
            <w:shd w:val="clear" w:color="auto" w:fill="auto"/>
            <w:noWrap/>
            <w:vAlign w:val="bottom"/>
            <w:hideMark/>
          </w:tcPr>
          <w:p w14:paraId="6F394B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680" w:type="dxa"/>
            <w:tcBorders>
              <w:top w:val="nil"/>
              <w:left w:val="nil"/>
              <w:bottom w:val="nil"/>
              <w:right w:val="nil"/>
            </w:tcBorders>
            <w:shd w:val="clear" w:color="auto" w:fill="auto"/>
            <w:noWrap/>
            <w:vAlign w:val="bottom"/>
            <w:hideMark/>
          </w:tcPr>
          <w:p w14:paraId="041C6C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 </w:t>
            </w:r>
          </w:p>
        </w:tc>
      </w:tr>
      <w:tr w:rsidR="00AC362E" w:rsidRPr="00491EF1" w14:paraId="3325BF03" w14:textId="77777777" w:rsidTr="00ED0631">
        <w:trPr>
          <w:trHeight w:val="315"/>
        </w:trPr>
        <w:tc>
          <w:tcPr>
            <w:tcW w:w="1832" w:type="dxa"/>
            <w:tcBorders>
              <w:top w:val="nil"/>
              <w:left w:val="nil"/>
              <w:bottom w:val="nil"/>
              <w:right w:val="nil"/>
            </w:tcBorders>
            <w:shd w:val="clear" w:color="auto" w:fill="auto"/>
            <w:noWrap/>
            <w:vAlign w:val="bottom"/>
            <w:hideMark/>
          </w:tcPr>
          <w:p w14:paraId="5E4827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696" w:type="dxa"/>
            <w:tcBorders>
              <w:top w:val="nil"/>
              <w:left w:val="nil"/>
              <w:bottom w:val="nil"/>
              <w:right w:val="nil"/>
            </w:tcBorders>
            <w:shd w:val="clear" w:color="auto" w:fill="auto"/>
            <w:noWrap/>
            <w:vAlign w:val="bottom"/>
            <w:hideMark/>
          </w:tcPr>
          <w:p w14:paraId="112F5B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696" w:type="dxa"/>
            <w:tcBorders>
              <w:top w:val="nil"/>
              <w:left w:val="nil"/>
              <w:bottom w:val="nil"/>
              <w:right w:val="nil"/>
            </w:tcBorders>
            <w:shd w:val="clear" w:color="auto" w:fill="auto"/>
            <w:noWrap/>
            <w:vAlign w:val="bottom"/>
            <w:hideMark/>
          </w:tcPr>
          <w:p w14:paraId="60D8F90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 </w:t>
            </w:r>
          </w:p>
        </w:tc>
        <w:tc>
          <w:tcPr>
            <w:tcW w:w="688" w:type="dxa"/>
            <w:tcBorders>
              <w:top w:val="nil"/>
              <w:left w:val="nil"/>
              <w:bottom w:val="nil"/>
              <w:right w:val="nil"/>
            </w:tcBorders>
            <w:shd w:val="clear" w:color="auto" w:fill="auto"/>
            <w:noWrap/>
            <w:vAlign w:val="bottom"/>
            <w:hideMark/>
          </w:tcPr>
          <w:p w14:paraId="7ED59D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96" w:type="dxa"/>
            <w:tcBorders>
              <w:top w:val="nil"/>
              <w:left w:val="nil"/>
              <w:bottom w:val="nil"/>
              <w:right w:val="nil"/>
            </w:tcBorders>
            <w:shd w:val="clear" w:color="auto" w:fill="auto"/>
            <w:noWrap/>
            <w:vAlign w:val="bottom"/>
            <w:hideMark/>
          </w:tcPr>
          <w:p w14:paraId="63F758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787" w:type="dxa"/>
            <w:tcBorders>
              <w:top w:val="nil"/>
              <w:left w:val="nil"/>
              <w:bottom w:val="nil"/>
              <w:right w:val="nil"/>
            </w:tcBorders>
            <w:shd w:val="clear" w:color="auto" w:fill="auto"/>
            <w:noWrap/>
            <w:vAlign w:val="bottom"/>
            <w:hideMark/>
          </w:tcPr>
          <w:p w14:paraId="231504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696" w:type="dxa"/>
            <w:tcBorders>
              <w:top w:val="nil"/>
              <w:left w:val="nil"/>
              <w:bottom w:val="nil"/>
              <w:right w:val="nil"/>
            </w:tcBorders>
            <w:shd w:val="clear" w:color="auto" w:fill="auto"/>
            <w:noWrap/>
            <w:vAlign w:val="bottom"/>
            <w:hideMark/>
          </w:tcPr>
          <w:p w14:paraId="786191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 </w:t>
            </w:r>
          </w:p>
        </w:tc>
        <w:tc>
          <w:tcPr>
            <w:tcW w:w="749" w:type="dxa"/>
            <w:tcBorders>
              <w:top w:val="nil"/>
              <w:left w:val="nil"/>
              <w:bottom w:val="nil"/>
              <w:right w:val="nil"/>
            </w:tcBorders>
            <w:shd w:val="clear" w:color="auto" w:fill="auto"/>
            <w:noWrap/>
            <w:vAlign w:val="bottom"/>
            <w:hideMark/>
          </w:tcPr>
          <w:p w14:paraId="520D4E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696" w:type="dxa"/>
            <w:tcBorders>
              <w:top w:val="nil"/>
              <w:left w:val="nil"/>
              <w:bottom w:val="nil"/>
              <w:right w:val="nil"/>
            </w:tcBorders>
            <w:shd w:val="clear" w:color="auto" w:fill="auto"/>
            <w:noWrap/>
            <w:vAlign w:val="bottom"/>
            <w:hideMark/>
          </w:tcPr>
          <w:p w14:paraId="637F50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706" w:type="dxa"/>
            <w:tcBorders>
              <w:top w:val="nil"/>
              <w:left w:val="nil"/>
              <w:bottom w:val="nil"/>
              <w:right w:val="nil"/>
            </w:tcBorders>
            <w:shd w:val="clear" w:color="auto" w:fill="auto"/>
            <w:noWrap/>
            <w:vAlign w:val="bottom"/>
            <w:hideMark/>
          </w:tcPr>
          <w:p w14:paraId="264D9B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696" w:type="dxa"/>
            <w:tcBorders>
              <w:top w:val="nil"/>
              <w:left w:val="nil"/>
              <w:bottom w:val="nil"/>
              <w:right w:val="nil"/>
            </w:tcBorders>
            <w:shd w:val="clear" w:color="auto" w:fill="auto"/>
            <w:noWrap/>
            <w:vAlign w:val="bottom"/>
            <w:hideMark/>
          </w:tcPr>
          <w:p w14:paraId="0A4421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38 </w:t>
            </w:r>
          </w:p>
        </w:tc>
        <w:tc>
          <w:tcPr>
            <w:tcW w:w="785" w:type="dxa"/>
            <w:tcBorders>
              <w:top w:val="nil"/>
              <w:left w:val="nil"/>
              <w:bottom w:val="nil"/>
              <w:right w:val="nil"/>
            </w:tcBorders>
            <w:shd w:val="clear" w:color="auto" w:fill="auto"/>
            <w:noWrap/>
            <w:vAlign w:val="bottom"/>
            <w:hideMark/>
          </w:tcPr>
          <w:p w14:paraId="72C4B7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680" w:type="dxa"/>
            <w:tcBorders>
              <w:top w:val="nil"/>
              <w:left w:val="nil"/>
              <w:bottom w:val="nil"/>
              <w:right w:val="nil"/>
            </w:tcBorders>
            <w:shd w:val="clear" w:color="auto" w:fill="auto"/>
            <w:noWrap/>
            <w:vAlign w:val="bottom"/>
            <w:hideMark/>
          </w:tcPr>
          <w:p w14:paraId="7FB08D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41 </w:t>
            </w:r>
          </w:p>
        </w:tc>
      </w:tr>
      <w:tr w:rsidR="00AC362E" w:rsidRPr="00491EF1" w14:paraId="4D90CB31" w14:textId="77777777" w:rsidTr="00ED0631">
        <w:trPr>
          <w:trHeight w:val="315"/>
        </w:trPr>
        <w:tc>
          <w:tcPr>
            <w:tcW w:w="1832" w:type="dxa"/>
            <w:tcBorders>
              <w:top w:val="nil"/>
              <w:left w:val="nil"/>
              <w:bottom w:val="nil"/>
              <w:right w:val="nil"/>
            </w:tcBorders>
            <w:shd w:val="clear" w:color="auto" w:fill="auto"/>
            <w:noWrap/>
            <w:vAlign w:val="bottom"/>
            <w:hideMark/>
          </w:tcPr>
          <w:p w14:paraId="4A1D95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696" w:type="dxa"/>
            <w:tcBorders>
              <w:top w:val="nil"/>
              <w:left w:val="nil"/>
              <w:bottom w:val="nil"/>
              <w:right w:val="nil"/>
            </w:tcBorders>
            <w:shd w:val="clear" w:color="auto" w:fill="auto"/>
            <w:noWrap/>
            <w:vAlign w:val="bottom"/>
            <w:hideMark/>
          </w:tcPr>
          <w:p w14:paraId="6C04FC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 </w:t>
            </w:r>
          </w:p>
        </w:tc>
        <w:tc>
          <w:tcPr>
            <w:tcW w:w="696" w:type="dxa"/>
            <w:tcBorders>
              <w:top w:val="nil"/>
              <w:left w:val="nil"/>
              <w:bottom w:val="nil"/>
              <w:right w:val="nil"/>
            </w:tcBorders>
            <w:shd w:val="clear" w:color="auto" w:fill="auto"/>
            <w:noWrap/>
            <w:vAlign w:val="bottom"/>
            <w:hideMark/>
          </w:tcPr>
          <w:p w14:paraId="16539F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32 </w:t>
            </w:r>
          </w:p>
        </w:tc>
        <w:tc>
          <w:tcPr>
            <w:tcW w:w="688" w:type="dxa"/>
            <w:tcBorders>
              <w:top w:val="nil"/>
              <w:left w:val="nil"/>
              <w:bottom w:val="nil"/>
              <w:right w:val="nil"/>
            </w:tcBorders>
            <w:shd w:val="clear" w:color="auto" w:fill="auto"/>
            <w:noWrap/>
            <w:vAlign w:val="bottom"/>
            <w:hideMark/>
          </w:tcPr>
          <w:p w14:paraId="2107F4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96" w:type="dxa"/>
            <w:tcBorders>
              <w:top w:val="nil"/>
              <w:left w:val="nil"/>
              <w:bottom w:val="nil"/>
              <w:right w:val="nil"/>
            </w:tcBorders>
            <w:shd w:val="clear" w:color="auto" w:fill="auto"/>
            <w:noWrap/>
            <w:vAlign w:val="bottom"/>
            <w:hideMark/>
          </w:tcPr>
          <w:p w14:paraId="49361E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44 </w:t>
            </w:r>
          </w:p>
        </w:tc>
        <w:tc>
          <w:tcPr>
            <w:tcW w:w="787" w:type="dxa"/>
            <w:tcBorders>
              <w:top w:val="nil"/>
              <w:left w:val="nil"/>
              <w:bottom w:val="nil"/>
              <w:right w:val="nil"/>
            </w:tcBorders>
            <w:shd w:val="clear" w:color="auto" w:fill="auto"/>
            <w:noWrap/>
            <w:vAlign w:val="bottom"/>
            <w:hideMark/>
          </w:tcPr>
          <w:p w14:paraId="3C458C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696" w:type="dxa"/>
            <w:tcBorders>
              <w:top w:val="nil"/>
              <w:left w:val="nil"/>
              <w:bottom w:val="nil"/>
              <w:right w:val="nil"/>
            </w:tcBorders>
            <w:shd w:val="clear" w:color="auto" w:fill="auto"/>
            <w:noWrap/>
            <w:vAlign w:val="bottom"/>
            <w:hideMark/>
          </w:tcPr>
          <w:p w14:paraId="533E30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749" w:type="dxa"/>
            <w:tcBorders>
              <w:top w:val="nil"/>
              <w:left w:val="nil"/>
              <w:bottom w:val="nil"/>
              <w:right w:val="nil"/>
            </w:tcBorders>
            <w:shd w:val="clear" w:color="auto" w:fill="auto"/>
            <w:noWrap/>
            <w:vAlign w:val="bottom"/>
            <w:hideMark/>
          </w:tcPr>
          <w:p w14:paraId="13DC7A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696" w:type="dxa"/>
            <w:tcBorders>
              <w:top w:val="nil"/>
              <w:left w:val="nil"/>
              <w:bottom w:val="nil"/>
              <w:right w:val="nil"/>
            </w:tcBorders>
            <w:shd w:val="clear" w:color="auto" w:fill="auto"/>
            <w:noWrap/>
            <w:vAlign w:val="bottom"/>
            <w:hideMark/>
          </w:tcPr>
          <w:p w14:paraId="0C494E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706" w:type="dxa"/>
            <w:tcBorders>
              <w:top w:val="nil"/>
              <w:left w:val="nil"/>
              <w:bottom w:val="nil"/>
              <w:right w:val="nil"/>
            </w:tcBorders>
            <w:shd w:val="clear" w:color="auto" w:fill="auto"/>
            <w:noWrap/>
            <w:vAlign w:val="bottom"/>
            <w:hideMark/>
          </w:tcPr>
          <w:p w14:paraId="735FBD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696" w:type="dxa"/>
            <w:tcBorders>
              <w:top w:val="nil"/>
              <w:left w:val="nil"/>
              <w:bottom w:val="nil"/>
              <w:right w:val="nil"/>
            </w:tcBorders>
            <w:shd w:val="clear" w:color="auto" w:fill="auto"/>
            <w:noWrap/>
            <w:vAlign w:val="bottom"/>
            <w:hideMark/>
          </w:tcPr>
          <w:p w14:paraId="3AFB5A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38 </w:t>
            </w:r>
          </w:p>
        </w:tc>
        <w:tc>
          <w:tcPr>
            <w:tcW w:w="785" w:type="dxa"/>
            <w:tcBorders>
              <w:top w:val="nil"/>
              <w:left w:val="nil"/>
              <w:bottom w:val="nil"/>
              <w:right w:val="nil"/>
            </w:tcBorders>
            <w:shd w:val="clear" w:color="auto" w:fill="auto"/>
            <w:noWrap/>
            <w:vAlign w:val="bottom"/>
            <w:hideMark/>
          </w:tcPr>
          <w:p w14:paraId="57C143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680" w:type="dxa"/>
            <w:tcBorders>
              <w:top w:val="nil"/>
              <w:left w:val="nil"/>
              <w:bottom w:val="nil"/>
              <w:right w:val="nil"/>
            </w:tcBorders>
            <w:shd w:val="clear" w:color="auto" w:fill="auto"/>
            <w:noWrap/>
            <w:vAlign w:val="bottom"/>
            <w:hideMark/>
          </w:tcPr>
          <w:p w14:paraId="2C477C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r>
      <w:tr w:rsidR="00AC362E" w:rsidRPr="00491EF1" w14:paraId="45C8BF88" w14:textId="77777777" w:rsidTr="00ED0631">
        <w:trPr>
          <w:trHeight w:val="315"/>
        </w:trPr>
        <w:tc>
          <w:tcPr>
            <w:tcW w:w="1832" w:type="dxa"/>
            <w:tcBorders>
              <w:top w:val="nil"/>
              <w:left w:val="nil"/>
              <w:bottom w:val="nil"/>
              <w:right w:val="nil"/>
            </w:tcBorders>
            <w:shd w:val="clear" w:color="auto" w:fill="auto"/>
            <w:noWrap/>
            <w:vAlign w:val="bottom"/>
            <w:hideMark/>
          </w:tcPr>
          <w:p w14:paraId="46D005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696" w:type="dxa"/>
            <w:tcBorders>
              <w:top w:val="nil"/>
              <w:left w:val="nil"/>
              <w:bottom w:val="nil"/>
              <w:right w:val="nil"/>
            </w:tcBorders>
            <w:shd w:val="clear" w:color="auto" w:fill="auto"/>
            <w:noWrap/>
            <w:vAlign w:val="bottom"/>
            <w:hideMark/>
          </w:tcPr>
          <w:p w14:paraId="3582D0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114 </w:t>
            </w:r>
          </w:p>
        </w:tc>
        <w:tc>
          <w:tcPr>
            <w:tcW w:w="696" w:type="dxa"/>
            <w:tcBorders>
              <w:top w:val="nil"/>
              <w:left w:val="nil"/>
              <w:bottom w:val="nil"/>
              <w:right w:val="nil"/>
            </w:tcBorders>
            <w:shd w:val="clear" w:color="auto" w:fill="auto"/>
            <w:noWrap/>
            <w:vAlign w:val="bottom"/>
            <w:hideMark/>
          </w:tcPr>
          <w:p w14:paraId="768174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688" w:type="dxa"/>
            <w:tcBorders>
              <w:top w:val="nil"/>
              <w:left w:val="nil"/>
              <w:bottom w:val="nil"/>
              <w:right w:val="nil"/>
            </w:tcBorders>
            <w:shd w:val="clear" w:color="auto" w:fill="auto"/>
            <w:noWrap/>
            <w:vAlign w:val="bottom"/>
            <w:hideMark/>
          </w:tcPr>
          <w:p w14:paraId="5F5E58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696" w:type="dxa"/>
            <w:tcBorders>
              <w:top w:val="nil"/>
              <w:left w:val="nil"/>
              <w:bottom w:val="nil"/>
              <w:right w:val="nil"/>
            </w:tcBorders>
            <w:shd w:val="clear" w:color="auto" w:fill="auto"/>
            <w:noWrap/>
            <w:vAlign w:val="bottom"/>
            <w:hideMark/>
          </w:tcPr>
          <w:p w14:paraId="417984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140 </w:t>
            </w:r>
          </w:p>
        </w:tc>
        <w:tc>
          <w:tcPr>
            <w:tcW w:w="787" w:type="dxa"/>
            <w:tcBorders>
              <w:top w:val="nil"/>
              <w:left w:val="nil"/>
              <w:bottom w:val="nil"/>
              <w:right w:val="nil"/>
            </w:tcBorders>
            <w:shd w:val="clear" w:color="auto" w:fill="auto"/>
            <w:noWrap/>
            <w:vAlign w:val="bottom"/>
            <w:hideMark/>
          </w:tcPr>
          <w:p w14:paraId="6DE989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696" w:type="dxa"/>
            <w:tcBorders>
              <w:top w:val="nil"/>
              <w:left w:val="nil"/>
              <w:bottom w:val="nil"/>
              <w:right w:val="nil"/>
            </w:tcBorders>
            <w:shd w:val="clear" w:color="auto" w:fill="auto"/>
            <w:noWrap/>
            <w:vAlign w:val="bottom"/>
            <w:hideMark/>
          </w:tcPr>
          <w:p w14:paraId="333B1E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139 </w:t>
            </w:r>
          </w:p>
        </w:tc>
        <w:tc>
          <w:tcPr>
            <w:tcW w:w="749" w:type="dxa"/>
            <w:tcBorders>
              <w:top w:val="nil"/>
              <w:left w:val="nil"/>
              <w:bottom w:val="nil"/>
              <w:right w:val="nil"/>
            </w:tcBorders>
            <w:shd w:val="clear" w:color="auto" w:fill="auto"/>
            <w:noWrap/>
            <w:vAlign w:val="bottom"/>
            <w:hideMark/>
          </w:tcPr>
          <w:p w14:paraId="7E015A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 </w:t>
            </w:r>
          </w:p>
        </w:tc>
        <w:tc>
          <w:tcPr>
            <w:tcW w:w="696" w:type="dxa"/>
            <w:tcBorders>
              <w:top w:val="nil"/>
              <w:left w:val="nil"/>
              <w:bottom w:val="nil"/>
              <w:right w:val="nil"/>
            </w:tcBorders>
            <w:shd w:val="clear" w:color="auto" w:fill="auto"/>
            <w:noWrap/>
            <w:vAlign w:val="bottom"/>
            <w:hideMark/>
          </w:tcPr>
          <w:p w14:paraId="14EF07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135 </w:t>
            </w:r>
          </w:p>
        </w:tc>
        <w:tc>
          <w:tcPr>
            <w:tcW w:w="706" w:type="dxa"/>
            <w:tcBorders>
              <w:top w:val="nil"/>
              <w:left w:val="nil"/>
              <w:bottom w:val="nil"/>
              <w:right w:val="nil"/>
            </w:tcBorders>
            <w:shd w:val="clear" w:color="auto" w:fill="auto"/>
            <w:noWrap/>
            <w:vAlign w:val="bottom"/>
            <w:hideMark/>
          </w:tcPr>
          <w:p w14:paraId="30F385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696" w:type="dxa"/>
            <w:tcBorders>
              <w:top w:val="nil"/>
              <w:left w:val="nil"/>
              <w:bottom w:val="nil"/>
              <w:right w:val="nil"/>
            </w:tcBorders>
            <w:shd w:val="clear" w:color="auto" w:fill="auto"/>
            <w:noWrap/>
            <w:vAlign w:val="bottom"/>
            <w:hideMark/>
          </w:tcPr>
          <w:p w14:paraId="094990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139 </w:t>
            </w:r>
          </w:p>
        </w:tc>
        <w:tc>
          <w:tcPr>
            <w:tcW w:w="785" w:type="dxa"/>
            <w:tcBorders>
              <w:top w:val="nil"/>
              <w:left w:val="nil"/>
              <w:bottom w:val="nil"/>
              <w:right w:val="nil"/>
            </w:tcBorders>
            <w:shd w:val="clear" w:color="auto" w:fill="auto"/>
            <w:noWrap/>
            <w:vAlign w:val="bottom"/>
            <w:hideMark/>
          </w:tcPr>
          <w:p w14:paraId="664AA6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680" w:type="dxa"/>
            <w:tcBorders>
              <w:top w:val="nil"/>
              <w:left w:val="nil"/>
              <w:bottom w:val="nil"/>
              <w:right w:val="nil"/>
            </w:tcBorders>
            <w:shd w:val="clear" w:color="auto" w:fill="auto"/>
            <w:noWrap/>
            <w:vAlign w:val="bottom"/>
            <w:hideMark/>
          </w:tcPr>
          <w:p w14:paraId="58E434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148 </w:t>
            </w:r>
          </w:p>
        </w:tc>
      </w:tr>
      <w:tr w:rsidR="00AC362E" w:rsidRPr="00491EF1" w14:paraId="547208B9" w14:textId="77777777" w:rsidTr="00ED0631">
        <w:trPr>
          <w:trHeight w:val="315"/>
        </w:trPr>
        <w:tc>
          <w:tcPr>
            <w:tcW w:w="1832" w:type="dxa"/>
            <w:tcBorders>
              <w:top w:val="nil"/>
              <w:left w:val="nil"/>
              <w:bottom w:val="nil"/>
              <w:right w:val="nil"/>
            </w:tcBorders>
            <w:shd w:val="clear" w:color="auto" w:fill="auto"/>
            <w:noWrap/>
            <w:vAlign w:val="bottom"/>
            <w:hideMark/>
          </w:tcPr>
          <w:p w14:paraId="4168A2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696" w:type="dxa"/>
            <w:tcBorders>
              <w:top w:val="nil"/>
              <w:left w:val="nil"/>
              <w:bottom w:val="nil"/>
              <w:right w:val="nil"/>
            </w:tcBorders>
            <w:shd w:val="clear" w:color="auto" w:fill="auto"/>
            <w:noWrap/>
            <w:vAlign w:val="bottom"/>
            <w:hideMark/>
          </w:tcPr>
          <w:p w14:paraId="661E41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96" w:type="dxa"/>
            <w:tcBorders>
              <w:top w:val="nil"/>
              <w:left w:val="nil"/>
              <w:bottom w:val="nil"/>
              <w:right w:val="nil"/>
            </w:tcBorders>
            <w:shd w:val="clear" w:color="auto" w:fill="auto"/>
            <w:noWrap/>
            <w:vAlign w:val="bottom"/>
            <w:hideMark/>
          </w:tcPr>
          <w:p w14:paraId="31D567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47 </w:t>
            </w:r>
          </w:p>
        </w:tc>
        <w:tc>
          <w:tcPr>
            <w:tcW w:w="688" w:type="dxa"/>
            <w:tcBorders>
              <w:top w:val="nil"/>
              <w:left w:val="nil"/>
              <w:bottom w:val="nil"/>
              <w:right w:val="nil"/>
            </w:tcBorders>
            <w:shd w:val="clear" w:color="auto" w:fill="auto"/>
            <w:noWrap/>
            <w:vAlign w:val="bottom"/>
            <w:hideMark/>
          </w:tcPr>
          <w:p w14:paraId="62FA85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696" w:type="dxa"/>
            <w:tcBorders>
              <w:top w:val="nil"/>
              <w:left w:val="nil"/>
              <w:bottom w:val="nil"/>
              <w:right w:val="nil"/>
            </w:tcBorders>
            <w:shd w:val="clear" w:color="auto" w:fill="auto"/>
            <w:noWrap/>
            <w:vAlign w:val="bottom"/>
            <w:hideMark/>
          </w:tcPr>
          <w:p w14:paraId="3FD3C0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787" w:type="dxa"/>
            <w:tcBorders>
              <w:top w:val="nil"/>
              <w:left w:val="nil"/>
              <w:bottom w:val="nil"/>
              <w:right w:val="nil"/>
            </w:tcBorders>
            <w:shd w:val="clear" w:color="auto" w:fill="auto"/>
            <w:noWrap/>
            <w:vAlign w:val="bottom"/>
            <w:hideMark/>
          </w:tcPr>
          <w:p w14:paraId="399E0D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30 </w:t>
            </w:r>
          </w:p>
        </w:tc>
        <w:tc>
          <w:tcPr>
            <w:tcW w:w="696" w:type="dxa"/>
            <w:tcBorders>
              <w:top w:val="nil"/>
              <w:left w:val="nil"/>
              <w:bottom w:val="nil"/>
              <w:right w:val="nil"/>
            </w:tcBorders>
            <w:shd w:val="clear" w:color="auto" w:fill="auto"/>
            <w:noWrap/>
            <w:vAlign w:val="bottom"/>
            <w:hideMark/>
          </w:tcPr>
          <w:p w14:paraId="7F7AF4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 </w:t>
            </w:r>
          </w:p>
        </w:tc>
        <w:tc>
          <w:tcPr>
            <w:tcW w:w="749" w:type="dxa"/>
            <w:tcBorders>
              <w:top w:val="nil"/>
              <w:left w:val="nil"/>
              <w:bottom w:val="nil"/>
              <w:right w:val="nil"/>
            </w:tcBorders>
            <w:shd w:val="clear" w:color="auto" w:fill="auto"/>
            <w:noWrap/>
            <w:vAlign w:val="bottom"/>
            <w:hideMark/>
          </w:tcPr>
          <w:p w14:paraId="2AFA0C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696" w:type="dxa"/>
            <w:tcBorders>
              <w:top w:val="nil"/>
              <w:left w:val="nil"/>
              <w:bottom w:val="nil"/>
              <w:right w:val="nil"/>
            </w:tcBorders>
            <w:shd w:val="clear" w:color="auto" w:fill="auto"/>
            <w:noWrap/>
            <w:vAlign w:val="bottom"/>
            <w:hideMark/>
          </w:tcPr>
          <w:p w14:paraId="55C439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706" w:type="dxa"/>
            <w:tcBorders>
              <w:top w:val="nil"/>
              <w:left w:val="nil"/>
              <w:bottom w:val="nil"/>
              <w:right w:val="nil"/>
            </w:tcBorders>
            <w:shd w:val="clear" w:color="auto" w:fill="auto"/>
            <w:noWrap/>
            <w:vAlign w:val="bottom"/>
            <w:hideMark/>
          </w:tcPr>
          <w:p w14:paraId="63EA9D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696" w:type="dxa"/>
            <w:tcBorders>
              <w:top w:val="nil"/>
              <w:left w:val="nil"/>
              <w:bottom w:val="nil"/>
              <w:right w:val="nil"/>
            </w:tcBorders>
            <w:shd w:val="clear" w:color="auto" w:fill="auto"/>
            <w:noWrap/>
            <w:vAlign w:val="bottom"/>
            <w:hideMark/>
          </w:tcPr>
          <w:p w14:paraId="3AAB24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44 </w:t>
            </w:r>
          </w:p>
        </w:tc>
        <w:tc>
          <w:tcPr>
            <w:tcW w:w="785" w:type="dxa"/>
            <w:tcBorders>
              <w:top w:val="nil"/>
              <w:left w:val="nil"/>
              <w:bottom w:val="nil"/>
              <w:right w:val="nil"/>
            </w:tcBorders>
            <w:shd w:val="clear" w:color="auto" w:fill="auto"/>
            <w:noWrap/>
            <w:vAlign w:val="bottom"/>
            <w:hideMark/>
          </w:tcPr>
          <w:p w14:paraId="52B2B2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680" w:type="dxa"/>
            <w:tcBorders>
              <w:top w:val="nil"/>
              <w:left w:val="nil"/>
              <w:bottom w:val="nil"/>
              <w:right w:val="nil"/>
            </w:tcBorders>
            <w:shd w:val="clear" w:color="auto" w:fill="auto"/>
            <w:noWrap/>
            <w:vAlign w:val="bottom"/>
            <w:hideMark/>
          </w:tcPr>
          <w:p w14:paraId="2C83B9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47 </w:t>
            </w:r>
          </w:p>
        </w:tc>
      </w:tr>
      <w:tr w:rsidR="00AC362E" w:rsidRPr="00491EF1" w14:paraId="2E31A32E" w14:textId="77777777" w:rsidTr="00ED0631">
        <w:trPr>
          <w:trHeight w:val="315"/>
        </w:trPr>
        <w:tc>
          <w:tcPr>
            <w:tcW w:w="1832" w:type="dxa"/>
            <w:tcBorders>
              <w:top w:val="single" w:sz="4" w:space="0" w:color="auto"/>
              <w:left w:val="nil"/>
              <w:bottom w:val="single" w:sz="4" w:space="0" w:color="auto"/>
              <w:right w:val="nil"/>
            </w:tcBorders>
            <w:shd w:val="clear" w:color="auto" w:fill="auto"/>
            <w:noWrap/>
            <w:vAlign w:val="bottom"/>
            <w:hideMark/>
          </w:tcPr>
          <w:p w14:paraId="35C58B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696" w:type="dxa"/>
            <w:tcBorders>
              <w:top w:val="single" w:sz="4" w:space="0" w:color="auto"/>
              <w:left w:val="nil"/>
              <w:bottom w:val="single" w:sz="4" w:space="0" w:color="auto"/>
              <w:right w:val="nil"/>
            </w:tcBorders>
            <w:shd w:val="clear" w:color="auto" w:fill="auto"/>
            <w:noWrap/>
            <w:vAlign w:val="bottom"/>
            <w:hideMark/>
          </w:tcPr>
          <w:p w14:paraId="7680F0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204 </w:t>
            </w:r>
          </w:p>
        </w:tc>
        <w:tc>
          <w:tcPr>
            <w:tcW w:w="696" w:type="dxa"/>
            <w:tcBorders>
              <w:top w:val="single" w:sz="4" w:space="0" w:color="auto"/>
              <w:left w:val="nil"/>
              <w:bottom w:val="single" w:sz="4" w:space="0" w:color="auto"/>
              <w:right w:val="nil"/>
            </w:tcBorders>
            <w:shd w:val="clear" w:color="auto" w:fill="auto"/>
            <w:noWrap/>
            <w:vAlign w:val="bottom"/>
            <w:hideMark/>
          </w:tcPr>
          <w:p w14:paraId="4BA431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368 </w:t>
            </w:r>
          </w:p>
        </w:tc>
        <w:tc>
          <w:tcPr>
            <w:tcW w:w="688" w:type="dxa"/>
            <w:tcBorders>
              <w:top w:val="single" w:sz="4" w:space="0" w:color="auto"/>
              <w:left w:val="nil"/>
              <w:bottom w:val="single" w:sz="4" w:space="0" w:color="auto"/>
              <w:right w:val="nil"/>
            </w:tcBorders>
            <w:shd w:val="clear" w:color="auto" w:fill="auto"/>
            <w:noWrap/>
            <w:vAlign w:val="bottom"/>
            <w:hideMark/>
          </w:tcPr>
          <w:p w14:paraId="750A4F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37 </w:t>
            </w:r>
          </w:p>
        </w:tc>
        <w:tc>
          <w:tcPr>
            <w:tcW w:w="696" w:type="dxa"/>
            <w:tcBorders>
              <w:top w:val="single" w:sz="4" w:space="0" w:color="auto"/>
              <w:left w:val="nil"/>
              <w:bottom w:val="single" w:sz="4" w:space="0" w:color="auto"/>
              <w:right w:val="nil"/>
            </w:tcBorders>
            <w:shd w:val="clear" w:color="auto" w:fill="auto"/>
            <w:noWrap/>
            <w:vAlign w:val="bottom"/>
            <w:hideMark/>
          </w:tcPr>
          <w:p w14:paraId="2789DD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535 </w:t>
            </w:r>
          </w:p>
        </w:tc>
        <w:tc>
          <w:tcPr>
            <w:tcW w:w="787" w:type="dxa"/>
            <w:tcBorders>
              <w:top w:val="single" w:sz="4" w:space="0" w:color="auto"/>
              <w:left w:val="nil"/>
              <w:bottom w:val="single" w:sz="4" w:space="0" w:color="auto"/>
              <w:right w:val="nil"/>
            </w:tcBorders>
            <w:shd w:val="clear" w:color="auto" w:fill="auto"/>
            <w:noWrap/>
            <w:vAlign w:val="bottom"/>
            <w:hideMark/>
          </w:tcPr>
          <w:p w14:paraId="6F0F12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125 </w:t>
            </w:r>
          </w:p>
        </w:tc>
        <w:tc>
          <w:tcPr>
            <w:tcW w:w="696" w:type="dxa"/>
            <w:tcBorders>
              <w:top w:val="single" w:sz="4" w:space="0" w:color="auto"/>
              <w:left w:val="nil"/>
              <w:bottom w:val="single" w:sz="4" w:space="0" w:color="auto"/>
              <w:right w:val="nil"/>
            </w:tcBorders>
            <w:shd w:val="clear" w:color="auto" w:fill="auto"/>
            <w:noWrap/>
            <w:vAlign w:val="bottom"/>
            <w:hideMark/>
          </w:tcPr>
          <w:p w14:paraId="304F7E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447 </w:t>
            </w:r>
          </w:p>
        </w:tc>
        <w:tc>
          <w:tcPr>
            <w:tcW w:w="749" w:type="dxa"/>
            <w:tcBorders>
              <w:top w:val="single" w:sz="4" w:space="0" w:color="auto"/>
              <w:left w:val="nil"/>
              <w:bottom w:val="single" w:sz="4" w:space="0" w:color="auto"/>
              <w:right w:val="nil"/>
            </w:tcBorders>
            <w:shd w:val="clear" w:color="auto" w:fill="auto"/>
            <w:noWrap/>
            <w:vAlign w:val="bottom"/>
            <w:hideMark/>
          </w:tcPr>
          <w:p w14:paraId="74A2E5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109 </w:t>
            </w:r>
          </w:p>
        </w:tc>
        <w:tc>
          <w:tcPr>
            <w:tcW w:w="696" w:type="dxa"/>
            <w:tcBorders>
              <w:top w:val="single" w:sz="4" w:space="0" w:color="auto"/>
              <w:left w:val="nil"/>
              <w:bottom w:val="single" w:sz="4" w:space="0" w:color="auto"/>
              <w:right w:val="nil"/>
            </w:tcBorders>
            <w:shd w:val="clear" w:color="auto" w:fill="auto"/>
            <w:noWrap/>
            <w:vAlign w:val="bottom"/>
            <w:hideMark/>
          </w:tcPr>
          <w:p w14:paraId="285B99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463 </w:t>
            </w:r>
          </w:p>
        </w:tc>
        <w:tc>
          <w:tcPr>
            <w:tcW w:w="706" w:type="dxa"/>
            <w:tcBorders>
              <w:top w:val="single" w:sz="4" w:space="0" w:color="auto"/>
              <w:left w:val="nil"/>
              <w:bottom w:val="single" w:sz="4" w:space="0" w:color="auto"/>
              <w:right w:val="nil"/>
            </w:tcBorders>
            <w:shd w:val="clear" w:color="auto" w:fill="auto"/>
            <w:noWrap/>
            <w:vAlign w:val="bottom"/>
            <w:hideMark/>
          </w:tcPr>
          <w:p w14:paraId="5D2DEB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62 </w:t>
            </w:r>
          </w:p>
        </w:tc>
        <w:tc>
          <w:tcPr>
            <w:tcW w:w="696" w:type="dxa"/>
            <w:tcBorders>
              <w:top w:val="single" w:sz="4" w:space="0" w:color="auto"/>
              <w:left w:val="nil"/>
              <w:bottom w:val="single" w:sz="4" w:space="0" w:color="auto"/>
              <w:right w:val="nil"/>
            </w:tcBorders>
            <w:shd w:val="clear" w:color="auto" w:fill="auto"/>
            <w:noWrap/>
            <w:vAlign w:val="bottom"/>
            <w:hideMark/>
          </w:tcPr>
          <w:p w14:paraId="45C384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509 </w:t>
            </w:r>
          </w:p>
        </w:tc>
        <w:tc>
          <w:tcPr>
            <w:tcW w:w="785" w:type="dxa"/>
            <w:tcBorders>
              <w:top w:val="single" w:sz="4" w:space="0" w:color="auto"/>
              <w:left w:val="nil"/>
              <w:bottom w:val="single" w:sz="4" w:space="0" w:color="auto"/>
              <w:right w:val="nil"/>
            </w:tcBorders>
            <w:shd w:val="clear" w:color="auto" w:fill="auto"/>
            <w:noWrap/>
            <w:vAlign w:val="bottom"/>
            <w:hideMark/>
          </w:tcPr>
          <w:p w14:paraId="78D167D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 </w:t>
            </w:r>
          </w:p>
        </w:tc>
        <w:tc>
          <w:tcPr>
            <w:tcW w:w="680" w:type="dxa"/>
            <w:tcBorders>
              <w:top w:val="single" w:sz="4" w:space="0" w:color="auto"/>
              <w:left w:val="nil"/>
              <w:bottom w:val="single" w:sz="4" w:space="0" w:color="auto"/>
              <w:right w:val="nil"/>
            </w:tcBorders>
            <w:shd w:val="clear" w:color="auto" w:fill="auto"/>
            <w:noWrap/>
            <w:vAlign w:val="bottom"/>
            <w:hideMark/>
          </w:tcPr>
          <w:p w14:paraId="148ADC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556 </w:t>
            </w:r>
          </w:p>
        </w:tc>
      </w:tr>
    </w:tbl>
    <w:p w14:paraId="414DDA34" w14:textId="77777777" w:rsidR="00AC362E" w:rsidRPr="0084107D" w:rsidRDefault="00AC362E" w:rsidP="00ED0631">
      <w:r w:rsidRPr="0084107D">
        <w:br w:type="page"/>
      </w:r>
    </w:p>
    <w:p w14:paraId="62B8C319" w14:textId="77777777" w:rsidR="00AC362E" w:rsidRPr="00491EF1" w:rsidRDefault="00AC362E" w:rsidP="00470803">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3b: Weighted number of households experiencing school commitments (all enrolled children)</w:t>
      </w:r>
    </w:p>
    <w:p w14:paraId="6521777D" w14:textId="77777777" w:rsidR="00AC362E" w:rsidRPr="00491EF1" w:rsidRDefault="00AC362E" w:rsidP="00470803">
      <w:pPr>
        <w:spacing w:after="0"/>
        <w:ind w:left="91"/>
        <w:rPr>
          <w:rFonts w:asciiTheme="majorHAnsi" w:eastAsia="Times New Roman" w:hAnsiTheme="majorHAnsi" w:cstheme="majorHAnsi"/>
          <w:i/>
          <w:iCs/>
          <w:color w:val="000000"/>
          <w:lang w:eastAsia="en-AU"/>
        </w:rPr>
      </w:pPr>
      <w:r w:rsidRPr="00491EF1">
        <w:rPr>
          <w:rFonts w:asciiTheme="majorHAnsi" w:eastAsia="Times New Roman" w:hAnsiTheme="majorHAnsi" w:cstheme="majorHAnsi"/>
          <w:i/>
          <w:iCs/>
          <w:color w:val="000000"/>
          <w:lang w:eastAsia="en-AU"/>
        </w:rPr>
        <w:t>Note: some donation costs could have been recorded as fees meaning 'fees' maybe over-stated</w:t>
      </w:r>
    </w:p>
    <w:tbl>
      <w:tblPr>
        <w:tblW w:w="12994" w:type="dxa"/>
        <w:tblInd w:w="93" w:type="dxa"/>
        <w:tblLook w:val="04A0" w:firstRow="1" w:lastRow="0" w:firstColumn="1" w:lastColumn="0" w:noHBand="0" w:noVBand="1"/>
      </w:tblPr>
      <w:tblGrid>
        <w:gridCol w:w="1480"/>
        <w:gridCol w:w="1480"/>
        <w:gridCol w:w="800"/>
        <w:gridCol w:w="800"/>
        <w:gridCol w:w="1214"/>
        <w:gridCol w:w="800"/>
        <w:gridCol w:w="800"/>
        <w:gridCol w:w="800"/>
        <w:gridCol w:w="800"/>
        <w:gridCol w:w="800"/>
        <w:gridCol w:w="800"/>
        <w:gridCol w:w="800"/>
        <w:gridCol w:w="800"/>
        <w:gridCol w:w="820"/>
      </w:tblGrid>
      <w:tr w:rsidR="00AC362E" w:rsidRPr="00491EF1" w14:paraId="4EE4AA07" w14:textId="77777777" w:rsidTr="00ED0631">
        <w:trPr>
          <w:trHeight w:val="315"/>
        </w:trPr>
        <w:tc>
          <w:tcPr>
            <w:tcW w:w="1480" w:type="dxa"/>
            <w:tcBorders>
              <w:top w:val="single" w:sz="4" w:space="0" w:color="auto"/>
              <w:left w:val="nil"/>
              <w:bottom w:val="single" w:sz="4" w:space="0" w:color="auto"/>
              <w:right w:val="nil"/>
            </w:tcBorders>
          </w:tcPr>
          <w:p w14:paraId="4FF1D558" w14:textId="77777777" w:rsidR="00AC362E" w:rsidRPr="00491EF1" w:rsidRDefault="00AC362E" w:rsidP="00ED0631">
            <w:pPr>
              <w:spacing w:after="0"/>
              <w:rPr>
                <w:rFonts w:asciiTheme="majorHAnsi" w:eastAsia="Times New Roman" w:hAnsiTheme="majorHAnsi" w:cstheme="majorHAnsi"/>
                <w:b/>
                <w:bCs/>
                <w:color w:val="000000"/>
                <w:lang w:eastAsia="en-AU"/>
              </w:rPr>
            </w:pPr>
          </w:p>
        </w:tc>
        <w:tc>
          <w:tcPr>
            <w:tcW w:w="1480" w:type="dxa"/>
            <w:tcBorders>
              <w:top w:val="single" w:sz="4" w:space="0" w:color="auto"/>
              <w:left w:val="nil"/>
              <w:bottom w:val="single" w:sz="4" w:space="0" w:color="auto"/>
              <w:right w:val="nil"/>
            </w:tcBorders>
            <w:shd w:val="clear" w:color="auto" w:fill="auto"/>
            <w:noWrap/>
            <w:vAlign w:val="bottom"/>
            <w:hideMark/>
          </w:tcPr>
          <w:p w14:paraId="0B92702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Weighted</w:t>
            </w:r>
          </w:p>
        </w:tc>
        <w:tc>
          <w:tcPr>
            <w:tcW w:w="800" w:type="dxa"/>
            <w:tcBorders>
              <w:top w:val="single" w:sz="4" w:space="0" w:color="auto"/>
              <w:left w:val="nil"/>
              <w:bottom w:val="single" w:sz="4" w:space="0" w:color="auto"/>
              <w:right w:val="nil"/>
            </w:tcBorders>
            <w:shd w:val="clear" w:color="auto" w:fill="auto"/>
            <w:noWrap/>
            <w:vAlign w:val="bottom"/>
            <w:hideMark/>
          </w:tcPr>
          <w:p w14:paraId="0BE46F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Fees </w:t>
            </w:r>
          </w:p>
        </w:tc>
        <w:tc>
          <w:tcPr>
            <w:tcW w:w="800" w:type="dxa"/>
            <w:tcBorders>
              <w:top w:val="single" w:sz="4" w:space="0" w:color="auto"/>
              <w:left w:val="nil"/>
              <w:bottom w:val="single" w:sz="4" w:space="0" w:color="auto"/>
              <w:right w:val="nil"/>
            </w:tcBorders>
            <w:shd w:val="clear" w:color="auto" w:fill="auto"/>
            <w:noWrap/>
            <w:vAlign w:val="bottom"/>
            <w:hideMark/>
          </w:tcPr>
          <w:p w14:paraId="559D9A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1214" w:type="dxa"/>
            <w:tcBorders>
              <w:top w:val="single" w:sz="4" w:space="0" w:color="auto"/>
              <w:left w:val="nil"/>
              <w:bottom w:val="single" w:sz="4" w:space="0" w:color="auto"/>
              <w:right w:val="nil"/>
            </w:tcBorders>
            <w:shd w:val="clear" w:color="auto" w:fill="auto"/>
            <w:noWrap/>
            <w:vAlign w:val="bottom"/>
            <w:hideMark/>
          </w:tcPr>
          <w:p w14:paraId="1A4248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Donations </w:t>
            </w:r>
          </w:p>
        </w:tc>
        <w:tc>
          <w:tcPr>
            <w:tcW w:w="800" w:type="dxa"/>
            <w:tcBorders>
              <w:top w:val="single" w:sz="4" w:space="0" w:color="auto"/>
              <w:left w:val="nil"/>
              <w:bottom w:val="single" w:sz="4" w:space="0" w:color="auto"/>
              <w:right w:val="nil"/>
            </w:tcBorders>
            <w:shd w:val="clear" w:color="auto" w:fill="auto"/>
            <w:noWrap/>
            <w:vAlign w:val="bottom"/>
            <w:hideMark/>
          </w:tcPr>
          <w:p w14:paraId="7BD285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single" w:sz="4" w:space="0" w:color="auto"/>
              <w:left w:val="nil"/>
              <w:bottom w:val="single" w:sz="4" w:space="0" w:color="auto"/>
              <w:right w:val="nil"/>
            </w:tcBorders>
            <w:shd w:val="clear" w:color="auto" w:fill="auto"/>
            <w:noWrap/>
            <w:vAlign w:val="bottom"/>
            <w:hideMark/>
          </w:tcPr>
          <w:p w14:paraId="566768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Prizes </w:t>
            </w:r>
          </w:p>
        </w:tc>
        <w:tc>
          <w:tcPr>
            <w:tcW w:w="800" w:type="dxa"/>
            <w:tcBorders>
              <w:top w:val="single" w:sz="4" w:space="0" w:color="auto"/>
              <w:left w:val="nil"/>
              <w:bottom w:val="single" w:sz="4" w:space="0" w:color="auto"/>
              <w:right w:val="nil"/>
            </w:tcBorders>
            <w:shd w:val="clear" w:color="auto" w:fill="auto"/>
            <w:noWrap/>
            <w:vAlign w:val="bottom"/>
            <w:hideMark/>
          </w:tcPr>
          <w:p w14:paraId="5833F1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single" w:sz="4" w:space="0" w:color="auto"/>
              <w:left w:val="nil"/>
              <w:bottom w:val="single" w:sz="4" w:space="0" w:color="auto"/>
              <w:right w:val="nil"/>
            </w:tcBorders>
            <w:shd w:val="clear" w:color="auto" w:fill="auto"/>
            <w:noWrap/>
            <w:vAlign w:val="bottom"/>
            <w:hideMark/>
          </w:tcPr>
          <w:p w14:paraId="5BC4A6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Work </w:t>
            </w:r>
          </w:p>
        </w:tc>
        <w:tc>
          <w:tcPr>
            <w:tcW w:w="800" w:type="dxa"/>
            <w:tcBorders>
              <w:top w:val="single" w:sz="4" w:space="0" w:color="auto"/>
              <w:left w:val="nil"/>
              <w:bottom w:val="single" w:sz="4" w:space="0" w:color="auto"/>
              <w:right w:val="nil"/>
            </w:tcBorders>
            <w:shd w:val="clear" w:color="auto" w:fill="auto"/>
            <w:noWrap/>
            <w:vAlign w:val="bottom"/>
            <w:hideMark/>
          </w:tcPr>
          <w:p w14:paraId="223FBE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single" w:sz="4" w:space="0" w:color="auto"/>
              <w:left w:val="nil"/>
              <w:bottom w:val="single" w:sz="4" w:space="0" w:color="auto"/>
              <w:right w:val="nil"/>
            </w:tcBorders>
            <w:shd w:val="clear" w:color="auto" w:fill="auto"/>
            <w:noWrap/>
            <w:vAlign w:val="bottom"/>
            <w:hideMark/>
          </w:tcPr>
          <w:p w14:paraId="026E69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Food </w:t>
            </w:r>
          </w:p>
        </w:tc>
        <w:tc>
          <w:tcPr>
            <w:tcW w:w="800" w:type="dxa"/>
            <w:tcBorders>
              <w:top w:val="single" w:sz="4" w:space="0" w:color="auto"/>
              <w:left w:val="nil"/>
              <w:bottom w:val="single" w:sz="4" w:space="0" w:color="auto"/>
              <w:right w:val="nil"/>
            </w:tcBorders>
            <w:shd w:val="clear" w:color="auto" w:fill="auto"/>
            <w:noWrap/>
            <w:vAlign w:val="bottom"/>
            <w:hideMark/>
          </w:tcPr>
          <w:p w14:paraId="60DA1D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single" w:sz="4" w:space="0" w:color="auto"/>
              <w:left w:val="nil"/>
              <w:bottom w:val="single" w:sz="4" w:space="0" w:color="auto"/>
              <w:right w:val="nil"/>
            </w:tcBorders>
            <w:shd w:val="clear" w:color="auto" w:fill="auto"/>
            <w:noWrap/>
            <w:vAlign w:val="bottom"/>
            <w:hideMark/>
          </w:tcPr>
          <w:p w14:paraId="2AAC40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c>
          <w:tcPr>
            <w:tcW w:w="820" w:type="dxa"/>
            <w:tcBorders>
              <w:top w:val="single" w:sz="4" w:space="0" w:color="auto"/>
              <w:left w:val="nil"/>
              <w:bottom w:val="single" w:sz="4" w:space="0" w:color="auto"/>
              <w:right w:val="nil"/>
            </w:tcBorders>
            <w:shd w:val="clear" w:color="auto" w:fill="auto"/>
            <w:noWrap/>
            <w:vAlign w:val="bottom"/>
            <w:hideMark/>
          </w:tcPr>
          <w:p w14:paraId="2D3B16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60B758E8" w14:textId="77777777" w:rsidTr="00ED0631">
        <w:trPr>
          <w:trHeight w:val="315"/>
        </w:trPr>
        <w:tc>
          <w:tcPr>
            <w:tcW w:w="1480" w:type="dxa"/>
            <w:tcBorders>
              <w:top w:val="nil"/>
              <w:left w:val="nil"/>
              <w:bottom w:val="single" w:sz="4" w:space="0" w:color="auto"/>
              <w:right w:val="nil"/>
            </w:tcBorders>
          </w:tcPr>
          <w:p w14:paraId="355BA60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480" w:type="dxa"/>
            <w:tcBorders>
              <w:top w:val="nil"/>
              <w:left w:val="nil"/>
              <w:bottom w:val="single" w:sz="4" w:space="0" w:color="auto"/>
              <w:right w:val="nil"/>
            </w:tcBorders>
            <w:shd w:val="clear" w:color="auto" w:fill="auto"/>
            <w:noWrap/>
            <w:vAlign w:val="bottom"/>
            <w:hideMark/>
          </w:tcPr>
          <w:p w14:paraId="17FE6D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Adjustment </w:t>
            </w:r>
          </w:p>
        </w:tc>
        <w:tc>
          <w:tcPr>
            <w:tcW w:w="800" w:type="dxa"/>
            <w:tcBorders>
              <w:top w:val="nil"/>
              <w:left w:val="nil"/>
              <w:bottom w:val="single" w:sz="4" w:space="0" w:color="auto"/>
              <w:right w:val="nil"/>
            </w:tcBorders>
            <w:shd w:val="clear" w:color="auto" w:fill="auto"/>
            <w:noWrap/>
            <w:vAlign w:val="bottom"/>
            <w:hideMark/>
          </w:tcPr>
          <w:p w14:paraId="16B349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800" w:type="dxa"/>
            <w:tcBorders>
              <w:top w:val="nil"/>
              <w:left w:val="nil"/>
              <w:bottom w:val="single" w:sz="4" w:space="0" w:color="auto"/>
              <w:right w:val="nil"/>
            </w:tcBorders>
            <w:shd w:val="clear" w:color="auto" w:fill="auto"/>
            <w:noWrap/>
            <w:vAlign w:val="bottom"/>
            <w:hideMark/>
          </w:tcPr>
          <w:p w14:paraId="770C5F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1214" w:type="dxa"/>
            <w:tcBorders>
              <w:top w:val="nil"/>
              <w:left w:val="nil"/>
              <w:bottom w:val="single" w:sz="4" w:space="0" w:color="auto"/>
              <w:right w:val="nil"/>
            </w:tcBorders>
            <w:shd w:val="clear" w:color="auto" w:fill="auto"/>
            <w:noWrap/>
            <w:vAlign w:val="bottom"/>
            <w:hideMark/>
          </w:tcPr>
          <w:p w14:paraId="30AE20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800" w:type="dxa"/>
            <w:tcBorders>
              <w:top w:val="nil"/>
              <w:left w:val="nil"/>
              <w:bottom w:val="single" w:sz="4" w:space="0" w:color="auto"/>
              <w:right w:val="nil"/>
            </w:tcBorders>
            <w:shd w:val="clear" w:color="auto" w:fill="auto"/>
            <w:noWrap/>
            <w:vAlign w:val="bottom"/>
            <w:hideMark/>
          </w:tcPr>
          <w:p w14:paraId="2318B5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800" w:type="dxa"/>
            <w:tcBorders>
              <w:top w:val="nil"/>
              <w:left w:val="nil"/>
              <w:bottom w:val="single" w:sz="4" w:space="0" w:color="auto"/>
              <w:right w:val="nil"/>
            </w:tcBorders>
            <w:shd w:val="clear" w:color="auto" w:fill="auto"/>
            <w:noWrap/>
            <w:vAlign w:val="bottom"/>
            <w:hideMark/>
          </w:tcPr>
          <w:p w14:paraId="05FCD5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800" w:type="dxa"/>
            <w:tcBorders>
              <w:top w:val="nil"/>
              <w:left w:val="nil"/>
              <w:bottom w:val="single" w:sz="4" w:space="0" w:color="auto"/>
              <w:right w:val="nil"/>
            </w:tcBorders>
            <w:shd w:val="clear" w:color="auto" w:fill="auto"/>
            <w:noWrap/>
            <w:vAlign w:val="bottom"/>
            <w:hideMark/>
          </w:tcPr>
          <w:p w14:paraId="4F854A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800" w:type="dxa"/>
            <w:tcBorders>
              <w:top w:val="nil"/>
              <w:left w:val="nil"/>
              <w:bottom w:val="single" w:sz="4" w:space="0" w:color="auto"/>
              <w:right w:val="nil"/>
            </w:tcBorders>
            <w:shd w:val="clear" w:color="auto" w:fill="auto"/>
            <w:noWrap/>
            <w:vAlign w:val="bottom"/>
            <w:hideMark/>
          </w:tcPr>
          <w:p w14:paraId="479486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800" w:type="dxa"/>
            <w:tcBorders>
              <w:top w:val="nil"/>
              <w:left w:val="nil"/>
              <w:bottom w:val="single" w:sz="4" w:space="0" w:color="auto"/>
              <w:right w:val="nil"/>
            </w:tcBorders>
            <w:shd w:val="clear" w:color="auto" w:fill="auto"/>
            <w:noWrap/>
            <w:vAlign w:val="bottom"/>
            <w:hideMark/>
          </w:tcPr>
          <w:p w14:paraId="27F1F9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800" w:type="dxa"/>
            <w:tcBorders>
              <w:top w:val="nil"/>
              <w:left w:val="nil"/>
              <w:bottom w:val="single" w:sz="4" w:space="0" w:color="auto"/>
              <w:right w:val="nil"/>
            </w:tcBorders>
            <w:shd w:val="clear" w:color="auto" w:fill="auto"/>
            <w:noWrap/>
            <w:vAlign w:val="bottom"/>
            <w:hideMark/>
          </w:tcPr>
          <w:p w14:paraId="090899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800" w:type="dxa"/>
            <w:tcBorders>
              <w:top w:val="nil"/>
              <w:left w:val="nil"/>
              <w:bottom w:val="single" w:sz="4" w:space="0" w:color="auto"/>
              <w:right w:val="nil"/>
            </w:tcBorders>
            <w:shd w:val="clear" w:color="auto" w:fill="auto"/>
            <w:noWrap/>
            <w:vAlign w:val="bottom"/>
            <w:hideMark/>
          </w:tcPr>
          <w:p w14:paraId="2A02B6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c>
          <w:tcPr>
            <w:tcW w:w="800" w:type="dxa"/>
            <w:tcBorders>
              <w:top w:val="nil"/>
              <w:left w:val="nil"/>
              <w:bottom w:val="single" w:sz="4" w:space="0" w:color="auto"/>
              <w:right w:val="nil"/>
            </w:tcBorders>
            <w:shd w:val="clear" w:color="auto" w:fill="auto"/>
            <w:noWrap/>
            <w:vAlign w:val="bottom"/>
            <w:hideMark/>
          </w:tcPr>
          <w:p w14:paraId="452708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820" w:type="dxa"/>
            <w:tcBorders>
              <w:top w:val="nil"/>
              <w:left w:val="nil"/>
              <w:bottom w:val="single" w:sz="4" w:space="0" w:color="auto"/>
              <w:right w:val="nil"/>
            </w:tcBorders>
            <w:shd w:val="clear" w:color="auto" w:fill="auto"/>
            <w:noWrap/>
            <w:vAlign w:val="bottom"/>
            <w:hideMark/>
          </w:tcPr>
          <w:p w14:paraId="057B27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0D2C32ED" w14:textId="77777777" w:rsidTr="00ED0631">
        <w:trPr>
          <w:trHeight w:val="315"/>
        </w:trPr>
        <w:tc>
          <w:tcPr>
            <w:tcW w:w="1480" w:type="dxa"/>
            <w:tcBorders>
              <w:top w:val="nil"/>
              <w:left w:val="nil"/>
              <w:bottom w:val="nil"/>
              <w:right w:val="nil"/>
            </w:tcBorders>
            <w:vAlign w:val="bottom"/>
          </w:tcPr>
          <w:p w14:paraId="74DAA3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480" w:type="dxa"/>
            <w:tcBorders>
              <w:top w:val="nil"/>
              <w:left w:val="nil"/>
              <w:bottom w:val="nil"/>
              <w:right w:val="nil"/>
            </w:tcBorders>
            <w:shd w:val="clear" w:color="auto" w:fill="auto"/>
            <w:noWrap/>
            <w:vAlign w:val="bottom"/>
            <w:hideMark/>
          </w:tcPr>
          <w:p w14:paraId="02C91D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0.9472 </w:t>
            </w:r>
          </w:p>
        </w:tc>
        <w:tc>
          <w:tcPr>
            <w:tcW w:w="800" w:type="dxa"/>
            <w:tcBorders>
              <w:top w:val="nil"/>
              <w:left w:val="nil"/>
              <w:bottom w:val="nil"/>
              <w:right w:val="nil"/>
            </w:tcBorders>
            <w:shd w:val="clear" w:color="auto" w:fill="auto"/>
            <w:noWrap/>
            <w:vAlign w:val="bottom"/>
            <w:hideMark/>
          </w:tcPr>
          <w:p w14:paraId="787996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B8867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1214" w:type="dxa"/>
            <w:tcBorders>
              <w:top w:val="nil"/>
              <w:left w:val="nil"/>
              <w:bottom w:val="nil"/>
              <w:right w:val="nil"/>
            </w:tcBorders>
            <w:shd w:val="clear" w:color="auto" w:fill="auto"/>
            <w:noWrap/>
            <w:vAlign w:val="bottom"/>
            <w:hideMark/>
          </w:tcPr>
          <w:p w14:paraId="6AE88B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6329CE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EBAC3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2DF0C7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9186C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91078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57FE2B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4CE019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4C3832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20" w:type="dxa"/>
            <w:tcBorders>
              <w:top w:val="nil"/>
              <w:left w:val="nil"/>
              <w:bottom w:val="nil"/>
              <w:right w:val="nil"/>
            </w:tcBorders>
            <w:shd w:val="clear" w:color="auto" w:fill="auto"/>
            <w:noWrap/>
            <w:vAlign w:val="bottom"/>
            <w:hideMark/>
          </w:tcPr>
          <w:p w14:paraId="22FE346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1666DBCF" w14:textId="77777777" w:rsidTr="00ED0631">
        <w:trPr>
          <w:trHeight w:val="315"/>
        </w:trPr>
        <w:tc>
          <w:tcPr>
            <w:tcW w:w="1480" w:type="dxa"/>
            <w:tcBorders>
              <w:top w:val="nil"/>
              <w:left w:val="nil"/>
              <w:bottom w:val="nil"/>
              <w:right w:val="nil"/>
            </w:tcBorders>
            <w:vAlign w:val="bottom"/>
          </w:tcPr>
          <w:p w14:paraId="73AA5E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480" w:type="dxa"/>
            <w:tcBorders>
              <w:top w:val="nil"/>
              <w:left w:val="nil"/>
              <w:bottom w:val="nil"/>
              <w:right w:val="nil"/>
            </w:tcBorders>
            <w:shd w:val="clear" w:color="auto" w:fill="auto"/>
            <w:noWrap/>
            <w:vAlign w:val="bottom"/>
            <w:hideMark/>
          </w:tcPr>
          <w:p w14:paraId="6A00DA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0.6111 </w:t>
            </w:r>
          </w:p>
        </w:tc>
        <w:tc>
          <w:tcPr>
            <w:tcW w:w="800" w:type="dxa"/>
            <w:tcBorders>
              <w:top w:val="nil"/>
              <w:left w:val="nil"/>
              <w:bottom w:val="nil"/>
              <w:right w:val="nil"/>
            </w:tcBorders>
            <w:shd w:val="clear" w:color="auto" w:fill="auto"/>
            <w:noWrap/>
            <w:vAlign w:val="bottom"/>
            <w:hideMark/>
          </w:tcPr>
          <w:p w14:paraId="3DDDF87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79113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1214" w:type="dxa"/>
            <w:tcBorders>
              <w:top w:val="nil"/>
              <w:left w:val="nil"/>
              <w:bottom w:val="nil"/>
              <w:right w:val="nil"/>
            </w:tcBorders>
            <w:shd w:val="clear" w:color="auto" w:fill="auto"/>
            <w:noWrap/>
            <w:vAlign w:val="bottom"/>
            <w:hideMark/>
          </w:tcPr>
          <w:p w14:paraId="63B024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77C4F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70879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1B32E0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9D9ED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879312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2C5F5C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17F3C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931F5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20" w:type="dxa"/>
            <w:tcBorders>
              <w:top w:val="nil"/>
              <w:left w:val="nil"/>
              <w:bottom w:val="nil"/>
              <w:right w:val="nil"/>
            </w:tcBorders>
            <w:shd w:val="clear" w:color="auto" w:fill="auto"/>
            <w:noWrap/>
            <w:vAlign w:val="bottom"/>
            <w:hideMark/>
          </w:tcPr>
          <w:p w14:paraId="3C940A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5897F70F" w14:textId="77777777" w:rsidTr="00ED0631">
        <w:trPr>
          <w:trHeight w:val="315"/>
        </w:trPr>
        <w:tc>
          <w:tcPr>
            <w:tcW w:w="1480" w:type="dxa"/>
            <w:tcBorders>
              <w:top w:val="nil"/>
              <w:left w:val="nil"/>
              <w:bottom w:val="nil"/>
              <w:right w:val="nil"/>
            </w:tcBorders>
            <w:vAlign w:val="bottom"/>
          </w:tcPr>
          <w:p w14:paraId="030B5A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480" w:type="dxa"/>
            <w:tcBorders>
              <w:top w:val="nil"/>
              <w:left w:val="nil"/>
              <w:bottom w:val="nil"/>
              <w:right w:val="nil"/>
            </w:tcBorders>
            <w:shd w:val="clear" w:color="auto" w:fill="auto"/>
            <w:noWrap/>
            <w:vAlign w:val="bottom"/>
            <w:hideMark/>
          </w:tcPr>
          <w:p w14:paraId="659549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1.0482 </w:t>
            </w:r>
          </w:p>
        </w:tc>
        <w:tc>
          <w:tcPr>
            <w:tcW w:w="800" w:type="dxa"/>
            <w:tcBorders>
              <w:top w:val="nil"/>
              <w:left w:val="nil"/>
              <w:bottom w:val="nil"/>
              <w:right w:val="nil"/>
            </w:tcBorders>
            <w:shd w:val="clear" w:color="auto" w:fill="auto"/>
            <w:noWrap/>
            <w:vAlign w:val="bottom"/>
            <w:hideMark/>
          </w:tcPr>
          <w:p w14:paraId="2B2A8B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1A35E3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1214" w:type="dxa"/>
            <w:tcBorders>
              <w:top w:val="nil"/>
              <w:left w:val="nil"/>
              <w:bottom w:val="nil"/>
              <w:right w:val="nil"/>
            </w:tcBorders>
            <w:shd w:val="clear" w:color="auto" w:fill="auto"/>
            <w:noWrap/>
            <w:vAlign w:val="bottom"/>
            <w:hideMark/>
          </w:tcPr>
          <w:p w14:paraId="206461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45EE6C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6BDAC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159CE9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FBF90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30A5D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2FC2D9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12722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55B3E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20" w:type="dxa"/>
            <w:tcBorders>
              <w:top w:val="nil"/>
              <w:left w:val="nil"/>
              <w:bottom w:val="nil"/>
              <w:right w:val="nil"/>
            </w:tcBorders>
            <w:shd w:val="clear" w:color="auto" w:fill="auto"/>
            <w:noWrap/>
            <w:vAlign w:val="bottom"/>
            <w:hideMark/>
          </w:tcPr>
          <w:p w14:paraId="087702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694FF0C1" w14:textId="77777777" w:rsidTr="00ED0631">
        <w:trPr>
          <w:trHeight w:val="315"/>
        </w:trPr>
        <w:tc>
          <w:tcPr>
            <w:tcW w:w="1480" w:type="dxa"/>
            <w:tcBorders>
              <w:top w:val="nil"/>
              <w:left w:val="nil"/>
              <w:bottom w:val="nil"/>
              <w:right w:val="nil"/>
            </w:tcBorders>
            <w:vAlign w:val="bottom"/>
          </w:tcPr>
          <w:p w14:paraId="58EDD7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480" w:type="dxa"/>
            <w:tcBorders>
              <w:top w:val="nil"/>
              <w:left w:val="nil"/>
              <w:bottom w:val="nil"/>
              <w:right w:val="nil"/>
            </w:tcBorders>
            <w:shd w:val="clear" w:color="auto" w:fill="auto"/>
            <w:noWrap/>
            <w:vAlign w:val="bottom"/>
            <w:hideMark/>
          </w:tcPr>
          <w:p w14:paraId="3782C6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0.5130 </w:t>
            </w:r>
          </w:p>
        </w:tc>
        <w:tc>
          <w:tcPr>
            <w:tcW w:w="800" w:type="dxa"/>
            <w:tcBorders>
              <w:top w:val="nil"/>
              <w:left w:val="nil"/>
              <w:bottom w:val="nil"/>
              <w:right w:val="nil"/>
            </w:tcBorders>
            <w:shd w:val="clear" w:color="auto" w:fill="auto"/>
            <w:noWrap/>
            <w:vAlign w:val="bottom"/>
            <w:hideMark/>
          </w:tcPr>
          <w:p w14:paraId="2EFB21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3458A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1214" w:type="dxa"/>
            <w:tcBorders>
              <w:top w:val="nil"/>
              <w:left w:val="nil"/>
              <w:bottom w:val="nil"/>
              <w:right w:val="nil"/>
            </w:tcBorders>
            <w:shd w:val="clear" w:color="auto" w:fill="auto"/>
            <w:noWrap/>
            <w:vAlign w:val="bottom"/>
            <w:hideMark/>
          </w:tcPr>
          <w:p w14:paraId="4DF19E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494EA3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8F3AB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66F586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43DB3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E0B10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975A4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13710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8824B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20" w:type="dxa"/>
            <w:tcBorders>
              <w:top w:val="nil"/>
              <w:left w:val="nil"/>
              <w:bottom w:val="nil"/>
              <w:right w:val="nil"/>
            </w:tcBorders>
            <w:shd w:val="clear" w:color="auto" w:fill="auto"/>
            <w:noWrap/>
            <w:vAlign w:val="bottom"/>
            <w:hideMark/>
          </w:tcPr>
          <w:p w14:paraId="798473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20B8F6FB" w14:textId="77777777" w:rsidTr="00ED0631">
        <w:trPr>
          <w:trHeight w:val="315"/>
        </w:trPr>
        <w:tc>
          <w:tcPr>
            <w:tcW w:w="1480" w:type="dxa"/>
            <w:tcBorders>
              <w:top w:val="nil"/>
              <w:left w:val="nil"/>
              <w:bottom w:val="nil"/>
              <w:right w:val="nil"/>
            </w:tcBorders>
            <w:vAlign w:val="bottom"/>
          </w:tcPr>
          <w:p w14:paraId="3AD414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480" w:type="dxa"/>
            <w:tcBorders>
              <w:top w:val="nil"/>
              <w:left w:val="nil"/>
              <w:bottom w:val="nil"/>
              <w:right w:val="nil"/>
            </w:tcBorders>
            <w:shd w:val="clear" w:color="auto" w:fill="auto"/>
            <w:noWrap/>
            <w:vAlign w:val="bottom"/>
            <w:hideMark/>
          </w:tcPr>
          <w:p w14:paraId="7529EE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0.5833 </w:t>
            </w:r>
          </w:p>
        </w:tc>
        <w:tc>
          <w:tcPr>
            <w:tcW w:w="800" w:type="dxa"/>
            <w:tcBorders>
              <w:top w:val="nil"/>
              <w:left w:val="nil"/>
              <w:bottom w:val="nil"/>
              <w:right w:val="nil"/>
            </w:tcBorders>
            <w:shd w:val="clear" w:color="auto" w:fill="auto"/>
            <w:noWrap/>
            <w:vAlign w:val="bottom"/>
            <w:hideMark/>
          </w:tcPr>
          <w:p w14:paraId="64A764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54 </w:t>
            </w:r>
          </w:p>
        </w:tc>
        <w:tc>
          <w:tcPr>
            <w:tcW w:w="800" w:type="dxa"/>
            <w:tcBorders>
              <w:top w:val="nil"/>
              <w:left w:val="nil"/>
              <w:bottom w:val="nil"/>
              <w:right w:val="nil"/>
            </w:tcBorders>
            <w:shd w:val="clear" w:color="auto" w:fill="auto"/>
            <w:noWrap/>
            <w:vAlign w:val="bottom"/>
            <w:hideMark/>
          </w:tcPr>
          <w:p w14:paraId="04CC1C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240 </w:t>
            </w:r>
          </w:p>
        </w:tc>
        <w:tc>
          <w:tcPr>
            <w:tcW w:w="1214" w:type="dxa"/>
            <w:tcBorders>
              <w:top w:val="nil"/>
              <w:left w:val="nil"/>
              <w:bottom w:val="nil"/>
              <w:right w:val="nil"/>
            </w:tcBorders>
            <w:shd w:val="clear" w:color="auto" w:fill="auto"/>
            <w:noWrap/>
            <w:vAlign w:val="bottom"/>
            <w:hideMark/>
          </w:tcPr>
          <w:p w14:paraId="257114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E1B69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294 </w:t>
            </w:r>
          </w:p>
        </w:tc>
        <w:tc>
          <w:tcPr>
            <w:tcW w:w="800" w:type="dxa"/>
            <w:tcBorders>
              <w:top w:val="nil"/>
              <w:left w:val="nil"/>
              <w:bottom w:val="nil"/>
              <w:right w:val="nil"/>
            </w:tcBorders>
            <w:shd w:val="clear" w:color="auto" w:fill="auto"/>
            <w:noWrap/>
            <w:vAlign w:val="bottom"/>
            <w:hideMark/>
          </w:tcPr>
          <w:p w14:paraId="7CA85C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168 </w:t>
            </w:r>
          </w:p>
        </w:tc>
        <w:tc>
          <w:tcPr>
            <w:tcW w:w="800" w:type="dxa"/>
            <w:tcBorders>
              <w:top w:val="nil"/>
              <w:left w:val="nil"/>
              <w:bottom w:val="nil"/>
              <w:right w:val="nil"/>
            </w:tcBorders>
            <w:shd w:val="clear" w:color="auto" w:fill="auto"/>
            <w:noWrap/>
            <w:vAlign w:val="bottom"/>
            <w:hideMark/>
          </w:tcPr>
          <w:p w14:paraId="61F570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126 </w:t>
            </w:r>
          </w:p>
        </w:tc>
        <w:tc>
          <w:tcPr>
            <w:tcW w:w="800" w:type="dxa"/>
            <w:tcBorders>
              <w:top w:val="nil"/>
              <w:left w:val="nil"/>
              <w:bottom w:val="nil"/>
              <w:right w:val="nil"/>
            </w:tcBorders>
            <w:shd w:val="clear" w:color="auto" w:fill="auto"/>
            <w:noWrap/>
            <w:vAlign w:val="bottom"/>
            <w:hideMark/>
          </w:tcPr>
          <w:p w14:paraId="1FE09E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96 </w:t>
            </w:r>
          </w:p>
        </w:tc>
        <w:tc>
          <w:tcPr>
            <w:tcW w:w="800" w:type="dxa"/>
            <w:tcBorders>
              <w:top w:val="nil"/>
              <w:left w:val="nil"/>
              <w:bottom w:val="nil"/>
              <w:right w:val="nil"/>
            </w:tcBorders>
            <w:shd w:val="clear" w:color="auto" w:fill="auto"/>
            <w:noWrap/>
            <w:vAlign w:val="bottom"/>
            <w:hideMark/>
          </w:tcPr>
          <w:p w14:paraId="073F67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198 </w:t>
            </w:r>
          </w:p>
        </w:tc>
        <w:tc>
          <w:tcPr>
            <w:tcW w:w="800" w:type="dxa"/>
            <w:tcBorders>
              <w:top w:val="nil"/>
              <w:left w:val="nil"/>
              <w:bottom w:val="nil"/>
              <w:right w:val="nil"/>
            </w:tcBorders>
            <w:shd w:val="clear" w:color="auto" w:fill="auto"/>
            <w:noWrap/>
            <w:vAlign w:val="bottom"/>
            <w:hideMark/>
          </w:tcPr>
          <w:p w14:paraId="267C6B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42 </w:t>
            </w:r>
          </w:p>
        </w:tc>
        <w:tc>
          <w:tcPr>
            <w:tcW w:w="800" w:type="dxa"/>
            <w:tcBorders>
              <w:top w:val="nil"/>
              <w:left w:val="nil"/>
              <w:bottom w:val="nil"/>
              <w:right w:val="nil"/>
            </w:tcBorders>
            <w:shd w:val="clear" w:color="auto" w:fill="auto"/>
            <w:noWrap/>
            <w:vAlign w:val="bottom"/>
            <w:hideMark/>
          </w:tcPr>
          <w:p w14:paraId="0E2B2D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252 </w:t>
            </w:r>
          </w:p>
        </w:tc>
        <w:tc>
          <w:tcPr>
            <w:tcW w:w="800" w:type="dxa"/>
            <w:tcBorders>
              <w:top w:val="nil"/>
              <w:left w:val="nil"/>
              <w:bottom w:val="nil"/>
              <w:right w:val="nil"/>
            </w:tcBorders>
            <w:shd w:val="clear" w:color="auto" w:fill="auto"/>
            <w:noWrap/>
            <w:vAlign w:val="bottom"/>
            <w:hideMark/>
          </w:tcPr>
          <w:p w14:paraId="2984EF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820" w:type="dxa"/>
            <w:tcBorders>
              <w:top w:val="nil"/>
              <w:left w:val="nil"/>
              <w:bottom w:val="nil"/>
              <w:right w:val="nil"/>
            </w:tcBorders>
            <w:shd w:val="clear" w:color="auto" w:fill="auto"/>
            <w:noWrap/>
            <w:vAlign w:val="bottom"/>
            <w:hideMark/>
          </w:tcPr>
          <w:p w14:paraId="6BE08E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258 </w:t>
            </w:r>
          </w:p>
        </w:tc>
      </w:tr>
      <w:tr w:rsidR="00AC362E" w:rsidRPr="00491EF1" w14:paraId="5C975EB0" w14:textId="77777777" w:rsidTr="00ED0631">
        <w:trPr>
          <w:trHeight w:val="315"/>
        </w:trPr>
        <w:tc>
          <w:tcPr>
            <w:tcW w:w="1480" w:type="dxa"/>
            <w:tcBorders>
              <w:top w:val="nil"/>
              <w:left w:val="nil"/>
              <w:bottom w:val="nil"/>
              <w:right w:val="nil"/>
            </w:tcBorders>
            <w:vAlign w:val="bottom"/>
          </w:tcPr>
          <w:p w14:paraId="72E7CC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480" w:type="dxa"/>
            <w:tcBorders>
              <w:top w:val="nil"/>
              <w:left w:val="nil"/>
              <w:bottom w:val="nil"/>
              <w:right w:val="nil"/>
            </w:tcBorders>
            <w:shd w:val="clear" w:color="auto" w:fill="auto"/>
            <w:noWrap/>
            <w:vAlign w:val="bottom"/>
            <w:hideMark/>
          </w:tcPr>
          <w:p w14:paraId="4190E8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0.9838 </w:t>
            </w:r>
          </w:p>
        </w:tc>
        <w:tc>
          <w:tcPr>
            <w:tcW w:w="800" w:type="dxa"/>
            <w:tcBorders>
              <w:top w:val="nil"/>
              <w:left w:val="nil"/>
              <w:bottom w:val="nil"/>
              <w:right w:val="nil"/>
            </w:tcBorders>
            <w:shd w:val="clear" w:color="auto" w:fill="auto"/>
            <w:noWrap/>
            <w:vAlign w:val="bottom"/>
            <w:hideMark/>
          </w:tcPr>
          <w:p w14:paraId="6F256D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30 </w:t>
            </w:r>
          </w:p>
        </w:tc>
        <w:tc>
          <w:tcPr>
            <w:tcW w:w="800" w:type="dxa"/>
            <w:tcBorders>
              <w:top w:val="nil"/>
              <w:left w:val="nil"/>
              <w:bottom w:val="nil"/>
              <w:right w:val="nil"/>
            </w:tcBorders>
            <w:shd w:val="clear" w:color="auto" w:fill="auto"/>
            <w:noWrap/>
            <w:vAlign w:val="bottom"/>
            <w:hideMark/>
          </w:tcPr>
          <w:p w14:paraId="09E61C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204 </w:t>
            </w:r>
          </w:p>
        </w:tc>
        <w:tc>
          <w:tcPr>
            <w:tcW w:w="1214" w:type="dxa"/>
            <w:tcBorders>
              <w:top w:val="nil"/>
              <w:left w:val="nil"/>
              <w:bottom w:val="nil"/>
              <w:right w:val="nil"/>
            </w:tcBorders>
            <w:shd w:val="clear" w:color="auto" w:fill="auto"/>
            <w:noWrap/>
            <w:vAlign w:val="bottom"/>
            <w:hideMark/>
          </w:tcPr>
          <w:p w14:paraId="5BEB5D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54 </w:t>
            </w:r>
          </w:p>
        </w:tc>
        <w:tc>
          <w:tcPr>
            <w:tcW w:w="800" w:type="dxa"/>
            <w:tcBorders>
              <w:top w:val="nil"/>
              <w:left w:val="nil"/>
              <w:bottom w:val="nil"/>
              <w:right w:val="nil"/>
            </w:tcBorders>
            <w:shd w:val="clear" w:color="auto" w:fill="auto"/>
            <w:noWrap/>
            <w:vAlign w:val="bottom"/>
            <w:hideMark/>
          </w:tcPr>
          <w:p w14:paraId="6F637C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180 </w:t>
            </w:r>
          </w:p>
        </w:tc>
        <w:tc>
          <w:tcPr>
            <w:tcW w:w="800" w:type="dxa"/>
            <w:tcBorders>
              <w:top w:val="nil"/>
              <w:left w:val="nil"/>
              <w:bottom w:val="nil"/>
              <w:right w:val="nil"/>
            </w:tcBorders>
            <w:shd w:val="clear" w:color="auto" w:fill="auto"/>
            <w:noWrap/>
            <w:vAlign w:val="bottom"/>
            <w:hideMark/>
          </w:tcPr>
          <w:p w14:paraId="56A5F7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8106C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234 </w:t>
            </w:r>
          </w:p>
        </w:tc>
        <w:tc>
          <w:tcPr>
            <w:tcW w:w="800" w:type="dxa"/>
            <w:tcBorders>
              <w:top w:val="nil"/>
              <w:left w:val="nil"/>
              <w:bottom w:val="nil"/>
              <w:right w:val="nil"/>
            </w:tcBorders>
            <w:shd w:val="clear" w:color="auto" w:fill="auto"/>
            <w:noWrap/>
            <w:vAlign w:val="bottom"/>
            <w:hideMark/>
          </w:tcPr>
          <w:p w14:paraId="691D6F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60 </w:t>
            </w:r>
          </w:p>
        </w:tc>
        <w:tc>
          <w:tcPr>
            <w:tcW w:w="800" w:type="dxa"/>
            <w:tcBorders>
              <w:top w:val="nil"/>
              <w:left w:val="nil"/>
              <w:bottom w:val="nil"/>
              <w:right w:val="nil"/>
            </w:tcBorders>
            <w:shd w:val="clear" w:color="auto" w:fill="auto"/>
            <w:noWrap/>
            <w:vAlign w:val="bottom"/>
            <w:hideMark/>
          </w:tcPr>
          <w:p w14:paraId="295198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174 </w:t>
            </w:r>
          </w:p>
        </w:tc>
        <w:tc>
          <w:tcPr>
            <w:tcW w:w="800" w:type="dxa"/>
            <w:tcBorders>
              <w:top w:val="nil"/>
              <w:left w:val="nil"/>
              <w:bottom w:val="nil"/>
              <w:right w:val="nil"/>
            </w:tcBorders>
            <w:shd w:val="clear" w:color="auto" w:fill="auto"/>
            <w:noWrap/>
            <w:vAlign w:val="bottom"/>
            <w:hideMark/>
          </w:tcPr>
          <w:p w14:paraId="3A4926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 </w:t>
            </w:r>
          </w:p>
        </w:tc>
        <w:tc>
          <w:tcPr>
            <w:tcW w:w="800" w:type="dxa"/>
            <w:tcBorders>
              <w:top w:val="nil"/>
              <w:left w:val="nil"/>
              <w:bottom w:val="nil"/>
              <w:right w:val="nil"/>
            </w:tcBorders>
            <w:shd w:val="clear" w:color="auto" w:fill="auto"/>
            <w:noWrap/>
            <w:vAlign w:val="bottom"/>
            <w:hideMark/>
          </w:tcPr>
          <w:p w14:paraId="2346E4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210 </w:t>
            </w:r>
          </w:p>
        </w:tc>
        <w:tc>
          <w:tcPr>
            <w:tcW w:w="800" w:type="dxa"/>
            <w:tcBorders>
              <w:top w:val="nil"/>
              <w:left w:val="nil"/>
              <w:bottom w:val="nil"/>
              <w:right w:val="nil"/>
            </w:tcBorders>
            <w:shd w:val="clear" w:color="auto" w:fill="auto"/>
            <w:noWrap/>
            <w:vAlign w:val="bottom"/>
            <w:hideMark/>
          </w:tcPr>
          <w:p w14:paraId="71CBDD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820" w:type="dxa"/>
            <w:tcBorders>
              <w:top w:val="nil"/>
              <w:left w:val="nil"/>
              <w:bottom w:val="nil"/>
              <w:right w:val="nil"/>
            </w:tcBorders>
            <w:shd w:val="clear" w:color="auto" w:fill="auto"/>
            <w:noWrap/>
            <w:vAlign w:val="bottom"/>
            <w:hideMark/>
          </w:tcPr>
          <w:p w14:paraId="350359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198 </w:t>
            </w:r>
          </w:p>
        </w:tc>
      </w:tr>
      <w:tr w:rsidR="00AC362E" w:rsidRPr="00491EF1" w14:paraId="346F26AD" w14:textId="77777777" w:rsidTr="00ED0631">
        <w:trPr>
          <w:trHeight w:val="315"/>
        </w:trPr>
        <w:tc>
          <w:tcPr>
            <w:tcW w:w="1480" w:type="dxa"/>
            <w:tcBorders>
              <w:top w:val="nil"/>
              <w:left w:val="nil"/>
              <w:bottom w:val="nil"/>
              <w:right w:val="nil"/>
            </w:tcBorders>
            <w:vAlign w:val="bottom"/>
          </w:tcPr>
          <w:p w14:paraId="36185F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480" w:type="dxa"/>
            <w:tcBorders>
              <w:top w:val="nil"/>
              <w:left w:val="nil"/>
              <w:bottom w:val="nil"/>
              <w:right w:val="nil"/>
            </w:tcBorders>
            <w:shd w:val="clear" w:color="auto" w:fill="auto"/>
            <w:noWrap/>
            <w:vAlign w:val="bottom"/>
            <w:hideMark/>
          </w:tcPr>
          <w:p w14:paraId="6010C7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1.3110 </w:t>
            </w:r>
          </w:p>
        </w:tc>
        <w:tc>
          <w:tcPr>
            <w:tcW w:w="800" w:type="dxa"/>
            <w:tcBorders>
              <w:top w:val="nil"/>
              <w:left w:val="nil"/>
              <w:bottom w:val="nil"/>
              <w:right w:val="nil"/>
            </w:tcBorders>
            <w:shd w:val="clear" w:color="auto" w:fill="auto"/>
            <w:noWrap/>
            <w:vAlign w:val="bottom"/>
            <w:hideMark/>
          </w:tcPr>
          <w:p w14:paraId="7EC699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 </w:t>
            </w:r>
          </w:p>
        </w:tc>
        <w:tc>
          <w:tcPr>
            <w:tcW w:w="800" w:type="dxa"/>
            <w:tcBorders>
              <w:top w:val="nil"/>
              <w:left w:val="nil"/>
              <w:bottom w:val="nil"/>
              <w:right w:val="nil"/>
            </w:tcBorders>
            <w:shd w:val="clear" w:color="auto" w:fill="auto"/>
            <w:noWrap/>
            <w:vAlign w:val="bottom"/>
            <w:hideMark/>
          </w:tcPr>
          <w:p w14:paraId="240201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66 </w:t>
            </w:r>
          </w:p>
        </w:tc>
        <w:tc>
          <w:tcPr>
            <w:tcW w:w="1214" w:type="dxa"/>
            <w:tcBorders>
              <w:top w:val="nil"/>
              <w:left w:val="nil"/>
              <w:bottom w:val="nil"/>
              <w:right w:val="nil"/>
            </w:tcBorders>
            <w:shd w:val="clear" w:color="auto" w:fill="auto"/>
            <w:noWrap/>
            <w:vAlign w:val="bottom"/>
            <w:hideMark/>
          </w:tcPr>
          <w:p w14:paraId="7BFF5C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E8855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86 </w:t>
            </w:r>
          </w:p>
        </w:tc>
        <w:tc>
          <w:tcPr>
            <w:tcW w:w="800" w:type="dxa"/>
            <w:tcBorders>
              <w:top w:val="nil"/>
              <w:left w:val="nil"/>
              <w:bottom w:val="nil"/>
              <w:right w:val="nil"/>
            </w:tcBorders>
            <w:shd w:val="clear" w:color="auto" w:fill="auto"/>
            <w:noWrap/>
            <w:vAlign w:val="bottom"/>
            <w:hideMark/>
          </w:tcPr>
          <w:p w14:paraId="1F47BB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 </w:t>
            </w:r>
          </w:p>
        </w:tc>
        <w:tc>
          <w:tcPr>
            <w:tcW w:w="800" w:type="dxa"/>
            <w:tcBorders>
              <w:top w:val="nil"/>
              <w:left w:val="nil"/>
              <w:bottom w:val="nil"/>
              <w:right w:val="nil"/>
            </w:tcBorders>
            <w:shd w:val="clear" w:color="auto" w:fill="auto"/>
            <w:noWrap/>
            <w:vAlign w:val="bottom"/>
            <w:hideMark/>
          </w:tcPr>
          <w:p w14:paraId="1E0221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66 </w:t>
            </w:r>
          </w:p>
        </w:tc>
        <w:tc>
          <w:tcPr>
            <w:tcW w:w="800" w:type="dxa"/>
            <w:tcBorders>
              <w:top w:val="nil"/>
              <w:left w:val="nil"/>
              <w:bottom w:val="nil"/>
              <w:right w:val="nil"/>
            </w:tcBorders>
            <w:shd w:val="clear" w:color="auto" w:fill="auto"/>
            <w:noWrap/>
            <w:vAlign w:val="bottom"/>
            <w:hideMark/>
          </w:tcPr>
          <w:p w14:paraId="52BB16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 </w:t>
            </w:r>
          </w:p>
        </w:tc>
        <w:tc>
          <w:tcPr>
            <w:tcW w:w="800" w:type="dxa"/>
            <w:tcBorders>
              <w:top w:val="nil"/>
              <w:left w:val="nil"/>
              <w:bottom w:val="nil"/>
              <w:right w:val="nil"/>
            </w:tcBorders>
            <w:shd w:val="clear" w:color="auto" w:fill="auto"/>
            <w:noWrap/>
            <w:vAlign w:val="bottom"/>
            <w:hideMark/>
          </w:tcPr>
          <w:p w14:paraId="6E6425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72 </w:t>
            </w:r>
          </w:p>
        </w:tc>
        <w:tc>
          <w:tcPr>
            <w:tcW w:w="800" w:type="dxa"/>
            <w:tcBorders>
              <w:top w:val="nil"/>
              <w:left w:val="nil"/>
              <w:bottom w:val="nil"/>
              <w:right w:val="nil"/>
            </w:tcBorders>
            <w:shd w:val="clear" w:color="auto" w:fill="auto"/>
            <w:noWrap/>
            <w:vAlign w:val="bottom"/>
            <w:hideMark/>
          </w:tcPr>
          <w:p w14:paraId="130A2A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800" w:type="dxa"/>
            <w:tcBorders>
              <w:top w:val="nil"/>
              <w:left w:val="nil"/>
              <w:bottom w:val="nil"/>
              <w:right w:val="nil"/>
            </w:tcBorders>
            <w:shd w:val="clear" w:color="auto" w:fill="auto"/>
            <w:noWrap/>
            <w:vAlign w:val="bottom"/>
            <w:hideMark/>
          </w:tcPr>
          <w:p w14:paraId="08065C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76 </w:t>
            </w:r>
          </w:p>
        </w:tc>
        <w:tc>
          <w:tcPr>
            <w:tcW w:w="800" w:type="dxa"/>
            <w:tcBorders>
              <w:top w:val="nil"/>
              <w:left w:val="nil"/>
              <w:bottom w:val="nil"/>
              <w:right w:val="nil"/>
            </w:tcBorders>
            <w:shd w:val="clear" w:color="auto" w:fill="auto"/>
            <w:noWrap/>
            <w:vAlign w:val="bottom"/>
            <w:hideMark/>
          </w:tcPr>
          <w:p w14:paraId="771133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820" w:type="dxa"/>
            <w:tcBorders>
              <w:top w:val="nil"/>
              <w:left w:val="nil"/>
              <w:bottom w:val="nil"/>
              <w:right w:val="nil"/>
            </w:tcBorders>
            <w:shd w:val="clear" w:color="auto" w:fill="auto"/>
            <w:noWrap/>
            <w:vAlign w:val="bottom"/>
            <w:hideMark/>
          </w:tcPr>
          <w:p w14:paraId="69E5EA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82 </w:t>
            </w:r>
          </w:p>
        </w:tc>
      </w:tr>
      <w:tr w:rsidR="00AC362E" w:rsidRPr="00491EF1" w14:paraId="56DDB5F9" w14:textId="77777777" w:rsidTr="00ED0631">
        <w:trPr>
          <w:trHeight w:val="315"/>
        </w:trPr>
        <w:tc>
          <w:tcPr>
            <w:tcW w:w="1480" w:type="dxa"/>
            <w:tcBorders>
              <w:top w:val="nil"/>
              <w:left w:val="nil"/>
              <w:bottom w:val="nil"/>
              <w:right w:val="nil"/>
            </w:tcBorders>
            <w:vAlign w:val="bottom"/>
          </w:tcPr>
          <w:p w14:paraId="272B9C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480" w:type="dxa"/>
            <w:tcBorders>
              <w:top w:val="nil"/>
              <w:left w:val="nil"/>
              <w:bottom w:val="nil"/>
              <w:right w:val="nil"/>
            </w:tcBorders>
            <w:shd w:val="clear" w:color="auto" w:fill="auto"/>
            <w:noWrap/>
            <w:vAlign w:val="bottom"/>
            <w:hideMark/>
          </w:tcPr>
          <w:p w14:paraId="4F1648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0.3184 </w:t>
            </w:r>
          </w:p>
        </w:tc>
        <w:tc>
          <w:tcPr>
            <w:tcW w:w="800" w:type="dxa"/>
            <w:tcBorders>
              <w:top w:val="nil"/>
              <w:left w:val="nil"/>
              <w:bottom w:val="nil"/>
              <w:right w:val="nil"/>
            </w:tcBorders>
            <w:shd w:val="clear" w:color="auto" w:fill="auto"/>
            <w:noWrap/>
            <w:vAlign w:val="bottom"/>
            <w:hideMark/>
          </w:tcPr>
          <w:p w14:paraId="24EA02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 </w:t>
            </w:r>
          </w:p>
        </w:tc>
        <w:tc>
          <w:tcPr>
            <w:tcW w:w="800" w:type="dxa"/>
            <w:tcBorders>
              <w:top w:val="nil"/>
              <w:left w:val="nil"/>
              <w:bottom w:val="nil"/>
              <w:right w:val="nil"/>
            </w:tcBorders>
            <w:shd w:val="clear" w:color="auto" w:fill="auto"/>
            <w:noWrap/>
            <w:vAlign w:val="bottom"/>
            <w:hideMark/>
          </w:tcPr>
          <w:p w14:paraId="405C47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32 </w:t>
            </w:r>
          </w:p>
        </w:tc>
        <w:tc>
          <w:tcPr>
            <w:tcW w:w="1214" w:type="dxa"/>
            <w:tcBorders>
              <w:top w:val="nil"/>
              <w:left w:val="nil"/>
              <w:bottom w:val="nil"/>
              <w:right w:val="nil"/>
            </w:tcBorders>
            <w:shd w:val="clear" w:color="auto" w:fill="auto"/>
            <w:noWrap/>
            <w:vAlign w:val="bottom"/>
            <w:hideMark/>
          </w:tcPr>
          <w:p w14:paraId="2F307A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71DE41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44 </w:t>
            </w:r>
          </w:p>
        </w:tc>
        <w:tc>
          <w:tcPr>
            <w:tcW w:w="800" w:type="dxa"/>
            <w:tcBorders>
              <w:top w:val="nil"/>
              <w:left w:val="nil"/>
              <w:bottom w:val="nil"/>
              <w:right w:val="nil"/>
            </w:tcBorders>
            <w:shd w:val="clear" w:color="auto" w:fill="auto"/>
            <w:noWrap/>
            <w:vAlign w:val="bottom"/>
            <w:hideMark/>
          </w:tcPr>
          <w:p w14:paraId="76835D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800" w:type="dxa"/>
            <w:tcBorders>
              <w:top w:val="nil"/>
              <w:left w:val="nil"/>
              <w:bottom w:val="nil"/>
              <w:right w:val="nil"/>
            </w:tcBorders>
            <w:shd w:val="clear" w:color="auto" w:fill="auto"/>
            <w:noWrap/>
            <w:vAlign w:val="bottom"/>
            <w:hideMark/>
          </w:tcPr>
          <w:p w14:paraId="2894E9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800" w:type="dxa"/>
            <w:tcBorders>
              <w:top w:val="nil"/>
              <w:left w:val="nil"/>
              <w:bottom w:val="nil"/>
              <w:right w:val="nil"/>
            </w:tcBorders>
            <w:shd w:val="clear" w:color="auto" w:fill="auto"/>
            <w:noWrap/>
            <w:vAlign w:val="bottom"/>
            <w:hideMark/>
          </w:tcPr>
          <w:p w14:paraId="73C430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800" w:type="dxa"/>
            <w:tcBorders>
              <w:top w:val="nil"/>
              <w:left w:val="nil"/>
              <w:bottom w:val="nil"/>
              <w:right w:val="nil"/>
            </w:tcBorders>
            <w:shd w:val="clear" w:color="auto" w:fill="auto"/>
            <w:noWrap/>
            <w:vAlign w:val="bottom"/>
            <w:hideMark/>
          </w:tcPr>
          <w:p w14:paraId="4885CE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800" w:type="dxa"/>
            <w:tcBorders>
              <w:top w:val="nil"/>
              <w:left w:val="nil"/>
              <w:bottom w:val="nil"/>
              <w:right w:val="nil"/>
            </w:tcBorders>
            <w:shd w:val="clear" w:color="auto" w:fill="auto"/>
            <w:noWrap/>
            <w:vAlign w:val="bottom"/>
            <w:hideMark/>
          </w:tcPr>
          <w:p w14:paraId="50477F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800" w:type="dxa"/>
            <w:tcBorders>
              <w:top w:val="nil"/>
              <w:left w:val="nil"/>
              <w:bottom w:val="nil"/>
              <w:right w:val="nil"/>
            </w:tcBorders>
            <w:shd w:val="clear" w:color="auto" w:fill="auto"/>
            <w:noWrap/>
            <w:vAlign w:val="bottom"/>
            <w:hideMark/>
          </w:tcPr>
          <w:p w14:paraId="61E374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38 </w:t>
            </w:r>
          </w:p>
        </w:tc>
        <w:tc>
          <w:tcPr>
            <w:tcW w:w="800" w:type="dxa"/>
            <w:tcBorders>
              <w:top w:val="nil"/>
              <w:left w:val="nil"/>
              <w:bottom w:val="nil"/>
              <w:right w:val="nil"/>
            </w:tcBorders>
            <w:shd w:val="clear" w:color="auto" w:fill="auto"/>
            <w:noWrap/>
            <w:vAlign w:val="bottom"/>
            <w:hideMark/>
          </w:tcPr>
          <w:p w14:paraId="6DF9B9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820" w:type="dxa"/>
            <w:tcBorders>
              <w:top w:val="nil"/>
              <w:left w:val="nil"/>
              <w:bottom w:val="nil"/>
              <w:right w:val="nil"/>
            </w:tcBorders>
            <w:shd w:val="clear" w:color="auto" w:fill="auto"/>
            <w:noWrap/>
            <w:vAlign w:val="bottom"/>
            <w:hideMark/>
          </w:tcPr>
          <w:p w14:paraId="205423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r>
      <w:tr w:rsidR="00AC362E" w:rsidRPr="00491EF1" w14:paraId="0DDA56C2" w14:textId="77777777" w:rsidTr="00ED0631">
        <w:trPr>
          <w:trHeight w:val="315"/>
        </w:trPr>
        <w:tc>
          <w:tcPr>
            <w:tcW w:w="1480" w:type="dxa"/>
            <w:tcBorders>
              <w:top w:val="nil"/>
              <w:left w:val="nil"/>
              <w:bottom w:val="nil"/>
              <w:right w:val="nil"/>
            </w:tcBorders>
            <w:vAlign w:val="bottom"/>
          </w:tcPr>
          <w:p w14:paraId="129AEF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480" w:type="dxa"/>
            <w:tcBorders>
              <w:top w:val="nil"/>
              <w:left w:val="nil"/>
              <w:bottom w:val="nil"/>
              <w:right w:val="nil"/>
            </w:tcBorders>
            <w:shd w:val="clear" w:color="auto" w:fill="auto"/>
            <w:noWrap/>
            <w:vAlign w:val="bottom"/>
            <w:hideMark/>
          </w:tcPr>
          <w:p w14:paraId="5CEB2C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1.7852 </w:t>
            </w:r>
          </w:p>
        </w:tc>
        <w:tc>
          <w:tcPr>
            <w:tcW w:w="800" w:type="dxa"/>
            <w:tcBorders>
              <w:top w:val="nil"/>
              <w:left w:val="nil"/>
              <w:bottom w:val="nil"/>
              <w:right w:val="nil"/>
            </w:tcBorders>
            <w:shd w:val="clear" w:color="auto" w:fill="auto"/>
            <w:noWrap/>
            <w:vAlign w:val="bottom"/>
            <w:hideMark/>
          </w:tcPr>
          <w:p w14:paraId="451CCF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114 </w:t>
            </w:r>
          </w:p>
        </w:tc>
        <w:tc>
          <w:tcPr>
            <w:tcW w:w="800" w:type="dxa"/>
            <w:tcBorders>
              <w:top w:val="nil"/>
              <w:left w:val="nil"/>
              <w:bottom w:val="nil"/>
              <w:right w:val="nil"/>
            </w:tcBorders>
            <w:shd w:val="clear" w:color="auto" w:fill="auto"/>
            <w:noWrap/>
            <w:vAlign w:val="bottom"/>
            <w:hideMark/>
          </w:tcPr>
          <w:p w14:paraId="7D41B0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1214" w:type="dxa"/>
            <w:tcBorders>
              <w:top w:val="nil"/>
              <w:left w:val="nil"/>
              <w:bottom w:val="nil"/>
              <w:right w:val="nil"/>
            </w:tcBorders>
            <w:shd w:val="clear" w:color="auto" w:fill="auto"/>
            <w:noWrap/>
            <w:vAlign w:val="bottom"/>
            <w:hideMark/>
          </w:tcPr>
          <w:p w14:paraId="5C0B9E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800" w:type="dxa"/>
            <w:tcBorders>
              <w:top w:val="nil"/>
              <w:left w:val="nil"/>
              <w:bottom w:val="nil"/>
              <w:right w:val="nil"/>
            </w:tcBorders>
            <w:shd w:val="clear" w:color="auto" w:fill="auto"/>
            <w:noWrap/>
            <w:vAlign w:val="bottom"/>
            <w:hideMark/>
          </w:tcPr>
          <w:p w14:paraId="44CD05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140 </w:t>
            </w:r>
          </w:p>
        </w:tc>
        <w:tc>
          <w:tcPr>
            <w:tcW w:w="800" w:type="dxa"/>
            <w:tcBorders>
              <w:top w:val="nil"/>
              <w:left w:val="nil"/>
              <w:bottom w:val="nil"/>
              <w:right w:val="nil"/>
            </w:tcBorders>
            <w:shd w:val="clear" w:color="auto" w:fill="auto"/>
            <w:noWrap/>
            <w:vAlign w:val="bottom"/>
            <w:hideMark/>
          </w:tcPr>
          <w:p w14:paraId="086BCB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800" w:type="dxa"/>
            <w:tcBorders>
              <w:top w:val="nil"/>
              <w:left w:val="nil"/>
              <w:bottom w:val="nil"/>
              <w:right w:val="nil"/>
            </w:tcBorders>
            <w:shd w:val="clear" w:color="auto" w:fill="auto"/>
            <w:noWrap/>
            <w:vAlign w:val="bottom"/>
            <w:hideMark/>
          </w:tcPr>
          <w:p w14:paraId="2A6B9C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139 </w:t>
            </w:r>
          </w:p>
        </w:tc>
        <w:tc>
          <w:tcPr>
            <w:tcW w:w="800" w:type="dxa"/>
            <w:tcBorders>
              <w:top w:val="nil"/>
              <w:left w:val="nil"/>
              <w:bottom w:val="nil"/>
              <w:right w:val="nil"/>
            </w:tcBorders>
            <w:shd w:val="clear" w:color="auto" w:fill="auto"/>
            <w:noWrap/>
            <w:vAlign w:val="bottom"/>
            <w:hideMark/>
          </w:tcPr>
          <w:p w14:paraId="7D6E75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 </w:t>
            </w:r>
          </w:p>
        </w:tc>
        <w:tc>
          <w:tcPr>
            <w:tcW w:w="800" w:type="dxa"/>
            <w:tcBorders>
              <w:top w:val="nil"/>
              <w:left w:val="nil"/>
              <w:bottom w:val="nil"/>
              <w:right w:val="nil"/>
            </w:tcBorders>
            <w:shd w:val="clear" w:color="auto" w:fill="auto"/>
            <w:noWrap/>
            <w:vAlign w:val="bottom"/>
            <w:hideMark/>
          </w:tcPr>
          <w:p w14:paraId="11A627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135 </w:t>
            </w:r>
          </w:p>
        </w:tc>
        <w:tc>
          <w:tcPr>
            <w:tcW w:w="800" w:type="dxa"/>
            <w:tcBorders>
              <w:top w:val="nil"/>
              <w:left w:val="nil"/>
              <w:bottom w:val="nil"/>
              <w:right w:val="nil"/>
            </w:tcBorders>
            <w:shd w:val="clear" w:color="auto" w:fill="auto"/>
            <w:noWrap/>
            <w:vAlign w:val="bottom"/>
            <w:hideMark/>
          </w:tcPr>
          <w:p w14:paraId="2E48FA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800" w:type="dxa"/>
            <w:tcBorders>
              <w:top w:val="nil"/>
              <w:left w:val="nil"/>
              <w:bottom w:val="nil"/>
              <w:right w:val="nil"/>
            </w:tcBorders>
            <w:shd w:val="clear" w:color="auto" w:fill="auto"/>
            <w:noWrap/>
            <w:vAlign w:val="bottom"/>
            <w:hideMark/>
          </w:tcPr>
          <w:p w14:paraId="40B597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139 </w:t>
            </w:r>
          </w:p>
        </w:tc>
        <w:tc>
          <w:tcPr>
            <w:tcW w:w="800" w:type="dxa"/>
            <w:tcBorders>
              <w:top w:val="nil"/>
              <w:left w:val="nil"/>
              <w:bottom w:val="nil"/>
              <w:right w:val="nil"/>
            </w:tcBorders>
            <w:shd w:val="clear" w:color="auto" w:fill="auto"/>
            <w:noWrap/>
            <w:vAlign w:val="bottom"/>
            <w:hideMark/>
          </w:tcPr>
          <w:p w14:paraId="1177A9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820" w:type="dxa"/>
            <w:tcBorders>
              <w:top w:val="nil"/>
              <w:left w:val="nil"/>
              <w:bottom w:val="nil"/>
              <w:right w:val="nil"/>
            </w:tcBorders>
            <w:shd w:val="clear" w:color="auto" w:fill="auto"/>
            <w:noWrap/>
            <w:vAlign w:val="bottom"/>
            <w:hideMark/>
          </w:tcPr>
          <w:p w14:paraId="36B9B8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148 </w:t>
            </w:r>
          </w:p>
        </w:tc>
      </w:tr>
      <w:tr w:rsidR="00AC362E" w:rsidRPr="00491EF1" w14:paraId="0C1F11C7" w14:textId="77777777" w:rsidTr="00ED0631">
        <w:trPr>
          <w:trHeight w:val="315"/>
        </w:trPr>
        <w:tc>
          <w:tcPr>
            <w:tcW w:w="1480" w:type="dxa"/>
            <w:tcBorders>
              <w:top w:val="nil"/>
              <w:left w:val="nil"/>
              <w:bottom w:val="nil"/>
              <w:right w:val="nil"/>
            </w:tcBorders>
            <w:vAlign w:val="bottom"/>
          </w:tcPr>
          <w:p w14:paraId="0C3F18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480" w:type="dxa"/>
            <w:tcBorders>
              <w:top w:val="nil"/>
              <w:left w:val="nil"/>
              <w:bottom w:val="nil"/>
              <w:right w:val="nil"/>
            </w:tcBorders>
            <w:shd w:val="clear" w:color="auto" w:fill="auto"/>
            <w:noWrap/>
            <w:vAlign w:val="bottom"/>
            <w:hideMark/>
          </w:tcPr>
          <w:p w14:paraId="6BA975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0.2418 </w:t>
            </w:r>
          </w:p>
        </w:tc>
        <w:tc>
          <w:tcPr>
            <w:tcW w:w="800" w:type="dxa"/>
            <w:tcBorders>
              <w:top w:val="nil"/>
              <w:left w:val="nil"/>
              <w:bottom w:val="nil"/>
              <w:right w:val="nil"/>
            </w:tcBorders>
            <w:shd w:val="clear" w:color="auto" w:fill="auto"/>
            <w:noWrap/>
            <w:vAlign w:val="bottom"/>
            <w:hideMark/>
          </w:tcPr>
          <w:p w14:paraId="5F0332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18C657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1214" w:type="dxa"/>
            <w:tcBorders>
              <w:top w:val="nil"/>
              <w:left w:val="nil"/>
              <w:bottom w:val="nil"/>
              <w:right w:val="nil"/>
            </w:tcBorders>
            <w:shd w:val="clear" w:color="auto" w:fill="auto"/>
            <w:noWrap/>
            <w:vAlign w:val="bottom"/>
            <w:hideMark/>
          </w:tcPr>
          <w:p w14:paraId="0C286C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05E4B8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29216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296941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461492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1E43FB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311286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2EC3A1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00" w:type="dxa"/>
            <w:tcBorders>
              <w:top w:val="nil"/>
              <w:left w:val="nil"/>
              <w:bottom w:val="nil"/>
              <w:right w:val="nil"/>
            </w:tcBorders>
            <w:shd w:val="clear" w:color="auto" w:fill="auto"/>
            <w:noWrap/>
            <w:vAlign w:val="bottom"/>
            <w:hideMark/>
          </w:tcPr>
          <w:p w14:paraId="22097C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 </w:t>
            </w:r>
          </w:p>
        </w:tc>
        <w:tc>
          <w:tcPr>
            <w:tcW w:w="820" w:type="dxa"/>
            <w:tcBorders>
              <w:top w:val="nil"/>
              <w:left w:val="nil"/>
              <w:bottom w:val="nil"/>
              <w:right w:val="nil"/>
            </w:tcBorders>
            <w:shd w:val="clear" w:color="auto" w:fill="auto"/>
            <w:noWrap/>
            <w:vAlign w:val="bottom"/>
            <w:hideMark/>
          </w:tcPr>
          <w:p w14:paraId="60FE05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184898DF" w14:textId="77777777" w:rsidTr="00ED0631">
        <w:trPr>
          <w:trHeight w:val="315"/>
        </w:trPr>
        <w:tc>
          <w:tcPr>
            <w:tcW w:w="1480" w:type="dxa"/>
            <w:tcBorders>
              <w:top w:val="single" w:sz="4" w:space="0" w:color="auto"/>
              <w:left w:val="nil"/>
              <w:bottom w:val="single" w:sz="4" w:space="0" w:color="auto"/>
              <w:right w:val="nil"/>
            </w:tcBorders>
            <w:vAlign w:val="bottom"/>
          </w:tcPr>
          <w:p w14:paraId="1EF9C3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480" w:type="dxa"/>
            <w:tcBorders>
              <w:top w:val="single" w:sz="4" w:space="0" w:color="auto"/>
              <w:left w:val="nil"/>
              <w:bottom w:val="single" w:sz="4" w:space="0" w:color="auto"/>
              <w:right w:val="nil"/>
            </w:tcBorders>
            <w:shd w:val="clear" w:color="auto" w:fill="auto"/>
            <w:noWrap/>
            <w:vAlign w:val="bottom"/>
            <w:hideMark/>
          </w:tcPr>
          <w:p w14:paraId="6EDB63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00" w:type="dxa"/>
            <w:tcBorders>
              <w:top w:val="single" w:sz="4" w:space="0" w:color="auto"/>
              <w:left w:val="nil"/>
              <w:bottom w:val="single" w:sz="4" w:space="0" w:color="auto"/>
              <w:right w:val="nil"/>
            </w:tcBorders>
            <w:shd w:val="clear" w:color="auto" w:fill="auto"/>
            <w:noWrap/>
            <w:vAlign w:val="bottom"/>
            <w:hideMark/>
          </w:tcPr>
          <w:p w14:paraId="718EA9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230 </w:t>
            </w:r>
          </w:p>
        </w:tc>
        <w:tc>
          <w:tcPr>
            <w:tcW w:w="800" w:type="dxa"/>
            <w:tcBorders>
              <w:top w:val="single" w:sz="4" w:space="0" w:color="auto"/>
              <w:left w:val="nil"/>
              <w:bottom w:val="single" w:sz="4" w:space="0" w:color="auto"/>
              <w:right w:val="nil"/>
            </w:tcBorders>
            <w:shd w:val="clear" w:color="auto" w:fill="auto"/>
            <w:noWrap/>
            <w:vAlign w:val="bottom"/>
            <w:hideMark/>
          </w:tcPr>
          <w:p w14:paraId="090E0F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577 </w:t>
            </w:r>
          </w:p>
        </w:tc>
        <w:tc>
          <w:tcPr>
            <w:tcW w:w="1214" w:type="dxa"/>
            <w:tcBorders>
              <w:top w:val="single" w:sz="4" w:space="0" w:color="auto"/>
              <w:left w:val="nil"/>
              <w:bottom w:val="single" w:sz="4" w:space="0" w:color="auto"/>
              <w:right w:val="nil"/>
            </w:tcBorders>
            <w:shd w:val="clear" w:color="auto" w:fill="auto"/>
            <w:noWrap/>
            <w:vAlign w:val="bottom"/>
            <w:hideMark/>
          </w:tcPr>
          <w:p w14:paraId="7B7F34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63 </w:t>
            </w:r>
          </w:p>
        </w:tc>
        <w:tc>
          <w:tcPr>
            <w:tcW w:w="800" w:type="dxa"/>
            <w:tcBorders>
              <w:top w:val="single" w:sz="4" w:space="0" w:color="auto"/>
              <w:left w:val="nil"/>
              <w:bottom w:val="single" w:sz="4" w:space="0" w:color="auto"/>
              <w:right w:val="nil"/>
            </w:tcBorders>
            <w:shd w:val="clear" w:color="auto" w:fill="auto"/>
            <w:noWrap/>
            <w:vAlign w:val="bottom"/>
            <w:hideMark/>
          </w:tcPr>
          <w:p w14:paraId="5A1201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744 </w:t>
            </w:r>
          </w:p>
        </w:tc>
        <w:tc>
          <w:tcPr>
            <w:tcW w:w="800" w:type="dxa"/>
            <w:tcBorders>
              <w:top w:val="single" w:sz="4" w:space="0" w:color="auto"/>
              <w:left w:val="nil"/>
              <w:bottom w:val="single" w:sz="4" w:space="0" w:color="auto"/>
              <w:right w:val="nil"/>
            </w:tcBorders>
            <w:shd w:val="clear" w:color="auto" w:fill="auto"/>
            <w:noWrap/>
            <w:vAlign w:val="bottom"/>
            <w:hideMark/>
          </w:tcPr>
          <w:p w14:paraId="7FDC6A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199 </w:t>
            </w:r>
          </w:p>
        </w:tc>
        <w:tc>
          <w:tcPr>
            <w:tcW w:w="800" w:type="dxa"/>
            <w:tcBorders>
              <w:top w:val="single" w:sz="4" w:space="0" w:color="auto"/>
              <w:left w:val="nil"/>
              <w:bottom w:val="single" w:sz="4" w:space="0" w:color="auto"/>
              <w:right w:val="nil"/>
            </w:tcBorders>
            <w:shd w:val="clear" w:color="auto" w:fill="auto"/>
            <w:noWrap/>
            <w:vAlign w:val="bottom"/>
            <w:hideMark/>
          </w:tcPr>
          <w:p w14:paraId="45F9CC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608 </w:t>
            </w:r>
          </w:p>
        </w:tc>
        <w:tc>
          <w:tcPr>
            <w:tcW w:w="800" w:type="dxa"/>
            <w:tcBorders>
              <w:top w:val="single" w:sz="4" w:space="0" w:color="auto"/>
              <w:left w:val="nil"/>
              <w:bottom w:val="single" w:sz="4" w:space="0" w:color="auto"/>
              <w:right w:val="nil"/>
            </w:tcBorders>
            <w:shd w:val="clear" w:color="auto" w:fill="auto"/>
            <w:noWrap/>
            <w:vAlign w:val="bottom"/>
            <w:hideMark/>
          </w:tcPr>
          <w:p w14:paraId="1B2B2E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193 </w:t>
            </w:r>
          </w:p>
        </w:tc>
        <w:tc>
          <w:tcPr>
            <w:tcW w:w="800" w:type="dxa"/>
            <w:tcBorders>
              <w:top w:val="single" w:sz="4" w:space="0" w:color="auto"/>
              <w:left w:val="nil"/>
              <w:bottom w:val="single" w:sz="4" w:space="0" w:color="auto"/>
              <w:right w:val="nil"/>
            </w:tcBorders>
            <w:shd w:val="clear" w:color="auto" w:fill="auto"/>
            <w:noWrap/>
            <w:vAlign w:val="bottom"/>
            <w:hideMark/>
          </w:tcPr>
          <w:p w14:paraId="62A976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614 </w:t>
            </w:r>
          </w:p>
        </w:tc>
        <w:tc>
          <w:tcPr>
            <w:tcW w:w="800" w:type="dxa"/>
            <w:tcBorders>
              <w:top w:val="single" w:sz="4" w:space="0" w:color="auto"/>
              <w:left w:val="nil"/>
              <w:bottom w:val="single" w:sz="4" w:space="0" w:color="auto"/>
              <w:right w:val="nil"/>
            </w:tcBorders>
            <w:shd w:val="clear" w:color="auto" w:fill="auto"/>
            <w:noWrap/>
            <w:vAlign w:val="bottom"/>
            <w:hideMark/>
          </w:tcPr>
          <w:p w14:paraId="1A2322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92 </w:t>
            </w:r>
          </w:p>
        </w:tc>
        <w:tc>
          <w:tcPr>
            <w:tcW w:w="800" w:type="dxa"/>
            <w:tcBorders>
              <w:top w:val="single" w:sz="4" w:space="0" w:color="auto"/>
              <w:left w:val="nil"/>
              <w:bottom w:val="single" w:sz="4" w:space="0" w:color="auto"/>
              <w:right w:val="nil"/>
            </w:tcBorders>
            <w:shd w:val="clear" w:color="auto" w:fill="auto"/>
            <w:noWrap/>
            <w:vAlign w:val="bottom"/>
            <w:hideMark/>
          </w:tcPr>
          <w:p w14:paraId="50FE98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715 </w:t>
            </w:r>
          </w:p>
        </w:tc>
        <w:tc>
          <w:tcPr>
            <w:tcW w:w="800" w:type="dxa"/>
            <w:tcBorders>
              <w:top w:val="single" w:sz="4" w:space="0" w:color="auto"/>
              <w:left w:val="nil"/>
              <w:bottom w:val="single" w:sz="4" w:space="0" w:color="auto"/>
              <w:right w:val="nil"/>
            </w:tcBorders>
            <w:shd w:val="clear" w:color="auto" w:fill="auto"/>
            <w:noWrap/>
            <w:vAlign w:val="bottom"/>
            <w:hideMark/>
          </w:tcPr>
          <w:p w14:paraId="522514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78 </w:t>
            </w:r>
          </w:p>
        </w:tc>
        <w:tc>
          <w:tcPr>
            <w:tcW w:w="820" w:type="dxa"/>
            <w:tcBorders>
              <w:top w:val="single" w:sz="4" w:space="0" w:color="auto"/>
              <w:left w:val="nil"/>
              <w:bottom w:val="single" w:sz="4" w:space="0" w:color="auto"/>
              <w:right w:val="nil"/>
            </w:tcBorders>
            <w:shd w:val="clear" w:color="auto" w:fill="auto"/>
            <w:noWrap/>
            <w:vAlign w:val="bottom"/>
            <w:hideMark/>
          </w:tcPr>
          <w:p w14:paraId="738A36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729 </w:t>
            </w:r>
          </w:p>
        </w:tc>
      </w:tr>
    </w:tbl>
    <w:p w14:paraId="341D5823"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64CB083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4a: Number and average of school engagements per year by type</w:t>
      </w:r>
    </w:p>
    <w:p w14:paraId="5C07D79D" w14:textId="77777777" w:rsidR="00AC362E" w:rsidRPr="00491EF1" w:rsidRDefault="00AC362E" w:rsidP="00ED0631">
      <w:pPr>
        <w:tabs>
          <w:tab w:val="left" w:pos="8696"/>
          <w:tab w:val="left" w:pos="9694"/>
          <w:tab w:val="left" w:pos="10904"/>
          <w:tab w:val="left" w:pos="11959"/>
          <w:tab w:val="left" w:pos="13169"/>
          <w:tab w:val="left" w:pos="13989"/>
        </w:tabs>
        <w:spacing w:after="0"/>
        <w:ind w:left="93"/>
        <w:rPr>
          <w:rFonts w:asciiTheme="majorHAnsi" w:eastAsia="Times New Roman" w:hAnsiTheme="majorHAnsi" w:cstheme="majorHAnsi"/>
          <w:color w:val="000000"/>
          <w:lang w:eastAsia="en-AU"/>
        </w:rPr>
      </w:pPr>
      <w:r w:rsidRPr="00491EF1">
        <w:rPr>
          <w:rFonts w:asciiTheme="majorHAnsi" w:eastAsia="Times New Roman" w:hAnsiTheme="majorHAnsi" w:cstheme="majorHAnsi"/>
          <w:i/>
          <w:iCs/>
          <w:color w:val="000000"/>
          <w:lang w:eastAsia="en-AU"/>
        </w:rPr>
        <w:t>Note: average based on number of enrolled B.Ed child in HHs</w:t>
      </w:r>
    </w:p>
    <w:tbl>
      <w:tblPr>
        <w:tblW w:w="12206" w:type="dxa"/>
        <w:tblInd w:w="93" w:type="dxa"/>
        <w:tblLook w:val="04A0" w:firstRow="1" w:lastRow="0" w:firstColumn="1" w:lastColumn="0" w:noHBand="0" w:noVBand="1"/>
      </w:tblPr>
      <w:tblGrid>
        <w:gridCol w:w="2080"/>
        <w:gridCol w:w="680"/>
        <w:gridCol w:w="950"/>
        <w:gridCol w:w="759"/>
        <w:gridCol w:w="795"/>
        <w:gridCol w:w="800"/>
        <w:gridCol w:w="795"/>
        <w:gridCol w:w="950"/>
        <w:gridCol w:w="795"/>
        <w:gridCol w:w="1017"/>
        <w:gridCol w:w="795"/>
        <w:gridCol w:w="827"/>
        <w:gridCol w:w="1276"/>
      </w:tblGrid>
      <w:tr w:rsidR="00AC362E" w:rsidRPr="00491EF1" w14:paraId="386CD18C" w14:textId="77777777" w:rsidTr="00ED0631">
        <w:trPr>
          <w:trHeight w:val="315"/>
        </w:trPr>
        <w:tc>
          <w:tcPr>
            <w:tcW w:w="2080" w:type="dxa"/>
            <w:tcBorders>
              <w:top w:val="single" w:sz="4" w:space="0" w:color="auto"/>
              <w:left w:val="nil"/>
              <w:bottom w:val="single" w:sz="4" w:space="0" w:color="auto"/>
              <w:right w:val="nil"/>
            </w:tcBorders>
            <w:shd w:val="clear" w:color="auto" w:fill="auto"/>
            <w:noWrap/>
            <w:vAlign w:val="bottom"/>
            <w:hideMark/>
          </w:tcPr>
          <w:p w14:paraId="33E77881"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Unweighted</w:t>
            </w:r>
          </w:p>
        </w:tc>
        <w:tc>
          <w:tcPr>
            <w:tcW w:w="680" w:type="dxa"/>
            <w:tcBorders>
              <w:top w:val="single" w:sz="4" w:space="0" w:color="auto"/>
              <w:left w:val="nil"/>
              <w:bottom w:val="single" w:sz="4" w:space="0" w:color="auto"/>
              <w:right w:val="nil"/>
            </w:tcBorders>
            <w:shd w:val="clear" w:color="auto" w:fill="auto"/>
            <w:noWrap/>
            <w:vAlign w:val="bottom"/>
            <w:hideMark/>
          </w:tcPr>
          <w:p w14:paraId="5206B7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91" w:type="dxa"/>
            <w:tcBorders>
              <w:top w:val="single" w:sz="4" w:space="0" w:color="auto"/>
              <w:left w:val="nil"/>
              <w:bottom w:val="single" w:sz="4" w:space="0" w:color="auto"/>
              <w:right w:val="nil"/>
            </w:tcBorders>
            <w:shd w:val="clear" w:color="auto" w:fill="auto"/>
            <w:noWrap/>
            <w:vAlign w:val="bottom"/>
            <w:hideMark/>
          </w:tcPr>
          <w:p w14:paraId="66C892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59" w:type="dxa"/>
            <w:tcBorders>
              <w:top w:val="single" w:sz="4" w:space="0" w:color="auto"/>
              <w:left w:val="nil"/>
              <w:bottom w:val="single" w:sz="4" w:space="0" w:color="auto"/>
              <w:right w:val="nil"/>
            </w:tcBorders>
            <w:shd w:val="clear" w:color="auto" w:fill="auto"/>
            <w:noWrap/>
            <w:vAlign w:val="bottom"/>
            <w:hideMark/>
          </w:tcPr>
          <w:p w14:paraId="37AF8D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59" w:type="dxa"/>
            <w:tcBorders>
              <w:top w:val="single" w:sz="4" w:space="0" w:color="auto"/>
              <w:left w:val="nil"/>
              <w:bottom w:val="single" w:sz="4" w:space="0" w:color="auto"/>
              <w:right w:val="nil"/>
            </w:tcBorders>
            <w:shd w:val="clear" w:color="auto" w:fill="auto"/>
            <w:noWrap/>
            <w:vAlign w:val="bottom"/>
            <w:hideMark/>
          </w:tcPr>
          <w:p w14:paraId="64E1B4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00" w:type="dxa"/>
            <w:tcBorders>
              <w:top w:val="single" w:sz="4" w:space="0" w:color="auto"/>
              <w:left w:val="nil"/>
              <w:bottom w:val="single" w:sz="4" w:space="0" w:color="auto"/>
              <w:right w:val="nil"/>
            </w:tcBorders>
            <w:shd w:val="clear" w:color="auto" w:fill="auto"/>
            <w:noWrap/>
            <w:vAlign w:val="bottom"/>
            <w:hideMark/>
          </w:tcPr>
          <w:p w14:paraId="41E860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59" w:type="dxa"/>
            <w:tcBorders>
              <w:top w:val="single" w:sz="4" w:space="0" w:color="auto"/>
              <w:left w:val="nil"/>
              <w:bottom w:val="single" w:sz="4" w:space="0" w:color="auto"/>
              <w:right w:val="nil"/>
            </w:tcBorders>
            <w:shd w:val="clear" w:color="auto" w:fill="auto"/>
            <w:noWrap/>
            <w:vAlign w:val="bottom"/>
            <w:hideMark/>
          </w:tcPr>
          <w:p w14:paraId="0ACE5A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42" w:type="dxa"/>
            <w:tcBorders>
              <w:top w:val="single" w:sz="4" w:space="0" w:color="auto"/>
              <w:left w:val="nil"/>
              <w:bottom w:val="single" w:sz="4" w:space="0" w:color="auto"/>
              <w:right w:val="nil"/>
            </w:tcBorders>
            <w:shd w:val="clear" w:color="auto" w:fill="auto"/>
            <w:noWrap/>
            <w:vAlign w:val="bottom"/>
            <w:hideMark/>
          </w:tcPr>
          <w:p w14:paraId="296611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59" w:type="dxa"/>
            <w:tcBorders>
              <w:top w:val="single" w:sz="4" w:space="0" w:color="auto"/>
              <w:left w:val="nil"/>
              <w:bottom w:val="single" w:sz="4" w:space="0" w:color="auto"/>
              <w:right w:val="nil"/>
            </w:tcBorders>
            <w:shd w:val="clear" w:color="auto" w:fill="auto"/>
            <w:noWrap/>
            <w:vAlign w:val="bottom"/>
            <w:hideMark/>
          </w:tcPr>
          <w:p w14:paraId="4BB047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15" w:type="dxa"/>
            <w:tcBorders>
              <w:top w:val="single" w:sz="4" w:space="0" w:color="auto"/>
              <w:left w:val="nil"/>
              <w:bottom w:val="single" w:sz="4" w:space="0" w:color="auto"/>
              <w:right w:val="nil"/>
            </w:tcBorders>
            <w:shd w:val="clear" w:color="auto" w:fill="auto"/>
            <w:noWrap/>
            <w:vAlign w:val="bottom"/>
            <w:hideMark/>
          </w:tcPr>
          <w:p w14:paraId="44AFDF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59" w:type="dxa"/>
            <w:tcBorders>
              <w:top w:val="single" w:sz="4" w:space="0" w:color="auto"/>
              <w:left w:val="nil"/>
              <w:bottom w:val="single" w:sz="4" w:space="0" w:color="auto"/>
              <w:right w:val="nil"/>
            </w:tcBorders>
            <w:shd w:val="clear" w:color="auto" w:fill="auto"/>
            <w:noWrap/>
            <w:vAlign w:val="bottom"/>
            <w:hideMark/>
          </w:tcPr>
          <w:p w14:paraId="2A2414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27" w:type="dxa"/>
            <w:tcBorders>
              <w:top w:val="single" w:sz="4" w:space="0" w:color="auto"/>
              <w:left w:val="nil"/>
              <w:bottom w:val="single" w:sz="4" w:space="0" w:color="auto"/>
              <w:right w:val="nil"/>
            </w:tcBorders>
            <w:shd w:val="clear" w:color="auto" w:fill="auto"/>
            <w:noWrap/>
            <w:vAlign w:val="bottom"/>
            <w:hideMark/>
          </w:tcPr>
          <w:p w14:paraId="4530CF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276" w:type="dxa"/>
            <w:tcBorders>
              <w:top w:val="single" w:sz="4" w:space="0" w:color="auto"/>
              <w:left w:val="nil"/>
              <w:bottom w:val="single" w:sz="4" w:space="0" w:color="auto"/>
              <w:right w:val="nil"/>
            </w:tcBorders>
            <w:shd w:val="clear" w:color="auto" w:fill="auto"/>
            <w:noWrap/>
            <w:vAlign w:val="bottom"/>
            <w:hideMark/>
          </w:tcPr>
          <w:p w14:paraId="7C9342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37F1FB40" w14:textId="77777777" w:rsidTr="00ED0631">
        <w:trPr>
          <w:trHeight w:val="315"/>
        </w:trPr>
        <w:tc>
          <w:tcPr>
            <w:tcW w:w="2080" w:type="dxa"/>
            <w:tcBorders>
              <w:top w:val="nil"/>
              <w:left w:val="nil"/>
              <w:bottom w:val="single" w:sz="4" w:space="0" w:color="auto"/>
              <w:right w:val="nil"/>
            </w:tcBorders>
            <w:shd w:val="clear" w:color="auto" w:fill="auto"/>
            <w:noWrap/>
            <w:vAlign w:val="bottom"/>
            <w:hideMark/>
          </w:tcPr>
          <w:p w14:paraId="41AFB5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80" w:type="dxa"/>
            <w:tcBorders>
              <w:top w:val="nil"/>
              <w:left w:val="nil"/>
              <w:bottom w:val="single" w:sz="4" w:space="0" w:color="auto"/>
              <w:right w:val="nil"/>
            </w:tcBorders>
            <w:shd w:val="clear" w:color="auto" w:fill="auto"/>
            <w:noWrap/>
            <w:vAlign w:val="bottom"/>
            <w:hideMark/>
          </w:tcPr>
          <w:p w14:paraId="0CE096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HH</w:t>
            </w:r>
          </w:p>
        </w:tc>
        <w:tc>
          <w:tcPr>
            <w:tcW w:w="891" w:type="dxa"/>
            <w:tcBorders>
              <w:top w:val="nil"/>
              <w:left w:val="nil"/>
              <w:bottom w:val="single" w:sz="4" w:space="0" w:color="auto"/>
              <w:right w:val="nil"/>
            </w:tcBorders>
            <w:shd w:val="clear" w:color="auto" w:fill="auto"/>
            <w:noWrap/>
            <w:vAlign w:val="bottom"/>
            <w:hideMark/>
          </w:tcPr>
          <w:p w14:paraId="1EEC6E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518" w:type="dxa"/>
            <w:gridSpan w:val="2"/>
            <w:tcBorders>
              <w:top w:val="single" w:sz="4" w:space="0" w:color="auto"/>
              <w:left w:val="nil"/>
              <w:bottom w:val="single" w:sz="4" w:space="0" w:color="auto"/>
              <w:right w:val="nil"/>
            </w:tcBorders>
            <w:shd w:val="clear" w:color="auto" w:fill="auto"/>
            <w:noWrap/>
            <w:vAlign w:val="bottom"/>
            <w:hideMark/>
          </w:tcPr>
          <w:p w14:paraId="6F5F5C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Meeting </w:t>
            </w:r>
          </w:p>
        </w:tc>
        <w:tc>
          <w:tcPr>
            <w:tcW w:w="1559" w:type="dxa"/>
            <w:gridSpan w:val="2"/>
            <w:tcBorders>
              <w:top w:val="single" w:sz="4" w:space="0" w:color="auto"/>
              <w:left w:val="nil"/>
              <w:bottom w:val="single" w:sz="4" w:space="0" w:color="auto"/>
              <w:right w:val="nil"/>
            </w:tcBorders>
            <w:shd w:val="clear" w:color="auto" w:fill="auto"/>
            <w:noWrap/>
            <w:vAlign w:val="bottom"/>
            <w:hideMark/>
          </w:tcPr>
          <w:p w14:paraId="385B8A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Function </w:t>
            </w:r>
          </w:p>
        </w:tc>
        <w:tc>
          <w:tcPr>
            <w:tcW w:w="942" w:type="dxa"/>
            <w:tcBorders>
              <w:top w:val="nil"/>
              <w:left w:val="nil"/>
              <w:bottom w:val="single" w:sz="4" w:space="0" w:color="auto"/>
              <w:right w:val="nil"/>
            </w:tcBorders>
            <w:shd w:val="clear" w:color="auto" w:fill="auto"/>
            <w:noWrap/>
            <w:vAlign w:val="bottom"/>
            <w:hideMark/>
          </w:tcPr>
          <w:p w14:paraId="2ADE70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Teacher </w:t>
            </w:r>
          </w:p>
        </w:tc>
        <w:tc>
          <w:tcPr>
            <w:tcW w:w="759" w:type="dxa"/>
            <w:tcBorders>
              <w:top w:val="nil"/>
              <w:left w:val="nil"/>
              <w:bottom w:val="single" w:sz="4" w:space="0" w:color="auto"/>
              <w:right w:val="nil"/>
            </w:tcBorders>
            <w:shd w:val="clear" w:color="auto" w:fill="auto"/>
            <w:noWrap/>
            <w:vAlign w:val="bottom"/>
            <w:hideMark/>
          </w:tcPr>
          <w:p w14:paraId="3291AA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15" w:type="dxa"/>
            <w:tcBorders>
              <w:top w:val="nil"/>
              <w:left w:val="nil"/>
              <w:bottom w:val="single" w:sz="4" w:space="0" w:color="auto"/>
              <w:right w:val="nil"/>
            </w:tcBorders>
            <w:shd w:val="clear" w:color="auto" w:fill="auto"/>
            <w:noWrap/>
            <w:vAlign w:val="bottom"/>
            <w:hideMark/>
          </w:tcPr>
          <w:p w14:paraId="193AFE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Progress </w:t>
            </w:r>
          </w:p>
        </w:tc>
        <w:tc>
          <w:tcPr>
            <w:tcW w:w="759" w:type="dxa"/>
            <w:tcBorders>
              <w:top w:val="nil"/>
              <w:left w:val="nil"/>
              <w:bottom w:val="single" w:sz="4" w:space="0" w:color="auto"/>
              <w:right w:val="nil"/>
            </w:tcBorders>
            <w:shd w:val="clear" w:color="auto" w:fill="auto"/>
            <w:noWrap/>
            <w:vAlign w:val="bottom"/>
            <w:hideMark/>
          </w:tcPr>
          <w:p w14:paraId="07341A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27" w:type="dxa"/>
            <w:tcBorders>
              <w:top w:val="nil"/>
              <w:left w:val="nil"/>
              <w:bottom w:val="single" w:sz="4" w:space="0" w:color="auto"/>
              <w:right w:val="nil"/>
            </w:tcBorders>
            <w:shd w:val="clear" w:color="auto" w:fill="auto"/>
            <w:noWrap/>
            <w:vAlign w:val="bottom"/>
            <w:hideMark/>
          </w:tcPr>
          <w:p w14:paraId="74DBD5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276" w:type="dxa"/>
            <w:tcBorders>
              <w:top w:val="nil"/>
              <w:left w:val="nil"/>
              <w:bottom w:val="single" w:sz="4" w:space="0" w:color="auto"/>
              <w:right w:val="nil"/>
            </w:tcBorders>
            <w:shd w:val="clear" w:color="auto" w:fill="auto"/>
            <w:noWrap/>
            <w:vAlign w:val="bottom"/>
            <w:hideMark/>
          </w:tcPr>
          <w:p w14:paraId="3093FA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4FC61380" w14:textId="77777777" w:rsidTr="00ED0631">
        <w:trPr>
          <w:trHeight w:val="315"/>
        </w:trPr>
        <w:tc>
          <w:tcPr>
            <w:tcW w:w="2080" w:type="dxa"/>
            <w:tcBorders>
              <w:top w:val="nil"/>
              <w:left w:val="nil"/>
              <w:bottom w:val="single" w:sz="4" w:space="0" w:color="auto"/>
              <w:right w:val="nil"/>
            </w:tcBorders>
            <w:shd w:val="clear" w:color="auto" w:fill="auto"/>
            <w:noWrap/>
            <w:vAlign w:val="bottom"/>
            <w:hideMark/>
          </w:tcPr>
          <w:p w14:paraId="59408A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80" w:type="dxa"/>
            <w:tcBorders>
              <w:top w:val="nil"/>
              <w:left w:val="nil"/>
              <w:bottom w:val="single" w:sz="4" w:space="0" w:color="auto"/>
              <w:right w:val="nil"/>
            </w:tcBorders>
            <w:shd w:val="clear" w:color="auto" w:fill="auto"/>
            <w:noWrap/>
            <w:vAlign w:val="bottom"/>
            <w:hideMark/>
          </w:tcPr>
          <w:p w14:paraId="1C1728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891" w:type="dxa"/>
            <w:tcBorders>
              <w:top w:val="nil"/>
              <w:left w:val="nil"/>
              <w:bottom w:val="single" w:sz="4" w:space="0" w:color="auto"/>
              <w:right w:val="nil"/>
            </w:tcBorders>
            <w:shd w:val="clear" w:color="auto" w:fill="auto"/>
            <w:noWrap/>
            <w:vAlign w:val="bottom"/>
            <w:hideMark/>
          </w:tcPr>
          <w:p w14:paraId="3F8857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 Enrolled children</w:t>
            </w:r>
          </w:p>
        </w:tc>
        <w:tc>
          <w:tcPr>
            <w:tcW w:w="759" w:type="dxa"/>
            <w:tcBorders>
              <w:top w:val="nil"/>
              <w:left w:val="nil"/>
              <w:bottom w:val="single" w:sz="4" w:space="0" w:color="auto"/>
              <w:right w:val="nil"/>
            </w:tcBorders>
            <w:shd w:val="clear" w:color="auto" w:fill="auto"/>
            <w:noWrap/>
            <w:vAlign w:val="bottom"/>
            <w:hideMark/>
          </w:tcPr>
          <w:p w14:paraId="6C820A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59" w:type="dxa"/>
            <w:tcBorders>
              <w:top w:val="nil"/>
              <w:left w:val="nil"/>
              <w:bottom w:val="single" w:sz="4" w:space="0" w:color="auto"/>
              <w:right w:val="nil"/>
            </w:tcBorders>
            <w:shd w:val="clear" w:color="auto" w:fill="auto"/>
            <w:noWrap/>
            <w:vAlign w:val="bottom"/>
            <w:hideMark/>
          </w:tcPr>
          <w:p w14:paraId="53D07E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800" w:type="dxa"/>
            <w:tcBorders>
              <w:top w:val="nil"/>
              <w:left w:val="nil"/>
              <w:bottom w:val="single" w:sz="4" w:space="0" w:color="auto"/>
              <w:right w:val="nil"/>
            </w:tcBorders>
            <w:shd w:val="clear" w:color="auto" w:fill="auto"/>
            <w:noWrap/>
            <w:vAlign w:val="bottom"/>
            <w:hideMark/>
          </w:tcPr>
          <w:p w14:paraId="008A92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59" w:type="dxa"/>
            <w:tcBorders>
              <w:top w:val="nil"/>
              <w:left w:val="nil"/>
              <w:bottom w:val="single" w:sz="4" w:space="0" w:color="auto"/>
              <w:right w:val="nil"/>
            </w:tcBorders>
            <w:shd w:val="clear" w:color="auto" w:fill="auto"/>
            <w:noWrap/>
            <w:vAlign w:val="bottom"/>
            <w:hideMark/>
          </w:tcPr>
          <w:p w14:paraId="5F142E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942" w:type="dxa"/>
            <w:tcBorders>
              <w:top w:val="nil"/>
              <w:left w:val="nil"/>
              <w:bottom w:val="single" w:sz="4" w:space="0" w:color="auto"/>
              <w:right w:val="nil"/>
            </w:tcBorders>
            <w:shd w:val="clear" w:color="auto" w:fill="auto"/>
            <w:noWrap/>
            <w:vAlign w:val="bottom"/>
            <w:hideMark/>
          </w:tcPr>
          <w:p w14:paraId="243DB8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59" w:type="dxa"/>
            <w:tcBorders>
              <w:top w:val="nil"/>
              <w:left w:val="nil"/>
              <w:bottom w:val="single" w:sz="4" w:space="0" w:color="auto"/>
              <w:right w:val="nil"/>
            </w:tcBorders>
            <w:shd w:val="clear" w:color="auto" w:fill="auto"/>
            <w:noWrap/>
            <w:vAlign w:val="bottom"/>
            <w:hideMark/>
          </w:tcPr>
          <w:p w14:paraId="6EEEB2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915" w:type="dxa"/>
            <w:tcBorders>
              <w:top w:val="nil"/>
              <w:left w:val="nil"/>
              <w:bottom w:val="single" w:sz="4" w:space="0" w:color="auto"/>
              <w:right w:val="nil"/>
            </w:tcBorders>
            <w:shd w:val="clear" w:color="auto" w:fill="auto"/>
            <w:noWrap/>
            <w:vAlign w:val="bottom"/>
            <w:hideMark/>
          </w:tcPr>
          <w:p w14:paraId="563DFF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59" w:type="dxa"/>
            <w:tcBorders>
              <w:top w:val="nil"/>
              <w:left w:val="nil"/>
              <w:bottom w:val="single" w:sz="4" w:space="0" w:color="auto"/>
              <w:right w:val="nil"/>
            </w:tcBorders>
            <w:shd w:val="clear" w:color="auto" w:fill="auto"/>
            <w:noWrap/>
            <w:vAlign w:val="bottom"/>
            <w:hideMark/>
          </w:tcPr>
          <w:p w14:paraId="237A81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827" w:type="dxa"/>
            <w:tcBorders>
              <w:top w:val="nil"/>
              <w:left w:val="nil"/>
              <w:bottom w:val="single" w:sz="4" w:space="0" w:color="auto"/>
              <w:right w:val="nil"/>
            </w:tcBorders>
            <w:shd w:val="clear" w:color="auto" w:fill="auto"/>
            <w:noWrap/>
            <w:vAlign w:val="bottom"/>
            <w:hideMark/>
          </w:tcPr>
          <w:p w14:paraId="2DCAE3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1276" w:type="dxa"/>
            <w:tcBorders>
              <w:top w:val="nil"/>
              <w:left w:val="nil"/>
              <w:bottom w:val="single" w:sz="4" w:space="0" w:color="auto"/>
              <w:right w:val="nil"/>
            </w:tcBorders>
            <w:shd w:val="clear" w:color="auto" w:fill="auto"/>
            <w:noWrap/>
            <w:vAlign w:val="bottom"/>
            <w:hideMark/>
          </w:tcPr>
          <w:p w14:paraId="5B89C7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r>
      <w:tr w:rsidR="00AC362E" w:rsidRPr="00491EF1" w14:paraId="6A9BE00A" w14:textId="77777777" w:rsidTr="00ED0631">
        <w:trPr>
          <w:trHeight w:val="315"/>
        </w:trPr>
        <w:tc>
          <w:tcPr>
            <w:tcW w:w="2080" w:type="dxa"/>
            <w:tcBorders>
              <w:top w:val="nil"/>
              <w:left w:val="nil"/>
              <w:bottom w:val="nil"/>
              <w:right w:val="nil"/>
            </w:tcBorders>
            <w:shd w:val="clear" w:color="auto" w:fill="auto"/>
            <w:noWrap/>
            <w:vAlign w:val="bottom"/>
            <w:hideMark/>
          </w:tcPr>
          <w:p w14:paraId="7CE6EC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680" w:type="dxa"/>
            <w:tcBorders>
              <w:top w:val="nil"/>
              <w:left w:val="nil"/>
              <w:bottom w:val="nil"/>
              <w:right w:val="nil"/>
            </w:tcBorders>
            <w:shd w:val="clear" w:color="auto" w:fill="auto"/>
            <w:noWrap/>
            <w:vAlign w:val="bottom"/>
            <w:hideMark/>
          </w:tcPr>
          <w:p w14:paraId="421132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55 </w:t>
            </w:r>
          </w:p>
        </w:tc>
        <w:tc>
          <w:tcPr>
            <w:tcW w:w="891" w:type="dxa"/>
            <w:tcBorders>
              <w:top w:val="nil"/>
              <w:left w:val="nil"/>
              <w:bottom w:val="nil"/>
              <w:right w:val="nil"/>
            </w:tcBorders>
            <w:shd w:val="clear" w:color="auto" w:fill="auto"/>
            <w:noWrap/>
            <w:vAlign w:val="bottom"/>
            <w:hideMark/>
          </w:tcPr>
          <w:p w14:paraId="28DBCF4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107</w:t>
            </w:r>
          </w:p>
        </w:tc>
        <w:tc>
          <w:tcPr>
            <w:tcW w:w="759" w:type="dxa"/>
            <w:tcBorders>
              <w:top w:val="nil"/>
              <w:left w:val="nil"/>
              <w:bottom w:val="nil"/>
              <w:right w:val="nil"/>
            </w:tcBorders>
            <w:shd w:val="clear" w:color="auto" w:fill="auto"/>
            <w:noWrap/>
            <w:vAlign w:val="bottom"/>
            <w:hideMark/>
          </w:tcPr>
          <w:p w14:paraId="13AB58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759" w:type="dxa"/>
            <w:tcBorders>
              <w:top w:val="nil"/>
              <w:left w:val="nil"/>
              <w:bottom w:val="nil"/>
              <w:right w:val="nil"/>
            </w:tcBorders>
            <w:shd w:val="clear" w:color="auto" w:fill="auto"/>
            <w:noWrap/>
            <w:vAlign w:val="bottom"/>
            <w:hideMark/>
          </w:tcPr>
          <w:p w14:paraId="2F7840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0.4 </w:t>
            </w:r>
          </w:p>
        </w:tc>
        <w:tc>
          <w:tcPr>
            <w:tcW w:w="800" w:type="dxa"/>
            <w:tcBorders>
              <w:top w:val="nil"/>
              <w:left w:val="nil"/>
              <w:bottom w:val="nil"/>
              <w:right w:val="nil"/>
            </w:tcBorders>
            <w:shd w:val="clear" w:color="auto" w:fill="auto"/>
            <w:noWrap/>
            <w:vAlign w:val="bottom"/>
            <w:hideMark/>
          </w:tcPr>
          <w:p w14:paraId="3344A4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77 </w:t>
            </w:r>
          </w:p>
        </w:tc>
        <w:tc>
          <w:tcPr>
            <w:tcW w:w="759" w:type="dxa"/>
            <w:tcBorders>
              <w:top w:val="nil"/>
              <w:left w:val="nil"/>
              <w:bottom w:val="nil"/>
              <w:right w:val="nil"/>
            </w:tcBorders>
            <w:shd w:val="clear" w:color="auto" w:fill="auto"/>
            <w:noWrap/>
            <w:vAlign w:val="bottom"/>
            <w:hideMark/>
          </w:tcPr>
          <w:p w14:paraId="6B60C0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0.7 </w:t>
            </w:r>
          </w:p>
        </w:tc>
        <w:tc>
          <w:tcPr>
            <w:tcW w:w="942" w:type="dxa"/>
            <w:tcBorders>
              <w:top w:val="nil"/>
              <w:left w:val="nil"/>
              <w:bottom w:val="nil"/>
              <w:right w:val="nil"/>
            </w:tcBorders>
            <w:shd w:val="clear" w:color="auto" w:fill="auto"/>
            <w:noWrap/>
            <w:vAlign w:val="bottom"/>
            <w:hideMark/>
          </w:tcPr>
          <w:p w14:paraId="79D5DD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67 </w:t>
            </w:r>
          </w:p>
        </w:tc>
        <w:tc>
          <w:tcPr>
            <w:tcW w:w="759" w:type="dxa"/>
            <w:tcBorders>
              <w:top w:val="nil"/>
              <w:left w:val="nil"/>
              <w:bottom w:val="nil"/>
              <w:right w:val="nil"/>
            </w:tcBorders>
            <w:shd w:val="clear" w:color="auto" w:fill="auto"/>
            <w:noWrap/>
            <w:vAlign w:val="bottom"/>
            <w:hideMark/>
          </w:tcPr>
          <w:p w14:paraId="1C90E1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915" w:type="dxa"/>
            <w:tcBorders>
              <w:top w:val="nil"/>
              <w:left w:val="nil"/>
              <w:bottom w:val="nil"/>
              <w:right w:val="nil"/>
            </w:tcBorders>
            <w:shd w:val="clear" w:color="auto" w:fill="auto"/>
            <w:noWrap/>
            <w:vAlign w:val="bottom"/>
            <w:hideMark/>
          </w:tcPr>
          <w:p w14:paraId="7D3632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73 </w:t>
            </w:r>
          </w:p>
        </w:tc>
        <w:tc>
          <w:tcPr>
            <w:tcW w:w="759" w:type="dxa"/>
            <w:tcBorders>
              <w:top w:val="nil"/>
              <w:left w:val="nil"/>
              <w:bottom w:val="nil"/>
              <w:right w:val="nil"/>
            </w:tcBorders>
            <w:shd w:val="clear" w:color="auto" w:fill="auto"/>
            <w:noWrap/>
            <w:vAlign w:val="bottom"/>
            <w:hideMark/>
          </w:tcPr>
          <w:p w14:paraId="234405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0.7 </w:t>
            </w:r>
          </w:p>
        </w:tc>
        <w:tc>
          <w:tcPr>
            <w:tcW w:w="827" w:type="dxa"/>
            <w:tcBorders>
              <w:top w:val="nil"/>
              <w:left w:val="nil"/>
              <w:bottom w:val="nil"/>
              <w:right w:val="nil"/>
            </w:tcBorders>
            <w:shd w:val="clear" w:color="auto" w:fill="auto"/>
            <w:noWrap/>
            <w:vAlign w:val="bottom"/>
            <w:hideMark/>
          </w:tcPr>
          <w:p w14:paraId="0395A3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260 </w:t>
            </w:r>
          </w:p>
        </w:tc>
        <w:tc>
          <w:tcPr>
            <w:tcW w:w="1276" w:type="dxa"/>
            <w:tcBorders>
              <w:top w:val="nil"/>
              <w:left w:val="nil"/>
              <w:bottom w:val="nil"/>
              <w:right w:val="nil"/>
            </w:tcBorders>
            <w:shd w:val="clear" w:color="auto" w:fill="auto"/>
            <w:noWrap/>
            <w:vAlign w:val="bottom"/>
            <w:hideMark/>
          </w:tcPr>
          <w:p w14:paraId="1EBD98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2.43 </w:t>
            </w:r>
          </w:p>
        </w:tc>
      </w:tr>
      <w:tr w:rsidR="00AC362E" w:rsidRPr="00491EF1" w14:paraId="7D798F14" w14:textId="77777777" w:rsidTr="00ED0631">
        <w:trPr>
          <w:trHeight w:val="315"/>
        </w:trPr>
        <w:tc>
          <w:tcPr>
            <w:tcW w:w="2080" w:type="dxa"/>
            <w:tcBorders>
              <w:top w:val="nil"/>
              <w:left w:val="nil"/>
              <w:bottom w:val="nil"/>
              <w:right w:val="nil"/>
            </w:tcBorders>
            <w:shd w:val="clear" w:color="auto" w:fill="auto"/>
            <w:noWrap/>
            <w:vAlign w:val="bottom"/>
            <w:hideMark/>
          </w:tcPr>
          <w:p w14:paraId="78EECB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680" w:type="dxa"/>
            <w:tcBorders>
              <w:top w:val="nil"/>
              <w:left w:val="nil"/>
              <w:bottom w:val="nil"/>
              <w:right w:val="nil"/>
            </w:tcBorders>
            <w:shd w:val="clear" w:color="auto" w:fill="auto"/>
            <w:noWrap/>
            <w:vAlign w:val="bottom"/>
            <w:hideMark/>
          </w:tcPr>
          <w:p w14:paraId="7BF769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58 </w:t>
            </w:r>
          </w:p>
        </w:tc>
        <w:tc>
          <w:tcPr>
            <w:tcW w:w="891" w:type="dxa"/>
            <w:tcBorders>
              <w:top w:val="nil"/>
              <w:left w:val="nil"/>
              <w:bottom w:val="nil"/>
              <w:right w:val="nil"/>
            </w:tcBorders>
            <w:shd w:val="clear" w:color="auto" w:fill="auto"/>
            <w:noWrap/>
            <w:vAlign w:val="bottom"/>
            <w:hideMark/>
          </w:tcPr>
          <w:p w14:paraId="5DA98A0A"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105</w:t>
            </w:r>
          </w:p>
        </w:tc>
        <w:tc>
          <w:tcPr>
            <w:tcW w:w="759" w:type="dxa"/>
            <w:tcBorders>
              <w:top w:val="nil"/>
              <w:left w:val="nil"/>
              <w:bottom w:val="nil"/>
              <w:right w:val="nil"/>
            </w:tcBorders>
            <w:shd w:val="clear" w:color="auto" w:fill="auto"/>
            <w:noWrap/>
            <w:vAlign w:val="bottom"/>
            <w:hideMark/>
          </w:tcPr>
          <w:p w14:paraId="4C2182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130 </w:t>
            </w:r>
          </w:p>
        </w:tc>
        <w:tc>
          <w:tcPr>
            <w:tcW w:w="759" w:type="dxa"/>
            <w:tcBorders>
              <w:top w:val="nil"/>
              <w:left w:val="nil"/>
              <w:bottom w:val="nil"/>
              <w:right w:val="nil"/>
            </w:tcBorders>
            <w:shd w:val="clear" w:color="auto" w:fill="auto"/>
            <w:noWrap/>
            <w:vAlign w:val="bottom"/>
            <w:hideMark/>
          </w:tcPr>
          <w:p w14:paraId="3CAA15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800" w:type="dxa"/>
            <w:tcBorders>
              <w:top w:val="nil"/>
              <w:left w:val="nil"/>
              <w:bottom w:val="nil"/>
              <w:right w:val="nil"/>
            </w:tcBorders>
            <w:shd w:val="clear" w:color="auto" w:fill="auto"/>
            <w:noWrap/>
            <w:vAlign w:val="bottom"/>
            <w:hideMark/>
          </w:tcPr>
          <w:p w14:paraId="640F30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98 </w:t>
            </w:r>
          </w:p>
        </w:tc>
        <w:tc>
          <w:tcPr>
            <w:tcW w:w="759" w:type="dxa"/>
            <w:tcBorders>
              <w:top w:val="nil"/>
              <w:left w:val="nil"/>
              <w:bottom w:val="nil"/>
              <w:right w:val="nil"/>
            </w:tcBorders>
            <w:shd w:val="clear" w:color="auto" w:fill="auto"/>
            <w:noWrap/>
            <w:vAlign w:val="bottom"/>
            <w:hideMark/>
          </w:tcPr>
          <w:p w14:paraId="35D581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0.9 </w:t>
            </w:r>
          </w:p>
        </w:tc>
        <w:tc>
          <w:tcPr>
            <w:tcW w:w="942" w:type="dxa"/>
            <w:tcBorders>
              <w:top w:val="nil"/>
              <w:left w:val="nil"/>
              <w:bottom w:val="nil"/>
              <w:right w:val="nil"/>
            </w:tcBorders>
            <w:shd w:val="clear" w:color="auto" w:fill="auto"/>
            <w:noWrap/>
            <w:vAlign w:val="bottom"/>
            <w:hideMark/>
          </w:tcPr>
          <w:p w14:paraId="5ACBEC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54 </w:t>
            </w:r>
          </w:p>
        </w:tc>
        <w:tc>
          <w:tcPr>
            <w:tcW w:w="759" w:type="dxa"/>
            <w:tcBorders>
              <w:top w:val="nil"/>
              <w:left w:val="nil"/>
              <w:bottom w:val="nil"/>
              <w:right w:val="nil"/>
            </w:tcBorders>
            <w:shd w:val="clear" w:color="auto" w:fill="auto"/>
            <w:noWrap/>
            <w:vAlign w:val="bottom"/>
            <w:hideMark/>
          </w:tcPr>
          <w:p w14:paraId="5C3842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915" w:type="dxa"/>
            <w:tcBorders>
              <w:top w:val="nil"/>
              <w:left w:val="nil"/>
              <w:bottom w:val="nil"/>
              <w:right w:val="nil"/>
            </w:tcBorders>
            <w:shd w:val="clear" w:color="auto" w:fill="auto"/>
            <w:noWrap/>
            <w:vAlign w:val="bottom"/>
            <w:hideMark/>
          </w:tcPr>
          <w:p w14:paraId="756276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74 </w:t>
            </w:r>
          </w:p>
        </w:tc>
        <w:tc>
          <w:tcPr>
            <w:tcW w:w="759" w:type="dxa"/>
            <w:tcBorders>
              <w:top w:val="nil"/>
              <w:left w:val="nil"/>
              <w:bottom w:val="nil"/>
              <w:right w:val="nil"/>
            </w:tcBorders>
            <w:shd w:val="clear" w:color="auto" w:fill="auto"/>
            <w:noWrap/>
            <w:vAlign w:val="bottom"/>
            <w:hideMark/>
          </w:tcPr>
          <w:p w14:paraId="5D6931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0.7 </w:t>
            </w:r>
          </w:p>
        </w:tc>
        <w:tc>
          <w:tcPr>
            <w:tcW w:w="827" w:type="dxa"/>
            <w:tcBorders>
              <w:top w:val="nil"/>
              <w:left w:val="nil"/>
              <w:bottom w:val="nil"/>
              <w:right w:val="nil"/>
            </w:tcBorders>
            <w:shd w:val="clear" w:color="auto" w:fill="auto"/>
            <w:noWrap/>
            <w:vAlign w:val="bottom"/>
            <w:hideMark/>
          </w:tcPr>
          <w:p w14:paraId="27A247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356 </w:t>
            </w:r>
          </w:p>
        </w:tc>
        <w:tc>
          <w:tcPr>
            <w:tcW w:w="1276" w:type="dxa"/>
            <w:tcBorders>
              <w:top w:val="nil"/>
              <w:left w:val="nil"/>
              <w:bottom w:val="nil"/>
              <w:right w:val="nil"/>
            </w:tcBorders>
            <w:shd w:val="clear" w:color="auto" w:fill="auto"/>
            <w:noWrap/>
            <w:vAlign w:val="bottom"/>
            <w:hideMark/>
          </w:tcPr>
          <w:p w14:paraId="179656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3.39 </w:t>
            </w:r>
          </w:p>
        </w:tc>
      </w:tr>
      <w:tr w:rsidR="00AC362E" w:rsidRPr="00491EF1" w14:paraId="59ED029E" w14:textId="77777777" w:rsidTr="00ED0631">
        <w:trPr>
          <w:trHeight w:val="315"/>
        </w:trPr>
        <w:tc>
          <w:tcPr>
            <w:tcW w:w="2080" w:type="dxa"/>
            <w:tcBorders>
              <w:top w:val="nil"/>
              <w:left w:val="nil"/>
              <w:bottom w:val="nil"/>
              <w:right w:val="nil"/>
            </w:tcBorders>
            <w:shd w:val="clear" w:color="auto" w:fill="auto"/>
            <w:noWrap/>
            <w:vAlign w:val="bottom"/>
            <w:hideMark/>
          </w:tcPr>
          <w:p w14:paraId="3B72DA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680" w:type="dxa"/>
            <w:tcBorders>
              <w:top w:val="nil"/>
              <w:left w:val="nil"/>
              <w:bottom w:val="nil"/>
              <w:right w:val="nil"/>
            </w:tcBorders>
            <w:shd w:val="clear" w:color="auto" w:fill="auto"/>
            <w:noWrap/>
            <w:vAlign w:val="bottom"/>
            <w:hideMark/>
          </w:tcPr>
          <w:p w14:paraId="4037C0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46 </w:t>
            </w:r>
          </w:p>
        </w:tc>
        <w:tc>
          <w:tcPr>
            <w:tcW w:w="891" w:type="dxa"/>
            <w:tcBorders>
              <w:top w:val="nil"/>
              <w:left w:val="nil"/>
              <w:bottom w:val="nil"/>
              <w:right w:val="nil"/>
            </w:tcBorders>
            <w:shd w:val="clear" w:color="auto" w:fill="auto"/>
            <w:noWrap/>
            <w:vAlign w:val="bottom"/>
            <w:hideMark/>
          </w:tcPr>
          <w:p w14:paraId="35E191F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86</w:t>
            </w:r>
          </w:p>
        </w:tc>
        <w:tc>
          <w:tcPr>
            <w:tcW w:w="759" w:type="dxa"/>
            <w:tcBorders>
              <w:top w:val="nil"/>
              <w:left w:val="nil"/>
              <w:bottom w:val="nil"/>
              <w:right w:val="nil"/>
            </w:tcBorders>
            <w:shd w:val="clear" w:color="auto" w:fill="auto"/>
            <w:noWrap/>
            <w:vAlign w:val="bottom"/>
            <w:hideMark/>
          </w:tcPr>
          <w:p w14:paraId="29A9C7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759" w:type="dxa"/>
            <w:tcBorders>
              <w:top w:val="nil"/>
              <w:left w:val="nil"/>
              <w:bottom w:val="nil"/>
              <w:right w:val="nil"/>
            </w:tcBorders>
            <w:shd w:val="clear" w:color="auto" w:fill="auto"/>
            <w:noWrap/>
            <w:vAlign w:val="bottom"/>
            <w:hideMark/>
          </w:tcPr>
          <w:p w14:paraId="714E2B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0.4 </w:t>
            </w:r>
          </w:p>
        </w:tc>
        <w:tc>
          <w:tcPr>
            <w:tcW w:w="800" w:type="dxa"/>
            <w:tcBorders>
              <w:top w:val="nil"/>
              <w:left w:val="nil"/>
              <w:bottom w:val="nil"/>
              <w:right w:val="nil"/>
            </w:tcBorders>
            <w:shd w:val="clear" w:color="auto" w:fill="auto"/>
            <w:noWrap/>
            <w:vAlign w:val="bottom"/>
            <w:hideMark/>
          </w:tcPr>
          <w:p w14:paraId="5EF92E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63 </w:t>
            </w:r>
          </w:p>
        </w:tc>
        <w:tc>
          <w:tcPr>
            <w:tcW w:w="759" w:type="dxa"/>
            <w:tcBorders>
              <w:top w:val="nil"/>
              <w:left w:val="nil"/>
              <w:bottom w:val="nil"/>
              <w:right w:val="nil"/>
            </w:tcBorders>
            <w:shd w:val="clear" w:color="auto" w:fill="auto"/>
            <w:noWrap/>
            <w:vAlign w:val="bottom"/>
            <w:hideMark/>
          </w:tcPr>
          <w:p w14:paraId="188AC4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0.7 </w:t>
            </w:r>
          </w:p>
        </w:tc>
        <w:tc>
          <w:tcPr>
            <w:tcW w:w="942" w:type="dxa"/>
            <w:tcBorders>
              <w:top w:val="nil"/>
              <w:left w:val="nil"/>
              <w:bottom w:val="nil"/>
              <w:right w:val="nil"/>
            </w:tcBorders>
            <w:shd w:val="clear" w:color="auto" w:fill="auto"/>
            <w:noWrap/>
            <w:vAlign w:val="bottom"/>
            <w:hideMark/>
          </w:tcPr>
          <w:p w14:paraId="1EAB7E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 </w:t>
            </w:r>
          </w:p>
        </w:tc>
        <w:tc>
          <w:tcPr>
            <w:tcW w:w="759" w:type="dxa"/>
            <w:tcBorders>
              <w:top w:val="nil"/>
              <w:left w:val="nil"/>
              <w:bottom w:val="nil"/>
              <w:right w:val="nil"/>
            </w:tcBorders>
            <w:shd w:val="clear" w:color="auto" w:fill="auto"/>
            <w:noWrap/>
            <w:vAlign w:val="bottom"/>
            <w:hideMark/>
          </w:tcPr>
          <w:p w14:paraId="342692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915" w:type="dxa"/>
            <w:tcBorders>
              <w:top w:val="nil"/>
              <w:left w:val="nil"/>
              <w:bottom w:val="nil"/>
              <w:right w:val="nil"/>
            </w:tcBorders>
            <w:shd w:val="clear" w:color="auto" w:fill="auto"/>
            <w:noWrap/>
            <w:vAlign w:val="bottom"/>
            <w:hideMark/>
          </w:tcPr>
          <w:p w14:paraId="46C67D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39 </w:t>
            </w:r>
          </w:p>
        </w:tc>
        <w:tc>
          <w:tcPr>
            <w:tcW w:w="759" w:type="dxa"/>
            <w:tcBorders>
              <w:top w:val="nil"/>
              <w:left w:val="nil"/>
              <w:bottom w:val="nil"/>
              <w:right w:val="nil"/>
            </w:tcBorders>
            <w:shd w:val="clear" w:color="auto" w:fill="auto"/>
            <w:noWrap/>
            <w:vAlign w:val="bottom"/>
            <w:hideMark/>
          </w:tcPr>
          <w:p w14:paraId="47D594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 </w:t>
            </w:r>
          </w:p>
        </w:tc>
        <w:tc>
          <w:tcPr>
            <w:tcW w:w="827" w:type="dxa"/>
            <w:tcBorders>
              <w:top w:val="nil"/>
              <w:left w:val="nil"/>
              <w:bottom w:val="nil"/>
              <w:right w:val="nil"/>
            </w:tcBorders>
            <w:shd w:val="clear" w:color="auto" w:fill="auto"/>
            <w:noWrap/>
            <w:vAlign w:val="bottom"/>
            <w:hideMark/>
          </w:tcPr>
          <w:p w14:paraId="67AD75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173 </w:t>
            </w:r>
          </w:p>
        </w:tc>
        <w:tc>
          <w:tcPr>
            <w:tcW w:w="1276" w:type="dxa"/>
            <w:tcBorders>
              <w:top w:val="nil"/>
              <w:left w:val="nil"/>
              <w:bottom w:val="nil"/>
              <w:right w:val="nil"/>
            </w:tcBorders>
            <w:shd w:val="clear" w:color="auto" w:fill="auto"/>
            <w:noWrap/>
            <w:vAlign w:val="bottom"/>
            <w:hideMark/>
          </w:tcPr>
          <w:p w14:paraId="047D67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2.01 </w:t>
            </w:r>
          </w:p>
        </w:tc>
      </w:tr>
      <w:tr w:rsidR="00AC362E" w:rsidRPr="00491EF1" w14:paraId="2D1FC517" w14:textId="77777777" w:rsidTr="00ED0631">
        <w:trPr>
          <w:trHeight w:val="315"/>
        </w:trPr>
        <w:tc>
          <w:tcPr>
            <w:tcW w:w="2080" w:type="dxa"/>
            <w:tcBorders>
              <w:top w:val="nil"/>
              <w:left w:val="nil"/>
              <w:bottom w:val="nil"/>
              <w:right w:val="nil"/>
            </w:tcBorders>
            <w:shd w:val="clear" w:color="auto" w:fill="auto"/>
            <w:noWrap/>
            <w:vAlign w:val="bottom"/>
            <w:hideMark/>
          </w:tcPr>
          <w:p w14:paraId="748A41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680" w:type="dxa"/>
            <w:tcBorders>
              <w:top w:val="nil"/>
              <w:left w:val="nil"/>
              <w:bottom w:val="nil"/>
              <w:right w:val="nil"/>
            </w:tcBorders>
            <w:shd w:val="clear" w:color="auto" w:fill="auto"/>
            <w:noWrap/>
            <w:vAlign w:val="bottom"/>
            <w:hideMark/>
          </w:tcPr>
          <w:p w14:paraId="76F592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42 </w:t>
            </w:r>
          </w:p>
        </w:tc>
        <w:tc>
          <w:tcPr>
            <w:tcW w:w="891" w:type="dxa"/>
            <w:tcBorders>
              <w:top w:val="nil"/>
              <w:left w:val="nil"/>
              <w:bottom w:val="nil"/>
              <w:right w:val="nil"/>
            </w:tcBorders>
            <w:shd w:val="clear" w:color="auto" w:fill="auto"/>
            <w:noWrap/>
            <w:vAlign w:val="bottom"/>
            <w:hideMark/>
          </w:tcPr>
          <w:p w14:paraId="460ECEEB"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75</w:t>
            </w:r>
          </w:p>
        </w:tc>
        <w:tc>
          <w:tcPr>
            <w:tcW w:w="759" w:type="dxa"/>
            <w:tcBorders>
              <w:top w:val="nil"/>
              <w:left w:val="nil"/>
              <w:bottom w:val="nil"/>
              <w:right w:val="nil"/>
            </w:tcBorders>
            <w:shd w:val="clear" w:color="auto" w:fill="auto"/>
            <w:noWrap/>
            <w:vAlign w:val="bottom"/>
            <w:hideMark/>
          </w:tcPr>
          <w:p w14:paraId="4124E9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 </w:t>
            </w:r>
          </w:p>
        </w:tc>
        <w:tc>
          <w:tcPr>
            <w:tcW w:w="759" w:type="dxa"/>
            <w:tcBorders>
              <w:top w:val="nil"/>
              <w:left w:val="nil"/>
              <w:bottom w:val="nil"/>
              <w:right w:val="nil"/>
            </w:tcBorders>
            <w:shd w:val="clear" w:color="auto" w:fill="auto"/>
            <w:noWrap/>
            <w:vAlign w:val="bottom"/>
            <w:hideMark/>
          </w:tcPr>
          <w:p w14:paraId="4022D02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0.1 </w:t>
            </w:r>
          </w:p>
        </w:tc>
        <w:tc>
          <w:tcPr>
            <w:tcW w:w="800" w:type="dxa"/>
            <w:tcBorders>
              <w:top w:val="nil"/>
              <w:left w:val="nil"/>
              <w:bottom w:val="nil"/>
              <w:right w:val="nil"/>
            </w:tcBorders>
            <w:shd w:val="clear" w:color="auto" w:fill="auto"/>
            <w:noWrap/>
            <w:vAlign w:val="bottom"/>
            <w:hideMark/>
          </w:tcPr>
          <w:p w14:paraId="129830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73 </w:t>
            </w:r>
          </w:p>
        </w:tc>
        <w:tc>
          <w:tcPr>
            <w:tcW w:w="759" w:type="dxa"/>
            <w:tcBorders>
              <w:top w:val="nil"/>
              <w:left w:val="nil"/>
              <w:bottom w:val="nil"/>
              <w:right w:val="nil"/>
            </w:tcBorders>
            <w:shd w:val="clear" w:color="auto" w:fill="auto"/>
            <w:noWrap/>
            <w:vAlign w:val="bottom"/>
            <w:hideMark/>
          </w:tcPr>
          <w:p w14:paraId="7393F6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942" w:type="dxa"/>
            <w:tcBorders>
              <w:top w:val="nil"/>
              <w:left w:val="nil"/>
              <w:bottom w:val="nil"/>
              <w:right w:val="nil"/>
            </w:tcBorders>
            <w:shd w:val="clear" w:color="auto" w:fill="auto"/>
            <w:noWrap/>
            <w:vAlign w:val="bottom"/>
            <w:hideMark/>
          </w:tcPr>
          <w:p w14:paraId="0E56B7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31 </w:t>
            </w:r>
          </w:p>
        </w:tc>
        <w:tc>
          <w:tcPr>
            <w:tcW w:w="759" w:type="dxa"/>
            <w:tcBorders>
              <w:top w:val="nil"/>
              <w:left w:val="nil"/>
              <w:bottom w:val="nil"/>
              <w:right w:val="nil"/>
            </w:tcBorders>
            <w:shd w:val="clear" w:color="auto" w:fill="auto"/>
            <w:noWrap/>
            <w:vAlign w:val="bottom"/>
            <w:hideMark/>
          </w:tcPr>
          <w:p w14:paraId="2FCE07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915" w:type="dxa"/>
            <w:tcBorders>
              <w:top w:val="nil"/>
              <w:left w:val="nil"/>
              <w:bottom w:val="nil"/>
              <w:right w:val="nil"/>
            </w:tcBorders>
            <w:shd w:val="clear" w:color="auto" w:fill="auto"/>
            <w:noWrap/>
            <w:vAlign w:val="bottom"/>
            <w:hideMark/>
          </w:tcPr>
          <w:p w14:paraId="0DF261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759" w:type="dxa"/>
            <w:tcBorders>
              <w:top w:val="nil"/>
              <w:left w:val="nil"/>
              <w:bottom w:val="nil"/>
              <w:right w:val="nil"/>
            </w:tcBorders>
            <w:shd w:val="clear" w:color="auto" w:fill="auto"/>
            <w:noWrap/>
            <w:vAlign w:val="bottom"/>
            <w:hideMark/>
          </w:tcPr>
          <w:p w14:paraId="268CD6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 </w:t>
            </w:r>
          </w:p>
        </w:tc>
        <w:tc>
          <w:tcPr>
            <w:tcW w:w="827" w:type="dxa"/>
            <w:tcBorders>
              <w:top w:val="nil"/>
              <w:left w:val="nil"/>
              <w:bottom w:val="nil"/>
              <w:right w:val="nil"/>
            </w:tcBorders>
            <w:shd w:val="clear" w:color="auto" w:fill="auto"/>
            <w:noWrap/>
            <w:vAlign w:val="bottom"/>
            <w:hideMark/>
          </w:tcPr>
          <w:p w14:paraId="0404C7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148 </w:t>
            </w:r>
          </w:p>
        </w:tc>
        <w:tc>
          <w:tcPr>
            <w:tcW w:w="1276" w:type="dxa"/>
            <w:tcBorders>
              <w:top w:val="nil"/>
              <w:left w:val="nil"/>
              <w:bottom w:val="nil"/>
              <w:right w:val="nil"/>
            </w:tcBorders>
            <w:shd w:val="clear" w:color="auto" w:fill="auto"/>
            <w:noWrap/>
            <w:vAlign w:val="bottom"/>
            <w:hideMark/>
          </w:tcPr>
          <w:p w14:paraId="4657B0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1.97 </w:t>
            </w:r>
          </w:p>
        </w:tc>
      </w:tr>
      <w:tr w:rsidR="00AC362E" w:rsidRPr="00491EF1" w14:paraId="25A0A8A4" w14:textId="77777777" w:rsidTr="00ED0631">
        <w:trPr>
          <w:trHeight w:val="315"/>
        </w:trPr>
        <w:tc>
          <w:tcPr>
            <w:tcW w:w="2080" w:type="dxa"/>
            <w:tcBorders>
              <w:top w:val="nil"/>
              <w:left w:val="nil"/>
              <w:bottom w:val="nil"/>
              <w:right w:val="nil"/>
            </w:tcBorders>
            <w:shd w:val="clear" w:color="auto" w:fill="auto"/>
            <w:noWrap/>
            <w:vAlign w:val="bottom"/>
            <w:hideMark/>
          </w:tcPr>
          <w:p w14:paraId="36D8CA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680" w:type="dxa"/>
            <w:tcBorders>
              <w:top w:val="nil"/>
              <w:left w:val="nil"/>
              <w:bottom w:val="nil"/>
              <w:right w:val="nil"/>
            </w:tcBorders>
            <w:shd w:val="clear" w:color="auto" w:fill="auto"/>
            <w:noWrap/>
            <w:vAlign w:val="bottom"/>
            <w:hideMark/>
          </w:tcPr>
          <w:p w14:paraId="35DBF9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49 </w:t>
            </w:r>
          </w:p>
        </w:tc>
        <w:tc>
          <w:tcPr>
            <w:tcW w:w="891" w:type="dxa"/>
            <w:tcBorders>
              <w:top w:val="nil"/>
              <w:left w:val="nil"/>
              <w:bottom w:val="nil"/>
              <w:right w:val="nil"/>
            </w:tcBorders>
            <w:shd w:val="clear" w:color="auto" w:fill="auto"/>
            <w:noWrap/>
            <w:vAlign w:val="bottom"/>
            <w:hideMark/>
          </w:tcPr>
          <w:p w14:paraId="52F2BA77"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100</w:t>
            </w:r>
          </w:p>
        </w:tc>
        <w:tc>
          <w:tcPr>
            <w:tcW w:w="759" w:type="dxa"/>
            <w:tcBorders>
              <w:top w:val="nil"/>
              <w:left w:val="nil"/>
              <w:bottom w:val="nil"/>
              <w:right w:val="nil"/>
            </w:tcBorders>
            <w:shd w:val="clear" w:color="auto" w:fill="auto"/>
            <w:noWrap/>
            <w:vAlign w:val="bottom"/>
            <w:hideMark/>
          </w:tcPr>
          <w:p w14:paraId="44E84A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32 </w:t>
            </w:r>
          </w:p>
        </w:tc>
        <w:tc>
          <w:tcPr>
            <w:tcW w:w="759" w:type="dxa"/>
            <w:tcBorders>
              <w:top w:val="nil"/>
              <w:left w:val="nil"/>
              <w:bottom w:val="nil"/>
              <w:right w:val="nil"/>
            </w:tcBorders>
            <w:shd w:val="clear" w:color="auto" w:fill="auto"/>
            <w:noWrap/>
            <w:vAlign w:val="bottom"/>
            <w:hideMark/>
          </w:tcPr>
          <w:p w14:paraId="1E8DB0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0.3 </w:t>
            </w:r>
          </w:p>
        </w:tc>
        <w:tc>
          <w:tcPr>
            <w:tcW w:w="800" w:type="dxa"/>
            <w:tcBorders>
              <w:top w:val="nil"/>
              <w:left w:val="nil"/>
              <w:bottom w:val="nil"/>
              <w:right w:val="nil"/>
            </w:tcBorders>
            <w:shd w:val="clear" w:color="auto" w:fill="auto"/>
            <w:noWrap/>
            <w:vAlign w:val="bottom"/>
            <w:hideMark/>
          </w:tcPr>
          <w:p w14:paraId="3CB01D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86 </w:t>
            </w:r>
          </w:p>
        </w:tc>
        <w:tc>
          <w:tcPr>
            <w:tcW w:w="759" w:type="dxa"/>
            <w:tcBorders>
              <w:top w:val="nil"/>
              <w:left w:val="nil"/>
              <w:bottom w:val="nil"/>
              <w:right w:val="nil"/>
            </w:tcBorders>
            <w:shd w:val="clear" w:color="auto" w:fill="auto"/>
            <w:noWrap/>
            <w:vAlign w:val="bottom"/>
            <w:hideMark/>
          </w:tcPr>
          <w:p w14:paraId="4B6F9B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0.9 </w:t>
            </w:r>
          </w:p>
        </w:tc>
        <w:tc>
          <w:tcPr>
            <w:tcW w:w="942" w:type="dxa"/>
            <w:tcBorders>
              <w:top w:val="nil"/>
              <w:left w:val="nil"/>
              <w:bottom w:val="nil"/>
              <w:right w:val="nil"/>
            </w:tcBorders>
            <w:shd w:val="clear" w:color="auto" w:fill="auto"/>
            <w:noWrap/>
            <w:vAlign w:val="bottom"/>
            <w:hideMark/>
          </w:tcPr>
          <w:p w14:paraId="13ADE1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23 </w:t>
            </w:r>
          </w:p>
        </w:tc>
        <w:tc>
          <w:tcPr>
            <w:tcW w:w="759" w:type="dxa"/>
            <w:tcBorders>
              <w:top w:val="nil"/>
              <w:left w:val="nil"/>
              <w:bottom w:val="nil"/>
              <w:right w:val="nil"/>
            </w:tcBorders>
            <w:shd w:val="clear" w:color="auto" w:fill="auto"/>
            <w:noWrap/>
            <w:vAlign w:val="bottom"/>
            <w:hideMark/>
          </w:tcPr>
          <w:p w14:paraId="10B9A7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0.2 </w:t>
            </w:r>
          </w:p>
        </w:tc>
        <w:tc>
          <w:tcPr>
            <w:tcW w:w="915" w:type="dxa"/>
            <w:tcBorders>
              <w:top w:val="nil"/>
              <w:left w:val="nil"/>
              <w:bottom w:val="nil"/>
              <w:right w:val="nil"/>
            </w:tcBorders>
            <w:shd w:val="clear" w:color="auto" w:fill="auto"/>
            <w:noWrap/>
            <w:vAlign w:val="bottom"/>
            <w:hideMark/>
          </w:tcPr>
          <w:p w14:paraId="3D5857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 </w:t>
            </w:r>
          </w:p>
        </w:tc>
        <w:tc>
          <w:tcPr>
            <w:tcW w:w="759" w:type="dxa"/>
            <w:tcBorders>
              <w:top w:val="nil"/>
              <w:left w:val="nil"/>
              <w:bottom w:val="nil"/>
              <w:right w:val="nil"/>
            </w:tcBorders>
            <w:shd w:val="clear" w:color="auto" w:fill="auto"/>
            <w:noWrap/>
            <w:vAlign w:val="bottom"/>
            <w:hideMark/>
          </w:tcPr>
          <w:p w14:paraId="01178E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0.2 </w:t>
            </w:r>
          </w:p>
        </w:tc>
        <w:tc>
          <w:tcPr>
            <w:tcW w:w="827" w:type="dxa"/>
            <w:tcBorders>
              <w:top w:val="nil"/>
              <w:left w:val="nil"/>
              <w:bottom w:val="nil"/>
              <w:right w:val="nil"/>
            </w:tcBorders>
            <w:shd w:val="clear" w:color="auto" w:fill="auto"/>
            <w:noWrap/>
            <w:vAlign w:val="bottom"/>
            <w:hideMark/>
          </w:tcPr>
          <w:p w14:paraId="7FCE78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160 </w:t>
            </w:r>
          </w:p>
        </w:tc>
        <w:tc>
          <w:tcPr>
            <w:tcW w:w="1276" w:type="dxa"/>
            <w:tcBorders>
              <w:top w:val="nil"/>
              <w:left w:val="nil"/>
              <w:bottom w:val="nil"/>
              <w:right w:val="nil"/>
            </w:tcBorders>
            <w:shd w:val="clear" w:color="auto" w:fill="auto"/>
            <w:noWrap/>
            <w:vAlign w:val="bottom"/>
            <w:hideMark/>
          </w:tcPr>
          <w:p w14:paraId="2EE86C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1.60 </w:t>
            </w:r>
          </w:p>
        </w:tc>
      </w:tr>
      <w:tr w:rsidR="00AC362E" w:rsidRPr="00491EF1" w14:paraId="6E5ED5FB" w14:textId="77777777" w:rsidTr="00ED0631">
        <w:trPr>
          <w:trHeight w:val="315"/>
        </w:trPr>
        <w:tc>
          <w:tcPr>
            <w:tcW w:w="2080" w:type="dxa"/>
            <w:tcBorders>
              <w:top w:val="nil"/>
              <w:left w:val="nil"/>
              <w:bottom w:val="nil"/>
              <w:right w:val="nil"/>
            </w:tcBorders>
            <w:shd w:val="clear" w:color="auto" w:fill="auto"/>
            <w:noWrap/>
            <w:vAlign w:val="bottom"/>
            <w:hideMark/>
          </w:tcPr>
          <w:p w14:paraId="1F7259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680" w:type="dxa"/>
            <w:tcBorders>
              <w:top w:val="nil"/>
              <w:left w:val="nil"/>
              <w:bottom w:val="nil"/>
              <w:right w:val="nil"/>
            </w:tcBorders>
            <w:shd w:val="clear" w:color="auto" w:fill="auto"/>
            <w:noWrap/>
            <w:vAlign w:val="bottom"/>
            <w:hideMark/>
          </w:tcPr>
          <w:p w14:paraId="00DF2B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39 </w:t>
            </w:r>
          </w:p>
        </w:tc>
        <w:tc>
          <w:tcPr>
            <w:tcW w:w="891" w:type="dxa"/>
            <w:tcBorders>
              <w:top w:val="nil"/>
              <w:left w:val="nil"/>
              <w:bottom w:val="nil"/>
              <w:right w:val="nil"/>
            </w:tcBorders>
            <w:shd w:val="clear" w:color="auto" w:fill="auto"/>
            <w:noWrap/>
            <w:vAlign w:val="bottom"/>
            <w:hideMark/>
          </w:tcPr>
          <w:p w14:paraId="0C9F73A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82</w:t>
            </w:r>
          </w:p>
        </w:tc>
        <w:tc>
          <w:tcPr>
            <w:tcW w:w="759" w:type="dxa"/>
            <w:tcBorders>
              <w:top w:val="nil"/>
              <w:left w:val="nil"/>
              <w:bottom w:val="nil"/>
              <w:right w:val="nil"/>
            </w:tcBorders>
            <w:shd w:val="clear" w:color="auto" w:fill="auto"/>
            <w:noWrap/>
            <w:vAlign w:val="bottom"/>
            <w:hideMark/>
          </w:tcPr>
          <w:p w14:paraId="5C2543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 </w:t>
            </w:r>
          </w:p>
        </w:tc>
        <w:tc>
          <w:tcPr>
            <w:tcW w:w="759" w:type="dxa"/>
            <w:tcBorders>
              <w:top w:val="nil"/>
              <w:left w:val="nil"/>
              <w:bottom w:val="nil"/>
              <w:right w:val="nil"/>
            </w:tcBorders>
            <w:shd w:val="clear" w:color="auto" w:fill="auto"/>
            <w:noWrap/>
            <w:vAlign w:val="bottom"/>
            <w:hideMark/>
          </w:tcPr>
          <w:p w14:paraId="1C8A76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0.4 </w:t>
            </w:r>
          </w:p>
        </w:tc>
        <w:tc>
          <w:tcPr>
            <w:tcW w:w="800" w:type="dxa"/>
            <w:tcBorders>
              <w:top w:val="nil"/>
              <w:left w:val="nil"/>
              <w:bottom w:val="nil"/>
              <w:right w:val="nil"/>
            </w:tcBorders>
            <w:shd w:val="clear" w:color="auto" w:fill="auto"/>
            <w:noWrap/>
            <w:vAlign w:val="bottom"/>
            <w:hideMark/>
          </w:tcPr>
          <w:p w14:paraId="0700FD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41 </w:t>
            </w:r>
          </w:p>
        </w:tc>
        <w:tc>
          <w:tcPr>
            <w:tcW w:w="759" w:type="dxa"/>
            <w:tcBorders>
              <w:top w:val="nil"/>
              <w:left w:val="nil"/>
              <w:bottom w:val="nil"/>
              <w:right w:val="nil"/>
            </w:tcBorders>
            <w:shd w:val="clear" w:color="auto" w:fill="auto"/>
            <w:noWrap/>
            <w:vAlign w:val="bottom"/>
            <w:hideMark/>
          </w:tcPr>
          <w:p w14:paraId="4BF984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942" w:type="dxa"/>
            <w:tcBorders>
              <w:top w:val="nil"/>
              <w:left w:val="nil"/>
              <w:bottom w:val="nil"/>
              <w:right w:val="nil"/>
            </w:tcBorders>
            <w:shd w:val="clear" w:color="auto" w:fill="auto"/>
            <w:noWrap/>
            <w:vAlign w:val="bottom"/>
            <w:hideMark/>
          </w:tcPr>
          <w:p w14:paraId="3E57C2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23 </w:t>
            </w:r>
          </w:p>
        </w:tc>
        <w:tc>
          <w:tcPr>
            <w:tcW w:w="759" w:type="dxa"/>
            <w:tcBorders>
              <w:top w:val="nil"/>
              <w:left w:val="nil"/>
              <w:bottom w:val="nil"/>
              <w:right w:val="nil"/>
            </w:tcBorders>
            <w:shd w:val="clear" w:color="auto" w:fill="auto"/>
            <w:noWrap/>
            <w:vAlign w:val="bottom"/>
            <w:hideMark/>
          </w:tcPr>
          <w:p w14:paraId="47BC0D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915" w:type="dxa"/>
            <w:tcBorders>
              <w:top w:val="nil"/>
              <w:left w:val="nil"/>
              <w:bottom w:val="nil"/>
              <w:right w:val="nil"/>
            </w:tcBorders>
            <w:shd w:val="clear" w:color="auto" w:fill="auto"/>
            <w:noWrap/>
            <w:vAlign w:val="bottom"/>
            <w:hideMark/>
          </w:tcPr>
          <w:p w14:paraId="1451F7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49 </w:t>
            </w:r>
          </w:p>
        </w:tc>
        <w:tc>
          <w:tcPr>
            <w:tcW w:w="759" w:type="dxa"/>
            <w:tcBorders>
              <w:top w:val="nil"/>
              <w:left w:val="nil"/>
              <w:bottom w:val="nil"/>
              <w:right w:val="nil"/>
            </w:tcBorders>
            <w:shd w:val="clear" w:color="auto" w:fill="auto"/>
            <w:noWrap/>
            <w:vAlign w:val="bottom"/>
            <w:hideMark/>
          </w:tcPr>
          <w:p w14:paraId="277F6B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 </w:t>
            </w:r>
          </w:p>
        </w:tc>
        <w:tc>
          <w:tcPr>
            <w:tcW w:w="827" w:type="dxa"/>
            <w:tcBorders>
              <w:top w:val="nil"/>
              <w:left w:val="nil"/>
              <w:bottom w:val="nil"/>
              <w:right w:val="nil"/>
            </w:tcBorders>
            <w:shd w:val="clear" w:color="auto" w:fill="auto"/>
            <w:noWrap/>
            <w:vAlign w:val="bottom"/>
            <w:hideMark/>
          </w:tcPr>
          <w:p w14:paraId="5E5321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149 </w:t>
            </w:r>
          </w:p>
        </w:tc>
        <w:tc>
          <w:tcPr>
            <w:tcW w:w="1276" w:type="dxa"/>
            <w:tcBorders>
              <w:top w:val="nil"/>
              <w:left w:val="nil"/>
              <w:bottom w:val="nil"/>
              <w:right w:val="nil"/>
            </w:tcBorders>
            <w:shd w:val="clear" w:color="auto" w:fill="auto"/>
            <w:noWrap/>
            <w:vAlign w:val="bottom"/>
            <w:hideMark/>
          </w:tcPr>
          <w:p w14:paraId="36296D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1.82 </w:t>
            </w:r>
          </w:p>
        </w:tc>
      </w:tr>
      <w:tr w:rsidR="00AC362E" w:rsidRPr="00491EF1" w14:paraId="374E0EA6" w14:textId="77777777" w:rsidTr="00ED0631">
        <w:trPr>
          <w:trHeight w:val="315"/>
        </w:trPr>
        <w:tc>
          <w:tcPr>
            <w:tcW w:w="2080" w:type="dxa"/>
            <w:tcBorders>
              <w:top w:val="nil"/>
              <w:left w:val="nil"/>
              <w:bottom w:val="nil"/>
              <w:right w:val="nil"/>
            </w:tcBorders>
            <w:shd w:val="clear" w:color="auto" w:fill="auto"/>
            <w:noWrap/>
            <w:vAlign w:val="bottom"/>
            <w:hideMark/>
          </w:tcPr>
          <w:p w14:paraId="4743F5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680" w:type="dxa"/>
            <w:tcBorders>
              <w:top w:val="nil"/>
              <w:left w:val="nil"/>
              <w:bottom w:val="nil"/>
              <w:right w:val="nil"/>
            </w:tcBorders>
            <w:shd w:val="clear" w:color="auto" w:fill="auto"/>
            <w:noWrap/>
            <w:vAlign w:val="bottom"/>
            <w:hideMark/>
          </w:tcPr>
          <w:p w14:paraId="1540FC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43 </w:t>
            </w:r>
          </w:p>
        </w:tc>
        <w:tc>
          <w:tcPr>
            <w:tcW w:w="891" w:type="dxa"/>
            <w:tcBorders>
              <w:top w:val="nil"/>
              <w:left w:val="nil"/>
              <w:bottom w:val="nil"/>
              <w:right w:val="nil"/>
            </w:tcBorders>
            <w:shd w:val="clear" w:color="auto" w:fill="auto"/>
            <w:noWrap/>
            <w:vAlign w:val="bottom"/>
            <w:hideMark/>
          </w:tcPr>
          <w:p w14:paraId="7917EBB8"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96</w:t>
            </w:r>
          </w:p>
        </w:tc>
        <w:tc>
          <w:tcPr>
            <w:tcW w:w="759" w:type="dxa"/>
            <w:tcBorders>
              <w:top w:val="nil"/>
              <w:left w:val="nil"/>
              <w:bottom w:val="nil"/>
              <w:right w:val="nil"/>
            </w:tcBorders>
            <w:shd w:val="clear" w:color="auto" w:fill="auto"/>
            <w:noWrap/>
            <w:vAlign w:val="bottom"/>
            <w:hideMark/>
          </w:tcPr>
          <w:p w14:paraId="25BADE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 </w:t>
            </w:r>
          </w:p>
        </w:tc>
        <w:tc>
          <w:tcPr>
            <w:tcW w:w="759" w:type="dxa"/>
            <w:tcBorders>
              <w:top w:val="nil"/>
              <w:left w:val="nil"/>
              <w:bottom w:val="nil"/>
              <w:right w:val="nil"/>
            </w:tcBorders>
            <w:shd w:val="clear" w:color="auto" w:fill="auto"/>
            <w:noWrap/>
            <w:vAlign w:val="bottom"/>
            <w:hideMark/>
          </w:tcPr>
          <w:p w14:paraId="0CFEE9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0.1 </w:t>
            </w:r>
          </w:p>
        </w:tc>
        <w:tc>
          <w:tcPr>
            <w:tcW w:w="800" w:type="dxa"/>
            <w:tcBorders>
              <w:top w:val="nil"/>
              <w:left w:val="nil"/>
              <w:bottom w:val="nil"/>
              <w:right w:val="nil"/>
            </w:tcBorders>
            <w:shd w:val="clear" w:color="auto" w:fill="auto"/>
            <w:noWrap/>
            <w:vAlign w:val="bottom"/>
            <w:hideMark/>
          </w:tcPr>
          <w:p w14:paraId="2A4F9C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59 </w:t>
            </w:r>
          </w:p>
        </w:tc>
        <w:tc>
          <w:tcPr>
            <w:tcW w:w="759" w:type="dxa"/>
            <w:tcBorders>
              <w:top w:val="nil"/>
              <w:left w:val="nil"/>
              <w:bottom w:val="nil"/>
              <w:right w:val="nil"/>
            </w:tcBorders>
            <w:shd w:val="clear" w:color="auto" w:fill="auto"/>
            <w:noWrap/>
            <w:vAlign w:val="bottom"/>
            <w:hideMark/>
          </w:tcPr>
          <w:p w14:paraId="4B2EEB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942" w:type="dxa"/>
            <w:tcBorders>
              <w:top w:val="nil"/>
              <w:left w:val="nil"/>
              <w:bottom w:val="nil"/>
              <w:right w:val="nil"/>
            </w:tcBorders>
            <w:shd w:val="clear" w:color="auto" w:fill="auto"/>
            <w:noWrap/>
            <w:vAlign w:val="bottom"/>
            <w:hideMark/>
          </w:tcPr>
          <w:p w14:paraId="620A01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 </w:t>
            </w:r>
          </w:p>
        </w:tc>
        <w:tc>
          <w:tcPr>
            <w:tcW w:w="759" w:type="dxa"/>
            <w:tcBorders>
              <w:top w:val="nil"/>
              <w:left w:val="nil"/>
              <w:bottom w:val="nil"/>
              <w:right w:val="nil"/>
            </w:tcBorders>
            <w:shd w:val="clear" w:color="auto" w:fill="auto"/>
            <w:noWrap/>
            <w:vAlign w:val="bottom"/>
            <w:hideMark/>
          </w:tcPr>
          <w:p w14:paraId="34E843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915" w:type="dxa"/>
            <w:tcBorders>
              <w:top w:val="nil"/>
              <w:left w:val="nil"/>
              <w:bottom w:val="nil"/>
              <w:right w:val="nil"/>
            </w:tcBorders>
            <w:shd w:val="clear" w:color="auto" w:fill="auto"/>
            <w:noWrap/>
            <w:vAlign w:val="bottom"/>
            <w:hideMark/>
          </w:tcPr>
          <w:p w14:paraId="4D7706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759" w:type="dxa"/>
            <w:tcBorders>
              <w:top w:val="nil"/>
              <w:left w:val="nil"/>
              <w:bottom w:val="nil"/>
              <w:right w:val="nil"/>
            </w:tcBorders>
            <w:shd w:val="clear" w:color="auto" w:fill="auto"/>
            <w:noWrap/>
            <w:vAlign w:val="bottom"/>
            <w:hideMark/>
          </w:tcPr>
          <w:p w14:paraId="6A4036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0.1 </w:t>
            </w:r>
          </w:p>
        </w:tc>
        <w:tc>
          <w:tcPr>
            <w:tcW w:w="827" w:type="dxa"/>
            <w:tcBorders>
              <w:top w:val="nil"/>
              <w:left w:val="nil"/>
              <w:bottom w:val="nil"/>
              <w:right w:val="nil"/>
            </w:tcBorders>
            <w:shd w:val="clear" w:color="auto" w:fill="auto"/>
            <w:noWrap/>
            <w:vAlign w:val="bottom"/>
            <w:hideMark/>
          </w:tcPr>
          <w:p w14:paraId="3C7333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103 </w:t>
            </w:r>
          </w:p>
        </w:tc>
        <w:tc>
          <w:tcPr>
            <w:tcW w:w="1276" w:type="dxa"/>
            <w:tcBorders>
              <w:top w:val="nil"/>
              <w:left w:val="nil"/>
              <w:bottom w:val="nil"/>
              <w:right w:val="nil"/>
            </w:tcBorders>
            <w:shd w:val="clear" w:color="auto" w:fill="auto"/>
            <w:noWrap/>
            <w:vAlign w:val="bottom"/>
            <w:hideMark/>
          </w:tcPr>
          <w:p w14:paraId="2A7A77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1.07 </w:t>
            </w:r>
          </w:p>
        </w:tc>
      </w:tr>
      <w:tr w:rsidR="00AC362E" w:rsidRPr="00491EF1" w14:paraId="73C1A293" w14:textId="77777777" w:rsidTr="00ED0631">
        <w:trPr>
          <w:trHeight w:val="315"/>
        </w:trPr>
        <w:tc>
          <w:tcPr>
            <w:tcW w:w="2080" w:type="dxa"/>
            <w:tcBorders>
              <w:top w:val="nil"/>
              <w:left w:val="nil"/>
              <w:bottom w:val="nil"/>
              <w:right w:val="nil"/>
            </w:tcBorders>
            <w:shd w:val="clear" w:color="auto" w:fill="auto"/>
            <w:noWrap/>
            <w:vAlign w:val="bottom"/>
            <w:hideMark/>
          </w:tcPr>
          <w:p w14:paraId="4894D8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680" w:type="dxa"/>
            <w:tcBorders>
              <w:top w:val="nil"/>
              <w:left w:val="nil"/>
              <w:bottom w:val="nil"/>
              <w:right w:val="nil"/>
            </w:tcBorders>
            <w:shd w:val="clear" w:color="auto" w:fill="auto"/>
            <w:noWrap/>
            <w:vAlign w:val="bottom"/>
            <w:hideMark/>
          </w:tcPr>
          <w:p w14:paraId="11385F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44 </w:t>
            </w:r>
          </w:p>
        </w:tc>
        <w:tc>
          <w:tcPr>
            <w:tcW w:w="891" w:type="dxa"/>
            <w:tcBorders>
              <w:top w:val="nil"/>
              <w:left w:val="nil"/>
              <w:bottom w:val="nil"/>
              <w:right w:val="nil"/>
            </w:tcBorders>
            <w:shd w:val="clear" w:color="auto" w:fill="auto"/>
            <w:noWrap/>
            <w:vAlign w:val="bottom"/>
            <w:hideMark/>
          </w:tcPr>
          <w:p w14:paraId="3AA6F71E"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81</w:t>
            </w:r>
          </w:p>
        </w:tc>
        <w:tc>
          <w:tcPr>
            <w:tcW w:w="759" w:type="dxa"/>
            <w:tcBorders>
              <w:top w:val="nil"/>
              <w:left w:val="nil"/>
              <w:bottom w:val="nil"/>
              <w:right w:val="nil"/>
            </w:tcBorders>
            <w:shd w:val="clear" w:color="auto" w:fill="auto"/>
            <w:noWrap/>
            <w:vAlign w:val="bottom"/>
            <w:hideMark/>
          </w:tcPr>
          <w:p w14:paraId="32630A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41 </w:t>
            </w:r>
          </w:p>
        </w:tc>
        <w:tc>
          <w:tcPr>
            <w:tcW w:w="759" w:type="dxa"/>
            <w:tcBorders>
              <w:top w:val="nil"/>
              <w:left w:val="nil"/>
              <w:bottom w:val="nil"/>
              <w:right w:val="nil"/>
            </w:tcBorders>
            <w:shd w:val="clear" w:color="auto" w:fill="auto"/>
            <w:noWrap/>
            <w:vAlign w:val="bottom"/>
            <w:hideMark/>
          </w:tcPr>
          <w:p w14:paraId="1C8BFB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 </w:t>
            </w:r>
          </w:p>
        </w:tc>
        <w:tc>
          <w:tcPr>
            <w:tcW w:w="800" w:type="dxa"/>
            <w:tcBorders>
              <w:top w:val="nil"/>
              <w:left w:val="nil"/>
              <w:bottom w:val="nil"/>
              <w:right w:val="nil"/>
            </w:tcBorders>
            <w:shd w:val="clear" w:color="auto" w:fill="auto"/>
            <w:noWrap/>
            <w:vAlign w:val="bottom"/>
            <w:hideMark/>
          </w:tcPr>
          <w:p w14:paraId="41460D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47 </w:t>
            </w:r>
          </w:p>
        </w:tc>
        <w:tc>
          <w:tcPr>
            <w:tcW w:w="759" w:type="dxa"/>
            <w:tcBorders>
              <w:top w:val="nil"/>
              <w:left w:val="nil"/>
              <w:bottom w:val="nil"/>
              <w:right w:val="nil"/>
            </w:tcBorders>
            <w:shd w:val="clear" w:color="auto" w:fill="auto"/>
            <w:noWrap/>
            <w:vAlign w:val="bottom"/>
            <w:hideMark/>
          </w:tcPr>
          <w:p w14:paraId="37737C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942" w:type="dxa"/>
            <w:tcBorders>
              <w:top w:val="nil"/>
              <w:left w:val="nil"/>
              <w:bottom w:val="nil"/>
              <w:right w:val="nil"/>
            </w:tcBorders>
            <w:shd w:val="clear" w:color="auto" w:fill="auto"/>
            <w:noWrap/>
            <w:vAlign w:val="bottom"/>
            <w:hideMark/>
          </w:tcPr>
          <w:p w14:paraId="647D9F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759" w:type="dxa"/>
            <w:tcBorders>
              <w:top w:val="nil"/>
              <w:left w:val="nil"/>
              <w:bottom w:val="nil"/>
              <w:right w:val="nil"/>
            </w:tcBorders>
            <w:shd w:val="clear" w:color="auto" w:fill="auto"/>
            <w:noWrap/>
            <w:vAlign w:val="bottom"/>
            <w:hideMark/>
          </w:tcPr>
          <w:p w14:paraId="424ED5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915" w:type="dxa"/>
            <w:tcBorders>
              <w:top w:val="nil"/>
              <w:left w:val="nil"/>
              <w:bottom w:val="nil"/>
              <w:right w:val="nil"/>
            </w:tcBorders>
            <w:shd w:val="clear" w:color="auto" w:fill="auto"/>
            <w:noWrap/>
            <w:vAlign w:val="bottom"/>
            <w:hideMark/>
          </w:tcPr>
          <w:p w14:paraId="656F32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47 </w:t>
            </w:r>
          </w:p>
        </w:tc>
        <w:tc>
          <w:tcPr>
            <w:tcW w:w="759" w:type="dxa"/>
            <w:tcBorders>
              <w:top w:val="nil"/>
              <w:left w:val="nil"/>
              <w:bottom w:val="nil"/>
              <w:right w:val="nil"/>
            </w:tcBorders>
            <w:shd w:val="clear" w:color="auto" w:fill="auto"/>
            <w:noWrap/>
            <w:vAlign w:val="bottom"/>
            <w:hideMark/>
          </w:tcPr>
          <w:p w14:paraId="75E155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 </w:t>
            </w:r>
          </w:p>
        </w:tc>
        <w:tc>
          <w:tcPr>
            <w:tcW w:w="827" w:type="dxa"/>
            <w:tcBorders>
              <w:top w:val="nil"/>
              <w:left w:val="nil"/>
              <w:bottom w:val="nil"/>
              <w:right w:val="nil"/>
            </w:tcBorders>
            <w:shd w:val="clear" w:color="auto" w:fill="auto"/>
            <w:noWrap/>
            <w:vAlign w:val="bottom"/>
            <w:hideMark/>
          </w:tcPr>
          <w:p w14:paraId="60A0A5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141 </w:t>
            </w:r>
          </w:p>
        </w:tc>
        <w:tc>
          <w:tcPr>
            <w:tcW w:w="1276" w:type="dxa"/>
            <w:tcBorders>
              <w:top w:val="nil"/>
              <w:left w:val="nil"/>
              <w:bottom w:val="nil"/>
              <w:right w:val="nil"/>
            </w:tcBorders>
            <w:shd w:val="clear" w:color="auto" w:fill="auto"/>
            <w:noWrap/>
            <w:vAlign w:val="bottom"/>
            <w:hideMark/>
          </w:tcPr>
          <w:p w14:paraId="0E0BBF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1.74 </w:t>
            </w:r>
          </w:p>
        </w:tc>
      </w:tr>
      <w:tr w:rsidR="00AC362E" w:rsidRPr="00491EF1" w14:paraId="3B67A10C" w14:textId="77777777" w:rsidTr="00ED0631">
        <w:trPr>
          <w:trHeight w:val="315"/>
        </w:trPr>
        <w:tc>
          <w:tcPr>
            <w:tcW w:w="2080" w:type="dxa"/>
            <w:tcBorders>
              <w:top w:val="nil"/>
              <w:left w:val="nil"/>
              <w:bottom w:val="nil"/>
              <w:right w:val="nil"/>
            </w:tcBorders>
            <w:shd w:val="clear" w:color="auto" w:fill="auto"/>
            <w:noWrap/>
            <w:vAlign w:val="bottom"/>
            <w:hideMark/>
          </w:tcPr>
          <w:p w14:paraId="6686CD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680" w:type="dxa"/>
            <w:tcBorders>
              <w:top w:val="nil"/>
              <w:left w:val="nil"/>
              <w:bottom w:val="nil"/>
              <w:right w:val="nil"/>
            </w:tcBorders>
            <w:shd w:val="clear" w:color="auto" w:fill="auto"/>
            <w:noWrap/>
            <w:vAlign w:val="bottom"/>
            <w:hideMark/>
          </w:tcPr>
          <w:p w14:paraId="5C81AB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149 </w:t>
            </w:r>
          </w:p>
        </w:tc>
        <w:tc>
          <w:tcPr>
            <w:tcW w:w="891" w:type="dxa"/>
            <w:tcBorders>
              <w:top w:val="nil"/>
              <w:left w:val="nil"/>
              <w:bottom w:val="nil"/>
              <w:right w:val="nil"/>
            </w:tcBorders>
            <w:shd w:val="clear" w:color="auto" w:fill="auto"/>
            <w:noWrap/>
            <w:vAlign w:val="bottom"/>
            <w:hideMark/>
          </w:tcPr>
          <w:p w14:paraId="75AF4FF6"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275</w:t>
            </w:r>
          </w:p>
        </w:tc>
        <w:tc>
          <w:tcPr>
            <w:tcW w:w="759" w:type="dxa"/>
            <w:tcBorders>
              <w:top w:val="nil"/>
              <w:left w:val="nil"/>
              <w:bottom w:val="nil"/>
              <w:right w:val="nil"/>
            </w:tcBorders>
            <w:shd w:val="clear" w:color="auto" w:fill="auto"/>
            <w:noWrap/>
            <w:vAlign w:val="bottom"/>
            <w:hideMark/>
          </w:tcPr>
          <w:p w14:paraId="619B8E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 </w:t>
            </w:r>
          </w:p>
        </w:tc>
        <w:tc>
          <w:tcPr>
            <w:tcW w:w="759" w:type="dxa"/>
            <w:tcBorders>
              <w:top w:val="nil"/>
              <w:left w:val="nil"/>
              <w:bottom w:val="nil"/>
              <w:right w:val="nil"/>
            </w:tcBorders>
            <w:shd w:val="clear" w:color="auto" w:fill="auto"/>
            <w:noWrap/>
            <w:vAlign w:val="bottom"/>
            <w:hideMark/>
          </w:tcPr>
          <w:p w14:paraId="27C105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0.1 </w:t>
            </w:r>
          </w:p>
        </w:tc>
        <w:tc>
          <w:tcPr>
            <w:tcW w:w="800" w:type="dxa"/>
            <w:tcBorders>
              <w:top w:val="nil"/>
              <w:left w:val="nil"/>
              <w:bottom w:val="nil"/>
              <w:right w:val="nil"/>
            </w:tcBorders>
            <w:shd w:val="clear" w:color="auto" w:fill="auto"/>
            <w:noWrap/>
            <w:vAlign w:val="bottom"/>
            <w:hideMark/>
          </w:tcPr>
          <w:p w14:paraId="330BCC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247 </w:t>
            </w:r>
          </w:p>
        </w:tc>
        <w:tc>
          <w:tcPr>
            <w:tcW w:w="759" w:type="dxa"/>
            <w:tcBorders>
              <w:top w:val="nil"/>
              <w:left w:val="nil"/>
              <w:bottom w:val="nil"/>
              <w:right w:val="nil"/>
            </w:tcBorders>
            <w:shd w:val="clear" w:color="auto" w:fill="auto"/>
            <w:noWrap/>
            <w:vAlign w:val="bottom"/>
            <w:hideMark/>
          </w:tcPr>
          <w:p w14:paraId="669E03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0.9 </w:t>
            </w:r>
          </w:p>
        </w:tc>
        <w:tc>
          <w:tcPr>
            <w:tcW w:w="942" w:type="dxa"/>
            <w:tcBorders>
              <w:top w:val="nil"/>
              <w:left w:val="nil"/>
              <w:bottom w:val="nil"/>
              <w:right w:val="nil"/>
            </w:tcBorders>
            <w:shd w:val="clear" w:color="auto" w:fill="auto"/>
            <w:noWrap/>
            <w:vAlign w:val="bottom"/>
            <w:hideMark/>
          </w:tcPr>
          <w:p w14:paraId="56F833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165 </w:t>
            </w:r>
          </w:p>
        </w:tc>
        <w:tc>
          <w:tcPr>
            <w:tcW w:w="759" w:type="dxa"/>
            <w:tcBorders>
              <w:top w:val="nil"/>
              <w:left w:val="nil"/>
              <w:bottom w:val="nil"/>
              <w:right w:val="nil"/>
            </w:tcBorders>
            <w:shd w:val="clear" w:color="auto" w:fill="auto"/>
            <w:noWrap/>
            <w:vAlign w:val="bottom"/>
            <w:hideMark/>
          </w:tcPr>
          <w:p w14:paraId="0AD295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915" w:type="dxa"/>
            <w:tcBorders>
              <w:top w:val="nil"/>
              <w:left w:val="nil"/>
              <w:bottom w:val="nil"/>
              <w:right w:val="nil"/>
            </w:tcBorders>
            <w:shd w:val="clear" w:color="auto" w:fill="auto"/>
            <w:noWrap/>
            <w:vAlign w:val="bottom"/>
            <w:hideMark/>
          </w:tcPr>
          <w:p w14:paraId="4BC905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256 </w:t>
            </w:r>
          </w:p>
        </w:tc>
        <w:tc>
          <w:tcPr>
            <w:tcW w:w="759" w:type="dxa"/>
            <w:tcBorders>
              <w:top w:val="nil"/>
              <w:left w:val="nil"/>
              <w:bottom w:val="nil"/>
              <w:right w:val="nil"/>
            </w:tcBorders>
            <w:shd w:val="clear" w:color="auto" w:fill="auto"/>
            <w:noWrap/>
            <w:vAlign w:val="bottom"/>
            <w:hideMark/>
          </w:tcPr>
          <w:p w14:paraId="79ECA16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 </w:t>
            </w:r>
          </w:p>
        </w:tc>
        <w:tc>
          <w:tcPr>
            <w:tcW w:w="827" w:type="dxa"/>
            <w:tcBorders>
              <w:top w:val="nil"/>
              <w:left w:val="nil"/>
              <w:bottom w:val="nil"/>
              <w:right w:val="nil"/>
            </w:tcBorders>
            <w:shd w:val="clear" w:color="auto" w:fill="auto"/>
            <w:noWrap/>
            <w:vAlign w:val="bottom"/>
            <w:hideMark/>
          </w:tcPr>
          <w:p w14:paraId="05F802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687 </w:t>
            </w:r>
          </w:p>
        </w:tc>
        <w:tc>
          <w:tcPr>
            <w:tcW w:w="1276" w:type="dxa"/>
            <w:tcBorders>
              <w:top w:val="nil"/>
              <w:left w:val="nil"/>
              <w:bottom w:val="nil"/>
              <w:right w:val="nil"/>
            </w:tcBorders>
            <w:shd w:val="clear" w:color="auto" w:fill="auto"/>
            <w:noWrap/>
            <w:vAlign w:val="bottom"/>
            <w:hideMark/>
          </w:tcPr>
          <w:p w14:paraId="167256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2.50 </w:t>
            </w:r>
          </w:p>
        </w:tc>
      </w:tr>
      <w:tr w:rsidR="00AC362E" w:rsidRPr="00491EF1" w14:paraId="46703063" w14:textId="77777777" w:rsidTr="00ED0631">
        <w:trPr>
          <w:trHeight w:val="315"/>
        </w:trPr>
        <w:tc>
          <w:tcPr>
            <w:tcW w:w="2080" w:type="dxa"/>
            <w:tcBorders>
              <w:top w:val="nil"/>
              <w:left w:val="nil"/>
              <w:bottom w:val="nil"/>
              <w:right w:val="nil"/>
            </w:tcBorders>
            <w:shd w:val="clear" w:color="auto" w:fill="auto"/>
            <w:noWrap/>
            <w:vAlign w:val="bottom"/>
            <w:hideMark/>
          </w:tcPr>
          <w:p w14:paraId="119A27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680" w:type="dxa"/>
            <w:tcBorders>
              <w:top w:val="nil"/>
              <w:left w:val="nil"/>
              <w:bottom w:val="nil"/>
              <w:right w:val="nil"/>
            </w:tcBorders>
            <w:shd w:val="clear" w:color="auto" w:fill="auto"/>
            <w:noWrap/>
            <w:vAlign w:val="bottom"/>
            <w:hideMark/>
          </w:tcPr>
          <w:p w14:paraId="61F765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47 </w:t>
            </w:r>
          </w:p>
        </w:tc>
        <w:tc>
          <w:tcPr>
            <w:tcW w:w="891" w:type="dxa"/>
            <w:tcBorders>
              <w:top w:val="nil"/>
              <w:left w:val="nil"/>
              <w:bottom w:val="nil"/>
              <w:right w:val="nil"/>
            </w:tcBorders>
            <w:shd w:val="clear" w:color="auto" w:fill="auto"/>
            <w:noWrap/>
            <w:vAlign w:val="bottom"/>
            <w:hideMark/>
          </w:tcPr>
          <w:p w14:paraId="6AF17C23"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66</w:t>
            </w:r>
          </w:p>
        </w:tc>
        <w:tc>
          <w:tcPr>
            <w:tcW w:w="759" w:type="dxa"/>
            <w:tcBorders>
              <w:top w:val="nil"/>
              <w:left w:val="nil"/>
              <w:bottom w:val="nil"/>
              <w:right w:val="nil"/>
            </w:tcBorders>
            <w:shd w:val="clear" w:color="auto" w:fill="auto"/>
            <w:noWrap/>
            <w:vAlign w:val="bottom"/>
            <w:hideMark/>
          </w:tcPr>
          <w:p w14:paraId="4D3430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759" w:type="dxa"/>
            <w:tcBorders>
              <w:top w:val="nil"/>
              <w:left w:val="nil"/>
              <w:bottom w:val="nil"/>
              <w:right w:val="nil"/>
            </w:tcBorders>
            <w:shd w:val="clear" w:color="auto" w:fill="auto"/>
            <w:noWrap/>
            <w:vAlign w:val="bottom"/>
            <w:hideMark/>
          </w:tcPr>
          <w:p w14:paraId="6628B9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0.3 </w:t>
            </w:r>
          </w:p>
        </w:tc>
        <w:tc>
          <w:tcPr>
            <w:tcW w:w="800" w:type="dxa"/>
            <w:tcBorders>
              <w:top w:val="nil"/>
              <w:left w:val="nil"/>
              <w:bottom w:val="nil"/>
              <w:right w:val="nil"/>
            </w:tcBorders>
            <w:shd w:val="clear" w:color="auto" w:fill="auto"/>
            <w:noWrap/>
            <w:vAlign w:val="bottom"/>
            <w:hideMark/>
          </w:tcPr>
          <w:p w14:paraId="435BF3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103 </w:t>
            </w:r>
          </w:p>
        </w:tc>
        <w:tc>
          <w:tcPr>
            <w:tcW w:w="759" w:type="dxa"/>
            <w:tcBorders>
              <w:top w:val="nil"/>
              <w:left w:val="nil"/>
              <w:bottom w:val="nil"/>
              <w:right w:val="nil"/>
            </w:tcBorders>
            <w:shd w:val="clear" w:color="auto" w:fill="auto"/>
            <w:noWrap/>
            <w:vAlign w:val="bottom"/>
            <w:hideMark/>
          </w:tcPr>
          <w:p w14:paraId="398C45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 </w:t>
            </w:r>
          </w:p>
        </w:tc>
        <w:tc>
          <w:tcPr>
            <w:tcW w:w="942" w:type="dxa"/>
            <w:tcBorders>
              <w:top w:val="nil"/>
              <w:left w:val="nil"/>
              <w:bottom w:val="nil"/>
              <w:right w:val="nil"/>
            </w:tcBorders>
            <w:shd w:val="clear" w:color="auto" w:fill="auto"/>
            <w:noWrap/>
            <w:vAlign w:val="bottom"/>
            <w:hideMark/>
          </w:tcPr>
          <w:p w14:paraId="55564F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 </w:t>
            </w:r>
          </w:p>
        </w:tc>
        <w:tc>
          <w:tcPr>
            <w:tcW w:w="759" w:type="dxa"/>
            <w:tcBorders>
              <w:top w:val="nil"/>
              <w:left w:val="nil"/>
              <w:bottom w:val="nil"/>
              <w:right w:val="nil"/>
            </w:tcBorders>
            <w:shd w:val="clear" w:color="auto" w:fill="auto"/>
            <w:noWrap/>
            <w:vAlign w:val="bottom"/>
            <w:hideMark/>
          </w:tcPr>
          <w:p w14:paraId="6B2A45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915" w:type="dxa"/>
            <w:tcBorders>
              <w:top w:val="nil"/>
              <w:left w:val="nil"/>
              <w:bottom w:val="nil"/>
              <w:right w:val="nil"/>
            </w:tcBorders>
            <w:shd w:val="clear" w:color="auto" w:fill="auto"/>
            <w:noWrap/>
            <w:vAlign w:val="bottom"/>
            <w:hideMark/>
          </w:tcPr>
          <w:p w14:paraId="4FC0D7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759" w:type="dxa"/>
            <w:tcBorders>
              <w:top w:val="nil"/>
              <w:left w:val="nil"/>
              <w:bottom w:val="nil"/>
              <w:right w:val="nil"/>
            </w:tcBorders>
            <w:shd w:val="clear" w:color="auto" w:fill="auto"/>
            <w:noWrap/>
            <w:vAlign w:val="bottom"/>
            <w:hideMark/>
          </w:tcPr>
          <w:p w14:paraId="342632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0.1 </w:t>
            </w:r>
          </w:p>
        </w:tc>
        <w:tc>
          <w:tcPr>
            <w:tcW w:w="827" w:type="dxa"/>
            <w:tcBorders>
              <w:top w:val="nil"/>
              <w:left w:val="nil"/>
              <w:bottom w:val="nil"/>
              <w:right w:val="nil"/>
            </w:tcBorders>
            <w:shd w:val="clear" w:color="auto" w:fill="auto"/>
            <w:noWrap/>
            <w:vAlign w:val="bottom"/>
            <w:hideMark/>
          </w:tcPr>
          <w:p w14:paraId="386FCD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165 </w:t>
            </w:r>
          </w:p>
        </w:tc>
        <w:tc>
          <w:tcPr>
            <w:tcW w:w="1276" w:type="dxa"/>
            <w:tcBorders>
              <w:top w:val="nil"/>
              <w:left w:val="nil"/>
              <w:bottom w:val="nil"/>
              <w:right w:val="nil"/>
            </w:tcBorders>
            <w:shd w:val="clear" w:color="auto" w:fill="auto"/>
            <w:noWrap/>
            <w:vAlign w:val="bottom"/>
            <w:hideMark/>
          </w:tcPr>
          <w:p w14:paraId="343DEB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2.50 </w:t>
            </w:r>
          </w:p>
        </w:tc>
      </w:tr>
      <w:tr w:rsidR="00AC362E" w:rsidRPr="00491EF1" w14:paraId="3E4EDA14" w14:textId="77777777" w:rsidTr="00ED0631">
        <w:trPr>
          <w:trHeight w:val="315"/>
        </w:trPr>
        <w:tc>
          <w:tcPr>
            <w:tcW w:w="2080" w:type="dxa"/>
            <w:tcBorders>
              <w:top w:val="single" w:sz="4" w:space="0" w:color="auto"/>
              <w:left w:val="nil"/>
              <w:bottom w:val="single" w:sz="4" w:space="0" w:color="auto"/>
              <w:right w:val="nil"/>
            </w:tcBorders>
            <w:shd w:val="clear" w:color="auto" w:fill="auto"/>
            <w:noWrap/>
            <w:vAlign w:val="bottom"/>
            <w:hideMark/>
          </w:tcPr>
          <w:p w14:paraId="58FD22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680" w:type="dxa"/>
            <w:tcBorders>
              <w:top w:val="single" w:sz="4" w:space="0" w:color="auto"/>
              <w:left w:val="nil"/>
              <w:bottom w:val="single" w:sz="4" w:space="0" w:color="auto"/>
              <w:right w:val="nil"/>
            </w:tcBorders>
            <w:shd w:val="clear" w:color="auto" w:fill="auto"/>
            <w:noWrap/>
            <w:vAlign w:val="bottom"/>
            <w:hideMark/>
          </w:tcPr>
          <w:p w14:paraId="022CEE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572 </w:t>
            </w:r>
          </w:p>
        </w:tc>
        <w:tc>
          <w:tcPr>
            <w:tcW w:w="891" w:type="dxa"/>
            <w:tcBorders>
              <w:top w:val="single" w:sz="4" w:space="0" w:color="auto"/>
              <w:left w:val="nil"/>
              <w:bottom w:val="single" w:sz="4" w:space="0" w:color="auto"/>
              <w:right w:val="nil"/>
            </w:tcBorders>
            <w:shd w:val="clear" w:color="auto" w:fill="auto"/>
            <w:noWrap/>
            <w:vAlign w:val="bottom"/>
            <w:hideMark/>
          </w:tcPr>
          <w:p w14:paraId="10C027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1,073 </w:t>
            </w:r>
          </w:p>
        </w:tc>
        <w:tc>
          <w:tcPr>
            <w:tcW w:w="759" w:type="dxa"/>
            <w:tcBorders>
              <w:top w:val="single" w:sz="4" w:space="0" w:color="auto"/>
              <w:left w:val="nil"/>
              <w:bottom w:val="single" w:sz="4" w:space="0" w:color="auto"/>
              <w:right w:val="nil"/>
            </w:tcBorders>
            <w:shd w:val="clear" w:color="auto" w:fill="auto"/>
            <w:noWrap/>
            <w:vAlign w:val="bottom"/>
            <w:hideMark/>
          </w:tcPr>
          <w:p w14:paraId="36AE52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371 </w:t>
            </w:r>
          </w:p>
        </w:tc>
        <w:tc>
          <w:tcPr>
            <w:tcW w:w="759" w:type="dxa"/>
            <w:tcBorders>
              <w:top w:val="single" w:sz="4" w:space="0" w:color="auto"/>
              <w:left w:val="nil"/>
              <w:bottom w:val="single" w:sz="4" w:space="0" w:color="auto"/>
              <w:right w:val="nil"/>
            </w:tcBorders>
            <w:shd w:val="clear" w:color="auto" w:fill="auto"/>
            <w:noWrap/>
            <w:vAlign w:val="bottom"/>
            <w:hideMark/>
          </w:tcPr>
          <w:p w14:paraId="58A8E5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0.3 </w:t>
            </w:r>
          </w:p>
        </w:tc>
        <w:tc>
          <w:tcPr>
            <w:tcW w:w="800" w:type="dxa"/>
            <w:tcBorders>
              <w:top w:val="single" w:sz="4" w:space="0" w:color="auto"/>
              <w:left w:val="nil"/>
              <w:bottom w:val="single" w:sz="4" w:space="0" w:color="auto"/>
              <w:right w:val="nil"/>
            </w:tcBorders>
            <w:shd w:val="clear" w:color="auto" w:fill="auto"/>
            <w:noWrap/>
            <w:vAlign w:val="bottom"/>
            <w:hideMark/>
          </w:tcPr>
          <w:p w14:paraId="627E9B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894 </w:t>
            </w:r>
          </w:p>
        </w:tc>
        <w:tc>
          <w:tcPr>
            <w:tcW w:w="759" w:type="dxa"/>
            <w:tcBorders>
              <w:top w:val="single" w:sz="4" w:space="0" w:color="auto"/>
              <w:left w:val="nil"/>
              <w:bottom w:val="single" w:sz="4" w:space="0" w:color="auto"/>
              <w:right w:val="nil"/>
            </w:tcBorders>
            <w:shd w:val="clear" w:color="auto" w:fill="auto"/>
            <w:noWrap/>
            <w:vAlign w:val="bottom"/>
            <w:hideMark/>
          </w:tcPr>
          <w:p w14:paraId="2E1785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0.8 </w:t>
            </w:r>
          </w:p>
        </w:tc>
        <w:tc>
          <w:tcPr>
            <w:tcW w:w="942" w:type="dxa"/>
            <w:tcBorders>
              <w:top w:val="single" w:sz="4" w:space="0" w:color="auto"/>
              <w:left w:val="nil"/>
              <w:bottom w:val="single" w:sz="4" w:space="0" w:color="auto"/>
              <w:right w:val="nil"/>
            </w:tcBorders>
            <w:shd w:val="clear" w:color="auto" w:fill="auto"/>
            <w:noWrap/>
            <w:vAlign w:val="bottom"/>
            <w:hideMark/>
          </w:tcPr>
          <w:p w14:paraId="577B8E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465 </w:t>
            </w:r>
          </w:p>
        </w:tc>
        <w:tc>
          <w:tcPr>
            <w:tcW w:w="759" w:type="dxa"/>
            <w:tcBorders>
              <w:top w:val="single" w:sz="4" w:space="0" w:color="auto"/>
              <w:left w:val="nil"/>
              <w:bottom w:val="single" w:sz="4" w:space="0" w:color="auto"/>
              <w:right w:val="nil"/>
            </w:tcBorders>
            <w:shd w:val="clear" w:color="auto" w:fill="auto"/>
            <w:noWrap/>
            <w:vAlign w:val="bottom"/>
            <w:hideMark/>
          </w:tcPr>
          <w:p w14:paraId="3A15C32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915" w:type="dxa"/>
            <w:tcBorders>
              <w:top w:val="single" w:sz="4" w:space="0" w:color="auto"/>
              <w:left w:val="nil"/>
              <w:bottom w:val="single" w:sz="4" w:space="0" w:color="auto"/>
              <w:right w:val="nil"/>
            </w:tcBorders>
            <w:shd w:val="clear" w:color="auto" w:fill="auto"/>
            <w:noWrap/>
            <w:vAlign w:val="bottom"/>
            <w:hideMark/>
          </w:tcPr>
          <w:p w14:paraId="6FED5B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612 </w:t>
            </w:r>
          </w:p>
        </w:tc>
        <w:tc>
          <w:tcPr>
            <w:tcW w:w="759" w:type="dxa"/>
            <w:tcBorders>
              <w:top w:val="single" w:sz="4" w:space="0" w:color="auto"/>
              <w:left w:val="nil"/>
              <w:bottom w:val="single" w:sz="4" w:space="0" w:color="auto"/>
              <w:right w:val="nil"/>
            </w:tcBorders>
            <w:shd w:val="clear" w:color="auto" w:fill="auto"/>
            <w:noWrap/>
            <w:vAlign w:val="bottom"/>
            <w:hideMark/>
          </w:tcPr>
          <w:p w14:paraId="7FDE37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 </w:t>
            </w:r>
          </w:p>
        </w:tc>
        <w:tc>
          <w:tcPr>
            <w:tcW w:w="827" w:type="dxa"/>
            <w:tcBorders>
              <w:top w:val="single" w:sz="4" w:space="0" w:color="auto"/>
              <w:left w:val="nil"/>
              <w:bottom w:val="single" w:sz="4" w:space="0" w:color="auto"/>
              <w:right w:val="nil"/>
            </w:tcBorders>
            <w:shd w:val="clear" w:color="auto" w:fill="auto"/>
            <w:noWrap/>
            <w:vAlign w:val="bottom"/>
            <w:hideMark/>
          </w:tcPr>
          <w:p w14:paraId="0B16EA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2,342 </w:t>
            </w:r>
          </w:p>
        </w:tc>
        <w:tc>
          <w:tcPr>
            <w:tcW w:w="1276" w:type="dxa"/>
            <w:tcBorders>
              <w:top w:val="single" w:sz="4" w:space="0" w:color="auto"/>
              <w:left w:val="nil"/>
              <w:bottom w:val="single" w:sz="4" w:space="0" w:color="auto"/>
              <w:right w:val="nil"/>
            </w:tcBorders>
            <w:shd w:val="clear" w:color="auto" w:fill="auto"/>
            <w:noWrap/>
            <w:vAlign w:val="bottom"/>
            <w:hideMark/>
          </w:tcPr>
          <w:p w14:paraId="0923D2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2.18 </w:t>
            </w:r>
          </w:p>
        </w:tc>
      </w:tr>
    </w:tbl>
    <w:p w14:paraId="721114D8"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4598BA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4b: Weighted number and average of school engagements per year by type</w:t>
      </w:r>
    </w:p>
    <w:p w14:paraId="4A4FF9DC" w14:textId="77777777" w:rsidR="00AC362E" w:rsidRPr="00491EF1" w:rsidRDefault="00AC362E" w:rsidP="00ED0631">
      <w:pPr>
        <w:tabs>
          <w:tab w:val="left" w:pos="8696"/>
          <w:tab w:val="left" w:pos="9694"/>
          <w:tab w:val="left" w:pos="10904"/>
          <w:tab w:val="left" w:pos="11959"/>
          <w:tab w:val="left" w:pos="13169"/>
          <w:tab w:val="left" w:pos="13989"/>
        </w:tabs>
        <w:spacing w:after="0"/>
        <w:ind w:left="93"/>
        <w:rPr>
          <w:rFonts w:asciiTheme="majorHAnsi" w:eastAsia="Times New Roman" w:hAnsiTheme="majorHAnsi" w:cstheme="majorHAnsi"/>
          <w:color w:val="000000"/>
          <w:lang w:eastAsia="en-AU"/>
        </w:rPr>
      </w:pPr>
      <w:r w:rsidRPr="00491EF1">
        <w:rPr>
          <w:rFonts w:asciiTheme="majorHAnsi" w:eastAsia="Times New Roman" w:hAnsiTheme="majorHAnsi" w:cstheme="majorHAnsi"/>
          <w:i/>
          <w:iCs/>
          <w:color w:val="000000"/>
          <w:lang w:eastAsia="en-AU"/>
        </w:rPr>
        <w:t>Note: average based on number of enrolled B.Ed child in HHs</w:t>
      </w:r>
    </w:p>
    <w:tbl>
      <w:tblPr>
        <w:tblW w:w="12945" w:type="dxa"/>
        <w:tblInd w:w="93" w:type="dxa"/>
        <w:tblLook w:val="04A0" w:firstRow="1" w:lastRow="0" w:firstColumn="1" w:lastColumn="0" w:noHBand="0" w:noVBand="1"/>
      </w:tblPr>
      <w:tblGrid>
        <w:gridCol w:w="1760"/>
        <w:gridCol w:w="1217"/>
        <w:gridCol w:w="720"/>
        <w:gridCol w:w="1028"/>
        <w:gridCol w:w="777"/>
        <w:gridCol w:w="795"/>
        <w:gridCol w:w="777"/>
        <w:gridCol w:w="795"/>
        <w:gridCol w:w="950"/>
        <w:gridCol w:w="795"/>
        <w:gridCol w:w="1017"/>
        <w:gridCol w:w="795"/>
        <w:gridCol w:w="717"/>
        <w:gridCol w:w="802"/>
      </w:tblGrid>
      <w:tr w:rsidR="00AC362E" w:rsidRPr="00491EF1" w14:paraId="55D4B920" w14:textId="77777777" w:rsidTr="00ED0631">
        <w:trPr>
          <w:trHeight w:val="315"/>
        </w:trPr>
        <w:tc>
          <w:tcPr>
            <w:tcW w:w="2142" w:type="dxa"/>
            <w:tcBorders>
              <w:top w:val="single" w:sz="4" w:space="0" w:color="auto"/>
              <w:left w:val="nil"/>
              <w:bottom w:val="single" w:sz="4" w:space="0" w:color="auto"/>
              <w:right w:val="nil"/>
            </w:tcBorders>
            <w:vAlign w:val="bottom"/>
          </w:tcPr>
          <w:p w14:paraId="7931457C" w14:textId="77777777" w:rsidR="00AC362E" w:rsidRPr="00491EF1" w:rsidRDefault="00AC362E" w:rsidP="00ED0631">
            <w:pPr>
              <w:spacing w:after="0"/>
              <w:rPr>
                <w:rFonts w:asciiTheme="majorHAnsi" w:eastAsia="Times New Roman" w:hAnsiTheme="majorHAnsi" w:cstheme="majorHAnsi"/>
                <w:b/>
                <w:bCs/>
                <w:color w:val="000000"/>
                <w:lang w:eastAsia="en-AU"/>
              </w:rPr>
            </w:pPr>
          </w:p>
        </w:tc>
        <w:tc>
          <w:tcPr>
            <w:tcW w:w="1167" w:type="dxa"/>
            <w:tcBorders>
              <w:top w:val="single" w:sz="4" w:space="0" w:color="auto"/>
              <w:left w:val="nil"/>
              <w:bottom w:val="single" w:sz="4" w:space="0" w:color="auto"/>
              <w:right w:val="nil"/>
            </w:tcBorders>
            <w:shd w:val="clear" w:color="auto" w:fill="auto"/>
            <w:noWrap/>
            <w:vAlign w:val="bottom"/>
            <w:hideMark/>
          </w:tcPr>
          <w:p w14:paraId="72439AB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Weighted</w:t>
            </w:r>
          </w:p>
        </w:tc>
        <w:tc>
          <w:tcPr>
            <w:tcW w:w="720" w:type="dxa"/>
            <w:tcBorders>
              <w:top w:val="single" w:sz="4" w:space="0" w:color="auto"/>
              <w:left w:val="nil"/>
              <w:bottom w:val="single" w:sz="4" w:space="0" w:color="auto"/>
              <w:right w:val="nil"/>
            </w:tcBorders>
            <w:shd w:val="clear" w:color="auto" w:fill="auto"/>
            <w:noWrap/>
            <w:vAlign w:val="bottom"/>
            <w:hideMark/>
          </w:tcPr>
          <w:p w14:paraId="26930AE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28" w:type="dxa"/>
            <w:tcBorders>
              <w:top w:val="single" w:sz="4" w:space="0" w:color="auto"/>
              <w:left w:val="nil"/>
              <w:bottom w:val="single" w:sz="4" w:space="0" w:color="auto"/>
              <w:right w:val="nil"/>
            </w:tcBorders>
            <w:shd w:val="clear" w:color="auto" w:fill="auto"/>
            <w:noWrap/>
            <w:vAlign w:val="bottom"/>
            <w:hideMark/>
          </w:tcPr>
          <w:p w14:paraId="721681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77" w:type="dxa"/>
            <w:tcBorders>
              <w:top w:val="single" w:sz="4" w:space="0" w:color="auto"/>
              <w:left w:val="nil"/>
              <w:bottom w:val="single" w:sz="4" w:space="0" w:color="auto"/>
              <w:right w:val="nil"/>
            </w:tcBorders>
            <w:shd w:val="clear" w:color="auto" w:fill="auto"/>
            <w:noWrap/>
            <w:vAlign w:val="bottom"/>
            <w:hideMark/>
          </w:tcPr>
          <w:p w14:paraId="648285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78" w:type="dxa"/>
            <w:tcBorders>
              <w:top w:val="single" w:sz="4" w:space="0" w:color="auto"/>
              <w:left w:val="nil"/>
              <w:bottom w:val="single" w:sz="4" w:space="0" w:color="auto"/>
              <w:right w:val="nil"/>
            </w:tcBorders>
            <w:shd w:val="clear" w:color="auto" w:fill="auto"/>
            <w:noWrap/>
            <w:vAlign w:val="bottom"/>
            <w:hideMark/>
          </w:tcPr>
          <w:p w14:paraId="7E43F4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77" w:type="dxa"/>
            <w:tcBorders>
              <w:top w:val="single" w:sz="4" w:space="0" w:color="auto"/>
              <w:left w:val="nil"/>
              <w:bottom w:val="single" w:sz="4" w:space="0" w:color="auto"/>
              <w:right w:val="nil"/>
            </w:tcBorders>
            <w:shd w:val="clear" w:color="auto" w:fill="auto"/>
            <w:noWrap/>
            <w:vAlign w:val="bottom"/>
            <w:hideMark/>
          </w:tcPr>
          <w:p w14:paraId="0FFCC6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78" w:type="dxa"/>
            <w:tcBorders>
              <w:top w:val="single" w:sz="4" w:space="0" w:color="auto"/>
              <w:left w:val="nil"/>
              <w:bottom w:val="single" w:sz="4" w:space="0" w:color="auto"/>
              <w:right w:val="nil"/>
            </w:tcBorders>
            <w:shd w:val="clear" w:color="auto" w:fill="auto"/>
            <w:noWrap/>
            <w:vAlign w:val="bottom"/>
            <w:hideMark/>
          </w:tcPr>
          <w:p w14:paraId="6F4DC7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68" w:type="dxa"/>
            <w:tcBorders>
              <w:top w:val="single" w:sz="4" w:space="0" w:color="auto"/>
              <w:left w:val="nil"/>
              <w:bottom w:val="single" w:sz="4" w:space="0" w:color="auto"/>
              <w:right w:val="nil"/>
            </w:tcBorders>
            <w:shd w:val="clear" w:color="auto" w:fill="auto"/>
            <w:noWrap/>
            <w:vAlign w:val="bottom"/>
            <w:hideMark/>
          </w:tcPr>
          <w:p w14:paraId="15DD4D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62" w:type="dxa"/>
            <w:tcBorders>
              <w:top w:val="single" w:sz="4" w:space="0" w:color="auto"/>
              <w:left w:val="nil"/>
              <w:bottom w:val="single" w:sz="4" w:space="0" w:color="auto"/>
              <w:right w:val="nil"/>
            </w:tcBorders>
            <w:shd w:val="clear" w:color="auto" w:fill="auto"/>
            <w:noWrap/>
            <w:vAlign w:val="bottom"/>
            <w:hideMark/>
          </w:tcPr>
          <w:p w14:paraId="65EB56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15" w:type="dxa"/>
            <w:tcBorders>
              <w:top w:val="single" w:sz="4" w:space="0" w:color="auto"/>
              <w:left w:val="nil"/>
              <w:bottom w:val="single" w:sz="4" w:space="0" w:color="auto"/>
              <w:right w:val="nil"/>
            </w:tcBorders>
            <w:shd w:val="clear" w:color="auto" w:fill="auto"/>
            <w:noWrap/>
            <w:vAlign w:val="bottom"/>
            <w:hideMark/>
          </w:tcPr>
          <w:p w14:paraId="106E73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759" w:type="dxa"/>
            <w:tcBorders>
              <w:top w:val="single" w:sz="4" w:space="0" w:color="auto"/>
              <w:left w:val="nil"/>
              <w:bottom w:val="single" w:sz="4" w:space="0" w:color="auto"/>
              <w:right w:val="nil"/>
            </w:tcBorders>
            <w:shd w:val="clear" w:color="auto" w:fill="auto"/>
            <w:noWrap/>
            <w:vAlign w:val="bottom"/>
            <w:hideMark/>
          </w:tcPr>
          <w:p w14:paraId="7854E4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72" w:type="dxa"/>
            <w:tcBorders>
              <w:top w:val="single" w:sz="4" w:space="0" w:color="auto"/>
              <w:left w:val="nil"/>
              <w:bottom w:val="single" w:sz="4" w:space="0" w:color="auto"/>
              <w:right w:val="nil"/>
            </w:tcBorders>
            <w:shd w:val="clear" w:color="auto" w:fill="auto"/>
            <w:noWrap/>
            <w:vAlign w:val="bottom"/>
            <w:hideMark/>
          </w:tcPr>
          <w:p w14:paraId="6BDF7B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02" w:type="dxa"/>
            <w:tcBorders>
              <w:top w:val="single" w:sz="4" w:space="0" w:color="auto"/>
              <w:left w:val="nil"/>
              <w:bottom w:val="single" w:sz="4" w:space="0" w:color="auto"/>
              <w:right w:val="nil"/>
            </w:tcBorders>
            <w:shd w:val="clear" w:color="auto" w:fill="auto"/>
            <w:noWrap/>
            <w:vAlign w:val="bottom"/>
            <w:hideMark/>
          </w:tcPr>
          <w:p w14:paraId="778F76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4927111F" w14:textId="77777777" w:rsidTr="00ED0631">
        <w:trPr>
          <w:trHeight w:val="315"/>
        </w:trPr>
        <w:tc>
          <w:tcPr>
            <w:tcW w:w="2142" w:type="dxa"/>
            <w:tcBorders>
              <w:top w:val="nil"/>
              <w:left w:val="nil"/>
              <w:bottom w:val="nil"/>
              <w:right w:val="nil"/>
            </w:tcBorders>
            <w:vAlign w:val="bottom"/>
          </w:tcPr>
          <w:p w14:paraId="5CCEEC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67" w:type="dxa"/>
            <w:tcBorders>
              <w:top w:val="nil"/>
              <w:left w:val="nil"/>
              <w:bottom w:val="nil"/>
              <w:right w:val="nil"/>
            </w:tcBorders>
            <w:shd w:val="clear" w:color="auto" w:fill="auto"/>
            <w:noWrap/>
            <w:vAlign w:val="bottom"/>
            <w:hideMark/>
          </w:tcPr>
          <w:p w14:paraId="09463A6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720" w:type="dxa"/>
            <w:tcBorders>
              <w:top w:val="nil"/>
              <w:left w:val="nil"/>
              <w:bottom w:val="single" w:sz="4" w:space="0" w:color="auto"/>
              <w:right w:val="nil"/>
            </w:tcBorders>
            <w:shd w:val="clear" w:color="auto" w:fill="auto"/>
            <w:noWrap/>
            <w:vAlign w:val="bottom"/>
            <w:hideMark/>
          </w:tcPr>
          <w:p w14:paraId="663A8D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HH</w:t>
            </w:r>
          </w:p>
        </w:tc>
        <w:tc>
          <w:tcPr>
            <w:tcW w:w="1028" w:type="dxa"/>
            <w:tcBorders>
              <w:top w:val="nil"/>
              <w:left w:val="nil"/>
              <w:bottom w:val="single" w:sz="4" w:space="0" w:color="auto"/>
              <w:right w:val="nil"/>
            </w:tcBorders>
            <w:shd w:val="clear" w:color="auto" w:fill="auto"/>
            <w:noWrap/>
            <w:vAlign w:val="bottom"/>
            <w:hideMark/>
          </w:tcPr>
          <w:p w14:paraId="6F5367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555" w:type="dxa"/>
            <w:gridSpan w:val="2"/>
            <w:tcBorders>
              <w:top w:val="single" w:sz="4" w:space="0" w:color="auto"/>
              <w:left w:val="nil"/>
              <w:bottom w:val="single" w:sz="4" w:space="0" w:color="auto"/>
              <w:right w:val="nil"/>
            </w:tcBorders>
            <w:shd w:val="clear" w:color="auto" w:fill="auto"/>
            <w:noWrap/>
            <w:vAlign w:val="bottom"/>
            <w:hideMark/>
          </w:tcPr>
          <w:p w14:paraId="6DC115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Meeting </w:t>
            </w:r>
          </w:p>
        </w:tc>
        <w:tc>
          <w:tcPr>
            <w:tcW w:w="1555" w:type="dxa"/>
            <w:gridSpan w:val="2"/>
            <w:tcBorders>
              <w:top w:val="single" w:sz="4" w:space="0" w:color="auto"/>
              <w:left w:val="nil"/>
              <w:bottom w:val="single" w:sz="4" w:space="0" w:color="auto"/>
              <w:right w:val="nil"/>
            </w:tcBorders>
            <w:shd w:val="clear" w:color="auto" w:fill="auto"/>
            <w:noWrap/>
            <w:vAlign w:val="bottom"/>
            <w:hideMark/>
          </w:tcPr>
          <w:p w14:paraId="237347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Function </w:t>
            </w:r>
          </w:p>
        </w:tc>
        <w:tc>
          <w:tcPr>
            <w:tcW w:w="868" w:type="dxa"/>
            <w:tcBorders>
              <w:top w:val="nil"/>
              <w:left w:val="nil"/>
              <w:bottom w:val="single" w:sz="4" w:space="0" w:color="auto"/>
              <w:right w:val="nil"/>
            </w:tcBorders>
            <w:shd w:val="clear" w:color="auto" w:fill="auto"/>
            <w:noWrap/>
            <w:vAlign w:val="bottom"/>
            <w:hideMark/>
          </w:tcPr>
          <w:p w14:paraId="187E12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Teacher </w:t>
            </w:r>
          </w:p>
        </w:tc>
        <w:tc>
          <w:tcPr>
            <w:tcW w:w="762" w:type="dxa"/>
            <w:tcBorders>
              <w:top w:val="nil"/>
              <w:left w:val="nil"/>
              <w:bottom w:val="single" w:sz="4" w:space="0" w:color="auto"/>
              <w:right w:val="nil"/>
            </w:tcBorders>
            <w:shd w:val="clear" w:color="auto" w:fill="auto"/>
            <w:noWrap/>
            <w:vAlign w:val="bottom"/>
            <w:hideMark/>
          </w:tcPr>
          <w:p w14:paraId="378F85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15" w:type="dxa"/>
            <w:tcBorders>
              <w:top w:val="nil"/>
              <w:left w:val="nil"/>
              <w:bottom w:val="single" w:sz="4" w:space="0" w:color="auto"/>
              <w:right w:val="nil"/>
            </w:tcBorders>
            <w:shd w:val="clear" w:color="auto" w:fill="auto"/>
            <w:noWrap/>
            <w:vAlign w:val="bottom"/>
            <w:hideMark/>
          </w:tcPr>
          <w:p w14:paraId="180C23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Progress </w:t>
            </w:r>
          </w:p>
        </w:tc>
        <w:tc>
          <w:tcPr>
            <w:tcW w:w="759" w:type="dxa"/>
            <w:tcBorders>
              <w:top w:val="nil"/>
              <w:left w:val="nil"/>
              <w:bottom w:val="single" w:sz="4" w:space="0" w:color="auto"/>
              <w:right w:val="nil"/>
            </w:tcBorders>
            <w:shd w:val="clear" w:color="auto" w:fill="auto"/>
            <w:noWrap/>
            <w:vAlign w:val="bottom"/>
            <w:hideMark/>
          </w:tcPr>
          <w:p w14:paraId="24C050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672" w:type="dxa"/>
            <w:tcBorders>
              <w:top w:val="nil"/>
              <w:left w:val="nil"/>
              <w:bottom w:val="single" w:sz="4" w:space="0" w:color="auto"/>
              <w:right w:val="nil"/>
            </w:tcBorders>
            <w:shd w:val="clear" w:color="auto" w:fill="auto"/>
            <w:noWrap/>
            <w:vAlign w:val="bottom"/>
            <w:hideMark/>
          </w:tcPr>
          <w:p w14:paraId="00DF02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802" w:type="dxa"/>
            <w:tcBorders>
              <w:top w:val="nil"/>
              <w:left w:val="nil"/>
              <w:bottom w:val="single" w:sz="4" w:space="0" w:color="auto"/>
              <w:right w:val="nil"/>
            </w:tcBorders>
            <w:shd w:val="clear" w:color="auto" w:fill="auto"/>
            <w:noWrap/>
            <w:vAlign w:val="bottom"/>
            <w:hideMark/>
          </w:tcPr>
          <w:p w14:paraId="066AC5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409031F6" w14:textId="77777777" w:rsidTr="00ED0631">
        <w:trPr>
          <w:trHeight w:val="315"/>
        </w:trPr>
        <w:tc>
          <w:tcPr>
            <w:tcW w:w="2142" w:type="dxa"/>
            <w:tcBorders>
              <w:top w:val="single" w:sz="4" w:space="0" w:color="auto"/>
              <w:left w:val="nil"/>
              <w:bottom w:val="single" w:sz="4" w:space="0" w:color="auto"/>
              <w:right w:val="nil"/>
            </w:tcBorders>
            <w:vAlign w:val="bottom"/>
          </w:tcPr>
          <w:p w14:paraId="7AC8A6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67" w:type="dxa"/>
            <w:tcBorders>
              <w:top w:val="single" w:sz="4" w:space="0" w:color="auto"/>
              <w:left w:val="nil"/>
              <w:bottom w:val="single" w:sz="4" w:space="0" w:color="auto"/>
              <w:right w:val="nil"/>
            </w:tcBorders>
            <w:shd w:val="clear" w:color="auto" w:fill="auto"/>
            <w:noWrap/>
            <w:vAlign w:val="bottom"/>
            <w:hideMark/>
          </w:tcPr>
          <w:p w14:paraId="7EB73E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Adjustment </w:t>
            </w:r>
          </w:p>
        </w:tc>
        <w:tc>
          <w:tcPr>
            <w:tcW w:w="720" w:type="dxa"/>
            <w:tcBorders>
              <w:top w:val="nil"/>
              <w:left w:val="nil"/>
              <w:bottom w:val="single" w:sz="4" w:space="0" w:color="auto"/>
              <w:right w:val="nil"/>
            </w:tcBorders>
            <w:shd w:val="clear" w:color="auto" w:fill="auto"/>
            <w:noWrap/>
            <w:vAlign w:val="bottom"/>
            <w:hideMark/>
          </w:tcPr>
          <w:p w14:paraId="56D79F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1028" w:type="dxa"/>
            <w:tcBorders>
              <w:top w:val="nil"/>
              <w:left w:val="nil"/>
              <w:bottom w:val="single" w:sz="4" w:space="0" w:color="auto"/>
              <w:right w:val="nil"/>
            </w:tcBorders>
            <w:shd w:val="clear" w:color="auto" w:fill="auto"/>
            <w:noWrap/>
            <w:vAlign w:val="bottom"/>
            <w:hideMark/>
          </w:tcPr>
          <w:p w14:paraId="29073E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 Enrolled children</w:t>
            </w:r>
          </w:p>
        </w:tc>
        <w:tc>
          <w:tcPr>
            <w:tcW w:w="777" w:type="dxa"/>
            <w:tcBorders>
              <w:top w:val="nil"/>
              <w:left w:val="nil"/>
              <w:bottom w:val="single" w:sz="4" w:space="0" w:color="auto"/>
              <w:right w:val="nil"/>
            </w:tcBorders>
            <w:shd w:val="clear" w:color="auto" w:fill="auto"/>
            <w:noWrap/>
            <w:vAlign w:val="bottom"/>
            <w:hideMark/>
          </w:tcPr>
          <w:p w14:paraId="15E3E3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78" w:type="dxa"/>
            <w:tcBorders>
              <w:top w:val="nil"/>
              <w:left w:val="nil"/>
              <w:bottom w:val="single" w:sz="4" w:space="0" w:color="auto"/>
              <w:right w:val="nil"/>
            </w:tcBorders>
            <w:shd w:val="clear" w:color="auto" w:fill="auto"/>
            <w:noWrap/>
            <w:vAlign w:val="bottom"/>
            <w:hideMark/>
          </w:tcPr>
          <w:p w14:paraId="628DD0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777" w:type="dxa"/>
            <w:tcBorders>
              <w:top w:val="nil"/>
              <w:left w:val="nil"/>
              <w:bottom w:val="single" w:sz="4" w:space="0" w:color="auto"/>
              <w:right w:val="nil"/>
            </w:tcBorders>
            <w:shd w:val="clear" w:color="auto" w:fill="auto"/>
            <w:noWrap/>
            <w:vAlign w:val="bottom"/>
            <w:hideMark/>
          </w:tcPr>
          <w:p w14:paraId="757C9C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78" w:type="dxa"/>
            <w:tcBorders>
              <w:top w:val="nil"/>
              <w:left w:val="nil"/>
              <w:bottom w:val="single" w:sz="4" w:space="0" w:color="auto"/>
              <w:right w:val="nil"/>
            </w:tcBorders>
            <w:shd w:val="clear" w:color="auto" w:fill="auto"/>
            <w:noWrap/>
            <w:vAlign w:val="bottom"/>
            <w:hideMark/>
          </w:tcPr>
          <w:p w14:paraId="488D7A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868" w:type="dxa"/>
            <w:tcBorders>
              <w:top w:val="nil"/>
              <w:left w:val="nil"/>
              <w:bottom w:val="single" w:sz="4" w:space="0" w:color="auto"/>
              <w:right w:val="nil"/>
            </w:tcBorders>
            <w:shd w:val="clear" w:color="auto" w:fill="auto"/>
            <w:noWrap/>
            <w:vAlign w:val="bottom"/>
            <w:hideMark/>
          </w:tcPr>
          <w:p w14:paraId="76B0A8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62" w:type="dxa"/>
            <w:tcBorders>
              <w:top w:val="nil"/>
              <w:left w:val="nil"/>
              <w:bottom w:val="single" w:sz="4" w:space="0" w:color="auto"/>
              <w:right w:val="nil"/>
            </w:tcBorders>
            <w:shd w:val="clear" w:color="auto" w:fill="auto"/>
            <w:noWrap/>
            <w:vAlign w:val="bottom"/>
            <w:hideMark/>
          </w:tcPr>
          <w:p w14:paraId="724262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915" w:type="dxa"/>
            <w:tcBorders>
              <w:top w:val="nil"/>
              <w:left w:val="nil"/>
              <w:bottom w:val="single" w:sz="4" w:space="0" w:color="auto"/>
              <w:right w:val="nil"/>
            </w:tcBorders>
            <w:shd w:val="clear" w:color="auto" w:fill="auto"/>
            <w:noWrap/>
            <w:vAlign w:val="bottom"/>
            <w:hideMark/>
          </w:tcPr>
          <w:p w14:paraId="77C25C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759" w:type="dxa"/>
            <w:tcBorders>
              <w:top w:val="nil"/>
              <w:left w:val="nil"/>
              <w:bottom w:val="single" w:sz="4" w:space="0" w:color="auto"/>
              <w:right w:val="nil"/>
            </w:tcBorders>
            <w:shd w:val="clear" w:color="auto" w:fill="auto"/>
            <w:noWrap/>
            <w:vAlign w:val="bottom"/>
            <w:hideMark/>
          </w:tcPr>
          <w:p w14:paraId="766442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c>
          <w:tcPr>
            <w:tcW w:w="672" w:type="dxa"/>
            <w:tcBorders>
              <w:top w:val="nil"/>
              <w:left w:val="nil"/>
              <w:bottom w:val="single" w:sz="4" w:space="0" w:color="auto"/>
              <w:right w:val="nil"/>
            </w:tcBorders>
            <w:shd w:val="clear" w:color="auto" w:fill="auto"/>
            <w:noWrap/>
            <w:vAlign w:val="bottom"/>
            <w:hideMark/>
          </w:tcPr>
          <w:p w14:paraId="7F651A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w:t>
            </w:r>
          </w:p>
        </w:tc>
        <w:tc>
          <w:tcPr>
            <w:tcW w:w="802" w:type="dxa"/>
            <w:tcBorders>
              <w:top w:val="nil"/>
              <w:left w:val="nil"/>
              <w:bottom w:val="single" w:sz="4" w:space="0" w:color="auto"/>
              <w:right w:val="nil"/>
            </w:tcBorders>
            <w:shd w:val="clear" w:color="auto" w:fill="auto"/>
            <w:noWrap/>
            <w:vAlign w:val="bottom"/>
            <w:hideMark/>
          </w:tcPr>
          <w:p w14:paraId="64C6FA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Avg. p.child </w:t>
            </w:r>
          </w:p>
        </w:tc>
      </w:tr>
      <w:tr w:rsidR="00AC362E" w:rsidRPr="00491EF1" w14:paraId="44D00151" w14:textId="77777777" w:rsidTr="00ED0631">
        <w:trPr>
          <w:trHeight w:val="315"/>
        </w:trPr>
        <w:tc>
          <w:tcPr>
            <w:tcW w:w="2142" w:type="dxa"/>
            <w:tcBorders>
              <w:top w:val="nil"/>
              <w:left w:val="nil"/>
              <w:bottom w:val="nil"/>
              <w:right w:val="nil"/>
            </w:tcBorders>
            <w:vAlign w:val="bottom"/>
          </w:tcPr>
          <w:p w14:paraId="76D979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67" w:type="dxa"/>
            <w:tcBorders>
              <w:top w:val="nil"/>
              <w:left w:val="nil"/>
              <w:bottom w:val="nil"/>
              <w:right w:val="nil"/>
            </w:tcBorders>
            <w:shd w:val="clear" w:color="auto" w:fill="auto"/>
            <w:noWrap/>
            <w:vAlign w:val="bottom"/>
            <w:hideMark/>
          </w:tcPr>
          <w:p w14:paraId="101C692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0.9472 </w:t>
            </w:r>
          </w:p>
        </w:tc>
        <w:tc>
          <w:tcPr>
            <w:tcW w:w="720" w:type="dxa"/>
            <w:tcBorders>
              <w:top w:val="nil"/>
              <w:left w:val="nil"/>
              <w:bottom w:val="nil"/>
              <w:right w:val="nil"/>
            </w:tcBorders>
            <w:shd w:val="clear" w:color="auto" w:fill="auto"/>
            <w:noWrap/>
            <w:vAlign w:val="bottom"/>
            <w:hideMark/>
          </w:tcPr>
          <w:p w14:paraId="2CFB28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52 </w:t>
            </w:r>
          </w:p>
        </w:tc>
        <w:tc>
          <w:tcPr>
            <w:tcW w:w="1028" w:type="dxa"/>
            <w:tcBorders>
              <w:top w:val="nil"/>
              <w:left w:val="nil"/>
              <w:bottom w:val="nil"/>
              <w:right w:val="nil"/>
            </w:tcBorders>
            <w:shd w:val="clear" w:color="auto" w:fill="auto"/>
            <w:noWrap/>
            <w:vAlign w:val="bottom"/>
            <w:hideMark/>
          </w:tcPr>
          <w:p w14:paraId="3A5FEB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101 </w:t>
            </w:r>
          </w:p>
        </w:tc>
        <w:tc>
          <w:tcPr>
            <w:tcW w:w="777" w:type="dxa"/>
            <w:tcBorders>
              <w:top w:val="nil"/>
              <w:left w:val="nil"/>
              <w:bottom w:val="nil"/>
              <w:right w:val="nil"/>
            </w:tcBorders>
            <w:shd w:val="clear" w:color="auto" w:fill="auto"/>
            <w:noWrap/>
            <w:vAlign w:val="bottom"/>
            <w:hideMark/>
          </w:tcPr>
          <w:p w14:paraId="0CEA5BD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41 </w:t>
            </w:r>
          </w:p>
        </w:tc>
        <w:tc>
          <w:tcPr>
            <w:tcW w:w="778" w:type="dxa"/>
            <w:tcBorders>
              <w:top w:val="nil"/>
              <w:left w:val="nil"/>
              <w:bottom w:val="nil"/>
              <w:right w:val="nil"/>
            </w:tcBorders>
            <w:shd w:val="clear" w:color="auto" w:fill="auto"/>
            <w:noWrap/>
            <w:vAlign w:val="bottom"/>
            <w:hideMark/>
          </w:tcPr>
          <w:p w14:paraId="15D1BC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777" w:type="dxa"/>
            <w:tcBorders>
              <w:top w:val="nil"/>
              <w:left w:val="nil"/>
              <w:bottom w:val="nil"/>
              <w:right w:val="nil"/>
            </w:tcBorders>
            <w:shd w:val="clear" w:color="auto" w:fill="auto"/>
            <w:noWrap/>
            <w:vAlign w:val="bottom"/>
            <w:hideMark/>
          </w:tcPr>
          <w:p w14:paraId="2A3803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73 </w:t>
            </w:r>
          </w:p>
        </w:tc>
        <w:tc>
          <w:tcPr>
            <w:tcW w:w="778" w:type="dxa"/>
            <w:tcBorders>
              <w:top w:val="nil"/>
              <w:left w:val="nil"/>
              <w:bottom w:val="nil"/>
              <w:right w:val="nil"/>
            </w:tcBorders>
            <w:shd w:val="clear" w:color="auto" w:fill="auto"/>
            <w:noWrap/>
            <w:vAlign w:val="bottom"/>
            <w:hideMark/>
          </w:tcPr>
          <w:p w14:paraId="41D865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0.7 </w:t>
            </w:r>
          </w:p>
        </w:tc>
        <w:tc>
          <w:tcPr>
            <w:tcW w:w="868" w:type="dxa"/>
            <w:tcBorders>
              <w:top w:val="nil"/>
              <w:left w:val="nil"/>
              <w:bottom w:val="nil"/>
              <w:right w:val="nil"/>
            </w:tcBorders>
            <w:shd w:val="clear" w:color="auto" w:fill="auto"/>
            <w:noWrap/>
            <w:vAlign w:val="bottom"/>
            <w:hideMark/>
          </w:tcPr>
          <w:p w14:paraId="25BAD0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63 </w:t>
            </w:r>
          </w:p>
        </w:tc>
        <w:tc>
          <w:tcPr>
            <w:tcW w:w="762" w:type="dxa"/>
            <w:tcBorders>
              <w:top w:val="nil"/>
              <w:left w:val="nil"/>
              <w:bottom w:val="nil"/>
              <w:right w:val="nil"/>
            </w:tcBorders>
            <w:shd w:val="clear" w:color="auto" w:fill="auto"/>
            <w:noWrap/>
            <w:vAlign w:val="bottom"/>
            <w:hideMark/>
          </w:tcPr>
          <w:p w14:paraId="0ADA68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915" w:type="dxa"/>
            <w:tcBorders>
              <w:top w:val="nil"/>
              <w:left w:val="nil"/>
              <w:bottom w:val="nil"/>
              <w:right w:val="nil"/>
            </w:tcBorders>
            <w:shd w:val="clear" w:color="auto" w:fill="auto"/>
            <w:noWrap/>
            <w:vAlign w:val="bottom"/>
            <w:hideMark/>
          </w:tcPr>
          <w:p w14:paraId="77E5B3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69 </w:t>
            </w:r>
          </w:p>
        </w:tc>
        <w:tc>
          <w:tcPr>
            <w:tcW w:w="759" w:type="dxa"/>
            <w:tcBorders>
              <w:top w:val="nil"/>
              <w:left w:val="nil"/>
              <w:bottom w:val="nil"/>
              <w:right w:val="nil"/>
            </w:tcBorders>
            <w:shd w:val="clear" w:color="auto" w:fill="auto"/>
            <w:noWrap/>
            <w:vAlign w:val="bottom"/>
            <w:hideMark/>
          </w:tcPr>
          <w:p w14:paraId="422450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0.7 </w:t>
            </w:r>
          </w:p>
        </w:tc>
        <w:tc>
          <w:tcPr>
            <w:tcW w:w="672" w:type="dxa"/>
            <w:tcBorders>
              <w:top w:val="nil"/>
              <w:left w:val="nil"/>
              <w:bottom w:val="nil"/>
              <w:right w:val="nil"/>
            </w:tcBorders>
            <w:shd w:val="clear" w:color="auto" w:fill="auto"/>
            <w:noWrap/>
            <w:vAlign w:val="bottom"/>
            <w:hideMark/>
          </w:tcPr>
          <w:p w14:paraId="063ABD6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246 </w:t>
            </w:r>
          </w:p>
        </w:tc>
        <w:tc>
          <w:tcPr>
            <w:tcW w:w="802" w:type="dxa"/>
            <w:tcBorders>
              <w:top w:val="nil"/>
              <w:left w:val="nil"/>
              <w:bottom w:val="nil"/>
              <w:right w:val="nil"/>
            </w:tcBorders>
            <w:shd w:val="clear" w:color="auto" w:fill="auto"/>
            <w:noWrap/>
            <w:vAlign w:val="bottom"/>
            <w:hideMark/>
          </w:tcPr>
          <w:p w14:paraId="167FED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2.43 </w:t>
            </w:r>
          </w:p>
        </w:tc>
      </w:tr>
      <w:tr w:rsidR="00AC362E" w:rsidRPr="00491EF1" w14:paraId="65DE5F3E" w14:textId="77777777" w:rsidTr="00ED0631">
        <w:trPr>
          <w:trHeight w:val="315"/>
        </w:trPr>
        <w:tc>
          <w:tcPr>
            <w:tcW w:w="2142" w:type="dxa"/>
            <w:tcBorders>
              <w:top w:val="nil"/>
              <w:left w:val="nil"/>
              <w:bottom w:val="nil"/>
              <w:right w:val="nil"/>
            </w:tcBorders>
            <w:vAlign w:val="bottom"/>
          </w:tcPr>
          <w:p w14:paraId="7ACF46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67" w:type="dxa"/>
            <w:tcBorders>
              <w:top w:val="nil"/>
              <w:left w:val="nil"/>
              <w:bottom w:val="nil"/>
              <w:right w:val="nil"/>
            </w:tcBorders>
            <w:shd w:val="clear" w:color="auto" w:fill="auto"/>
            <w:noWrap/>
            <w:vAlign w:val="bottom"/>
            <w:hideMark/>
          </w:tcPr>
          <w:p w14:paraId="7CDE35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0.6111 </w:t>
            </w:r>
          </w:p>
        </w:tc>
        <w:tc>
          <w:tcPr>
            <w:tcW w:w="720" w:type="dxa"/>
            <w:tcBorders>
              <w:top w:val="nil"/>
              <w:left w:val="nil"/>
              <w:bottom w:val="nil"/>
              <w:right w:val="nil"/>
            </w:tcBorders>
            <w:shd w:val="clear" w:color="auto" w:fill="auto"/>
            <w:noWrap/>
            <w:vAlign w:val="bottom"/>
            <w:hideMark/>
          </w:tcPr>
          <w:p w14:paraId="73C57E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35 </w:t>
            </w:r>
          </w:p>
        </w:tc>
        <w:tc>
          <w:tcPr>
            <w:tcW w:w="1028" w:type="dxa"/>
            <w:tcBorders>
              <w:top w:val="nil"/>
              <w:left w:val="nil"/>
              <w:bottom w:val="nil"/>
              <w:right w:val="nil"/>
            </w:tcBorders>
            <w:shd w:val="clear" w:color="auto" w:fill="auto"/>
            <w:noWrap/>
            <w:vAlign w:val="bottom"/>
            <w:hideMark/>
          </w:tcPr>
          <w:p w14:paraId="7A98DA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64 </w:t>
            </w:r>
          </w:p>
        </w:tc>
        <w:tc>
          <w:tcPr>
            <w:tcW w:w="777" w:type="dxa"/>
            <w:tcBorders>
              <w:top w:val="nil"/>
              <w:left w:val="nil"/>
              <w:bottom w:val="nil"/>
              <w:right w:val="nil"/>
            </w:tcBorders>
            <w:shd w:val="clear" w:color="auto" w:fill="auto"/>
            <w:noWrap/>
            <w:vAlign w:val="bottom"/>
            <w:hideMark/>
          </w:tcPr>
          <w:p w14:paraId="54FDC1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79 </w:t>
            </w:r>
          </w:p>
        </w:tc>
        <w:tc>
          <w:tcPr>
            <w:tcW w:w="778" w:type="dxa"/>
            <w:tcBorders>
              <w:top w:val="nil"/>
              <w:left w:val="nil"/>
              <w:bottom w:val="nil"/>
              <w:right w:val="nil"/>
            </w:tcBorders>
            <w:shd w:val="clear" w:color="auto" w:fill="auto"/>
            <w:noWrap/>
            <w:vAlign w:val="bottom"/>
            <w:hideMark/>
          </w:tcPr>
          <w:p w14:paraId="25F45F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 </w:t>
            </w:r>
          </w:p>
        </w:tc>
        <w:tc>
          <w:tcPr>
            <w:tcW w:w="777" w:type="dxa"/>
            <w:tcBorders>
              <w:top w:val="nil"/>
              <w:left w:val="nil"/>
              <w:bottom w:val="nil"/>
              <w:right w:val="nil"/>
            </w:tcBorders>
            <w:shd w:val="clear" w:color="auto" w:fill="auto"/>
            <w:noWrap/>
            <w:vAlign w:val="bottom"/>
            <w:hideMark/>
          </w:tcPr>
          <w:p w14:paraId="2AF622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60 </w:t>
            </w:r>
          </w:p>
        </w:tc>
        <w:tc>
          <w:tcPr>
            <w:tcW w:w="778" w:type="dxa"/>
            <w:tcBorders>
              <w:top w:val="nil"/>
              <w:left w:val="nil"/>
              <w:bottom w:val="nil"/>
              <w:right w:val="nil"/>
            </w:tcBorders>
            <w:shd w:val="clear" w:color="auto" w:fill="auto"/>
            <w:noWrap/>
            <w:vAlign w:val="bottom"/>
            <w:hideMark/>
          </w:tcPr>
          <w:p w14:paraId="3F8B72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 </w:t>
            </w:r>
          </w:p>
        </w:tc>
        <w:tc>
          <w:tcPr>
            <w:tcW w:w="868" w:type="dxa"/>
            <w:tcBorders>
              <w:top w:val="nil"/>
              <w:left w:val="nil"/>
              <w:bottom w:val="nil"/>
              <w:right w:val="nil"/>
            </w:tcBorders>
            <w:shd w:val="clear" w:color="auto" w:fill="auto"/>
            <w:noWrap/>
            <w:vAlign w:val="bottom"/>
            <w:hideMark/>
          </w:tcPr>
          <w:p w14:paraId="63AB96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 </w:t>
            </w:r>
          </w:p>
        </w:tc>
        <w:tc>
          <w:tcPr>
            <w:tcW w:w="762" w:type="dxa"/>
            <w:tcBorders>
              <w:top w:val="nil"/>
              <w:left w:val="nil"/>
              <w:bottom w:val="nil"/>
              <w:right w:val="nil"/>
            </w:tcBorders>
            <w:shd w:val="clear" w:color="auto" w:fill="auto"/>
            <w:noWrap/>
            <w:vAlign w:val="bottom"/>
            <w:hideMark/>
          </w:tcPr>
          <w:p w14:paraId="48AD70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915" w:type="dxa"/>
            <w:tcBorders>
              <w:top w:val="nil"/>
              <w:left w:val="nil"/>
              <w:bottom w:val="nil"/>
              <w:right w:val="nil"/>
            </w:tcBorders>
            <w:shd w:val="clear" w:color="auto" w:fill="auto"/>
            <w:noWrap/>
            <w:vAlign w:val="bottom"/>
            <w:hideMark/>
          </w:tcPr>
          <w:p w14:paraId="40B265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45 </w:t>
            </w:r>
          </w:p>
        </w:tc>
        <w:tc>
          <w:tcPr>
            <w:tcW w:w="759" w:type="dxa"/>
            <w:tcBorders>
              <w:top w:val="nil"/>
              <w:left w:val="nil"/>
              <w:bottom w:val="nil"/>
              <w:right w:val="nil"/>
            </w:tcBorders>
            <w:shd w:val="clear" w:color="auto" w:fill="auto"/>
            <w:noWrap/>
            <w:vAlign w:val="bottom"/>
            <w:hideMark/>
          </w:tcPr>
          <w:p w14:paraId="16FCC5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0.7 </w:t>
            </w:r>
          </w:p>
        </w:tc>
        <w:tc>
          <w:tcPr>
            <w:tcW w:w="672" w:type="dxa"/>
            <w:tcBorders>
              <w:top w:val="nil"/>
              <w:left w:val="nil"/>
              <w:bottom w:val="nil"/>
              <w:right w:val="nil"/>
            </w:tcBorders>
            <w:shd w:val="clear" w:color="auto" w:fill="auto"/>
            <w:noWrap/>
            <w:vAlign w:val="bottom"/>
            <w:hideMark/>
          </w:tcPr>
          <w:p w14:paraId="7A2C1D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218 </w:t>
            </w:r>
          </w:p>
        </w:tc>
        <w:tc>
          <w:tcPr>
            <w:tcW w:w="802" w:type="dxa"/>
            <w:tcBorders>
              <w:top w:val="nil"/>
              <w:left w:val="nil"/>
              <w:bottom w:val="nil"/>
              <w:right w:val="nil"/>
            </w:tcBorders>
            <w:shd w:val="clear" w:color="auto" w:fill="auto"/>
            <w:noWrap/>
            <w:vAlign w:val="bottom"/>
            <w:hideMark/>
          </w:tcPr>
          <w:p w14:paraId="098246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3.39 </w:t>
            </w:r>
          </w:p>
        </w:tc>
      </w:tr>
      <w:tr w:rsidR="00AC362E" w:rsidRPr="00491EF1" w14:paraId="12FD4C94" w14:textId="77777777" w:rsidTr="00ED0631">
        <w:trPr>
          <w:trHeight w:val="315"/>
        </w:trPr>
        <w:tc>
          <w:tcPr>
            <w:tcW w:w="2142" w:type="dxa"/>
            <w:tcBorders>
              <w:top w:val="nil"/>
              <w:left w:val="nil"/>
              <w:bottom w:val="nil"/>
              <w:right w:val="nil"/>
            </w:tcBorders>
            <w:vAlign w:val="bottom"/>
          </w:tcPr>
          <w:p w14:paraId="1EF8CC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67" w:type="dxa"/>
            <w:tcBorders>
              <w:top w:val="nil"/>
              <w:left w:val="nil"/>
              <w:bottom w:val="nil"/>
              <w:right w:val="nil"/>
            </w:tcBorders>
            <w:shd w:val="clear" w:color="auto" w:fill="auto"/>
            <w:noWrap/>
            <w:vAlign w:val="bottom"/>
            <w:hideMark/>
          </w:tcPr>
          <w:p w14:paraId="49BCCC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1.0482 </w:t>
            </w:r>
          </w:p>
        </w:tc>
        <w:tc>
          <w:tcPr>
            <w:tcW w:w="720" w:type="dxa"/>
            <w:tcBorders>
              <w:top w:val="nil"/>
              <w:left w:val="nil"/>
              <w:bottom w:val="nil"/>
              <w:right w:val="nil"/>
            </w:tcBorders>
            <w:shd w:val="clear" w:color="auto" w:fill="auto"/>
            <w:noWrap/>
            <w:vAlign w:val="bottom"/>
            <w:hideMark/>
          </w:tcPr>
          <w:p w14:paraId="6B0FB6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48 </w:t>
            </w:r>
          </w:p>
        </w:tc>
        <w:tc>
          <w:tcPr>
            <w:tcW w:w="1028" w:type="dxa"/>
            <w:tcBorders>
              <w:top w:val="nil"/>
              <w:left w:val="nil"/>
              <w:bottom w:val="nil"/>
              <w:right w:val="nil"/>
            </w:tcBorders>
            <w:shd w:val="clear" w:color="auto" w:fill="auto"/>
            <w:noWrap/>
            <w:vAlign w:val="bottom"/>
            <w:hideMark/>
          </w:tcPr>
          <w:p w14:paraId="54CDFB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90 </w:t>
            </w:r>
          </w:p>
        </w:tc>
        <w:tc>
          <w:tcPr>
            <w:tcW w:w="777" w:type="dxa"/>
            <w:tcBorders>
              <w:top w:val="nil"/>
              <w:left w:val="nil"/>
              <w:bottom w:val="nil"/>
              <w:right w:val="nil"/>
            </w:tcBorders>
            <w:shd w:val="clear" w:color="auto" w:fill="auto"/>
            <w:noWrap/>
            <w:vAlign w:val="bottom"/>
            <w:hideMark/>
          </w:tcPr>
          <w:p w14:paraId="7D486ED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38 </w:t>
            </w:r>
          </w:p>
        </w:tc>
        <w:tc>
          <w:tcPr>
            <w:tcW w:w="778" w:type="dxa"/>
            <w:tcBorders>
              <w:top w:val="nil"/>
              <w:left w:val="nil"/>
              <w:bottom w:val="nil"/>
              <w:right w:val="nil"/>
            </w:tcBorders>
            <w:shd w:val="clear" w:color="auto" w:fill="auto"/>
            <w:noWrap/>
            <w:vAlign w:val="bottom"/>
            <w:hideMark/>
          </w:tcPr>
          <w:p w14:paraId="5ED265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777" w:type="dxa"/>
            <w:tcBorders>
              <w:top w:val="nil"/>
              <w:left w:val="nil"/>
              <w:bottom w:val="nil"/>
              <w:right w:val="nil"/>
            </w:tcBorders>
            <w:shd w:val="clear" w:color="auto" w:fill="auto"/>
            <w:noWrap/>
            <w:vAlign w:val="bottom"/>
            <w:hideMark/>
          </w:tcPr>
          <w:p w14:paraId="487AE6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66 </w:t>
            </w:r>
          </w:p>
        </w:tc>
        <w:tc>
          <w:tcPr>
            <w:tcW w:w="778" w:type="dxa"/>
            <w:tcBorders>
              <w:top w:val="nil"/>
              <w:left w:val="nil"/>
              <w:bottom w:val="nil"/>
              <w:right w:val="nil"/>
            </w:tcBorders>
            <w:shd w:val="clear" w:color="auto" w:fill="auto"/>
            <w:noWrap/>
            <w:vAlign w:val="bottom"/>
            <w:hideMark/>
          </w:tcPr>
          <w:p w14:paraId="2DDE54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0.7 </w:t>
            </w:r>
          </w:p>
        </w:tc>
        <w:tc>
          <w:tcPr>
            <w:tcW w:w="868" w:type="dxa"/>
            <w:tcBorders>
              <w:top w:val="nil"/>
              <w:left w:val="nil"/>
              <w:bottom w:val="nil"/>
              <w:right w:val="nil"/>
            </w:tcBorders>
            <w:shd w:val="clear" w:color="auto" w:fill="auto"/>
            <w:noWrap/>
            <w:vAlign w:val="bottom"/>
            <w:hideMark/>
          </w:tcPr>
          <w:p w14:paraId="4551E7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37 </w:t>
            </w:r>
          </w:p>
        </w:tc>
        <w:tc>
          <w:tcPr>
            <w:tcW w:w="762" w:type="dxa"/>
            <w:tcBorders>
              <w:top w:val="nil"/>
              <w:left w:val="nil"/>
              <w:bottom w:val="nil"/>
              <w:right w:val="nil"/>
            </w:tcBorders>
            <w:shd w:val="clear" w:color="auto" w:fill="auto"/>
            <w:noWrap/>
            <w:vAlign w:val="bottom"/>
            <w:hideMark/>
          </w:tcPr>
          <w:p w14:paraId="723655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915" w:type="dxa"/>
            <w:tcBorders>
              <w:top w:val="nil"/>
              <w:left w:val="nil"/>
              <w:bottom w:val="nil"/>
              <w:right w:val="nil"/>
            </w:tcBorders>
            <w:shd w:val="clear" w:color="auto" w:fill="auto"/>
            <w:noWrap/>
            <w:vAlign w:val="bottom"/>
            <w:hideMark/>
          </w:tcPr>
          <w:p w14:paraId="29875B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41 </w:t>
            </w:r>
          </w:p>
        </w:tc>
        <w:tc>
          <w:tcPr>
            <w:tcW w:w="759" w:type="dxa"/>
            <w:tcBorders>
              <w:top w:val="nil"/>
              <w:left w:val="nil"/>
              <w:bottom w:val="nil"/>
              <w:right w:val="nil"/>
            </w:tcBorders>
            <w:shd w:val="clear" w:color="auto" w:fill="auto"/>
            <w:noWrap/>
            <w:vAlign w:val="bottom"/>
            <w:hideMark/>
          </w:tcPr>
          <w:p w14:paraId="48DD04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672" w:type="dxa"/>
            <w:tcBorders>
              <w:top w:val="nil"/>
              <w:left w:val="nil"/>
              <w:bottom w:val="nil"/>
              <w:right w:val="nil"/>
            </w:tcBorders>
            <w:shd w:val="clear" w:color="auto" w:fill="auto"/>
            <w:noWrap/>
            <w:vAlign w:val="bottom"/>
            <w:hideMark/>
          </w:tcPr>
          <w:p w14:paraId="61FDF3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181 </w:t>
            </w:r>
          </w:p>
        </w:tc>
        <w:tc>
          <w:tcPr>
            <w:tcW w:w="802" w:type="dxa"/>
            <w:tcBorders>
              <w:top w:val="nil"/>
              <w:left w:val="nil"/>
              <w:bottom w:val="nil"/>
              <w:right w:val="nil"/>
            </w:tcBorders>
            <w:shd w:val="clear" w:color="auto" w:fill="auto"/>
            <w:noWrap/>
            <w:vAlign w:val="bottom"/>
            <w:hideMark/>
          </w:tcPr>
          <w:p w14:paraId="6666DB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2.01 </w:t>
            </w:r>
          </w:p>
        </w:tc>
      </w:tr>
      <w:tr w:rsidR="00AC362E" w:rsidRPr="00491EF1" w14:paraId="1E8AF6D6" w14:textId="77777777" w:rsidTr="00ED0631">
        <w:trPr>
          <w:trHeight w:val="315"/>
        </w:trPr>
        <w:tc>
          <w:tcPr>
            <w:tcW w:w="2142" w:type="dxa"/>
            <w:tcBorders>
              <w:top w:val="nil"/>
              <w:left w:val="nil"/>
              <w:bottom w:val="nil"/>
              <w:right w:val="nil"/>
            </w:tcBorders>
            <w:vAlign w:val="bottom"/>
          </w:tcPr>
          <w:p w14:paraId="1A6F8B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67" w:type="dxa"/>
            <w:tcBorders>
              <w:top w:val="nil"/>
              <w:left w:val="nil"/>
              <w:bottom w:val="nil"/>
              <w:right w:val="nil"/>
            </w:tcBorders>
            <w:shd w:val="clear" w:color="auto" w:fill="auto"/>
            <w:noWrap/>
            <w:vAlign w:val="bottom"/>
            <w:hideMark/>
          </w:tcPr>
          <w:p w14:paraId="44356D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0.5130 </w:t>
            </w:r>
          </w:p>
        </w:tc>
        <w:tc>
          <w:tcPr>
            <w:tcW w:w="720" w:type="dxa"/>
            <w:tcBorders>
              <w:top w:val="nil"/>
              <w:left w:val="nil"/>
              <w:bottom w:val="nil"/>
              <w:right w:val="nil"/>
            </w:tcBorders>
            <w:shd w:val="clear" w:color="auto" w:fill="auto"/>
            <w:noWrap/>
            <w:vAlign w:val="bottom"/>
            <w:hideMark/>
          </w:tcPr>
          <w:p w14:paraId="50B2C4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 </w:t>
            </w:r>
          </w:p>
        </w:tc>
        <w:tc>
          <w:tcPr>
            <w:tcW w:w="1028" w:type="dxa"/>
            <w:tcBorders>
              <w:top w:val="nil"/>
              <w:left w:val="nil"/>
              <w:bottom w:val="nil"/>
              <w:right w:val="nil"/>
            </w:tcBorders>
            <w:shd w:val="clear" w:color="auto" w:fill="auto"/>
            <w:noWrap/>
            <w:vAlign w:val="bottom"/>
            <w:hideMark/>
          </w:tcPr>
          <w:p w14:paraId="7526C3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38 </w:t>
            </w:r>
          </w:p>
        </w:tc>
        <w:tc>
          <w:tcPr>
            <w:tcW w:w="777" w:type="dxa"/>
            <w:tcBorders>
              <w:top w:val="nil"/>
              <w:left w:val="nil"/>
              <w:bottom w:val="nil"/>
              <w:right w:val="nil"/>
            </w:tcBorders>
            <w:shd w:val="clear" w:color="auto" w:fill="auto"/>
            <w:noWrap/>
            <w:vAlign w:val="bottom"/>
            <w:hideMark/>
          </w:tcPr>
          <w:p w14:paraId="6B184C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778" w:type="dxa"/>
            <w:tcBorders>
              <w:top w:val="nil"/>
              <w:left w:val="nil"/>
              <w:bottom w:val="nil"/>
              <w:right w:val="nil"/>
            </w:tcBorders>
            <w:shd w:val="clear" w:color="auto" w:fill="auto"/>
            <w:noWrap/>
            <w:vAlign w:val="bottom"/>
            <w:hideMark/>
          </w:tcPr>
          <w:p w14:paraId="1E3086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777" w:type="dxa"/>
            <w:tcBorders>
              <w:top w:val="nil"/>
              <w:left w:val="nil"/>
              <w:bottom w:val="nil"/>
              <w:right w:val="nil"/>
            </w:tcBorders>
            <w:shd w:val="clear" w:color="auto" w:fill="auto"/>
            <w:noWrap/>
            <w:vAlign w:val="bottom"/>
            <w:hideMark/>
          </w:tcPr>
          <w:p w14:paraId="469B9F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37 </w:t>
            </w:r>
          </w:p>
        </w:tc>
        <w:tc>
          <w:tcPr>
            <w:tcW w:w="778" w:type="dxa"/>
            <w:tcBorders>
              <w:top w:val="nil"/>
              <w:left w:val="nil"/>
              <w:bottom w:val="nil"/>
              <w:right w:val="nil"/>
            </w:tcBorders>
            <w:shd w:val="clear" w:color="auto" w:fill="auto"/>
            <w:noWrap/>
            <w:vAlign w:val="bottom"/>
            <w:hideMark/>
          </w:tcPr>
          <w:p w14:paraId="5B4929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868" w:type="dxa"/>
            <w:tcBorders>
              <w:top w:val="nil"/>
              <w:left w:val="nil"/>
              <w:bottom w:val="nil"/>
              <w:right w:val="nil"/>
            </w:tcBorders>
            <w:shd w:val="clear" w:color="auto" w:fill="auto"/>
            <w:noWrap/>
            <w:vAlign w:val="bottom"/>
            <w:hideMark/>
          </w:tcPr>
          <w:p w14:paraId="20BABD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 </w:t>
            </w:r>
          </w:p>
        </w:tc>
        <w:tc>
          <w:tcPr>
            <w:tcW w:w="762" w:type="dxa"/>
            <w:tcBorders>
              <w:top w:val="nil"/>
              <w:left w:val="nil"/>
              <w:bottom w:val="nil"/>
              <w:right w:val="nil"/>
            </w:tcBorders>
            <w:shd w:val="clear" w:color="auto" w:fill="auto"/>
            <w:noWrap/>
            <w:vAlign w:val="bottom"/>
            <w:hideMark/>
          </w:tcPr>
          <w:p w14:paraId="36FD6A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915" w:type="dxa"/>
            <w:tcBorders>
              <w:top w:val="nil"/>
              <w:left w:val="nil"/>
              <w:bottom w:val="nil"/>
              <w:right w:val="nil"/>
            </w:tcBorders>
            <w:shd w:val="clear" w:color="auto" w:fill="auto"/>
            <w:noWrap/>
            <w:vAlign w:val="bottom"/>
            <w:hideMark/>
          </w:tcPr>
          <w:p w14:paraId="32FE96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759" w:type="dxa"/>
            <w:tcBorders>
              <w:top w:val="nil"/>
              <w:left w:val="nil"/>
              <w:bottom w:val="nil"/>
              <w:right w:val="nil"/>
            </w:tcBorders>
            <w:shd w:val="clear" w:color="auto" w:fill="auto"/>
            <w:noWrap/>
            <w:vAlign w:val="bottom"/>
            <w:hideMark/>
          </w:tcPr>
          <w:p w14:paraId="6BE71C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672" w:type="dxa"/>
            <w:tcBorders>
              <w:top w:val="nil"/>
              <w:left w:val="nil"/>
              <w:bottom w:val="nil"/>
              <w:right w:val="nil"/>
            </w:tcBorders>
            <w:shd w:val="clear" w:color="auto" w:fill="auto"/>
            <w:noWrap/>
            <w:vAlign w:val="bottom"/>
            <w:hideMark/>
          </w:tcPr>
          <w:p w14:paraId="1C46CA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76 </w:t>
            </w:r>
          </w:p>
        </w:tc>
        <w:tc>
          <w:tcPr>
            <w:tcW w:w="802" w:type="dxa"/>
            <w:tcBorders>
              <w:top w:val="nil"/>
              <w:left w:val="nil"/>
              <w:bottom w:val="nil"/>
              <w:right w:val="nil"/>
            </w:tcBorders>
            <w:shd w:val="clear" w:color="auto" w:fill="auto"/>
            <w:noWrap/>
            <w:vAlign w:val="bottom"/>
            <w:hideMark/>
          </w:tcPr>
          <w:p w14:paraId="62D4F3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1.97 </w:t>
            </w:r>
          </w:p>
        </w:tc>
      </w:tr>
      <w:tr w:rsidR="00AC362E" w:rsidRPr="00491EF1" w14:paraId="4DD2842C" w14:textId="77777777" w:rsidTr="00ED0631">
        <w:trPr>
          <w:trHeight w:val="315"/>
        </w:trPr>
        <w:tc>
          <w:tcPr>
            <w:tcW w:w="2142" w:type="dxa"/>
            <w:tcBorders>
              <w:top w:val="nil"/>
              <w:left w:val="nil"/>
              <w:bottom w:val="nil"/>
              <w:right w:val="nil"/>
            </w:tcBorders>
            <w:vAlign w:val="bottom"/>
          </w:tcPr>
          <w:p w14:paraId="542C34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67" w:type="dxa"/>
            <w:tcBorders>
              <w:top w:val="nil"/>
              <w:left w:val="nil"/>
              <w:bottom w:val="nil"/>
              <w:right w:val="nil"/>
            </w:tcBorders>
            <w:shd w:val="clear" w:color="auto" w:fill="auto"/>
            <w:noWrap/>
            <w:vAlign w:val="bottom"/>
            <w:hideMark/>
          </w:tcPr>
          <w:p w14:paraId="3EEACF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0.5833 </w:t>
            </w:r>
          </w:p>
        </w:tc>
        <w:tc>
          <w:tcPr>
            <w:tcW w:w="720" w:type="dxa"/>
            <w:tcBorders>
              <w:top w:val="nil"/>
              <w:left w:val="nil"/>
              <w:bottom w:val="nil"/>
              <w:right w:val="nil"/>
            </w:tcBorders>
            <w:shd w:val="clear" w:color="auto" w:fill="auto"/>
            <w:noWrap/>
            <w:vAlign w:val="bottom"/>
            <w:hideMark/>
          </w:tcPr>
          <w:p w14:paraId="511482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29 </w:t>
            </w:r>
          </w:p>
        </w:tc>
        <w:tc>
          <w:tcPr>
            <w:tcW w:w="1028" w:type="dxa"/>
            <w:tcBorders>
              <w:top w:val="nil"/>
              <w:left w:val="nil"/>
              <w:bottom w:val="nil"/>
              <w:right w:val="nil"/>
            </w:tcBorders>
            <w:shd w:val="clear" w:color="auto" w:fill="auto"/>
            <w:noWrap/>
            <w:vAlign w:val="bottom"/>
            <w:hideMark/>
          </w:tcPr>
          <w:p w14:paraId="1ADE5A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58 </w:t>
            </w:r>
          </w:p>
        </w:tc>
        <w:tc>
          <w:tcPr>
            <w:tcW w:w="777" w:type="dxa"/>
            <w:tcBorders>
              <w:top w:val="nil"/>
              <w:left w:val="nil"/>
              <w:bottom w:val="nil"/>
              <w:right w:val="nil"/>
            </w:tcBorders>
            <w:shd w:val="clear" w:color="auto" w:fill="auto"/>
            <w:noWrap/>
            <w:vAlign w:val="bottom"/>
            <w:hideMark/>
          </w:tcPr>
          <w:p w14:paraId="5F4BC5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 </w:t>
            </w:r>
          </w:p>
        </w:tc>
        <w:tc>
          <w:tcPr>
            <w:tcW w:w="778" w:type="dxa"/>
            <w:tcBorders>
              <w:top w:val="nil"/>
              <w:left w:val="nil"/>
              <w:bottom w:val="nil"/>
              <w:right w:val="nil"/>
            </w:tcBorders>
            <w:shd w:val="clear" w:color="auto" w:fill="auto"/>
            <w:noWrap/>
            <w:vAlign w:val="bottom"/>
            <w:hideMark/>
          </w:tcPr>
          <w:p w14:paraId="78D252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777" w:type="dxa"/>
            <w:tcBorders>
              <w:top w:val="nil"/>
              <w:left w:val="nil"/>
              <w:bottom w:val="nil"/>
              <w:right w:val="nil"/>
            </w:tcBorders>
            <w:shd w:val="clear" w:color="auto" w:fill="auto"/>
            <w:noWrap/>
            <w:vAlign w:val="bottom"/>
            <w:hideMark/>
          </w:tcPr>
          <w:p w14:paraId="37A61C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50 </w:t>
            </w:r>
          </w:p>
        </w:tc>
        <w:tc>
          <w:tcPr>
            <w:tcW w:w="778" w:type="dxa"/>
            <w:tcBorders>
              <w:top w:val="nil"/>
              <w:left w:val="nil"/>
              <w:bottom w:val="nil"/>
              <w:right w:val="nil"/>
            </w:tcBorders>
            <w:shd w:val="clear" w:color="auto" w:fill="auto"/>
            <w:noWrap/>
            <w:vAlign w:val="bottom"/>
            <w:hideMark/>
          </w:tcPr>
          <w:p w14:paraId="7AA20F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 </w:t>
            </w:r>
          </w:p>
        </w:tc>
        <w:tc>
          <w:tcPr>
            <w:tcW w:w="868" w:type="dxa"/>
            <w:tcBorders>
              <w:top w:val="nil"/>
              <w:left w:val="nil"/>
              <w:bottom w:val="nil"/>
              <w:right w:val="nil"/>
            </w:tcBorders>
            <w:shd w:val="clear" w:color="auto" w:fill="auto"/>
            <w:noWrap/>
            <w:vAlign w:val="bottom"/>
            <w:hideMark/>
          </w:tcPr>
          <w:p w14:paraId="362F4B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 </w:t>
            </w:r>
          </w:p>
        </w:tc>
        <w:tc>
          <w:tcPr>
            <w:tcW w:w="762" w:type="dxa"/>
            <w:tcBorders>
              <w:top w:val="nil"/>
              <w:left w:val="nil"/>
              <w:bottom w:val="nil"/>
              <w:right w:val="nil"/>
            </w:tcBorders>
            <w:shd w:val="clear" w:color="auto" w:fill="auto"/>
            <w:noWrap/>
            <w:vAlign w:val="bottom"/>
            <w:hideMark/>
          </w:tcPr>
          <w:p w14:paraId="4F747F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0.2 </w:t>
            </w:r>
          </w:p>
        </w:tc>
        <w:tc>
          <w:tcPr>
            <w:tcW w:w="915" w:type="dxa"/>
            <w:tcBorders>
              <w:top w:val="nil"/>
              <w:left w:val="nil"/>
              <w:bottom w:val="nil"/>
              <w:right w:val="nil"/>
            </w:tcBorders>
            <w:shd w:val="clear" w:color="auto" w:fill="auto"/>
            <w:noWrap/>
            <w:vAlign w:val="bottom"/>
            <w:hideMark/>
          </w:tcPr>
          <w:p w14:paraId="4340DE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 </w:t>
            </w:r>
          </w:p>
        </w:tc>
        <w:tc>
          <w:tcPr>
            <w:tcW w:w="759" w:type="dxa"/>
            <w:tcBorders>
              <w:top w:val="nil"/>
              <w:left w:val="nil"/>
              <w:bottom w:val="nil"/>
              <w:right w:val="nil"/>
            </w:tcBorders>
            <w:shd w:val="clear" w:color="auto" w:fill="auto"/>
            <w:noWrap/>
            <w:vAlign w:val="bottom"/>
            <w:hideMark/>
          </w:tcPr>
          <w:p w14:paraId="2AA21B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0.2 </w:t>
            </w:r>
          </w:p>
        </w:tc>
        <w:tc>
          <w:tcPr>
            <w:tcW w:w="672" w:type="dxa"/>
            <w:tcBorders>
              <w:top w:val="nil"/>
              <w:left w:val="nil"/>
              <w:bottom w:val="nil"/>
              <w:right w:val="nil"/>
            </w:tcBorders>
            <w:shd w:val="clear" w:color="auto" w:fill="auto"/>
            <w:noWrap/>
            <w:vAlign w:val="bottom"/>
            <w:hideMark/>
          </w:tcPr>
          <w:p w14:paraId="2802C2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93 </w:t>
            </w:r>
          </w:p>
        </w:tc>
        <w:tc>
          <w:tcPr>
            <w:tcW w:w="802" w:type="dxa"/>
            <w:tcBorders>
              <w:top w:val="nil"/>
              <w:left w:val="nil"/>
              <w:bottom w:val="nil"/>
              <w:right w:val="nil"/>
            </w:tcBorders>
            <w:shd w:val="clear" w:color="auto" w:fill="auto"/>
            <w:noWrap/>
            <w:vAlign w:val="bottom"/>
            <w:hideMark/>
          </w:tcPr>
          <w:p w14:paraId="0CEF27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1.60 </w:t>
            </w:r>
          </w:p>
        </w:tc>
      </w:tr>
      <w:tr w:rsidR="00AC362E" w:rsidRPr="00491EF1" w14:paraId="1ED8AB99" w14:textId="77777777" w:rsidTr="00ED0631">
        <w:trPr>
          <w:trHeight w:val="315"/>
        </w:trPr>
        <w:tc>
          <w:tcPr>
            <w:tcW w:w="2142" w:type="dxa"/>
            <w:tcBorders>
              <w:top w:val="nil"/>
              <w:left w:val="nil"/>
              <w:bottom w:val="nil"/>
              <w:right w:val="nil"/>
            </w:tcBorders>
            <w:vAlign w:val="bottom"/>
          </w:tcPr>
          <w:p w14:paraId="202561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67" w:type="dxa"/>
            <w:tcBorders>
              <w:top w:val="nil"/>
              <w:left w:val="nil"/>
              <w:bottom w:val="nil"/>
              <w:right w:val="nil"/>
            </w:tcBorders>
            <w:shd w:val="clear" w:color="auto" w:fill="auto"/>
            <w:noWrap/>
            <w:vAlign w:val="bottom"/>
            <w:hideMark/>
          </w:tcPr>
          <w:p w14:paraId="5524E8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0.9838 </w:t>
            </w:r>
          </w:p>
        </w:tc>
        <w:tc>
          <w:tcPr>
            <w:tcW w:w="720" w:type="dxa"/>
            <w:tcBorders>
              <w:top w:val="nil"/>
              <w:left w:val="nil"/>
              <w:bottom w:val="nil"/>
              <w:right w:val="nil"/>
            </w:tcBorders>
            <w:shd w:val="clear" w:color="auto" w:fill="auto"/>
            <w:noWrap/>
            <w:vAlign w:val="bottom"/>
            <w:hideMark/>
          </w:tcPr>
          <w:p w14:paraId="03F0F0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38 </w:t>
            </w:r>
          </w:p>
        </w:tc>
        <w:tc>
          <w:tcPr>
            <w:tcW w:w="1028" w:type="dxa"/>
            <w:tcBorders>
              <w:top w:val="nil"/>
              <w:left w:val="nil"/>
              <w:bottom w:val="nil"/>
              <w:right w:val="nil"/>
            </w:tcBorders>
            <w:shd w:val="clear" w:color="auto" w:fill="auto"/>
            <w:noWrap/>
            <w:vAlign w:val="bottom"/>
            <w:hideMark/>
          </w:tcPr>
          <w:p w14:paraId="4D4525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 </w:t>
            </w:r>
          </w:p>
        </w:tc>
        <w:tc>
          <w:tcPr>
            <w:tcW w:w="777" w:type="dxa"/>
            <w:tcBorders>
              <w:top w:val="nil"/>
              <w:left w:val="nil"/>
              <w:bottom w:val="nil"/>
              <w:right w:val="nil"/>
            </w:tcBorders>
            <w:shd w:val="clear" w:color="auto" w:fill="auto"/>
            <w:noWrap/>
            <w:vAlign w:val="bottom"/>
            <w:hideMark/>
          </w:tcPr>
          <w:p w14:paraId="70C6E7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 </w:t>
            </w:r>
          </w:p>
        </w:tc>
        <w:tc>
          <w:tcPr>
            <w:tcW w:w="778" w:type="dxa"/>
            <w:tcBorders>
              <w:top w:val="nil"/>
              <w:left w:val="nil"/>
              <w:bottom w:val="nil"/>
              <w:right w:val="nil"/>
            </w:tcBorders>
            <w:shd w:val="clear" w:color="auto" w:fill="auto"/>
            <w:noWrap/>
            <w:vAlign w:val="bottom"/>
            <w:hideMark/>
          </w:tcPr>
          <w:p w14:paraId="199A10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0.4 </w:t>
            </w:r>
          </w:p>
        </w:tc>
        <w:tc>
          <w:tcPr>
            <w:tcW w:w="777" w:type="dxa"/>
            <w:tcBorders>
              <w:top w:val="nil"/>
              <w:left w:val="nil"/>
              <w:bottom w:val="nil"/>
              <w:right w:val="nil"/>
            </w:tcBorders>
            <w:shd w:val="clear" w:color="auto" w:fill="auto"/>
            <w:noWrap/>
            <w:vAlign w:val="bottom"/>
            <w:hideMark/>
          </w:tcPr>
          <w:p w14:paraId="4673E1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40 </w:t>
            </w:r>
          </w:p>
        </w:tc>
        <w:tc>
          <w:tcPr>
            <w:tcW w:w="778" w:type="dxa"/>
            <w:tcBorders>
              <w:top w:val="nil"/>
              <w:left w:val="nil"/>
              <w:bottom w:val="nil"/>
              <w:right w:val="nil"/>
            </w:tcBorders>
            <w:shd w:val="clear" w:color="auto" w:fill="auto"/>
            <w:noWrap/>
            <w:vAlign w:val="bottom"/>
            <w:hideMark/>
          </w:tcPr>
          <w:p w14:paraId="669F2A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0.5 </w:t>
            </w:r>
          </w:p>
        </w:tc>
        <w:tc>
          <w:tcPr>
            <w:tcW w:w="868" w:type="dxa"/>
            <w:tcBorders>
              <w:top w:val="nil"/>
              <w:left w:val="nil"/>
              <w:bottom w:val="nil"/>
              <w:right w:val="nil"/>
            </w:tcBorders>
            <w:shd w:val="clear" w:color="auto" w:fill="auto"/>
            <w:noWrap/>
            <w:vAlign w:val="bottom"/>
            <w:hideMark/>
          </w:tcPr>
          <w:p w14:paraId="033C5D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23 </w:t>
            </w:r>
          </w:p>
        </w:tc>
        <w:tc>
          <w:tcPr>
            <w:tcW w:w="762" w:type="dxa"/>
            <w:tcBorders>
              <w:top w:val="nil"/>
              <w:left w:val="nil"/>
              <w:bottom w:val="nil"/>
              <w:right w:val="nil"/>
            </w:tcBorders>
            <w:shd w:val="clear" w:color="auto" w:fill="auto"/>
            <w:noWrap/>
            <w:vAlign w:val="bottom"/>
            <w:hideMark/>
          </w:tcPr>
          <w:p w14:paraId="3DCA33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915" w:type="dxa"/>
            <w:tcBorders>
              <w:top w:val="nil"/>
              <w:left w:val="nil"/>
              <w:bottom w:val="nil"/>
              <w:right w:val="nil"/>
            </w:tcBorders>
            <w:shd w:val="clear" w:color="auto" w:fill="auto"/>
            <w:noWrap/>
            <w:vAlign w:val="bottom"/>
            <w:hideMark/>
          </w:tcPr>
          <w:p w14:paraId="111491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48 </w:t>
            </w:r>
          </w:p>
        </w:tc>
        <w:tc>
          <w:tcPr>
            <w:tcW w:w="759" w:type="dxa"/>
            <w:tcBorders>
              <w:top w:val="nil"/>
              <w:left w:val="nil"/>
              <w:bottom w:val="nil"/>
              <w:right w:val="nil"/>
            </w:tcBorders>
            <w:shd w:val="clear" w:color="auto" w:fill="auto"/>
            <w:noWrap/>
            <w:vAlign w:val="bottom"/>
            <w:hideMark/>
          </w:tcPr>
          <w:p w14:paraId="5D0D73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672" w:type="dxa"/>
            <w:tcBorders>
              <w:top w:val="nil"/>
              <w:left w:val="nil"/>
              <w:bottom w:val="nil"/>
              <w:right w:val="nil"/>
            </w:tcBorders>
            <w:shd w:val="clear" w:color="auto" w:fill="auto"/>
            <w:noWrap/>
            <w:vAlign w:val="bottom"/>
            <w:hideMark/>
          </w:tcPr>
          <w:p w14:paraId="681D25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147 </w:t>
            </w:r>
          </w:p>
        </w:tc>
        <w:tc>
          <w:tcPr>
            <w:tcW w:w="802" w:type="dxa"/>
            <w:tcBorders>
              <w:top w:val="nil"/>
              <w:left w:val="nil"/>
              <w:bottom w:val="nil"/>
              <w:right w:val="nil"/>
            </w:tcBorders>
            <w:shd w:val="clear" w:color="auto" w:fill="auto"/>
            <w:noWrap/>
            <w:vAlign w:val="bottom"/>
            <w:hideMark/>
          </w:tcPr>
          <w:p w14:paraId="41240B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1.82 </w:t>
            </w:r>
          </w:p>
        </w:tc>
      </w:tr>
      <w:tr w:rsidR="00AC362E" w:rsidRPr="00491EF1" w14:paraId="43A4CF6C" w14:textId="77777777" w:rsidTr="00ED0631">
        <w:trPr>
          <w:trHeight w:val="315"/>
        </w:trPr>
        <w:tc>
          <w:tcPr>
            <w:tcW w:w="2142" w:type="dxa"/>
            <w:tcBorders>
              <w:top w:val="nil"/>
              <w:left w:val="nil"/>
              <w:bottom w:val="nil"/>
              <w:right w:val="nil"/>
            </w:tcBorders>
            <w:vAlign w:val="bottom"/>
          </w:tcPr>
          <w:p w14:paraId="793BDE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67" w:type="dxa"/>
            <w:tcBorders>
              <w:top w:val="nil"/>
              <w:left w:val="nil"/>
              <w:bottom w:val="nil"/>
              <w:right w:val="nil"/>
            </w:tcBorders>
            <w:shd w:val="clear" w:color="auto" w:fill="auto"/>
            <w:noWrap/>
            <w:vAlign w:val="bottom"/>
            <w:hideMark/>
          </w:tcPr>
          <w:p w14:paraId="08D2DC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1.3110 </w:t>
            </w:r>
          </w:p>
        </w:tc>
        <w:tc>
          <w:tcPr>
            <w:tcW w:w="720" w:type="dxa"/>
            <w:tcBorders>
              <w:top w:val="nil"/>
              <w:left w:val="nil"/>
              <w:bottom w:val="nil"/>
              <w:right w:val="nil"/>
            </w:tcBorders>
            <w:shd w:val="clear" w:color="auto" w:fill="auto"/>
            <w:noWrap/>
            <w:vAlign w:val="bottom"/>
            <w:hideMark/>
          </w:tcPr>
          <w:p w14:paraId="1C665B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56 </w:t>
            </w:r>
          </w:p>
        </w:tc>
        <w:tc>
          <w:tcPr>
            <w:tcW w:w="1028" w:type="dxa"/>
            <w:tcBorders>
              <w:top w:val="nil"/>
              <w:left w:val="nil"/>
              <w:bottom w:val="nil"/>
              <w:right w:val="nil"/>
            </w:tcBorders>
            <w:shd w:val="clear" w:color="auto" w:fill="auto"/>
            <w:noWrap/>
            <w:vAlign w:val="bottom"/>
            <w:hideMark/>
          </w:tcPr>
          <w:p w14:paraId="1DC7E6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126 </w:t>
            </w:r>
          </w:p>
        </w:tc>
        <w:tc>
          <w:tcPr>
            <w:tcW w:w="777" w:type="dxa"/>
            <w:tcBorders>
              <w:top w:val="nil"/>
              <w:left w:val="nil"/>
              <w:bottom w:val="nil"/>
              <w:right w:val="nil"/>
            </w:tcBorders>
            <w:shd w:val="clear" w:color="auto" w:fill="auto"/>
            <w:noWrap/>
            <w:vAlign w:val="bottom"/>
            <w:hideMark/>
          </w:tcPr>
          <w:p w14:paraId="18D7B3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778" w:type="dxa"/>
            <w:tcBorders>
              <w:top w:val="nil"/>
              <w:left w:val="nil"/>
              <w:bottom w:val="nil"/>
              <w:right w:val="nil"/>
            </w:tcBorders>
            <w:shd w:val="clear" w:color="auto" w:fill="auto"/>
            <w:noWrap/>
            <w:vAlign w:val="bottom"/>
            <w:hideMark/>
          </w:tcPr>
          <w:p w14:paraId="2617E2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777" w:type="dxa"/>
            <w:tcBorders>
              <w:top w:val="nil"/>
              <w:left w:val="nil"/>
              <w:bottom w:val="nil"/>
              <w:right w:val="nil"/>
            </w:tcBorders>
            <w:shd w:val="clear" w:color="auto" w:fill="auto"/>
            <w:noWrap/>
            <w:vAlign w:val="bottom"/>
            <w:hideMark/>
          </w:tcPr>
          <w:p w14:paraId="7D68B8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77 </w:t>
            </w:r>
          </w:p>
        </w:tc>
        <w:tc>
          <w:tcPr>
            <w:tcW w:w="778" w:type="dxa"/>
            <w:tcBorders>
              <w:top w:val="nil"/>
              <w:left w:val="nil"/>
              <w:bottom w:val="nil"/>
              <w:right w:val="nil"/>
            </w:tcBorders>
            <w:shd w:val="clear" w:color="auto" w:fill="auto"/>
            <w:noWrap/>
            <w:vAlign w:val="bottom"/>
            <w:hideMark/>
          </w:tcPr>
          <w:p w14:paraId="3577CE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 </w:t>
            </w:r>
          </w:p>
        </w:tc>
        <w:tc>
          <w:tcPr>
            <w:tcW w:w="868" w:type="dxa"/>
            <w:tcBorders>
              <w:top w:val="nil"/>
              <w:left w:val="nil"/>
              <w:bottom w:val="nil"/>
              <w:right w:val="nil"/>
            </w:tcBorders>
            <w:shd w:val="clear" w:color="auto" w:fill="auto"/>
            <w:noWrap/>
            <w:vAlign w:val="bottom"/>
            <w:hideMark/>
          </w:tcPr>
          <w:p w14:paraId="5036A7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34 </w:t>
            </w:r>
          </w:p>
        </w:tc>
        <w:tc>
          <w:tcPr>
            <w:tcW w:w="762" w:type="dxa"/>
            <w:tcBorders>
              <w:top w:val="nil"/>
              <w:left w:val="nil"/>
              <w:bottom w:val="nil"/>
              <w:right w:val="nil"/>
            </w:tcBorders>
            <w:shd w:val="clear" w:color="auto" w:fill="auto"/>
            <w:noWrap/>
            <w:vAlign w:val="bottom"/>
            <w:hideMark/>
          </w:tcPr>
          <w:p w14:paraId="5BD50C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915" w:type="dxa"/>
            <w:tcBorders>
              <w:top w:val="nil"/>
              <w:left w:val="nil"/>
              <w:bottom w:val="nil"/>
              <w:right w:val="nil"/>
            </w:tcBorders>
            <w:shd w:val="clear" w:color="auto" w:fill="auto"/>
            <w:noWrap/>
            <w:vAlign w:val="bottom"/>
            <w:hideMark/>
          </w:tcPr>
          <w:p w14:paraId="17574A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 </w:t>
            </w:r>
          </w:p>
        </w:tc>
        <w:tc>
          <w:tcPr>
            <w:tcW w:w="759" w:type="dxa"/>
            <w:tcBorders>
              <w:top w:val="nil"/>
              <w:left w:val="nil"/>
              <w:bottom w:val="nil"/>
              <w:right w:val="nil"/>
            </w:tcBorders>
            <w:shd w:val="clear" w:color="auto" w:fill="auto"/>
            <w:noWrap/>
            <w:vAlign w:val="bottom"/>
            <w:hideMark/>
          </w:tcPr>
          <w:p w14:paraId="0AC8D9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672" w:type="dxa"/>
            <w:tcBorders>
              <w:top w:val="nil"/>
              <w:left w:val="nil"/>
              <w:bottom w:val="nil"/>
              <w:right w:val="nil"/>
            </w:tcBorders>
            <w:shd w:val="clear" w:color="auto" w:fill="auto"/>
            <w:noWrap/>
            <w:vAlign w:val="bottom"/>
            <w:hideMark/>
          </w:tcPr>
          <w:p w14:paraId="5655E2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135 </w:t>
            </w:r>
          </w:p>
        </w:tc>
        <w:tc>
          <w:tcPr>
            <w:tcW w:w="802" w:type="dxa"/>
            <w:tcBorders>
              <w:top w:val="nil"/>
              <w:left w:val="nil"/>
              <w:bottom w:val="nil"/>
              <w:right w:val="nil"/>
            </w:tcBorders>
            <w:shd w:val="clear" w:color="auto" w:fill="auto"/>
            <w:noWrap/>
            <w:vAlign w:val="bottom"/>
            <w:hideMark/>
          </w:tcPr>
          <w:p w14:paraId="37E412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1.07 </w:t>
            </w:r>
          </w:p>
        </w:tc>
      </w:tr>
      <w:tr w:rsidR="00AC362E" w:rsidRPr="00491EF1" w14:paraId="14BBD01D" w14:textId="77777777" w:rsidTr="00ED0631">
        <w:trPr>
          <w:trHeight w:val="315"/>
        </w:trPr>
        <w:tc>
          <w:tcPr>
            <w:tcW w:w="2142" w:type="dxa"/>
            <w:tcBorders>
              <w:top w:val="nil"/>
              <w:left w:val="nil"/>
              <w:bottom w:val="nil"/>
              <w:right w:val="nil"/>
            </w:tcBorders>
            <w:vAlign w:val="bottom"/>
          </w:tcPr>
          <w:p w14:paraId="24B62F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67" w:type="dxa"/>
            <w:tcBorders>
              <w:top w:val="nil"/>
              <w:left w:val="nil"/>
              <w:bottom w:val="nil"/>
              <w:right w:val="nil"/>
            </w:tcBorders>
            <w:shd w:val="clear" w:color="auto" w:fill="auto"/>
            <w:noWrap/>
            <w:vAlign w:val="bottom"/>
            <w:hideMark/>
          </w:tcPr>
          <w:p w14:paraId="7C4B6C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0.3184 </w:t>
            </w:r>
          </w:p>
        </w:tc>
        <w:tc>
          <w:tcPr>
            <w:tcW w:w="720" w:type="dxa"/>
            <w:tcBorders>
              <w:top w:val="nil"/>
              <w:left w:val="nil"/>
              <w:bottom w:val="nil"/>
              <w:right w:val="nil"/>
            </w:tcBorders>
            <w:shd w:val="clear" w:color="auto" w:fill="auto"/>
            <w:noWrap/>
            <w:vAlign w:val="bottom"/>
            <w:hideMark/>
          </w:tcPr>
          <w:p w14:paraId="7481AB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 </w:t>
            </w:r>
          </w:p>
        </w:tc>
        <w:tc>
          <w:tcPr>
            <w:tcW w:w="1028" w:type="dxa"/>
            <w:tcBorders>
              <w:top w:val="nil"/>
              <w:left w:val="nil"/>
              <w:bottom w:val="nil"/>
              <w:right w:val="nil"/>
            </w:tcBorders>
            <w:shd w:val="clear" w:color="auto" w:fill="auto"/>
            <w:noWrap/>
            <w:vAlign w:val="bottom"/>
            <w:hideMark/>
          </w:tcPr>
          <w:p w14:paraId="2D8BEE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 </w:t>
            </w:r>
          </w:p>
        </w:tc>
        <w:tc>
          <w:tcPr>
            <w:tcW w:w="777" w:type="dxa"/>
            <w:tcBorders>
              <w:top w:val="nil"/>
              <w:left w:val="nil"/>
              <w:bottom w:val="nil"/>
              <w:right w:val="nil"/>
            </w:tcBorders>
            <w:shd w:val="clear" w:color="auto" w:fill="auto"/>
            <w:noWrap/>
            <w:vAlign w:val="bottom"/>
            <w:hideMark/>
          </w:tcPr>
          <w:p w14:paraId="6C4040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778" w:type="dxa"/>
            <w:tcBorders>
              <w:top w:val="nil"/>
              <w:left w:val="nil"/>
              <w:bottom w:val="nil"/>
              <w:right w:val="nil"/>
            </w:tcBorders>
            <w:shd w:val="clear" w:color="auto" w:fill="auto"/>
            <w:noWrap/>
            <w:vAlign w:val="bottom"/>
            <w:hideMark/>
          </w:tcPr>
          <w:p w14:paraId="77F394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777" w:type="dxa"/>
            <w:tcBorders>
              <w:top w:val="nil"/>
              <w:left w:val="nil"/>
              <w:bottom w:val="nil"/>
              <w:right w:val="nil"/>
            </w:tcBorders>
            <w:shd w:val="clear" w:color="auto" w:fill="auto"/>
            <w:noWrap/>
            <w:vAlign w:val="bottom"/>
            <w:hideMark/>
          </w:tcPr>
          <w:p w14:paraId="56A306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778" w:type="dxa"/>
            <w:tcBorders>
              <w:top w:val="nil"/>
              <w:left w:val="nil"/>
              <w:bottom w:val="nil"/>
              <w:right w:val="nil"/>
            </w:tcBorders>
            <w:shd w:val="clear" w:color="auto" w:fill="auto"/>
            <w:noWrap/>
            <w:vAlign w:val="bottom"/>
            <w:hideMark/>
          </w:tcPr>
          <w:p w14:paraId="4746E8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0.6 </w:t>
            </w:r>
          </w:p>
        </w:tc>
        <w:tc>
          <w:tcPr>
            <w:tcW w:w="868" w:type="dxa"/>
            <w:tcBorders>
              <w:top w:val="nil"/>
              <w:left w:val="nil"/>
              <w:bottom w:val="nil"/>
              <w:right w:val="nil"/>
            </w:tcBorders>
            <w:shd w:val="clear" w:color="auto" w:fill="auto"/>
            <w:noWrap/>
            <w:vAlign w:val="bottom"/>
            <w:hideMark/>
          </w:tcPr>
          <w:p w14:paraId="0654BC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762" w:type="dxa"/>
            <w:tcBorders>
              <w:top w:val="nil"/>
              <w:left w:val="nil"/>
              <w:bottom w:val="nil"/>
              <w:right w:val="nil"/>
            </w:tcBorders>
            <w:shd w:val="clear" w:color="auto" w:fill="auto"/>
            <w:noWrap/>
            <w:vAlign w:val="bottom"/>
            <w:hideMark/>
          </w:tcPr>
          <w:p w14:paraId="7BE25C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915" w:type="dxa"/>
            <w:tcBorders>
              <w:top w:val="nil"/>
              <w:left w:val="nil"/>
              <w:bottom w:val="nil"/>
              <w:right w:val="nil"/>
            </w:tcBorders>
            <w:shd w:val="clear" w:color="auto" w:fill="auto"/>
            <w:noWrap/>
            <w:vAlign w:val="bottom"/>
            <w:hideMark/>
          </w:tcPr>
          <w:p w14:paraId="35F300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 </w:t>
            </w:r>
          </w:p>
        </w:tc>
        <w:tc>
          <w:tcPr>
            <w:tcW w:w="759" w:type="dxa"/>
            <w:tcBorders>
              <w:top w:val="nil"/>
              <w:left w:val="nil"/>
              <w:bottom w:val="nil"/>
              <w:right w:val="nil"/>
            </w:tcBorders>
            <w:shd w:val="clear" w:color="auto" w:fill="auto"/>
            <w:noWrap/>
            <w:vAlign w:val="bottom"/>
            <w:hideMark/>
          </w:tcPr>
          <w:p w14:paraId="4668C4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672" w:type="dxa"/>
            <w:tcBorders>
              <w:top w:val="nil"/>
              <w:left w:val="nil"/>
              <w:bottom w:val="nil"/>
              <w:right w:val="nil"/>
            </w:tcBorders>
            <w:shd w:val="clear" w:color="auto" w:fill="auto"/>
            <w:noWrap/>
            <w:vAlign w:val="bottom"/>
            <w:hideMark/>
          </w:tcPr>
          <w:p w14:paraId="3C5344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45 </w:t>
            </w:r>
          </w:p>
        </w:tc>
        <w:tc>
          <w:tcPr>
            <w:tcW w:w="802" w:type="dxa"/>
            <w:tcBorders>
              <w:top w:val="nil"/>
              <w:left w:val="nil"/>
              <w:bottom w:val="nil"/>
              <w:right w:val="nil"/>
            </w:tcBorders>
            <w:shd w:val="clear" w:color="auto" w:fill="auto"/>
            <w:noWrap/>
            <w:vAlign w:val="bottom"/>
            <w:hideMark/>
          </w:tcPr>
          <w:p w14:paraId="616903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1.74 </w:t>
            </w:r>
          </w:p>
        </w:tc>
      </w:tr>
      <w:tr w:rsidR="00AC362E" w:rsidRPr="00491EF1" w14:paraId="0ACDB531" w14:textId="77777777" w:rsidTr="00ED0631">
        <w:trPr>
          <w:trHeight w:val="315"/>
        </w:trPr>
        <w:tc>
          <w:tcPr>
            <w:tcW w:w="2142" w:type="dxa"/>
            <w:tcBorders>
              <w:top w:val="nil"/>
              <w:left w:val="nil"/>
              <w:bottom w:val="nil"/>
              <w:right w:val="nil"/>
            </w:tcBorders>
            <w:vAlign w:val="bottom"/>
          </w:tcPr>
          <w:p w14:paraId="042B9F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67" w:type="dxa"/>
            <w:tcBorders>
              <w:top w:val="nil"/>
              <w:left w:val="nil"/>
              <w:bottom w:val="nil"/>
              <w:right w:val="nil"/>
            </w:tcBorders>
            <w:shd w:val="clear" w:color="auto" w:fill="auto"/>
            <w:noWrap/>
            <w:vAlign w:val="bottom"/>
            <w:hideMark/>
          </w:tcPr>
          <w:p w14:paraId="1896EA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1.7852 </w:t>
            </w:r>
          </w:p>
        </w:tc>
        <w:tc>
          <w:tcPr>
            <w:tcW w:w="720" w:type="dxa"/>
            <w:tcBorders>
              <w:top w:val="nil"/>
              <w:left w:val="nil"/>
              <w:bottom w:val="nil"/>
              <w:right w:val="nil"/>
            </w:tcBorders>
            <w:shd w:val="clear" w:color="auto" w:fill="auto"/>
            <w:noWrap/>
            <w:vAlign w:val="bottom"/>
            <w:hideMark/>
          </w:tcPr>
          <w:p w14:paraId="70B11C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266 </w:t>
            </w:r>
          </w:p>
        </w:tc>
        <w:tc>
          <w:tcPr>
            <w:tcW w:w="1028" w:type="dxa"/>
            <w:tcBorders>
              <w:top w:val="nil"/>
              <w:left w:val="nil"/>
              <w:bottom w:val="nil"/>
              <w:right w:val="nil"/>
            </w:tcBorders>
            <w:shd w:val="clear" w:color="auto" w:fill="auto"/>
            <w:noWrap/>
            <w:vAlign w:val="bottom"/>
            <w:hideMark/>
          </w:tcPr>
          <w:p w14:paraId="55B1A9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491 </w:t>
            </w:r>
          </w:p>
        </w:tc>
        <w:tc>
          <w:tcPr>
            <w:tcW w:w="777" w:type="dxa"/>
            <w:tcBorders>
              <w:top w:val="nil"/>
              <w:left w:val="nil"/>
              <w:bottom w:val="nil"/>
              <w:right w:val="nil"/>
            </w:tcBorders>
            <w:shd w:val="clear" w:color="auto" w:fill="auto"/>
            <w:noWrap/>
            <w:vAlign w:val="bottom"/>
            <w:hideMark/>
          </w:tcPr>
          <w:p w14:paraId="1BBC43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34 </w:t>
            </w:r>
          </w:p>
        </w:tc>
        <w:tc>
          <w:tcPr>
            <w:tcW w:w="778" w:type="dxa"/>
            <w:tcBorders>
              <w:top w:val="nil"/>
              <w:left w:val="nil"/>
              <w:bottom w:val="nil"/>
              <w:right w:val="nil"/>
            </w:tcBorders>
            <w:shd w:val="clear" w:color="auto" w:fill="auto"/>
            <w:noWrap/>
            <w:vAlign w:val="bottom"/>
            <w:hideMark/>
          </w:tcPr>
          <w:p w14:paraId="208423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777" w:type="dxa"/>
            <w:tcBorders>
              <w:top w:val="nil"/>
              <w:left w:val="nil"/>
              <w:bottom w:val="nil"/>
              <w:right w:val="nil"/>
            </w:tcBorders>
            <w:shd w:val="clear" w:color="auto" w:fill="auto"/>
            <w:noWrap/>
            <w:vAlign w:val="bottom"/>
            <w:hideMark/>
          </w:tcPr>
          <w:p w14:paraId="084ABB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441 </w:t>
            </w:r>
          </w:p>
        </w:tc>
        <w:tc>
          <w:tcPr>
            <w:tcW w:w="778" w:type="dxa"/>
            <w:tcBorders>
              <w:top w:val="nil"/>
              <w:left w:val="nil"/>
              <w:bottom w:val="nil"/>
              <w:right w:val="nil"/>
            </w:tcBorders>
            <w:shd w:val="clear" w:color="auto" w:fill="auto"/>
            <w:noWrap/>
            <w:vAlign w:val="bottom"/>
            <w:hideMark/>
          </w:tcPr>
          <w:p w14:paraId="361952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0.9 </w:t>
            </w:r>
          </w:p>
        </w:tc>
        <w:tc>
          <w:tcPr>
            <w:tcW w:w="868" w:type="dxa"/>
            <w:tcBorders>
              <w:top w:val="nil"/>
              <w:left w:val="nil"/>
              <w:bottom w:val="nil"/>
              <w:right w:val="nil"/>
            </w:tcBorders>
            <w:shd w:val="clear" w:color="auto" w:fill="auto"/>
            <w:noWrap/>
            <w:vAlign w:val="bottom"/>
            <w:hideMark/>
          </w:tcPr>
          <w:p w14:paraId="049080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295 </w:t>
            </w:r>
          </w:p>
        </w:tc>
        <w:tc>
          <w:tcPr>
            <w:tcW w:w="762" w:type="dxa"/>
            <w:tcBorders>
              <w:top w:val="nil"/>
              <w:left w:val="nil"/>
              <w:bottom w:val="nil"/>
              <w:right w:val="nil"/>
            </w:tcBorders>
            <w:shd w:val="clear" w:color="auto" w:fill="auto"/>
            <w:noWrap/>
            <w:vAlign w:val="bottom"/>
            <w:hideMark/>
          </w:tcPr>
          <w:p w14:paraId="36A2A0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0.6 </w:t>
            </w:r>
          </w:p>
        </w:tc>
        <w:tc>
          <w:tcPr>
            <w:tcW w:w="915" w:type="dxa"/>
            <w:tcBorders>
              <w:top w:val="nil"/>
              <w:left w:val="nil"/>
              <w:bottom w:val="nil"/>
              <w:right w:val="nil"/>
            </w:tcBorders>
            <w:shd w:val="clear" w:color="auto" w:fill="auto"/>
            <w:noWrap/>
            <w:vAlign w:val="bottom"/>
            <w:hideMark/>
          </w:tcPr>
          <w:p w14:paraId="1805D1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457 </w:t>
            </w:r>
          </w:p>
        </w:tc>
        <w:tc>
          <w:tcPr>
            <w:tcW w:w="759" w:type="dxa"/>
            <w:tcBorders>
              <w:top w:val="nil"/>
              <w:left w:val="nil"/>
              <w:bottom w:val="nil"/>
              <w:right w:val="nil"/>
            </w:tcBorders>
            <w:shd w:val="clear" w:color="auto" w:fill="auto"/>
            <w:noWrap/>
            <w:vAlign w:val="bottom"/>
            <w:hideMark/>
          </w:tcPr>
          <w:p w14:paraId="323DA8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0.9 </w:t>
            </w:r>
          </w:p>
        </w:tc>
        <w:tc>
          <w:tcPr>
            <w:tcW w:w="672" w:type="dxa"/>
            <w:tcBorders>
              <w:top w:val="nil"/>
              <w:left w:val="nil"/>
              <w:bottom w:val="nil"/>
              <w:right w:val="nil"/>
            </w:tcBorders>
            <w:shd w:val="clear" w:color="auto" w:fill="auto"/>
            <w:noWrap/>
            <w:vAlign w:val="bottom"/>
            <w:hideMark/>
          </w:tcPr>
          <w:p w14:paraId="026363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1,226 </w:t>
            </w:r>
          </w:p>
        </w:tc>
        <w:tc>
          <w:tcPr>
            <w:tcW w:w="802" w:type="dxa"/>
            <w:tcBorders>
              <w:top w:val="nil"/>
              <w:left w:val="nil"/>
              <w:bottom w:val="nil"/>
              <w:right w:val="nil"/>
            </w:tcBorders>
            <w:shd w:val="clear" w:color="auto" w:fill="auto"/>
            <w:noWrap/>
            <w:vAlign w:val="bottom"/>
            <w:hideMark/>
          </w:tcPr>
          <w:p w14:paraId="39DA67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2.50 </w:t>
            </w:r>
          </w:p>
        </w:tc>
      </w:tr>
      <w:tr w:rsidR="00AC362E" w:rsidRPr="00491EF1" w14:paraId="190EA9C6" w14:textId="77777777" w:rsidTr="00ED0631">
        <w:trPr>
          <w:trHeight w:val="315"/>
        </w:trPr>
        <w:tc>
          <w:tcPr>
            <w:tcW w:w="2142" w:type="dxa"/>
            <w:tcBorders>
              <w:top w:val="nil"/>
              <w:left w:val="nil"/>
              <w:bottom w:val="nil"/>
              <w:right w:val="nil"/>
            </w:tcBorders>
            <w:vAlign w:val="bottom"/>
          </w:tcPr>
          <w:p w14:paraId="10ACD1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167" w:type="dxa"/>
            <w:tcBorders>
              <w:top w:val="nil"/>
              <w:left w:val="nil"/>
              <w:bottom w:val="nil"/>
              <w:right w:val="nil"/>
            </w:tcBorders>
            <w:shd w:val="clear" w:color="auto" w:fill="auto"/>
            <w:noWrap/>
            <w:vAlign w:val="bottom"/>
            <w:hideMark/>
          </w:tcPr>
          <w:p w14:paraId="50E908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0.2418 </w:t>
            </w:r>
          </w:p>
        </w:tc>
        <w:tc>
          <w:tcPr>
            <w:tcW w:w="720" w:type="dxa"/>
            <w:tcBorders>
              <w:top w:val="nil"/>
              <w:left w:val="nil"/>
              <w:bottom w:val="nil"/>
              <w:right w:val="nil"/>
            </w:tcBorders>
            <w:shd w:val="clear" w:color="auto" w:fill="auto"/>
            <w:noWrap/>
            <w:vAlign w:val="bottom"/>
            <w:hideMark/>
          </w:tcPr>
          <w:p w14:paraId="16FE7C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 </w:t>
            </w:r>
          </w:p>
        </w:tc>
        <w:tc>
          <w:tcPr>
            <w:tcW w:w="1028" w:type="dxa"/>
            <w:tcBorders>
              <w:top w:val="nil"/>
              <w:left w:val="nil"/>
              <w:bottom w:val="nil"/>
              <w:right w:val="nil"/>
            </w:tcBorders>
            <w:shd w:val="clear" w:color="auto" w:fill="auto"/>
            <w:noWrap/>
            <w:vAlign w:val="bottom"/>
            <w:hideMark/>
          </w:tcPr>
          <w:p w14:paraId="3BEEFE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777" w:type="dxa"/>
            <w:tcBorders>
              <w:top w:val="nil"/>
              <w:left w:val="nil"/>
              <w:bottom w:val="nil"/>
              <w:right w:val="nil"/>
            </w:tcBorders>
            <w:shd w:val="clear" w:color="auto" w:fill="auto"/>
            <w:noWrap/>
            <w:vAlign w:val="bottom"/>
            <w:hideMark/>
          </w:tcPr>
          <w:p w14:paraId="5AB0DA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778" w:type="dxa"/>
            <w:tcBorders>
              <w:top w:val="nil"/>
              <w:left w:val="nil"/>
              <w:bottom w:val="nil"/>
              <w:right w:val="nil"/>
            </w:tcBorders>
            <w:shd w:val="clear" w:color="auto" w:fill="auto"/>
            <w:noWrap/>
            <w:vAlign w:val="bottom"/>
            <w:hideMark/>
          </w:tcPr>
          <w:p w14:paraId="4DC4FC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777" w:type="dxa"/>
            <w:tcBorders>
              <w:top w:val="nil"/>
              <w:left w:val="nil"/>
              <w:bottom w:val="nil"/>
              <w:right w:val="nil"/>
            </w:tcBorders>
            <w:shd w:val="clear" w:color="auto" w:fill="auto"/>
            <w:noWrap/>
            <w:vAlign w:val="bottom"/>
            <w:hideMark/>
          </w:tcPr>
          <w:p w14:paraId="1912B5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 </w:t>
            </w:r>
          </w:p>
        </w:tc>
        <w:tc>
          <w:tcPr>
            <w:tcW w:w="778" w:type="dxa"/>
            <w:tcBorders>
              <w:top w:val="nil"/>
              <w:left w:val="nil"/>
              <w:bottom w:val="nil"/>
              <w:right w:val="nil"/>
            </w:tcBorders>
            <w:shd w:val="clear" w:color="auto" w:fill="auto"/>
            <w:noWrap/>
            <w:vAlign w:val="bottom"/>
            <w:hideMark/>
          </w:tcPr>
          <w:p w14:paraId="7DD0C6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868" w:type="dxa"/>
            <w:tcBorders>
              <w:top w:val="nil"/>
              <w:left w:val="nil"/>
              <w:bottom w:val="nil"/>
              <w:right w:val="nil"/>
            </w:tcBorders>
            <w:shd w:val="clear" w:color="auto" w:fill="auto"/>
            <w:noWrap/>
            <w:vAlign w:val="bottom"/>
            <w:hideMark/>
          </w:tcPr>
          <w:p w14:paraId="4D6F2F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 </w:t>
            </w:r>
          </w:p>
        </w:tc>
        <w:tc>
          <w:tcPr>
            <w:tcW w:w="762" w:type="dxa"/>
            <w:tcBorders>
              <w:top w:val="nil"/>
              <w:left w:val="nil"/>
              <w:bottom w:val="nil"/>
              <w:right w:val="nil"/>
            </w:tcBorders>
            <w:shd w:val="clear" w:color="auto" w:fill="auto"/>
            <w:noWrap/>
            <w:vAlign w:val="bottom"/>
            <w:hideMark/>
          </w:tcPr>
          <w:p w14:paraId="3D778B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915" w:type="dxa"/>
            <w:tcBorders>
              <w:top w:val="nil"/>
              <w:left w:val="nil"/>
              <w:bottom w:val="nil"/>
              <w:right w:val="nil"/>
            </w:tcBorders>
            <w:shd w:val="clear" w:color="auto" w:fill="auto"/>
            <w:noWrap/>
            <w:vAlign w:val="bottom"/>
            <w:hideMark/>
          </w:tcPr>
          <w:p w14:paraId="2E38FD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759" w:type="dxa"/>
            <w:tcBorders>
              <w:top w:val="nil"/>
              <w:left w:val="nil"/>
              <w:bottom w:val="nil"/>
              <w:right w:val="nil"/>
            </w:tcBorders>
            <w:shd w:val="clear" w:color="auto" w:fill="auto"/>
            <w:noWrap/>
            <w:vAlign w:val="bottom"/>
            <w:hideMark/>
          </w:tcPr>
          <w:p w14:paraId="5B5832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672" w:type="dxa"/>
            <w:tcBorders>
              <w:top w:val="nil"/>
              <w:left w:val="nil"/>
              <w:bottom w:val="nil"/>
              <w:right w:val="nil"/>
            </w:tcBorders>
            <w:shd w:val="clear" w:color="auto" w:fill="auto"/>
            <w:noWrap/>
            <w:vAlign w:val="bottom"/>
            <w:hideMark/>
          </w:tcPr>
          <w:p w14:paraId="6185FB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40 </w:t>
            </w:r>
          </w:p>
        </w:tc>
        <w:tc>
          <w:tcPr>
            <w:tcW w:w="802" w:type="dxa"/>
            <w:tcBorders>
              <w:top w:val="nil"/>
              <w:left w:val="nil"/>
              <w:bottom w:val="nil"/>
              <w:right w:val="nil"/>
            </w:tcBorders>
            <w:shd w:val="clear" w:color="auto" w:fill="auto"/>
            <w:noWrap/>
            <w:vAlign w:val="bottom"/>
            <w:hideMark/>
          </w:tcPr>
          <w:p w14:paraId="6BFE62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2.50 </w:t>
            </w:r>
          </w:p>
        </w:tc>
      </w:tr>
      <w:tr w:rsidR="00AC362E" w:rsidRPr="00491EF1" w14:paraId="4C139D0F" w14:textId="77777777" w:rsidTr="00ED0631">
        <w:trPr>
          <w:trHeight w:val="315"/>
        </w:trPr>
        <w:tc>
          <w:tcPr>
            <w:tcW w:w="2142" w:type="dxa"/>
            <w:tcBorders>
              <w:top w:val="single" w:sz="4" w:space="0" w:color="auto"/>
              <w:left w:val="nil"/>
              <w:bottom w:val="single" w:sz="4" w:space="0" w:color="auto"/>
              <w:right w:val="nil"/>
            </w:tcBorders>
            <w:vAlign w:val="bottom"/>
          </w:tcPr>
          <w:p w14:paraId="6293DD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67" w:type="dxa"/>
            <w:tcBorders>
              <w:top w:val="single" w:sz="4" w:space="0" w:color="auto"/>
              <w:left w:val="nil"/>
              <w:bottom w:val="single" w:sz="4" w:space="0" w:color="auto"/>
              <w:right w:val="nil"/>
            </w:tcBorders>
            <w:shd w:val="clear" w:color="auto" w:fill="auto"/>
            <w:noWrap/>
            <w:vAlign w:val="bottom"/>
            <w:hideMark/>
          </w:tcPr>
          <w:p w14:paraId="5DA870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1.0000 </w:t>
            </w:r>
          </w:p>
        </w:tc>
        <w:tc>
          <w:tcPr>
            <w:tcW w:w="720" w:type="dxa"/>
            <w:tcBorders>
              <w:top w:val="single" w:sz="4" w:space="0" w:color="auto"/>
              <w:left w:val="nil"/>
              <w:bottom w:val="single" w:sz="4" w:space="0" w:color="auto"/>
              <w:right w:val="nil"/>
            </w:tcBorders>
            <w:shd w:val="clear" w:color="auto" w:fill="auto"/>
            <w:noWrap/>
            <w:vAlign w:val="bottom"/>
            <w:hideMark/>
          </w:tcPr>
          <w:p w14:paraId="21DD85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572 </w:t>
            </w:r>
          </w:p>
        </w:tc>
        <w:tc>
          <w:tcPr>
            <w:tcW w:w="1028" w:type="dxa"/>
            <w:tcBorders>
              <w:top w:val="single" w:sz="4" w:space="0" w:color="auto"/>
              <w:left w:val="nil"/>
              <w:bottom w:val="single" w:sz="4" w:space="0" w:color="auto"/>
              <w:right w:val="nil"/>
            </w:tcBorders>
            <w:shd w:val="clear" w:color="auto" w:fill="auto"/>
            <w:noWrap/>
            <w:vAlign w:val="bottom"/>
            <w:hideMark/>
          </w:tcPr>
          <w:p w14:paraId="4A6295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1,092 </w:t>
            </w:r>
          </w:p>
        </w:tc>
        <w:tc>
          <w:tcPr>
            <w:tcW w:w="777" w:type="dxa"/>
            <w:tcBorders>
              <w:top w:val="single" w:sz="4" w:space="0" w:color="auto"/>
              <w:left w:val="nil"/>
              <w:bottom w:val="single" w:sz="4" w:space="0" w:color="auto"/>
              <w:right w:val="nil"/>
            </w:tcBorders>
            <w:shd w:val="clear" w:color="auto" w:fill="auto"/>
            <w:noWrap/>
            <w:vAlign w:val="bottom"/>
            <w:hideMark/>
          </w:tcPr>
          <w:p w14:paraId="43182B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278 </w:t>
            </w:r>
          </w:p>
        </w:tc>
        <w:tc>
          <w:tcPr>
            <w:tcW w:w="778" w:type="dxa"/>
            <w:tcBorders>
              <w:top w:val="single" w:sz="4" w:space="0" w:color="auto"/>
              <w:left w:val="nil"/>
              <w:bottom w:val="single" w:sz="4" w:space="0" w:color="auto"/>
              <w:right w:val="nil"/>
            </w:tcBorders>
            <w:shd w:val="clear" w:color="auto" w:fill="auto"/>
            <w:noWrap/>
            <w:vAlign w:val="bottom"/>
            <w:hideMark/>
          </w:tcPr>
          <w:p w14:paraId="114CF9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777" w:type="dxa"/>
            <w:tcBorders>
              <w:top w:val="single" w:sz="4" w:space="0" w:color="auto"/>
              <w:left w:val="nil"/>
              <w:bottom w:val="single" w:sz="4" w:space="0" w:color="auto"/>
              <w:right w:val="nil"/>
            </w:tcBorders>
            <w:shd w:val="clear" w:color="auto" w:fill="auto"/>
            <w:noWrap/>
            <w:vAlign w:val="bottom"/>
            <w:hideMark/>
          </w:tcPr>
          <w:p w14:paraId="5119EA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885 </w:t>
            </w:r>
          </w:p>
        </w:tc>
        <w:tc>
          <w:tcPr>
            <w:tcW w:w="778" w:type="dxa"/>
            <w:tcBorders>
              <w:top w:val="single" w:sz="4" w:space="0" w:color="auto"/>
              <w:left w:val="nil"/>
              <w:bottom w:val="single" w:sz="4" w:space="0" w:color="auto"/>
              <w:right w:val="nil"/>
            </w:tcBorders>
            <w:shd w:val="clear" w:color="auto" w:fill="auto"/>
            <w:noWrap/>
            <w:vAlign w:val="bottom"/>
            <w:hideMark/>
          </w:tcPr>
          <w:p w14:paraId="6A3E58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0.8 </w:t>
            </w:r>
          </w:p>
        </w:tc>
        <w:tc>
          <w:tcPr>
            <w:tcW w:w="868" w:type="dxa"/>
            <w:tcBorders>
              <w:top w:val="single" w:sz="4" w:space="0" w:color="auto"/>
              <w:left w:val="nil"/>
              <w:bottom w:val="single" w:sz="4" w:space="0" w:color="auto"/>
              <w:right w:val="nil"/>
            </w:tcBorders>
            <w:shd w:val="clear" w:color="auto" w:fill="auto"/>
            <w:noWrap/>
            <w:vAlign w:val="bottom"/>
            <w:hideMark/>
          </w:tcPr>
          <w:p w14:paraId="74C6A5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524 </w:t>
            </w:r>
          </w:p>
        </w:tc>
        <w:tc>
          <w:tcPr>
            <w:tcW w:w="762" w:type="dxa"/>
            <w:tcBorders>
              <w:top w:val="single" w:sz="4" w:space="0" w:color="auto"/>
              <w:left w:val="nil"/>
              <w:bottom w:val="single" w:sz="4" w:space="0" w:color="auto"/>
              <w:right w:val="nil"/>
            </w:tcBorders>
            <w:shd w:val="clear" w:color="auto" w:fill="auto"/>
            <w:noWrap/>
            <w:vAlign w:val="bottom"/>
            <w:hideMark/>
          </w:tcPr>
          <w:p w14:paraId="03D75B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0.5 </w:t>
            </w:r>
          </w:p>
        </w:tc>
        <w:tc>
          <w:tcPr>
            <w:tcW w:w="915" w:type="dxa"/>
            <w:tcBorders>
              <w:top w:val="single" w:sz="4" w:space="0" w:color="auto"/>
              <w:left w:val="nil"/>
              <w:bottom w:val="single" w:sz="4" w:space="0" w:color="auto"/>
              <w:right w:val="nil"/>
            </w:tcBorders>
            <w:shd w:val="clear" w:color="auto" w:fill="auto"/>
            <w:noWrap/>
            <w:vAlign w:val="bottom"/>
            <w:hideMark/>
          </w:tcPr>
          <w:p w14:paraId="77D263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720 </w:t>
            </w:r>
          </w:p>
        </w:tc>
        <w:tc>
          <w:tcPr>
            <w:tcW w:w="759" w:type="dxa"/>
            <w:tcBorders>
              <w:top w:val="single" w:sz="4" w:space="0" w:color="auto"/>
              <w:left w:val="nil"/>
              <w:bottom w:val="single" w:sz="4" w:space="0" w:color="auto"/>
              <w:right w:val="nil"/>
            </w:tcBorders>
            <w:shd w:val="clear" w:color="auto" w:fill="auto"/>
            <w:noWrap/>
            <w:vAlign w:val="bottom"/>
            <w:hideMark/>
          </w:tcPr>
          <w:p w14:paraId="5D47E8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0.7 </w:t>
            </w:r>
          </w:p>
        </w:tc>
        <w:tc>
          <w:tcPr>
            <w:tcW w:w="672" w:type="dxa"/>
            <w:tcBorders>
              <w:top w:val="single" w:sz="4" w:space="0" w:color="auto"/>
              <w:left w:val="nil"/>
              <w:bottom w:val="single" w:sz="4" w:space="0" w:color="auto"/>
              <w:right w:val="nil"/>
            </w:tcBorders>
            <w:shd w:val="clear" w:color="auto" w:fill="auto"/>
            <w:noWrap/>
            <w:vAlign w:val="bottom"/>
            <w:hideMark/>
          </w:tcPr>
          <w:p w14:paraId="2AB7F6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2,407 </w:t>
            </w:r>
          </w:p>
        </w:tc>
        <w:tc>
          <w:tcPr>
            <w:tcW w:w="802" w:type="dxa"/>
            <w:tcBorders>
              <w:top w:val="single" w:sz="4" w:space="0" w:color="auto"/>
              <w:left w:val="nil"/>
              <w:bottom w:val="single" w:sz="4" w:space="0" w:color="auto"/>
              <w:right w:val="nil"/>
            </w:tcBorders>
            <w:shd w:val="clear" w:color="auto" w:fill="auto"/>
            <w:noWrap/>
            <w:vAlign w:val="bottom"/>
            <w:hideMark/>
          </w:tcPr>
          <w:p w14:paraId="6E7CFD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2.21 </w:t>
            </w:r>
          </w:p>
        </w:tc>
      </w:tr>
    </w:tbl>
    <w:p w14:paraId="277D2D88" w14:textId="77777777" w:rsidR="00AC362E" w:rsidRPr="00491EF1" w:rsidRDefault="00AC362E" w:rsidP="00ED0631">
      <w:pPr>
        <w:rPr>
          <w:rFonts w:asciiTheme="majorHAnsi" w:hAnsiTheme="majorHAnsi" w:cstheme="majorHAnsi"/>
        </w:rPr>
        <w:sectPr w:rsidR="00AC362E" w:rsidRPr="00491EF1" w:rsidSect="00ED0631">
          <w:pgSz w:w="16838" w:h="11906" w:orient="landscape"/>
          <w:pgMar w:top="1440" w:right="1440" w:bottom="1440" w:left="1440" w:header="708" w:footer="708" w:gutter="0"/>
          <w:cols w:space="708"/>
          <w:docGrid w:linePitch="360"/>
        </w:sectPr>
      </w:pPr>
    </w:p>
    <w:p w14:paraId="08486F29" w14:textId="77777777" w:rsidR="00AC362E" w:rsidRPr="00491EF1" w:rsidRDefault="00AC362E" w:rsidP="00470803">
      <w:pPr>
        <w:pStyle w:val="Heading3"/>
        <w:numPr>
          <w:ilvl w:val="0"/>
          <w:numId w:val="0"/>
        </w:numPr>
        <w:ind w:left="709" w:hanging="709"/>
      </w:pPr>
      <w:bookmarkStart w:id="235" w:name="_Toc461615820"/>
      <w:r w:rsidRPr="00491EF1">
        <w:lastRenderedPageBreak/>
        <w:t>Teacher Survey Data</w:t>
      </w:r>
      <w:bookmarkEnd w:id="235"/>
    </w:p>
    <w:p w14:paraId="5DDD2693" w14:textId="4932E1CA" w:rsidR="00AC362E" w:rsidRPr="00491EF1" w:rsidRDefault="00AC362E" w:rsidP="00512A02">
      <w:pPr>
        <w:tabs>
          <w:tab w:val="left" w:pos="1573"/>
          <w:tab w:val="left" w:pos="3053"/>
          <w:tab w:val="left" w:pos="4533"/>
          <w:tab w:val="left" w:pos="6013"/>
          <w:tab w:val="left" w:pos="7493"/>
          <w:tab w:val="left" w:pos="10453"/>
          <w:tab w:val="left" w:pos="11933"/>
          <w:tab w:val="left" w:pos="13413"/>
        </w:tabs>
        <w:spacing w:before="200" w:after="100"/>
        <w:ind w:left="91" w:right="-46"/>
        <w:rPr>
          <w:rFonts w:asciiTheme="majorHAnsi" w:eastAsia="Times New Roman" w:hAnsiTheme="majorHAnsi" w:cstheme="majorHAnsi"/>
          <w:b/>
          <w:spacing w:val="-4"/>
          <w:lang w:eastAsia="en-AU"/>
        </w:rPr>
      </w:pPr>
      <w:r w:rsidRPr="00491EF1">
        <w:rPr>
          <w:rFonts w:asciiTheme="majorHAnsi" w:eastAsia="Times New Roman" w:hAnsiTheme="majorHAnsi" w:cstheme="majorHAnsi"/>
          <w:b/>
          <w:spacing w:val="-4"/>
          <w:lang w:eastAsia="en-AU"/>
        </w:rPr>
        <w:t>Table 1:</w:t>
      </w:r>
      <w:r w:rsidR="00AA73E1" w:rsidRPr="00491EF1">
        <w:rPr>
          <w:rFonts w:asciiTheme="majorHAnsi" w:eastAsia="Times New Roman" w:hAnsiTheme="majorHAnsi" w:cstheme="majorHAnsi"/>
          <w:b/>
          <w:spacing w:val="-4"/>
          <w:lang w:eastAsia="en-AU"/>
        </w:rPr>
        <w:t xml:space="preserve"> </w:t>
      </w:r>
      <w:r w:rsidRPr="00491EF1">
        <w:rPr>
          <w:rFonts w:asciiTheme="majorHAnsi" w:eastAsia="Times New Roman" w:hAnsiTheme="majorHAnsi" w:cstheme="majorHAnsi"/>
          <w:b/>
          <w:spacing w:val="-4"/>
          <w:lang w:eastAsia="en-AU"/>
        </w:rPr>
        <w:t>Number of teachers who have received at least one new curriculum training by island</w:t>
      </w:r>
    </w:p>
    <w:tbl>
      <w:tblPr>
        <w:tblW w:w="4761" w:type="dxa"/>
        <w:tblInd w:w="93" w:type="dxa"/>
        <w:tblLook w:val="04A0" w:firstRow="1" w:lastRow="0" w:firstColumn="1" w:lastColumn="0" w:noHBand="0" w:noVBand="1"/>
      </w:tblPr>
      <w:tblGrid>
        <w:gridCol w:w="2039"/>
        <w:gridCol w:w="1361"/>
        <w:gridCol w:w="1361"/>
      </w:tblGrid>
      <w:tr w:rsidR="00AC362E" w:rsidRPr="00491EF1" w14:paraId="198218A5" w14:textId="77777777" w:rsidTr="00ED0631">
        <w:trPr>
          <w:trHeight w:val="315"/>
        </w:trPr>
        <w:tc>
          <w:tcPr>
            <w:tcW w:w="2039" w:type="dxa"/>
            <w:tcBorders>
              <w:top w:val="single" w:sz="4" w:space="0" w:color="auto"/>
              <w:left w:val="nil"/>
              <w:bottom w:val="single" w:sz="4" w:space="0" w:color="auto"/>
              <w:right w:val="nil"/>
            </w:tcBorders>
            <w:shd w:val="clear" w:color="auto" w:fill="auto"/>
            <w:noWrap/>
            <w:vAlign w:val="bottom"/>
            <w:hideMark/>
          </w:tcPr>
          <w:p w14:paraId="081DB577"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61" w:type="dxa"/>
            <w:tcBorders>
              <w:top w:val="single" w:sz="4" w:space="0" w:color="auto"/>
              <w:left w:val="nil"/>
              <w:bottom w:val="single" w:sz="4" w:space="0" w:color="auto"/>
              <w:right w:val="nil"/>
            </w:tcBorders>
            <w:shd w:val="clear" w:color="auto" w:fill="auto"/>
            <w:noWrap/>
            <w:vAlign w:val="bottom"/>
            <w:hideMark/>
          </w:tcPr>
          <w:p w14:paraId="76C744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361" w:type="dxa"/>
            <w:tcBorders>
              <w:top w:val="single" w:sz="4" w:space="0" w:color="auto"/>
              <w:left w:val="nil"/>
              <w:bottom w:val="single" w:sz="4" w:space="0" w:color="auto"/>
              <w:right w:val="nil"/>
            </w:tcBorders>
            <w:shd w:val="clear" w:color="auto" w:fill="auto"/>
            <w:noWrap/>
            <w:vAlign w:val="bottom"/>
            <w:hideMark/>
          </w:tcPr>
          <w:p w14:paraId="559A3F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1088C01D" w14:textId="77777777" w:rsidTr="00ED0631">
        <w:trPr>
          <w:trHeight w:val="315"/>
        </w:trPr>
        <w:tc>
          <w:tcPr>
            <w:tcW w:w="2039" w:type="dxa"/>
            <w:tcBorders>
              <w:top w:val="nil"/>
              <w:left w:val="nil"/>
              <w:bottom w:val="nil"/>
              <w:right w:val="nil"/>
            </w:tcBorders>
            <w:shd w:val="clear" w:color="auto" w:fill="auto"/>
            <w:noWrap/>
            <w:vAlign w:val="bottom"/>
            <w:hideMark/>
          </w:tcPr>
          <w:p w14:paraId="2EF825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61" w:type="dxa"/>
            <w:tcBorders>
              <w:top w:val="nil"/>
              <w:left w:val="nil"/>
              <w:bottom w:val="nil"/>
              <w:right w:val="nil"/>
            </w:tcBorders>
            <w:shd w:val="clear" w:color="auto" w:fill="auto"/>
            <w:noWrap/>
            <w:vAlign w:val="bottom"/>
            <w:hideMark/>
          </w:tcPr>
          <w:p w14:paraId="00D46A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361" w:type="dxa"/>
            <w:tcBorders>
              <w:top w:val="nil"/>
              <w:left w:val="nil"/>
              <w:bottom w:val="nil"/>
              <w:right w:val="nil"/>
            </w:tcBorders>
            <w:shd w:val="clear" w:color="auto" w:fill="auto"/>
            <w:noWrap/>
            <w:vAlign w:val="bottom"/>
            <w:hideMark/>
          </w:tcPr>
          <w:p w14:paraId="700BD2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2CF98E13" w14:textId="77777777" w:rsidTr="00ED0631">
        <w:trPr>
          <w:trHeight w:val="315"/>
        </w:trPr>
        <w:tc>
          <w:tcPr>
            <w:tcW w:w="2039" w:type="dxa"/>
            <w:tcBorders>
              <w:top w:val="nil"/>
              <w:left w:val="nil"/>
              <w:bottom w:val="nil"/>
              <w:right w:val="nil"/>
            </w:tcBorders>
            <w:shd w:val="clear" w:color="auto" w:fill="auto"/>
            <w:noWrap/>
            <w:vAlign w:val="bottom"/>
            <w:hideMark/>
          </w:tcPr>
          <w:p w14:paraId="693ED7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61" w:type="dxa"/>
            <w:tcBorders>
              <w:top w:val="nil"/>
              <w:left w:val="nil"/>
              <w:bottom w:val="nil"/>
              <w:right w:val="nil"/>
            </w:tcBorders>
            <w:shd w:val="clear" w:color="auto" w:fill="auto"/>
            <w:noWrap/>
            <w:vAlign w:val="bottom"/>
            <w:hideMark/>
          </w:tcPr>
          <w:p w14:paraId="2AD48D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361" w:type="dxa"/>
            <w:tcBorders>
              <w:top w:val="nil"/>
              <w:left w:val="nil"/>
              <w:bottom w:val="nil"/>
              <w:right w:val="nil"/>
            </w:tcBorders>
            <w:shd w:val="clear" w:color="auto" w:fill="auto"/>
            <w:noWrap/>
            <w:vAlign w:val="bottom"/>
            <w:hideMark/>
          </w:tcPr>
          <w:p w14:paraId="373FFD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54BB291E" w14:textId="77777777" w:rsidTr="00ED0631">
        <w:trPr>
          <w:trHeight w:val="315"/>
        </w:trPr>
        <w:tc>
          <w:tcPr>
            <w:tcW w:w="2039" w:type="dxa"/>
            <w:tcBorders>
              <w:top w:val="nil"/>
              <w:left w:val="nil"/>
              <w:bottom w:val="nil"/>
              <w:right w:val="nil"/>
            </w:tcBorders>
            <w:shd w:val="clear" w:color="auto" w:fill="auto"/>
            <w:noWrap/>
            <w:vAlign w:val="bottom"/>
            <w:hideMark/>
          </w:tcPr>
          <w:p w14:paraId="7CCC43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61" w:type="dxa"/>
            <w:tcBorders>
              <w:top w:val="nil"/>
              <w:left w:val="nil"/>
              <w:bottom w:val="nil"/>
              <w:right w:val="nil"/>
            </w:tcBorders>
            <w:shd w:val="clear" w:color="auto" w:fill="auto"/>
            <w:noWrap/>
            <w:vAlign w:val="bottom"/>
            <w:hideMark/>
          </w:tcPr>
          <w:p w14:paraId="43463B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361" w:type="dxa"/>
            <w:tcBorders>
              <w:top w:val="nil"/>
              <w:left w:val="nil"/>
              <w:bottom w:val="nil"/>
              <w:right w:val="nil"/>
            </w:tcBorders>
            <w:shd w:val="clear" w:color="auto" w:fill="auto"/>
            <w:noWrap/>
            <w:vAlign w:val="bottom"/>
            <w:hideMark/>
          </w:tcPr>
          <w:p w14:paraId="786EFB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6E741EC7" w14:textId="77777777" w:rsidTr="00ED0631">
        <w:trPr>
          <w:trHeight w:val="315"/>
        </w:trPr>
        <w:tc>
          <w:tcPr>
            <w:tcW w:w="2039" w:type="dxa"/>
            <w:tcBorders>
              <w:top w:val="nil"/>
              <w:left w:val="nil"/>
              <w:bottom w:val="nil"/>
              <w:right w:val="nil"/>
            </w:tcBorders>
            <w:shd w:val="clear" w:color="auto" w:fill="auto"/>
            <w:noWrap/>
            <w:vAlign w:val="bottom"/>
            <w:hideMark/>
          </w:tcPr>
          <w:p w14:paraId="2B2540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61" w:type="dxa"/>
            <w:tcBorders>
              <w:top w:val="nil"/>
              <w:left w:val="nil"/>
              <w:bottom w:val="nil"/>
              <w:right w:val="nil"/>
            </w:tcBorders>
            <w:shd w:val="clear" w:color="auto" w:fill="auto"/>
            <w:noWrap/>
            <w:vAlign w:val="bottom"/>
            <w:hideMark/>
          </w:tcPr>
          <w:p w14:paraId="4F1A49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61" w:type="dxa"/>
            <w:tcBorders>
              <w:top w:val="nil"/>
              <w:left w:val="nil"/>
              <w:bottom w:val="nil"/>
              <w:right w:val="nil"/>
            </w:tcBorders>
            <w:shd w:val="clear" w:color="auto" w:fill="auto"/>
            <w:noWrap/>
            <w:vAlign w:val="bottom"/>
            <w:hideMark/>
          </w:tcPr>
          <w:p w14:paraId="3E76CBC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5CA7836" w14:textId="77777777" w:rsidTr="00ED0631">
        <w:trPr>
          <w:trHeight w:val="315"/>
        </w:trPr>
        <w:tc>
          <w:tcPr>
            <w:tcW w:w="2039" w:type="dxa"/>
            <w:tcBorders>
              <w:top w:val="nil"/>
              <w:left w:val="nil"/>
              <w:bottom w:val="nil"/>
              <w:right w:val="nil"/>
            </w:tcBorders>
            <w:shd w:val="clear" w:color="auto" w:fill="auto"/>
            <w:noWrap/>
            <w:vAlign w:val="bottom"/>
            <w:hideMark/>
          </w:tcPr>
          <w:p w14:paraId="77CDAC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61" w:type="dxa"/>
            <w:tcBorders>
              <w:top w:val="nil"/>
              <w:left w:val="nil"/>
              <w:bottom w:val="nil"/>
              <w:right w:val="nil"/>
            </w:tcBorders>
            <w:shd w:val="clear" w:color="auto" w:fill="auto"/>
            <w:noWrap/>
            <w:vAlign w:val="bottom"/>
            <w:hideMark/>
          </w:tcPr>
          <w:p w14:paraId="286B46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361" w:type="dxa"/>
            <w:tcBorders>
              <w:top w:val="nil"/>
              <w:left w:val="nil"/>
              <w:bottom w:val="nil"/>
              <w:right w:val="nil"/>
            </w:tcBorders>
            <w:shd w:val="clear" w:color="auto" w:fill="auto"/>
            <w:noWrap/>
            <w:vAlign w:val="bottom"/>
            <w:hideMark/>
          </w:tcPr>
          <w:p w14:paraId="366B84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462D23F5" w14:textId="77777777" w:rsidTr="00ED0631">
        <w:trPr>
          <w:trHeight w:val="315"/>
        </w:trPr>
        <w:tc>
          <w:tcPr>
            <w:tcW w:w="2039" w:type="dxa"/>
            <w:tcBorders>
              <w:top w:val="nil"/>
              <w:left w:val="nil"/>
              <w:bottom w:val="nil"/>
              <w:right w:val="nil"/>
            </w:tcBorders>
            <w:shd w:val="clear" w:color="auto" w:fill="auto"/>
            <w:noWrap/>
            <w:vAlign w:val="bottom"/>
            <w:hideMark/>
          </w:tcPr>
          <w:p w14:paraId="537283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61" w:type="dxa"/>
            <w:tcBorders>
              <w:top w:val="nil"/>
              <w:left w:val="nil"/>
              <w:bottom w:val="nil"/>
              <w:right w:val="nil"/>
            </w:tcBorders>
            <w:shd w:val="clear" w:color="auto" w:fill="auto"/>
            <w:noWrap/>
            <w:vAlign w:val="bottom"/>
            <w:hideMark/>
          </w:tcPr>
          <w:p w14:paraId="6B3B68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361" w:type="dxa"/>
            <w:tcBorders>
              <w:top w:val="nil"/>
              <w:left w:val="nil"/>
              <w:bottom w:val="nil"/>
              <w:right w:val="nil"/>
            </w:tcBorders>
            <w:shd w:val="clear" w:color="auto" w:fill="auto"/>
            <w:noWrap/>
            <w:vAlign w:val="bottom"/>
            <w:hideMark/>
          </w:tcPr>
          <w:p w14:paraId="612E3E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56596A10" w14:textId="77777777" w:rsidTr="00ED0631">
        <w:trPr>
          <w:trHeight w:val="315"/>
        </w:trPr>
        <w:tc>
          <w:tcPr>
            <w:tcW w:w="2039" w:type="dxa"/>
            <w:tcBorders>
              <w:top w:val="nil"/>
              <w:left w:val="nil"/>
              <w:bottom w:val="nil"/>
              <w:right w:val="nil"/>
            </w:tcBorders>
            <w:shd w:val="clear" w:color="auto" w:fill="auto"/>
            <w:noWrap/>
            <w:vAlign w:val="bottom"/>
            <w:hideMark/>
          </w:tcPr>
          <w:p w14:paraId="4CC938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61" w:type="dxa"/>
            <w:tcBorders>
              <w:top w:val="nil"/>
              <w:left w:val="nil"/>
              <w:bottom w:val="nil"/>
              <w:right w:val="nil"/>
            </w:tcBorders>
            <w:shd w:val="clear" w:color="auto" w:fill="auto"/>
            <w:noWrap/>
            <w:vAlign w:val="bottom"/>
            <w:hideMark/>
          </w:tcPr>
          <w:p w14:paraId="5E9435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361" w:type="dxa"/>
            <w:tcBorders>
              <w:top w:val="nil"/>
              <w:left w:val="nil"/>
              <w:bottom w:val="nil"/>
              <w:right w:val="nil"/>
            </w:tcBorders>
            <w:shd w:val="clear" w:color="auto" w:fill="auto"/>
            <w:noWrap/>
            <w:vAlign w:val="bottom"/>
            <w:hideMark/>
          </w:tcPr>
          <w:p w14:paraId="76C749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5B9C44C8" w14:textId="77777777" w:rsidTr="00ED0631">
        <w:trPr>
          <w:trHeight w:val="315"/>
        </w:trPr>
        <w:tc>
          <w:tcPr>
            <w:tcW w:w="2039" w:type="dxa"/>
            <w:tcBorders>
              <w:top w:val="nil"/>
              <w:left w:val="nil"/>
              <w:bottom w:val="nil"/>
              <w:right w:val="nil"/>
            </w:tcBorders>
            <w:shd w:val="clear" w:color="auto" w:fill="auto"/>
            <w:noWrap/>
            <w:vAlign w:val="bottom"/>
            <w:hideMark/>
          </w:tcPr>
          <w:p w14:paraId="3F46C4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61" w:type="dxa"/>
            <w:tcBorders>
              <w:top w:val="nil"/>
              <w:left w:val="nil"/>
              <w:bottom w:val="nil"/>
              <w:right w:val="nil"/>
            </w:tcBorders>
            <w:shd w:val="clear" w:color="auto" w:fill="auto"/>
            <w:noWrap/>
            <w:vAlign w:val="bottom"/>
            <w:hideMark/>
          </w:tcPr>
          <w:p w14:paraId="18FE6F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1" w:type="dxa"/>
            <w:tcBorders>
              <w:top w:val="nil"/>
              <w:left w:val="nil"/>
              <w:bottom w:val="nil"/>
              <w:right w:val="nil"/>
            </w:tcBorders>
            <w:shd w:val="clear" w:color="auto" w:fill="auto"/>
            <w:noWrap/>
            <w:vAlign w:val="bottom"/>
            <w:hideMark/>
          </w:tcPr>
          <w:p w14:paraId="740E172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9B251B8" w14:textId="77777777" w:rsidTr="00ED0631">
        <w:trPr>
          <w:trHeight w:val="315"/>
        </w:trPr>
        <w:tc>
          <w:tcPr>
            <w:tcW w:w="2039" w:type="dxa"/>
            <w:tcBorders>
              <w:top w:val="nil"/>
              <w:left w:val="nil"/>
              <w:bottom w:val="nil"/>
              <w:right w:val="nil"/>
            </w:tcBorders>
            <w:shd w:val="clear" w:color="auto" w:fill="auto"/>
            <w:noWrap/>
            <w:vAlign w:val="bottom"/>
            <w:hideMark/>
          </w:tcPr>
          <w:p w14:paraId="15079D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61" w:type="dxa"/>
            <w:tcBorders>
              <w:top w:val="nil"/>
              <w:left w:val="nil"/>
              <w:bottom w:val="nil"/>
              <w:right w:val="nil"/>
            </w:tcBorders>
            <w:shd w:val="clear" w:color="auto" w:fill="auto"/>
            <w:noWrap/>
            <w:vAlign w:val="bottom"/>
            <w:hideMark/>
          </w:tcPr>
          <w:p w14:paraId="602960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68 </w:t>
            </w:r>
          </w:p>
        </w:tc>
        <w:tc>
          <w:tcPr>
            <w:tcW w:w="1361" w:type="dxa"/>
            <w:tcBorders>
              <w:top w:val="nil"/>
              <w:left w:val="nil"/>
              <w:bottom w:val="nil"/>
              <w:right w:val="nil"/>
            </w:tcBorders>
            <w:shd w:val="clear" w:color="auto" w:fill="auto"/>
            <w:noWrap/>
            <w:vAlign w:val="bottom"/>
            <w:hideMark/>
          </w:tcPr>
          <w:p w14:paraId="2E67A8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r>
      <w:tr w:rsidR="00AC362E" w:rsidRPr="00491EF1" w14:paraId="1F2CBF86" w14:textId="77777777" w:rsidTr="00ED0631">
        <w:trPr>
          <w:trHeight w:val="315"/>
        </w:trPr>
        <w:tc>
          <w:tcPr>
            <w:tcW w:w="2039" w:type="dxa"/>
            <w:tcBorders>
              <w:top w:val="nil"/>
              <w:left w:val="nil"/>
              <w:bottom w:val="single" w:sz="4" w:space="0" w:color="auto"/>
              <w:right w:val="nil"/>
            </w:tcBorders>
            <w:shd w:val="clear" w:color="auto" w:fill="auto"/>
            <w:noWrap/>
            <w:vAlign w:val="bottom"/>
            <w:hideMark/>
          </w:tcPr>
          <w:p w14:paraId="28F5F5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61" w:type="dxa"/>
            <w:tcBorders>
              <w:top w:val="nil"/>
              <w:left w:val="nil"/>
              <w:bottom w:val="single" w:sz="4" w:space="0" w:color="auto"/>
              <w:right w:val="nil"/>
            </w:tcBorders>
            <w:shd w:val="clear" w:color="auto" w:fill="auto"/>
            <w:noWrap/>
            <w:vAlign w:val="bottom"/>
            <w:hideMark/>
          </w:tcPr>
          <w:p w14:paraId="7EDA30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61" w:type="dxa"/>
            <w:tcBorders>
              <w:top w:val="nil"/>
              <w:left w:val="nil"/>
              <w:bottom w:val="single" w:sz="4" w:space="0" w:color="auto"/>
              <w:right w:val="nil"/>
            </w:tcBorders>
            <w:shd w:val="clear" w:color="auto" w:fill="auto"/>
            <w:noWrap/>
            <w:vAlign w:val="bottom"/>
            <w:hideMark/>
          </w:tcPr>
          <w:p w14:paraId="137589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0C302887" w14:textId="77777777" w:rsidTr="00ED0631">
        <w:trPr>
          <w:trHeight w:val="315"/>
        </w:trPr>
        <w:tc>
          <w:tcPr>
            <w:tcW w:w="2039" w:type="dxa"/>
            <w:tcBorders>
              <w:top w:val="nil"/>
              <w:left w:val="nil"/>
              <w:bottom w:val="single" w:sz="4" w:space="0" w:color="auto"/>
              <w:right w:val="nil"/>
            </w:tcBorders>
            <w:shd w:val="clear" w:color="auto" w:fill="auto"/>
            <w:noWrap/>
            <w:vAlign w:val="bottom"/>
            <w:hideMark/>
          </w:tcPr>
          <w:p w14:paraId="12BC44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61" w:type="dxa"/>
            <w:tcBorders>
              <w:top w:val="nil"/>
              <w:left w:val="nil"/>
              <w:bottom w:val="single" w:sz="4" w:space="0" w:color="auto"/>
              <w:right w:val="nil"/>
            </w:tcBorders>
            <w:shd w:val="clear" w:color="auto" w:fill="auto"/>
            <w:noWrap/>
            <w:vAlign w:val="bottom"/>
            <w:hideMark/>
          </w:tcPr>
          <w:p w14:paraId="5BA4A31A"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155</w:t>
            </w:r>
          </w:p>
        </w:tc>
        <w:tc>
          <w:tcPr>
            <w:tcW w:w="1361" w:type="dxa"/>
            <w:tcBorders>
              <w:top w:val="nil"/>
              <w:left w:val="nil"/>
              <w:bottom w:val="single" w:sz="4" w:space="0" w:color="auto"/>
              <w:right w:val="nil"/>
            </w:tcBorders>
            <w:shd w:val="clear" w:color="auto" w:fill="auto"/>
            <w:noWrap/>
            <w:vAlign w:val="bottom"/>
            <w:hideMark/>
          </w:tcPr>
          <w:p w14:paraId="561203F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48</w:t>
            </w:r>
          </w:p>
        </w:tc>
      </w:tr>
    </w:tbl>
    <w:p w14:paraId="2E8F832F" w14:textId="2E53355C"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w:t>
      </w:r>
      <w:r w:rsidR="00AA73E1" w:rsidRPr="00491EF1">
        <w:rPr>
          <w:rFonts w:asciiTheme="majorHAnsi" w:eastAsia="Times New Roman" w:hAnsiTheme="majorHAnsi" w:cstheme="majorHAnsi"/>
          <w:b/>
          <w:color w:val="000000"/>
          <w:lang w:eastAsia="en-AU"/>
        </w:rPr>
        <w:t xml:space="preserve"> </w:t>
      </w:r>
      <w:r w:rsidRPr="00491EF1">
        <w:rPr>
          <w:rFonts w:asciiTheme="majorHAnsi" w:eastAsia="Times New Roman" w:hAnsiTheme="majorHAnsi" w:cstheme="majorHAnsi"/>
          <w:b/>
          <w:color w:val="000000"/>
          <w:lang w:eastAsia="en-AU"/>
        </w:rPr>
        <w:t>Number of teachers who have received at least one new curriculum training by island type</w:t>
      </w:r>
    </w:p>
    <w:tbl>
      <w:tblPr>
        <w:tblW w:w="3960" w:type="dxa"/>
        <w:tblInd w:w="93" w:type="dxa"/>
        <w:tblLook w:val="04A0" w:firstRow="1" w:lastRow="0" w:firstColumn="1" w:lastColumn="0" w:noHBand="0" w:noVBand="1"/>
      </w:tblPr>
      <w:tblGrid>
        <w:gridCol w:w="1433"/>
        <w:gridCol w:w="1271"/>
        <w:gridCol w:w="1256"/>
      </w:tblGrid>
      <w:tr w:rsidR="00AC362E" w:rsidRPr="00491EF1" w14:paraId="4771C1A4"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52A8682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71" w:type="dxa"/>
            <w:tcBorders>
              <w:top w:val="single" w:sz="4" w:space="0" w:color="auto"/>
              <w:left w:val="nil"/>
              <w:bottom w:val="single" w:sz="4" w:space="0" w:color="auto"/>
              <w:right w:val="nil"/>
            </w:tcBorders>
            <w:shd w:val="clear" w:color="auto" w:fill="auto"/>
            <w:noWrap/>
            <w:vAlign w:val="bottom"/>
            <w:hideMark/>
          </w:tcPr>
          <w:p w14:paraId="21AFB3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256" w:type="dxa"/>
            <w:tcBorders>
              <w:top w:val="single" w:sz="4" w:space="0" w:color="auto"/>
              <w:left w:val="nil"/>
              <w:bottom w:val="single" w:sz="4" w:space="0" w:color="auto"/>
              <w:right w:val="nil"/>
            </w:tcBorders>
            <w:shd w:val="clear" w:color="auto" w:fill="auto"/>
            <w:noWrap/>
            <w:vAlign w:val="bottom"/>
            <w:hideMark/>
          </w:tcPr>
          <w:p w14:paraId="6C9266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26DAF9A5"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721E85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71" w:type="dxa"/>
            <w:tcBorders>
              <w:top w:val="nil"/>
              <w:left w:val="nil"/>
              <w:bottom w:val="nil"/>
              <w:right w:val="nil"/>
            </w:tcBorders>
            <w:shd w:val="clear" w:color="auto" w:fill="auto"/>
            <w:noWrap/>
            <w:vAlign w:val="bottom"/>
            <w:hideMark/>
          </w:tcPr>
          <w:p w14:paraId="17ED85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62 </w:t>
            </w:r>
          </w:p>
        </w:tc>
        <w:tc>
          <w:tcPr>
            <w:tcW w:w="1256" w:type="dxa"/>
            <w:tcBorders>
              <w:top w:val="nil"/>
              <w:left w:val="nil"/>
              <w:bottom w:val="nil"/>
              <w:right w:val="nil"/>
            </w:tcBorders>
            <w:shd w:val="clear" w:color="auto" w:fill="auto"/>
            <w:noWrap/>
            <w:vAlign w:val="bottom"/>
            <w:hideMark/>
          </w:tcPr>
          <w:p w14:paraId="0E2119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r>
      <w:tr w:rsidR="00AC362E" w:rsidRPr="00491EF1" w14:paraId="1C4B244D" w14:textId="77777777" w:rsidTr="00ED0631">
        <w:trPr>
          <w:trHeight w:val="315"/>
        </w:trPr>
        <w:tc>
          <w:tcPr>
            <w:tcW w:w="1433" w:type="dxa"/>
            <w:tcBorders>
              <w:top w:val="nil"/>
              <w:left w:val="nil"/>
              <w:bottom w:val="nil"/>
              <w:right w:val="nil"/>
            </w:tcBorders>
            <w:shd w:val="clear" w:color="auto" w:fill="auto"/>
            <w:noWrap/>
            <w:vAlign w:val="bottom"/>
            <w:hideMark/>
          </w:tcPr>
          <w:p w14:paraId="39A7FB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71" w:type="dxa"/>
            <w:tcBorders>
              <w:top w:val="nil"/>
              <w:left w:val="nil"/>
              <w:bottom w:val="nil"/>
              <w:right w:val="nil"/>
            </w:tcBorders>
            <w:shd w:val="clear" w:color="auto" w:fill="auto"/>
            <w:noWrap/>
            <w:vAlign w:val="bottom"/>
            <w:hideMark/>
          </w:tcPr>
          <w:p w14:paraId="7C7188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 </w:t>
            </w:r>
          </w:p>
        </w:tc>
        <w:tc>
          <w:tcPr>
            <w:tcW w:w="1256" w:type="dxa"/>
            <w:tcBorders>
              <w:top w:val="nil"/>
              <w:left w:val="nil"/>
              <w:bottom w:val="nil"/>
              <w:right w:val="nil"/>
            </w:tcBorders>
            <w:shd w:val="clear" w:color="auto" w:fill="auto"/>
            <w:noWrap/>
            <w:vAlign w:val="bottom"/>
            <w:hideMark/>
          </w:tcPr>
          <w:p w14:paraId="2A9B20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5D67EC8F" w14:textId="77777777" w:rsidTr="00ED0631">
        <w:trPr>
          <w:trHeight w:val="315"/>
        </w:trPr>
        <w:tc>
          <w:tcPr>
            <w:tcW w:w="1433" w:type="dxa"/>
            <w:tcBorders>
              <w:top w:val="nil"/>
              <w:left w:val="nil"/>
              <w:bottom w:val="nil"/>
              <w:right w:val="nil"/>
            </w:tcBorders>
            <w:shd w:val="clear" w:color="auto" w:fill="auto"/>
            <w:noWrap/>
            <w:vAlign w:val="bottom"/>
            <w:hideMark/>
          </w:tcPr>
          <w:p w14:paraId="09BC6F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71" w:type="dxa"/>
            <w:tcBorders>
              <w:top w:val="nil"/>
              <w:left w:val="nil"/>
              <w:bottom w:val="nil"/>
              <w:right w:val="nil"/>
            </w:tcBorders>
            <w:shd w:val="clear" w:color="auto" w:fill="auto"/>
            <w:noWrap/>
            <w:vAlign w:val="bottom"/>
            <w:hideMark/>
          </w:tcPr>
          <w:p w14:paraId="1D13E6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68 </w:t>
            </w:r>
          </w:p>
        </w:tc>
        <w:tc>
          <w:tcPr>
            <w:tcW w:w="1256" w:type="dxa"/>
            <w:tcBorders>
              <w:top w:val="nil"/>
              <w:left w:val="nil"/>
              <w:bottom w:val="nil"/>
              <w:right w:val="nil"/>
            </w:tcBorders>
            <w:shd w:val="clear" w:color="auto" w:fill="auto"/>
            <w:noWrap/>
            <w:vAlign w:val="bottom"/>
            <w:hideMark/>
          </w:tcPr>
          <w:p w14:paraId="1F7819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r>
      <w:tr w:rsidR="00AC362E" w:rsidRPr="00491EF1" w14:paraId="11B570B9" w14:textId="77777777" w:rsidTr="00ED063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76EB1C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71" w:type="dxa"/>
            <w:tcBorders>
              <w:top w:val="single" w:sz="4" w:space="0" w:color="auto"/>
              <w:left w:val="nil"/>
              <w:bottom w:val="single" w:sz="4" w:space="0" w:color="auto"/>
              <w:right w:val="nil"/>
            </w:tcBorders>
            <w:shd w:val="clear" w:color="auto" w:fill="auto"/>
            <w:noWrap/>
            <w:vAlign w:val="bottom"/>
            <w:hideMark/>
          </w:tcPr>
          <w:p w14:paraId="34A923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155 </w:t>
            </w:r>
          </w:p>
        </w:tc>
        <w:tc>
          <w:tcPr>
            <w:tcW w:w="1256" w:type="dxa"/>
            <w:tcBorders>
              <w:top w:val="single" w:sz="4" w:space="0" w:color="auto"/>
              <w:left w:val="nil"/>
              <w:bottom w:val="single" w:sz="4" w:space="0" w:color="auto"/>
              <w:right w:val="nil"/>
            </w:tcBorders>
            <w:shd w:val="clear" w:color="auto" w:fill="auto"/>
            <w:noWrap/>
            <w:vAlign w:val="bottom"/>
            <w:hideMark/>
          </w:tcPr>
          <w:p w14:paraId="57CDEA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48 </w:t>
            </w:r>
          </w:p>
        </w:tc>
      </w:tr>
    </w:tbl>
    <w:p w14:paraId="78B23029" w14:textId="77777777" w:rsidR="00AC362E" w:rsidRPr="00491EF1" w:rsidRDefault="00AC362E" w:rsidP="00512A02">
      <w:pPr>
        <w:tabs>
          <w:tab w:val="left" w:pos="1573"/>
          <w:tab w:val="left" w:pos="3053"/>
          <w:tab w:val="left" w:pos="4533"/>
          <w:tab w:val="left" w:pos="6013"/>
          <w:tab w:val="left" w:pos="7493"/>
          <w:tab w:val="left" w:pos="10453"/>
          <w:tab w:val="left" w:pos="11933"/>
          <w:tab w:val="left" w:pos="13413"/>
        </w:tabs>
        <w:spacing w:before="200" w:after="100"/>
        <w:ind w:left="91" w:right="-472"/>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 Number of teachers who have received each of the new curriculum training by island</w:t>
      </w:r>
    </w:p>
    <w:tbl>
      <w:tblPr>
        <w:tblW w:w="8594" w:type="dxa"/>
        <w:tblInd w:w="93" w:type="dxa"/>
        <w:tblLook w:val="04A0" w:firstRow="1" w:lastRow="0" w:firstColumn="1" w:lastColumn="0" w:noHBand="0" w:noVBand="1"/>
      </w:tblPr>
      <w:tblGrid>
        <w:gridCol w:w="2006"/>
        <w:gridCol w:w="1162"/>
        <w:gridCol w:w="1098"/>
        <w:gridCol w:w="1035"/>
        <w:gridCol w:w="1114"/>
        <w:gridCol w:w="1192"/>
        <w:gridCol w:w="987"/>
      </w:tblGrid>
      <w:tr w:rsidR="00AC362E" w:rsidRPr="00491EF1" w14:paraId="7C9C5A39" w14:textId="77777777" w:rsidTr="00ED0631">
        <w:trPr>
          <w:trHeight w:val="315"/>
        </w:trPr>
        <w:tc>
          <w:tcPr>
            <w:tcW w:w="2006" w:type="dxa"/>
            <w:tcBorders>
              <w:top w:val="single" w:sz="4" w:space="0" w:color="auto"/>
              <w:left w:val="nil"/>
              <w:bottom w:val="single" w:sz="4" w:space="0" w:color="auto"/>
              <w:right w:val="nil"/>
            </w:tcBorders>
            <w:shd w:val="clear" w:color="auto" w:fill="auto"/>
            <w:noWrap/>
            <w:vAlign w:val="bottom"/>
            <w:hideMark/>
          </w:tcPr>
          <w:p w14:paraId="66EE959F"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Yes</w:t>
            </w:r>
          </w:p>
        </w:tc>
        <w:tc>
          <w:tcPr>
            <w:tcW w:w="1162" w:type="dxa"/>
            <w:tcBorders>
              <w:top w:val="single" w:sz="4" w:space="0" w:color="auto"/>
              <w:left w:val="nil"/>
              <w:bottom w:val="single" w:sz="4" w:space="0" w:color="auto"/>
              <w:right w:val="nil"/>
            </w:tcBorders>
            <w:shd w:val="clear" w:color="auto" w:fill="auto"/>
            <w:noWrap/>
            <w:vAlign w:val="bottom"/>
            <w:hideMark/>
          </w:tcPr>
          <w:p w14:paraId="69EED0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Y1&amp;2-C1 </w:t>
            </w:r>
          </w:p>
        </w:tc>
        <w:tc>
          <w:tcPr>
            <w:tcW w:w="1098" w:type="dxa"/>
            <w:tcBorders>
              <w:top w:val="single" w:sz="4" w:space="0" w:color="auto"/>
              <w:left w:val="nil"/>
              <w:bottom w:val="single" w:sz="4" w:space="0" w:color="auto"/>
              <w:right w:val="nil"/>
            </w:tcBorders>
            <w:shd w:val="clear" w:color="auto" w:fill="auto"/>
            <w:noWrap/>
            <w:vAlign w:val="bottom"/>
            <w:hideMark/>
          </w:tcPr>
          <w:p w14:paraId="09D4B7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Y1&amp;2-C2 </w:t>
            </w:r>
          </w:p>
        </w:tc>
        <w:tc>
          <w:tcPr>
            <w:tcW w:w="1035" w:type="dxa"/>
            <w:tcBorders>
              <w:top w:val="single" w:sz="4" w:space="0" w:color="auto"/>
              <w:left w:val="nil"/>
              <w:bottom w:val="single" w:sz="4" w:space="0" w:color="auto"/>
              <w:right w:val="nil"/>
            </w:tcBorders>
            <w:shd w:val="clear" w:color="auto" w:fill="auto"/>
            <w:noWrap/>
            <w:vAlign w:val="bottom"/>
            <w:hideMark/>
          </w:tcPr>
          <w:p w14:paraId="408FB2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Y1&amp;2-C3 </w:t>
            </w:r>
          </w:p>
        </w:tc>
        <w:tc>
          <w:tcPr>
            <w:tcW w:w="1114" w:type="dxa"/>
            <w:tcBorders>
              <w:top w:val="single" w:sz="4" w:space="0" w:color="auto"/>
              <w:left w:val="nil"/>
              <w:bottom w:val="single" w:sz="4" w:space="0" w:color="auto"/>
              <w:right w:val="nil"/>
            </w:tcBorders>
            <w:shd w:val="clear" w:color="auto" w:fill="auto"/>
            <w:noWrap/>
            <w:vAlign w:val="bottom"/>
            <w:hideMark/>
          </w:tcPr>
          <w:p w14:paraId="63B79B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Y3&amp;4-C1 </w:t>
            </w:r>
          </w:p>
        </w:tc>
        <w:tc>
          <w:tcPr>
            <w:tcW w:w="1192" w:type="dxa"/>
            <w:tcBorders>
              <w:top w:val="single" w:sz="4" w:space="0" w:color="auto"/>
              <w:left w:val="nil"/>
              <w:bottom w:val="single" w:sz="4" w:space="0" w:color="auto"/>
              <w:right w:val="nil"/>
            </w:tcBorders>
            <w:shd w:val="clear" w:color="auto" w:fill="auto"/>
            <w:noWrap/>
            <w:vAlign w:val="bottom"/>
            <w:hideMark/>
          </w:tcPr>
          <w:p w14:paraId="15C5DC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Y3&amp;4-C2 </w:t>
            </w:r>
          </w:p>
        </w:tc>
        <w:tc>
          <w:tcPr>
            <w:tcW w:w="987" w:type="dxa"/>
            <w:tcBorders>
              <w:top w:val="single" w:sz="4" w:space="0" w:color="auto"/>
              <w:left w:val="nil"/>
              <w:bottom w:val="single" w:sz="4" w:space="0" w:color="auto"/>
              <w:right w:val="nil"/>
            </w:tcBorders>
            <w:shd w:val="clear" w:color="auto" w:fill="auto"/>
            <w:noWrap/>
            <w:vAlign w:val="bottom"/>
            <w:hideMark/>
          </w:tcPr>
          <w:p w14:paraId="629EAE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Y3&amp;4-C3 </w:t>
            </w:r>
          </w:p>
        </w:tc>
      </w:tr>
      <w:tr w:rsidR="00AC362E" w:rsidRPr="00491EF1" w14:paraId="2ACA31D4" w14:textId="77777777" w:rsidTr="00ED0631">
        <w:trPr>
          <w:trHeight w:val="315"/>
        </w:trPr>
        <w:tc>
          <w:tcPr>
            <w:tcW w:w="2006" w:type="dxa"/>
            <w:tcBorders>
              <w:top w:val="nil"/>
              <w:left w:val="nil"/>
              <w:bottom w:val="nil"/>
              <w:right w:val="nil"/>
            </w:tcBorders>
            <w:shd w:val="clear" w:color="auto" w:fill="auto"/>
            <w:noWrap/>
            <w:vAlign w:val="bottom"/>
            <w:hideMark/>
          </w:tcPr>
          <w:p w14:paraId="153E43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62" w:type="dxa"/>
            <w:tcBorders>
              <w:top w:val="nil"/>
              <w:left w:val="nil"/>
              <w:bottom w:val="nil"/>
              <w:right w:val="nil"/>
            </w:tcBorders>
            <w:shd w:val="clear" w:color="auto" w:fill="auto"/>
            <w:noWrap/>
            <w:vAlign w:val="bottom"/>
            <w:hideMark/>
          </w:tcPr>
          <w:p w14:paraId="10B35C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098" w:type="dxa"/>
            <w:tcBorders>
              <w:top w:val="nil"/>
              <w:left w:val="nil"/>
              <w:bottom w:val="nil"/>
              <w:right w:val="nil"/>
            </w:tcBorders>
            <w:shd w:val="clear" w:color="auto" w:fill="auto"/>
            <w:noWrap/>
            <w:vAlign w:val="bottom"/>
            <w:hideMark/>
          </w:tcPr>
          <w:p w14:paraId="4BFC35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035" w:type="dxa"/>
            <w:tcBorders>
              <w:top w:val="nil"/>
              <w:left w:val="nil"/>
              <w:bottom w:val="nil"/>
              <w:right w:val="nil"/>
            </w:tcBorders>
            <w:shd w:val="clear" w:color="auto" w:fill="auto"/>
            <w:noWrap/>
            <w:vAlign w:val="bottom"/>
            <w:hideMark/>
          </w:tcPr>
          <w:p w14:paraId="258D56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114" w:type="dxa"/>
            <w:tcBorders>
              <w:top w:val="nil"/>
              <w:left w:val="nil"/>
              <w:bottom w:val="nil"/>
              <w:right w:val="nil"/>
            </w:tcBorders>
            <w:shd w:val="clear" w:color="auto" w:fill="auto"/>
            <w:noWrap/>
            <w:vAlign w:val="bottom"/>
            <w:hideMark/>
          </w:tcPr>
          <w:p w14:paraId="3A30A7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192" w:type="dxa"/>
            <w:tcBorders>
              <w:top w:val="nil"/>
              <w:left w:val="nil"/>
              <w:bottom w:val="nil"/>
              <w:right w:val="nil"/>
            </w:tcBorders>
            <w:shd w:val="clear" w:color="auto" w:fill="auto"/>
            <w:noWrap/>
            <w:vAlign w:val="bottom"/>
            <w:hideMark/>
          </w:tcPr>
          <w:p w14:paraId="77A0B7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987" w:type="dxa"/>
            <w:tcBorders>
              <w:top w:val="nil"/>
              <w:left w:val="nil"/>
              <w:bottom w:val="nil"/>
              <w:right w:val="nil"/>
            </w:tcBorders>
            <w:shd w:val="clear" w:color="auto" w:fill="auto"/>
            <w:noWrap/>
            <w:vAlign w:val="bottom"/>
            <w:hideMark/>
          </w:tcPr>
          <w:p w14:paraId="6BA818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r>
      <w:tr w:rsidR="00AC362E" w:rsidRPr="00491EF1" w14:paraId="21E344F3" w14:textId="77777777" w:rsidTr="00ED0631">
        <w:trPr>
          <w:trHeight w:val="315"/>
        </w:trPr>
        <w:tc>
          <w:tcPr>
            <w:tcW w:w="2006" w:type="dxa"/>
            <w:tcBorders>
              <w:top w:val="nil"/>
              <w:left w:val="nil"/>
              <w:bottom w:val="nil"/>
              <w:right w:val="nil"/>
            </w:tcBorders>
            <w:shd w:val="clear" w:color="auto" w:fill="auto"/>
            <w:noWrap/>
            <w:vAlign w:val="bottom"/>
            <w:hideMark/>
          </w:tcPr>
          <w:p w14:paraId="29E64E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62" w:type="dxa"/>
            <w:tcBorders>
              <w:top w:val="nil"/>
              <w:left w:val="nil"/>
              <w:bottom w:val="nil"/>
              <w:right w:val="nil"/>
            </w:tcBorders>
            <w:shd w:val="clear" w:color="auto" w:fill="auto"/>
            <w:noWrap/>
            <w:vAlign w:val="bottom"/>
            <w:hideMark/>
          </w:tcPr>
          <w:p w14:paraId="036934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098" w:type="dxa"/>
            <w:tcBorders>
              <w:top w:val="nil"/>
              <w:left w:val="nil"/>
              <w:bottom w:val="nil"/>
              <w:right w:val="nil"/>
            </w:tcBorders>
            <w:shd w:val="clear" w:color="auto" w:fill="auto"/>
            <w:noWrap/>
            <w:vAlign w:val="bottom"/>
            <w:hideMark/>
          </w:tcPr>
          <w:p w14:paraId="760C6D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035" w:type="dxa"/>
            <w:tcBorders>
              <w:top w:val="nil"/>
              <w:left w:val="nil"/>
              <w:bottom w:val="nil"/>
              <w:right w:val="nil"/>
            </w:tcBorders>
            <w:shd w:val="clear" w:color="auto" w:fill="auto"/>
            <w:noWrap/>
            <w:vAlign w:val="bottom"/>
            <w:hideMark/>
          </w:tcPr>
          <w:p w14:paraId="55C7E0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14" w:type="dxa"/>
            <w:tcBorders>
              <w:top w:val="nil"/>
              <w:left w:val="nil"/>
              <w:bottom w:val="nil"/>
              <w:right w:val="nil"/>
            </w:tcBorders>
            <w:shd w:val="clear" w:color="auto" w:fill="auto"/>
            <w:noWrap/>
            <w:vAlign w:val="bottom"/>
            <w:hideMark/>
          </w:tcPr>
          <w:p w14:paraId="6FF10E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92" w:type="dxa"/>
            <w:tcBorders>
              <w:top w:val="nil"/>
              <w:left w:val="nil"/>
              <w:bottom w:val="nil"/>
              <w:right w:val="nil"/>
            </w:tcBorders>
            <w:shd w:val="clear" w:color="auto" w:fill="auto"/>
            <w:noWrap/>
            <w:vAlign w:val="bottom"/>
            <w:hideMark/>
          </w:tcPr>
          <w:p w14:paraId="0DBF3B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987" w:type="dxa"/>
            <w:tcBorders>
              <w:top w:val="nil"/>
              <w:left w:val="nil"/>
              <w:bottom w:val="nil"/>
              <w:right w:val="nil"/>
            </w:tcBorders>
            <w:shd w:val="clear" w:color="auto" w:fill="auto"/>
            <w:noWrap/>
            <w:vAlign w:val="bottom"/>
            <w:hideMark/>
          </w:tcPr>
          <w:p w14:paraId="7C4944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1FA52628" w14:textId="77777777" w:rsidTr="00ED0631">
        <w:trPr>
          <w:trHeight w:val="315"/>
        </w:trPr>
        <w:tc>
          <w:tcPr>
            <w:tcW w:w="2006" w:type="dxa"/>
            <w:tcBorders>
              <w:top w:val="nil"/>
              <w:left w:val="nil"/>
              <w:bottom w:val="nil"/>
              <w:right w:val="nil"/>
            </w:tcBorders>
            <w:shd w:val="clear" w:color="auto" w:fill="auto"/>
            <w:noWrap/>
            <w:vAlign w:val="bottom"/>
            <w:hideMark/>
          </w:tcPr>
          <w:p w14:paraId="26D8EB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62" w:type="dxa"/>
            <w:tcBorders>
              <w:top w:val="nil"/>
              <w:left w:val="nil"/>
              <w:bottom w:val="nil"/>
              <w:right w:val="nil"/>
            </w:tcBorders>
            <w:shd w:val="clear" w:color="auto" w:fill="auto"/>
            <w:noWrap/>
            <w:vAlign w:val="bottom"/>
            <w:hideMark/>
          </w:tcPr>
          <w:p w14:paraId="6AD07E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098" w:type="dxa"/>
            <w:tcBorders>
              <w:top w:val="nil"/>
              <w:left w:val="nil"/>
              <w:bottom w:val="nil"/>
              <w:right w:val="nil"/>
            </w:tcBorders>
            <w:shd w:val="clear" w:color="auto" w:fill="auto"/>
            <w:noWrap/>
            <w:vAlign w:val="bottom"/>
            <w:hideMark/>
          </w:tcPr>
          <w:p w14:paraId="5B8A04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035" w:type="dxa"/>
            <w:tcBorders>
              <w:top w:val="nil"/>
              <w:left w:val="nil"/>
              <w:bottom w:val="nil"/>
              <w:right w:val="nil"/>
            </w:tcBorders>
            <w:shd w:val="clear" w:color="auto" w:fill="auto"/>
            <w:noWrap/>
            <w:vAlign w:val="bottom"/>
            <w:hideMark/>
          </w:tcPr>
          <w:p w14:paraId="58E6E2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114" w:type="dxa"/>
            <w:tcBorders>
              <w:top w:val="nil"/>
              <w:left w:val="nil"/>
              <w:bottom w:val="nil"/>
              <w:right w:val="nil"/>
            </w:tcBorders>
            <w:shd w:val="clear" w:color="auto" w:fill="auto"/>
            <w:noWrap/>
            <w:vAlign w:val="bottom"/>
            <w:hideMark/>
          </w:tcPr>
          <w:p w14:paraId="2C807B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92" w:type="dxa"/>
            <w:tcBorders>
              <w:top w:val="nil"/>
              <w:left w:val="nil"/>
              <w:bottom w:val="nil"/>
              <w:right w:val="nil"/>
            </w:tcBorders>
            <w:shd w:val="clear" w:color="auto" w:fill="auto"/>
            <w:noWrap/>
            <w:vAlign w:val="bottom"/>
            <w:hideMark/>
          </w:tcPr>
          <w:p w14:paraId="57FE32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987" w:type="dxa"/>
            <w:tcBorders>
              <w:top w:val="nil"/>
              <w:left w:val="nil"/>
              <w:bottom w:val="nil"/>
              <w:right w:val="nil"/>
            </w:tcBorders>
            <w:shd w:val="clear" w:color="auto" w:fill="auto"/>
            <w:noWrap/>
            <w:vAlign w:val="bottom"/>
            <w:hideMark/>
          </w:tcPr>
          <w:p w14:paraId="4DDFD9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7ECCFFE2" w14:textId="77777777" w:rsidTr="00ED0631">
        <w:trPr>
          <w:trHeight w:val="315"/>
        </w:trPr>
        <w:tc>
          <w:tcPr>
            <w:tcW w:w="2006" w:type="dxa"/>
            <w:tcBorders>
              <w:top w:val="nil"/>
              <w:left w:val="nil"/>
              <w:bottom w:val="nil"/>
              <w:right w:val="nil"/>
            </w:tcBorders>
            <w:shd w:val="clear" w:color="auto" w:fill="auto"/>
            <w:noWrap/>
            <w:vAlign w:val="bottom"/>
            <w:hideMark/>
          </w:tcPr>
          <w:p w14:paraId="1DB5942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62" w:type="dxa"/>
            <w:tcBorders>
              <w:top w:val="nil"/>
              <w:left w:val="nil"/>
              <w:bottom w:val="nil"/>
              <w:right w:val="nil"/>
            </w:tcBorders>
            <w:shd w:val="clear" w:color="auto" w:fill="auto"/>
            <w:noWrap/>
            <w:vAlign w:val="bottom"/>
            <w:hideMark/>
          </w:tcPr>
          <w:p w14:paraId="5A01DB9C"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8" w:type="dxa"/>
            <w:tcBorders>
              <w:top w:val="nil"/>
              <w:left w:val="nil"/>
              <w:bottom w:val="nil"/>
              <w:right w:val="nil"/>
            </w:tcBorders>
            <w:shd w:val="clear" w:color="auto" w:fill="auto"/>
            <w:noWrap/>
            <w:vAlign w:val="bottom"/>
            <w:hideMark/>
          </w:tcPr>
          <w:p w14:paraId="1452CD0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5" w:type="dxa"/>
            <w:tcBorders>
              <w:top w:val="nil"/>
              <w:left w:val="nil"/>
              <w:bottom w:val="nil"/>
              <w:right w:val="nil"/>
            </w:tcBorders>
            <w:shd w:val="clear" w:color="auto" w:fill="auto"/>
            <w:noWrap/>
            <w:vAlign w:val="bottom"/>
            <w:hideMark/>
          </w:tcPr>
          <w:p w14:paraId="479092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114" w:type="dxa"/>
            <w:tcBorders>
              <w:top w:val="nil"/>
              <w:left w:val="nil"/>
              <w:bottom w:val="nil"/>
              <w:right w:val="nil"/>
            </w:tcBorders>
            <w:shd w:val="clear" w:color="auto" w:fill="auto"/>
            <w:noWrap/>
            <w:vAlign w:val="bottom"/>
            <w:hideMark/>
          </w:tcPr>
          <w:p w14:paraId="1044EC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192" w:type="dxa"/>
            <w:tcBorders>
              <w:top w:val="nil"/>
              <w:left w:val="nil"/>
              <w:bottom w:val="nil"/>
              <w:right w:val="nil"/>
            </w:tcBorders>
            <w:shd w:val="clear" w:color="auto" w:fill="auto"/>
            <w:noWrap/>
            <w:vAlign w:val="bottom"/>
            <w:hideMark/>
          </w:tcPr>
          <w:p w14:paraId="3F353C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987" w:type="dxa"/>
            <w:tcBorders>
              <w:top w:val="nil"/>
              <w:left w:val="nil"/>
              <w:bottom w:val="nil"/>
              <w:right w:val="nil"/>
            </w:tcBorders>
            <w:shd w:val="clear" w:color="auto" w:fill="auto"/>
            <w:noWrap/>
            <w:vAlign w:val="bottom"/>
            <w:hideMark/>
          </w:tcPr>
          <w:p w14:paraId="786611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0A41ED6B" w14:textId="77777777" w:rsidTr="00ED0631">
        <w:trPr>
          <w:trHeight w:val="315"/>
        </w:trPr>
        <w:tc>
          <w:tcPr>
            <w:tcW w:w="2006" w:type="dxa"/>
            <w:tcBorders>
              <w:top w:val="nil"/>
              <w:left w:val="nil"/>
              <w:bottom w:val="nil"/>
              <w:right w:val="nil"/>
            </w:tcBorders>
            <w:shd w:val="clear" w:color="auto" w:fill="auto"/>
            <w:noWrap/>
            <w:vAlign w:val="bottom"/>
            <w:hideMark/>
          </w:tcPr>
          <w:p w14:paraId="19816D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62" w:type="dxa"/>
            <w:tcBorders>
              <w:top w:val="nil"/>
              <w:left w:val="nil"/>
              <w:bottom w:val="nil"/>
              <w:right w:val="nil"/>
            </w:tcBorders>
            <w:shd w:val="clear" w:color="auto" w:fill="auto"/>
            <w:noWrap/>
            <w:vAlign w:val="bottom"/>
            <w:hideMark/>
          </w:tcPr>
          <w:p w14:paraId="154DC1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098" w:type="dxa"/>
            <w:tcBorders>
              <w:top w:val="nil"/>
              <w:left w:val="nil"/>
              <w:bottom w:val="nil"/>
              <w:right w:val="nil"/>
            </w:tcBorders>
            <w:shd w:val="clear" w:color="auto" w:fill="auto"/>
            <w:noWrap/>
            <w:vAlign w:val="bottom"/>
            <w:hideMark/>
          </w:tcPr>
          <w:p w14:paraId="630482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035" w:type="dxa"/>
            <w:tcBorders>
              <w:top w:val="nil"/>
              <w:left w:val="nil"/>
              <w:bottom w:val="nil"/>
              <w:right w:val="nil"/>
            </w:tcBorders>
            <w:shd w:val="clear" w:color="auto" w:fill="auto"/>
            <w:noWrap/>
            <w:vAlign w:val="bottom"/>
            <w:hideMark/>
          </w:tcPr>
          <w:p w14:paraId="3EFEC6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14" w:type="dxa"/>
            <w:tcBorders>
              <w:top w:val="nil"/>
              <w:left w:val="nil"/>
              <w:bottom w:val="nil"/>
              <w:right w:val="nil"/>
            </w:tcBorders>
            <w:shd w:val="clear" w:color="auto" w:fill="auto"/>
            <w:noWrap/>
            <w:vAlign w:val="bottom"/>
            <w:hideMark/>
          </w:tcPr>
          <w:p w14:paraId="4F01C9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192" w:type="dxa"/>
            <w:tcBorders>
              <w:top w:val="nil"/>
              <w:left w:val="nil"/>
              <w:bottom w:val="nil"/>
              <w:right w:val="nil"/>
            </w:tcBorders>
            <w:shd w:val="clear" w:color="auto" w:fill="auto"/>
            <w:noWrap/>
            <w:vAlign w:val="bottom"/>
            <w:hideMark/>
          </w:tcPr>
          <w:p w14:paraId="129944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987" w:type="dxa"/>
            <w:tcBorders>
              <w:top w:val="nil"/>
              <w:left w:val="nil"/>
              <w:bottom w:val="nil"/>
              <w:right w:val="nil"/>
            </w:tcBorders>
            <w:shd w:val="clear" w:color="auto" w:fill="auto"/>
            <w:noWrap/>
            <w:vAlign w:val="bottom"/>
            <w:hideMark/>
          </w:tcPr>
          <w:p w14:paraId="1CE4A2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61AC8416" w14:textId="77777777" w:rsidTr="00ED0631">
        <w:trPr>
          <w:trHeight w:val="315"/>
        </w:trPr>
        <w:tc>
          <w:tcPr>
            <w:tcW w:w="2006" w:type="dxa"/>
            <w:tcBorders>
              <w:top w:val="nil"/>
              <w:left w:val="nil"/>
              <w:bottom w:val="nil"/>
              <w:right w:val="nil"/>
            </w:tcBorders>
            <w:shd w:val="clear" w:color="auto" w:fill="auto"/>
            <w:noWrap/>
            <w:vAlign w:val="bottom"/>
            <w:hideMark/>
          </w:tcPr>
          <w:p w14:paraId="1E3DCD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62" w:type="dxa"/>
            <w:tcBorders>
              <w:top w:val="nil"/>
              <w:left w:val="nil"/>
              <w:bottom w:val="nil"/>
              <w:right w:val="nil"/>
            </w:tcBorders>
            <w:shd w:val="clear" w:color="auto" w:fill="auto"/>
            <w:noWrap/>
            <w:vAlign w:val="bottom"/>
            <w:hideMark/>
          </w:tcPr>
          <w:p w14:paraId="43F537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098" w:type="dxa"/>
            <w:tcBorders>
              <w:top w:val="nil"/>
              <w:left w:val="nil"/>
              <w:bottom w:val="nil"/>
              <w:right w:val="nil"/>
            </w:tcBorders>
            <w:shd w:val="clear" w:color="auto" w:fill="auto"/>
            <w:noWrap/>
            <w:vAlign w:val="bottom"/>
            <w:hideMark/>
          </w:tcPr>
          <w:p w14:paraId="314FAE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035" w:type="dxa"/>
            <w:tcBorders>
              <w:top w:val="nil"/>
              <w:left w:val="nil"/>
              <w:bottom w:val="nil"/>
              <w:right w:val="nil"/>
            </w:tcBorders>
            <w:shd w:val="clear" w:color="auto" w:fill="auto"/>
            <w:noWrap/>
            <w:vAlign w:val="bottom"/>
            <w:hideMark/>
          </w:tcPr>
          <w:p w14:paraId="58ECC8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114" w:type="dxa"/>
            <w:tcBorders>
              <w:top w:val="nil"/>
              <w:left w:val="nil"/>
              <w:bottom w:val="nil"/>
              <w:right w:val="nil"/>
            </w:tcBorders>
            <w:shd w:val="clear" w:color="auto" w:fill="auto"/>
            <w:noWrap/>
            <w:vAlign w:val="bottom"/>
            <w:hideMark/>
          </w:tcPr>
          <w:p w14:paraId="0ECA98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92" w:type="dxa"/>
            <w:tcBorders>
              <w:top w:val="nil"/>
              <w:left w:val="nil"/>
              <w:bottom w:val="nil"/>
              <w:right w:val="nil"/>
            </w:tcBorders>
            <w:shd w:val="clear" w:color="auto" w:fill="auto"/>
            <w:noWrap/>
            <w:vAlign w:val="bottom"/>
            <w:hideMark/>
          </w:tcPr>
          <w:p w14:paraId="0D3B57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987" w:type="dxa"/>
            <w:tcBorders>
              <w:top w:val="nil"/>
              <w:left w:val="nil"/>
              <w:bottom w:val="nil"/>
              <w:right w:val="nil"/>
            </w:tcBorders>
            <w:shd w:val="clear" w:color="auto" w:fill="auto"/>
            <w:noWrap/>
            <w:vAlign w:val="bottom"/>
            <w:hideMark/>
          </w:tcPr>
          <w:p w14:paraId="389C5D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5298CDA8" w14:textId="77777777" w:rsidTr="00ED0631">
        <w:trPr>
          <w:trHeight w:val="315"/>
        </w:trPr>
        <w:tc>
          <w:tcPr>
            <w:tcW w:w="2006" w:type="dxa"/>
            <w:tcBorders>
              <w:top w:val="nil"/>
              <w:left w:val="nil"/>
              <w:bottom w:val="nil"/>
              <w:right w:val="nil"/>
            </w:tcBorders>
            <w:shd w:val="clear" w:color="auto" w:fill="auto"/>
            <w:noWrap/>
            <w:vAlign w:val="bottom"/>
            <w:hideMark/>
          </w:tcPr>
          <w:p w14:paraId="325431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62" w:type="dxa"/>
            <w:tcBorders>
              <w:top w:val="nil"/>
              <w:left w:val="nil"/>
              <w:bottom w:val="nil"/>
              <w:right w:val="nil"/>
            </w:tcBorders>
            <w:shd w:val="clear" w:color="auto" w:fill="auto"/>
            <w:noWrap/>
            <w:vAlign w:val="bottom"/>
            <w:hideMark/>
          </w:tcPr>
          <w:p w14:paraId="62F949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098" w:type="dxa"/>
            <w:tcBorders>
              <w:top w:val="nil"/>
              <w:left w:val="nil"/>
              <w:bottom w:val="nil"/>
              <w:right w:val="nil"/>
            </w:tcBorders>
            <w:shd w:val="clear" w:color="auto" w:fill="auto"/>
            <w:noWrap/>
            <w:vAlign w:val="bottom"/>
            <w:hideMark/>
          </w:tcPr>
          <w:p w14:paraId="107E61A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035" w:type="dxa"/>
            <w:tcBorders>
              <w:top w:val="nil"/>
              <w:left w:val="nil"/>
              <w:bottom w:val="nil"/>
              <w:right w:val="nil"/>
            </w:tcBorders>
            <w:shd w:val="clear" w:color="auto" w:fill="auto"/>
            <w:noWrap/>
            <w:vAlign w:val="bottom"/>
            <w:hideMark/>
          </w:tcPr>
          <w:p w14:paraId="5B75D4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114" w:type="dxa"/>
            <w:tcBorders>
              <w:top w:val="nil"/>
              <w:left w:val="nil"/>
              <w:bottom w:val="nil"/>
              <w:right w:val="nil"/>
            </w:tcBorders>
            <w:shd w:val="clear" w:color="auto" w:fill="auto"/>
            <w:noWrap/>
            <w:vAlign w:val="bottom"/>
            <w:hideMark/>
          </w:tcPr>
          <w:p w14:paraId="526B19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192" w:type="dxa"/>
            <w:tcBorders>
              <w:top w:val="nil"/>
              <w:left w:val="nil"/>
              <w:bottom w:val="nil"/>
              <w:right w:val="nil"/>
            </w:tcBorders>
            <w:shd w:val="clear" w:color="auto" w:fill="auto"/>
            <w:noWrap/>
            <w:vAlign w:val="bottom"/>
            <w:hideMark/>
          </w:tcPr>
          <w:p w14:paraId="71CA9E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987" w:type="dxa"/>
            <w:tcBorders>
              <w:top w:val="nil"/>
              <w:left w:val="nil"/>
              <w:bottom w:val="nil"/>
              <w:right w:val="nil"/>
            </w:tcBorders>
            <w:shd w:val="clear" w:color="auto" w:fill="auto"/>
            <w:noWrap/>
            <w:vAlign w:val="bottom"/>
            <w:hideMark/>
          </w:tcPr>
          <w:p w14:paraId="05380E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19F7E4EE" w14:textId="77777777" w:rsidTr="00ED0631">
        <w:trPr>
          <w:trHeight w:val="315"/>
        </w:trPr>
        <w:tc>
          <w:tcPr>
            <w:tcW w:w="2006" w:type="dxa"/>
            <w:tcBorders>
              <w:top w:val="nil"/>
              <w:left w:val="nil"/>
              <w:bottom w:val="nil"/>
              <w:right w:val="nil"/>
            </w:tcBorders>
            <w:shd w:val="clear" w:color="auto" w:fill="auto"/>
            <w:noWrap/>
            <w:vAlign w:val="bottom"/>
            <w:hideMark/>
          </w:tcPr>
          <w:p w14:paraId="4B167D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62" w:type="dxa"/>
            <w:tcBorders>
              <w:top w:val="nil"/>
              <w:left w:val="nil"/>
              <w:bottom w:val="nil"/>
              <w:right w:val="nil"/>
            </w:tcBorders>
            <w:shd w:val="clear" w:color="auto" w:fill="auto"/>
            <w:noWrap/>
            <w:vAlign w:val="bottom"/>
            <w:hideMark/>
          </w:tcPr>
          <w:p w14:paraId="38E103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098" w:type="dxa"/>
            <w:tcBorders>
              <w:top w:val="nil"/>
              <w:left w:val="nil"/>
              <w:bottom w:val="nil"/>
              <w:right w:val="nil"/>
            </w:tcBorders>
            <w:shd w:val="clear" w:color="auto" w:fill="auto"/>
            <w:noWrap/>
            <w:vAlign w:val="bottom"/>
            <w:hideMark/>
          </w:tcPr>
          <w:p w14:paraId="2B4D97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035" w:type="dxa"/>
            <w:tcBorders>
              <w:top w:val="nil"/>
              <w:left w:val="nil"/>
              <w:bottom w:val="nil"/>
              <w:right w:val="nil"/>
            </w:tcBorders>
            <w:shd w:val="clear" w:color="auto" w:fill="auto"/>
            <w:noWrap/>
            <w:vAlign w:val="bottom"/>
            <w:hideMark/>
          </w:tcPr>
          <w:p w14:paraId="5AABDD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114" w:type="dxa"/>
            <w:tcBorders>
              <w:top w:val="nil"/>
              <w:left w:val="nil"/>
              <w:bottom w:val="nil"/>
              <w:right w:val="nil"/>
            </w:tcBorders>
            <w:shd w:val="clear" w:color="auto" w:fill="auto"/>
            <w:noWrap/>
            <w:vAlign w:val="bottom"/>
            <w:hideMark/>
          </w:tcPr>
          <w:p w14:paraId="0E4D07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192" w:type="dxa"/>
            <w:tcBorders>
              <w:top w:val="nil"/>
              <w:left w:val="nil"/>
              <w:bottom w:val="nil"/>
              <w:right w:val="nil"/>
            </w:tcBorders>
            <w:shd w:val="clear" w:color="auto" w:fill="auto"/>
            <w:noWrap/>
            <w:vAlign w:val="bottom"/>
            <w:hideMark/>
          </w:tcPr>
          <w:p w14:paraId="3C1486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987" w:type="dxa"/>
            <w:tcBorders>
              <w:top w:val="nil"/>
              <w:left w:val="nil"/>
              <w:bottom w:val="nil"/>
              <w:right w:val="nil"/>
            </w:tcBorders>
            <w:shd w:val="clear" w:color="auto" w:fill="auto"/>
            <w:noWrap/>
            <w:vAlign w:val="bottom"/>
            <w:hideMark/>
          </w:tcPr>
          <w:p w14:paraId="7A6BF0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476AD3A4" w14:textId="77777777" w:rsidTr="00ED0631">
        <w:trPr>
          <w:trHeight w:val="315"/>
        </w:trPr>
        <w:tc>
          <w:tcPr>
            <w:tcW w:w="2006" w:type="dxa"/>
            <w:tcBorders>
              <w:top w:val="nil"/>
              <w:left w:val="nil"/>
              <w:bottom w:val="nil"/>
              <w:right w:val="nil"/>
            </w:tcBorders>
            <w:shd w:val="clear" w:color="auto" w:fill="auto"/>
            <w:noWrap/>
            <w:vAlign w:val="bottom"/>
            <w:hideMark/>
          </w:tcPr>
          <w:p w14:paraId="56164F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62" w:type="dxa"/>
            <w:tcBorders>
              <w:top w:val="nil"/>
              <w:left w:val="nil"/>
              <w:bottom w:val="nil"/>
              <w:right w:val="nil"/>
            </w:tcBorders>
            <w:shd w:val="clear" w:color="auto" w:fill="auto"/>
            <w:noWrap/>
            <w:vAlign w:val="bottom"/>
            <w:hideMark/>
          </w:tcPr>
          <w:p w14:paraId="30F8E2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33 </w:t>
            </w:r>
          </w:p>
        </w:tc>
        <w:tc>
          <w:tcPr>
            <w:tcW w:w="1098" w:type="dxa"/>
            <w:tcBorders>
              <w:top w:val="nil"/>
              <w:left w:val="nil"/>
              <w:bottom w:val="nil"/>
              <w:right w:val="nil"/>
            </w:tcBorders>
            <w:shd w:val="clear" w:color="auto" w:fill="auto"/>
            <w:noWrap/>
            <w:vAlign w:val="bottom"/>
            <w:hideMark/>
          </w:tcPr>
          <w:p w14:paraId="571BBF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34 </w:t>
            </w:r>
          </w:p>
        </w:tc>
        <w:tc>
          <w:tcPr>
            <w:tcW w:w="1035" w:type="dxa"/>
            <w:tcBorders>
              <w:top w:val="nil"/>
              <w:left w:val="nil"/>
              <w:bottom w:val="nil"/>
              <w:right w:val="nil"/>
            </w:tcBorders>
            <w:shd w:val="clear" w:color="auto" w:fill="auto"/>
            <w:noWrap/>
            <w:vAlign w:val="bottom"/>
            <w:hideMark/>
          </w:tcPr>
          <w:p w14:paraId="5E7BC5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39 </w:t>
            </w:r>
          </w:p>
        </w:tc>
        <w:tc>
          <w:tcPr>
            <w:tcW w:w="1114" w:type="dxa"/>
            <w:tcBorders>
              <w:top w:val="nil"/>
              <w:left w:val="nil"/>
              <w:bottom w:val="nil"/>
              <w:right w:val="nil"/>
            </w:tcBorders>
            <w:shd w:val="clear" w:color="auto" w:fill="auto"/>
            <w:noWrap/>
            <w:vAlign w:val="bottom"/>
            <w:hideMark/>
          </w:tcPr>
          <w:p w14:paraId="4D57C9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 </w:t>
            </w:r>
          </w:p>
        </w:tc>
        <w:tc>
          <w:tcPr>
            <w:tcW w:w="1192" w:type="dxa"/>
            <w:tcBorders>
              <w:top w:val="nil"/>
              <w:left w:val="nil"/>
              <w:bottom w:val="nil"/>
              <w:right w:val="nil"/>
            </w:tcBorders>
            <w:shd w:val="clear" w:color="auto" w:fill="auto"/>
            <w:noWrap/>
            <w:vAlign w:val="bottom"/>
            <w:hideMark/>
          </w:tcPr>
          <w:p w14:paraId="3BE3EF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c>
          <w:tcPr>
            <w:tcW w:w="987" w:type="dxa"/>
            <w:tcBorders>
              <w:top w:val="nil"/>
              <w:left w:val="nil"/>
              <w:bottom w:val="nil"/>
              <w:right w:val="nil"/>
            </w:tcBorders>
            <w:shd w:val="clear" w:color="auto" w:fill="auto"/>
            <w:noWrap/>
            <w:vAlign w:val="bottom"/>
            <w:hideMark/>
          </w:tcPr>
          <w:p w14:paraId="325A25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34 </w:t>
            </w:r>
          </w:p>
        </w:tc>
      </w:tr>
      <w:tr w:rsidR="00AC362E" w:rsidRPr="00491EF1" w14:paraId="097812E2" w14:textId="77777777" w:rsidTr="00ED0631">
        <w:trPr>
          <w:trHeight w:val="315"/>
        </w:trPr>
        <w:tc>
          <w:tcPr>
            <w:tcW w:w="2006" w:type="dxa"/>
            <w:tcBorders>
              <w:top w:val="nil"/>
              <w:left w:val="nil"/>
              <w:bottom w:val="nil"/>
              <w:right w:val="nil"/>
            </w:tcBorders>
            <w:shd w:val="clear" w:color="auto" w:fill="auto"/>
            <w:noWrap/>
            <w:vAlign w:val="bottom"/>
            <w:hideMark/>
          </w:tcPr>
          <w:p w14:paraId="684624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162" w:type="dxa"/>
            <w:tcBorders>
              <w:top w:val="nil"/>
              <w:left w:val="nil"/>
              <w:bottom w:val="nil"/>
              <w:right w:val="nil"/>
            </w:tcBorders>
            <w:shd w:val="clear" w:color="auto" w:fill="auto"/>
            <w:noWrap/>
            <w:vAlign w:val="bottom"/>
            <w:hideMark/>
          </w:tcPr>
          <w:p w14:paraId="65EB83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098" w:type="dxa"/>
            <w:tcBorders>
              <w:top w:val="nil"/>
              <w:left w:val="nil"/>
              <w:bottom w:val="nil"/>
              <w:right w:val="nil"/>
            </w:tcBorders>
            <w:shd w:val="clear" w:color="auto" w:fill="auto"/>
            <w:noWrap/>
            <w:vAlign w:val="bottom"/>
            <w:hideMark/>
          </w:tcPr>
          <w:p w14:paraId="171244B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5" w:type="dxa"/>
            <w:tcBorders>
              <w:top w:val="nil"/>
              <w:left w:val="nil"/>
              <w:bottom w:val="nil"/>
              <w:right w:val="nil"/>
            </w:tcBorders>
            <w:shd w:val="clear" w:color="auto" w:fill="auto"/>
            <w:noWrap/>
            <w:vAlign w:val="bottom"/>
            <w:hideMark/>
          </w:tcPr>
          <w:p w14:paraId="32E2A4A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114" w:type="dxa"/>
            <w:tcBorders>
              <w:top w:val="nil"/>
              <w:left w:val="nil"/>
              <w:bottom w:val="nil"/>
              <w:right w:val="nil"/>
            </w:tcBorders>
            <w:shd w:val="clear" w:color="auto" w:fill="auto"/>
            <w:noWrap/>
            <w:vAlign w:val="bottom"/>
            <w:hideMark/>
          </w:tcPr>
          <w:p w14:paraId="3BD461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192" w:type="dxa"/>
            <w:tcBorders>
              <w:top w:val="nil"/>
              <w:left w:val="nil"/>
              <w:bottom w:val="nil"/>
              <w:right w:val="nil"/>
            </w:tcBorders>
            <w:shd w:val="clear" w:color="auto" w:fill="auto"/>
            <w:noWrap/>
            <w:vAlign w:val="bottom"/>
            <w:hideMark/>
          </w:tcPr>
          <w:p w14:paraId="5DA4D8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987" w:type="dxa"/>
            <w:tcBorders>
              <w:top w:val="nil"/>
              <w:left w:val="nil"/>
              <w:bottom w:val="nil"/>
              <w:right w:val="nil"/>
            </w:tcBorders>
            <w:shd w:val="clear" w:color="auto" w:fill="auto"/>
            <w:noWrap/>
            <w:vAlign w:val="bottom"/>
            <w:hideMark/>
          </w:tcPr>
          <w:p w14:paraId="180817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3CCBB273" w14:textId="77777777" w:rsidTr="00ED0631">
        <w:trPr>
          <w:trHeight w:val="315"/>
        </w:trPr>
        <w:tc>
          <w:tcPr>
            <w:tcW w:w="2006" w:type="dxa"/>
            <w:tcBorders>
              <w:top w:val="single" w:sz="4" w:space="0" w:color="auto"/>
              <w:left w:val="nil"/>
              <w:bottom w:val="single" w:sz="4" w:space="0" w:color="auto"/>
              <w:right w:val="nil"/>
            </w:tcBorders>
            <w:shd w:val="clear" w:color="auto" w:fill="auto"/>
            <w:noWrap/>
            <w:vAlign w:val="bottom"/>
            <w:hideMark/>
          </w:tcPr>
          <w:p w14:paraId="5E7930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62" w:type="dxa"/>
            <w:tcBorders>
              <w:top w:val="single" w:sz="4" w:space="0" w:color="auto"/>
              <w:left w:val="nil"/>
              <w:bottom w:val="single" w:sz="4" w:space="0" w:color="auto"/>
              <w:right w:val="nil"/>
            </w:tcBorders>
            <w:shd w:val="clear" w:color="auto" w:fill="auto"/>
            <w:noWrap/>
            <w:vAlign w:val="bottom"/>
            <w:hideMark/>
          </w:tcPr>
          <w:p w14:paraId="6A5429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77 </w:t>
            </w:r>
          </w:p>
        </w:tc>
        <w:tc>
          <w:tcPr>
            <w:tcW w:w="1098" w:type="dxa"/>
            <w:tcBorders>
              <w:top w:val="single" w:sz="4" w:space="0" w:color="auto"/>
              <w:left w:val="nil"/>
              <w:bottom w:val="single" w:sz="4" w:space="0" w:color="auto"/>
              <w:right w:val="nil"/>
            </w:tcBorders>
            <w:shd w:val="clear" w:color="auto" w:fill="auto"/>
            <w:noWrap/>
            <w:vAlign w:val="bottom"/>
            <w:hideMark/>
          </w:tcPr>
          <w:p w14:paraId="39D0F1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74 </w:t>
            </w:r>
          </w:p>
        </w:tc>
        <w:tc>
          <w:tcPr>
            <w:tcW w:w="1035" w:type="dxa"/>
            <w:tcBorders>
              <w:top w:val="single" w:sz="4" w:space="0" w:color="auto"/>
              <w:left w:val="nil"/>
              <w:bottom w:val="single" w:sz="4" w:space="0" w:color="auto"/>
              <w:right w:val="nil"/>
            </w:tcBorders>
            <w:shd w:val="clear" w:color="auto" w:fill="auto"/>
            <w:noWrap/>
            <w:vAlign w:val="bottom"/>
            <w:hideMark/>
          </w:tcPr>
          <w:p w14:paraId="1FBB5F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82 </w:t>
            </w:r>
          </w:p>
        </w:tc>
        <w:tc>
          <w:tcPr>
            <w:tcW w:w="1114" w:type="dxa"/>
            <w:tcBorders>
              <w:top w:val="single" w:sz="4" w:space="0" w:color="auto"/>
              <w:left w:val="nil"/>
              <w:bottom w:val="single" w:sz="4" w:space="0" w:color="auto"/>
              <w:right w:val="nil"/>
            </w:tcBorders>
            <w:shd w:val="clear" w:color="auto" w:fill="auto"/>
            <w:noWrap/>
            <w:vAlign w:val="bottom"/>
            <w:hideMark/>
          </w:tcPr>
          <w:p w14:paraId="723B4B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73 </w:t>
            </w:r>
          </w:p>
        </w:tc>
        <w:tc>
          <w:tcPr>
            <w:tcW w:w="1192" w:type="dxa"/>
            <w:tcBorders>
              <w:top w:val="single" w:sz="4" w:space="0" w:color="auto"/>
              <w:left w:val="nil"/>
              <w:bottom w:val="single" w:sz="4" w:space="0" w:color="auto"/>
              <w:right w:val="nil"/>
            </w:tcBorders>
            <w:shd w:val="clear" w:color="auto" w:fill="auto"/>
            <w:noWrap/>
            <w:vAlign w:val="bottom"/>
            <w:hideMark/>
          </w:tcPr>
          <w:p w14:paraId="67C566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 </w:t>
            </w:r>
          </w:p>
        </w:tc>
        <w:tc>
          <w:tcPr>
            <w:tcW w:w="987" w:type="dxa"/>
            <w:tcBorders>
              <w:top w:val="single" w:sz="4" w:space="0" w:color="auto"/>
              <w:left w:val="nil"/>
              <w:bottom w:val="single" w:sz="4" w:space="0" w:color="auto"/>
              <w:right w:val="nil"/>
            </w:tcBorders>
            <w:shd w:val="clear" w:color="auto" w:fill="auto"/>
            <w:noWrap/>
            <w:vAlign w:val="bottom"/>
            <w:hideMark/>
          </w:tcPr>
          <w:p w14:paraId="1AF825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83 </w:t>
            </w:r>
          </w:p>
        </w:tc>
      </w:tr>
    </w:tbl>
    <w:p w14:paraId="6D89BEDD"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586C235D"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4: Number of teachers who have received each of the new curriculum training by island type</w:t>
      </w:r>
    </w:p>
    <w:tbl>
      <w:tblPr>
        <w:tblW w:w="9241" w:type="dxa"/>
        <w:tblInd w:w="93" w:type="dxa"/>
        <w:tblLook w:val="04A0" w:firstRow="1" w:lastRow="0" w:firstColumn="1" w:lastColumn="0" w:noHBand="0" w:noVBand="1"/>
      </w:tblPr>
      <w:tblGrid>
        <w:gridCol w:w="1477"/>
        <w:gridCol w:w="1294"/>
        <w:gridCol w:w="1294"/>
        <w:gridCol w:w="1294"/>
        <w:gridCol w:w="1294"/>
        <w:gridCol w:w="1294"/>
        <w:gridCol w:w="1294"/>
      </w:tblGrid>
      <w:tr w:rsidR="00AC362E" w:rsidRPr="00491EF1" w14:paraId="1C2401D6" w14:textId="77777777" w:rsidTr="00ED0631">
        <w:trPr>
          <w:trHeight w:val="315"/>
        </w:trPr>
        <w:tc>
          <w:tcPr>
            <w:tcW w:w="1477" w:type="dxa"/>
            <w:tcBorders>
              <w:top w:val="single" w:sz="4" w:space="0" w:color="auto"/>
              <w:left w:val="nil"/>
              <w:bottom w:val="nil"/>
              <w:right w:val="nil"/>
            </w:tcBorders>
            <w:shd w:val="clear" w:color="auto" w:fill="auto"/>
            <w:noWrap/>
            <w:vAlign w:val="bottom"/>
            <w:hideMark/>
          </w:tcPr>
          <w:p w14:paraId="47958306"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Yes </w:t>
            </w:r>
          </w:p>
        </w:tc>
        <w:tc>
          <w:tcPr>
            <w:tcW w:w="1294" w:type="dxa"/>
            <w:tcBorders>
              <w:top w:val="single" w:sz="4" w:space="0" w:color="auto"/>
              <w:left w:val="nil"/>
              <w:bottom w:val="single" w:sz="4" w:space="0" w:color="auto"/>
              <w:right w:val="nil"/>
            </w:tcBorders>
            <w:shd w:val="clear" w:color="auto" w:fill="auto"/>
            <w:noWrap/>
            <w:vAlign w:val="bottom"/>
            <w:hideMark/>
          </w:tcPr>
          <w:p w14:paraId="4DD047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Y1&amp;2-C1 </w:t>
            </w:r>
          </w:p>
        </w:tc>
        <w:tc>
          <w:tcPr>
            <w:tcW w:w="1294" w:type="dxa"/>
            <w:tcBorders>
              <w:top w:val="single" w:sz="4" w:space="0" w:color="auto"/>
              <w:left w:val="nil"/>
              <w:bottom w:val="single" w:sz="4" w:space="0" w:color="auto"/>
              <w:right w:val="nil"/>
            </w:tcBorders>
            <w:shd w:val="clear" w:color="auto" w:fill="auto"/>
            <w:noWrap/>
            <w:vAlign w:val="bottom"/>
            <w:hideMark/>
          </w:tcPr>
          <w:p w14:paraId="4A59E7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Y1&amp;2-C2 </w:t>
            </w:r>
          </w:p>
        </w:tc>
        <w:tc>
          <w:tcPr>
            <w:tcW w:w="1294" w:type="dxa"/>
            <w:tcBorders>
              <w:top w:val="single" w:sz="4" w:space="0" w:color="auto"/>
              <w:left w:val="nil"/>
              <w:bottom w:val="single" w:sz="4" w:space="0" w:color="auto"/>
              <w:right w:val="nil"/>
            </w:tcBorders>
            <w:shd w:val="clear" w:color="auto" w:fill="auto"/>
            <w:noWrap/>
            <w:vAlign w:val="bottom"/>
            <w:hideMark/>
          </w:tcPr>
          <w:p w14:paraId="75FFC5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Y1&amp;2-C3 </w:t>
            </w:r>
          </w:p>
        </w:tc>
        <w:tc>
          <w:tcPr>
            <w:tcW w:w="1294" w:type="dxa"/>
            <w:tcBorders>
              <w:top w:val="single" w:sz="4" w:space="0" w:color="auto"/>
              <w:left w:val="nil"/>
              <w:bottom w:val="single" w:sz="4" w:space="0" w:color="auto"/>
              <w:right w:val="nil"/>
            </w:tcBorders>
            <w:shd w:val="clear" w:color="auto" w:fill="auto"/>
            <w:noWrap/>
            <w:vAlign w:val="bottom"/>
            <w:hideMark/>
          </w:tcPr>
          <w:p w14:paraId="703D9D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Y3&amp;4-C1 </w:t>
            </w:r>
          </w:p>
        </w:tc>
        <w:tc>
          <w:tcPr>
            <w:tcW w:w="1294" w:type="dxa"/>
            <w:tcBorders>
              <w:top w:val="single" w:sz="4" w:space="0" w:color="auto"/>
              <w:left w:val="nil"/>
              <w:bottom w:val="single" w:sz="4" w:space="0" w:color="auto"/>
              <w:right w:val="nil"/>
            </w:tcBorders>
            <w:shd w:val="clear" w:color="auto" w:fill="auto"/>
            <w:noWrap/>
            <w:vAlign w:val="bottom"/>
            <w:hideMark/>
          </w:tcPr>
          <w:p w14:paraId="06C1E6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Y3&amp;4-C2 </w:t>
            </w:r>
          </w:p>
        </w:tc>
        <w:tc>
          <w:tcPr>
            <w:tcW w:w="1294" w:type="dxa"/>
            <w:tcBorders>
              <w:top w:val="single" w:sz="4" w:space="0" w:color="auto"/>
              <w:left w:val="nil"/>
              <w:bottom w:val="single" w:sz="4" w:space="0" w:color="auto"/>
              <w:right w:val="nil"/>
            </w:tcBorders>
            <w:shd w:val="clear" w:color="auto" w:fill="auto"/>
            <w:noWrap/>
            <w:vAlign w:val="bottom"/>
            <w:hideMark/>
          </w:tcPr>
          <w:p w14:paraId="57A97C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Y3&amp;4-C3 </w:t>
            </w:r>
          </w:p>
        </w:tc>
      </w:tr>
      <w:tr w:rsidR="00AC362E" w:rsidRPr="00491EF1" w14:paraId="336D47B1" w14:textId="77777777" w:rsidTr="00ED0631">
        <w:trPr>
          <w:trHeight w:val="315"/>
        </w:trPr>
        <w:tc>
          <w:tcPr>
            <w:tcW w:w="1477" w:type="dxa"/>
            <w:tcBorders>
              <w:top w:val="single" w:sz="4" w:space="0" w:color="auto"/>
              <w:left w:val="nil"/>
              <w:bottom w:val="nil"/>
              <w:right w:val="nil"/>
            </w:tcBorders>
            <w:shd w:val="clear" w:color="auto" w:fill="auto"/>
            <w:noWrap/>
            <w:vAlign w:val="bottom"/>
            <w:hideMark/>
          </w:tcPr>
          <w:p w14:paraId="2C671CA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94" w:type="dxa"/>
            <w:tcBorders>
              <w:top w:val="nil"/>
              <w:left w:val="nil"/>
              <w:bottom w:val="nil"/>
              <w:right w:val="nil"/>
            </w:tcBorders>
            <w:shd w:val="clear" w:color="auto" w:fill="auto"/>
            <w:noWrap/>
            <w:vAlign w:val="bottom"/>
            <w:hideMark/>
          </w:tcPr>
          <w:p w14:paraId="0AC3D9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 </w:t>
            </w:r>
          </w:p>
        </w:tc>
        <w:tc>
          <w:tcPr>
            <w:tcW w:w="1294" w:type="dxa"/>
            <w:tcBorders>
              <w:top w:val="nil"/>
              <w:left w:val="nil"/>
              <w:bottom w:val="nil"/>
              <w:right w:val="nil"/>
            </w:tcBorders>
            <w:shd w:val="clear" w:color="auto" w:fill="auto"/>
            <w:noWrap/>
            <w:vAlign w:val="bottom"/>
            <w:hideMark/>
          </w:tcPr>
          <w:p w14:paraId="167F26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32 </w:t>
            </w:r>
          </w:p>
        </w:tc>
        <w:tc>
          <w:tcPr>
            <w:tcW w:w="1294" w:type="dxa"/>
            <w:tcBorders>
              <w:top w:val="nil"/>
              <w:left w:val="nil"/>
              <w:bottom w:val="nil"/>
              <w:right w:val="nil"/>
            </w:tcBorders>
            <w:shd w:val="clear" w:color="auto" w:fill="auto"/>
            <w:noWrap/>
            <w:vAlign w:val="bottom"/>
            <w:hideMark/>
          </w:tcPr>
          <w:p w14:paraId="270577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32 </w:t>
            </w:r>
          </w:p>
        </w:tc>
        <w:tc>
          <w:tcPr>
            <w:tcW w:w="1294" w:type="dxa"/>
            <w:tcBorders>
              <w:top w:val="nil"/>
              <w:left w:val="nil"/>
              <w:bottom w:val="nil"/>
              <w:right w:val="nil"/>
            </w:tcBorders>
            <w:shd w:val="clear" w:color="auto" w:fill="auto"/>
            <w:noWrap/>
            <w:vAlign w:val="bottom"/>
            <w:hideMark/>
          </w:tcPr>
          <w:p w14:paraId="17CD85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34 </w:t>
            </w:r>
          </w:p>
        </w:tc>
        <w:tc>
          <w:tcPr>
            <w:tcW w:w="1294" w:type="dxa"/>
            <w:tcBorders>
              <w:top w:val="nil"/>
              <w:left w:val="nil"/>
              <w:bottom w:val="nil"/>
              <w:right w:val="nil"/>
            </w:tcBorders>
            <w:shd w:val="clear" w:color="auto" w:fill="auto"/>
            <w:noWrap/>
            <w:vAlign w:val="bottom"/>
            <w:hideMark/>
          </w:tcPr>
          <w:p w14:paraId="42786B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37 </w:t>
            </w:r>
          </w:p>
        </w:tc>
        <w:tc>
          <w:tcPr>
            <w:tcW w:w="1294" w:type="dxa"/>
            <w:tcBorders>
              <w:top w:val="nil"/>
              <w:left w:val="nil"/>
              <w:bottom w:val="nil"/>
              <w:right w:val="nil"/>
            </w:tcBorders>
            <w:shd w:val="clear" w:color="auto" w:fill="auto"/>
            <w:noWrap/>
            <w:vAlign w:val="bottom"/>
            <w:hideMark/>
          </w:tcPr>
          <w:p w14:paraId="20CB54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36 </w:t>
            </w:r>
          </w:p>
        </w:tc>
      </w:tr>
      <w:tr w:rsidR="00AC362E" w:rsidRPr="00491EF1" w14:paraId="5FC55ED6" w14:textId="77777777" w:rsidTr="00ED0631">
        <w:trPr>
          <w:trHeight w:val="315"/>
        </w:trPr>
        <w:tc>
          <w:tcPr>
            <w:tcW w:w="1477" w:type="dxa"/>
            <w:tcBorders>
              <w:top w:val="nil"/>
              <w:left w:val="nil"/>
              <w:bottom w:val="nil"/>
              <w:right w:val="nil"/>
            </w:tcBorders>
            <w:shd w:val="clear" w:color="auto" w:fill="auto"/>
            <w:noWrap/>
            <w:vAlign w:val="bottom"/>
            <w:hideMark/>
          </w:tcPr>
          <w:p w14:paraId="02641C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94" w:type="dxa"/>
            <w:tcBorders>
              <w:top w:val="nil"/>
              <w:left w:val="nil"/>
              <w:bottom w:val="nil"/>
              <w:right w:val="nil"/>
            </w:tcBorders>
            <w:shd w:val="clear" w:color="auto" w:fill="auto"/>
            <w:noWrap/>
            <w:vAlign w:val="bottom"/>
            <w:hideMark/>
          </w:tcPr>
          <w:p w14:paraId="55AA2E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294" w:type="dxa"/>
            <w:tcBorders>
              <w:top w:val="nil"/>
              <w:left w:val="nil"/>
              <w:bottom w:val="nil"/>
              <w:right w:val="nil"/>
            </w:tcBorders>
            <w:shd w:val="clear" w:color="auto" w:fill="auto"/>
            <w:noWrap/>
            <w:vAlign w:val="bottom"/>
            <w:hideMark/>
          </w:tcPr>
          <w:p w14:paraId="7CD3C1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94" w:type="dxa"/>
            <w:tcBorders>
              <w:top w:val="nil"/>
              <w:left w:val="nil"/>
              <w:bottom w:val="nil"/>
              <w:right w:val="nil"/>
            </w:tcBorders>
            <w:shd w:val="clear" w:color="auto" w:fill="auto"/>
            <w:noWrap/>
            <w:vAlign w:val="bottom"/>
            <w:hideMark/>
          </w:tcPr>
          <w:p w14:paraId="62AD82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294" w:type="dxa"/>
            <w:tcBorders>
              <w:top w:val="nil"/>
              <w:left w:val="nil"/>
              <w:bottom w:val="nil"/>
              <w:right w:val="nil"/>
            </w:tcBorders>
            <w:shd w:val="clear" w:color="auto" w:fill="auto"/>
            <w:noWrap/>
            <w:vAlign w:val="bottom"/>
            <w:hideMark/>
          </w:tcPr>
          <w:p w14:paraId="358645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294" w:type="dxa"/>
            <w:tcBorders>
              <w:top w:val="nil"/>
              <w:left w:val="nil"/>
              <w:bottom w:val="nil"/>
              <w:right w:val="nil"/>
            </w:tcBorders>
            <w:shd w:val="clear" w:color="auto" w:fill="auto"/>
            <w:noWrap/>
            <w:vAlign w:val="bottom"/>
            <w:hideMark/>
          </w:tcPr>
          <w:p w14:paraId="7B337D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294" w:type="dxa"/>
            <w:tcBorders>
              <w:top w:val="nil"/>
              <w:left w:val="nil"/>
              <w:bottom w:val="nil"/>
              <w:right w:val="nil"/>
            </w:tcBorders>
            <w:shd w:val="clear" w:color="auto" w:fill="auto"/>
            <w:noWrap/>
            <w:vAlign w:val="bottom"/>
            <w:hideMark/>
          </w:tcPr>
          <w:p w14:paraId="016D78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2291E6D9" w14:textId="77777777" w:rsidTr="00ED0631">
        <w:trPr>
          <w:trHeight w:val="315"/>
        </w:trPr>
        <w:tc>
          <w:tcPr>
            <w:tcW w:w="1477" w:type="dxa"/>
            <w:tcBorders>
              <w:top w:val="nil"/>
              <w:left w:val="nil"/>
              <w:bottom w:val="nil"/>
              <w:right w:val="nil"/>
            </w:tcBorders>
            <w:shd w:val="clear" w:color="auto" w:fill="auto"/>
            <w:noWrap/>
            <w:vAlign w:val="bottom"/>
            <w:hideMark/>
          </w:tcPr>
          <w:p w14:paraId="31D414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94" w:type="dxa"/>
            <w:tcBorders>
              <w:top w:val="nil"/>
              <w:left w:val="nil"/>
              <w:bottom w:val="nil"/>
              <w:right w:val="nil"/>
            </w:tcBorders>
            <w:shd w:val="clear" w:color="auto" w:fill="auto"/>
            <w:noWrap/>
            <w:vAlign w:val="bottom"/>
            <w:hideMark/>
          </w:tcPr>
          <w:p w14:paraId="302EF8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33 </w:t>
            </w:r>
          </w:p>
        </w:tc>
        <w:tc>
          <w:tcPr>
            <w:tcW w:w="1294" w:type="dxa"/>
            <w:tcBorders>
              <w:top w:val="nil"/>
              <w:left w:val="nil"/>
              <w:bottom w:val="nil"/>
              <w:right w:val="nil"/>
            </w:tcBorders>
            <w:shd w:val="clear" w:color="auto" w:fill="auto"/>
            <w:noWrap/>
            <w:vAlign w:val="bottom"/>
            <w:hideMark/>
          </w:tcPr>
          <w:p w14:paraId="1507F1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34 </w:t>
            </w:r>
          </w:p>
        </w:tc>
        <w:tc>
          <w:tcPr>
            <w:tcW w:w="1294" w:type="dxa"/>
            <w:tcBorders>
              <w:top w:val="nil"/>
              <w:left w:val="nil"/>
              <w:bottom w:val="nil"/>
              <w:right w:val="nil"/>
            </w:tcBorders>
            <w:shd w:val="clear" w:color="auto" w:fill="auto"/>
            <w:noWrap/>
            <w:vAlign w:val="bottom"/>
            <w:hideMark/>
          </w:tcPr>
          <w:p w14:paraId="6CC3BD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39 </w:t>
            </w:r>
          </w:p>
        </w:tc>
        <w:tc>
          <w:tcPr>
            <w:tcW w:w="1294" w:type="dxa"/>
            <w:tcBorders>
              <w:top w:val="nil"/>
              <w:left w:val="nil"/>
              <w:bottom w:val="nil"/>
              <w:right w:val="nil"/>
            </w:tcBorders>
            <w:shd w:val="clear" w:color="auto" w:fill="auto"/>
            <w:noWrap/>
            <w:vAlign w:val="bottom"/>
            <w:hideMark/>
          </w:tcPr>
          <w:p w14:paraId="2C49B8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 </w:t>
            </w:r>
          </w:p>
        </w:tc>
        <w:tc>
          <w:tcPr>
            <w:tcW w:w="1294" w:type="dxa"/>
            <w:tcBorders>
              <w:top w:val="nil"/>
              <w:left w:val="nil"/>
              <w:bottom w:val="nil"/>
              <w:right w:val="nil"/>
            </w:tcBorders>
            <w:shd w:val="clear" w:color="auto" w:fill="auto"/>
            <w:noWrap/>
            <w:vAlign w:val="bottom"/>
            <w:hideMark/>
          </w:tcPr>
          <w:p w14:paraId="232D9C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c>
          <w:tcPr>
            <w:tcW w:w="1294" w:type="dxa"/>
            <w:tcBorders>
              <w:top w:val="nil"/>
              <w:left w:val="nil"/>
              <w:bottom w:val="nil"/>
              <w:right w:val="nil"/>
            </w:tcBorders>
            <w:shd w:val="clear" w:color="auto" w:fill="auto"/>
            <w:noWrap/>
            <w:vAlign w:val="bottom"/>
            <w:hideMark/>
          </w:tcPr>
          <w:p w14:paraId="27D7F2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34 </w:t>
            </w:r>
          </w:p>
        </w:tc>
      </w:tr>
      <w:tr w:rsidR="00AC362E" w:rsidRPr="00491EF1" w14:paraId="42870C1F" w14:textId="77777777" w:rsidTr="00ED0631">
        <w:trPr>
          <w:trHeight w:val="315"/>
        </w:trPr>
        <w:tc>
          <w:tcPr>
            <w:tcW w:w="1477" w:type="dxa"/>
            <w:tcBorders>
              <w:top w:val="single" w:sz="4" w:space="0" w:color="auto"/>
              <w:left w:val="nil"/>
              <w:bottom w:val="single" w:sz="4" w:space="0" w:color="auto"/>
              <w:right w:val="nil"/>
            </w:tcBorders>
            <w:shd w:val="clear" w:color="auto" w:fill="auto"/>
            <w:noWrap/>
            <w:vAlign w:val="bottom"/>
            <w:hideMark/>
          </w:tcPr>
          <w:p w14:paraId="5251CD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94" w:type="dxa"/>
            <w:tcBorders>
              <w:top w:val="single" w:sz="4" w:space="0" w:color="auto"/>
              <w:left w:val="nil"/>
              <w:bottom w:val="single" w:sz="4" w:space="0" w:color="auto"/>
              <w:right w:val="nil"/>
            </w:tcBorders>
            <w:shd w:val="clear" w:color="auto" w:fill="auto"/>
            <w:noWrap/>
            <w:vAlign w:val="bottom"/>
            <w:hideMark/>
          </w:tcPr>
          <w:p w14:paraId="2753E9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77 </w:t>
            </w:r>
          </w:p>
        </w:tc>
        <w:tc>
          <w:tcPr>
            <w:tcW w:w="1294" w:type="dxa"/>
            <w:tcBorders>
              <w:top w:val="single" w:sz="4" w:space="0" w:color="auto"/>
              <w:left w:val="nil"/>
              <w:bottom w:val="single" w:sz="4" w:space="0" w:color="auto"/>
              <w:right w:val="nil"/>
            </w:tcBorders>
            <w:shd w:val="clear" w:color="auto" w:fill="auto"/>
            <w:noWrap/>
            <w:vAlign w:val="bottom"/>
            <w:hideMark/>
          </w:tcPr>
          <w:p w14:paraId="592A5A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74 </w:t>
            </w:r>
          </w:p>
        </w:tc>
        <w:tc>
          <w:tcPr>
            <w:tcW w:w="1294" w:type="dxa"/>
            <w:tcBorders>
              <w:top w:val="single" w:sz="4" w:space="0" w:color="auto"/>
              <w:left w:val="nil"/>
              <w:bottom w:val="single" w:sz="4" w:space="0" w:color="auto"/>
              <w:right w:val="nil"/>
            </w:tcBorders>
            <w:shd w:val="clear" w:color="auto" w:fill="auto"/>
            <w:noWrap/>
            <w:vAlign w:val="bottom"/>
            <w:hideMark/>
          </w:tcPr>
          <w:p w14:paraId="48EC77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82 </w:t>
            </w:r>
          </w:p>
        </w:tc>
        <w:tc>
          <w:tcPr>
            <w:tcW w:w="1294" w:type="dxa"/>
            <w:tcBorders>
              <w:top w:val="single" w:sz="4" w:space="0" w:color="auto"/>
              <w:left w:val="nil"/>
              <w:bottom w:val="single" w:sz="4" w:space="0" w:color="auto"/>
              <w:right w:val="nil"/>
            </w:tcBorders>
            <w:shd w:val="clear" w:color="auto" w:fill="auto"/>
            <w:noWrap/>
            <w:vAlign w:val="bottom"/>
            <w:hideMark/>
          </w:tcPr>
          <w:p w14:paraId="32B5F6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73 </w:t>
            </w:r>
          </w:p>
        </w:tc>
        <w:tc>
          <w:tcPr>
            <w:tcW w:w="1294" w:type="dxa"/>
            <w:tcBorders>
              <w:top w:val="single" w:sz="4" w:space="0" w:color="auto"/>
              <w:left w:val="nil"/>
              <w:bottom w:val="single" w:sz="4" w:space="0" w:color="auto"/>
              <w:right w:val="nil"/>
            </w:tcBorders>
            <w:shd w:val="clear" w:color="auto" w:fill="auto"/>
            <w:noWrap/>
            <w:vAlign w:val="bottom"/>
            <w:hideMark/>
          </w:tcPr>
          <w:p w14:paraId="09BCF5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 </w:t>
            </w:r>
          </w:p>
        </w:tc>
        <w:tc>
          <w:tcPr>
            <w:tcW w:w="1294" w:type="dxa"/>
            <w:tcBorders>
              <w:top w:val="single" w:sz="4" w:space="0" w:color="auto"/>
              <w:left w:val="nil"/>
              <w:bottom w:val="single" w:sz="4" w:space="0" w:color="auto"/>
              <w:right w:val="nil"/>
            </w:tcBorders>
            <w:shd w:val="clear" w:color="auto" w:fill="auto"/>
            <w:noWrap/>
            <w:vAlign w:val="bottom"/>
            <w:hideMark/>
          </w:tcPr>
          <w:p w14:paraId="312A65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83 </w:t>
            </w:r>
          </w:p>
        </w:tc>
      </w:tr>
    </w:tbl>
    <w:p w14:paraId="51E8CDB0" w14:textId="77777777" w:rsidR="00AC362E" w:rsidRPr="00491EF1" w:rsidRDefault="00AC362E" w:rsidP="00512A02">
      <w:pPr>
        <w:tabs>
          <w:tab w:val="left" w:pos="1573"/>
          <w:tab w:val="left" w:pos="3053"/>
          <w:tab w:val="left" w:pos="4533"/>
          <w:tab w:val="left" w:pos="6013"/>
          <w:tab w:val="left" w:pos="7493"/>
          <w:tab w:val="left" w:pos="10453"/>
          <w:tab w:val="left" w:pos="11933"/>
          <w:tab w:val="left" w:pos="13413"/>
        </w:tabs>
        <w:spacing w:before="200" w:after="100"/>
        <w:ind w:left="91" w:right="-472"/>
        <w:rPr>
          <w:rFonts w:asciiTheme="majorHAnsi" w:eastAsia="Times New Roman" w:hAnsiTheme="majorHAnsi" w:cstheme="majorHAnsi"/>
          <w:b/>
          <w:color w:val="000000"/>
          <w:spacing w:val="-2"/>
          <w:lang w:eastAsia="en-AU"/>
        </w:rPr>
      </w:pPr>
      <w:r w:rsidRPr="00491EF1">
        <w:rPr>
          <w:rFonts w:asciiTheme="majorHAnsi" w:eastAsia="Times New Roman" w:hAnsiTheme="majorHAnsi" w:cstheme="majorHAnsi"/>
          <w:b/>
          <w:color w:val="000000"/>
          <w:spacing w:val="-2"/>
          <w:lang w:eastAsia="en-AU"/>
        </w:rPr>
        <w:t>Table 6: Number of teachers who have undertaken English language teachers training by island</w:t>
      </w:r>
    </w:p>
    <w:tbl>
      <w:tblPr>
        <w:tblW w:w="4761" w:type="dxa"/>
        <w:tblInd w:w="93" w:type="dxa"/>
        <w:tblLook w:val="04A0" w:firstRow="1" w:lastRow="0" w:firstColumn="1" w:lastColumn="0" w:noHBand="0" w:noVBand="1"/>
      </w:tblPr>
      <w:tblGrid>
        <w:gridCol w:w="2039"/>
        <w:gridCol w:w="1361"/>
        <w:gridCol w:w="1361"/>
      </w:tblGrid>
      <w:tr w:rsidR="00AC362E" w:rsidRPr="00491EF1" w14:paraId="6D65CDB0" w14:textId="77777777" w:rsidTr="00ED0631">
        <w:trPr>
          <w:trHeight w:val="315"/>
        </w:trPr>
        <w:tc>
          <w:tcPr>
            <w:tcW w:w="2039" w:type="dxa"/>
            <w:tcBorders>
              <w:top w:val="single" w:sz="4" w:space="0" w:color="auto"/>
              <w:left w:val="nil"/>
              <w:bottom w:val="single" w:sz="4" w:space="0" w:color="auto"/>
              <w:right w:val="nil"/>
            </w:tcBorders>
            <w:shd w:val="clear" w:color="auto" w:fill="auto"/>
            <w:noWrap/>
            <w:vAlign w:val="bottom"/>
            <w:hideMark/>
          </w:tcPr>
          <w:p w14:paraId="6B27BD44"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61" w:type="dxa"/>
            <w:tcBorders>
              <w:top w:val="single" w:sz="4" w:space="0" w:color="auto"/>
              <w:left w:val="nil"/>
              <w:bottom w:val="single" w:sz="4" w:space="0" w:color="auto"/>
              <w:right w:val="nil"/>
            </w:tcBorders>
            <w:shd w:val="clear" w:color="auto" w:fill="auto"/>
            <w:noWrap/>
            <w:vAlign w:val="bottom"/>
            <w:hideMark/>
          </w:tcPr>
          <w:p w14:paraId="6E94BB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361" w:type="dxa"/>
            <w:tcBorders>
              <w:top w:val="single" w:sz="4" w:space="0" w:color="auto"/>
              <w:left w:val="nil"/>
              <w:bottom w:val="single" w:sz="4" w:space="0" w:color="auto"/>
              <w:right w:val="nil"/>
            </w:tcBorders>
            <w:shd w:val="clear" w:color="auto" w:fill="auto"/>
            <w:noWrap/>
            <w:vAlign w:val="bottom"/>
            <w:hideMark/>
          </w:tcPr>
          <w:p w14:paraId="5AF7BE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276CE2CD" w14:textId="77777777" w:rsidTr="00ED0631">
        <w:trPr>
          <w:trHeight w:val="315"/>
        </w:trPr>
        <w:tc>
          <w:tcPr>
            <w:tcW w:w="2039" w:type="dxa"/>
            <w:tcBorders>
              <w:top w:val="nil"/>
              <w:left w:val="nil"/>
              <w:bottom w:val="nil"/>
              <w:right w:val="nil"/>
            </w:tcBorders>
            <w:shd w:val="clear" w:color="auto" w:fill="auto"/>
            <w:noWrap/>
            <w:vAlign w:val="bottom"/>
            <w:hideMark/>
          </w:tcPr>
          <w:p w14:paraId="7590CF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61" w:type="dxa"/>
            <w:tcBorders>
              <w:top w:val="nil"/>
              <w:left w:val="nil"/>
              <w:bottom w:val="nil"/>
              <w:right w:val="nil"/>
            </w:tcBorders>
            <w:shd w:val="clear" w:color="auto" w:fill="auto"/>
            <w:noWrap/>
            <w:vAlign w:val="bottom"/>
            <w:hideMark/>
          </w:tcPr>
          <w:p w14:paraId="4F743C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361" w:type="dxa"/>
            <w:tcBorders>
              <w:top w:val="nil"/>
              <w:left w:val="nil"/>
              <w:bottom w:val="nil"/>
              <w:right w:val="nil"/>
            </w:tcBorders>
            <w:shd w:val="clear" w:color="auto" w:fill="auto"/>
            <w:noWrap/>
            <w:vAlign w:val="bottom"/>
            <w:hideMark/>
          </w:tcPr>
          <w:p w14:paraId="394502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737DB97E" w14:textId="77777777" w:rsidTr="00ED0631">
        <w:trPr>
          <w:trHeight w:val="315"/>
        </w:trPr>
        <w:tc>
          <w:tcPr>
            <w:tcW w:w="2039" w:type="dxa"/>
            <w:tcBorders>
              <w:top w:val="nil"/>
              <w:left w:val="nil"/>
              <w:bottom w:val="nil"/>
              <w:right w:val="nil"/>
            </w:tcBorders>
            <w:shd w:val="clear" w:color="auto" w:fill="auto"/>
            <w:noWrap/>
            <w:vAlign w:val="bottom"/>
            <w:hideMark/>
          </w:tcPr>
          <w:p w14:paraId="174594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61" w:type="dxa"/>
            <w:tcBorders>
              <w:top w:val="nil"/>
              <w:left w:val="nil"/>
              <w:bottom w:val="nil"/>
              <w:right w:val="nil"/>
            </w:tcBorders>
            <w:shd w:val="clear" w:color="auto" w:fill="auto"/>
            <w:noWrap/>
            <w:vAlign w:val="bottom"/>
            <w:hideMark/>
          </w:tcPr>
          <w:p w14:paraId="6369B3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361" w:type="dxa"/>
            <w:tcBorders>
              <w:top w:val="nil"/>
              <w:left w:val="nil"/>
              <w:bottom w:val="nil"/>
              <w:right w:val="nil"/>
            </w:tcBorders>
            <w:shd w:val="clear" w:color="auto" w:fill="auto"/>
            <w:noWrap/>
            <w:vAlign w:val="bottom"/>
            <w:hideMark/>
          </w:tcPr>
          <w:p w14:paraId="691206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17E05002" w14:textId="77777777" w:rsidTr="00ED0631">
        <w:trPr>
          <w:trHeight w:val="315"/>
        </w:trPr>
        <w:tc>
          <w:tcPr>
            <w:tcW w:w="2039" w:type="dxa"/>
            <w:tcBorders>
              <w:top w:val="nil"/>
              <w:left w:val="nil"/>
              <w:bottom w:val="nil"/>
              <w:right w:val="nil"/>
            </w:tcBorders>
            <w:shd w:val="clear" w:color="auto" w:fill="auto"/>
            <w:noWrap/>
            <w:vAlign w:val="bottom"/>
            <w:hideMark/>
          </w:tcPr>
          <w:p w14:paraId="394202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61" w:type="dxa"/>
            <w:tcBorders>
              <w:top w:val="nil"/>
              <w:left w:val="nil"/>
              <w:bottom w:val="nil"/>
              <w:right w:val="nil"/>
            </w:tcBorders>
            <w:shd w:val="clear" w:color="auto" w:fill="auto"/>
            <w:noWrap/>
            <w:vAlign w:val="bottom"/>
            <w:hideMark/>
          </w:tcPr>
          <w:p w14:paraId="34592A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361" w:type="dxa"/>
            <w:tcBorders>
              <w:top w:val="nil"/>
              <w:left w:val="nil"/>
              <w:bottom w:val="nil"/>
              <w:right w:val="nil"/>
            </w:tcBorders>
            <w:shd w:val="clear" w:color="auto" w:fill="auto"/>
            <w:noWrap/>
            <w:vAlign w:val="bottom"/>
            <w:hideMark/>
          </w:tcPr>
          <w:p w14:paraId="5BC10B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70822D71" w14:textId="77777777" w:rsidTr="00ED0631">
        <w:trPr>
          <w:trHeight w:val="315"/>
        </w:trPr>
        <w:tc>
          <w:tcPr>
            <w:tcW w:w="2039" w:type="dxa"/>
            <w:tcBorders>
              <w:top w:val="nil"/>
              <w:left w:val="nil"/>
              <w:bottom w:val="nil"/>
              <w:right w:val="nil"/>
            </w:tcBorders>
            <w:shd w:val="clear" w:color="auto" w:fill="auto"/>
            <w:noWrap/>
            <w:vAlign w:val="bottom"/>
            <w:hideMark/>
          </w:tcPr>
          <w:p w14:paraId="136A16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61" w:type="dxa"/>
            <w:tcBorders>
              <w:top w:val="nil"/>
              <w:left w:val="nil"/>
              <w:bottom w:val="nil"/>
              <w:right w:val="nil"/>
            </w:tcBorders>
            <w:shd w:val="clear" w:color="auto" w:fill="auto"/>
            <w:noWrap/>
            <w:vAlign w:val="bottom"/>
            <w:hideMark/>
          </w:tcPr>
          <w:p w14:paraId="67EB01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1" w:type="dxa"/>
            <w:tcBorders>
              <w:top w:val="nil"/>
              <w:left w:val="nil"/>
              <w:bottom w:val="nil"/>
              <w:right w:val="nil"/>
            </w:tcBorders>
            <w:shd w:val="clear" w:color="auto" w:fill="auto"/>
            <w:noWrap/>
            <w:vAlign w:val="bottom"/>
            <w:hideMark/>
          </w:tcPr>
          <w:p w14:paraId="3DB1FE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4D457238" w14:textId="77777777" w:rsidTr="00ED0631">
        <w:trPr>
          <w:trHeight w:val="315"/>
        </w:trPr>
        <w:tc>
          <w:tcPr>
            <w:tcW w:w="2039" w:type="dxa"/>
            <w:tcBorders>
              <w:top w:val="nil"/>
              <w:left w:val="nil"/>
              <w:bottom w:val="nil"/>
              <w:right w:val="nil"/>
            </w:tcBorders>
            <w:shd w:val="clear" w:color="auto" w:fill="auto"/>
            <w:noWrap/>
            <w:vAlign w:val="bottom"/>
            <w:hideMark/>
          </w:tcPr>
          <w:p w14:paraId="4D1648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61" w:type="dxa"/>
            <w:tcBorders>
              <w:top w:val="nil"/>
              <w:left w:val="nil"/>
              <w:bottom w:val="nil"/>
              <w:right w:val="nil"/>
            </w:tcBorders>
            <w:shd w:val="clear" w:color="auto" w:fill="auto"/>
            <w:noWrap/>
            <w:vAlign w:val="bottom"/>
            <w:hideMark/>
          </w:tcPr>
          <w:p w14:paraId="6AF2D6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1" w:type="dxa"/>
            <w:tcBorders>
              <w:top w:val="nil"/>
              <w:left w:val="nil"/>
              <w:bottom w:val="nil"/>
              <w:right w:val="nil"/>
            </w:tcBorders>
            <w:shd w:val="clear" w:color="auto" w:fill="auto"/>
            <w:noWrap/>
            <w:vAlign w:val="bottom"/>
            <w:hideMark/>
          </w:tcPr>
          <w:p w14:paraId="011CE9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r>
      <w:tr w:rsidR="00AC362E" w:rsidRPr="00491EF1" w14:paraId="0F841C43" w14:textId="77777777" w:rsidTr="00ED0631">
        <w:trPr>
          <w:trHeight w:val="315"/>
        </w:trPr>
        <w:tc>
          <w:tcPr>
            <w:tcW w:w="2039" w:type="dxa"/>
            <w:tcBorders>
              <w:top w:val="nil"/>
              <w:left w:val="nil"/>
              <w:bottom w:val="nil"/>
              <w:right w:val="nil"/>
            </w:tcBorders>
            <w:shd w:val="clear" w:color="auto" w:fill="auto"/>
            <w:noWrap/>
            <w:vAlign w:val="bottom"/>
            <w:hideMark/>
          </w:tcPr>
          <w:p w14:paraId="7C3BB6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61" w:type="dxa"/>
            <w:tcBorders>
              <w:top w:val="nil"/>
              <w:left w:val="nil"/>
              <w:bottom w:val="nil"/>
              <w:right w:val="nil"/>
            </w:tcBorders>
            <w:shd w:val="clear" w:color="auto" w:fill="auto"/>
            <w:noWrap/>
            <w:vAlign w:val="bottom"/>
            <w:hideMark/>
          </w:tcPr>
          <w:p w14:paraId="19D4F7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361" w:type="dxa"/>
            <w:tcBorders>
              <w:top w:val="nil"/>
              <w:left w:val="nil"/>
              <w:bottom w:val="nil"/>
              <w:right w:val="nil"/>
            </w:tcBorders>
            <w:shd w:val="clear" w:color="auto" w:fill="auto"/>
            <w:noWrap/>
            <w:vAlign w:val="bottom"/>
            <w:hideMark/>
          </w:tcPr>
          <w:p w14:paraId="1A281A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r>
      <w:tr w:rsidR="00AC362E" w:rsidRPr="00491EF1" w14:paraId="3320DC18" w14:textId="77777777" w:rsidTr="00ED0631">
        <w:trPr>
          <w:trHeight w:val="315"/>
        </w:trPr>
        <w:tc>
          <w:tcPr>
            <w:tcW w:w="2039" w:type="dxa"/>
            <w:tcBorders>
              <w:top w:val="nil"/>
              <w:left w:val="nil"/>
              <w:bottom w:val="nil"/>
              <w:right w:val="nil"/>
            </w:tcBorders>
            <w:shd w:val="clear" w:color="auto" w:fill="auto"/>
            <w:noWrap/>
            <w:vAlign w:val="bottom"/>
            <w:hideMark/>
          </w:tcPr>
          <w:p w14:paraId="5A3CF8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61" w:type="dxa"/>
            <w:tcBorders>
              <w:top w:val="nil"/>
              <w:left w:val="nil"/>
              <w:bottom w:val="nil"/>
              <w:right w:val="nil"/>
            </w:tcBorders>
            <w:shd w:val="clear" w:color="auto" w:fill="auto"/>
            <w:noWrap/>
            <w:vAlign w:val="bottom"/>
            <w:hideMark/>
          </w:tcPr>
          <w:p w14:paraId="70106F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361" w:type="dxa"/>
            <w:tcBorders>
              <w:top w:val="nil"/>
              <w:left w:val="nil"/>
              <w:bottom w:val="nil"/>
              <w:right w:val="nil"/>
            </w:tcBorders>
            <w:shd w:val="clear" w:color="auto" w:fill="auto"/>
            <w:noWrap/>
            <w:vAlign w:val="bottom"/>
            <w:hideMark/>
          </w:tcPr>
          <w:p w14:paraId="4192AD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5718BD00" w14:textId="77777777" w:rsidTr="00ED0631">
        <w:trPr>
          <w:trHeight w:val="315"/>
        </w:trPr>
        <w:tc>
          <w:tcPr>
            <w:tcW w:w="2039" w:type="dxa"/>
            <w:tcBorders>
              <w:top w:val="nil"/>
              <w:left w:val="nil"/>
              <w:bottom w:val="nil"/>
              <w:right w:val="nil"/>
            </w:tcBorders>
            <w:shd w:val="clear" w:color="auto" w:fill="auto"/>
            <w:noWrap/>
            <w:vAlign w:val="bottom"/>
            <w:hideMark/>
          </w:tcPr>
          <w:p w14:paraId="0EA85E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61" w:type="dxa"/>
            <w:tcBorders>
              <w:top w:val="nil"/>
              <w:left w:val="nil"/>
              <w:bottom w:val="nil"/>
              <w:right w:val="nil"/>
            </w:tcBorders>
            <w:shd w:val="clear" w:color="auto" w:fill="auto"/>
            <w:noWrap/>
            <w:vAlign w:val="bottom"/>
            <w:hideMark/>
          </w:tcPr>
          <w:p w14:paraId="6C4905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61" w:type="dxa"/>
            <w:tcBorders>
              <w:top w:val="nil"/>
              <w:left w:val="nil"/>
              <w:bottom w:val="nil"/>
              <w:right w:val="nil"/>
            </w:tcBorders>
            <w:shd w:val="clear" w:color="auto" w:fill="auto"/>
            <w:noWrap/>
            <w:vAlign w:val="bottom"/>
            <w:hideMark/>
          </w:tcPr>
          <w:p w14:paraId="485A9B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129FF6C8" w14:textId="77777777" w:rsidTr="00ED0631">
        <w:trPr>
          <w:trHeight w:val="315"/>
        </w:trPr>
        <w:tc>
          <w:tcPr>
            <w:tcW w:w="2039" w:type="dxa"/>
            <w:tcBorders>
              <w:top w:val="nil"/>
              <w:left w:val="nil"/>
              <w:bottom w:val="nil"/>
              <w:right w:val="nil"/>
            </w:tcBorders>
            <w:shd w:val="clear" w:color="auto" w:fill="auto"/>
            <w:noWrap/>
            <w:vAlign w:val="bottom"/>
            <w:hideMark/>
          </w:tcPr>
          <w:p w14:paraId="6B1790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61" w:type="dxa"/>
            <w:tcBorders>
              <w:top w:val="nil"/>
              <w:left w:val="nil"/>
              <w:bottom w:val="nil"/>
              <w:right w:val="nil"/>
            </w:tcBorders>
            <w:shd w:val="clear" w:color="auto" w:fill="auto"/>
            <w:noWrap/>
            <w:vAlign w:val="bottom"/>
            <w:hideMark/>
          </w:tcPr>
          <w:p w14:paraId="02114C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73 </w:t>
            </w:r>
          </w:p>
        </w:tc>
        <w:tc>
          <w:tcPr>
            <w:tcW w:w="1361" w:type="dxa"/>
            <w:tcBorders>
              <w:top w:val="nil"/>
              <w:left w:val="nil"/>
              <w:bottom w:val="nil"/>
              <w:right w:val="nil"/>
            </w:tcBorders>
            <w:shd w:val="clear" w:color="auto" w:fill="auto"/>
            <w:noWrap/>
            <w:vAlign w:val="bottom"/>
            <w:hideMark/>
          </w:tcPr>
          <w:p w14:paraId="6CA1B4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30 </w:t>
            </w:r>
          </w:p>
        </w:tc>
      </w:tr>
      <w:tr w:rsidR="00AC362E" w:rsidRPr="00491EF1" w14:paraId="2729A055" w14:textId="77777777" w:rsidTr="00ED0631">
        <w:trPr>
          <w:trHeight w:val="315"/>
        </w:trPr>
        <w:tc>
          <w:tcPr>
            <w:tcW w:w="2039" w:type="dxa"/>
            <w:tcBorders>
              <w:top w:val="nil"/>
              <w:left w:val="nil"/>
              <w:bottom w:val="single" w:sz="4" w:space="0" w:color="auto"/>
              <w:right w:val="nil"/>
            </w:tcBorders>
            <w:shd w:val="clear" w:color="auto" w:fill="auto"/>
            <w:noWrap/>
            <w:vAlign w:val="bottom"/>
            <w:hideMark/>
          </w:tcPr>
          <w:p w14:paraId="1DCB16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61" w:type="dxa"/>
            <w:tcBorders>
              <w:top w:val="nil"/>
              <w:left w:val="nil"/>
              <w:bottom w:val="single" w:sz="4" w:space="0" w:color="auto"/>
              <w:right w:val="nil"/>
            </w:tcBorders>
            <w:shd w:val="clear" w:color="auto" w:fill="auto"/>
            <w:noWrap/>
            <w:vAlign w:val="bottom"/>
            <w:hideMark/>
          </w:tcPr>
          <w:p w14:paraId="133376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61" w:type="dxa"/>
            <w:tcBorders>
              <w:top w:val="nil"/>
              <w:left w:val="nil"/>
              <w:bottom w:val="single" w:sz="4" w:space="0" w:color="auto"/>
              <w:right w:val="nil"/>
            </w:tcBorders>
            <w:shd w:val="clear" w:color="auto" w:fill="auto"/>
            <w:noWrap/>
            <w:vAlign w:val="bottom"/>
            <w:hideMark/>
          </w:tcPr>
          <w:p w14:paraId="384E19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39021248" w14:textId="77777777" w:rsidTr="00ED0631">
        <w:trPr>
          <w:trHeight w:val="315"/>
        </w:trPr>
        <w:tc>
          <w:tcPr>
            <w:tcW w:w="2039" w:type="dxa"/>
            <w:tcBorders>
              <w:top w:val="nil"/>
              <w:left w:val="nil"/>
              <w:bottom w:val="single" w:sz="4" w:space="0" w:color="auto"/>
              <w:right w:val="nil"/>
            </w:tcBorders>
            <w:shd w:val="clear" w:color="auto" w:fill="auto"/>
            <w:noWrap/>
            <w:vAlign w:val="bottom"/>
            <w:hideMark/>
          </w:tcPr>
          <w:p w14:paraId="02F898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61" w:type="dxa"/>
            <w:tcBorders>
              <w:top w:val="nil"/>
              <w:left w:val="nil"/>
              <w:bottom w:val="single" w:sz="4" w:space="0" w:color="auto"/>
              <w:right w:val="nil"/>
            </w:tcBorders>
            <w:shd w:val="clear" w:color="auto" w:fill="auto"/>
            <w:noWrap/>
            <w:vAlign w:val="bottom"/>
            <w:hideMark/>
          </w:tcPr>
          <w:p w14:paraId="15FD36C4"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138</w:t>
            </w:r>
          </w:p>
        </w:tc>
        <w:tc>
          <w:tcPr>
            <w:tcW w:w="1361" w:type="dxa"/>
            <w:tcBorders>
              <w:top w:val="nil"/>
              <w:left w:val="nil"/>
              <w:bottom w:val="single" w:sz="4" w:space="0" w:color="auto"/>
              <w:right w:val="nil"/>
            </w:tcBorders>
            <w:shd w:val="clear" w:color="auto" w:fill="auto"/>
            <w:noWrap/>
            <w:vAlign w:val="bottom"/>
            <w:hideMark/>
          </w:tcPr>
          <w:p w14:paraId="2E2ABF8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68</w:t>
            </w:r>
          </w:p>
        </w:tc>
      </w:tr>
    </w:tbl>
    <w:p w14:paraId="1F841A24"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7: Number of teachers who have undertaken English language teachers training by island type</w:t>
      </w:r>
    </w:p>
    <w:tbl>
      <w:tblPr>
        <w:tblW w:w="3960" w:type="dxa"/>
        <w:tblInd w:w="93" w:type="dxa"/>
        <w:tblLook w:val="04A0" w:firstRow="1" w:lastRow="0" w:firstColumn="1" w:lastColumn="0" w:noHBand="0" w:noVBand="1"/>
      </w:tblPr>
      <w:tblGrid>
        <w:gridCol w:w="1433"/>
        <w:gridCol w:w="1271"/>
        <w:gridCol w:w="1256"/>
      </w:tblGrid>
      <w:tr w:rsidR="00AC362E" w:rsidRPr="00491EF1" w14:paraId="54A08419"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29EBA39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71" w:type="dxa"/>
            <w:tcBorders>
              <w:top w:val="single" w:sz="4" w:space="0" w:color="auto"/>
              <w:left w:val="nil"/>
              <w:bottom w:val="single" w:sz="4" w:space="0" w:color="auto"/>
              <w:right w:val="nil"/>
            </w:tcBorders>
            <w:shd w:val="clear" w:color="auto" w:fill="auto"/>
            <w:noWrap/>
            <w:vAlign w:val="bottom"/>
            <w:hideMark/>
          </w:tcPr>
          <w:p w14:paraId="4FEF50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256" w:type="dxa"/>
            <w:tcBorders>
              <w:top w:val="single" w:sz="4" w:space="0" w:color="auto"/>
              <w:left w:val="nil"/>
              <w:bottom w:val="single" w:sz="4" w:space="0" w:color="auto"/>
              <w:right w:val="nil"/>
            </w:tcBorders>
            <w:shd w:val="clear" w:color="auto" w:fill="auto"/>
            <w:noWrap/>
            <w:vAlign w:val="bottom"/>
            <w:hideMark/>
          </w:tcPr>
          <w:p w14:paraId="2ADF53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6D77F95E"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2CF88B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71" w:type="dxa"/>
            <w:tcBorders>
              <w:top w:val="nil"/>
              <w:left w:val="nil"/>
              <w:bottom w:val="nil"/>
              <w:right w:val="nil"/>
            </w:tcBorders>
            <w:shd w:val="clear" w:color="auto" w:fill="auto"/>
            <w:noWrap/>
            <w:vAlign w:val="bottom"/>
            <w:hideMark/>
          </w:tcPr>
          <w:p w14:paraId="561ACD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52 </w:t>
            </w:r>
          </w:p>
        </w:tc>
        <w:tc>
          <w:tcPr>
            <w:tcW w:w="1256" w:type="dxa"/>
            <w:tcBorders>
              <w:top w:val="nil"/>
              <w:left w:val="nil"/>
              <w:bottom w:val="nil"/>
              <w:right w:val="nil"/>
            </w:tcBorders>
            <w:shd w:val="clear" w:color="auto" w:fill="auto"/>
            <w:noWrap/>
            <w:vAlign w:val="bottom"/>
            <w:hideMark/>
          </w:tcPr>
          <w:p w14:paraId="5D3FA3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r>
      <w:tr w:rsidR="00AC362E" w:rsidRPr="00491EF1" w14:paraId="533B85BB" w14:textId="77777777" w:rsidTr="00ED0631">
        <w:trPr>
          <w:trHeight w:val="315"/>
        </w:trPr>
        <w:tc>
          <w:tcPr>
            <w:tcW w:w="1433" w:type="dxa"/>
            <w:tcBorders>
              <w:top w:val="nil"/>
              <w:left w:val="nil"/>
              <w:bottom w:val="nil"/>
              <w:right w:val="nil"/>
            </w:tcBorders>
            <w:shd w:val="clear" w:color="auto" w:fill="auto"/>
            <w:noWrap/>
            <w:vAlign w:val="bottom"/>
            <w:hideMark/>
          </w:tcPr>
          <w:p w14:paraId="2EA688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71" w:type="dxa"/>
            <w:tcBorders>
              <w:top w:val="nil"/>
              <w:left w:val="nil"/>
              <w:bottom w:val="nil"/>
              <w:right w:val="nil"/>
            </w:tcBorders>
            <w:shd w:val="clear" w:color="auto" w:fill="auto"/>
            <w:noWrap/>
            <w:vAlign w:val="bottom"/>
            <w:hideMark/>
          </w:tcPr>
          <w:p w14:paraId="45C412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256" w:type="dxa"/>
            <w:tcBorders>
              <w:top w:val="nil"/>
              <w:left w:val="nil"/>
              <w:bottom w:val="nil"/>
              <w:right w:val="nil"/>
            </w:tcBorders>
            <w:shd w:val="clear" w:color="auto" w:fill="auto"/>
            <w:noWrap/>
            <w:vAlign w:val="bottom"/>
            <w:hideMark/>
          </w:tcPr>
          <w:p w14:paraId="0E14E9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r>
      <w:tr w:rsidR="00AC362E" w:rsidRPr="00491EF1" w14:paraId="541CC32C" w14:textId="77777777" w:rsidTr="00ED0631">
        <w:trPr>
          <w:trHeight w:val="315"/>
        </w:trPr>
        <w:tc>
          <w:tcPr>
            <w:tcW w:w="1433" w:type="dxa"/>
            <w:tcBorders>
              <w:top w:val="nil"/>
              <w:left w:val="nil"/>
              <w:bottom w:val="nil"/>
              <w:right w:val="nil"/>
            </w:tcBorders>
            <w:shd w:val="clear" w:color="auto" w:fill="auto"/>
            <w:noWrap/>
            <w:vAlign w:val="bottom"/>
            <w:hideMark/>
          </w:tcPr>
          <w:p w14:paraId="2D8643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71" w:type="dxa"/>
            <w:tcBorders>
              <w:top w:val="nil"/>
              <w:left w:val="nil"/>
              <w:bottom w:val="nil"/>
              <w:right w:val="nil"/>
            </w:tcBorders>
            <w:shd w:val="clear" w:color="auto" w:fill="auto"/>
            <w:noWrap/>
            <w:vAlign w:val="bottom"/>
            <w:hideMark/>
          </w:tcPr>
          <w:p w14:paraId="12E6EC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73 </w:t>
            </w:r>
          </w:p>
        </w:tc>
        <w:tc>
          <w:tcPr>
            <w:tcW w:w="1256" w:type="dxa"/>
            <w:tcBorders>
              <w:top w:val="nil"/>
              <w:left w:val="nil"/>
              <w:bottom w:val="nil"/>
              <w:right w:val="nil"/>
            </w:tcBorders>
            <w:shd w:val="clear" w:color="auto" w:fill="auto"/>
            <w:noWrap/>
            <w:vAlign w:val="bottom"/>
            <w:hideMark/>
          </w:tcPr>
          <w:p w14:paraId="401080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30 </w:t>
            </w:r>
          </w:p>
        </w:tc>
      </w:tr>
      <w:tr w:rsidR="00AC362E" w:rsidRPr="00491EF1" w14:paraId="5C9F66E9" w14:textId="77777777" w:rsidTr="00ED063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6E7851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71" w:type="dxa"/>
            <w:tcBorders>
              <w:top w:val="single" w:sz="4" w:space="0" w:color="auto"/>
              <w:left w:val="nil"/>
              <w:bottom w:val="single" w:sz="4" w:space="0" w:color="auto"/>
              <w:right w:val="nil"/>
            </w:tcBorders>
            <w:shd w:val="clear" w:color="auto" w:fill="auto"/>
            <w:noWrap/>
            <w:vAlign w:val="bottom"/>
            <w:hideMark/>
          </w:tcPr>
          <w:p w14:paraId="18D929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138 </w:t>
            </w:r>
          </w:p>
        </w:tc>
        <w:tc>
          <w:tcPr>
            <w:tcW w:w="1256" w:type="dxa"/>
            <w:tcBorders>
              <w:top w:val="single" w:sz="4" w:space="0" w:color="auto"/>
              <w:left w:val="nil"/>
              <w:bottom w:val="single" w:sz="4" w:space="0" w:color="auto"/>
              <w:right w:val="nil"/>
            </w:tcBorders>
            <w:shd w:val="clear" w:color="auto" w:fill="auto"/>
            <w:noWrap/>
            <w:vAlign w:val="bottom"/>
            <w:hideMark/>
          </w:tcPr>
          <w:p w14:paraId="5E1813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68 </w:t>
            </w:r>
          </w:p>
        </w:tc>
      </w:tr>
    </w:tbl>
    <w:p w14:paraId="6A3BD148"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3D8B2CA"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8: Number of teachers who have used different practices to exercise their English by island</w:t>
      </w:r>
    </w:p>
    <w:tbl>
      <w:tblPr>
        <w:tblW w:w="8720" w:type="dxa"/>
        <w:tblInd w:w="93" w:type="dxa"/>
        <w:tblLook w:val="04A0" w:firstRow="1" w:lastRow="0" w:firstColumn="1" w:lastColumn="0" w:noHBand="0" w:noVBand="1"/>
      </w:tblPr>
      <w:tblGrid>
        <w:gridCol w:w="1832"/>
        <w:gridCol w:w="1237"/>
        <w:gridCol w:w="1663"/>
        <w:gridCol w:w="1544"/>
        <w:gridCol w:w="1222"/>
        <w:gridCol w:w="1222"/>
      </w:tblGrid>
      <w:tr w:rsidR="00AC362E" w:rsidRPr="00491EF1" w14:paraId="629067A4" w14:textId="77777777" w:rsidTr="00ED0631">
        <w:trPr>
          <w:trHeight w:val="315"/>
        </w:trPr>
        <w:tc>
          <w:tcPr>
            <w:tcW w:w="1832" w:type="dxa"/>
            <w:tcBorders>
              <w:top w:val="single" w:sz="4" w:space="0" w:color="auto"/>
              <w:left w:val="nil"/>
              <w:bottom w:val="single" w:sz="4" w:space="0" w:color="auto"/>
              <w:right w:val="nil"/>
            </w:tcBorders>
            <w:shd w:val="clear" w:color="auto" w:fill="auto"/>
            <w:noWrap/>
            <w:vAlign w:val="bottom"/>
            <w:hideMark/>
          </w:tcPr>
          <w:p w14:paraId="7B4FBDFB"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37" w:type="dxa"/>
            <w:tcBorders>
              <w:top w:val="single" w:sz="4" w:space="0" w:color="auto"/>
              <w:left w:val="nil"/>
              <w:bottom w:val="single" w:sz="4" w:space="0" w:color="auto"/>
              <w:right w:val="nil"/>
            </w:tcBorders>
            <w:shd w:val="clear" w:color="auto" w:fill="auto"/>
            <w:noWrap/>
            <w:vAlign w:val="bottom"/>
            <w:hideMark/>
          </w:tcPr>
          <w:p w14:paraId="3D3834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Movies </w:t>
            </w:r>
          </w:p>
        </w:tc>
        <w:tc>
          <w:tcPr>
            <w:tcW w:w="1663" w:type="dxa"/>
            <w:tcBorders>
              <w:top w:val="single" w:sz="4" w:space="0" w:color="auto"/>
              <w:left w:val="nil"/>
              <w:bottom w:val="single" w:sz="4" w:space="0" w:color="auto"/>
              <w:right w:val="nil"/>
            </w:tcBorders>
            <w:shd w:val="clear" w:color="auto" w:fill="auto"/>
            <w:noWrap/>
            <w:vAlign w:val="bottom"/>
            <w:hideMark/>
          </w:tcPr>
          <w:p w14:paraId="304D94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Internet/radio </w:t>
            </w:r>
          </w:p>
        </w:tc>
        <w:tc>
          <w:tcPr>
            <w:tcW w:w="1544" w:type="dxa"/>
            <w:tcBorders>
              <w:top w:val="single" w:sz="4" w:space="0" w:color="auto"/>
              <w:left w:val="nil"/>
              <w:bottom w:val="single" w:sz="4" w:space="0" w:color="auto"/>
              <w:right w:val="nil"/>
            </w:tcBorders>
            <w:shd w:val="clear" w:color="auto" w:fill="auto"/>
            <w:noWrap/>
            <w:vAlign w:val="bottom"/>
            <w:hideMark/>
          </w:tcPr>
          <w:p w14:paraId="2B34B3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Conversation </w:t>
            </w:r>
          </w:p>
        </w:tc>
        <w:tc>
          <w:tcPr>
            <w:tcW w:w="1222" w:type="dxa"/>
            <w:tcBorders>
              <w:top w:val="single" w:sz="4" w:space="0" w:color="auto"/>
              <w:left w:val="nil"/>
              <w:bottom w:val="single" w:sz="4" w:space="0" w:color="auto"/>
              <w:right w:val="nil"/>
            </w:tcBorders>
            <w:shd w:val="clear" w:color="auto" w:fill="auto"/>
            <w:noWrap/>
            <w:vAlign w:val="bottom"/>
            <w:hideMark/>
          </w:tcPr>
          <w:p w14:paraId="1FCF53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Study </w:t>
            </w:r>
          </w:p>
        </w:tc>
        <w:tc>
          <w:tcPr>
            <w:tcW w:w="1222" w:type="dxa"/>
            <w:tcBorders>
              <w:top w:val="single" w:sz="4" w:space="0" w:color="auto"/>
              <w:left w:val="nil"/>
              <w:bottom w:val="single" w:sz="4" w:space="0" w:color="auto"/>
              <w:right w:val="nil"/>
            </w:tcBorders>
            <w:shd w:val="clear" w:color="auto" w:fill="auto"/>
            <w:noWrap/>
            <w:vAlign w:val="bottom"/>
            <w:hideMark/>
          </w:tcPr>
          <w:p w14:paraId="6FD1E6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r>
      <w:tr w:rsidR="00AC362E" w:rsidRPr="00491EF1" w14:paraId="7F1E32DC" w14:textId="77777777" w:rsidTr="00ED0631">
        <w:trPr>
          <w:trHeight w:val="315"/>
        </w:trPr>
        <w:tc>
          <w:tcPr>
            <w:tcW w:w="1832" w:type="dxa"/>
            <w:tcBorders>
              <w:top w:val="nil"/>
              <w:left w:val="nil"/>
              <w:bottom w:val="nil"/>
              <w:right w:val="nil"/>
            </w:tcBorders>
            <w:shd w:val="clear" w:color="auto" w:fill="auto"/>
            <w:noWrap/>
            <w:vAlign w:val="bottom"/>
            <w:hideMark/>
          </w:tcPr>
          <w:p w14:paraId="58E4F3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237" w:type="dxa"/>
            <w:tcBorders>
              <w:top w:val="nil"/>
              <w:left w:val="nil"/>
              <w:bottom w:val="nil"/>
              <w:right w:val="nil"/>
            </w:tcBorders>
            <w:shd w:val="clear" w:color="auto" w:fill="auto"/>
            <w:noWrap/>
            <w:vAlign w:val="bottom"/>
            <w:hideMark/>
          </w:tcPr>
          <w:p w14:paraId="6265A3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663" w:type="dxa"/>
            <w:tcBorders>
              <w:top w:val="nil"/>
              <w:left w:val="nil"/>
              <w:bottom w:val="nil"/>
              <w:right w:val="nil"/>
            </w:tcBorders>
            <w:shd w:val="clear" w:color="auto" w:fill="auto"/>
            <w:noWrap/>
            <w:vAlign w:val="bottom"/>
            <w:hideMark/>
          </w:tcPr>
          <w:p w14:paraId="703D08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544" w:type="dxa"/>
            <w:tcBorders>
              <w:top w:val="nil"/>
              <w:left w:val="nil"/>
              <w:bottom w:val="nil"/>
              <w:right w:val="nil"/>
            </w:tcBorders>
            <w:shd w:val="clear" w:color="auto" w:fill="auto"/>
            <w:noWrap/>
            <w:vAlign w:val="bottom"/>
            <w:hideMark/>
          </w:tcPr>
          <w:p w14:paraId="706C17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222" w:type="dxa"/>
            <w:tcBorders>
              <w:top w:val="nil"/>
              <w:left w:val="nil"/>
              <w:bottom w:val="nil"/>
              <w:right w:val="nil"/>
            </w:tcBorders>
            <w:shd w:val="clear" w:color="auto" w:fill="auto"/>
            <w:noWrap/>
            <w:vAlign w:val="bottom"/>
            <w:hideMark/>
          </w:tcPr>
          <w:p w14:paraId="7DCE45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222" w:type="dxa"/>
            <w:tcBorders>
              <w:top w:val="nil"/>
              <w:left w:val="nil"/>
              <w:bottom w:val="nil"/>
              <w:right w:val="nil"/>
            </w:tcBorders>
            <w:shd w:val="clear" w:color="auto" w:fill="auto"/>
            <w:noWrap/>
            <w:vAlign w:val="bottom"/>
            <w:hideMark/>
          </w:tcPr>
          <w:p w14:paraId="6D4806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6B5595D9" w14:textId="77777777" w:rsidTr="00ED0631">
        <w:trPr>
          <w:trHeight w:val="315"/>
        </w:trPr>
        <w:tc>
          <w:tcPr>
            <w:tcW w:w="1832" w:type="dxa"/>
            <w:tcBorders>
              <w:top w:val="nil"/>
              <w:left w:val="nil"/>
              <w:bottom w:val="nil"/>
              <w:right w:val="nil"/>
            </w:tcBorders>
            <w:shd w:val="clear" w:color="auto" w:fill="auto"/>
            <w:noWrap/>
            <w:vAlign w:val="bottom"/>
            <w:hideMark/>
          </w:tcPr>
          <w:p w14:paraId="44921D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237" w:type="dxa"/>
            <w:tcBorders>
              <w:top w:val="nil"/>
              <w:left w:val="nil"/>
              <w:bottom w:val="nil"/>
              <w:right w:val="nil"/>
            </w:tcBorders>
            <w:shd w:val="clear" w:color="auto" w:fill="auto"/>
            <w:noWrap/>
            <w:vAlign w:val="bottom"/>
            <w:hideMark/>
          </w:tcPr>
          <w:p w14:paraId="347080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1663" w:type="dxa"/>
            <w:tcBorders>
              <w:top w:val="nil"/>
              <w:left w:val="nil"/>
              <w:bottom w:val="nil"/>
              <w:right w:val="nil"/>
            </w:tcBorders>
            <w:shd w:val="clear" w:color="auto" w:fill="auto"/>
            <w:noWrap/>
            <w:vAlign w:val="bottom"/>
            <w:hideMark/>
          </w:tcPr>
          <w:p w14:paraId="5AF1B7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544" w:type="dxa"/>
            <w:tcBorders>
              <w:top w:val="nil"/>
              <w:left w:val="nil"/>
              <w:bottom w:val="nil"/>
              <w:right w:val="nil"/>
            </w:tcBorders>
            <w:shd w:val="clear" w:color="auto" w:fill="auto"/>
            <w:noWrap/>
            <w:vAlign w:val="bottom"/>
            <w:hideMark/>
          </w:tcPr>
          <w:p w14:paraId="061202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222" w:type="dxa"/>
            <w:tcBorders>
              <w:top w:val="nil"/>
              <w:left w:val="nil"/>
              <w:bottom w:val="nil"/>
              <w:right w:val="nil"/>
            </w:tcBorders>
            <w:shd w:val="clear" w:color="auto" w:fill="auto"/>
            <w:noWrap/>
            <w:vAlign w:val="bottom"/>
            <w:hideMark/>
          </w:tcPr>
          <w:p w14:paraId="7BF025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222" w:type="dxa"/>
            <w:tcBorders>
              <w:top w:val="nil"/>
              <w:left w:val="nil"/>
              <w:bottom w:val="nil"/>
              <w:right w:val="nil"/>
            </w:tcBorders>
            <w:shd w:val="clear" w:color="auto" w:fill="auto"/>
            <w:noWrap/>
            <w:vAlign w:val="bottom"/>
            <w:hideMark/>
          </w:tcPr>
          <w:p w14:paraId="46EC1E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3CE61DCC" w14:textId="77777777" w:rsidTr="00ED0631">
        <w:trPr>
          <w:trHeight w:val="315"/>
        </w:trPr>
        <w:tc>
          <w:tcPr>
            <w:tcW w:w="1832" w:type="dxa"/>
            <w:tcBorders>
              <w:top w:val="nil"/>
              <w:left w:val="nil"/>
              <w:bottom w:val="nil"/>
              <w:right w:val="nil"/>
            </w:tcBorders>
            <w:shd w:val="clear" w:color="auto" w:fill="auto"/>
            <w:noWrap/>
            <w:vAlign w:val="bottom"/>
            <w:hideMark/>
          </w:tcPr>
          <w:p w14:paraId="4D628B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237" w:type="dxa"/>
            <w:tcBorders>
              <w:top w:val="nil"/>
              <w:left w:val="nil"/>
              <w:bottom w:val="nil"/>
              <w:right w:val="nil"/>
            </w:tcBorders>
            <w:shd w:val="clear" w:color="auto" w:fill="auto"/>
            <w:noWrap/>
            <w:vAlign w:val="bottom"/>
            <w:hideMark/>
          </w:tcPr>
          <w:p w14:paraId="588647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663" w:type="dxa"/>
            <w:tcBorders>
              <w:top w:val="nil"/>
              <w:left w:val="nil"/>
              <w:bottom w:val="nil"/>
              <w:right w:val="nil"/>
            </w:tcBorders>
            <w:shd w:val="clear" w:color="auto" w:fill="auto"/>
            <w:noWrap/>
            <w:vAlign w:val="bottom"/>
            <w:hideMark/>
          </w:tcPr>
          <w:p w14:paraId="3268A3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544" w:type="dxa"/>
            <w:tcBorders>
              <w:top w:val="nil"/>
              <w:left w:val="nil"/>
              <w:bottom w:val="nil"/>
              <w:right w:val="nil"/>
            </w:tcBorders>
            <w:shd w:val="clear" w:color="auto" w:fill="auto"/>
            <w:noWrap/>
            <w:vAlign w:val="bottom"/>
            <w:hideMark/>
          </w:tcPr>
          <w:p w14:paraId="735D7D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22" w:type="dxa"/>
            <w:tcBorders>
              <w:top w:val="nil"/>
              <w:left w:val="nil"/>
              <w:bottom w:val="nil"/>
              <w:right w:val="nil"/>
            </w:tcBorders>
            <w:shd w:val="clear" w:color="auto" w:fill="auto"/>
            <w:noWrap/>
            <w:vAlign w:val="bottom"/>
            <w:hideMark/>
          </w:tcPr>
          <w:p w14:paraId="6497C4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22" w:type="dxa"/>
            <w:tcBorders>
              <w:top w:val="nil"/>
              <w:left w:val="nil"/>
              <w:bottom w:val="nil"/>
              <w:right w:val="nil"/>
            </w:tcBorders>
            <w:shd w:val="clear" w:color="auto" w:fill="auto"/>
            <w:noWrap/>
            <w:vAlign w:val="bottom"/>
            <w:hideMark/>
          </w:tcPr>
          <w:p w14:paraId="2D62A8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2439D576" w14:textId="77777777" w:rsidTr="00ED0631">
        <w:trPr>
          <w:trHeight w:val="315"/>
        </w:trPr>
        <w:tc>
          <w:tcPr>
            <w:tcW w:w="1832" w:type="dxa"/>
            <w:tcBorders>
              <w:top w:val="nil"/>
              <w:left w:val="nil"/>
              <w:bottom w:val="nil"/>
              <w:right w:val="nil"/>
            </w:tcBorders>
            <w:shd w:val="clear" w:color="auto" w:fill="auto"/>
            <w:noWrap/>
            <w:vAlign w:val="bottom"/>
            <w:hideMark/>
          </w:tcPr>
          <w:p w14:paraId="6311ED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237" w:type="dxa"/>
            <w:tcBorders>
              <w:top w:val="nil"/>
              <w:left w:val="nil"/>
              <w:bottom w:val="nil"/>
              <w:right w:val="nil"/>
            </w:tcBorders>
            <w:shd w:val="clear" w:color="auto" w:fill="auto"/>
            <w:noWrap/>
            <w:vAlign w:val="bottom"/>
            <w:hideMark/>
          </w:tcPr>
          <w:p w14:paraId="41E0AC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663" w:type="dxa"/>
            <w:tcBorders>
              <w:top w:val="nil"/>
              <w:left w:val="nil"/>
              <w:bottom w:val="nil"/>
              <w:right w:val="nil"/>
            </w:tcBorders>
            <w:shd w:val="clear" w:color="auto" w:fill="auto"/>
            <w:noWrap/>
            <w:vAlign w:val="bottom"/>
            <w:hideMark/>
          </w:tcPr>
          <w:p w14:paraId="633764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44" w:type="dxa"/>
            <w:tcBorders>
              <w:top w:val="nil"/>
              <w:left w:val="nil"/>
              <w:bottom w:val="nil"/>
              <w:right w:val="nil"/>
            </w:tcBorders>
            <w:shd w:val="clear" w:color="auto" w:fill="auto"/>
            <w:noWrap/>
            <w:vAlign w:val="bottom"/>
            <w:hideMark/>
          </w:tcPr>
          <w:p w14:paraId="5F2869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22" w:type="dxa"/>
            <w:tcBorders>
              <w:top w:val="nil"/>
              <w:left w:val="nil"/>
              <w:bottom w:val="nil"/>
              <w:right w:val="nil"/>
            </w:tcBorders>
            <w:shd w:val="clear" w:color="auto" w:fill="auto"/>
            <w:noWrap/>
            <w:vAlign w:val="bottom"/>
            <w:hideMark/>
          </w:tcPr>
          <w:p w14:paraId="2C5BF9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22" w:type="dxa"/>
            <w:tcBorders>
              <w:top w:val="nil"/>
              <w:left w:val="nil"/>
              <w:bottom w:val="nil"/>
              <w:right w:val="nil"/>
            </w:tcBorders>
            <w:shd w:val="clear" w:color="auto" w:fill="auto"/>
            <w:noWrap/>
            <w:vAlign w:val="bottom"/>
            <w:hideMark/>
          </w:tcPr>
          <w:p w14:paraId="5F7B9C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7C21DC4D" w14:textId="77777777" w:rsidTr="00ED0631">
        <w:trPr>
          <w:trHeight w:val="315"/>
        </w:trPr>
        <w:tc>
          <w:tcPr>
            <w:tcW w:w="1832" w:type="dxa"/>
            <w:tcBorders>
              <w:top w:val="nil"/>
              <w:left w:val="nil"/>
              <w:bottom w:val="nil"/>
              <w:right w:val="nil"/>
            </w:tcBorders>
            <w:shd w:val="clear" w:color="auto" w:fill="auto"/>
            <w:noWrap/>
            <w:vAlign w:val="bottom"/>
            <w:hideMark/>
          </w:tcPr>
          <w:p w14:paraId="59BEC3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237" w:type="dxa"/>
            <w:tcBorders>
              <w:top w:val="nil"/>
              <w:left w:val="nil"/>
              <w:bottom w:val="nil"/>
              <w:right w:val="nil"/>
            </w:tcBorders>
            <w:shd w:val="clear" w:color="auto" w:fill="auto"/>
            <w:noWrap/>
            <w:vAlign w:val="bottom"/>
            <w:hideMark/>
          </w:tcPr>
          <w:p w14:paraId="066178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663" w:type="dxa"/>
            <w:tcBorders>
              <w:top w:val="nil"/>
              <w:left w:val="nil"/>
              <w:bottom w:val="nil"/>
              <w:right w:val="nil"/>
            </w:tcBorders>
            <w:shd w:val="clear" w:color="auto" w:fill="auto"/>
            <w:noWrap/>
            <w:vAlign w:val="bottom"/>
            <w:hideMark/>
          </w:tcPr>
          <w:p w14:paraId="644F22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44" w:type="dxa"/>
            <w:tcBorders>
              <w:top w:val="nil"/>
              <w:left w:val="nil"/>
              <w:bottom w:val="nil"/>
              <w:right w:val="nil"/>
            </w:tcBorders>
            <w:shd w:val="clear" w:color="auto" w:fill="auto"/>
            <w:noWrap/>
            <w:vAlign w:val="bottom"/>
            <w:hideMark/>
          </w:tcPr>
          <w:p w14:paraId="4AF0BC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22" w:type="dxa"/>
            <w:tcBorders>
              <w:top w:val="nil"/>
              <w:left w:val="nil"/>
              <w:bottom w:val="nil"/>
              <w:right w:val="nil"/>
            </w:tcBorders>
            <w:shd w:val="clear" w:color="auto" w:fill="auto"/>
            <w:noWrap/>
            <w:vAlign w:val="bottom"/>
            <w:hideMark/>
          </w:tcPr>
          <w:p w14:paraId="108CB7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222" w:type="dxa"/>
            <w:tcBorders>
              <w:top w:val="nil"/>
              <w:left w:val="nil"/>
              <w:bottom w:val="nil"/>
              <w:right w:val="nil"/>
            </w:tcBorders>
            <w:shd w:val="clear" w:color="auto" w:fill="auto"/>
            <w:noWrap/>
            <w:vAlign w:val="bottom"/>
            <w:hideMark/>
          </w:tcPr>
          <w:p w14:paraId="016E36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710D7C5C" w14:textId="77777777" w:rsidTr="00ED0631">
        <w:trPr>
          <w:trHeight w:val="315"/>
        </w:trPr>
        <w:tc>
          <w:tcPr>
            <w:tcW w:w="1832" w:type="dxa"/>
            <w:tcBorders>
              <w:top w:val="nil"/>
              <w:left w:val="nil"/>
              <w:bottom w:val="nil"/>
              <w:right w:val="nil"/>
            </w:tcBorders>
            <w:shd w:val="clear" w:color="auto" w:fill="auto"/>
            <w:noWrap/>
            <w:vAlign w:val="bottom"/>
            <w:hideMark/>
          </w:tcPr>
          <w:p w14:paraId="3A0D62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237" w:type="dxa"/>
            <w:tcBorders>
              <w:top w:val="nil"/>
              <w:left w:val="nil"/>
              <w:bottom w:val="nil"/>
              <w:right w:val="nil"/>
            </w:tcBorders>
            <w:shd w:val="clear" w:color="auto" w:fill="auto"/>
            <w:noWrap/>
            <w:vAlign w:val="bottom"/>
            <w:hideMark/>
          </w:tcPr>
          <w:p w14:paraId="2E849B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663" w:type="dxa"/>
            <w:tcBorders>
              <w:top w:val="nil"/>
              <w:left w:val="nil"/>
              <w:bottom w:val="nil"/>
              <w:right w:val="nil"/>
            </w:tcBorders>
            <w:shd w:val="clear" w:color="auto" w:fill="auto"/>
            <w:noWrap/>
            <w:vAlign w:val="bottom"/>
            <w:hideMark/>
          </w:tcPr>
          <w:p w14:paraId="3058E8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544" w:type="dxa"/>
            <w:tcBorders>
              <w:top w:val="nil"/>
              <w:left w:val="nil"/>
              <w:bottom w:val="nil"/>
              <w:right w:val="nil"/>
            </w:tcBorders>
            <w:shd w:val="clear" w:color="auto" w:fill="auto"/>
            <w:noWrap/>
            <w:vAlign w:val="bottom"/>
            <w:hideMark/>
          </w:tcPr>
          <w:p w14:paraId="5DCA1A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222" w:type="dxa"/>
            <w:tcBorders>
              <w:top w:val="nil"/>
              <w:left w:val="nil"/>
              <w:bottom w:val="nil"/>
              <w:right w:val="nil"/>
            </w:tcBorders>
            <w:shd w:val="clear" w:color="auto" w:fill="auto"/>
            <w:noWrap/>
            <w:vAlign w:val="bottom"/>
            <w:hideMark/>
          </w:tcPr>
          <w:p w14:paraId="2D545A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222" w:type="dxa"/>
            <w:tcBorders>
              <w:top w:val="nil"/>
              <w:left w:val="nil"/>
              <w:bottom w:val="nil"/>
              <w:right w:val="nil"/>
            </w:tcBorders>
            <w:shd w:val="clear" w:color="auto" w:fill="auto"/>
            <w:noWrap/>
            <w:vAlign w:val="bottom"/>
            <w:hideMark/>
          </w:tcPr>
          <w:p w14:paraId="181ECF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789F13C4" w14:textId="77777777" w:rsidTr="00ED0631">
        <w:trPr>
          <w:trHeight w:val="315"/>
        </w:trPr>
        <w:tc>
          <w:tcPr>
            <w:tcW w:w="1832" w:type="dxa"/>
            <w:tcBorders>
              <w:top w:val="nil"/>
              <w:left w:val="nil"/>
              <w:bottom w:val="nil"/>
              <w:right w:val="nil"/>
            </w:tcBorders>
            <w:shd w:val="clear" w:color="auto" w:fill="auto"/>
            <w:noWrap/>
            <w:vAlign w:val="bottom"/>
            <w:hideMark/>
          </w:tcPr>
          <w:p w14:paraId="2D68C6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237" w:type="dxa"/>
            <w:tcBorders>
              <w:top w:val="nil"/>
              <w:left w:val="nil"/>
              <w:bottom w:val="nil"/>
              <w:right w:val="nil"/>
            </w:tcBorders>
            <w:shd w:val="clear" w:color="auto" w:fill="auto"/>
            <w:noWrap/>
            <w:vAlign w:val="bottom"/>
            <w:hideMark/>
          </w:tcPr>
          <w:p w14:paraId="278DC7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663" w:type="dxa"/>
            <w:tcBorders>
              <w:top w:val="nil"/>
              <w:left w:val="nil"/>
              <w:bottom w:val="nil"/>
              <w:right w:val="nil"/>
            </w:tcBorders>
            <w:shd w:val="clear" w:color="auto" w:fill="auto"/>
            <w:noWrap/>
            <w:vAlign w:val="bottom"/>
            <w:hideMark/>
          </w:tcPr>
          <w:p w14:paraId="0521E5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544" w:type="dxa"/>
            <w:tcBorders>
              <w:top w:val="nil"/>
              <w:left w:val="nil"/>
              <w:bottom w:val="nil"/>
              <w:right w:val="nil"/>
            </w:tcBorders>
            <w:shd w:val="clear" w:color="auto" w:fill="auto"/>
            <w:noWrap/>
            <w:vAlign w:val="bottom"/>
            <w:hideMark/>
          </w:tcPr>
          <w:p w14:paraId="0074E8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22" w:type="dxa"/>
            <w:tcBorders>
              <w:top w:val="nil"/>
              <w:left w:val="nil"/>
              <w:bottom w:val="nil"/>
              <w:right w:val="nil"/>
            </w:tcBorders>
            <w:shd w:val="clear" w:color="auto" w:fill="auto"/>
            <w:noWrap/>
            <w:vAlign w:val="bottom"/>
            <w:hideMark/>
          </w:tcPr>
          <w:p w14:paraId="1FFEC7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22" w:type="dxa"/>
            <w:tcBorders>
              <w:top w:val="nil"/>
              <w:left w:val="nil"/>
              <w:bottom w:val="nil"/>
              <w:right w:val="nil"/>
            </w:tcBorders>
            <w:shd w:val="clear" w:color="auto" w:fill="auto"/>
            <w:noWrap/>
            <w:vAlign w:val="bottom"/>
            <w:hideMark/>
          </w:tcPr>
          <w:p w14:paraId="0C2EC0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1766E6D1" w14:textId="77777777" w:rsidTr="00ED0631">
        <w:trPr>
          <w:trHeight w:val="315"/>
        </w:trPr>
        <w:tc>
          <w:tcPr>
            <w:tcW w:w="1832" w:type="dxa"/>
            <w:tcBorders>
              <w:top w:val="nil"/>
              <w:left w:val="nil"/>
              <w:bottom w:val="nil"/>
              <w:right w:val="nil"/>
            </w:tcBorders>
            <w:shd w:val="clear" w:color="auto" w:fill="auto"/>
            <w:noWrap/>
            <w:vAlign w:val="bottom"/>
            <w:hideMark/>
          </w:tcPr>
          <w:p w14:paraId="09C6438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237" w:type="dxa"/>
            <w:tcBorders>
              <w:top w:val="nil"/>
              <w:left w:val="nil"/>
              <w:bottom w:val="nil"/>
              <w:right w:val="nil"/>
            </w:tcBorders>
            <w:shd w:val="clear" w:color="auto" w:fill="auto"/>
            <w:noWrap/>
            <w:vAlign w:val="bottom"/>
            <w:hideMark/>
          </w:tcPr>
          <w:p w14:paraId="16192A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663" w:type="dxa"/>
            <w:tcBorders>
              <w:top w:val="nil"/>
              <w:left w:val="nil"/>
              <w:bottom w:val="nil"/>
              <w:right w:val="nil"/>
            </w:tcBorders>
            <w:shd w:val="clear" w:color="auto" w:fill="auto"/>
            <w:noWrap/>
            <w:vAlign w:val="bottom"/>
            <w:hideMark/>
          </w:tcPr>
          <w:p w14:paraId="5E81FF8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544" w:type="dxa"/>
            <w:tcBorders>
              <w:top w:val="nil"/>
              <w:left w:val="nil"/>
              <w:bottom w:val="nil"/>
              <w:right w:val="nil"/>
            </w:tcBorders>
            <w:shd w:val="clear" w:color="auto" w:fill="auto"/>
            <w:noWrap/>
            <w:vAlign w:val="bottom"/>
            <w:hideMark/>
          </w:tcPr>
          <w:p w14:paraId="3C356A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22" w:type="dxa"/>
            <w:tcBorders>
              <w:top w:val="nil"/>
              <w:left w:val="nil"/>
              <w:bottom w:val="nil"/>
              <w:right w:val="nil"/>
            </w:tcBorders>
            <w:shd w:val="clear" w:color="auto" w:fill="auto"/>
            <w:noWrap/>
            <w:vAlign w:val="bottom"/>
            <w:hideMark/>
          </w:tcPr>
          <w:p w14:paraId="6849B6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22" w:type="dxa"/>
            <w:tcBorders>
              <w:top w:val="nil"/>
              <w:left w:val="nil"/>
              <w:bottom w:val="nil"/>
              <w:right w:val="nil"/>
            </w:tcBorders>
            <w:shd w:val="clear" w:color="auto" w:fill="auto"/>
            <w:noWrap/>
            <w:vAlign w:val="bottom"/>
            <w:hideMark/>
          </w:tcPr>
          <w:p w14:paraId="6EDFB6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2B079DB3" w14:textId="77777777" w:rsidTr="00ED0631">
        <w:trPr>
          <w:trHeight w:val="315"/>
        </w:trPr>
        <w:tc>
          <w:tcPr>
            <w:tcW w:w="1832" w:type="dxa"/>
            <w:tcBorders>
              <w:top w:val="nil"/>
              <w:left w:val="nil"/>
              <w:bottom w:val="nil"/>
              <w:right w:val="nil"/>
            </w:tcBorders>
            <w:shd w:val="clear" w:color="auto" w:fill="auto"/>
            <w:noWrap/>
            <w:vAlign w:val="bottom"/>
            <w:hideMark/>
          </w:tcPr>
          <w:p w14:paraId="61B1AA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237" w:type="dxa"/>
            <w:tcBorders>
              <w:top w:val="nil"/>
              <w:left w:val="nil"/>
              <w:bottom w:val="nil"/>
              <w:right w:val="nil"/>
            </w:tcBorders>
            <w:shd w:val="clear" w:color="auto" w:fill="auto"/>
            <w:noWrap/>
            <w:vAlign w:val="bottom"/>
            <w:hideMark/>
          </w:tcPr>
          <w:p w14:paraId="77F17F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100 </w:t>
            </w:r>
          </w:p>
        </w:tc>
        <w:tc>
          <w:tcPr>
            <w:tcW w:w="1663" w:type="dxa"/>
            <w:tcBorders>
              <w:top w:val="nil"/>
              <w:left w:val="nil"/>
              <w:bottom w:val="nil"/>
              <w:right w:val="nil"/>
            </w:tcBorders>
            <w:shd w:val="clear" w:color="auto" w:fill="auto"/>
            <w:noWrap/>
            <w:vAlign w:val="bottom"/>
            <w:hideMark/>
          </w:tcPr>
          <w:p w14:paraId="06BE61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64 </w:t>
            </w:r>
          </w:p>
        </w:tc>
        <w:tc>
          <w:tcPr>
            <w:tcW w:w="1544" w:type="dxa"/>
            <w:tcBorders>
              <w:top w:val="nil"/>
              <w:left w:val="nil"/>
              <w:bottom w:val="nil"/>
              <w:right w:val="nil"/>
            </w:tcBorders>
            <w:shd w:val="clear" w:color="auto" w:fill="auto"/>
            <w:noWrap/>
            <w:vAlign w:val="bottom"/>
            <w:hideMark/>
          </w:tcPr>
          <w:p w14:paraId="50B453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86 </w:t>
            </w:r>
          </w:p>
        </w:tc>
        <w:tc>
          <w:tcPr>
            <w:tcW w:w="1222" w:type="dxa"/>
            <w:tcBorders>
              <w:top w:val="nil"/>
              <w:left w:val="nil"/>
              <w:bottom w:val="nil"/>
              <w:right w:val="nil"/>
            </w:tcBorders>
            <w:shd w:val="clear" w:color="auto" w:fill="auto"/>
            <w:noWrap/>
            <w:vAlign w:val="bottom"/>
            <w:hideMark/>
          </w:tcPr>
          <w:p w14:paraId="310571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58 </w:t>
            </w:r>
          </w:p>
        </w:tc>
        <w:tc>
          <w:tcPr>
            <w:tcW w:w="1222" w:type="dxa"/>
            <w:tcBorders>
              <w:top w:val="nil"/>
              <w:left w:val="nil"/>
              <w:bottom w:val="nil"/>
              <w:right w:val="nil"/>
            </w:tcBorders>
            <w:shd w:val="clear" w:color="auto" w:fill="auto"/>
            <w:noWrap/>
            <w:vAlign w:val="bottom"/>
            <w:hideMark/>
          </w:tcPr>
          <w:p w14:paraId="38EB04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r>
      <w:tr w:rsidR="00AC362E" w:rsidRPr="00491EF1" w14:paraId="6B9188A2" w14:textId="77777777" w:rsidTr="00ED0631">
        <w:trPr>
          <w:trHeight w:val="315"/>
        </w:trPr>
        <w:tc>
          <w:tcPr>
            <w:tcW w:w="1832" w:type="dxa"/>
            <w:tcBorders>
              <w:top w:val="nil"/>
              <w:left w:val="nil"/>
              <w:bottom w:val="single" w:sz="4" w:space="0" w:color="auto"/>
              <w:right w:val="nil"/>
            </w:tcBorders>
            <w:shd w:val="clear" w:color="auto" w:fill="auto"/>
            <w:noWrap/>
            <w:vAlign w:val="bottom"/>
            <w:hideMark/>
          </w:tcPr>
          <w:p w14:paraId="5E39A5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237" w:type="dxa"/>
            <w:tcBorders>
              <w:top w:val="nil"/>
              <w:left w:val="nil"/>
              <w:bottom w:val="single" w:sz="4" w:space="0" w:color="auto"/>
              <w:right w:val="nil"/>
            </w:tcBorders>
            <w:shd w:val="clear" w:color="auto" w:fill="auto"/>
            <w:noWrap/>
            <w:vAlign w:val="bottom"/>
            <w:hideMark/>
          </w:tcPr>
          <w:p w14:paraId="6484B4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663" w:type="dxa"/>
            <w:tcBorders>
              <w:top w:val="nil"/>
              <w:left w:val="nil"/>
              <w:bottom w:val="single" w:sz="4" w:space="0" w:color="auto"/>
              <w:right w:val="nil"/>
            </w:tcBorders>
            <w:shd w:val="clear" w:color="auto" w:fill="auto"/>
            <w:noWrap/>
            <w:vAlign w:val="bottom"/>
            <w:hideMark/>
          </w:tcPr>
          <w:p w14:paraId="51FB6A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44" w:type="dxa"/>
            <w:tcBorders>
              <w:top w:val="nil"/>
              <w:left w:val="nil"/>
              <w:bottom w:val="single" w:sz="4" w:space="0" w:color="auto"/>
              <w:right w:val="nil"/>
            </w:tcBorders>
            <w:shd w:val="clear" w:color="auto" w:fill="auto"/>
            <w:noWrap/>
            <w:vAlign w:val="bottom"/>
            <w:hideMark/>
          </w:tcPr>
          <w:p w14:paraId="352FAB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22" w:type="dxa"/>
            <w:tcBorders>
              <w:top w:val="nil"/>
              <w:left w:val="nil"/>
              <w:bottom w:val="single" w:sz="4" w:space="0" w:color="auto"/>
              <w:right w:val="nil"/>
            </w:tcBorders>
            <w:shd w:val="clear" w:color="auto" w:fill="auto"/>
            <w:noWrap/>
            <w:vAlign w:val="bottom"/>
            <w:hideMark/>
          </w:tcPr>
          <w:p w14:paraId="00E357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22" w:type="dxa"/>
            <w:tcBorders>
              <w:top w:val="nil"/>
              <w:left w:val="nil"/>
              <w:bottom w:val="single" w:sz="4" w:space="0" w:color="auto"/>
              <w:right w:val="nil"/>
            </w:tcBorders>
            <w:shd w:val="clear" w:color="auto" w:fill="auto"/>
            <w:noWrap/>
            <w:vAlign w:val="bottom"/>
            <w:hideMark/>
          </w:tcPr>
          <w:p w14:paraId="2C8E56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42630678" w14:textId="77777777" w:rsidTr="00ED0631">
        <w:trPr>
          <w:trHeight w:val="315"/>
        </w:trPr>
        <w:tc>
          <w:tcPr>
            <w:tcW w:w="1832" w:type="dxa"/>
            <w:tcBorders>
              <w:top w:val="nil"/>
              <w:left w:val="nil"/>
              <w:bottom w:val="single" w:sz="4" w:space="0" w:color="auto"/>
              <w:right w:val="nil"/>
            </w:tcBorders>
            <w:shd w:val="clear" w:color="auto" w:fill="auto"/>
            <w:noWrap/>
            <w:vAlign w:val="bottom"/>
            <w:hideMark/>
          </w:tcPr>
          <w:p w14:paraId="4933B1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237" w:type="dxa"/>
            <w:tcBorders>
              <w:top w:val="nil"/>
              <w:left w:val="nil"/>
              <w:bottom w:val="single" w:sz="4" w:space="0" w:color="auto"/>
              <w:right w:val="nil"/>
            </w:tcBorders>
            <w:shd w:val="clear" w:color="auto" w:fill="auto"/>
            <w:noWrap/>
            <w:vAlign w:val="bottom"/>
            <w:hideMark/>
          </w:tcPr>
          <w:p w14:paraId="5F216A1C"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196</w:t>
            </w:r>
          </w:p>
        </w:tc>
        <w:tc>
          <w:tcPr>
            <w:tcW w:w="1663" w:type="dxa"/>
            <w:tcBorders>
              <w:top w:val="nil"/>
              <w:left w:val="nil"/>
              <w:bottom w:val="single" w:sz="4" w:space="0" w:color="auto"/>
              <w:right w:val="nil"/>
            </w:tcBorders>
            <w:shd w:val="clear" w:color="auto" w:fill="auto"/>
            <w:noWrap/>
            <w:vAlign w:val="bottom"/>
            <w:hideMark/>
          </w:tcPr>
          <w:p w14:paraId="1FF08EB0"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120</w:t>
            </w:r>
          </w:p>
        </w:tc>
        <w:tc>
          <w:tcPr>
            <w:tcW w:w="1544" w:type="dxa"/>
            <w:tcBorders>
              <w:top w:val="nil"/>
              <w:left w:val="nil"/>
              <w:bottom w:val="single" w:sz="4" w:space="0" w:color="auto"/>
              <w:right w:val="nil"/>
            </w:tcBorders>
            <w:shd w:val="clear" w:color="auto" w:fill="auto"/>
            <w:noWrap/>
            <w:vAlign w:val="bottom"/>
            <w:hideMark/>
          </w:tcPr>
          <w:p w14:paraId="6A9EB998"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152</w:t>
            </w:r>
          </w:p>
        </w:tc>
        <w:tc>
          <w:tcPr>
            <w:tcW w:w="1222" w:type="dxa"/>
            <w:tcBorders>
              <w:top w:val="nil"/>
              <w:left w:val="nil"/>
              <w:bottom w:val="single" w:sz="4" w:space="0" w:color="auto"/>
              <w:right w:val="nil"/>
            </w:tcBorders>
            <w:shd w:val="clear" w:color="auto" w:fill="auto"/>
            <w:noWrap/>
            <w:vAlign w:val="bottom"/>
            <w:hideMark/>
          </w:tcPr>
          <w:p w14:paraId="6642FD3E"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123</w:t>
            </w:r>
          </w:p>
        </w:tc>
        <w:tc>
          <w:tcPr>
            <w:tcW w:w="1222" w:type="dxa"/>
            <w:tcBorders>
              <w:top w:val="nil"/>
              <w:left w:val="nil"/>
              <w:bottom w:val="single" w:sz="4" w:space="0" w:color="auto"/>
              <w:right w:val="nil"/>
            </w:tcBorders>
            <w:shd w:val="clear" w:color="auto" w:fill="auto"/>
            <w:noWrap/>
            <w:vAlign w:val="bottom"/>
            <w:hideMark/>
          </w:tcPr>
          <w:p w14:paraId="32FA2B7C"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38</w:t>
            </w:r>
          </w:p>
        </w:tc>
      </w:tr>
    </w:tbl>
    <w:p w14:paraId="6BFBFBF0"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9: Number of teachers who have used different practices to exercise their English by island type</w:t>
      </w:r>
    </w:p>
    <w:tbl>
      <w:tblPr>
        <w:tblW w:w="7921" w:type="dxa"/>
        <w:tblInd w:w="93" w:type="dxa"/>
        <w:tblLook w:val="04A0" w:firstRow="1" w:lastRow="0" w:firstColumn="1" w:lastColumn="0" w:noHBand="0" w:noVBand="1"/>
      </w:tblPr>
      <w:tblGrid>
        <w:gridCol w:w="1332"/>
        <w:gridCol w:w="1181"/>
        <w:gridCol w:w="1587"/>
        <w:gridCol w:w="1473"/>
        <w:gridCol w:w="1181"/>
        <w:gridCol w:w="1167"/>
      </w:tblGrid>
      <w:tr w:rsidR="00AC362E" w:rsidRPr="00491EF1" w14:paraId="37D8BB84" w14:textId="77777777" w:rsidTr="00ED0631">
        <w:trPr>
          <w:trHeight w:val="315"/>
        </w:trPr>
        <w:tc>
          <w:tcPr>
            <w:tcW w:w="1332" w:type="dxa"/>
            <w:tcBorders>
              <w:top w:val="single" w:sz="4" w:space="0" w:color="auto"/>
              <w:left w:val="nil"/>
              <w:bottom w:val="nil"/>
              <w:right w:val="nil"/>
            </w:tcBorders>
            <w:shd w:val="clear" w:color="auto" w:fill="auto"/>
            <w:noWrap/>
            <w:vAlign w:val="bottom"/>
            <w:hideMark/>
          </w:tcPr>
          <w:p w14:paraId="3CFD17EE"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181" w:type="dxa"/>
            <w:tcBorders>
              <w:top w:val="single" w:sz="4" w:space="0" w:color="auto"/>
              <w:left w:val="nil"/>
              <w:bottom w:val="single" w:sz="4" w:space="0" w:color="auto"/>
              <w:right w:val="nil"/>
            </w:tcBorders>
            <w:shd w:val="clear" w:color="auto" w:fill="auto"/>
            <w:noWrap/>
            <w:vAlign w:val="bottom"/>
            <w:hideMark/>
          </w:tcPr>
          <w:p w14:paraId="548BD5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Movies </w:t>
            </w:r>
          </w:p>
        </w:tc>
        <w:tc>
          <w:tcPr>
            <w:tcW w:w="1587" w:type="dxa"/>
            <w:tcBorders>
              <w:top w:val="single" w:sz="4" w:space="0" w:color="auto"/>
              <w:left w:val="nil"/>
              <w:bottom w:val="single" w:sz="4" w:space="0" w:color="auto"/>
              <w:right w:val="nil"/>
            </w:tcBorders>
            <w:shd w:val="clear" w:color="auto" w:fill="auto"/>
            <w:noWrap/>
            <w:vAlign w:val="bottom"/>
            <w:hideMark/>
          </w:tcPr>
          <w:p w14:paraId="137B70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Internet/radio </w:t>
            </w:r>
          </w:p>
        </w:tc>
        <w:tc>
          <w:tcPr>
            <w:tcW w:w="1473" w:type="dxa"/>
            <w:tcBorders>
              <w:top w:val="single" w:sz="4" w:space="0" w:color="auto"/>
              <w:left w:val="nil"/>
              <w:bottom w:val="single" w:sz="4" w:space="0" w:color="auto"/>
              <w:right w:val="nil"/>
            </w:tcBorders>
            <w:shd w:val="clear" w:color="auto" w:fill="auto"/>
            <w:noWrap/>
            <w:vAlign w:val="bottom"/>
            <w:hideMark/>
          </w:tcPr>
          <w:p w14:paraId="018D78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Conversation </w:t>
            </w:r>
          </w:p>
        </w:tc>
        <w:tc>
          <w:tcPr>
            <w:tcW w:w="1181" w:type="dxa"/>
            <w:tcBorders>
              <w:top w:val="single" w:sz="4" w:space="0" w:color="auto"/>
              <w:left w:val="nil"/>
              <w:bottom w:val="nil"/>
              <w:right w:val="nil"/>
            </w:tcBorders>
            <w:shd w:val="clear" w:color="auto" w:fill="auto"/>
            <w:noWrap/>
            <w:vAlign w:val="bottom"/>
            <w:hideMark/>
          </w:tcPr>
          <w:p w14:paraId="2B4924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Study </w:t>
            </w:r>
          </w:p>
        </w:tc>
        <w:tc>
          <w:tcPr>
            <w:tcW w:w="1167" w:type="dxa"/>
            <w:tcBorders>
              <w:top w:val="single" w:sz="4" w:space="0" w:color="auto"/>
              <w:left w:val="nil"/>
              <w:bottom w:val="nil"/>
              <w:right w:val="nil"/>
            </w:tcBorders>
            <w:shd w:val="clear" w:color="auto" w:fill="auto"/>
            <w:noWrap/>
            <w:vAlign w:val="bottom"/>
            <w:hideMark/>
          </w:tcPr>
          <w:p w14:paraId="300B2D6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r>
      <w:tr w:rsidR="00AC362E" w:rsidRPr="00491EF1" w14:paraId="3FFF5794" w14:textId="77777777" w:rsidTr="00ED0631">
        <w:trPr>
          <w:trHeight w:val="315"/>
        </w:trPr>
        <w:tc>
          <w:tcPr>
            <w:tcW w:w="1332" w:type="dxa"/>
            <w:tcBorders>
              <w:top w:val="single" w:sz="4" w:space="0" w:color="auto"/>
              <w:left w:val="nil"/>
              <w:bottom w:val="nil"/>
              <w:right w:val="nil"/>
            </w:tcBorders>
            <w:shd w:val="clear" w:color="auto" w:fill="auto"/>
            <w:noWrap/>
            <w:vAlign w:val="bottom"/>
            <w:hideMark/>
          </w:tcPr>
          <w:p w14:paraId="109E8D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181" w:type="dxa"/>
            <w:tcBorders>
              <w:top w:val="nil"/>
              <w:left w:val="nil"/>
              <w:bottom w:val="nil"/>
              <w:right w:val="nil"/>
            </w:tcBorders>
            <w:shd w:val="clear" w:color="auto" w:fill="auto"/>
            <w:noWrap/>
            <w:vAlign w:val="bottom"/>
            <w:hideMark/>
          </w:tcPr>
          <w:p w14:paraId="2DB6E2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71 </w:t>
            </w:r>
          </w:p>
        </w:tc>
        <w:tc>
          <w:tcPr>
            <w:tcW w:w="1587" w:type="dxa"/>
            <w:tcBorders>
              <w:top w:val="nil"/>
              <w:left w:val="nil"/>
              <w:bottom w:val="nil"/>
              <w:right w:val="nil"/>
            </w:tcBorders>
            <w:shd w:val="clear" w:color="auto" w:fill="auto"/>
            <w:noWrap/>
            <w:vAlign w:val="bottom"/>
            <w:hideMark/>
          </w:tcPr>
          <w:p w14:paraId="5C199E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44 </w:t>
            </w:r>
          </w:p>
        </w:tc>
        <w:tc>
          <w:tcPr>
            <w:tcW w:w="1473" w:type="dxa"/>
            <w:tcBorders>
              <w:top w:val="nil"/>
              <w:left w:val="nil"/>
              <w:bottom w:val="nil"/>
              <w:right w:val="nil"/>
            </w:tcBorders>
            <w:shd w:val="clear" w:color="auto" w:fill="auto"/>
            <w:noWrap/>
            <w:vAlign w:val="bottom"/>
            <w:hideMark/>
          </w:tcPr>
          <w:p w14:paraId="5DDECC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49 </w:t>
            </w:r>
          </w:p>
        </w:tc>
        <w:tc>
          <w:tcPr>
            <w:tcW w:w="1181" w:type="dxa"/>
            <w:tcBorders>
              <w:top w:val="single" w:sz="4" w:space="0" w:color="auto"/>
              <w:left w:val="nil"/>
              <w:bottom w:val="nil"/>
              <w:right w:val="nil"/>
            </w:tcBorders>
            <w:shd w:val="clear" w:color="auto" w:fill="auto"/>
            <w:noWrap/>
            <w:vAlign w:val="bottom"/>
            <w:hideMark/>
          </w:tcPr>
          <w:p w14:paraId="475FF5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47 </w:t>
            </w:r>
          </w:p>
        </w:tc>
        <w:tc>
          <w:tcPr>
            <w:tcW w:w="1167" w:type="dxa"/>
            <w:tcBorders>
              <w:top w:val="single" w:sz="4" w:space="0" w:color="auto"/>
              <w:left w:val="nil"/>
              <w:bottom w:val="nil"/>
              <w:right w:val="nil"/>
            </w:tcBorders>
            <w:shd w:val="clear" w:color="auto" w:fill="auto"/>
            <w:noWrap/>
            <w:vAlign w:val="bottom"/>
            <w:hideMark/>
          </w:tcPr>
          <w:p w14:paraId="476670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r>
      <w:tr w:rsidR="00AC362E" w:rsidRPr="00491EF1" w14:paraId="28587653" w14:textId="77777777" w:rsidTr="00ED0631">
        <w:trPr>
          <w:trHeight w:val="315"/>
        </w:trPr>
        <w:tc>
          <w:tcPr>
            <w:tcW w:w="1332" w:type="dxa"/>
            <w:tcBorders>
              <w:top w:val="nil"/>
              <w:left w:val="nil"/>
              <w:bottom w:val="nil"/>
              <w:right w:val="nil"/>
            </w:tcBorders>
            <w:shd w:val="clear" w:color="auto" w:fill="auto"/>
            <w:noWrap/>
            <w:vAlign w:val="bottom"/>
            <w:hideMark/>
          </w:tcPr>
          <w:p w14:paraId="41CF91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181" w:type="dxa"/>
            <w:tcBorders>
              <w:top w:val="nil"/>
              <w:left w:val="nil"/>
              <w:bottom w:val="nil"/>
              <w:right w:val="nil"/>
            </w:tcBorders>
            <w:shd w:val="clear" w:color="auto" w:fill="auto"/>
            <w:noWrap/>
            <w:vAlign w:val="bottom"/>
            <w:hideMark/>
          </w:tcPr>
          <w:p w14:paraId="531163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 </w:t>
            </w:r>
          </w:p>
        </w:tc>
        <w:tc>
          <w:tcPr>
            <w:tcW w:w="1587" w:type="dxa"/>
            <w:tcBorders>
              <w:top w:val="nil"/>
              <w:left w:val="nil"/>
              <w:bottom w:val="nil"/>
              <w:right w:val="nil"/>
            </w:tcBorders>
            <w:shd w:val="clear" w:color="auto" w:fill="auto"/>
            <w:noWrap/>
            <w:vAlign w:val="bottom"/>
            <w:hideMark/>
          </w:tcPr>
          <w:p w14:paraId="5D1CC2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473" w:type="dxa"/>
            <w:tcBorders>
              <w:top w:val="nil"/>
              <w:left w:val="nil"/>
              <w:bottom w:val="nil"/>
              <w:right w:val="nil"/>
            </w:tcBorders>
            <w:shd w:val="clear" w:color="auto" w:fill="auto"/>
            <w:noWrap/>
            <w:vAlign w:val="bottom"/>
            <w:hideMark/>
          </w:tcPr>
          <w:p w14:paraId="335A62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181" w:type="dxa"/>
            <w:tcBorders>
              <w:top w:val="nil"/>
              <w:left w:val="nil"/>
              <w:bottom w:val="nil"/>
              <w:right w:val="nil"/>
            </w:tcBorders>
            <w:shd w:val="clear" w:color="auto" w:fill="auto"/>
            <w:noWrap/>
            <w:vAlign w:val="bottom"/>
            <w:hideMark/>
          </w:tcPr>
          <w:p w14:paraId="2D8573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167" w:type="dxa"/>
            <w:tcBorders>
              <w:top w:val="nil"/>
              <w:left w:val="nil"/>
              <w:bottom w:val="nil"/>
              <w:right w:val="nil"/>
            </w:tcBorders>
            <w:shd w:val="clear" w:color="auto" w:fill="auto"/>
            <w:noWrap/>
            <w:vAlign w:val="bottom"/>
            <w:hideMark/>
          </w:tcPr>
          <w:p w14:paraId="73ABFE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r>
      <w:tr w:rsidR="00AC362E" w:rsidRPr="00491EF1" w14:paraId="1ED00572" w14:textId="77777777" w:rsidTr="00ED0631">
        <w:trPr>
          <w:trHeight w:val="315"/>
        </w:trPr>
        <w:tc>
          <w:tcPr>
            <w:tcW w:w="1332" w:type="dxa"/>
            <w:tcBorders>
              <w:top w:val="nil"/>
              <w:left w:val="nil"/>
              <w:bottom w:val="nil"/>
              <w:right w:val="nil"/>
            </w:tcBorders>
            <w:shd w:val="clear" w:color="auto" w:fill="auto"/>
            <w:noWrap/>
            <w:vAlign w:val="bottom"/>
            <w:hideMark/>
          </w:tcPr>
          <w:p w14:paraId="64C003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181" w:type="dxa"/>
            <w:tcBorders>
              <w:top w:val="nil"/>
              <w:left w:val="nil"/>
              <w:bottom w:val="nil"/>
              <w:right w:val="nil"/>
            </w:tcBorders>
            <w:shd w:val="clear" w:color="auto" w:fill="auto"/>
            <w:noWrap/>
            <w:vAlign w:val="bottom"/>
            <w:hideMark/>
          </w:tcPr>
          <w:p w14:paraId="355BCB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100 </w:t>
            </w:r>
          </w:p>
        </w:tc>
        <w:tc>
          <w:tcPr>
            <w:tcW w:w="1587" w:type="dxa"/>
            <w:tcBorders>
              <w:top w:val="nil"/>
              <w:left w:val="nil"/>
              <w:bottom w:val="nil"/>
              <w:right w:val="nil"/>
            </w:tcBorders>
            <w:shd w:val="clear" w:color="auto" w:fill="auto"/>
            <w:noWrap/>
            <w:vAlign w:val="bottom"/>
            <w:hideMark/>
          </w:tcPr>
          <w:p w14:paraId="1D9C46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64 </w:t>
            </w:r>
          </w:p>
        </w:tc>
        <w:tc>
          <w:tcPr>
            <w:tcW w:w="1473" w:type="dxa"/>
            <w:tcBorders>
              <w:top w:val="nil"/>
              <w:left w:val="nil"/>
              <w:bottom w:val="nil"/>
              <w:right w:val="nil"/>
            </w:tcBorders>
            <w:shd w:val="clear" w:color="auto" w:fill="auto"/>
            <w:noWrap/>
            <w:vAlign w:val="bottom"/>
            <w:hideMark/>
          </w:tcPr>
          <w:p w14:paraId="0F3ED1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86 </w:t>
            </w:r>
          </w:p>
        </w:tc>
        <w:tc>
          <w:tcPr>
            <w:tcW w:w="1181" w:type="dxa"/>
            <w:tcBorders>
              <w:top w:val="nil"/>
              <w:left w:val="nil"/>
              <w:bottom w:val="nil"/>
              <w:right w:val="nil"/>
            </w:tcBorders>
            <w:shd w:val="clear" w:color="auto" w:fill="auto"/>
            <w:noWrap/>
            <w:vAlign w:val="bottom"/>
            <w:hideMark/>
          </w:tcPr>
          <w:p w14:paraId="77F4F8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58 </w:t>
            </w:r>
          </w:p>
        </w:tc>
        <w:tc>
          <w:tcPr>
            <w:tcW w:w="1167" w:type="dxa"/>
            <w:tcBorders>
              <w:top w:val="nil"/>
              <w:left w:val="nil"/>
              <w:bottom w:val="nil"/>
              <w:right w:val="nil"/>
            </w:tcBorders>
            <w:shd w:val="clear" w:color="auto" w:fill="auto"/>
            <w:noWrap/>
            <w:vAlign w:val="bottom"/>
            <w:hideMark/>
          </w:tcPr>
          <w:p w14:paraId="0BED04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r>
      <w:tr w:rsidR="00AC362E" w:rsidRPr="00491EF1" w14:paraId="0EC616E8" w14:textId="77777777" w:rsidTr="00ED0631">
        <w:trPr>
          <w:trHeight w:val="315"/>
        </w:trPr>
        <w:tc>
          <w:tcPr>
            <w:tcW w:w="1332" w:type="dxa"/>
            <w:tcBorders>
              <w:top w:val="single" w:sz="4" w:space="0" w:color="auto"/>
              <w:left w:val="nil"/>
              <w:bottom w:val="single" w:sz="4" w:space="0" w:color="auto"/>
              <w:right w:val="nil"/>
            </w:tcBorders>
            <w:shd w:val="clear" w:color="auto" w:fill="auto"/>
            <w:noWrap/>
            <w:vAlign w:val="bottom"/>
            <w:hideMark/>
          </w:tcPr>
          <w:p w14:paraId="2D6DA8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181" w:type="dxa"/>
            <w:tcBorders>
              <w:top w:val="single" w:sz="4" w:space="0" w:color="auto"/>
              <w:left w:val="nil"/>
              <w:bottom w:val="single" w:sz="4" w:space="0" w:color="auto"/>
              <w:right w:val="nil"/>
            </w:tcBorders>
            <w:shd w:val="clear" w:color="auto" w:fill="auto"/>
            <w:noWrap/>
            <w:vAlign w:val="bottom"/>
            <w:hideMark/>
          </w:tcPr>
          <w:p w14:paraId="62DA98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196 </w:t>
            </w:r>
          </w:p>
        </w:tc>
        <w:tc>
          <w:tcPr>
            <w:tcW w:w="1587" w:type="dxa"/>
            <w:tcBorders>
              <w:top w:val="single" w:sz="4" w:space="0" w:color="auto"/>
              <w:left w:val="nil"/>
              <w:bottom w:val="single" w:sz="4" w:space="0" w:color="auto"/>
              <w:right w:val="nil"/>
            </w:tcBorders>
            <w:shd w:val="clear" w:color="auto" w:fill="auto"/>
            <w:noWrap/>
            <w:vAlign w:val="bottom"/>
            <w:hideMark/>
          </w:tcPr>
          <w:p w14:paraId="7724B6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120 </w:t>
            </w:r>
          </w:p>
        </w:tc>
        <w:tc>
          <w:tcPr>
            <w:tcW w:w="1473" w:type="dxa"/>
            <w:tcBorders>
              <w:top w:val="single" w:sz="4" w:space="0" w:color="auto"/>
              <w:left w:val="nil"/>
              <w:bottom w:val="single" w:sz="4" w:space="0" w:color="auto"/>
              <w:right w:val="nil"/>
            </w:tcBorders>
            <w:shd w:val="clear" w:color="auto" w:fill="auto"/>
            <w:noWrap/>
            <w:vAlign w:val="bottom"/>
            <w:hideMark/>
          </w:tcPr>
          <w:p w14:paraId="566733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152 </w:t>
            </w:r>
          </w:p>
        </w:tc>
        <w:tc>
          <w:tcPr>
            <w:tcW w:w="1181" w:type="dxa"/>
            <w:tcBorders>
              <w:top w:val="single" w:sz="4" w:space="0" w:color="auto"/>
              <w:left w:val="nil"/>
              <w:bottom w:val="single" w:sz="4" w:space="0" w:color="auto"/>
              <w:right w:val="nil"/>
            </w:tcBorders>
            <w:shd w:val="clear" w:color="auto" w:fill="auto"/>
            <w:noWrap/>
            <w:vAlign w:val="bottom"/>
            <w:hideMark/>
          </w:tcPr>
          <w:p w14:paraId="503A5D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123 </w:t>
            </w:r>
          </w:p>
        </w:tc>
        <w:tc>
          <w:tcPr>
            <w:tcW w:w="1167" w:type="dxa"/>
            <w:tcBorders>
              <w:top w:val="single" w:sz="4" w:space="0" w:color="auto"/>
              <w:left w:val="nil"/>
              <w:bottom w:val="single" w:sz="4" w:space="0" w:color="auto"/>
              <w:right w:val="nil"/>
            </w:tcBorders>
            <w:shd w:val="clear" w:color="auto" w:fill="auto"/>
            <w:noWrap/>
            <w:vAlign w:val="bottom"/>
            <w:hideMark/>
          </w:tcPr>
          <w:p w14:paraId="6A1DA8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38 </w:t>
            </w:r>
          </w:p>
        </w:tc>
      </w:tr>
    </w:tbl>
    <w:p w14:paraId="60697D9F"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10: Number of teachers rating their English improvement by island</w:t>
      </w:r>
    </w:p>
    <w:tbl>
      <w:tblPr>
        <w:tblW w:w="7834" w:type="dxa"/>
        <w:tblInd w:w="93" w:type="dxa"/>
        <w:tblLook w:val="04A0" w:firstRow="1" w:lastRow="0" w:firstColumn="1" w:lastColumn="0" w:noHBand="0" w:noVBand="1"/>
      </w:tblPr>
      <w:tblGrid>
        <w:gridCol w:w="1630"/>
        <w:gridCol w:w="1307"/>
        <w:gridCol w:w="1923"/>
        <w:gridCol w:w="1387"/>
        <w:gridCol w:w="1587"/>
      </w:tblGrid>
      <w:tr w:rsidR="00AC362E" w:rsidRPr="00491EF1" w14:paraId="0719F86A"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4A05379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4531AA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1D6EFD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4606D5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0F45E2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5FA71318" w14:textId="77777777" w:rsidTr="00ED0631">
        <w:trPr>
          <w:trHeight w:val="315"/>
        </w:trPr>
        <w:tc>
          <w:tcPr>
            <w:tcW w:w="1630" w:type="dxa"/>
            <w:tcBorders>
              <w:top w:val="nil"/>
              <w:left w:val="nil"/>
              <w:bottom w:val="nil"/>
              <w:right w:val="nil"/>
            </w:tcBorders>
            <w:shd w:val="clear" w:color="auto" w:fill="auto"/>
            <w:noWrap/>
            <w:vAlign w:val="bottom"/>
            <w:hideMark/>
          </w:tcPr>
          <w:p w14:paraId="0A5BA1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07" w:type="dxa"/>
            <w:tcBorders>
              <w:top w:val="nil"/>
              <w:left w:val="nil"/>
              <w:bottom w:val="nil"/>
              <w:right w:val="nil"/>
            </w:tcBorders>
            <w:shd w:val="clear" w:color="auto" w:fill="auto"/>
            <w:noWrap/>
            <w:vAlign w:val="bottom"/>
            <w:hideMark/>
          </w:tcPr>
          <w:p w14:paraId="7845C4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923" w:type="dxa"/>
            <w:tcBorders>
              <w:top w:val="nil"/>
              <w:left w:val="nil"/>
              <w:bottom w:val="nil"/>
              <w:right w:val="nil"/>
            </w:tcBorders>
            <w:shd w:val="clear" w:color="auto" w:fill="auto"/>
            <w:noWrap/>
            <w:vAlign w:val="bottom"/>
            <w:hideMark/>
          </w:tcPr>
          <w:p w14:paraId="2784E2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387" w:type="dxa"/>
            <w:tcBorders>
              <w:top w:val="nil"/>
              <w:left w:val="nil"/>
              <w:bottom w:val="nil"/>
              <w:right w:val="nil"/>
            </w:tcBorders>
            <w:shd w:val="clear" w:color="auto" w:fill="auto"/>
            <w:noWrap/>
            <w:vAlign w:val="bottom"/>
            <w:hideMark/>
          </w:tcPr>
          <w:p w14:paraId="2FEB3F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587" w:type="dxa"/>
            <w:tcBorders>
              <w:top w:val="nil"/>
              <w:left w:val="nil"/>
              <w:bottom w:val="nil"/>
              <w:right w:val="nil"/>
            </w:tcBorders>
            <w:shd w:val="clear" w:color="auto" w:fill="auto"/>
            <w:noWrap/>
            <w:vAlign w:val="bottom"/>
            <w:hideMark/>
          </w:tcPr>
          <w:p w14:paraId="6EE19892"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89D959E" w14:textId="77777777" w:rsidTr="00ED0631">
        <w:trPr>
          <w:trHeight w:val="315"/>
        </w:trPr>
        <w:tc>
          <w:tcPr>
            <w:tcW w:w="1630" w:type="dxa"/>
            <w:tcBorders>
              <w:top w:val="nil"/>
              <w:left w:val="nil"/>
              <w:bottom w:val="nil"/>
              <w:right w:val="nil"/>
            </w:tcBorders>
            <w:shd w:val="clear" w:color="auto" w:fill="auto"/>
            <w:noWrap/>
            <w:vAlign w:val="bottom"/>
            <w:hideMark/>
          </w:tcPr>
          <w:p w14:paraId="27947B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07" w:type="dxa"/>
            <w:tcBorders>
              <w:top w:val="nil"/>
              <w:left w:val="nil"/>
              <w:bottom w:val="nil"/>
              <w:right w:val="nil"/>
            </w:tcBorders>
            <w:shd w:val="clear" w:color="auto" w:fill="auto"/>
            <w:noWrap/>
            <w:vAlign w:val="bottom"/>
            <w:hideMark/>
          </w:tcPr>
          <w:p w14:paraId="066119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923" w:type="dxa"/>
            <w:tcBorders>
              <w:top w:val="nil"/>
              <w:left w:val="nil"/>
              <w:bottom w:val="nil"/>
              <w:right w:val="nil"/>
            </w:tcBorders>
            <w:shd w:val="clear" w:color="auto" w:fill="auto"/>
            <w:noWrap/>
            <w:vAlign w:val="bottom"/>
            <w:hideMark/>
          </w:tcPr>
          <w:p w14:paraId="5617E3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6D6F30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587" w:type="dxa"/>
            <w:tcBorders>
              <w:top w:val="nil"/>
              <w:left w:val="nil"/>
              <w:bottom w:val="nil"/>
              <w:right w:val="nil"/>
            </w:tcBorders>
            <w:shd w:val="clear" w:color="auto" w:fill="auto"/>
            <w:noWrap/>
            <w:vAlign w:val="bottom"/>
            <w:hideMark/>
          </w:tcPr>
          <w:p w14:paraId="5D9B447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3E12D7B" w14:textId="77777777" w:rsidTr="00ED0631">
        <w:trPr>
          <w:trHeight w:val="315"/>
        </w:trPr>
        <w:tc>
          <w:tcPr>
            <w:tcW w:w="1630" w:type="dxa"/>
            <w:tcBorders>
              <w:top w:val="nil"/>
              <w:left w:val="nil"/>
              <w:bottom w:val="nil"/>
              <w:right w:val="nil"/>
            </w:tcBorders>
            <w:shd w:val="clear" w:color="auto" w:fill="auto"/>
            <w:noWrap/>
            <w:vAlign w:val="bottom"/>
            <w:hideMark/>
          </w:tcPr>
          <w:p w14:paraId="40819D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07" w:type="dxa"/>
            <w:tcBorders>
              <w:top w:val="nil"/>
              <w:left w:val="nil"/>
              <w:bottom w:val="nil"/>
              <w:right w:val="nil"/>
            </w:tcBorders>
            <w:shd w:val="clear" w:color="auto" w:fill="auto"/>
            <w:noWrap/>
            <w:vAlign w:val="bottom"/>
            <w:hideMark/>
          </w:tcPr>
          <w:p w14:paraId="47906F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923" w:type="dxa"/>
            <w:tcBorders>
              <w:top w:val="nil"/>
              <w:left w:val="nil"/>
              <w:bottom w:val="nil"/>
              <w:right w:val="nil"/>
            </w:tcBorders>
            <w:shd w:val="clear" w:color="auto" w:fill="auto"/>
            <w:noWrap/>
            <w:vAlign w:val="bottom"/>
            <w:hideMark/>
          </w:tcPr>
          <w:p w14:paraId="0B1E2E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1FFCA0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87" w:type="dxa"/>
            <w:tcBorders>
              <w:top w:val="nil"/>
              <w:left w:val="nil"/>
              <w:bottom w:val="nil"/>
              <w:right w:val="nil"/>
            </w:tcBorders>
            <w:shd w:val="clear" w:color="auto" w:fill="auto"/>
            <w:noWrap/>
            <w:vAlign w:val="bottom"/>
            <w:hideMark/>
          </w:tcPr>
          <w:p w14:paraId="39AA433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B623D57" w14:textId="77777777" w:rsidTr="00ED0631">
        <w:trPr>
          <w:trHeight w:val="315"/>
        </w:trPr>
        <w:tc>
          <w:tcPr>
            <w:tcW w:w="1630" w:type="dxa"/>
            <w:tcBorders>
              <w:top w:val="nil"/>
              <w:left w:val="nil"/>
              <w:bottom w:val="nil"/>
              <w:right w:val="nil"/>
            </w:tcBorders>
            <w:shd w:val="clear" w:color="auto" w:fill="auto"/>
            <w:noWrap/>
            <w:vAlign w:val="bottom"/>
            <w:hideMark/>
          </w:tcPr>
          <w:p w14:paraId="009AB0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07" w:type="dxa"/>
            <w:tcBorders>
              <w:top w:val="nil"/>
              <w:left w:val="nil"/>
              <w:bottom w:val="nil"/>
              <w:right w:val="nil"/>
            </w:tcBorders>
            <w:shd w:val="clear" w:color="auto" w:fill="auto"/>
            <w:noWrap/>
            <w:vAlign w:val="bottom"/>
            <w:hideMark/>
          </w:tcPr>
          <w:p w14:paraId="497AE9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0B4D44E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2E58B7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1C91AB3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C1C5031" w14:textId="77777777" w:rsidTr="00ED0631">
        <w:trPr>
          <w:trHeight w:val="315"/>
        </w:trPr>
        <w:tc>
          <w:tcPr>
            <w:tcW w:w="1630" w:type="dxa"/>
            <w:tcBorders>
              <w:top w:val="nil"/>
              <w:left w:val="nil"/>
              <w:bottom w:val="nil"/>
              <w:right w:val="nil"/>
            </w:tcBorders>
            <w:shd w:val="clear" w:color="auto" w:fill="auto"/>
            <w:noWrap/>
            <w:vAlign w:val="bottom"/>
            <w:hideMark/>
          </w:tcPr>
          <w:p w14:paraId="22D7FC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07" w:type="dxa"/>
            <w:tcBorders>
              <w:top w:val="nil"/>
              <w:left w:val="nil"/>
              <w:bottom w:val="nil"/>
              <w:right w:val="nil"/>
            </w:tcBorders>
            <w:shd w:val="clear" w:color="auto" w:fill="auto"/>
            <w:noWrap/>
            <w:vAlign w:val="bottom"/>
            <w:hideMark/>
          </w:tcPr>
          <w:p w14:paraId="53069E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3FF19F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87" w:type="dxa"/>
            <w:tcBorders>
              <w:top w:val="nil"/>
              <w:left w:val="nil"/>
              <w:bottom w:val="nil"/>
              <w:right w:val="nil"/>
            </w:tcBorders>
            <w:shd w:val="clear" w:color="auto" w:fill="auto"/>
            <w:noWrap/>
            <w:vAlign w:val="bottom"/>
            <w:hideMark/>
          </w:tcPr>
          <w:p w14:paraId="337ABF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87" w:type="dxa"/>
            <w:tcBorders>
              <w:top w:val="nil"/>
              <w:left w:val="nil"/>
              <w:bottom w:val="nil"/>
              <w:right w:val="nil"/>
            </w:tcBorders>
            <w:shd w:val="clear" w:color="auto" w:fill="auto"/>
            <w:noWrap/>
            <w:vAlign w:val="bottom"/>
            <w:hideMark/>
          </w:tcPr>
          <w:p w14:paraId="0707AA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7CF5619A" w14:textId="77777777" w:rsidTr="00ED0631">
        <w:trPr>
          <w:trHeight w:val="315"/>
        </w:trPr>
        <w:tc>
          <w:tcPr>
            <w:tcW w:w="1630" w:type="dxa"/>
            <w:tcBorders>
              <w:top w:val="nil"/>
              <w:left w:val="nil"/>
              <w:bottom w:val="nil"/>
              <w:right w:val="nil"/>
            </w:tcBorders>
            <w:shd w:val="clear" w:color="auto" w:fill="auto"/>
            <w:noWrap/>
            <w:vAlign w:val="bottom"/>
            <w:hideMark/>
          </w:tcPr>
          <w:p w14:paraId="753D3E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07" w:type="dxa"/>
            <w:tcBorders>
              <w:top w:val="nil"/>
              <w:left w:val="nil"/>
              <w:bottom w:val="nil"/>
              <w:right w:val="nil"/>
            </w:tcBorders>
            <w:shd w:val="clear" w:color="auto" w:fill="auto"/>
            <w:noWrap/>
            <w:vAlign w:val="bottom"/>
            <w:hideMark/>
          </w:tcPr>
          <w:p w14:paraId="49A486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923" w:type="dxa"/>
            <w:tcBorders>
              <w:top w:val="nil"/>
              <w:left w:val="nil"/>
              <w:bottom w:val="nil"/>
              <w:right w:val="nil"/>
            </w:tcBorders>
            <w:shd w:val="clear" w:color="auto" w:fill="auto"/>
            <w:noWrap/>
            <w:vAlign w:val="bottom"/>
            <w:hideMark/>
          </w:tcPr>
          <w:p w14:paraId="47D846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87" w:type="dxa"/>
            <w:tcBorders>
              <w:top w:val="nil"/>
              <w:left w:val="nil"/>
              <w:bottom w:val="nil"/>
              <w:right w:val="nil"/>
            </w:tcBorders>
            <w:shd w:val="clear" w:color="auto" w:fill="auto"/>
            <w:noWrap/>
            <w:vAlign w:val="bottom"/>
            <w:hideMark/>
          </w:tcPr>
          <w:p w14:paraId="4F1E1C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87" w:type="dxa"/>
            <w:tcBorders>
              <w:top w:val="nil"/>
              <w:left w:val="nil"/>
              <w:bottom w:val="nil"/>
              <w:right w:val="nil"/>
            </w:tcBorders>
            <w:shd w:val="clear" w:color="auto" w:fill="auto"/>
            <w:noWrap/>
            <w:vAlign w:val="bottom"/>
            <w:hideMark/>
          </w:tcPr>
          <w:p w14:paraId="512E6C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55E4F70B" w14:textId="77777777" w:rsidTr="00ED0631">
        <w:trPr>
          <w:trHeight w:val="315"/>
        </w:trPr>
        <w:tc>
          <w:tcPr>
            <w:tcW w:w="1630" w:type="dxa"/>
            <w:tcBorders>
              <w:top w:val="nil"/>
              <w:left w:val="nil"/>
              <w:bottom w:val="nil"/>
              <w:right w:val="nil"/>
            </w:tcBorders>
            <w:shd w:val="clear" w:color="auto" w:fill="auto"/>
            <w:noWrap/>
            <w:vAlign w:val="bottom"/>
            <w:hideMark/>
          </w:tcPr>
          <w:p w14:paraId="6CAE5A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07" w:type="dxa"/>
            <w:tcBorders>
              <w:top w:val="nil"/>
              <w:left w:val="nil"/>
              <w:bottom w:val="nil"/>
              <w:right w:val="nil"/>
            </w:tcBorders>
            <w:shd w:val="clear" w:color="auto" w:fill="auto"/>
            <w:noWrap/>
            <w:vAlign w:val="bottom"/>
            <w:hideMark/>
          </w:tcPr>
          <w:p w14:paraId="77D060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10137C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87" w:type="dxa"/>
            <w:tcBorders>
              <w:top w:val="nil"/>
              <w:left w:val="nil"/>
              <w:bottom w:val="nil"/>
              <w:right w:val="nil"/>
            </w:tcBorders>
            <w:shd w:val="clear" w:color="auto" w:fill="auto"/>
            <w:noWrap/>
            <w:vAlign w:val="bottom"/>
            <w:hideMark/>
          </w:tcPr>
          <w:p w14:paraId="568CA4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587" w:type="dxa"/>
            <w:tcBorders>
              <w:top w:val="nil"/>
              <w:left w:val="nil"/>
              <w:bottom w:val="nil"/>
              <w:right w:val="nil"/>
            </w:tcBorders>
            <w:shd w:val="clear" w:color="auto" w:fill="auto"/>
            <w:noWrap/>
            <w:vAlign w:val="bottom"/>
            <w:hideMark/>
          </w:tcPr>
          <w:p w14:paraId="6C88C4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736711C" w14:textId="77777777" w:rsidTr="00ED0631">
        <w:trPr>
          <w:trHeight w:val="315"/>
        </w:trPr>
        <w:tc>
          <w:tcPr>
            <w:tcW w:w="1630" w:type="dxa"/>
            <w:tcBorders>
              <w:top w:val="nil"/>
              <w:left w:val="nil"/>
              <w:bottom w:val="nil"/>
              <w:right w:val="nil"/>
            </w:tcBorders>
            <w:shd w:val="clear" w:color="auto" w:fill="auto"/>
            <w:noWrap/>
            <w:vAlign w:val="bottom"/>
            <w:hideMark/>
          </w:tcPr>
          <w:p w14:paraId="4BE652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07" w:type="dxa"/>
            <w:tcBorders>
              <w:top w:val="nil"/>
              <w:left w:val="nil"/>
              <w:bottom w:val="nil"/>
              <w:right w:val="nil"/>
            </w:tcBorders>
            <w:shd w:val="clear" w:color="auto" w:fill="auto"/>
            <w:noWrap/>
            <w:vAlign w:val="bottom"/>
            <w:hideMark/>
          </w:tcPr>
          <w:p w14:paraId="5DFE0C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762A462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4ED132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4A81F8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5284DA97" w14:textId="77777777" w:rsidTr="00ED0631">
        <w:trPr>
          <w:trHeight w:val="315"/>
        </w:trPr>
        <w:tc>
          <w:tcPr>
            <w:tcW w:w="1630" w:type="dxa"/>
            <w:tcBorders>
              <w:top w:val="nil"/>
              <w:left w:val="nil"/>
              <w:bottom w:val="nil"/>
              <w:right w:val="nil"/>
            </w:tcBorders>
            <w:shd w:val="clear" w:color="auto" w:fill="auto"/>
            <w:noWrap/>
            <w:vAlign w:val="bottom"/>
            <w:hideMark/>
          </w:tcPr>
          <w:p w14:paraId="7E9E2C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07" w:type="dxa"/>
            <w:tcBorders>
              <w:top w:val="nil"/>
              <w:left w:val="nil"/>
              <w:bottom w:val="nil"/>
              <w:right w:val="nil"/>
            </w:tcBorders>
            <w:shd w:val="clear" w:color="auto" w:fill="auto"/>
            <w:noWrap/>
            <w:vAlign w:val="bottom"/>
            <w:hideMark/>
          </w:tcPr>
          <w:p w14:paraId="150C78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28 </w:t>
            </w:r>
          </w:p>
        </w:tc>
        <w:tc>
          <w:tcPr>
            <w:tcW w:w="1923" w:type="dxa"/>
            <w:tcBorders>
              <w:top w:val="nil"/>
              <w:left w:val="nil"/>
              <w:bottom w:val="nil"/>
              <w:right w:val="nil"/>
            </w:tcBorders>
            <w:shd w:val="clear" w:color="auto" w:fill="auto"/>
            <w:noWrap/>
            <w:vAlign w:val="bottom"/>
            <w:hideMark/>
          </w:tcPr>
          <w:p w14:paraId="1A8A576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387" w:type="dxa"/>
            <w:tcBorders>
              <w:top w:val="nil"/>
              <w:left w:val="nil"/>
              <w:bottom w:val="nil"/>
              <w:right w:val="nil"/>
            </w:tcBorders>
            <w:shd w:val="clear" w:color="auto" w:fill="auto"/>
            <w:noWrap/>
            <w:vAlign w:val="bottom"/>
            <w:hideMark/>
          </w:tcPr>
          <w:p w14:paraId="4847ED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57 </w:t>
            </w:r>
          </w:p>
        </w:tc>
        <w:tc>
          <w:tcPr>
            <w:tcW w:w="1587" w:type="dxa"/>
            <w:tcBorders>
              <w:top w:val="nil"/>
              <w:left w:val="nil"/>
              <w:bottom w:val="nil"/>
              <w:right w:val="nil"/>
            </w:tcBorders>
            <w:shd w:val="clear" w:color="auto" w:fill="auto"/>
            <w:noWrap/>
            <w:vAlign w:val="bottom"/>
            <w:hideMark/>
          </w:tcPr>
          <w:p w14:paraId="0A7F58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2BA08D98" w14:textId="77777777" w:rsidTr="00ED0631">
        <w:trPr>
          <w:trHeight w:val="315"/>
        </w:trPr>
        <w:tc>
          <w:tcPr>
            <w:tcW w:w="1630" w:type="dxa"/>
            <w:tcBorders>
              <w:top w:val="nil"/>
              <w:left w:val="nil"/>
              <w:bottom w:val="single" w:sz="4" w:space="0" w:color="auto"/>
              <w:right w:val="nil"/>
            </w:tcBorders>
            <w:shd w:val="clear" w:color="auto" w:fill="auto"/>
            <w:noWrap/>
            <w:vAlign w:val="bottom"/>
            <w:hideMark/>
          </w:tcPr>
          <w:p w14:paraId="4DC2AB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07" w:type="dxa"/>
            <w:tcBorders>
              <w:top w:val="nil"/>
              <w:left w:val="nil"/>
              <w:bottom w:val="nil"/>
              <w:right w:val="nil"/>
            </w:tcBorders>
            <w:shd w:val="clear" w:color="auto" w:fill="auto"/>
            <w:noWrap/>
            <w:vAlign w:val="bottom"/>
            <w:hideMark/>
          </w:tcPr>
          <w:p w14:paraId="4028BD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923" w:type="dxa"/>
            <w:tcBorders>
              <w:top w:val="nil"/>
              <w:left w:val="nil"/>
              <w:bottom w:val="nil"/>
              <w:right w:val="nil"/>
            </w:tcBorders>
            <w:shd w:val="clear" w:color="auto" w:fill="auto"/>
            <w:noWrap/>
            <w:vAlign w:val="bottom"/>
            <w:hideMark/>
          </w:tcPr>
          <w:p w14:paraId="75EE750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580CC6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7D2C680C"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0494D39" w14:textId="77777777" w:rsidTr="00ED0631">
        <w:trPr>
          <w:trHeight w:val="315"/>
        </w:trPr>
        <w:tc>
          <w:tcPr>
            <w:tcW w:w="1630" w:type="dxa"/>
            <w:tcBorders>
              <w:top w:val="nil"/>
              <w:left w:val="nil"/>
              <w:bottom w:val="single" w:sz="4" w:space="0" w:color="auto"/>
              <w:right w:val="nil"/>
            </w:tcBorders>
            <w:shd w:val="clear" w:color="auto" w:fill="auto"/>
            <w:noWrap/>
            <w:vAlign w:val="bottom"/>
            <w:hideMark/>
          </w:tcPr>
          <w:p w14:paraId="4964D6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07" w:type="dxa"/>
            <w:tcBorders>
              <w:top w:val="single" w:sz="4" w:space="0" w:color="auto"/>
              <w:left w:val="nil"/>
              <w:bottom w:val="single" w:sz="4" w:space="0" w:color="auto"/>
              <w:right w:val="nil"/>
            </w:tcBorders>
            <w:shd w:val="clear" w:color="auto" w:fill="auto"/>
            <w:noWrap/>
            <w:vAlign w:val="bottom"/>
            <w:hideMark/>
          </w:tcPr>
          <w:p w14:paraId="3C78C9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62 </w:t>
            </w:r>
          </w:p>
        </w:tc>
        <w:tc>
          <w:tcPr>
            <w:tcW w:w="1923" w:type="dxa"/>
            <w:tcBorders>
              <w:top w:val="single" w:sz="4" w:space="0" w:color="auto"/>
              <w:left w:val="nil"/>
              <w:bottom w:val="single" w:sz="4" w:space="0" w:color="auto"/>
              <w:right w:val="nil"/>
            </w:tcBorders>
            <w:shd w:val="clear" w:color="auto" w:fill="auto"/>
            <w:noWrap/>
            <w:vAlign w:val="bottom"/>
            <w:hideMark/>
          </w:tcPr>
          <w:p w14:paraId="00E453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31 </w:t>
            </w:r>
          </w:p>
        </w:tc>
        <w:tc>
          <w:tcPr>
            <w:tcW w:w="1387" w:type="dxa"/>
            <w:tcBorders>
              <w:top w:val="single" w:sz="4" w:space="0" w:color="auto"/>
              <w:left w:val="nil"/>
              <w:bottom w:val="single" w:sz="4" w:space="0" w:color="auto"/>
              <w:right w:val="nil"/>
            </w:tcBorders>
            <w:shd w:val="clear" w:color="auto" w:fill="auto"/>
            <w:noWrap/>
            <w:vAlign w:val="bottom"/>
            <w:hideMark/>
          </w:tcPr>
          <w:p w14:paraId="525DEB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90 </w:t>
            </w:r>
          </w:p>
        </w:tc>
        <w:tc>
          <w:tcPr>
            <w:tcW w:w="1587" w:type="dxa"/>
            <w:tcBorders>
              <w:top w:val="single" w:sz="4" w:space="0" w:color="auto"/>
              <w:left w:val="nil"/>
              <w:bottom w:val="single" w:sz="4" w:space="0" w:color="auto"/>
              <w:right w:val="nil"/>
            </w:tcBorders>
            <w:shd w:val="clear" w:color="auto" w:fill="auto"/>
            <w:noWrap/>
            <w:vAlign w:val="bottom"/>
            <w:hideMark/>
          </w:tcPr>
          <w:p w14:paraId="781A9E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r>
    </w:tbl>
    <w:p w14:paraId="072447F8"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5E9BAC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11: Number of teachers rating their English improvement by island type</w:t>
      </w:r>
    </w:p>
    <w:tbl>
      <w:tblPr>
        <w:tblW w:w="7446" w:type="dxa"/>
        <w:tblInd w:w="93" w:type="dxa"/>
        <w:tblLook w:val="04A0" w:firstRow="1" w:lastRow="0" w:firstColumn="1" w:lastColumn="0" w:noHBand="0" w:noVBand="1"/>
      </w:tblPr>
      <w:tblGrid>
        <w:gridCol w:w="1242"/>
        <w:gridCol w:w="1307"/>
        <w:gridCol w:w="1923"/>
        <w:gridCol w:w="1387"/>
        <w:gridCol w:w="1587"/>
      </w:tblGrid>
      <w:tr w:rsidR="00AC362E" w:rsidRPr="00491EF1" w14:paraId="69278409"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42AF3B49"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578234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3935B7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5CD61A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1CC5BE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2749A236"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2C0133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07" w:type="dxa"/>
            <w:tcBorders>
              <w:top w:val="nil"/>
              <w:left w:val="nil"/>
              <w:bottom w:val="nil"/>
              <w:right w:val="nil"/>
            </w:tcBorders>
            <w:shd w:val="clear" w:color="auto" w:fill="auto"/>
            <w:noWrap/>
            <w:vAlign w:val="bottom"/>
            <w:hideMark/>
          </w:tcPr>
          <w:p w14:paraId="452919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 </w:t>
            </w:r>
          </w:p>
        </w:tc>
        <w:tc>
          <w:tcPr>
            <w:tcW w:w="1923" w:type="dxa"/>
            <w:tcBorders>
              <w:top w:val="nil"/>
              <w:left w:val="nil"/>
              <w:bottom w:val="nil"/>
              <w:right w:val="nil"/>
            </w:tcBorders>
            <w:shd w:val="clear" w:color="auto" w:fill="auto"/>
            <w:noWrap/>
            <w:vAlign w:val="bottom"/>
            <w:hideMark/>
          </w:tcPr>
          <w:p w14:paraId="54B56B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387" w:type="dxa"/>
            <w:tcBorders>
              <w:top w:val="nil"/>
              <w:left w:val="nil"/>
              <w:bottom w:val="nil"/>
              <w:right w:val="nil"/>
            </w:tcBorders>
            <w:shd w:val="clear" w:color="auto" w:fill="auto"/>
            <w:noWrap/>
            <w:vAlign w:val="bottom"/>
            <w:hideMark/>
          </w:tcPr>
          <w:p w14:paraId="4EE981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28 </w:t>
            </w:r>
          </w:p>
        </w:tc>
        <w:tc>
          <w:tcPr>
            <w:tcW w:w="1587" w:type="dxa"/>
            <w:tcBorders>
              <w:top w:val="nil"/>
              <w:left w:val="nil"/>
              <w:bottom w:val="nil"/>
              <w:right w:val="nil"/>
            </w:tcBorders>
            <w:shd w:val="clear" w:color="auto" w:fill="auto"/>
            <w:noWrap/>
            <w:vAlign w:val="bottom"/>
            <w:hideMark/>
          </w:tcPr>
          <w:p w14:paraId="6F0ED6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3AC6B183" w14:textId="77777777" w:rsidTr="00ED0631">
        <w:trPr>
          <w:trHeight w:val="315"/>
        </w:trPr>
        <w:tc>
          <w:tcPr>
            <w:tcW w:w="1242" w:type="dxa"/>
            <w:tcBorders>
              <w:top w:val="nil"/>
              <w:left w:val="nil"/>
              <w:bottom w:val="nil"/>
              <w:right w:val="nil"/>
            </w:tcBorders>
            <w:shd w:val="clear" w:color="auto" w:fill="auto"/>
            <w:noWrap/>
            <w:vAlign w:val="bottom"/>
            <w:hideMark/>
          </w:tcPr>
          <w:p w14:paraId="4EE0B4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07" w:type="dxa"/>
            <w:tcBorders>
              <w:top w:val="nil"/>
              <w:left w:val="nil"/>
              <w:bottom w:val="nil"/>
              <w:right w:val="nil"/>
            </w:tcBorders>
            <w:shd w:val="clear" w:color="auto" w:fill="auto"/>
            <w:noWrap/>
            <w:vAlign w:val="bottom"/>
            <w:hideMark/>
          </w:tcPr>
          <w:p w14:paraId="1D6941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923" w:type="dxa"/>
            <w:tcBorders>
              <w:top w:val="nil"/>
              <w:left w:val="nil"/>
              <w:bottom w:val="nil"/>
              <w:right w:val="nil"/>
            </w:tcBorders>
            <w:shd w:val="clear" w:color="auto" w:fill="auto"/>
            <w:noWrap/>
            <w:vAlign w:val="bottom"/>
            <w:hideMark/>
          </w:tcPr>
          <w:p w14:paraId="6A039E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87" w:type="dxa"/>
            <w:tcBorders>
              <w:top w:val="nil"/>
              <w:left w:val="nil"/>
              <w:bottom w:val="nil"/>
              <w:right w:val="nil"/>
            </w:tcBorders>
            <w:shd w:val="clear" w:color="auto" w:fill="auto"/>
            <w:noWrap/>
            <w:vAlign w:val="bottom"/>
            <w:hideMark/>
          </w:tcPr>
          <w:p w14:paraId="27F1DD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587" w:type="dxa"/>
            <w:tcBorders>
              <w:top w:val="nil"/>
              <w:left w:val="nil"/>
              <w:bottom w:val="nil"/>
              <w:right w:val="nil"/>
            </w:tcBorders>
            <w:shd w:val="clear" w:color="auto" w:fill="auto"/>
            <w:noWrap/>
            <w:vAlign w:val="bottom"/>
            <w:hideMark/>
          </w:tcPr>
          <w:p w14:paraId="04D001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6FAB7F45" w14:textId="77777777" w:rsidTr="00ED0631">
        <w:trPr>
          <w:trHeight w:val="315"/>
        </w:trPr>
        <w:tc>
          <w:tcPr>
            <w:tcW w:w="1242" w:type="dxa"/>
            <w:tcBorders>
              <w:top w:val="nil"/>
              <w:left w:val="nil"/>
              <w:bottom w:val="nil"/>
              <w:right w:val="nil"/>
            </w:tcBorders>
            <w:shd w:val="clear" w:color="auto" w:fill="auto"/>
            <w:noWrap/>
            <w:vAlign w:val="bottom"/>
            <w:hideMark/>
          </w:tcPr>
          <w:p w14:paraId="7394C6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07" w:type="dxa"/>
            <w:tcBorders>
              <w:top w:val="nil"/>
              <w:left w:val="nil"/>
              <w:bottom w:val="nil"/>
              <w:right w:val="nil"/>
            </w:tcBorders>
            <w:shd w:val="clear" w:color="auto" w:fill="auto"/>
            <w:noWrap/>
            <w:vAlign w:val="bottom"/>
            <w:hideMark/>
          </w:tcPr>
          <w:p w14:paraId="2D8F38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28 </w:t>
            </w:r>
          </w:p>
        </w:tc>
        <w:tc>
          <w:tcPr>
            <w:tcW w:w="1923" w:type="dxa"/>
            <w:tcBorders>
              <w:top w:val="nil"/>
              <w:left w:val="nil"/>
              <w:bottom w:val="nil"/>
              <w:right w:val="nil"/>
            </w:tcBorders>
            <w:shd w:val="clear" w:color="auto" w:fill="auto"/>
            <w:noWrap/>
            <w:vAlign w:val="bottom"/>
            <w:hideMark/>
          </w:tcPr>
          <w:p w14:paraId="6A8A60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387" w:type="dxa"/>
            <w:tcBorders>
              <w:top w:val="nil"/>
              <w:left w:val="nil"/>
              <w:bottom w:val="nil"/>
              <w:right w:val="nil"/>
            </w:tcBorders>
            <w:shd w:val="clear" w:color="auto" w:fill="auto"/>
            <w:noWrap/>
            <w:vAlign w:val="bottom"/>
            <w:hideMark/>
          </w:tcPr>
          <w:p w14:paraId="5994F0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57 </w:t>
            </w:r>
          </w:p>
        </w:tc>
        <w:tc>
          <w:tcPr>
            <w:tcW w:w="1587" w:type="dxa"/>
            <w:tcBorders>
              <w:top w:val="nil"/>
              <w:left w:val="nil"/>
              <w:bottom w:val="nil"/>
              <w:right w:val="nil"/>
            </w:tcBorders>
            <w:shd w:val="clear" w:color="auto" w:fill="auto"/>
            <w:noWrap/>
            <w:vAlign w:val="bottom"/>
            <w:hideMark/>
          </w:tcPr>
          <w:p w14:paraId="41DA52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177DFE27"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213E76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07" w:type="dxa"/>
            <w:tcBorders>
              <w:top w:val="single" w:sz="4" w:space="0" w:color="auto"/>
              <w:left w:val="nil"/>
              <w:bottom w:val="single" w:sz="4" w:space="0" w:color="auto"/>
              <w:right w:val="nil"/>
            </w:tcBorders>
            <w:shd w:val="clear" w:color="auto" w:fill="auto"/>
            <w:noWrap/>
            <w:vAlign w:val="bottom"/>
            <w:hideMark/>
          </w:tcPr>
          <w:p w14:paraId="746700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62 </w:t>
            </w:r>
          </w:p>
        </w:tc>
        <w:tc>
          <w:tcPr>
            <w:tcW w:w="1923" w:type="dxa"/>
            <w:tcBorders>
              <w:top w:val="single" w:sz="4" w:space="0" w:color="auto"/>
              <w:left w:val="nil"/>
              <w:bottom w:val="single" w:sz="4" w:space="0" w:color="auto"/>
              <w:right w:val="nil"/>
            </w:tcBorders>
            <w:shd w:val="clear" w:color="auto" w:fill="auto"/>
            <w:noWrap/>
            <w:vAlign w:val="bottom"/>
            <w:hideMark/>
          </w:tcPr>
          <w:p w14:paraId="2E8B2A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31 </w:t>
            </w:r>
          </w:p>
        </w:tc>
        <w:tc>
          <w:tcPr>
            <w:tcW w:w="1387" w:type="dxa"/>
            <w:tcBorders>
              <w:top w:val="single" w:sz="4" w:space="0" w:color="auto"/>
              <w:left w:val="nil"/>
              <w:bottom w:val="single" w:sz="4" w:space="0" w:color="auto"/>
              <w:right w:val="nil"/>
            </w:tcBorders>
            <w:shd w:val="clear" w:color="auto" w:fill="auto"/>
            <w:noWrap/>
            <w:vAlign w:val="bottom"/>
            <w:hideMark/>
          </w:tcPr>
          <w:p w14:paraId="2BF328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90 </w:t>
            </w:r>
          </w:p>
        </w:tc>
        <w:tc>
          <w:tcPr>
            <w:tcW w:w="1587" w:type="dxa"/>
            <w:tcBorders>
              <w:top w:val="single" w:sz="4" w:space="0" w:color="auto"/>
              <w:left w:val="nil"/>
              <w:bottom w:val="single" w:sz="4" w:space="0" w:color="auto"/>
              <w:right w:val="nil"/>
            </w:tcBorders>
            <w:shd w:val="clear" w:color="auto" w:fill="auto"/>
            <w:noWrap/>
            <w:vAlign w:val="bottom"/>
            <w:hideMark/>
          </w:tcPr>
          <w:p w14:paraId="2A54EF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r>
    </w:tbl>
    <w:p w14:paraId="578BE580"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12: Average SL-Teacher engagement time (min) in the last 10 days by island</w:t>
      </w:r>
    </w:p>
    <w:tbl>
      <w:tblPr>
        <w:tblW w:w="9688" w:type="dxa"/>
        <w:tblInd w:w="93" w:type="dxa"/>
        <w:tblLook w:val="04A0" w:firstRow="1" w:lastRow="0" w:firstColumn="1" w:lastColumn="0" w:noHBand="0" w:noVBand="1"/>
      </w:tblPr>
      <w:tblGrid>
        <w:gridCol w:w="1871"/>
        <w:gridCol w:w="1498"/>
        <w:gridCol w:w="1229"/>
        <w:gridCol w:w="1229"/>
        <w:gridCol w:w="1520"/>
        <w:gridCol w:w="1373"/>
        <w:gridCol w:w="968"/>
      </w:tblGrid>
      <w:tr w:rsidR="00AC362E" w:rsidRPr="00491EF1" w14:paraId="0B69755D" w14:textId="77777777" w:rsidTr="00ED0631">
        <w:trPr>
          <w:trHeight w:val="315"/>
        </w:trPr>
        <w:tc>
          <w:tcPr>
            <w:tcW w:w="1871" w:type="dxa"/>
            <w:tcBorders>
              <w:top w:val="single" w:sz="4" w:space="0" w:color="auto"/>
              <w:left w:val="nil"/>
              <w:bottom w:val="single" w:sz="4" w:space="0" w:color="auto"/>
              <w:right w:val="nil"/>
            </w:tcBorders>
            <w:shd w:val="clear" w:color="auto" w:fill="auto"/>
            <w:noWrap/>
            <w:vAlign w:val="bottom"/>
            <w:hideMark/>
          </w:tcPr>
          <w:p w14:paraId="2CF0365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498" w:type="dxa"/>
            <w:tcBorders>
              <w:top w:val="single" w:sz="4" w:space="0" w:color="auto"/>
              <w:left w:val="nil"/>
              <w:bottom w:val="single" w:sz="4" w:space="0" w:color="auto"/>
              <w:right w:val="nil"/>
            </w:tcBorders>
            <w:shd w:val="clear" w:color="auto" w:fill="auto"/>
            <w:noWrap/>
            <w:vAlign w:val="bottom"/>
            <w:hideMark/>
          </w:tcPr>
          <w:p w14:paraId="166195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Performance </w:t>
            </w:r>
          </w:p>
        </w:tc>
        <w:tc>
          <w:tcPr>
            <w:tcW w:w="1229" w:type="dxa"/>
            <w:tcBorders>
              <w:top w:val="single" w:sz="4" w:space="0" w:color="auto"/>
              <w:left w:val="nil"/>
              <w:bottom w:val="single" w:sz="4" w:space="0" w:color="auto"/>
              <w:right w:val="nil"/>
            </w:tcBorders>
            <w:shd w:val="clear" w:color="auto" w:fill="auto"/>
            <w:noWrap/>
            <w:vAlign w:val="bottom"/>
            <w:hideMark/>
          </w:tcPr>
          <w:p w14:paraId="38AF41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Class mmt </w:t>
            </w:r>
          </w:p>
        </w:tc>
        <w:tc>
          <w:tcPr>
            <w:tcW w:w="1229" w:type="dxa"/>
            <w:tcBorders>
              <w:top w:val="single" w:sz="4" w:space="0" w:color="auto"/>
              <w:left w:val="nil"/>
              <w:bottom w:val="single" w:sz="4" w:space="0" w:color="auto"/>
              <w:right w:val="nil"/>
            </w:tcBorders>
            <w:shd w:val="clear" w:color="auto" w:fill="auto"/>
            <w:noWrap/>
            <w:vAlign w:val="bottom"/>
            <w:hideMark/>
          </w:tcPr>
          <w:p w14:paraId="3672CA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Conduct </w:t>
            </w:r>
          </w:p>
        </w:tc>
        <w:tc>
          <w:tcPr>
            <w:tcW w:w="1520" w:type="dxa"/>
            <w:tcBorders>
              <w:top w:val="single" w:sz="4" w:space="0" w:color="auto"/>
              <w:left w:val="nil"/>
              <w:bottom w:val="single" w:sz="4" w:space="0" w:color="auto"/>
              <w:right w:val="nil"/>
            </w:tcBorders>
            <w:shd w:val="clear" w:color="auto" w:fill="auto"/>
            <w:noWrap/>
            <w:vAlign w:val="bottom"/>
            <w:hideMark/>
          </w:tcPr>
          <w:p w14:paraId="6CC378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Lession Plans </w:t>
            </w:r>
          </w:p>
        </w:tc>
        <w:tc>
          <w:tcPr>
            <w:tcW w:w="1373" w:type="dxa"/>
            <w:tcBorders>
              <w:top w:val="single" w:sz="4" w:space="0" w:color="auto"/>
              <w:left w:val="nil"/>
              <w:bottom w:val="single" w:sz="4" w:space="0" w:color="auto"/>
              <w:right w:val="nil"/>
            </w:tcBorders>
            <w:shd w:val="clear" w:color="auto" w:fill="auto"/>
            <w:noWrap/>
            <w:vAlign w:val="bottom"/>
            <w:hideMark/>
          </w:tcPr>
          <w:p w14:paraId="22047A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Assessment </w:t>
            </w:r>
          </w:p>
        </w:tc>
        <w:tc>
          <w:tcPr>
            <w:tcW w:w="968" w:type="dxa"/>
            <w:tcBorders>
              <w:top w:val="single" w:sz="4" w:space="0" w:color="auto"/>
              <w:left w:val="nil"/>
              <w:bottom w:val="single" w:sz="4" w:space="0" w:color="auto"/>
              <w:right w:val="nil"/>
            </w:tcBorders>
            <w:shd w:val="clear" w:color="auto" w:fill="auto"/>
            <w:noWrap/>
            <w:vAlign w:val="bottom"/>
            <w:hideMark/>
          </w:tcPr>
          <w:p w14:paraId="20D44B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Better teacher </w:t>
            </w:r>
          </w:p>
        </w:tc>
      </w:tr>
      <w:tr w:rsidR="00AC362E" w:rsidRPr="00491EF1" w14:paraId="2CB43A77" w14:textId="77777777" w:rsidTr="00ED0631">
        <w:trPr>
          <w:trHeight w:val="315"/>
        </w:trPr>
        <w:tc>
          <w:tcPr>
            <w:tcW w:w="1871" w:type="dxa"/>
            <w:tcBorders>
              <w:top w:val="nil"/>
              <w:left w:val="nil"/>
              <w:bottom w:val="nil"/>
              <w:right w:val="nil"/>
            </w:tcBorders>
            <w:shd w:val="clear" w:color="auto" w:fill="auto"/>
            <w:noWrap/>
            <w:vAlign w:val="bottom"/>
            <w:hideMark/>
          </w:tcPr>
          <w:p w14:paraId="67C828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Abaiang </w:t>
            </w:r>
          </w:p>
        </w:tc>
        <w:tc>
          <w:tcPr>
            <w:tcW w:w="1498" w:type="dxa"/>
            <w:tcBorders>
              <w:top w:val="nil"/>
              <w:left w:val="nil"/>
              <w:bottom w:val="nil"/>
              <w:right w:val="nil"/>
            </w:tcBorders>
            <w:shd w:val="clear" w:color="auto" w:fill="auto"/>
            <w:noWrap/>
            <w:vAlign w:val="bottom"/>
            <w:hideMark/>
          </w:tcPr>
          <w:p w14:paraId="04B3A9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34.6 </w:t>
            </w:r>
          </w:p>
        </w:tc>
        <w:tc>
          <w:tcPr>
            <w:tcW w:w="1229" w:type="dxa"/>
            <w:tcBorders>
              <w:top w:val="nil"/>
              <w:left w:val="nil"/>
              <w:bottom w:val="nil"/>
              <w:right w:val="nil"/>
            </w:tcBorders>
            <w:shd w:val="clear" w:color="auto" w:fill="auto"/>
            <w:noWrap/>
            <w:vAlign w:val="bottom"/>
            <w:hideMark/>
          </w:tcPr>
          <w:p w14:paraId="7B7C2B0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15.3 </w:t>
            </w:r>
          </w:p>
        </w:tc>
        <w:tc>
          <w:tcPr>
            <w:tcW w:w="1229" w:type="dxa"/>
            <w:tcBorders>
              <w:top w:val="nil"/>
              <w:left w:val="nil"/>
              <w:bottom w:val="nil"/>
              <w:right w:val="nil"/>
            </w:tcBorders>
            <w:shd w:val="clear" w:color="auto" w:fill="auto"/>
            <w:noWrap/>
            <w:vAlign w:val="bottom"/>
            <w:hideMark/>
          </w:tcPr>
          <w:p w14:paraId="658AF3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13.1 </w:t>
            </w:r>
          </w:p>
        </w:tc>
        <w:tc>
          <w:tcPr>
            <w:tcW w:w="1520" w:type="dxa"/>
            <w:tcBorders>
              <w:top w:val="nil"/>
              <w:left w:val="nil"/>
              <w:bottom w:val="nil"/>
              <w:right w:val="nil"/>
            </w:tcBorders>
            <w:shd w:val="clear" w:color="auto" w:fill="auto"/>
            <w:noWrap/>
            <w:vAlign w:val="bottom"/>
            <w:hideMark/>
          </w:tcPr>
          <w:p w14:paraId="1E9AEF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12.9 </w:t>
            </w:r>
          </w:p>
        </w:tc>
        <w:tc>
          <w:tcPr>
            <w:tcW w:w="1373" w:type="dxa"/>
            <w:tcBorders>
              <w:top w:val="nil"/>
              <w:left w:val="nil"/>
              <w:bottom w:val="nil"/>
              <w:right w:val="nil"/>
            </w:tcBorders>
            <w:shd w:val="clear" w:color="auto" w:fill="auto"/>
            <w:noWrap/>
            <w:vAlign w:val="bottom"/>
            <w:hideMark/>
          </w:tcPr>
          <w:p w14:paraId="38CF8C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11.3 </w:t>
            </w:r>
          </w:p>
        </w:tc>
        <w:tc>
          <w:tcPr>
            <w:tcW w:w="968" w:type="dxa"/>
            <w:tcBorders>
              <w:top w:val="nil"/>
              <w:left w:val="nil"/>
              <w:bottom w:val="nil"/>
              <w:right w:val="nil"/>
            </w:tcBorders>
            <w:shd w:val="clear" w:color="auto" w:fill="auto"/>
            <w:noWrap/>
            <w:vAlign w:val="bottom"/>
            <w:hideMark/>
          </w:tcPr>
          <w:p w14:paraId="0D3E5E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7.8 </w:t>
            </w:r>
          </w:p>
        </w:tc>
      </w:tr>
      <w:tr w:rsidR="00AC362E" w:rsidRPr="00491EF1" w14:paraId="2915E5CD" w14:textId="77777777" w:rsidTr="00ED0631">
        <w:trPr>
          <w:trHeight w:val="315"/>
        </w:trPr>
        <w:tc>
          <w:tcPr>
            <w:tcW w:w="1871" w:type="dxa"/>
            <w:tcBorders>
              <w:top w:val="nil"/>
              <w:left w:val="nil"/>
              <w:bottom w:val="nil"/>
              <w:right w:val="nil"/>
            </w:tcBorders>
            <w:shd w:val="clear" w:color="auto" w:fill="auto"/>
            <w:noWrap/>
            <w:vAlign w:val="bottom"/>
            <w:hideMark/>
          </w:tcPr>
          <w:p w14:paraId="1933AB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Butaritari </w:t>
            </w:r>
          </w:p>
        </w:tc>
        <w:tc>
          <w:tcPr>
            <w:tcW w:w="1498" w:type="dxa"/>
            <w:tcBorders>
              <w:top w:val="nil"/>
              <w:left w:val="nil"/>
              <w:bottom w:val="nil"/>
              <w:right w:val="nil"/>
            </w:tcBorders>
            <w:shd w:val="clear" w:color="auto" w:fill="auto"/>
            <w:noWrap/>
            <w:vAlign w:val="bottom"/>
            <w:hideMark/>
          </w:tcPr>
          <w:p w14:paraId="6E3B46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56.3 </w:t>
            </w:r>
          </w:p>
        </w:tc>
        <w:tc>
          <w:tcPr>
            <w:tcW w:w="1229" w:type="dxa"/>
            <w:tcBorders>
              <w:top w:val="nil"/>
              <w:left w:val="nil"/>
              <w:bottom w:val="nil"/>
              <w:right w:val="nil"/>
            </w:tcBorders>
            <w:shd w:val="clear" w:color="auto" w:fill="auto"/>
            <w:noWrap/>
            <w:vAlign w:val="bottom"/>
            <w:hideMark/>
          </w:tcPr>
          <w:p w14:paraId="731EA5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16.3 </w:t>
            </w:r>
          </w:p>
        </w:tc>
        <w:tc>
          <w:tcPr>
            <w:tcW w:w="1229" w:type="dxa"/>
            <w:tcBorders>
              <w:top w:val="nil"/>
              <w:left w:val="nil"/>
              <w:bottom w:val="nil"/>
              <w:right w:val="nil"/>
            </w:tcBorders>
            <w:shd w:val="clear" w:color="auto" w:fill="auto"/>
            <w:noWrap/>
            <w:vAlign w:val="bottom"/>
            <w:hideMark/>
          </w:tcPr>
          <w:p w14:paraId="79D095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36.9 </w:t>
            </w:r>
          </w:p>
        </w:tc>
        <w:tc>
          <w:tcPr>
            <w:tcW w:w="1520" w:type="dxa"/>
            <w:tcBorders>
              <w:top w:val="nil"/>
              <w:left w:val="nil"/>
              <w:bottom w:val="nil"/>
              <w:right w:val="nil"/>
            </w:tcBorders>
            <w:shd w:val="clear" w:color="auto" w:fill="auto"/>
            <w:noWrap/>
            <w:vAlign w:val="bottom"/>
            <w:hideMark/>
          </w:tcPr>
          <w:p w14:paraId="521064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66.6 </w:t>
            </w:r>
          </w:p>
        </w:tc>
        <w:tc>
          <w:tcPr>
            <w:tcW w:w="1373" w:type="dxa"/>
            <w:tcBorders>
              <w:top w:val="nil"/>
              <w:left w:val="nil"/>
              <w:bottom w:val="nil"/>
              <w:right w:val="nil"/>
            </w:tcBorders>
            <w:shd w:val="clear" w:color="auto" w:fill="auto"/>
            <w:noWrap/>
            <w:vAlign w:val="bottom"/>
            <w:hideMark/>
          </w:tcPr>
          <w:p w14:paraId="59EFE3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21.9 </w:t>
            </w:r>
          </w:p>
        </w:tc>
        <w:tc>
          <w:tcPr>
            <w:tcW w:w="968" w:type="dxa"/>
            <w:tcBorders>
              <w:top w:val="nil"/>
              <w:left w:val="nil"/>
              <w:bottom w:val="nil"/>
              <w:right w:val="nil"/>
            </w:tcBorders>
            <w:shd w:val="clear" w:color="auto" w:fill="auto"/>
            <w:noWrap/>
            <w:vAlign w:val="bottom"/>
            <w:hideMark/>
          </w:tcPr>
          <w:p w14:paraId="6303EF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27.5 </w:t>
            </w:r>
          </w:p>
        </w:tc>
      </w:tr>
      <w:tr w:rsidR="00AC362E" w:rsidRPr="00491EF1" w14:paraId="07721394" w14:textId="77777777" w:rsidTr="00ED0631">
        <w:trPr>
          <w:trHeight w:val="315"/>
        </w:trPr>
        <w:tc>
          <w:tcPr>
            <w:tcW w:w="1871" w:type="dxa"/>
            <w:tcBorders>
              <w:top w:val="nil"/>
              <w:left w:val="nil"/>
              <w:bottom w:val="nil"/>
              <w:right w:val="nil"/>
            </w:tcBorders>
            <w:shd w:val="clear" w:color="auto" w:fill="auto"/>
            <w:noWrap/>
            <w:vAlign w:val="bottom"/>
            <w:hideMark/>
          </w:tcPr>
          <w:p w14:paraId="481DAE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Kiritimati </w:t>
            </w:r>
          </w:p>
        </w:tc>
        <w:tc>
          <w:tcPr>
            <w:tcW w:w="1498" w:type="dxa"/>
            <w:tcBorders>
              <w:top w:val="nil"/>
              <w:left w:val="nil"/>
              <w:bottom w:val="nil"/>
              <w:right w:val="nil"/>
            </w:tcBorders>
            <w:shd w:val="clear" w:color="auto" w:fill="auto"/>
            <w:noWrap/>
            <w:vAlign w:val="bottom"/>
            <w:hideMark/>
          </w:tcPr>
          <w:p w14:paraId="35B2EA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0.3 </w:t>
            </w:r>
          </w:p>
        </w:tc>
        <w:tc>
          <w:tcPr>
            <w:tcW w:w="1229" w:type="dxa"/>
            <w:tcBorders>
              <w:top w:val="nil"/>
              <w:left w:val="nil"/>
              <w:bottom w:val="nil"/>
              <w:right w:val="nil"/>
            </w:tcBorders>
            <w:shd w:val="clear" w:color="auto" w:fill="auto"/>
            <w:noWrap/>
            <w:vAlign w:val="bottom"/>
            <w:hideMark/>
          </w:tcPr>
          <w:p w14:paraId="2BCABB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0.1 </w:t>
            </w:r>
          </w:p>
        </w:tc>
        <w:tc>
          <w:tcPr>
            <w:tcW w:w="1229" w:type="dxa"/>
            <w:tcBorders>
              <w:top w:val="nil"/>
              <w:left w:val="nil"/>
              <w:bottom w:val="nil"/>
              <w:right w:val="nil"/>
            </w:tcBorders>
            <w:shd w:val="clear" w:color="auto" w:fill="auto"/>
            <w:noWrap/>
            <w:vAlign w:val="bottom"/>
            <w:hideMark/>
          </w:tcPr>
          <w:p w14:paraId="1B8483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520" w:type="dxa"/>
            <w:tcBorders>
              <w:top w:val="nil"/>
              <w:left w:val="nil"/>
              <w:bottom w:val="nil"/>
              <w:right w:val="nil"/>
            </w:tcBorders>
            <w:shd w:val="clear" w:color="auto" w:fill="auto"/>
            <w:noWrap/>
            <w:vAlign w:val="bottom"/>
            <w:hideMark/>
          </w:tcPr>
          <w:p w14:paraId="45A98C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373" w:type="dxa"/>
            <w:tcBorders>
              <w:top w:val="nil"/>
              <w:left w:val="nil"/>
              <w:bottom w:val="nil"/>
              <w:right w:val="nil"/>
            </w:tcBorders>
            <w:shd w:val="clear" w:color="auto" w:fill="auto"/>
            <w:noWrap/>
            <w:vAlign w:val="bottom"/>
            <w:hideMark/>
          </w:tcPr>
          <w:p w14:paraId="147915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968" w:type="dxa"/>
            <w:tcBorders>
              <w:top w:val="nil"/>
              <w:left w:val="nil"/>
              <w:bottom w:val="nil"/>
              <w:right w:val="nil"/>
            </w:tcBorders>
            <w:shd w:val="clear" w:color="auto" w:fill="auto"/>
            <w:noWrap/>
            <w:vAlign w:val="bottom"/>
            <w:hideMark/>
          </w:tcPr>
          <w:p w14:paraId="04352F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63ACD883" w14:textId="77777777" w:rsidTr="00ED0631">
        <w:trPr>
          <w:trHeight w:val="315"/>
        </w:trPr>
        <w:tc>
          <w:tcPr>
            <w:tcW w:w="1871" w:type="dxa"/>
            <w:tcBorders>
              <w:top w:val="nil"/>
              <w:left w:val="nil"/>
              <w:bottom w:val="nil"/>
              <w:right w:val="nil"/>
            </w:tcBorders>
            <w:shd w:val="clear" w:color="auto" w:fill="auto"/>
            <w:noWrap/>
            <w:vAlign w:val="bottom"/>
            <w:hideMark/>
          </w:tcPr>
          <w:p w14:paraId="3E65DC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Maiana </w:t>
            </w:r>
          </w:p>
        </w:tc>
        <w:tc>
          <w:tcPr>
            <w:tcW w:w="1498" w:type="dxa"/>
            <w:tcBorders>
              <w:top w:val="nil"/>
              <w:left w:val="nil"/>
              <w:bottom w:val="nil"/>
              <w:right w:val="nil"/>
            </w:tcBorders>
            <w:shd w:val="clear" w:color="auto" w:fill="auto"/>
            <w:noWrap/>
            <w:vAlign w:val="bottom"/>
            <w:hideMark/>
          </w:tcPr>
          <w:p w14:paraId="64CAC1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12.0 </w:t>
            </w:r>
          </w:p>
        </w:tc>
        <w:tc>
          <w:tcPr>
            <w:tcW w:w="1229" w:type="dxa"/>
            <w:tcBorders>
              <w:top w:val="nil"/>
              <w:left w:val="nil"/>
              <w:bottom w:val="nil"/>
              <w:right w:val="nil"/>
            </w:tcBorders>
            <w:shd w:val="clear" w:color="auto" w:fill="auto"/>
            <w:noWrap/>
            <w:vAlign w:val="bottom"/>
            <w:hideMark/>
          </w:tcPr>
          <w:p w14:paraId="5160A3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11.0 </w:t>
            </w:r>
          </w:p>
        </w:tc>
        <w:tc>
          <w:tcPr>
            <w:tcW w:w="1229" w:type="dxa"/>
            <w:tcBorders>
              <w:top w:val="nil"/>
              <w:left w:val="nil"/>
              <w:bottom w:val="nil"/>
              <w:right w:val="nil"/>
            </w:tcBorders>
            <w:shd w:val="clear" w:color="auto" w:fill="auto"/>
            <w:noWrap/>
            <w:vAlign w:val="bottom"/>
            <w:hideMark/>
          </w:tcPr>
          <w:p w14:paraId="037D7B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31.2 </w:t>
            </w:r>
          </w:p>
        </w:tc>
        <w:tc>
          <w:tcPr>
            <w:tcW w:w="1520" w:type="dxa"/>
            <w:tcBorders>
              <w:top w:val="nil"/>
              <w:left w:val="nil"/>
              <w:bottom w:val="nil"/>
              <w:right w:val="nil"/>
            </w:tcBorders>
            <w:shd w:val="clear" w:color="auto" w:fill="auto"/>
            <w:noWrap/>
            <w:vAlign w:val="bottom"/>
            <w:hideMark/>
          </w:tcPr>
          <w:p w14:paraId="0001B8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22.0 </w:t>
            </w:r>
          </w:p>
        </w:tc>
        <w:tc>
          <w:tcPr>
            <w:tcW w:w="1373" w:type="dxa"/>
            <w:tcBorders>
              <w:top w:val="nil"/>
              <w:left w:val="nil"/>
              <w:bottom w:val="nil"/>
              <w:right w:val="nil"/>
            </w:tcBorders>
            <w:shd w:val="clear" w:color="auto" w:fill="auto"/>
            <w:noWrap/>
            <w:vAlign w:val="bottom"/>
            <w:hideMark/>
          </w:tcPr>
          <w:p w14:paraId="5D08B2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10.0 </w:t>
            </w:r>
          </w:p>
        </w:tc>
        <w:tc>
          <w:tcPr>
            <w:tcW w:w="968" w:type="dxa"/>
            <w:tcBorders>
              <w:top w:val="nil"/>
              <w:left w:val="nil"/>
              <w:bottom w:val="nil"/>
              <w:right w:val="nil"/>
            </w:tcBorders>
            <w:shd w:val="clear" w:color="auto" w:fill="auto"/>
            <w:noWrap/>
            <w:vAlign w:val="bottom"/>
            <w:hideMark/>
          </w:tcPr>
          <w:p w14:paraId="31A360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22.0 </w:t>
            </w:r>
          </w:p>
        </w:tc>
      </w:tr>
      <w:tr w:rsidR="00AC362E" w:rsidRPr="00491EF1" w14:paraId="57BB7D41" w14:textId="77777777" w:rsidTr="00ED0631">
        <w:trPr>
          <w:trHeight w:val="315"/>
        </w:trPr>
        <w:tc>
          <w:tcPr>
            <w:tcW w:w="1871" w:type="dxa"/>
            <w:tcBorders>
              <w:top w:val="nil"/>
              <w:left w:val="nil"/>
              <w:bottom w:val="nil"/>
              <w:right w:val="nil"/>
            </w:tcBorders>
            <w:shd w:val="clear" w:color="auto" w:fill="auto"/>
            <w:noWrap/>
            <w:vAlign w:val="bottom"/>
            <w:hideMark/>
          </w:tcPr>
          <w:p w14:paraId="78FB0E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Nonouti </w:t>
            </w:r>
          </w:p>
        </w:tc>
        <w:tc>
          <w:tcPr>
            <w:tcW w:w="1498" w:type="dxa"/>
            <w:tcBorders>
              <w:top w:val="nil"/>
              <w:left w:val="nil"/>
              <w:bottom w:val="nil"/>
              <w:right w:val="nil"/>
            </w:tcBorders>
            <w:shd w:val="clear" w:color="auto" w:fill="auto"/>
            <w:noWrap/>
            <w:vAlign w:val="bottom"/>
            <w:hideMark/>
          </w:tcPr>
          <w:p w14:paraId="526FE5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12.4 </w:t>
            </w:r>
          </w:p>
        </w:tc>
        <w:tc>
          <w:tcPr>
            <w:tcW w:w="1229" w:type="dxa"/>
            <w:tcBorders>
              <w:top w:val="nil"/>
              <w:left w:val="nil"/>
              <w:bottom w:val="nil"/>
              <w:right w:val="nil"/>
            </w:tcBorders>
            <w:shd w:val="clear" w:color="auto" w:fill="auto"/>
            <w:noWrap/>
            <w:vAlign w:val="bottom"/>
            <w:hideMark/>
          </w:tcPr>
          <w:p w14:paraId="29C674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9.3 </w:t>
            </w:r>
          </w:p>
        </w:tc>
        <w:tc>
          <w:tcPr>
            <w:tcW w:w="1229" w:type="dxa"/>
            <w:tcBorders>
              <w:top w:val="nil"/>
              <w:left w:val="nil"/>
              <w:bottom w:val="nil"/>
              <w:right w:val="nil"/>
            </w:tcBorders>
            <w:shd w:val="clear" w:color="auto" w:fill="auto"/>
            <w:noWrap/>
            <w:vAlign w:val="bottom"/>
            <w:hideMark/>
          </w:tcPr>
          <w:p w14:paraId="3D73B6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8.6 </w:t>
            </w:r>
          </w:p>
        </w:tc>
        <w:tc>
          <w:tcPr>
            <w:tcW w:w="1520" w:type="dxa"/>
            <w:tcBorders>
              <w:top w:val="nil"/>
              <w:left w:val="nil"/>
              <w:bottom w:val="nil"/>
              <w:right w:val="nil"/>
            </w:tcBorders>
            <w:shd w:val="clear" w:color="auto" w:fill="auto"/>
            <w:noWrap/>
            <w:vAlign w:val="bottom"/>
            <w:hideMark/>
          </w:tcPr>
          <w:p w14:paraId="1B255B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6.6 </w:t>
            </w:r>
          </w:p>
        </w:tc>
        <w:tc>
          <w:tcPr>
            <w:tcW w:w="1373" w:type="dxa"/>
            <w:tcBorders>
              <w:top w:val="nil"/>
              <w:left w:val="nil"/>
              <w:bottom w:val="nil"/>
              <w:right w:val="nil"/>
            </w:tcBorders>
            <w:shd w:val="clear" w:color="auto" w:fill="auto"/>
            <w:noWrap/>
            <w:vAlign w:val="bottom"/>
            <w:hideMark/>
          </w:tcPr>
          <w:p w14:paraId="0337DC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4.3 </w:t>
            </w:r>
          </w:p>
        </w:tc>
        <w:tc>
          <w:tcPr>
            <w:tcW w:w="968" w:type="dxa"/>
            <w:tcBorders>
              <w:top w:val="nil"/>
              <w:left w:val="nil"/>
              <w:bottom w:val="nil"/>
              <w:right w:val="nil"/>
            </w:tcBorders>
            <w:shd w:val="clear" w:color="auto" w:fill="auto"/>
            <w:noWrap/>
            <w:vAlign w:val="bottom"/>
            <w:hideMark/>
          </w:tcPr>
          <w:p w14:paraId="110714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0.7 </w:t>
            </w:r>
          </w:p>
        </w:tc>
      </w:tr>
      <w:tr w:rsidR="00AC362E" w:rsidRPr="00491EF1" w14:paraId="0170E601" w14:textId="77777777" w:rsidTr="00ED0631">
        <w:trPr>
          <w:trHeight w:val="315"/>
        </w:trPr>
        <w:tc>
          <w:tcPr>
            <w:tcW w:w="1871" w:type="dxa"/>
            <w:tcBorders>
              <w:top w:val="nil"/>
              <w:left w:val="nil"/>
              <w:bottom w:val="nil"/>
              <w:right w:val="nil"/>
            </w:tcBorders>
            <w:shd w:val="clear" w:color="auto" w:fill="auto"/>
            <w:noWrap/>
            <w:vAlign w:val="bottom"/>
            <w:hideMark/>
          </w:tcPr>
          <w:p w14:paraId="4EC102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Tabiteuea </w:t>
            </w:r>
          </w:p>
        </w:tc>
        <w:tc>
          <w:tcPr>
            <w:tcW w:w="1498" w:type="dxa"/>
            <w:tcBorders>
              <w:top w:val="nil"/>
              <w:left w:val="nil"/>
              <w:bottom w:val="nil"/>
              <w:right w:val="nil"/>
            </w:tcBorders>
            <w:shd w:val="clear" w:color="auto" w:fill="auto"/>
            <w:noWrap/>
            <w:vAlign w:val="bottom"/>
            <w:hideMark/>
          </w:tcPr>
          <w:p w14:paraId="5D8310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59.2 </w:t>
            </w:r>
          </w:p>
        </w:tc>
        <w:tc>
          <w:tcPr>
            <w:tcW w:w="1229" w:type="dxa"/>
            <w:tcBorders>
              <w:top w:val="nil"/>
              <w:left w:val="nil"/>
              <w:bottom w:val="nil"/>
              <w:right w:val="nil"/>
            </w:tcBorders>
            <w:shd w:val="clear" w:color="auto" w:fill="auto"/>
            <w:noWrap/>
            <w:vAlign w:val="bottom"/>
            <w:hideMark/>
          </w:tcPr>
          <w:p w14:paraId="081FE3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15.7 </w:t>
            </w:r>
          </w:p>
        </w:tc>
        <w:tc>
          <w:tcPr>
            <w:tcW w:w="1229" w:type="dxa"/>
            <w:tcBorders>
              <w:top w:val="nil"/>
              <w:left w:val="nil"/>
              <w:bottom w:val="nil"/>
              <w:right w:val="nil"/>
            </w:tcBorders>
            <w:shd w:val="clear" w:color="auto" w:fill="auto"/>
            <w:noWrap/>
            <w:vAlign w:val="bottom"/>
            <w:hideMark/>
          </w:tcPr>
          <w:p w14:paraId="4A5CB2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10.1 </w:t>
            </w:r>
          </w:p>
        </w:tc>
        <w:tc>
          <w:tcPr>
            <w:tcW w:w="1520" w:type="dxa"/>
            <w:tcBorders>
              <w:top w:val="nil"/>
              <w:left w:val="nil"/>
              <w:bottom w:val="nil"/>
              <w:right w:val="nil"/>
            </w:tcBorders>
            <w:shd w:val="clear" w:color="auto" w:fill="auto"/>
            <w:noWrap/>
            <w:vAlign w:val="bottom"/>
            <w:hideMark/>
          </w:tcPr>
          <w:p w14:paraId="614961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28.3 </w:t>
            </w:r>
          </w:p>
        </w:tc>
        <w:tc>
          <w:tcPr>
            <w:tcW w:w="1373" w:type="dxa"/>
            <w:tcBorders>
              <w:top w:val="nil"/>
              <w:left w:val="nil"/>
              <w:bottom w:val="nil"/>
              <w:right w:val="nil"/>
            </w:tcBorders>
            <w:shd w:val="clear" w:color="auto" w:fill="auto"/>
            <w:noWrap/>
            <w:vAlign w:val="bottom"/>
            <w:hideMark/>
          </w:tcPr>
          <w:p w14:paraId="573319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36.3 </w:t>
            </w:r>
          </w:p>
        </w:tc>
        <w:tc>
          <w:tcPr>
            <w:tcW w:w="968" w:type="dxa"/>
            <w:tcBorders>
              <w:top w:val="nil"/>
              <w:left w:val="nil"/>
              <w:bottom w:val="nil"/>
              <w:right w:val="nil"/>
            </w:tcBorders>
            <w:shd w:val="clear" w:color="auto" w:fill="auto"/>
            <w:noWrap/>
            <w:vAlign w:val="bottom"/>
            <w:hideMark/>
          </w:tcPr>
          <w:p w14:paraId="5E5517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27.1 </w:t>
            </w:r>
          </w:p>
        </w:tc>
      </w:tr>
      <w:tr w:rsidR="00AC362E" w:rsidRPr="00491EF1" w14:paraId="12C015DE" w14:textId="77777777" w:rsidTr="00ED0631">
        <w:trPr>
          <w:trHeight w:val="315"/>
        </w:trPr>
        <w:tc>
          <w:tcPr>
            <w:tcW w:w="1871" w:type="dxa"/>
            <w:tcBorders>
              <w:top w:val="nil"/>
              <w:left w:val="nil"/>
              <w:bottom w:val="nil"/>
              <w:right w:val="nil"/>
            </w:tcBorders>
            <w:shd w:val="clear" w:color="auto" w:fill="auto"/>
            <w:noWrap/>
            <w:vAlign w:val="bottom"/>
            <w:hideMark/>
          </w:tcPr>
          <w:p w14:paraId="63345E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Tarawa </w:t>
            </w:r>
          </w:p>
        </w:tc>
        <w:tc>
          <w:tcPr>
            <w:tcW w:w="1498" w:type="dxa"/>
            <w:tcBorders>
              <w:top w:val="nil"/>
              <w:left w:val="nil"/>
              <w:bottom w:val="nil"/>
              <w:right w:val="nil"/>
            </w:tcBorders>
            <w:shd w:val="clear" w:color="auto" w:fill="auto"/>
            <w:noWrap/>
            <w:vAlign w:val="bottom"/>
            <w:hideMark/>
          </w:tcPr>
          <w:p w14:paraId="6B1365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8.5 </w:t>
            </w:r>
          </w:p>
        </w:tc>
        <w:tc>
          <w:tcPr>
            <w:tcW w:w="1229" w:type="dxa"/>
            <w:tcBorders>
              <w:top w:val="nil"/>
              <w:left w:val="nil"/>
              <w:bottom w:val="nil"/>
              <w:right w:val="nil"/>
            </w:tcBorders>
            <w:shd w:val="clear" w:color="auto" w:fill="auto"/>
            <w:noWrap/>
            <w:vAlign w:val="bottom"/>
            <w:hideMark/>
          </w:tcPr>
          <w:p w14:paraId="621E53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2.3 </w:t>
            </w:r>
          </w:p>
        </w:tc>
        <w:tc>
          <w:tcPr>
            <w:tcW w:w="1229" w:type="dxa"/>
            <w:tcBorders>
              <w:top w:val="nil"/>
              <w:left w:val="nil"/>
              <w:bottom w:val="nil"/>
              <w:right w:val="nil"/>
            </w:tcBorders>
            <w:shd w:val="clear" w:color="auto" w:fill="auto"/>
            <w:noWrap/>
            <w:vAlign w:val="bottom"/>
            <w:hideMark/>
          </w:tcPr>
          <w:p w14:paraId="40643D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520" w:type="dxa"/>
            <w:tcBorders>
              <w:top w:val="nil"/>
              <w:left w:val="nil"/>
              <w:bottom w:val="nil"/>
              <w:right w:val="nil"/>
            </w:tcBorders>
            <w:shd w:val="clear" w:color="auto" w:fill="auto"/>
            <w:noWrap/>
            <w:vAlign w:val="bottom"/>
            <w:hideMark/>
          </w:tcPr>
          <w:p w14:paraId="6091E7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20.8 </w:t>
            </w:r>
          </w:p>
        </w:tc>
        <w:tc>
          <w:tcPr>
            <w:tcW w:w="1373" w:type="dxa"/>
            <w:tcBorders>
              <w:top w:val="nil"/>
              <w:left w:val="nil"/>
              <w:bottom w:val="nil"/>
              <w:right w:val="nil"/>
            </w:tcBorders>
            <w:shd w:val="clear" w:color="auto" w:fill="auto"/>
            <w:noWrap/>
            <w:vAlign w:val="bottom"/>
            <w:hideMark/>
          </w:tcPr>
          <w:p w14:paraId="586B22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12.7 </w:t>
            </w:r>
          </w:p>
        </w:tc>
        <w:tc>
          <w:tcPr>
            <w:tcW w:w="968" w:type="dxa"/>
            <w:tcBorders>
              <w:top w:val="nil"/>
              <w:left w:val="nil"/>
              <w:bottom w:val="nil"/>
              <w:right w:val="nil"/>
            </w:tcBorders>
            <w:shd w:val="clear" w:color="auto" w:fill="auto"/>
            <w:noWrap/>
            <w:vAlign w:val="bottom"/>
            <w:hideMark/>
          </w:tcPr>
          <w:p w14:paraId="212490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r>
      <w:tr w:rsidR="00AC362E" w:rsidRPr="00491EF1" w14:paraId="2F2D9485" w14:textId="77777777" w:rsidTr="00ED0631">
        <w:trPr>
          <w:trHeight w:val="315"/>
        </w:trPr>
        <w:tc>
          <w:tcPr>
            <w:tcW w:w="1871" w:type="dxa"/>
            <w:tcBorders>
              <w:top w:val="nil"/>
              <w:left w:val="nil"/>
              <w:bottom w:val="nil"/>
              <w:right w:val="nil"/>
            </w:tcBorders>
            <w:shd w:val="clear" w:color="auto" w:fill="auto"/>
            <w:noWrap/>
            <w:vAlign w:val="bottom"/>
            <w:hideMark/>
          </w:tcPr>
          <w:p w14:paraId="6E1394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Tabiteuea </w:t>
            </w:r>
          </w:p>
        </w:tc>
        <w:tc>
          <w:tcPr>
            <w:tcW w:w="1498" w:type="dxa"/>
            <w:tcBorders>
              <w:top w:val="nil"/>
              <w:left w:val="nil"/>
              <w:bottom w:val="nil"/>
              <w:right w:val="nil"/>
            </w:tcBorders>
            <w:shd w:val="clear" w:color="auto" w:fill="auto"/>
            <w:noWrap/>
            <w:vAlign w:val="bottom"/>
            <w:hideMark/>
          </w:tcPr>
          <w:p w14:paraId="004259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229" w:type="dxa"/>
            <w:tcBorders>
              <w:top w:val="nil"/>
              <w:left w:val="nil"/>
              <w:bottom w:val="nil"/>
              <w:right w:val="nil"/>
            </w:tcBorders>
            <w:shd w:val="clear" w:color="auto" w:fill="auto"/>
            <w:noWrap/>
            <w:vAlign w:val="bottom"/>
            <w:hideMark/>
          </w:tcPr>
          <w:p w14:paraId="0C76D3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229" w:type="dxa"/>
            <w:tcBorders>
              <w:top w:val="nil"/>
              <w:left w:val="nil"/>
              <w:bottom w:val="nil"/>
              <w:right w:val="nil"/>
            </w:tcBorders>
            <w:shd w:val="clear" w:color="auto" w:fill="auto"/>
            <w:noWrap/>
            <w:vAlign w:val="bottom"/>
            <w:hideMark/>
          </w:tcPr>
          <w:p w14:paraId="45953D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520" w:type="dxa"/>
            <w:tcBorders>
              <w:top w:val="nil"/>
              <w:left w:val="nil"/>
              <w:bottom w:val="nil"/>
              <w:right w:val="nil"/>
            </w:tcBorders>
            <w:shd w:val="clear" w:color="auto" w:fill="auto"/>
            <w:noWrap/>
            <w:vAlign w:val="bottom"/>
            <w:hideMark/>
          </w:tcPr>
          <w:p w14:paraId="0966B6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1373" w:type="dxa"/>
            <w:tcBorders>
              <w:top w:val="nil"/>
              <w:left w:val="nil"/>
              <w:bottom w:val="nil"/>
              <w:right w:val="nil"/>
            </w:tcBorders>
            <w:shd w:val="clear" w:color="auto" w:fill="auto"/>
            <w:noWrap/>
            <w:vAlign w:val="bottom"/>
            <w:hideMark/>
          </w:tcPr>
          <w:p w14:paraId="44632D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c>
          <w:tcPr>
            <w:tcW w:w="968" w:type="dxa"/>
            <w:tcBorders>
              <w:top w:val="nil"/>
              <w:left w:val="nil"/>
              <w:bottom w:val="nil"/>
              <w:right w:val="nil"/>
            </w:tcBorders>
            <w:shd w:val="clear" w:color="auto" w:fill="auto"/>
            <w:noWrap/>
            <w:vAlign w:val="bottom"/>
            <w:hideMark/>
          </w:tcPr>
          <w:p w14:paraId="2BCE94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w:t>
            </w:r>
          </w:p>
        </w:tc>
      </w:tr>
      <w:tr w:rsidR="00AC362E" w:rsidRPr="00491EF1" w14:paraId="65F53EA7" w14:textId="77777777" w:rsidTr="00ED0631">
        <w:trPr>
          <w:trHeight w:val="315"/>
        </w:trPr>
        <w:tc>
          <w:tcPr>
            <w:tcW w:w="1871" w:type="dxa"/>
            <w:tcBorders>
              <w:top w:val="nil"/>
              <w:left w:val="nil"/>
              <w:bottom w:val="nil"/>
              <w:right w:val="nil"/>
            </w:tcBorders>
            <w:shd w:val="clear" w:color="auto" w:fill="auto"/>
            <w:noWrap/>
            <w:vAlign w:val="bottom"/>
            <w:hideMark/>
          </w:tcPr>
          <w:p w14:paraId="02A775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Tarawa </w:t>
            </w:r>
          </w:p>
        </w:tc>
        <w:tc>
          <w:tcPr>
            <w:tcW w:w="1498" w:type="dxa"/>
            <w:tcBorders>
              <w:top w:val="nil"/>
              <w:left w:val="nil"/>
              <w:bottom w:val="nil"/>
              <w:right w:val="nil"/>
            </w:tcBorders>
            <w:shd w:val="clear" w:color="auto" w:fill="auto"/>
            <w:noWrap/>
            <w:vAlign w:val="bottom"/>
            <w:hideMark/>
          </w:tcPr>
          <w:p w14:paraId="6D4354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16.4 </w:t>
            </w:r>
          </w:p>
        </w:tc>
        <w:tc>
          <w:tcPr>
            <w:tcW w:w="1229" w:type="dxa"/>
            <w:tcBorders>
              <w:top w:val="nil"/>
              <w:left w:val="nil"/>
              <w:bottom w:val="nil"/>
              <w:right w:val="nil"/>
            </w:tcBorders>
            <w:shd w:val="clear" w:color="auto" w:fill="auto"/>
            <w:noWrap/>
            <w:vAlign w:val="bottom"/>
            <w:hideMark/>
          </w:tcPr>
          <w:p w14:paraId="4AFBB9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13.6 </w:t>
            </w:r>
          </w:p>
        </w:tc>
        <w:tc>
          <w:tcPr>
            <w:tcW w:w="1229" w:type="dxa"/>
            <w:tcBorders>
              <w:top w:val="nil"/>
              <w:left w:val="nil"/>
              <w:bottom w:val="nil"/>
              <w:right w:val="nil"/>
            </w:tcBorders>
            <w:shd w:val="clear" w:color="auto" w:fill="auto"/>
            <w:noWrap/>
            <w:vAlign w:val="bottom"/>
            <w:hideMark/>
          </w:tcPr>
          <w:p w14:paraId="3619D0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14.2 </w:t>
            </w:r>
          </w:p>
        </w:tc>
        <w:tc>
          <w:tcPr>
            <w:tcW w:w="1520" w:type="dxa"/>
            <w:tcBorders>
              <w:top w:val="nil"/>
              <w:left w:val="nil"/>
              <w:bottom w:val="nil"/>
              <w:right w:val="nil"/>
            </w:tcBorders>
            <w:shd w:val="clear" w:color="auto" w:fill="auto"/>
            <w:noWrap/>
            <w:vAlign w:val="bottom"/>
            <w:hideMark/>
          </w:tcPr>
          <w:p w14:paraId="17712E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16.3 </w:t>
            </w:r>
          </w:p>
        </w:tc>
        <w:tc>
          <w:tcPr>
            <w:tcW w:w="1373" w:type="dxa"/>
            <w:tcBorders>
              <w:top w:val="nil"/>
              <w:left w:val="nil"/>
              <w:bottom w:val="nil"/>
              <w:right w:val="nil"/>
            </w:tcBorders>
            <w:shd w:val="clear" w:color="auto" w:fill="auto"/>
            <w:noWrap/>
            <w:vAlign w:val="bottom"/>
            <w:hideMark/>
          </w:tcPr>
          <w:p w14:paraId="6BFE93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19.0 </w:t>
            </w:r>
          </w:p>
        </w:tc>
        <w:tc>
          <w:tcPr>
            <w:tcW w:w="968" w:type="dxa"/>
            <w:tcBorders>
              <w:top w:val="nil"/>
              <w:left w:val="nil"/>
              <w:bottom w:val="nil"/>
              <w:right w:val="nil"/>
            </w:tcBorders>
            <w:shd w:val="clear" w:color="auto" w:fill="auto"/>
            <w:noWrap/>
            <w:vAlign w:val="bottom"/>
            <w:hideMark/>
          </w:tcPr>
          <w:p w14:paraId="206536D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18.5 </w:t>
            </w:r>
          </w:p>
        </w:tc>
      </w:tr>
      <w:tr w:rsidR="00AC362E" w:rsidRPr="00491EF1" w14:paraId="6E775D4D" w14:textId="77777777" w:rsidTr="00ED0631">
        <w:trPr>
          <w:trHeight w:val="315"/>
        </w:trPr>
        <w:tc>
          <w:tcPr>
            <w:tcW w:w="1871" w:type="dxa"/>
            <w:tcBorders>
              <w:top w:val="nil"/>
              <w:left w:val="nil"/>
              <w:bottom w:val="single" w:sz="4" w:space="0" w:color="auto"/>
              <w:right w:val="nil"/>
            </w:tcBorders>
            <w:shd w:val="clear" w:color="auto" w:fill="auto"/>
            <w:noWrap/>
            <w:vAlign w:val="bottom"/>
            <w:hideMark/>
          </w:tcPr>
          <w:p w14:paraId="0C716C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Tamana </w:t>
            </w:r>
          </w:p>
        </w:tc>
        <w:tc>
          <w:tcPr>
            <w:tcW w:w="1498" w:type="dxa"/>
            <w:tcBorders>
              <w:top w:val="nil"/>
              <w:left w:val="nil"/>
              <w:bottom w:val="single" w:sz="4" w:space="0" w:color="auto"/>
              <w:right w:val="nil"/>
            </w:tcBorders>
            <w:shd w:val="clear" w:color="auto" w:fill="auto"/>
            <w:noWrap/>
            <w:vAlign w:val="bottom"/>
            <w:hideMark/>
          </w:tcPr>
          <w:p w14:paraId="764DF1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12.5 </w:t>
            </w:r>
          </w:p>
        </w:tc>
        <w:tc>
          <w:tcPr>
            <w:tcW w:w="1229" w:type="dxa"/>
            <w:tcBorders>
              <w:top w:val="nil"/>
              <w:left w:val="nil"/>
              <w:bottom w:val="single" w:sz="4" w:space="0" w:color="auto"/>
              <w:right w:val="nil"/>
            </w:tcBorders>
            <w:shd w:val="clear" w:color="auto" w:fill="auto"/>
            <w:noWrap/>
            <w:vAlign w:val="bottom"/>
            <w:hideMark/>
          </w:tcPr>
          <w:p w14:paraId="272B08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25.0 </w:t>
            </w:r>
          </w:p>
        </w:tc>
        <w:tc>
          <w:tcPr>
            <w:tcW w:w="1229" w:type="dxa"/>
            <w:tcBorders>
              <w:top w:val="nil"/>
              <w:left w:val="nil"/>
              <w:bottom w:val="single" w:sz="4" w:space="0" w:color="auto"/>
              <w:right w:val="nil"/>
            </w:tcBorders>
            <w:shd w:val="clear" w:color="auto" w:fill="auto"/>
            <w:noWrap/>
            <w:vAlign w:val="bottom"/>
            <w:hideMark/>
          </w:tcPr>
          <w:p w14:paraId="38FB4B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25.0 </w:t>
            </w:r>
          </w:p>
        </w:tc>
        <w:tc>
          <w:tcPr>
            <w:tcW w:w="1520" w:type="dxa"/>
            <w:tcBorders>
              <w:top w:val="nil"/>
              <w:left w:val="nil"/>
              <w:bottom w:val="single" w:sz="4" w:space="0" w:color="auto"/>
              <w:right w:val="nil"/>
            </w:tcBorders>
            <w:shd w:val="clear" w:color="auto" w:fill="auto"/>
            <w:noWrap/>
            <w:vAlign w:val="bottom"/>
            <w:hideMark/>
          </w:tcPr>
          <w:p w14:paraId="1B8665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13.8 </w:t>
            </w:r>
          </w:p>
        </w:tc>
        <w:tc>
          <w:tcPr>
            <w:tcW w:w="1373" w:type="dxa"/>
            <w:tcBorders>
              <w:top w:val="nil"/>
              <w:left w:val="nil"/>
              <w:bottom w:val="single" w:sz="4" w:space="0" w:color="auto"/>
              <w:right w:val="nil"/>
            </w:tcBorders>
            <w:shd w:val="clear" w:color="auto" w:fill="auto"/>
            <w:noWrap/>
            <w:vAlign w:val="bottom"/>
            <w:hideMark/>
          </w:tcPr>
          <w:p w14:paraId="0DF0ED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25.0 </w:t>
            </w:r>
          </w:p>
        </w:tc>
        <w:tc>
          <w:tcPr>
            <w:tcW w:w="968" w:type="dxa"/>
            <w:tcBorders>
              <w:top w:val="nil"/>
              <w:left w:val="nil"/>
              <w:bottom w:val="single" w:sz="4" w:space="0" w:color="auto"/>
              <w:right w:val="nil"/>
            </w:tcBorders>
            <w:shd w:val="clear" w:color="auto" w:fill="auto"/>
            <w:noWrap/>
            <w:vAlign w:val="bottom"/>
            <w:hideMark/>
          </w:tcPr>
          <w:p w14:paraId="6ECDF68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25.0 </w:t>
            </w:r>
          </w:p>
        </w:tc>
      </w:tr>
      <w:tr w:rsidR="00AC362E" w:rsidRPr="00491EF1" w14:paraId="24B2DEC5" w14:textId="77777777" w:rsidTr="00ED0631">
        <w:trPr>
          <w:trHeight w:val="315"/>
        </w:trPr>
        <w:tc>
          <w:tcPr>
            <w:tcW w:w="1871" w:type="dxa"/>
            <w:tcBorders>
              <w:top w:val="nil"/>
              <w:left w:val="nil"/>
              <w:bottom w:val="single" w:sz="4" w:space="0" w:color="auto"/>
              <w:right w:val="nil"/>
            </w:tcBorders>
            <w:shd w:val="clear" w:color="auto" w:fill="auto"/>
            <w:noWrap/>
            <w:vAlign w:val="bottom"/>
            <w:hideMark/>
          </w:tcPr>
          <w:p w14:paraId="74433F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498" w:type="dxa"/>
            <w:tcBorders>
              <w:top w:val="nil"/>
              <w:left w:val="nil"/>
              <w:bottom w:val="single" w:sz="4" w:space="0" w:color="auto"/>
              <w:right w:val="nil"/>
            </w:tcBorders>
            <w:shd w:val="clear" w:color="auto" w:fill="auto"/>
            <w:noWrap/>
            <w:vAlign w:val="bottom"/>
            <w:hideMark/>
          </w:tcPr>
          <w:p w14:paraId="52D859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21.6 </w:t>
            </w:r>
          </w:p>
        </w:tc>
        <w:tc>
          <w:tcPr>
            <w:tcW w:w="1229" w:type="dxa"/>
            <w:tcBorders>
              <w:top w:val="nil"/>
              <w:left w:val="nil"/>
              <w:bottom w:val="single" w:sz="4" w:space="0" w:color="auto"/>
              <w:right w:val="nil"/>
            </w:tcBorders>
            <w:shd w:val="clear" w:color="auto" w:fill="auto"/>
            <w:noWrap/>
            <w:vAlign w:val="bottom"/>
            <w:hideMark/>
          </w:tcPr>
          <w:p w14:paraId="50F819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12.0 </w:t>
            </w:r>
          </w:p>
        </w:tc>
        <w:tc>
          <w:tcPr>
            <w:tcW w:w="1229" w:type="dxa"/>
            <w:tcBorders>
              <w:top w:val="nil"/>
              <w:left w:val="nil"/>
              <w:bottom w:val="single" w:sz="4" w:space="0" w:color="auto"/>
              <w:right w:val="nil"/>
            </w:tcBorders>
            <w:shd w:val="clear" w:color="auto" w:fill="auto"/>
            <w:noWrap/>
            <w:vAlign w:val="bottom"/>
            <w:hideMark/>
          </w:tcPr>
          <w:p w14:paraId="58F556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13.5 </w:t>
            </w:r>
          </w:p>
        </w:tc>
        <w:tc>
          <w:tcPr>
            <w:tcW w:w="1520" w:type="dxa"/>
            <w:tcBorders>
              <w:top w:val="nil"/>
              <w:left w:val="nil"/>
              <w:bottom w:val="single" w:sz="4" w:space="0" w:color="auto"/>
              <w:right w:val="nil"/>
            </w:tcBorders>
            <w:shd w:val="clear" w:color="auto" w:fill="auto"/>
            <w:noWrap/>
            <w:vAlign w:val="bottom"/>
            <w:hideMark/>
          </w:tcPr>
          <w:p w14:paraId="571394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19.0 </w:t>
            </w:r>
          </w:p>
        </w:tc>
        <w:tc>
          <w:tcPr>
            <w:tcW w:w="1373" w:type="dxa"/>
            <w:tcBorders>
              <w:top w:val="nil"/>
              <w:left w:val="nil"/>
              <w:bottom w:val="single" w:sz="4" w:space="0" w:color="auto"/>
              <w:right w:val="nil"/>
            </w:tcBorders>
            <w:shd w:val="clear" w:color="auto" w:fill="auto"/>
            <w:noWrap/>
            <w:vAlign w:val="bottom"/>
            <w:hideMark/>
          </w:tcPr>
          <w:p w14:paraId="253A1E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16.3 </w:t>
            </w:r>
          </w:p>
        </w:tc>
        <w:tc>
          <w:tcPr>
            <w:tcW w:w="968" w:type="dxa"/>
            <w:tcBorders>
              <w:top w:val="nil"/>
              <w:left w:val="nil"/>
              <w:bottom w:val="single" w:sz="4" w:space="0" w:color="auto"/>
              <w:right w:val="nil"/>
            </w:tcBorders>
            <w:shd w:val="clear" w:color="auto" w:fill="auto"/>
            <w:noWrap/>
            <w:vAlign w:val="bottom"/>
            <w:hideMark/>
          </w:tcPr>
          <w:p w14:paraId="41A9A8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15.0 </w:t>
            </w:r>
          </w:p>
        </w:tc>
      </w:tr>
    </w:tbl>
    <w:p w14:paraId="7D18E6F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13: Average SL-Teacher engagement time (min) in the last 10 days by island type</w:t>
      </w:r>
    </w:p>
    <w:tbl>
      <w:tblPr>
        <w:tblW w:w="9240" w:type="dxa"/>
        <w:tblInd w:w="93" w:type="dxa"/>
        <w:tblLook w:val="04A0" w:firstRow="1" w:lastRow="0" w:firstColumn="1" w:lastColumn="0" w:noHBand="0" w:noVBand="1"/>
      </w:tblPr>
      <w:tblGrid>
        <w:gridCol w:w="1289"/>
        <w:gridCol w:w="1399"/>
        <w:gridCol w:w="1148"/>
        <w:gridCol w:w="1148"/>
        <w:gridCol w:w="1420"/>
        <w:gridCol w:w="1306"/>
        <w:gridCol w:w="1554"/>
      </w:tblGrid>
      <w:tr w:rsidR="00AC362E" w:rsidRPr="00491EF1" w14:paraId="7EBD3301" w14:textId="77777777" w:rsidTr="00ED0631">
        <w:trPr>
          <w:trHeight w:val="315"/>
        </w:trPr>
        <w:tc>
          <w:tcPr>
            <w:tcW w:w="1289" w:type="dxa"/>
            <w:tcBorders>
              <w:top w:val="single" w:sz="4" w:space="0" w:color="auto"/>
              <w:left w:val="nil"/>
              <w:bottom w:val="nil"/>
              <w:right w:val="nil"/>
            </w:tcBorders>
            <w:shd w:val="clear" w:color="auto" w:fill="auto"/>
            <w:noWrap/>
            <w:vAlign w:val="bottom"/>
            <w:hideMark/>
          </w:tcPr>
          <w:p w14:paraId="3F622CF6"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99" w:type="dxa"/>
            <w:tcBorders>
              <w:top w:val="single" w:sz="4" w:space="0" w:color="auto"/>
              <w:left w:val="nil"/>
              <w:bottom w:val="single" w:sz="4" w:space="0" w:color="auto"/>
              <w:right w:val="nil"/>
            </w:tcBorders>
            <w:shd w:val="clear" w:color="auto" w:fill="auto"/>
            <w:noWrap/>
            <w:vAlign w:val="bottom"/>
            <w:hideMark/>
          </w:tcPr>
          <w:p w14:paraId="3463A3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Performance </w:t>
            </w:r>
          </w:p>
        </w:tc>
        <w:tc>
          <w:tcPr>
            <w:tcW w:w="1148" w:type="dxa"/>
            <w:tcBorders>
              <w:top w:val="single" w:sz="4" w:space="0" w:color="auto"/>
              <w:left w:val="nil"/>
              <w:bottom w:val="single" w:sz="4" w:space="0" w:color="auto"/>
              <w:right w:val="nil"/>
            </w:tcBorders>
            <w:shd w:val="clear" w:color="auto" w:fill="auto"/>
            <w:noWrap/>
            <w:vAlign w:val="bottom"/>
            <w:hideMark/>
          </w:tcPr>
          <w:p w14:paraId="6D9464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Class mmt </w:t>
            </w:r>
          </w:p>
        </w:tc>
        <w:tc>
          <w:tcPr>
            <w:tcW w:w="1148" w:type="dxa"/>
            <w:tcBorders>
              <w:top w:val="single" w:sz="4" w:space="0" w:color="auto"/>
              <w:left w:val="nil"/>
              <w:bottom w:val="single" w:sz="4" w:space="0" w:color="auto"/>
              <w:right w:val="nil"/>
            </w:tcBorders>
            <w:shd w:val="clear" w:color="auto" w:fill="auto"/>
            <w:noWrap/>
            <w:vAlign w:val="bottom"/>
            <w:hideMark/>
          </w:tcPr>
          <w:p w14:paraId="70D900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Conduct </w:t>
            </w:r>
          </w:p>
        </w:tc>
        <w:tc>
          <w:tcPr>
            <w:tcW w:w="1420" w:type="dxa"/>
            <w:tcBorders>
              <w:top w:val="single" w:sz="4" w:space="0" w:color="auto"/>
              <w:left w:val="nil"/>
              <w:bottom w:val="single" w:sz="4" w:space="0" w:color="auto"/>
              <w:right w:val="nil"/>
            </w:tcBorders>
            <w:shd w:val="clear" w:color="auto" w:fill="auto"/>
            <w:noWrap/>
            <w:vAlign w:val="bottom"/>
            <w:hideMark/>
          </w:tcPr>
          <w:p w14:paraId="50003A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Lession Plans </w:t>
            </w:r>
          </w:p>
        </w:tc>
        <w:tc>
          <w:tcPr>
            <w:tcW w:w="1282" w:type="dxa"/>
            <w:tcBorders>
              <w:top w:val="single" w:sz="4" w:space="0" w:color="auto"/>
              <w:left w:val="nil"/>
              <w:bottom w:val="single" w:sz="4" w:space="0" w:color="auto"/>
              <w:right w:val="nil"/>
            </w:tcBorders>
            <w:shd w:val="clear" w:color="auto" w:fill="auto"/>
            <w:noWrap/>
            <w:vAlign w:val="bottom"/>
            <w:hideMark/>
          </w:tcPr>
          <w:p w14:paraId="33CB30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Assessment </w:t>
            </w:r>
          </w:p>
        </w:tc>
        <w:tc>
          <w:tcPr>
            <w:tcW w:w="1554" w:type="dxa"/>
            <w:tcBorders>
              <w:top w:val="single" w:sz="4" w:space="0" w:color="auto"/>
              <w:left w:val="nil"/>
              <w:bottom w:val="single" w:sz="4" w:space="0" w:color="auto"/>
              <w:right w:val="nil"/>
            </w:tcBorders>
            <w:shd w:val="clear" w:color="auto" w:fill="auto"/>
            <w:noWrap/>
            <w:vAlign w:val="bottom"/>
            <w:hideMark/>
          </w:tcPr>
          <w:p w14:paraId="1515C1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Better teacher </w:t>
            </w:r>
          </w:p>
        </w:tc>
      </w:tr>
      <w:tr w:rsidR="00AC362E" w:rsidRPr="00491EF1" w14:paraId="6A2B57C1" w14:textId="77777777" w:rsidTr="00ED0631">
        <w:trPr>
          <w:trHeight w:val="315"/>
        </w:trPr>
        <w:tc>
          <w:tcPr>
            <w:tcW w:w="1289" w:type="dxa"/>
            <w:tcBorders>
              <w:top w:val="single" w:sz="4" w:space="0" w:color="auto"/>
              <w:left w:val="nil"/>
              <w:bottom w:val="nil"/>
              <w:right w:val="nil"/>
            </w:tcBorders>
            <w:shd w:val="clear" w:color="auto" w:fill="auto"/>
            <w:noWrap/>
            <w:vAlign w:val="bottom"/>
            <w:hideMark/>
          </w:tcPr>
          <w:p w14:paraId="3B5A97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99" w:type="dxa"/>
            <w:tcBorders>
              <w:top w:val="nil"/>
              <w:left w:val="nil"/>
              <w:bottom w:val="nil"/>
              <w:right w:val="nil"/>
            </w:tcBorders>
            <w:shd w:val="clear" w:color="auto" w:fill="auto"/>
            <w:noWrap/>
            <w:vAlign w:val="bottom"/>
            <w:hideMark/>
          </w:tcPr>
          <w:p w14:paraId="1D602C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31.7 </w:t>
            </w:r>
          </w:p>
        </w:tc>
        <w:tc>
          <w:tcPr>
            <w:tcW w:w="1148" w:type="dxa"/>
            <w:tcBorders>
              <w:top w:val="nil"/>
              <w:left w:val="nil"/>
              <w:bottom w:val="nil"/>
              <w:right w:val="nil"/>
            </w:tcBorders>
            <w:shd w:val="clear" w:color="auto" w:fill="auto"/>
            <w:noWrap/>
            <w:vAlign w:val="bottom"/>
            <w:hideMark/>
          </w:tcPr>
          <w:p w14:paraId="0D951F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10.2 </w:t>
            </w:r>
          </w:p>
        </w:tc>
        <w:tc>
          <w:tcPr>
            <w:tcW w:w="1148" w:type="dxa"/>
            <w:tcBorders>
              <w:top w:val="nil"/>
              <w:left w:val="nil"/>
              <w:bottom w:val="nil"/>
              <w:right w:val="nil"/>
            </w:tcBorders>
            <w:shd w:val="clear" w:color="auto" w:fill="auto"/>
            <w:noWrap/>
            <w:vAlign w:val="bottom"/>
            <w:hideMark/>
          </w:tcPr>
          <w:p w14:paraId="2CE16E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12.5 </w:t>
            </w:r>
          </w:p>
        </w:tc>
        <w:tc>
          <w:tcPr>
            <w:tcW w:w="1420" w:type="dxa"/>
            <w:tcBorders>
              <w:top w:val="nil"/>
              <w:left w:val="nil"/>
              <w:bottom w:val="nil"/>
              <w:right w:val="nil"/>
            </w:tcBorders>
            <w:shd w:val="clear" w:color="auto" w:fill="auto"/>
            <w:noWrap/>
            <w:vAlign w:val="bottom"/>
            <w:hideMark/>
          </w:tcPr>
          <w:p w14:paraId="5F4CBF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25.8 </w:t>
            </w:r>
          </w:p>
        </w:tc>
        <w:tc>
          <w:tcPr>
            <w:tcW w:w="1282" w:type="dxa"/>
            <w:tcBorders>
              <w:top w:val="nil"/>
              <w:left w:val="nil"/>
              <w:bottom w:val="nil"/>
              <w:right w:val="nil"/>
            </w:tcBorders>
            <w:shd w:val="clear" w:color="auto" w:fill="auto"/>
            <w:noWrap/>
            <w:vAlign w:val="bottom"/>
            <w:hideMark/>
          </w:tcPr>
          <w:p w14:paraId="1E5824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15.4 </w:t>
            </w:r>
          </w:p>
        </w:tc>
        <w:tc>
          <w:tcPr>
            <w:tcW w:w="1554" w:type="dxa"/>
            <w:tcBorders>
              <w:top w:val="nil"/>
              <w:left w:val="nil"/>
              <w:bottom w:val="nil"/>
              <w:right w:val="nil"/>
            </w:tcBorders>
            <w:shd w:val="clear" w:color="auto" w:fill="auto"/>
            <w:noWrap/>
            <w:vAlign w:val="bottom"/>
            <w:hideMark/>
          </w:tcPr>
          <w:p w14:paraId="366F62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12.8 </w:t>
            </w:r>
          </w:p>
        </w:tc>
      </w:tr>
      <w:tr w:rsidR="00AC362E" w:rsidRPr="00491EF1" w14:paraId="0A79907A" w14:textId="77777777" w:rsidTr="00ED0631">
        <w:trPr>
          <w:trHeight w:val="315"/>
        </w:trPr>
        <w:tc>
          <w:tcPr>
            <w:tcW w:w="1289" w:type="dxa"/>
            <w:tcBorders>
              <w:top w:val="nil"/>
              <w:left w:val="nil"/>
              <w:bottom w:val="nil"/>
              <w:right w:val="nil"/>
            </w:tcBorders>
            <w:shd w:val="clear" w:color="auto" w:fill="auto"/>
            <w:noWrap/>
            <w:vAlign w:val="bottom"/>
            <w:hideMark/>
          </w:tcPr>
          <w:p w14:paraId="1BD26D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99" w:type="dxa"/>
            <w:tcBorders>
              <w:top w:val="nil"/>
              <w:left w:val="nil"/>
              <w:bottom w:val="nil"/>
              <w:right w:val="nil"/>
            </w:tcBorders>
            <w:shd w:val="clear" w:color="auto" w:fill="auto"/>
            <w:noWrap/>
            <w:vAlign w:val="bottom"/>
            <w:hideMark/>
          </w:tcPr>
          <w:p w14:paraId="72B88C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11.3 </w:t>
            </w:r>
          </w:p>
        </w:tc>
        <w:tc>
          <w:tcPr>
            <w:tcW w:w="1148" w:type="dxa"/>
            <w:tcBorders>
              <w:top w:val="nil"/>
              <w:left w:val="nil"/>
              <w:bottom w:val="nil"/>
              <w:right w:val="nil"/>
            </w:tcBorders>
            <w:shd w:val="clear" w:color="auto" w:fill="auto"/>
            <w:noWrap/>
            <w:vAlign w:val="bottom"/>
            <w:hideMark/>
          </w:tcPr>
          <w:p w14:paraId="2D0510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11.0 </w:t>
            </w:r>
          </w:p>
        </w:tc>
        <w:tc>
          <w:tcPr>
            <w:tcW w:w="1148" w:type="dxa"/>
            <w:tcBorders>
              <w:top w:val="nil"/>
              <w:left w:val="nil"/>
              <w:bottom w:val="nil"/>
              <w:right w:val="nil"/>
            </w:tcBorders>
            <w:shd w:val="clear" w:color="auto" w:fill="auto"/>
            <w:noWrap/>
            <w:vAlign w:val="bottom"/>
            <w:hideMark/>
          </w:tcPr>
          <w:p w14:paraId="365371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13.9 </w:t>
            </w:r>
          </w:p>
        </w:tc>
        <w:tc>
          <w:tcPr>
            <w:tcW w:w="1420" w:type="dxa"/>
            <w:tcBorders>
              <w:top w:val="nil"/>
              <w:left w:val="nil"/>
              <w:bottom w:val="nil"/>
              <w:right w:val="nil"/>
            </w:tcBorders>
            <w:shd w:val="clear" w:color="auto" w:fill="auto"/>
            <w:noWrap/>
            <w:vAlign w:val="bottom"/>
            <w:hideMark/>
          </w:tcPr>
          <w:p w14:paraId="3A4831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9.6 </w:t>
            </w:r>
          </w:p>
        </w:tc>
        <w:tc>
          <w:tcPr>
            <w:tcW w:w="1282" w:type="dxa"/>
            <w:tcBorders>
              <w:top w:val="nil"/>
              <w:left w:val="nil"/>
              <w:bottom w:val="nil"/>
              <w:right w:val="nil"/>
            </w:tcBorders>
            <w:shd w:val="clear" w:color="auto" w:fill="auto"/>
            <w:noWrap/>
            <w:vAlign w:val="bottom"/>
            <w:hideMark/>
          </w:tcPr>
          <w:p w14:paraId="7EA0DA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8.1 </w:t>
            </w:r>
          </w:p>
        </w:tc>
        <w:tc>
          <w:tcPr>
            <w:tcW w:w="1554" w:type="dxa"/>
            <w:tcBorders>
              <w:top w:val="nil"/>
              <w:left w:val="nil"/>
              <w:bottom w:val="nil"/>
              <w:right w:val="nil"/>
            </w:tcBorders>
            <w:shd w:val="clear" w:color="auto" w:fill="auto"/>
            <w:noWrap/>
            <w:vAlign w:val="bottom"/>
            <w:hideMark/>
          </w:tcPr>
          <w:p w14:paraId="7BE139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8.1 </w:t>
            </w:r>
          </w:p>
        </w:tc>
      </w:tr>
      <w:tr w:rsidR="00AC362E" w:rsidRPr="00491EF1" w14:paraId="73411579" w14:textId="77777777" w:rsidTr="00ED0631">
        <w:trPr>
          <w:trHeight w:val="315"/>
        </w:trPr>
        <w:tc>
          <w:tcPr>
            <w:tcW w:w="1289" w:type="dxa"/>
            <w:tcBorders>
              <w:top w:val="nil"/>
              <w:left w:val="nil"/>
              <w:bottom w:val="nil"/>
              <w:right w:val="nil"/>
            </w:tcBorders>
            <w:shd w:val="clear" w:color="auto" w:fill="auto"/>
            <w:noWrap/>
            <w:vAlign w:val="bottom"/>
            <w:hideMark/>
          </w:tcPr>
          <w:p w14:paraId="74A840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99" w:type="dxa"/>
            <w:tcBorders>
              <w:top w:val="nil"/>
              <w:left w:val="nil"/>
              <w:bottom w:val="nil"/>
              <w:right w:val="nil"/>
            </w:tcBorders>
            <w:shd w:val="clear" w:color="auto" w:fill="auto"/>
            <w:noWrap/>
            <w:vAlign w:val="bottom"/>
            <w:hideMark/>
          </w:tcPr>
          <w:p w14:paraId="75BBB6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16.4 </w:t>
            </w:r>
          </w:p>
        </w:tc>
        <w:tc>
          <w:tcPr>
            <w:tcW w:w="1148" w:type="dxa"/>
            <w:tcBorders>
              <w:top w:val="nil"/>
              <w:left w:val="nil"/>
              <w:bottom w:val="nil"/>
              <w:right w:val="nil"/>
            </w:tcBorders>
            <w:shd w:val="clear" w:color="auto" w:fill="auto"/>
            <w:noWrap/>
            <w:vAlign w:val="bottom"/>
            <w:hideMark/>
          </w:tcPr>
          <w:p w14:paraId="3D52CC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13.6 </w:t>
            </w:r>
          </w:p>
        </w:tc>
        <w:tc>
          <w:tcPr>
            <w:tcW w:w="1148" w:type="dxa"/>
            <w:tcBorders>
              <w:top w:val="nil"/>
              <w:left w:val="nil"/>
              <w:bottom w:val="nil"/>
              <w:right w:val="nil"/>
            </w:tcBorders>
            <w:shd w:val="clear" w:color="auto" w:fill="auto"/>
            <w:noWrap/>
            <w:vAlign w:val="bottom"/>
            <w:hideMark/>
          </w:tcPr>
          <w:p w14:paraId="2C8837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14.2 </w:t>
            </w:r>
          </w:p>
        </w:tc>
        <w:tc>
          <w:tcPr>
            <w:tcW w:w="1420" w:type="dxa"/>
            <w:tcBorders>
              <w:top w:val="nil"/>
              <w:left w:val="nil"/>
              <w:bottom w:val="nil"/>
              <w:right w:val="nil"/>
            </w:tcBorders>
            <w:shd w:val="clear" w:color="auto" w:fill="auto"/>
            <w:noWrap/>
            <w:vAlign w:val="bottom"/>
            <w:hideMark/>
          </w:tcPr>
          <w:p w14:paraId="00C917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16.3 </w:t>
            </w:r>
          </w:p>
        </w:tc>
        <w:tc>
          <w:tcPr>
            <w:tcW w:w="1282" w:type="dxa"/>
            <w:tcBorders>
              <w:top w:val="nil"/>
              <w:left w:val="nil"/>
              <w:bottom w:val="nil"/>
              <w:right w:val="nil"/>
            </w:tcBorders>
            <w:shd w:val="clear" w:color="auto" w:fill="auto"/>
            <w:noWrap/>
            <w:vAlign w:val="bottom"/>
            <w:hideMark/>
          </w:tcPr>
          <w:p w14:paraId="3DA341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19.0 </w:t>
            </w:r>
          </w:p>
        </w:tc>
        <w:tc>
          <w:tcPr>
            <w:tcW w:w="1554" w:type="dxa"/>
            <w:tcBorders>
              <w:top w:val="nil"/>
              <w:left w:val="nil"/>
              <w:bottom w:val="nil"/>
              <w:right w:val="nil"/>
            </w:tcBorders>
            <w:shd w:val="clear" w:color="auto" w:fill="auto"/>
            <w:noWrap/>
            <w:vAlign w:val="bottom"/>
            <w:hideMark/>
          </w:tcPr>
          <w:p w14:paraId="3B1016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18.5 </w:t>
            </w:r>
          </w:p>
        </w:tc>
      </w:tr>
      <w:tr w:rsidR="00AC362E" w:rsidRPr="00491EF1" w14:paraId="2E727ADB" w14:textId="77777777" w:rsidTr="00ED0631">
        <w:trPr>
          <w:trHeight w:val="315"/>
        </w:trPr>
        <w:tc>
          <w:tcPr>
            <w:tcW w:w="1289" w:type="dxa"/>
            <w:tcBorders>
              <w:top w:val="single" w:sz="4" w:space="0" w:color="auto"/>
              <w:left w:val="nil"/>
              <w:bottom w:val="single" w:sz="4" w:space="0" w:color="auto"/>
              <w:right w:val="nil"/>
            </w:tcBorders>
            <w:shd w:val="clear" w:color="auto" w:fill="auto"/>
            <w:noWrap/>
            <w:vAlign w:val="bottom"/>
            <w:hideMark/>
          </w:tcPr>
          <w:p w14:paraId="22E1AD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99" w:type="dxa"/>
            <w:tcBorders>
              <w:top w:val="single" w:sz="4" w:space="0" w:color="auto"/>
              <w:left w:val="nil"/>
              <w:bottom w:val="single" w:sz="4" w:space="0" w:color="auto"/>
              <w:right w:val="nil"/>
            </w:tcBorders>
            <w:shd w:val="clear" w:color="auto" w:fill="auto"/>
            <w:noWrap/>
            <w:vAlign w:val="bottom"/>
            <w:hideMark/>
          </w:tcPr>
          <w:p w14:paraId="46D872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21.6 </w:t>
            </w:r>
          </w:p>
        </w:tc>
        <w:tc>
          <w:tcPr>
            <w:tcW w:w="1148" w:type="dxa"/>
            <w:tcBorders>
              <w:top w:val="single" w:sz="4" w:space="0" w:color="auto"/>
              <w:left w:val="nil"/>
              <w:bottom w:val="single" w:sz="4" w:space="0" w:color="auto"/>
              <w:right w:val="nil"/>
            </w:tcBorders>
            <w:shd w:val="clear" w:color="auto" w:fill="auto"/>
            <w:noWrap/>
            <w:vAlign w:val="bottom"/>
            <w:hideMark/>
          </w:tcPr>
          <w:p w14:paraId="78A873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12.0 </w:t>
            </w:r>
          </w:p>
        </w:tc>
        <w:tc>
          <w:tcPr>
            <w:tcW w:w="1148" w:type="dxa"/>
            <w:tcBorders>
              <w:top w:val="single" w:sz="4" w:space="0" w:color="auto"/>
              <w:left w:val="nil"/>
              <w:bottom w:val="single" w:sz="4" w:space="0" w:color="auto"/>
              <w:right w:val="nil"/>
            </w:tcBorders>
            <w:shd w:val="clear" w:color="auto" w:fill="auto"/>
            <w:noWrap/>
            <w:vAlign w:val="bottom"/>
            <w:hideMark/>
          </w:tcPr>
          <w:p w14:paraId="717683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13.5 </w:t>
            </w:r>
          </w:p>
        </w:tc>
        <w:tc>
          <w:tcPr>
            <w:tcW w:w="1420" w:type="dxa"/>
            <w:tcBorders>
              <w:top w:val="single" w:sz="4" w:space="0" w:color="auto"/>
              <w:left w:val="nil"/>
              <w:bottom w:val="single" w:sz="4" w:space="0" w:color="auto"/>
              <w:right w:val="nil"/>
            </w:tcBorders>
            <w:shd w:val="clear" w:color="auto" w:fill="auto"/>
            <w:noWrap/>
            <w:vAlign w:val="bottom"/>
            <w:hideMark/>
          </w:tcPr>
          <w:p w14:paraId="6AA785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19.0 </w:t>
            </w:r>
          </w:p>
        </w:tc>
        <w:tc>
          <w:tcPr>
            <w:tcW w:w="1282" w:type="dxa"/>
            <w:tcBorders>
              <w:top w:val="single" w:sz="4" w:space="0" w:color="auto"/>
              <w:left w:val="nil"/>
              <w:bottom w:val="single" w:sz="4" w:space="0" w:color="auto"/>
              <w:right w:val="nil"/>
            </w:tcBorders>
            <w:shd w:val="clear" w:color="auto" w:fill="auto"/>
            <w:noWrap/>
            <w:vAlign w:val="bottom"/>
            <w:hideMark/>
          </w:tcPr>
          <w:p w14:paraId="37BF3B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16.3 </w:t>
            </w:r>
          </w:p>
        </w:tc>
        <w:tc>
          <w:tcPr>
            <w:tcW w:w="1554" w:type="dxa"/>
            <w:tcBorders>
              <w:top w:val="single" w:sz="4" w:space="0" w:color="auto"/>
              <w:left w:val="nil"/>
              <w:bottom w:val="single" w:sz="4" w:space="0" w:color="auto"/>
              <w:right w:val="nil"/>
            </w:tcBorders>
            <w:shd w:val="clear" w:color="auto" w:fill="auto"/>
            <w:noWrap/>
            <w:vAlign w:val="bottom"/>
            <w:hideMark/>
          </w:tcPr>
          <w:p w14:paraId="3E67C8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15.0 </w:t>
            </w:r>
          </w:p>
        </w:tc>
      </w:tr>
    </w:tbl>
    <w:p w14:paraId="78DFFF1E"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444B20C1"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14: Teachers' rating of the support they received from the School Leaders by island</w:t>
      </w:r>
    </w:p>
    <w:tbl>
      <w:tblPr>
        <w:tblW w:w="7834" w:type="dxa"/>
        <w:tblInd w:w="93" w:type="dxa"/>
        <w:tblLook w:val="04A0" w:firstRow="1" w:lastRow="0" w:firstColumn="1" w:lastColumn="0" w:noHBand="0" w:noVBand="1"/>
      </w:tblPr>
      <w:tblGrid>
        <w:gridCol w:w="1630"/>
        <w:gridCol w:w="1307"/>
        <w:gridCol w:w="1923"/>
        <w:gridCol w:w="1387"/>
        <w:gridCol w:w="1587"/>
      </w:tblGrid>
      <w:tr w:rsidR="00AC362E" w:rsidRPr="00491EF1" w14:paraId="73513CE8"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11345386"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1F74F3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649FFC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68A0C7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7B11C2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7E9E9EEF" w14:textId="77777777" w:rsidTr="00ED0631">
        <w:trPr>
          <w:trHeight w:val="315"/>
        </w:trPr>
        <w:tc>
          <w:tcPr>
            <w:tcW w:w="1630" w:type="dxa"/>
            <w:tcBorders>
              <w:top w:val="nil"/>
              <w:left w:val="nil"/>
              <w:bottom w:val="nil"/>
              <w:right w:val="nil"/>
            </w:tcBorders>
            <w:shd w:val="clear" w:color="auto" w:fill="auto"/>
            <w:noWrap/>
            <w:vAlign w:val="bottom"/>
            <w:hideMark/>
          </w:tcPr>
          <w:p w14:paraId="0E9A97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07" w:type="dxa"/>
            <w:tcBorders>
              <w:top w:val="nil"/>
              <w:left w:val="nil"/>
              <w:bottom w:val="nil"/>
              <w:right w:val="nil"/>
            </w:tcBorders>
            <w:shd w:val="clear" w:color="auto" w:fill="auto"/>
            <w:noWrap/>
            <w:vAlign w:val="bottom"/>
            <w:hideMark/>
          </w:tcPr>
          <w:p w14:paraId="5BA2AB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923" w:type="dxa"/>
            <w:tcBorders>
              <w:top w:val="nil"/>
              <w:left w:val="nil"/>
              <w:bottom w:val="nil"/>
              <w:right w:val="nil"/>
            </w:tcBorders>
            <w:shd w:val="clear" w:color="auto" w:fill="auto"/>
            <w:noWrap/>
            <w:vAlign w:val="bottom"/>
            <w:hideMark/>
          </w:tcPr>
          <w:p w14:paraId="0A96D0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87" w:type="dxa"/>
            <w:tcBorders>
              <w:top w:val="nil"/>
              <w:left w:val="nil"/>
              <w:bottom w:val="nil"/>
              <w:right w:val="nil"/>
            </w:tcBorders>
            <w:shd w:val="clear" w:color="auto" w:fill="auto"/>
            <w:noWrap/>
            <w:vAlign w:val="bottom"/>
            <w:hideMark/>
          </w:tcPr>
          <w:p w14:paraId="56C8E9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587" w:type="dxa"/>
            <w:tcBorders>
              <w:top w:val="nil"/>
              <w:left w:val="nil"/>
              <w:bottom w:val="nil"/>
              <w:right w:val="nil"/>
            </w:tcBorders>
            <w:shd w:val="clear" w:color="auto" w:fill="auto"/>
            <w:noWrap/>
            <w:vAlign w:val="bottom"/>
            <w:hideMark/>
          </w:tcPr>
          <w:p w14:paraId="74BC80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2C1F907A" w14:textId="77777777" w:rsidTr="00ED0631">
        <w:trPr>
          <w:trHeight w:val="315"/>
        </w:trPr>
        <w:tc>
          <w:tcPr>
            <w:tcW w:w="1630" w:type="dxa"/>
            <w:tcBorders>
              <w:top w:val="nil"/>
              <w:left w:val="nil"/>
              <w:bottom w:val="nil"/>
              <w:right w:val="nil"/>
            </w:tcBorders>
            <w:shd w:val="clear" w:color="auto" w:fill="auto"/>
            <w:noWrap/>
            <w:vAlign w:val="bottom"/>
            <w:hideMark/>
          </w:tcPr>
          <w:p w14:paraId="264434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07" w:type="dxa"/>
            <w:tcBorders>
              <w:top w:val="nil"/>
              <w:left w:val="nil"/>
              <w:bottom w:val="nil"/>
              <w:right w:val="nil"/>
            </w:tcBorders>
            <w:shd w:val="clear" w:color="auto" w:fill="auto"/>
            <w:noWrap/>
            <w:vAlign w:val="bottom"/>
            <w:hideMark/>
          </w:tcPr>
          <w:p w14:paraId="21AF5CE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5F8C37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87" w:type="dxa"/>
            <w:tcBorders>
              <w:top w:val="nil"/>
              <w:left w:val="nil"/>
              <w:bottom w:val="nil"/>
              <w:right w:val="nil"/>
            </w:tcBorders>
            <w:shd w:val="clear" w:color="auto" w:fill="auto"/>
            <w:noWrap/>
            <w:vAlign w:val="bottom"/>
            <w:hideMark/>
          </w:tcPr>
          <w:p w14:paraId="21326A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587" w:type="dxa"/>
            <w:tcBorders>
              <w:top w:val="nil"/>
              <w:left w:val="nil"/>
              <w:bottom w:val="nil"/>
              <w:right w:val="nil"/>
            </w:tcBorders>
            <w:shd w:val="clear" w:color="auto" w:fill="auto"/>
            <w:noWrap/>
            <w:vAlign w:val="bottom"/>
            <w:hideMark/>
          </w:tcPr>
          <w:p w14:paraId="263DCE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5FD1507C" w14:textId="77777777" w:rsidTr="00ED0631">
        <w:trPr>
          <w:trHeight w:val="315"/>
        </w:trPr>
        <w:tc>
          <w:tcPr>
            <w:tcW w:w="1630" w:type="dxa"/>
            <w:tcBorders>
              <w:top w:val="nil"/>
              <w:left w:val="nil"/>
              <w:bottom w:val="nil"/>
              <w:right w:val="nil"/>
            </w:tcBorders>
            <w:shd w:val="clear" w:color="auto" w:fill="auto"/>
            <w:noWrap/>
            <w:vAlign w:val="bottom"/>
            <w:hideMark/>
          </w:tcPr>
          <w:p w14:paraId="51F656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07" w:type="dxa"/>
            <w:tcBorders>
              <w:top w:val="nil"/>
              <w:left w:val="nil"/>
              <w:bottom w:val="nil"/>
              <w:right w:val="nil"/>
            </w:tcBorders>
            <w:shd w:val="clear" w:color="auto" w:fill="auto"/>
            <w:noWrap/>
            <w:vAlign w:val="bottom"/>
            <w:hideMark/>
          </w:tcPr>
          <w:p w14:paraId="7261B0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28B4D2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3BF8E3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587" w:type="dxa"/>
            <w:tcBorders>
              <w:top w:val="nil"/>
              <w:left w:val="nil"/>
              <w:bottom w:val="nil"/>
              <w:right w:val="nil"/>
            </w:tcBorders>
            <w:shd w:val="clear" w:color="auto" w:fill="auto"/>
            <w:noWrap/>
            <w:vAlign w:val="bottom"/>
            <w:hideMark/>
          </w:tcPr>
          <w:p w14:paraId="563F92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19E5683A" w14:textId="77777777" w:rsidTr="00ED0631">
        <w:trPr>
          <w:trHeight w:val="315"/>
        </w:trPr>
        <w:tc>
          <w:tcPr>
            <w:tcW w:w="1630" w:type="dxa"/>
            <w:tcBorders>
              <w:top w:val="nil"/>
              <w:left w:val="nil"/>
              <w:bottom w:val="nil"/>
              <w:right w:val="nil"/>
            </w:tcBorders>
            <w:shd w:val="clear" w:color="auto" w:fill="auto"/>
            <w:noWrap/>
            <w:vAlign w:val="bottom"/>
            <w:hideMark/>
          </w:tcPr>
          <w:p w14:paraId="7C0985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07" w:type="dxa"/>
            <w:tcBorders>
              <w:top w:val="nil"/>
              <w:left w:val="nil"/>
              <w:bottom w:val="nil"/>
              <w:right w:val="nil"/>
            </w:tcBorders>
            <w:shd w:val="clear" w:color="auto" w:fill="auto"/>
            <w:noWrap/>
            <w:vAlign w:val="bottom"/>
            <w:hideMark/>
          </w:tcPr>
          <w:p w14:paraId="1449F1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73B4ECE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7EF08F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587" w:type="dxa"/>
            <w:tcBorders>
              <w:top w:val="nil"/>
              <w:left w:val="nil"/>
              <w:bottom w:val="nil"/>
              <w:right w:val="nil"/>
            </w:tcBorders>
            <w:shd w:val="clear" w:color="auto" w:fill="auto"/>
            <w:noWrap/>
            <w:vAlign w:val="bottom"/>
            <w:hideMark/>
          </w:tcPr>
          <w:p w14:paraId="6DB0276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67AA666" w14:textId="77777777" w:rsidTr="00ED0631">
        <w:trPr>
          <w:trHeight w:val="315"/>
        </w:trPr>
        <w:tc>
          <w:tcPr>
            <w:tcW w:w="1630" w:type="dxa"/>
            <w:tcBorders>
              <w:top w:val="nil"/>
              <w:left w:val="nil"/>
              <w:bottom w:val="nil"/>
              <w:right w:val="nil"/>
            </w:tcBorders>
            <w:shd w:val="clear" w:color="auto" w:fill="auto"/>
            <w:noWrap/>
            <w:vAlign w:val="bottom"/>
            <w:hideMark/>
          </w:tcPr>
          <w:p w14:paraId="10DC34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07" w:type="dxa"/>
            <w:tcBorders>
              <w:top w:val="nil"/>
              <w:left w:val="nil"/>
              <w:bottom w:val="nil"/>
              <w:right w:val="nil"/>
            </w:tcBorders>
            <w:shd w:val="clear" w:color="auto" w:fill="auto"/>
            <w:noWrap/>
            <w:vAlign w:val="bottom"/>
            <w:hideMark/>
          </w:tcPr>
          <w:p w14:paraId="6ADC3A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1DBF8E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58DD50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87" w:type="dxa"/>
            <w:tcBorders>
              <w:top w:val="nil"/>
              <w:left w:val="nil"/>
              <w:bottom w:val="nil"/>
              <w:right w:val="nil"/>
            </w:tcBorders>
            <w:shd w:val="clear" w:color="auto" w:fill="auto"/>
            <w:noWrap/>
            <w:vAlign w:val="bottom"/>
            <w:hideMark/>
          </w:tcPr>
          <w:p w14:paraId="3D5EBC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1842CA63" w14:textId="77777777" w:rsidTr="00ED0631">
        <w:trPr>
          <w:trHeight w:val="315"/>
        </w:trPr>
        <w:tc>
          <w:tcPr>
            <w:tcW w:w="1630" w:type="dxa"/>
            <w:tcBorders>
              <w:top w:val="nil"/>
              <w:left w:val="nil"/>
              <w:bottom w:val="nil"/>
              <w:right w:val="nil"/>
            </w:tcBorders>
            <w:shd w:val="clear" w:color="auto" w:fill="auto"/>
            <w:noWrap/>
            <w:vAlign w:val="bottom"/>
            <w:hideMark/>
          </w:tcPr>
          <w:p w14:paraId="5A4E82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07" w:type="dxa"/>
            <w:tcBorders>
              <w:top w:val="nil"/>
              <w:left w:val="nil"/>
              <w:bottom w:val="nil"/>
              <w:right w:val="nil"/>
            </w:tcBorders>
            <w:shd w:val="clear" w:color="auto" w:fill="auto"/>
            <w:noWrap/>
            <w:vAlign w:val="bottom"/>
            <w:hideMark/>
          </w:tcPr>
          <w:p w14:paraId="10FCD4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4E61DD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387" w:type="dxa"/>
            <w:tcBorders>
              <w:top w:val="nil"/>
              <w:left w:val="nil"/>
              <w:bottom w:val="nil"/>
              <w:right w:val="nil"/>
            </w:tcBorders>
            <w:shd w:val="clear" w:color="auto" w:fill="auto"/>
            <w:noWrap/>
            <w:vAlign w:val="bottom"/>
            <w:hideMark/>
          </w:tcPr>
          <w:p w14:paraId="1B730C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27AC4E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369F304A" w14:textId="77777777" w:rsidTr="00ED0631">
        <w:trPr>
          <w:trHeight w:val="315"/>
        </w:trPr>
        <w:tc>
          <w:tcPr>
            <w:tcW w:w="1630" w:type="dxa"/>
            <w:tcBorders>
              <w:top w:val="nil"/>
              <w:left w:val="nil"/>
              <w:bottom w:val="nil"/>
              <w:right w:val="nil"/>
            </w:tcBorders>
            <w:shd w:val="clear" w:color="auto" w:fill="auto"/>
            <w:noWrap/>
            <w:vAlign w:val="bottom"/>
            <w:hideMark/>
          </w:tcPr>
          <w:p w14:paraId="555B09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07" w:type="dxa"/>
            <w:tcBorders>
              <w:top w:val="nil"/>
              <w:left w:val="nil"/>
              <w:bottom w:val="nil"/>
              <w:right w:val="nil"/>
            </w:tcBorders>
            <w:shd w:val="clear" w:color="auto" w:fill="auto"/>
            <w:noWrap/>
            <w:vAlign w:val="bottom"/>
            <w:hideMark/>
          </w:tcPr>
          <w:p w14:paraId="20820C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3817DF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87" w:type="dxa"/>
            <w:tcBorders>
              <w:top w:val="nil"/>
              <w:left w:val="nil"/>
              <w:bottom w:val="nil"/>
              <w:right w:val="nil"/>
            </w:tcBorders>
            <w:shd w:val="clear" w:color="auto" w:fill="auto"/>
            <w:noWrap/>
            <w:vAlign w:val="bottom"/>
            <w:hideMark/>
          </w:tcPr>
          <w:p w14:paraId="06F81D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587" w:type="dxa"/>
            <w:tcBorders>
              <w:top w:val="nil"/>
              <w:left w:val="nil"/>
              <w:bottom w:val="nil"/>
              <w:right w:val="nil"/>
            </w:tcBorders>
            <w:shd w:val="clear" w:color="auto" w:fill="auto"/>
            <w:noWrap/>
            <w:vAlign w:val="bottom"/>
            <w:hideMark/>
          </w:tcPr>
          <w:p w14:paraId="7798A9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26AEEE2E" w14:textId="77777777" w:rsidTr="00ED0631">
        <w:trPr>
          <w:trHeight w:val="315"/>
        </w:trPr>
        <w:tc>
          <w:tcPr>
            <w:tcW w:w="1630" w:type="dxa"/>
            <w:tcBorders>
              <w:top w:val="nil"/>
              <w:left w:val="nil"/>
              <w:bottom w:val="nil"/>
              <w:right w:val="nil"/>
            </w:tcBorders>
            <w:shd w:val="clear" w:color="auto" w:fill="auto"/>
            <w:noWrap/>
            <w:vAlign w:val="bottom"/>
            <w:hideMark/>
          </w:tcPr>
          <w:p w14:paraId="140C53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07" w:type="dxa"/>
            <w:tcBorders>
              <w:top w:val="nil"/>
              <w:left w:val="nil"/>
              <w:bottom w:val="nil"/>
              <w:right w:val="nil"/>
            </w:tcBorders>
            <w:shd w:val="clear" w:color="auto" w:fill="auto"/>
            <w:noWrap/>
            <w:vAlign w:val="bottom"/>
            <w:hideMark/>
          </w:tcPr>
          <w:p w14:paraId="37FEC0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4339C1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19C964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5E2AB00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42CE30B" w14:textId="77777777" w:rsidTr="00ED0631">
        <w:trPr>
          <w:trHeight w:val="315"/>
        </w:trPr>
        <w:tc>
          <w:tcPr>
            <w:tcW w:w="1630" w:type="dxa"/>
            <w:tcBorders>
              <w:top w:val="nil"/>
              <w:left w:val="nil"/>
              <w:bottom w:val="nil"/>
              <w:right w:val="nil"/>
            </w:tcBorders>
            <w:shd w:val="clear" w:color="auto" w:fill="auto"/>
            <w:noWrap/>
            <w:vAlign w:val="bottom"/>
            <w:hideMark/>
          </w:tcPr>
          <w:p w14:paraId="1FF430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07" w:type="dxa"/>
            <w:tcBorders>
              <w:top w:val="nil"/>
              <w:left w:val="nil"/>
              <w:bottom w:val="nil"/>
              <w:right w:val="nil"/>
            </w:tcBorders>
            <w:shd w:val="clear" w:color="auto" w:fill="auto"/>
            <w:noWrap/>
            <w:vAlign w:val="bottom"/>
            <w:hideMark/>
          </w:tcPr>
          <w:p w14:paraId="75E45E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923" w:type="dxa"/>
            <w:tcBorders>
              <w:top w:val="nil"/>
              <w:left w:val="nil"/>
              <w:bottom w:val="nil"/>
              <w:right w:val="nil"/>
            </w:tcBorders>
            <w:shd w:val="clear" w:color="auto" w:fill="auto"/>
            <w:noWrap/>
            <w:vAlign w:val="bottom"/>
            <w:hideMark/>
          </w:tcPr>
          <w:p w14:paraId="551017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387" w:type="dxa"/>
            <w:tcBorders>
              <w:top w:val="nil"/>
              <w:left w:val="nil"/>
              <w:bottom w:val="nil"/>
              <w:right w:val="nil"/>
            </w:tcBorders>
            <w:shd w:val="clear" w:color="auto" w:fill="auto"/>
            <w:noWrap/>
            <w:vAlign w:val="bottom"/>
            <w:hideMark/>
          </w:tcPr>
          <w:p w14:paraId="65549E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46 </w:t>
            </w:r>
          </w:p>
        </w:tc>
        <w:tc>
          <w:tcPr>
            <w:tcW w:w="1587" w:type="dxa"/>
            <w:tcBorders>
              <w:top w:val="nil"/>
              <w:left w:val="nil"/>
              <w:bottom w:val="nil"/>
              <w:right w:val="nil"/>
            </w:tcBorders>
            <w:shd w:val="clear" w:color="auto" w:fill="auto"/>
            <w:noWrap/>
            <w:vAlign w:val="bottom"/>
            <w:hideMark/>
          </w:tcPr>
          <w:p w14:paraId="7A4856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31 </w:t>
            </w:r>
          </w:p>
        </w:tc>
      </w:tr>
      <w:tr w:rsidR="00AC362E" w:rsidRPr="00491EF1" w14:paraId="4F432C79" w14:textId="77777777" w:rsidTr="00ED0631">
        <w:trPr>
          <w:trHeight w:val="315"/>
        </w:trPr>
        <w:tc>
          <w:tcPr>
            <w:tcW w:w="1630" w:type="dxa"/>
            <w:tcBorders>
              <w:top w:val="nil"/>
              <w:left w:val="nil"/>
              <w:bottom w:val="single" w:sz="4" w:space="0" w:color="auto"/>
              <w:right w:val="nil"/>
            </w:tcBorders>
            <w:shd w:val="clear" w:color="auto" w:fill="auto"/>
            <w:noWrap/>
            <w:vAlign w:val="bottom"/>
            <w:hideMark/>
          </w:tcPr>
          <w:p w14:paraId="090F01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07" w:type="dxa"/>
            <w:tcBorders>
              <w:top w:val="nil"/>
              <w:left w:val="nil"/>
              <w:bottom w:val="nil"/>
              <w:right w:val="nil"/>
            </w:tcBorders>
            <w:shd w:val="clear" w:color="auto" w:fill="auto"/>
            <w:noWrap/>
            <w:vAlign w:val="bottom"/>
            <w:hideMark/>
          </w:tcPr>
          <w:p w14:paraId="1FA72FD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6BE29A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nil"/>
              <w:right w:val="nil"/>
            </w:tcBorders>
            <w:shd w:val="clear" w:color="auto" w:fill="auto"/>
            <w:noWrap/>
            <w:vAlign w:val="bottom"/>
            <w:hideMark/>
          </w:tcPr>
          <w:p w14:paraId="6F3BD9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660E57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3121D588" w14:textId="77777777" w:rsidTr="00ED0631">
        <w:trPr>
          <w:trHeight w:val="315"/>
        </w:trPr>
        <w:tc>
          <w:tcPr>
            <w:tcW w:w="1630" w:type="dxa"/>
            <w:tcBorders>
              <w:top w:val="nil"/>
              <w:left w:val="nil"/>
              <w:bottom w:val="single" w:sz="4" w:space="0" w:color="auto"/>
              <w:right w:val="nil"/>
            </w:tcBorders>
            <w:shd w:val="clear" w:color="auto" w:fill="auto"/>
            <w:noWrap/>
            <w:vAlign w:val="bottom"/>
            <w:hideMark/>
          </w:tcPr>
          <w:p w14:paraId="5F0DF8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07" w:type="dxa"/>
            <w:tcBorders>
              <w:top w:val="single" w:sz="4" w:space="0" w:color="auto"/>
              <w:left w:val="nil"/>
              <w:bottom w:val="single" w:sz="4" w:space="0" w:color="auto"/>
              <w:right w:val="nil"/>
            </w:tcBorders>
            <w:shd w:val="clear" w:color="auto" w:fill="auto"/>
            <w:noWrap/>
            <w:vAlign w:val="bottom"/>
            <w:hideMark/>
          </w:tcPr>
          <w:p w14:paraId="35F0BE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37 </w:t>
            </w:r>
          </w:p>
        </w:tc>
        <w:tc>
          <w:tcPr>
            <w:tcW w:w="1923" w:type="dxa"/>
            <w:tcBorders>
              <w:top w:val="single" w:sz="4" w:space="0" w:color="auto"/>
              <w:left w:val="nil"/>
              <w:bottom w:val="single" w:sz="4" w:space="0" w:color="auto"/>
              <w:right w:val="nil"/>
            </w:tcBorders>
            <w:shd w:val="clear" w:color="auto" w:fill="auto"/>
            <w:noWrap/>
            <w:vAlign w:val="bottom"/>
            <w:hideMark/>
          </w:tcPr>
          <w:p w14:paraId="6FC4F5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 </w:t>
            </w:r>
          </w:p>
        </w:tc>
        <w:tc>
          <w:tcPr>
            <w:tcW w:w="1387" w:type="dxa"/>
            <w:tcBorders>
              <w:top w:val="single" w:sz="4" w:space="0" w:color="auto"/>
              <w:left w:val="nil"/>
              <w:bottom w:val="single" w:sz="4" w:space="0" w:color="auto"/>
              <w:right w:val="nil"/>
            </w:tcBorders>
            <w:shd w:val="clear" w:color="auto" w:fill="auto"/>
            <w:noWrap/>
            <w:vAlign w:val="bottom"/>
            <w:hideMark/>
          </w:tcPr>
          <w:p w14:paraId="721363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82 </w:t>
            </w:r>
          </w:p>
        </w:tc>
        <w:tc>
          <w:tcPr>
            <w:tcW w:w="1587" w:type="dxa"/>
            <w:tcBorders>
              <w:top w:val="single" w:sz="4" w:space="0" w:color="auto"/>
              <w:left w:val="nil"/>
              <w:bottom w:val="single" w:sz="4" w:space="0" w:color="auto"/>
              <w:right w:val="nil"/>
            </w:tcBorders>
            <w:shd w:val="clear" w:color="auto" w:fill="auto"/>
            <w:noWrap/>
            <w:vAlign w:val="bottom"/>
            <w:hideMark/>
          </w:tcPr>
          <w:p w14:paraId="6CD136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50 </w:t>
            </w:r>
          </w:p>
        </w:tc>
      </w:tr>
    </w:tbl>
    <w:p w14:paraId="7A098577" w14:textId="77777777" w:rsidR="00AC362E" w:rsidRPr="00491EF1" w:rsidRDefault="00AC362E" w:rsidP="00512A02">
      <w:pPr>
        <w:tabs>
          <w:tab w:val="left" w:pos="1573"/>
          <w:tab w:val="left" w:pos="3053"/>
          <w:tab w:val="left" w:pos="4533"/>
          <w:tab w:val="left" w:pos="6013"/>
          <w:tab w:val="left" w:pos="7493"/>
          <w:tab w:val="left" w:pos="10453"/>
          <w:tab w:val="left" w:pos="11933"/>
          <w:tab w:val="left" w:pos="13413"/>
        </w:tabs>
        <w:spacing w:before="200" w:after="100"/>
        <w:ind w:left="91" w:right="-330"/>
        <w:rPr>
          <w:rFonts w:asciiTheme="majorHAnsi" w:eastAsia="Times New Roman" w:hAnsiTheme="majorHAnsi" w:cstheme="majorHAnsi"/>
          <w:b/>
          <w:color w:val="000000"/>
          <w:spacing w:val="-2"/>
          <w:lang w:eastAsia="en-AU"/>
        </w:rPr>
      </w:pPr>
      <w:r w:rsidRPr="00491EF1">
        <w:rPr>
          <w:rFonts w:asciiTheme="majorHAnsi" w:eastAsia="Times New Roman" w:hAnsiTheme="majorHAnsi" w:cstheme="majorHAnsi"/>
          <w:b/>
          <w:color w:val="000000"/>
          <w:spacing w:val="-2"/>
          <w:lang w:eastAsia="en-AU"/>
        </w:rPr>
        <w:t>Table 15: Teachers' rating of the support they received from the School Leaders by island type</w:t>
      </w:r>
    </w:p>
    <w:tbl>
      <w:tblPr>
        <w:tblW w:w="7446" w:type="dxa"/>
        <w:tblInd w:w="93" w:type="dxa"/>
        <w:tblLook w:val="04A0" w:firstRow="1" w:lastRow="0" w:firstColumn="1" w:lastColumn="0" w:noHBand="0" w:noVBand="1"/>
      </w:tblPr>
      <w:tblGrid>
        <w:gridCol w:w="1242"/>
        <w:gridCol w:w="1307"/>
        <w:gridCol w:w="1923"/>
        <w:gridCol w:w="1387"/>
        <w:gridCol w:w="1587"/>
      </w:tblGrid>
      <w:tr w:rsidR="00AC362E" w:rsidRPr="00491EF1" w14:paraId="2B0EFA2F"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5A5215DF"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1A1DFE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0BC202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2CF74A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25FB0C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1D683D92"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78A09C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07" w:type="dxa"/>
            <w:tcBorders>
              <w:top w:val="nil"/>
              <w:left w:val="nil"/>
              <w:bottom w:val="nil"/>
              <w:right w:val="nil"/>
            </w:tcBorders>
            <w:shd w:val="clear" w:color="auto" w:fill="auto"/>
            <w:noWrap/>
            <w:vAlign w:val="bottom"/>
            <w:hideMark/>
          </w:tcPr>
          <w:p w14:paraId="44AACD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923" w:type="dxa"/>
            <w:tcBorders>
              <w:top w:val="nil"/>
              <w:left w:val="nil"/>
              <w:bottom w:val="nil"/>
              <w:right w:val="nil"/>
            </w:tcBorders>
            <w:shd w:val="clear" w:color="auto" w:fill="auto"/>
            <w:noWrap/>
            <w:vAlign w:val="bottom"/>
            <w:hideMark/>
          </w:tcPr>
          <w:p w14:paraId="67A690D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387" w:type="dxa"/>
            <w:tcBorders>
              <w:top w:val="nil"/>
              <w:left w:val="nil"/>
              <w:bottom w:val="nil"/>
              <w:right w:val="nil"/>
            </w:tcBorders>
            <w:shd w:val="clear" w:color="auto" w:fill="auto"/>
            <w:noWrap/>
            <w:vAlign w:val="bottom"/>
            <w:hideMark/>
          </w:tcPr>
          <w:p w14:paraId="7C0F27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 </w:t>
            </w:r>
          </w:p>
        </w:tc>
        <w:tc>
          <w:tcPr>
            <w:tcW w:w="1587" w:type="dxa"/>
            <w:tcBorders>
              <w:top w:val="nil"/>
              <w:left w:val="nil"/>
              <w:bottom w:val="nil"/>
              <w:right w:val="nil"/>
            </w:tcBorders>
            <w:shd w:val="clear" w:color="auto" w:fill="auto"/>
            <w:noWrap/>
            <w:vAlign w:val="bottom"/>
            <w:hideMark/>
          </w:tcPr>
          <w:p w14:paraId="6C6297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08D5B4FC" w14:textId="77777777" w:rsidTr="00ED0631">
        <w:trPr>
          <w:trHeight w:val="315"/>
        </w:trPr>
        <w:tc>
          <w:tcPr>
            <w:tcW w:w="1242" w:type="dxa"/>
            <w:tcBorders>
              <w:top w:val="nil"/>
              <w:left w:val="nil"/>
              <w:bottom w:val="nil"/>
              <w:right w:val="nil"/>
            </w:tcBorders>
            <w:shd w:val="clear" w:color="auto" w:fill="auto"/>
            <w:noWrap/>
            <w:vAlign w:val="bottom"/>
            <w:hideMark/>
          </w:tcPr>
          <w:p w14:paraId="430EC6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07" w:type="dxa"/>
            <w:tcBorders>
              <w:top w:val="nil"/>
              <w:left w:val="nil"/>
              <w:bottom w:val="nil"/>
              <w:right w:val="nil"/>
            </w:tcBorders>
            <w:shd w:val="clear" w:color="auto" w:fill="auto"/>
            <w:noWrap/>
            <w:vAlign w:val="bottom"/>
            <w:hideMark/>
          </w:tcPr>
          <w:p w14:paraId="28E233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923" w:type="dxa"/>
            <w:tcBorders>
              <w:top w:val="nil"/>
              <w:left w:val="nil"/>
              <w:bottom w:val="nil"/>
              <w:right w:val="nil"/>
            </w:tcBorders>
            <w:shd w:val="clear" w:color="auto" w:fill="auto"/>
            <w:noWrap/>
            <w:vAlign w:val="bottom"/>
            <w:hideMark/>
          </w:tcPr>
          <w:p w14:paraId="08CF70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87" w:type="dxa"/>
            <w:tcBorders>
              <w:top w:val="nil"/>
              <w:left w:val="nil"/>
              <w:bottom w:val="nil"/>
              <w:right w:val="nil"/>
            </w:tcBorders>
            <w:shd w:val="clear" w:color="auto" w:fill="auto"/>
            <w:noWrap/>
            <w:vAlign w:val="bottom"/>
            <w:hideMark/>
          </w:tcPr>
          <w:p w14:paraId="1917A7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587" w:type="dxa"/>
            <w:tcBorders>
              <w:top w:val="nil"/>
              <w:left w:val="nil"/>
              <w:bottom w:val="nil"/>
              <w:right w:val="nil"/>
            </w:tcBorders>
            <w:shd w:val="clear" w:color="auto" w:fill="auto"/>
            <w:noWrap/>
            <w:vAlign w:val="bottom"/>
            <w:hideMark/>
          </w:tcPr>
          <w:p w14:paraId="3B8217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30BF4B65" w14:textId="77777777" w:rsidTr="00ED0631">
        <w:trPr>
          <w:trHeight w:val="315"/>
        </w:trPr>
        <w:tc>
          <w:tcPr>
            <w:tcW w:w="1242" w:type="dxa"/>
            <w:tcBorders>
              <w:top w:val="nil"/>
              <w:left w:val="nil"/>
              <w:bottom w:val="nil"/>
              <w:right w:val="nil"/>
            </w:tcBorders>
            <w:shd w:val="clear" w:color="auto" w:fill="auto"/>
            <w:noWrap/>
            <w:vAlign w:val="bottom"/>
            <w:hideMark/>
          </w:tcPr>
          <w:p w14:paraId="098CDCA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07" w:type="dxa"/>
            <w:tcBorders>
              <w:top w:val="nil"/>
              <w:left w:val="nil"/>
              <w:bottom w:val="nil"/>
              <w:right w:val="nil"/>
            </w:tcBorders>
            <w:shd w:val="clear" w:color="auto" w:fill="auto"/>
            <w:noWrap/>
            <w:vAlign w:val="bottom"/>
            <w:hideMark/>
          </w:tcPr>
          <w:p w14:paraId="7BFA84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923" w:type="dxa"/>
            <w:tcBorders>
              <w:top w:val="nil"/>
              <w:left w:val="nil"/>
              <w:bottom w:val="nil"/>
              <w:right w:val="nil"/>
            </w:tcBorders>
            <w:shd w:val="clear" w:color="auto" w:fill="auto"/>
            <w:noWrap/>
            <w:vAlign w:val="bottom"/>
            <w:hideMark/>
          </w:tcPr>
          <w:p w14:paraId="54A70C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387" w:type="dxa"/>
            <w:tcBorders>
              <w:top w:val="nil"/>
              <w:left w:val="nil"/>
              <w:bottom w:val="nil"/>
              <w:right w:val="nil"/>
            </w:tcBorders>
            <w:shd w:val="clear" w:color="auto" w:fill="auto"/>
            <w:noWrap/>
            <w:vAlign w:val="bottom"/>
            <w:hideMark/>
          </w:tcPr>
          <w:p w14:paraId="278B17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46 </w:t>
            </w:r>
          </w:p>
        </w:tc>
        <w:tc>
          <w:tcPr>
            <w:tcW w:w="1587" w:type="dxa"/>
            <w:tcBorders>
              <w:top w:val="nil"/>
              <w:left w:val="nil"/>
              <w:bottom w:val="nil"/>
              <w:right w:val="nil"/>
            </w:tcBorders>
            <w:shd w:val="clear" w:color="auto" w:fill="auto"/>
            <w:noWrap/>
            <w:vAlign w:val="bottom"/>
            <w:hideMark/>
          </w:tcPr>
          <w:p w14:paraId="1E07EA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31 </w:t>
            </w:r>
          </w:p>
        </w:tc>
      </w:tr>
      <w:tr w:rsidR="00AC362E" w:rsidRPr="00491EF1" w14:paraId="48FAEFFF"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35BC1F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07" w:type="dxa"/>
            <w:tcBorders>
              <w:top w:val="single" w:sz="4" w:space="0" w:color="auto"/>
              <w:left w:val="nil"/>
              <w:bottom w:val="single" w:sz="4" w:space="0" w:color="auto"/>
              <w:right w:val="nil"/>
            </w:tcBorders>
            <w:shd w:val="clear" w:color="auto" w:fill="auto"/>
            <w:noWrap/>
            <w:vAlign w:val="bottom"/>
            <w:hideMark/>
          </w:tcPr>
          <w:p w14:paraId="0D0EB2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37 </w:t>
            </w:r>
          </w:p>
        </w:tc>
        <w:tc>
          <w:tcPr>
            <w:tcW w:w="1923" w:type="dxa"/>
            <w:tcBorders>
              <w:top w:val="single" w:sz="4" w:space="0" w:color="auto"/>
              <w:left w:val="nil"/>
              <w:bottom w:val="single" w:sz="4" w:space="0" w:color="auto"/>
              <w:right w:val="nil"/>
            </w:tcBorders>
            <w:shd w:val="clear" w:color="auto" w:fill="auto"/>
            <w:noWrap/>
            <w:vAlign w:val="bottom"/>
            <w:hideMark/>
          </w:tcPr>
          <w:p w14:paraId="07E595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35 </w:t>
            </w:r>
          </w:p>
        </w:tc>
        <w:tc>
          <w:tcPr>
            <w:tcW w:w="1387" w:type="dxa"/>
            <w:tcBorders>
              <w:top w:val="single" w:sz="4" w:space="0" w:color="auto"/>
              <w:left w:val="nil"/>
              <w:bottom w:val="single" w:sz="4" w:space="0" w:color="auto"/>
              <w:right w:val="nil"/>
            </w:tcBorders>
            <w:shd w:val="clear" w:color="auto" w:fill="auto"/>
            <w:noWrap/>
            <w:vAlign w:val="bottom"/>
            <w:hideMark/>
          </w:tcPr>
          <w:p w14:paraId="0DAB29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82 </w:t>
            </w:r>
          </w:p>
        </w:tc>
        <w:tc>
          <w:tcPr>
            <w:tcW w:w="1587" w:type="dxa"/>
            <w:tcBorders>
              <w:top w:val="single" w:sz="4" w:space="0" w:color="auto"/>
              <w:left w:val="nil"/>
              <w:bottom w:val="single" w:sz="4" w:space="0" w:color="auto"/>
              <w:right w:val="nil"/>
            </w:tcBorders>
            <w:shd w:val="clear" w:color="auto" w:fill="auto"/>
            <w:noWrap/>
            <w:vAlign w:val="bottom"/>
            <w:hideMark/>
          </w:tcPr>
          <w:p w14:paraId="7A5925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50 </w:t>
            </w:r>
          </w:p>
        </w:tc>
      </w:tr>
    </w:tbl>
    <w:p w14:paraId="5DD5DEAE"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16: Number of teachers than discuss their lesson plans with colleagues by island</w:t>
      </w:r>
    </w:p>
    <w:tbl>
      <w:tblPr>
        <w:tblW w:w="4761" w:type="dxa"/>
        <w:tblInd w:w="93" w:type="dxa"/>
        <w:tblLook w:val="04A0" w:firstRow="1" w:lastRow="0" w:firstColumn="1" w:lastColumn="0" w:noHBand="0" w:noVBand="1"/>
      </w:tblPr>
      <w:tblGrid>
        <w:gridCol w:w="2039"/>
        <w:gridCol w:w="1361"/>
        <w:gridCol w:w="1361"/>
      </w:tblGrid>
      <w:tr w:rsidR="00AC362E" w:rsidRPr="00491EF1" w14:paraId="3E8623A1" w14:textId="77777777" w:rsidTr="00ED0631">
        <w:trPr>
          <w:trHeight w:val="315"/>
        </w:trPr>
        <w:tc>
          <w:tcPr>
            <w:tcW w:w="2039" w:type="dxa"/>
            <w:tcBorders>
              <w:top w:val="single" w:sz="4" w:space="0" w:color="auto"/>
              <w:left w:val="nil"/>
              <w:bottom w:val="single" w:sz="4" w:space="0" w:color="auto"/>
              <w:right w:val="nil"/>
            </w:tcBorders>
            <w:shd w:val="clear" w:color="auto" w:fill="auto"/>
            <w:noWrap/>
            <w:vAlign w:val="bottom"/>
            <w:hideMark/>
          </w:tcPr>
          <w:p w14:paraId="70CC9944"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61" w:type="dxa"/>
            <w:tcBorders>
              <w:top w:val="single" w:sz="4" w:space="0" w:color="auto"/>
              <w:left w:val="nil"/>
              <w:bottom w:val="single" w:sz="4" w:space="0" w:color="auto"/>
              <w:right w:val="nil"/>
            </w:tcBorders>
            <w:shd w:val="clear" w:color="auto" w:fill="auto"/>
            <w:noWrap/>
            <w:vAlign w:val="bottom"/>
            <w:hideMark/>
          </w:tcPr>
          <w:p w14:paraId="7420C0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361" w:type="dxa"/>
            <w:tcBorders>
              <w:top w:val="single" w:sz="4" w:space="0" w:color="auto"/>
              <w:left w:val="nil"/>
              <w:bottom w:val="single" w:sz="4" w:space="0" w:color="auto"/>
              <w:right w:val="nil"/>
            </w:tcBorders>
            <w:shd w:val="clear" w:color="auto" w:fill="auto"/>
            <w:noWrap/>
            <w:vAlign w:val="bottom"/>
            <w:hideMark/>
          </w:tcPr>
          <w:p w14:paraId="278BF0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7CB56B5D" w14:textId="77777777" w:rsidTr="00ED0631">
        <w:trPr>
          <w:trHeight w:val="315"/>
        </w:trPr>
        <w:tc>
          <w:tcPr>
            <w:tcW w:w="2039" w:type="dxa"/>
            <w:tcBorders>
              <w:top w:val="nil"/>
              <w:left w:val="nil"/>
              <w:bottom w:val="nil"/>
              <w:right w:val="nil"/>
            </w:tcBorders>
            <w:shd w:val="clear" w:color="auto" w:fill="auto"/>
            <w:noWrap/>
            <w:vAlign w:val="bottom"/>
            <w:hideMark/>
          </w:tcPr>
          <w:p w14:paraId="3B11B4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61" w:type="dxa"/>
            <w:tcBorders>
              <w:top w:val="nil"/>
              <w:left w:val="nil"/>
              <w:bottom w:val="nil"/>
              <w:right w:val="nil"/>
            </w:tcBorders>
            <w:shd w:val="clear" w:color="auto" w:fill="auto"/>
            <w:noWrap/>
            <w:vAlign w:val="bottom"/>
            <w:hideMark/>
          </w:tcPr>
          <w:p w14:paraId="314E0F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361" w:type="dxa"/>
            <w:tcBorders>
              <w:top w:val="nil"/>
              <w:left w:val="nil"/>
              <w:bottom w:val="nil"/>
              <w:right w:val="nil"/>
            </w:tcBorders>
            <w:shd w:val="clear" w:color="auto" w:fill="auto"/>
            <w:noWrap/>
            <w:vAlign w:val="bottom"/>
            <w:hideMark/>
          </w:tcPr>
          <w:p w14:paraId="1AB068E9"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7DE0AD5" w14:textId="77777777" w:rsidTr="00ED0631">
        <w:trPr>
          <w:trHeight w:val="315"/>
        </w:trPr>
        <w:tc>
          <w:tcPr>
            <w:tcW w:w="2039" w:type="dxa"/>
            <w:tcBorders>
              <w:top w:val="nil"/>
              <w:left w:val="nil"/>
              <w:bottom w:val="nil"/>
              <w:right w:val="nil"/>
            </w:tcBorders>
            <w:shd w:val="clear" w:color="auto" w:fill="auto"/>
            <w:noWrap/>
            <w:vAlign w:val="bottom"/>
            <w:hideMark/>
          </w:tcPr>
          <w:p w14:paraId="56E4BB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61" w:type="dxa"/>
            <w:tcBorders>
              <w:top w:val="nil"/>
              <w:left w:val="nil"/>
              <w:bottom w:val="nil"/>
              <w:right w:val="nil"/>
            </w:tcBorders>
            <w:shd w:val="clear" w:color="auto" w:fill="auto"/>
            <w:noWrap/>
            <w:vAlign w:val="bottom"/>
            <w:hideMark/>
          </w:tcPr>
          <w:p w14:paraId="200892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1361" w:type="dxa"/>
            <w:tcBorders>
              <w:top w:val="nil"/>
              <w:left w:val="nil"/>
              <w:bottom w:val="nil"/>
              <w:right w:val="nil"/>
            </w:tcBorders>
            <w:shd w:val="clear" w:color="auto" w:fill="auto"/>
            <w:noWrap/>
            <w:vAlign w:val="bottom"/>
            <w:hideMark/>
          </w:tcPr>
          <w:p w14:paraId="03EB606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577FBC4" w14:textId="77777777" w:rsidTr="00ED0631">
        <w:trPr>
          <w:trHeight w:val="315"/>
        </w:trPr>
        <w:tc>
          <w:tcPr>
            <w:tcW w:w="2039" w:type="dxa"/>
            <w:tcBorders>
              <w:top w:val="nil"/>
              <w:left w:val="nil"/>
              <w:bottom w:val="nil"/>
              <w:right w:val="nil"/>
            </w:tcBorders>
            <w:shd w:val="clear" w:color="auto" w:fill="auto"/>
            <w:noWrap/>
            <w:vAlign w:val="bottom"/>
            <w:hideMark/>
          </w:tcPr>
          <w:p w14:paraId="1C528F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61" w:type="dxa"/>
            <w:tcBorders>
              <w:top w:val="nil"/>
              <w:left w:val="nil"/>
              <w:bottom w:val="nil"/>
              <w:right w:val="nil"/>
            </w:tcBorders>
            <w:shd w:val="clear" w:color="auto" w:fill="auto"/>
            <w:noWrap/>
            <w:vAlign w:val="bottom"/>
            <w:hideMark/>
          </w:tcPr>
          <w:p w14:paraId="264ABC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361" w:type="dxa"/>
            <w:tcBorders>
              <w:top w:val="nil"/>
              <w:left w:val="nil"/>
              <w:bottom w:val="nil"/>
              <w:right w:val="nil"/>
            </w:tcBorders>
            <w:shd w:val="clear" w:color="auto" w:fill="auto"/>
            <w:noWrap/>
            <w:vAlign w:val="bottom"/>
            <w:hideMark/>
          </w:tcPr>
          <w:p w14:paraId="1C1E67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632D4E2" w14:textId="77777777" w:rsidTr="00ED0631">
        <w:trPr>
          <w:trHeight w:val="315"/>
        </w:trPr>
        <w:tc>
          <w:tcPr>
            <w:tcW w:w="2039" w:type="dxa"/>
            <w:tcBorders>
              <w:top w:val="nil"/>
              <w:left w:val="nil"/>
              <w:bottom w:val="nil"/>
              <w:right w:val="nil"/>
            </w:tcBorders>
            <w:shd w:val="clear" w:color="auto" w:fill="auto"/>
            <w:noWrap/>
            <w:vAlign w:val="bottom"/>
            <w:hideMark/>
          </w:tcPr>
          <w:p w14:paraId="770283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61" w:type="dxa"/>
            <w:tcBorders>
              <w:top w:val="nil"/>
              <w:left w:val="nil"/>
              <w:bottom w:val="nil"/>
              <w:right w:val="nil"/>
            </w:tcBorders>
            <w:shd w:val="clear" w:color="auto" w:fill="auto"/>
            <w:noWrap/>
            <w:vAlign w:val="bottom"/>
            <w:hideMark/>
          </w:tcPr>
          <w:p w14:paraId="366BF0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61" w:type="dxa"/>
            <w:tcBorders>
              <w:top w:val="nil"/>
              <w:left w:val="nil"/>
              <w:bottom w:val="nil"/>
              <w:right w:val="nil"/>
            </w:tcBorders>
            <w:shd w:val="clear" w:color="auto" w:fill="auto"/>
            <w:noWrap/>
            <w:vAlign w:val="bottom"/>
            <w:hideMark/>
          </w:tcPr>
          <w:p w14:paraId="6608AF1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385A159" w14:textId="77777777" w:rsidTr="00ED0631">
        <w:trPr>
          <w:trHeight w:val="315"/>
        </w:trPr>
        <w:tc>
          <w:tcPr>
            <w:tcW w:w="2039" w:type="dxa"/>
            <w:tcBorders>
              <w:top w:val="nil"/>
              <w:left w:val="nil"/>
              <w:bottom w:val="nil"/>
              <w:right w:val="nil"/>
            </w:tcBorders>
            <w:shd w:val="clear" w:color="auto" w:fill="auto"/>
            <w:noWrap/>
            <w:vAlign w:val="bottom"/>
            <w:hideMark/>
          </w:tcPr>
          <w:p w14:paraId="171DCA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61" w:type="dxa"/>
            <w:tcBorders>
              <w:top w:val="nil"/>
              <w:left w:val="nil"/>
              <w:bottom w:val="nil"/>
              <w:right w:val="nil"/>
            </w:tcBorders>
            <w:shd w:val="clear" w:color="auto" w:fill="auto"/>
            <w:noWrap/>
            <w:vAlign w:val="bottom"/>
            <w:hideMark/>
          </w:tcPr>
          <w:p w14:paraId="6CF904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361" w:type="dxa"/>
            <w:tcBorders>
              <w:top w:val="nil"/>
              <w:left w:val="nil"/>
              <w:bottom w:val="nil"/>
              <w:right w:val="nil"/>
            </w:tcBorders>
            <w:shd w:val="clear" w:color="auto" w:fill="auto"/>
            <w:noWrap/>
            <w:vAlign w:val="bottom"/>
            <w:hideMark/>
          </w:tcPr>
          <w:p w14:paraId="2835D0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0714761C" w14:textId="77777777" w:rsidTr="00ED0631">
        <w:trPr>
          <w:trHeight w:val="315"/>
        </w:trPr>
        <w:tc>
          <w:tcPr>
            <w:tcW w:w="2039" w:type="dxa"/>
            <w:tcBorders>
              <w:top w:val="nil"/>
              <w:left w:val="nil"/>
              <w:bottom w:val="nil"/>
              <w:right w:val="nil"/>
            </w:tcBorders>
            <w:shd w:val="clear" w:color="auto" w:fill="auto"/>
            <w:noWrap/>
            <w:vAlign w:val="bottom"/>
            <w:hideMark/>
          </w:tcPr>
          <w:p w14:paraId="288B98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61" w:type="dxa"/>
            <w:tcBorders>
              <w:top w:val="nil"/>
              <w:left w:val="nil"/>
              <w:bottom w:val="nil"/>
              <w:right w:val="nil"/>
            </w:tcBorders>
            <w:shd w:val="clear" w:color="auto" w:fill="auto"/>
            <w:noWrap/>
            <w:vAlign w:val="bottom"/>
            <w:hideMark/>
          </w:tcPr>
          <w:p w14:paraId="0E6E85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361" w:type="dxa"/>
            <w:tcBorders>
              <w:top w:val="nil"/>
              <w:left w:val="nil"/>
              <w:bottom w:val="nil"/>
              <w:right w:val="nil"/>
            </w:tcBorders>
            <w:shd w:val="clear" w:color="auto" w:fill="auto"/>
            <w:noWrap/>
            <w:vAlign w:val="bottom"/>
            <w:hideMark/>
          </w:tcPr>
          <w:p w14:paraId="411614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5E1E8E02" w14:textId="77777777" w:rsidTr="00ED0631">
        <w:trPr>
          <w:trHeight w:val="315"/>
        </w:trPr>
        <w:tc>
          <w:tcPr>
            <w:tcW w:w="2039" w:type="dxa"/>
            <w:tcBorders>
              <w:top w:val="nil"/>
              <w:left w:val="nil"/>
              <w:bottom w:val="nil"/>
              <w:right w:val="nil"/>
            </w:tcBorders>
            <w:shd w:val="clear" w:color="auto" w:fill="auto"/>
            <w:noWrap/>
            <w:vAlign w:val="bottom"/>
            <w:hideMark/>
          </w:tcPr>
          <w:p w14:paraId="3703B7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61" w:type="dxa"/>
            <w:tcBorders>
              <w:top w:val="nil"/>
              <w:left w:val="nil"/>
              <w:bottom w:val="nil"/>
              <w:right w:val="nil"/>
            </w:tcBorders>
            <w:shd w:val="clear" w:color="auto" w:fill="auto"/>
            <w:noWrap/>
            <w:vAlign w:val="bottom"/>
            <w:hideMark/>
          </w:tcPr>
          <w:p w14:paraId="24B23D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361" w:type="dxa"/>
            <w:tcBorders>
              <w:top w:val="nil"/>
              <w:left w:val="nil"/>
              <w:bottom w:val="nil"/>
              <w:right w:val="nil"/>
            </w:tcBorders>
            <w:shd w:val="clear" w:color="auto" w:fill="auto"/>
            <w:noWrap/>
            <w:vAlign w:val="bottom"/>
            <w:hideMark/>
          </w:tcPr>
          <w:p w14:paraId="64E5C7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67026718" w14:textId="77777777" w:rsidTr="00ED0631">
        <w:trPr>
          <w:trHeight w:val="315"/>
        </w:trPr>
        <w:tc>
          <w:tcPr>
            <w:tcW w:w="2039" w:type="dxa"/>
            <w:tcBorders>
              <w:top w:val="nil"/>
              <w:left w:val="nil"/>
              <w:bottom w:val="nil"/>
              <w:right w:val="nil"/>
            </w:tcBorders>
            <w:shd w:val="clear" w:color="auto" w:fill="auto"/>
            <w:noWrap/>
            <w:vAlign w:val="bottom"/>
            <w:hideMark/>
          </w:tcPr>
          <w:p w14:paraId="553ABE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61" w:type="dxa"/>
            <w:tcBorders>
              <w:top w:val="nil"/>
              <w:left w:val="nil"/>
              <w:bottom w:val="nil"/>
              <w:right w:val="nil"/>
            </w:tcBorders>
            <w:shd w:val="clear" w:color="auto" w:fill="auto"/>
            <w:noWrap/>
            <w:vAlign w:val="bottom"/>
            <w:hideMark/>
          </w:tcPr>
          <w:p w14:paraId="49A2F5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1" w:type="dxa"/>
            <w:tcBorders>
              <w:top w:val="nil"/>
              <w:left w:val="nil"/>
              <w:bottom w:val="nil"/>
              <w:right w:val="nil"/>
            </w:tcBorders>
            <w:shd w:val="clear" w:color="auto" w:fill="auto"/>
            <w:noWrap/>
            <w:vAlign w:val="bottom"/>
            <w:hideMark/>
          </w:tcPr>
          <w:p w14:paraId="0BAC2B3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7DAED88" w14:textId="77777777" w:rsidTr="00ED0631">
        <w:trPr>
          <w:trHeight w:val="315"/>
        </w:trPr>
        <w:tc>
          <w:tcPr>
            <w:tcW w:w="2039" w:type="dxa"/>
            <w:tcBorders>
              <w:top w:val="nil"/>
              <w:left w:val="nil"/>
              <w:bottom w:val="nil"/>
              <w:right w:val="nil"/>
            </w:tcBorders>
            <w:shd w:val="clear" w:color="auto" w:fill="auto"/>
            <w:noWrap/>
            <w:vAlign w:val="bottom"/>
            <w:hideMark/>
          </w:tcPr>
          <w:p w14:paraId="6239F1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61" w:type="dxa"/>
            <w:tcBorders>
              <w:top w:val="nil"/>
              <w:left w:val="nil"/>
              <w:bottom w:val="nil"/>
              <w:right w:val="nil"/>
            </w:tcBorders>
            <w:shd w:val="clear" w:color="auto" w:fill="auto"/>
            <w:noWrap/>
            <w:vAlign w:val="bottom"/>
            <w:hideMark/>
          </w:tcPr>
          <w:p w14:paraId="63F506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90 </w:t>
            </w:r>
          </w:p>
        </w:tc>
        <w:tc>
          <w:tcPr>
            <w:tcW w:w="1361" w:type="dxa"/>
            <w:tcBorders>
              <w:top w:val="nil"/>
              <w:left w:val="nil"/>
              <w:bottom w:val="nil"/>
              <w:right w:val="nil"/>
            </w:tcBorders>
            <w:shd w:val="clear" w:color="auto" w:fill="auto"/>
            <w:noWrap/>
            <w:vAlign w:val="bottom"/>
            <w:hideMark/>
          </w:tcPr>
          <w:p w14:paraId="49F785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3BE7D59B" w14:textId="77777777" w:rsidTr="00ED0631">
        <w:trPr>
          <w:trHeight w:val="315"/>
        </w:trPr>
        <w:tc>
          <w:tcPr>
            <w:tcW w:w="2039" w:type="dxa"/>
            <w:tcBorders>
              <w:top w:val="nil"/>
              <w:left w:val="nil"/>
              <w:bottom w:val="single" w:sz="4" w:space="0" w:color="auto"/>
              <w:right w:val="nil"/>
            </w:tcBorders>
            <w:shd w:val="clear" w:color="auto" w:fill="auto"/>
            <w:noWrap/>
            <w:vAlign w:val="bottom"/>
            <w:hideMark/>
          </w:tcPr>
          <w:p w14:paraId="64D758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61" w:type="dxa"/>
            <w:tcBorders>
              <w:top w:val="nil"/>
              <w:left w:val="nil"/>
              <w:bottom w:val="single" w:sz="4" w:space="0" w:color="auto"/>
              <w:right w:val="nil"/>
            </w:tcBorders>
            <w:shd w:val="clear" w:color="auto" w:fill="auto"/>
            <w:noWrap/>
            <w:vAlign w:val="bottom"/>
            <w:hideMark/>
          </w:tcPr>
          <w:p w14:paraId="347CDE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1" w:type="dxa"/>
            <w:tcBorders>
              <w:top w:val="nil"/>
              <w:left w:val="nil"/>
              <w:bottom w:val="single" w:sz="4" w:space="0" w:color="auto"/>
              <w:right w:val="nil"/>
            </w:tcBorders>
            <w:shd w:val="clear" w:color="auto" w:fill="auto"/>
            <w:noWrap/>
            <w:vAlign w:val="bottom"/>
            <w:hideMark/>
          </w:tcPr>
          <w:p w14:paraId="356D44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41F515BB" w14:textId="77777777" w:rsidTr="00ED0631">
        <w:trPr>
          <w:trHeight w:val="315"/>
        </w:trPr>
        <w:tc>
          <w:tcPr>
            <w:tcW w:w="2039" w:type="dxa"/>
            <w:tcBorders>
              <w:top w:val="nil"/>
              <w:left w:val="nil"/>
              <w:bottom w:val="single" w:sz="4" w:space="0" w:color="auto"/>
              <w:right w:val="nil"/>
            </w:tcBorders>
            <w:shd w:val="clear" w:color="auto" w:fill="auto"/>
            <w:noWrap/>
            <w:vAlign w:val="bottom"/>
            <w:hideMark/>
          </w:tcPr>
          <w:p w14:paraId="47FA6F6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61" w:type="dxa"/>
            <w:tcBorders>
              <w:top w:val="nil"/>
              <w:left w:val="nil"/>
              <w:bottom w:val="single" w:sz="4" w:space="0" w:color="auto"/>
              <w:right w:val="nil"/>
            </w:tcBorders>
            <w:shd w:val="clear" w:color="auto" w:fill="auto"/>
            <w:noWrap/>
            <w:vAlign w:val="bottom"/>
            <w:hideMark/>
          </w:tcPr>
          <w:p w14:paraId="6D8FAE6F"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187</w:t>
            </w:r>
          </w:p>
        </w:tc>
        <w:tc>
          <w:tcPr>
            <w:tcW w:w="1361" w:type="dxa"/>
            <w:tcBorders>
              <w:top w:val="nil"/>
              <w:left w:val="nil"/>
              <w:bottom w:val="single" w:sz="4" w:space="0" w:color="auto"/>
              <w:right w:val="nil"/>
            </w:tcBorders>
            <w:shd w:val="clear" w:color="auto" w:fill="auto"/>
            <w:noWrap/>
            <w:vAlign w:val="bottom"/>
            <w:hideMark/>
          </w:tcPr>
          <w:p w14:paraId="3C23BC21"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21</w:t>
            </w:r>
          </w:p>
        </w:tc>
      </w:tr>
    </w:tbl>
    <w:p w14:paraId="724F754E"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6D543163"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spacing w:val="-2"/>
          <w:lang w:eastAsia="en-AU"/>
        </w:rPr>
      </w:pPr>
      <w:r w:rsidRPr="00491EF1">
        <w:rPr>
          <w:rFonts w:asciiTheme="majorHAnsi" w:eastAsia="Times New Roman" w:hAnsiTheme="majorHAnsi" w:cstheme="majorHAnsi"/>
          <w:b/>
          <w:color w:val="000000"/>
          <w:spacing w:val="-2"/>
          <w:lang w:eastAsia="en-AU"/>
        </w:rPr>
        <w:lastRenderedPageBreak/>
        <w:t>Table 17: Number of teachers than discuss their lesson plans with colleagues by island type</w:t>
      </w:r>
    </w:p>
    <w:tbl>
      <w:tblPr>
        <w:tblW w:w="3960" w:type="dxa"/>
        <w:tblInd w:w="93" w:type="dxa"/>
        <w:tblLook w:val="04A0" w:firstRow="1" w:lastRow="0" w:firstColumn="1" w:lastColumn="0" w:noHBand="0" w:noVBand="1"/>
      </w:tblPr>
      <w:tblGrid>
        <w:gridCol w:w="1433"/>
        <w:gridCol w:w="1271"/>
        <w:gridCol w:w="1256"/>
      </w:tblGrid>
      <w:tr w:rsidR="00AC362E" w:rsidRPr="00491EF1" w14:paraId="0C9051B9"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51F78D23"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71" w:type="dxa"/>
            <w:tcBorders>
              <w:top w:val="single" w:sz="4" w:space="0" w:color="auto"/>
              <w:left w:val="nil"/>
              <w:bottom w:val="single" w:sz="4" w:space="0" w:color="auto"/>
              <w:right w:val="nil"/>
            </w:tcBorders>
            <w:shd w:val="clear" w:color="auto" w:fill="auto"/>
            <w:noWrap/>
            <w:vAlign w:val="bottom"/>
            <w:hideMark/>
          </w:tcPr>
          <w:p w14:paraId="20EE60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256" w:type="dxa"/>
            <w:tcBorders>
              <w:top w:val="single" w:sz="4" w:space="0" w:color="auto"/>
              <w:left w:val="nil"/>
              <w:bottom w:val="single" w:sz="4" w:space="0" w:color="auto"/>
              <w:right w:val="nil"/>
            </w:tcBorders>
            <w:shd w:val="clear" w:color="auto" w:fill="auto"/>
            <w:noWrap/>
            <w:vAlign w:val="bottom"/>
            <w:hideMark/>
          </w:tcPr>
          <w:p w14:paraId="73F4AC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417B4DE6" w14:textId="77777777" w:rsidTr="00ED0631">
        <w:trPr>
          <w:trHeight w:val="315"/>
        </w:trPr>
        <w:tc>
          <w:tcPr>
            <w:tcW w:w="1433" w:type="dxa"/>
            <w:tcBorders>
              <w:top w:val="single" w:sz="4" w:space="0" w:color="auto"/>
              <w:left w:val="nil"/>
              <w:bottom w:val="nil"/>
              <w:right w:val="nil"/>
            </w:tcBorders>
            <w:shd w:val="clear" w:color="auto" w:fill="auto"/>
            <w:noWrap/>
            <w:vAlign w:val="bottom"/>
            <w:hideMark/>
          </w:tcPr>
          <w:p w14:paraId="179BCB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71" w:type="dxa"/>
            <w:tcBorders>
              <w:top w:val="nil"/>
              <w:left w:val="nil"/>
              <w:bottom w:val="nil"/>
              <w:right w:val="nil"/>
            </w:tcBorders>
            <w:shd w:val="clear" w:color="auto" w:fill="auto"/>
            <w:noWrap/>
            <w:vAlign w:val="bottom"/>
            <w:hideMark/>
          </w:tcPr>
          <w:p w14:paraId="4EDE78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74 </w:t>
            </w:r>
          </w:p>
        </w:tc>
        <w:tc>
          <w:tcPr>
            <w:tcW w:w="1256" w:type="dxa"/>
            <w:tcBorders>
              <w:top w:val="nil"/>
              <w:left w:val="nil"/>
              <w:bottom w:val="nil"/>
              <w:right w:val="nil"/>
            </w:tcBorders>
            <w:shd w:val="clear" w:color="auto" w:fill="auto"/>
            <w:noWrap/>
            <w:vAlign w:val="bottom"/>
            <w:hideMark/>
          </w:tcPr>
          <w:p w14:paraId="47C3E6D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20E30C38" w14:textId="77777777" w:rsidTr="00ED0631">
        <w:trPr>
          <w:trHeight w:val="315"/>
        </w:trPr>
        <w:tc>
          <w:tcPr>
            <w:tcW w:w="1433" w:type="dxa"/>
            <w:tcBorders>
              <w:top w:val="nil"/>
              <w:left w:val="nil"/>
              <w:bottom w:val="nil"/>
              <w:right w:val="nil"/>
            </w:tcBorders>
            <w:shd w:val="clear" w:color="auto" w:fill="auto"/>
            <w:noWrap/>
            <w:vAlign w:val="bottom"/>
            <w:hideMark/>
          </w:tcPr>
          <w:p w14:paraId="326846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71" w:type="dxa"/>
            <w:tcBorders>
              <w:top w:val="nil"/>
              <w:left w:val="nil"/>
              <w:bottom w:val="nil"/>
              <w:right w:val="nil"/>
            </w:tcBorders>
            <w:shd w:val="clear" w:color="auto" w:fill="auto"/>
            <w:noWrap/>
            <w:vAlign w:val="bottom"/>
            <w:hideMark/>
          </w:tcPr>
          <w:p w14:paraId="6559DD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23 </w:t>
            </w:r>
          </w:p>
        </w:tc>
        <w:tc>
          <w:tcPr>
            <w:tcW w:w="1256" w:type="dxa"/>
            <w:tcBorders>
              <w:top w:val="nil"/>
              <w:left w:val="nil"/>
              <w:bottom w:val="nil"/>
              <w:right w:val="nil"/>
            </w:tcBorders>
            <w:shd w:val="clear" w:color="auto" w:fill="auto"/>
            <w:noWrap/>
            <w:vAlign w:val="bottom"/>
            <w:hideMark/>
          </w:tcPr>
          <w:p w14:paraId="43975D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1F859F13" w14:textId="77777777" w:rsidTr="00ED0631">
        <w:trPr>
          <w:trHeight w:val="315"/>
        </w:trPr>
        <w:tc>
          <w:tcPr>
            <w:tcW w:w="1433" w:type="dxa"/>
            <w:tcBorders>
              <w:top w:val="nil"/>
              <w:left w:val="nil"/>
              <w:bottom w:val="nil"/>
              <w:right w:val="nil"/>
            </w:tcBorders>
            <w:shd w:val="clear" w:color="auto" w:fill="auto"/>
            <w:noWrap/>
            <w:vAlign w:val="bottom"/>
            <w:hideMark/>
          </w:tcPr>
          <w:p w14:paraId="415891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71" w:type="dxa"/>
            <w:tcBorders>
              <w:top w:val="nil"/>
              <w:left w:val="nil"/>
              <w:bottom w:val="nil"/>
              <w:right w:val="nil"/>
            </w:tcBorders>
            <w:shd w:val="clear" w:color="auto" w:fill="auto"/>
            <w:noWrap/>
            <w:vAlign w:val="bottom"/>
            <w:hideMark/>
          </w:tcPr>
          <w:p w14:paraId="7DD25D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90 </w:t>
            </w:r>
          </w:p>
        </w:tc>
        <w:tc>
          <w:tcPr>
            <w:tcW w:w="1256" w:type="dxa"/>
            <w:tcBorders>
              <w:top w:val="nil"/>
              <w:left w:val="nil"/>
              <w:bottom w:val="nil"/>
              <w:right w:val="nil"/>
            </w:tcBorders>
            <w:shd w:val="clear" w:color="auto" w:fill="auto"/>
            <w:noWrap/>
            <w:vAlign w:val="bottom"/>
            <w:hideMark/>
          </w:tcPr>
          <w:p w14:paraId="0A6353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2FCFD08D" w14:textId="77777777" w:rsidTr="00ED0631">
        <w:trPr>
          <w:trHeight w:val="315"/>
        </w:trPr>
        <w:tc>
          <w:tcPr>
            <w:tcW w:w="1433" w:type="dxa"/>
            <w:tcBorders>
              <w:top w:val="single" w:sz="4" w:space="0" w:color="auto"/>
              <w:left w:val="nil"/>
              <w:bottom w:val="single" w:sz="4" w:space="0" w:color="auto"/>
              <w:right w:val="nil"/>
            </w:tcBorders>
            <w:shd w:val="clear" w:color="auto" w:fill="auto"/>
            <w:noWrap/>
            <w:vAlign w:val="bottom"/>
            <w:hideMark/>
          </w:tcPr>
          <w:p w14:paraId="643461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71" w:type="dxa"/>
            <w:tcBorders>
              <w:top w:val="single" w:sz="4" w:space="0" w:color="auto"/>
              <w:left w:val="nil"/>
              <w:bottom w:val="single" w:sz="4" w:space="0" w:color="auto"/>
              <w:right w:val="nil"/>
            </w:tcBorders>
            <w:shd w:val="clear" w:color="auto" w:fill="auto"/>
            <w:noWrap/>
            <w:vAlign w:val="bottom"/>
            <w:hideMark/>
          </w:tcPr>
          <w:p w14:paraId="487F4F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187 </w:t>
            </w:r>
          </w:p>
        </w:tc>
        <w:tc>
          <w:tcPr>
            <w:tcW w:w="1256" w:type="dxa"/>
            <w:tcBorders>
              <w:top w:val="single" w:sz="4" w:space="0" w:color="auto"/>
              <w:left w:val="nil"/>
              <w:bottom w:val="single" w:sz="4" w:space="0" w:color="auto"/>
              <w:right w:val="nil"/>
            </w:tcBorders>
            <w:shd w:val="clear" w:color="auto" w:fill="auto"/>
            <w:noWrap/>
            <w:vAlign w:val="bottom"/>
            <w:hideMark/>
          </w:tcPr>
          <w:p w14:paraId="571085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 </w:t>
            </w:r>
          </w:p>
        </w:tc>
      </w:tr>
    </w:tbl>
    <w:p w14:paraId="5280865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18: Teachers' estimate of the proportion of parents who have attended parent-teacher interviews in the last 12 months by island</w:t>
      </w:r>
    </w:p>
    <w:tbl>
      <w:tblPr>
        <w:tblW w:w="3440" w:type="dxa"/>
        <w:tblInd w:w="93" w:type="dxa"/>
        <w:tblLook w:val="04A0" w:firstRow="1" w:lastRow="0" w:firstColumn="1" w:lastColumn="0" w:noHBand="0" w:noVBand="1"/>
      </w:tblPr>
      <w:tblGrid>
        <w:gridCol w:w="2322"/>
        <w:gridCol w:w="1118"/>
      </w:tblGrid>
      <w:tr w:rsidR="00AC362E" w:rsidRPr="00491EF1" w14:paraId="6DBCB623" w14:textId="77777777" w:rsidTr="00ED0631">
        <w:trPr>
          <w:trHeight w:val="315"/>
        </w:trPr>
        <w:tc>
          <w:tcPr>
            <w:tcW w:w="2322" w:type="dxa"/>
            <w:tcBorders>
              <w:top w:val="single" w:sz="4" w:space="0" w:color="auto"/>
              <w:left w:val="nil"/>
              <w:bottom w:val="single" w:sz="4" w:space="0" w:color="auto"/>
              <w:right w:val="nil"/>
            </w:tcBorders>
            <w:shd w:val="clear" w:color="auto" w:fill="auto"/>
            <w:noWrap/>
            <w:vAlign w:val="bottom"/>
            <w:hideMark/>
          </w:tcPr>
          <w:p w14:paraId="27AE9EA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118" w:type="dxa"/>
            <w:tcBorders>
              <w:top w:val="single" w:sz="4" w:space="0" w:color="auto"/>
              <w:left w:val="nil"/>
              <w:bottom w:val="single" w:sz="4" w:space="0" w:color="auto"/>
              <w:right w:val="nil"/>
            </w:tcBorders>
            <w:shd w:val="clear" w:color="auto" w:fill="auto"/>
            <w:noWrap/>
            <w:vAlign w:val="bottom"/>
            <w:hideMark/>
          </w:tcPr>
          <w:p w14:paraId="71087D52" w14:textId="7B6DEAF2"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Per</w:t>
            </w:r>
            <w:r w:rsidR="00470803">
              <w:rPr>
                <w:rFonts w:asciiTheme="majorHAnsi" w:eastAsia="Times New Roman" w:hAnsiTheme="majorHAnsi" w:cstheme="majorHAnsi"/>
                <w:color w:val="000000"/>
                <w:lang w:eastAsia="en-AU"/>
              </w:rPr>
              <w:t xml:space="preserve"> </w:t>
            </w:r>
            <w:r w:rsidRPr="00491EF1">
              <w:rPr>
                <w:rFonts w:asciiTheme="majorHAnsi" w:eastAsia="Times New Roman" w:hAnsiTheme="majorHAnsi" w:cstheme="majorHAnsi"/>
                <w:color w:val="000000"/>
                <w:lang w:eastAsia="en-AU"/>
              </w:rPr>
              <w:t>cent</w:t>
            </w:r>
          </w:p>
        </w:tc>
      </w:tr>
      <w:tr w:rsidR="00AC362E" w:rsidRPr="00491EF1" w14:paraId="4EDB9CEA" w14:textId="77777777" w:rsidTr="00ED0631">
        <w:trPr>
          <w:trHeight w:val="315"/>
        </w:trPr>
        <w:tc>
          <w:tcPr>
            <w:tcW w:w="2322" w:type="dxa"/>
            <w:tcBorders>
              <w:top w:val="nil"/>
              <w:left w:val="nil"/>
              <w:bottom w:val="nil"/>
              <w:right w:val="nil"/>
            </w:tcBorders>
            <w:shd w:val="clear" w:color="auto" w:fill="auto"/>
            <w:noWrap/>
            <w:vAlign w:val="bottom"/>
            <w:hideMark/>
          </w:tcPr>
          <w:p w14:paraId="7BA446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18" w:type="dxa"/>
            <w:tcBorders>
              <w:top w:val="nil"/>
              <w:left w:val="nil"/>
              <w:bottom w:val="nil"/>
              <w:right w:val="nil"/>
            </w:tcBorders>
            <w:shd w:val="clear" w:color="auto" w:fill="auto"/>
            <w:noWrap/>
            <w:vAlign w:val="bottom"/>
            <w:hideMark/>
          </w:tcPr>
          <w:p w14:paraId="6834DBA8"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65%</w:t>
            </w:r>
          </w:p>
        </w:tc>
      </w:tr>
      <w:tr w:rsidR="00AC362E" w:rsidRPr="00491EF1" w14:paraId="1E5FD405" w14:textId="77777777" w:rsidTr="00ED0631">
        <w:trPr>
          <w:trHeight w:val="315"/>
        </w:trPr>
        <w:tc>
          <w:tcPr>
            <w:tcW w:w="2322" w:type="dxa"/>
            <w:tcBorders>
              <w:top w:val="nil"/>
              <w:left w:val="nil"/>
              <w:bottom w:val="nil"/>
              <w:right w:val="nil"/>
            </w:tcBorders>
            <w:shd w:val="clear" w:color="auto" w:fill="auto"/>
            <w:noWrap/>
            <w:vAlign w:val="bottom"/>
            <w:hideMark/>
          </w:tcPr>
          <w:p w14:paraId="5A1F91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18" w:type="dxa"/>
            <w:tcBorders>
              <w:top w:val="nil"/>
              <w:left w:val="nil"/>
              <w:bottom w:val="nil"/>
              <w:right w:val="nil"/>
            </w:tcBorders>
            <w:shd w:val="clear" w:color="auto" w:fill="auto"/>
            <w:noWrap/>
            <w:vAlign w:val="bottom"/>
            <w:hideMark/>
          </w:tcPr>
          <w:p w14:paraId="081EBDB1"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r>
      <w:tr w:rsidR="00AC362E" w:rsidRPr="00491EF1" w14:paraId="0B83698C" w14:textId="77777777" w:rsidTr="00ED0631">
        <w:trPr>
          <w:trHeight w:val="315"/>
        </w:trPr>
        <w:tc>
          <w:tcPr>
            <w:tcW w:w="2322" w:type="dxa"/>
            <w:tcBorders>
              <w:top w:val="nil"/>
              <w:left w:val="nil"/>
              <w:bottom w:val="nil"/>
              <w:right w:val="nil"/>
            </w:tcBorders>
            <w:shd w:val="clear" w:color="auto" w:fill="auto"/>
            <w:noWrap/>
            <w:vAlign w:val="bottom"/>
            <w:hideMark/>
          </w:tcPr>
          <w:p w14:paraId="5D5577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18" w:type="dxa"/>
            <w:tcBorders>
              <w:top w:val="nil"/>
              <w:left w:val="nil"/>
              <w:bottom w:val="nil"/>
              <w:right w:val="nil"/>
            </w:tcBorders>
            <w:shd w:val="clear" w:color="auto" w:fill="auto"/>
            <w:noWrap/>
            <w:vAlign w:val="bottom"/>
            <w:hideMark/>
          </w:tcPr>
          <w:p w14:paraId="32D409A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24%</w:t>
            </w:r>
          </w:p>
        </w:tc>
      </w:tr>
      <w:tr w:rsidR="00AC362E" w:rsidRPr="00491EF1" w14:paraId="39DCFF40" w14:textId="77777777" w:rsidTr="00ED0631">
        <w:trPr>
          <w:trHeight w:val="315"/>
        </w:trPr>
        <w:tc>
          <w:tcPr>
            <w:tcW w:w="2322" w:type="dxa"/>
            <w:tcBorders>
              <w:top w:val="nil"/>
              <w:left w:val="nil"/>
              <w:bottom w:val="nil"/>
              <w:right w:val="nil"/>
            </w:tcBorders>
            <w:shd w:val="clear" w:color="auto" w:fill="auto"/>
            <w:noWrap/>
            <w:vAlign w:val="bottom"/>
            <w:hideMark/>
          </w:tcPr>
          <w:p w14:paraId="4B74C8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18" w:type="dxa"/>
            <w:tcBorders>
              <w:top w:val="nil"/>
              <w:left w:val="nil"/>
              <w:bottom w:val="nil"/>
              <w:right w:val="nil"/>
            </w:tcBorders>
            <w:shd w:val="clear" w:color="auto" w:fill="auto"/>
            <w:noWrap/>
            <w:vAlign w:val="bottom"/>
            <w:hideMark/>
          </w:tcPr>
          <w:p w14:paraId="5A3B8EAA"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29%</w:t>
            </w:r>
          </w:p>
        </w:tc>
      </w:tr>
      <w:tr w:rsidR="00AC362E" w:rsidRPr="00491EF1" w14:paraId="7C3EDE56" w14:textId="77777777" w:rsidTr="00ED0631">
        <w:trPr>
          <w:trHeight w:val="315"/>
        </w:trPr>
        <w:tc>
          <w:tcPr>
            <w:tcW w:w="2322" w:type="dxa"/>
            <w:tcBorders>
              <w:top w:val="nil"/>
              <w:left w:val="nil"/>
              <w:bottom w:val="nil"/>
              <w:right w:val="nil"/>
            </w:tcBorders>
            <w:shd w:val="clear" w:color="auto" w:fill="auto"/>
            <w:noWrap/>
            <w:vAlign w:val="bottom"/>
            <w:hideMark/>
          </w:tcPr>
          <w:p w14:paraId="6E391E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18" w:type="dxa"/>
            <w:tcBorders>
              <w:top w:val="nil"/>
              <w:left w:val="nil"/>
              <w:bottom w:val="nil"/>
              <w:right w:val="nil"/>
            </w:tcBorders>
            <w:shd w:val="clear" w:color="auto" w:fill="auto"/>
            <w:noWrap/>
            <w:vAlign w:val="bottom"/>
            <w:hideMark/>
          </w:tcPr>
          <w:p w14:paraId="20627568"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r>
      <w:tr w:rsidR="00AC362E" w:rsidRPr="00491EF1" w14:paraId="11BA74FA" w14:textId="77777777" w:rsidTr="00ED0631">
        <w:trPr>
          <w:trHeight w:val="315"/>
        </w:trPr>
        <w:tc>
          <w:tcPr>
            <w:tcW w:w="2322" w:type="dxa"/>
            <w:tcBorders>
              <w:top w:val="nil"/>
              <w:left w:val="nil"/>
              <w:bottom w:val="nil"/>
              <w:right w:val="nil"/>
            </w:tcBorders>
            <w:shd w:val="clear" w:color="auto" w:fill="auto"/>
            <w:noWrap/>
            <w:vAlign w:val="bottom"/>
            <w:hideMark/>
          </w:tcPr>
          <w:p w14:paraId="12E474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18" w:type="dxa"/>
            <w:tcBorders>
              <w:top w:val="nil"/>
              <w:left w:val="nil"/>
              <w:bottom w:val="nil"/>
              <w:right w:val="nil"/>
            </w:tcBorders>
            <w:shd w:val="clear" w:color="auto" w:fill="auto"/>
            <w:noWrap/>
            <w:vAlign w:val="bottom"/>
            <w:hideMark/>
          </w:tcPr>
          <w:p w14:paraId="6168EF8A"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w:t>
            </w:r>
          </w:p>
        </w:tc>
      </w:tr>
      <w:tr w:rsidR="00AC362E" w:rsidRPr="00491EF1" w14:paraId="658F40D2" w14:textId="77777777" w:rsidTr="00ED0631">
        <w:trPr>
          <w:trHeight w:val="315"/>
        </w:trPr>
        <w:tc>
          <w:tcPr>
            <w:tcW w:w="2322" w:type="dxa"/>
            <w:tcBorders>
              <w:top w:val="nil"/>
              <w:left w:val="nil"/>
              <w:bottom w:val="nil"/>
              <w:right w:val="nil"/>
            </w:tcBorders>
            <w:shd w:val="clear" w:color="auto" w:fill="auto"/>
            <w:noWrap/>
            <w:vAlign w:val="bottom"/>
            <w:hideMark/>
          </w:tcPr>
          <w:p w14:paraId="392647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18" w:type="dxa"/>
            <w:tcBorders>
              <w:top w:val="nil"/>
              <w:left w:val="nil"/>
              <w:bottom w:val="nil"/>
              <w:right w:val="nil"/>
            </w:tcBorders>
            <w:shd w:val="clear" w:color="auto" w:fill="auto"/>
            <w:noWrap/>
            <w:vAlign w:val="bottom"/>
            <w:hideMark/>
          </w:tcPr>
          <w:p w14:paraId="0C885771"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43%</w:t>
            </w:r>
          </w:p>
        </w:tc>
      </w:tr>
      <w:tr w:rsidR="00AC362E" w:rsidRPr="00491EF1" w14:paraId="556DB028" w14:textId="77777777" w:rsidTr="00ED0631">
        <w:trPr>
          <w:trHeight w:val="315"/>
        </w:trPr>
        <w:tc>
          <w:tcPr>
            <w:tcW w:w="2322" w:type="dxa"/>
            <w:tcBorders>
              <w:top w:val="nil"/>
              <w:left w:val="nil"/>
              <w:bottom w:val="nil"/>
              <w:right w:val="nil"/>
            </w:tcBorders>
            <w:shd w:val="clear" w:color="auto" w:fill="auto"/>
            <w:noWrap/>
            <w:vAlign w:val="bottom"/>
            <w:hideMark/>
          </w:tcPr>
          <w:p w14:paraId="43B6B0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18" w:type="dxa"/>
            <w:tcBorders>
              <w:top w:val="nil"/>
              <w:left w:val="nil"/>
              <w:bottom w:val="nil"/>
              <w:right w:val="nil"/>
            </w:tcBorders>
            <w:shd w:val="clear" w:color="auto" w:fill="auto"/>
            <w:noWrap/>
            <w:vAlign w:val="bottom"/>
            <w:hideMark/>
          </w:tcPr>
          <w:p w14:paraId="528BBA0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0%</w:t>
            </w:r>
          </w:p>
        </w:tc>
      </w:tr>
      <w:tr w:rsidR="00AC362E" w:rsidRPr="00491EF1" w14:paraId="2B81C160" w14:textId="77777777" w:rsidTr="00ED0631">
        <w:trPr>
          <w:trHeight w:val="315"/>
        </w:trPr>
        <w:tc>
          <w:tcPr>
            <w:tcW w:w="2322" w:type="dxa"/>
            <w:tcBorders>
              <w:top w:val="nil"/>
              <w:left w:val="nil"/>
              <w:bottom w:val="nil"/>
              <w:right w:val="nil"/>
            </w:tcBorders>
            <w:shd w:val="clear" w:color="auto" w:fill="auto"/>
            <w:noWrap/>
            <w:vAlign w:val="bottom"/>
            <w:hideMark/>
          </w:tcPr>
          <w:p w14:paraId="6C0BDF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18" w:type="dxa"/>
            <w:tcBorders>
              <w:top w:val="nil"/>
              <w:left w:val="nil"/>
              <w:bottom w:val="nil"/>
              <w:right w:val="nil"/>
            </w:tcBorders>
            <w:shd w:val="clear" w:color="auto" w:fill="auto"/>
            <w:noWrap/>
            <w:vAlign w:val="bottom"/>
            <w:hideMark/>
          </w:tcPr>
          <w:p w14:paraId="1E7C8ED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r>
      <w:tr w:rsidR="00AC362E" w:rsidRPr="00491EF1" w14:paraId="5B044CEB" w14:textId="77777777" w:rsidTr="00ED0631">
        <w:trPr>
          <w:trHeight w:val="315"/>
        </w:trPr>
        <w:tc>
          <w:tcPr>
            <w:tcW w:w="2322" w:type="dxa"/>
            <w:tcBorders>
              <w:top w:val="nil"/>
              <w:left w:val="nil"/>
              <w:bottom w:val="single" w:sz="4" w:space="0" w:color="auto"/>
              <w:right w:val="nil"/>
            </w:tcBorders>
            <w:shd w:val="clear" w:color="auto" w:fill="auto"/>
            <w:noWrap/>
            <w:vAlign w:val="bottom"/>
            <w:hideMark/>
          </w:tcPr>
          <w:p w14:paraId="2BE45A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118" w:type="dxa"/>
            <w:tcBorders>
              <w:top w:val="nil"/>
              <w:left w:val="nil"/>
              <w:bottom w:val="single" w:sz="4" w:space="0" w:color="auto"/>
              <w:right w:val="nil"/>
            </w:tcBorders>
            <w:shd w:val="clear" w:color="auto" w:fill="auto"/>
            <w:noWrap/>
            <w:vAlign w:val="bottom"/>
            <w:hideMark/>
          </w:tcPr>
          <w:p w14:paraId="727DB136"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w:t>
            </w:r>
          </w:p>
        </w:tc>
      </w:tr>
      <w:tr w:rsidR="00AC362E" w:rsidRPr="00491EF1" w14:paraId="61055304" w14:textId="77777777" w:rsidTr="00ED0631">
        <w:trPr>
          <w:trHeight w:val="315"/>
        </w:trPr>
        <w:tc>
          <w:tcPr>
            <w:tcW w:w="2322" w:type="dxa"/>
            <w:tcBorders>
              <w:top w:val="nil"/>
              <w:left w:val="nil"/>
              <w:bottom w:val="single" w:sz="4" w:space="0" w:color="auto"/>
              <w:right w:val="nil"/>
            </w:tcBorders>
            <w:shd w:val="clear" w:color="auto" w:fill="auto"/>
            <w:noWrap/>
            <w:vAlign w:val="bottom"/>
            <w:hideMark/>
          </w:tcPr>
          <w:p w14:paraId="4F07A7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18" w:type="dxa"/>
            <w:tcBorders>
              <w:top w:val="nil"/>
              <w:left w:val="nil"/>
              <w:bottom w:val="single" w:sz="4" w:space="0" w:color="auto"/>
              <w:right w:val="nil"/>
            </w:tcBorders>
            <w:shd w:val="clear" w:color="auto" w:fill="auto"/>
            <w:noWrap/>
            <w:vAlign w:val="bottom"/>
            <w:hideMark/>
          </w:tcPr>
          <w:p w14:paraId="73A6CCA2"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43%</w:t>
            </w:r>
          </w:p>
        </w:tc>
      </w:tr>
    </w:tbl>
    <w:p w14:paraId="244EBD83" w14:textId="3F2D71A6"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18</w:t>
      </w:r>
      <w:r w:rsidR="00714FC4">
        <w:rPr>
          <w:rFonts w:asciiTheme="majorHAnsi" w:eastAsia="Times New Roman" w:hAnsiTheme="majorHAnsi" w:cstheme="majorHAnsi"/>
          <w:b/>
          <w:color w:val="000000"/>
          <w:lang w:eastAsia="en-AU"/>
        </w:rPr>
        <w:t>b</w:t>
      </w:r>
      <w:r w:rsidRPr="00491EF1">
        <w:rPr>
          <w:rFonts w:asciiTheme="majorHAnsi" w:eastAsia="Times New Roman" w:hAnsiTheme="majorHAnsi" w:cstheme="majorHAnsi"/>
          <w:b/>
          <w:color w:val="000000"/>
          <w:lang w:eastAsia="en-AU"/>
        </w:rPr>
        <w:t>: Teachers' estimate of the proportion of parents who have attended parent-teacher interviews in the last 12 months by island type</w:t>
      </w:r>
    </w:p>
    <w:tbl>
      <w:tblPr>
        <w:tblW w:w="2640" w:type="dxa"/>
        <w:tblInd w:w="93" w:type="dxa"/>
        <w:tblLook w:val="04A0" w:firstRow="1" w:lastRow="0" w:firstColumn="1" w:lastColumn="0" w:noHBand="0" w:noVBand="1"/>
      </w:tblPr>
      <w:tblGrid>
        <w:gridCol w:w="1921"/>
        <w:gridCol w:w="906"/>
      </w:tblGrid>
      <w:tr w:rsidR="00AC362E" w:rsidRPr="00491EF1" w14:paraId="322D1671" w14:textId="77777777" w:rsidTr="00ED0631">
        <w:trPr>
          <w:trHeight w:val="315"/>
        </w:trPr>
        <w:tc>
          <w:tcPr>
            <w:tcW w:w="1921" w:type="dxa"/>
            <w:tcBorders>
              <w:top w:val="single" w:sz="4" w:space="0" w:color="auto"/>
              <w:left w:val="nil"/>
              <w:bottom w:val="nil"/>
              <w:right w:val="nil"/>
            </w:tcBorders>
            <w:shd w:val="clear" w:color="auto" w:fill="auto"/>
            <w:noWrap/>
            <w:vAlign w:val="bottom"/>
            <w:hideMark/>
          </w:tcPr>
          <w:p w14:paraId="7BC9042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719" w:type="dxa"/>
            <w:tcBorders>
              <w:top w:val="single" w:sz="4" w:space="0" w:color="auto"/>
              <w:left w:val="nil"/>
              <w:bottom w:val="nil"/>
              <w:right w:val="nil"/>
            </w:tcBorders>
            <w:shd w:val="clear" w:color="auto" w:fill="auto"/>
            <w:noWrap/>
            <w:vAlign w:val="bottom"/>
            <w:hideMark/>
          </w:tcPr>
          <w:p w14:paraId="69B079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Percent</w:t>
            </w:r>
          </w:p>
        </w:tc>
      </w:tr>
      <w:tr w:rsidR="00AC362E" w:rsidRPr="00491EF1" w14:paraId="7D39225D" w14:textId="77777777" w:rsidTr="00ED0631">
        <w:trPr>
          <w:trHeight w:val="315"/>
        </w:trPr>
        <w:tc>
          <w:tcPr>
            <w:tcW w:w="1921" w:type="dxa"/>
            <w:tcBorders>
              <w:top w:val="single" w:sz="4" w:space="0" w:color="auto"/>
              <w:left w:val="nil"/>
              <w:bottom w:val="nil"/>
              <w:right w:val="nil"/>
            </w:tcBorders>
            <w:shd w:val="clear" w:color="auto" w:fill="auto"/>
            <w:noWrap/>
            <w:vAlign w:val="bottom"/>
            <w:hideMark/>
          </w:tcPr>
          <w:p w14:paraId="06C2BA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Large island</w:t>
            </w:r>
          </w:p>
        </w:tc>
        <w:tc>
          <w:tcPr>
            <w:tcW w:w="719" w:type="dxa"/>
            <w:tcBorders>
              <w:top w:val="single" w:sz="4" w:space="0" w:color="auto"/>
              <w:left w:val="nil"/>
              <w:bottom w:val="nil"/>
              <w:right w:val="nil"/>
            </w:tcBorders>
            <w:shd w:val="clear" w:color="auto" w:fill="auto"/>
            <w:noWrap/>
            <w:vAlign w:val="bottom"/>
            <w:hideMark/>
          </w:tcPr>
          <w:p w14:paraId="776F205A"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40%</w:t>
            </w:r>
          </w:p>
        </w:tc>
      </w:tr>
      <w:tr w:rsidR="00AC362E" w:rsidRPr="00491EF1" w14:paraId="71363AC3" w14:textId="77777777" w:rsidTr="00ED0631">
        <w:trPr>
          <w:trHeight w:val="315"/>
        </w:trPr>
        <w:tc>
          <w:tcPr>
            <w:tcW w:w="1921" w:type="dxa"/>
            <w:tcBorders>
              <w:top w:val="nil"/>
              <w:left w:val="nil"/>
              <w:bottom w:val="nil"/>
              <w:right w:val="nil"/>
            </w:tcBorders>
            <w:shd w:val="clear" w:color="auto" w:fill="auto"/>
            <w:noWrap/>
            <w:vAlign w:val="bottom"/>
            <w:hideMark/>
          </w:tcPr>
          <w:p w14:paraId="13E84B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Small island</w:t>
            </w:r>
          </w:p>
        </w:tc>
        <w:tc>
          <w:tcPr>
            <w:tcW w:w="719" w:type="dxa"/>
            <w:tcBorders>
              <w:top w:val="nil"/>
              <w:left w:val="nil"/>
              <w:bottom w:val="nil"/>
              <w:right w:val="nil"/>
            </w:tcBorders>
            <w:shd w:val="clear" w:color="auto" w:fill="auto"/>
            <w:noWrap/>
            <w:vAlign w:val="bottom"/>
            <w:hideMark/>
          </w:tcPr>
          <w:p w14:paraId="51B03D8D"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r>
      <w:tr w:rsidR="00AC362E" w:rsidRPr="00491EF1" w14:paraId="38EE3D39" w14:textId="77777777" w:rsidTr="00ED0631">
        <w:trPr>
          <w:trHeight w:val="315"/>
        </w:trPr>
        <w:tc>
          <w:tcPr>
            <w:tcW w:w="1921" w:type="dxa"/>
            <w:tcBorders>
              <w:top w:val="nil"/>
              <w:left w:val="nil"/>
              <w:bottom w:val="nil"/>
              <w:right w:val="nil"/>
            </w:tcBorders>
            <w:shd w:val="clear" w:color="auto" w:fill="auto"/>
            <w:noWrap/>
            <w:vAlign w:val="bottom"/>
            <w:hideMark/>
          </w:tcPr>
          <w:p w14:paraId="487944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Sth Tarawa</w:t>
            </w:r>
          </w:p>
        </w:tc>
        <w:tc>
          <w:tcPr>
            <w:tcW w:w="719" w:type="dxa"/>
            <w:tcBorders>
              <w:top w:val="nil"/>
              <w:left w:val="nil"/>
              <w:bottom w:val="nil"/>
              <w:right w:val="nil"/>
            </w:tcBorders>
            <w:shd w:val="clear" w:color="auto" w:fill="auto"/>
            <w:noWrap/>
            <w:vAlign w:val="bottom"/>
            <w:hideMark/>
          </w:tcPr>
          <w:p w14:paraId="6F3E0261"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r>
      <w:tr w:rsidR="00AC362E" w:rsidRPr="00491EF1" w14:paraId="67E9D3FA" w14:textId="77777777" w:rsidTr="00ED0631">
        <w:trPr>
          <w:trHeight w:val="315"/>
        </w:trPr>
        <w:tc>
          <w:tcPr>
            <w:tcW w:w="1921" w:type="dxa"/>
            <w:tcBorders>
              <w:top w:val="single" w:sz="4" w:space="0" w:color="auto"/>
              <w:left w:val="nil"/>
              <w:bottom w:val="single" w:sz="4" w:space="0" w:color="auto"/>
              <w:right w:val="nil"/>
            </w:tcBorders>
            <w:shd w:val="clear" w:color="auto" w:fill="auto"/>
            <w:noWrap/>
            <w:vAlign w:val="bottom"/>
            <w:hideMark/>
          </w:tcPr>
          <w:p w14:paraId="26AF82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719" w:type="dxa"/>
            <w:tcBorders>
              <w:top w:val="single" w:sz="4" w:space="0" w:color="auto"/>
              <w:left w:val="nil"/>
              <w:bottom w:val="single" w:sz="4" w:space="0" w:color="auto"/>
              <w:right w:val="nil"/>
            </w:tcBorders>
            <w:shd w:val="clear" w:color="auto" w:fill="auto"/>
            <w:noWrap/>
            <w:vAlign w:val="bottom"/>
            <w:hideMark/>
          </w:tcPr>
          <w:p w14:paraId="362C98A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43%</w:t>
            </w:r>
          </w:p>
        </w:tc>
      </w:tr>
    </w:tbl>
    <w:p w14:paraId="10760154"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A1DAF63"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19: Teachers rating of the value of parent-teacher interviews by island</w:t>
      </w:r>
    </w:p>
    <w:tbl>
      <w:tblPr>
        <w:tblW w:w="7400" w:type="dxa"/>
        <w:tblInd w:w="93" w:type="dxa"/>
        <w:tblLook w:val="04A0" w:firstRow="1" w:lastRow="0" w:firstColumn="1" w:lastColumn="0" w:noHBand="0" w:noVBand="1"/>
      </w:tblPr>
      <w:tblGrid>
        <w:gridCol w:w="1658"/>
        <w:gridCol w:w="1431"/>
        <w:gridCol w:w="1107"/>
        <w:gridCol w:w="2111"/>
        <w:gridCol w:w="1093"/>
      </w:tblGrid>
      <w:tr w:rsidR="00AC362E" w:rsidRPr="00491EF1" w14:paraId="56BD18A0" w14:textId="77777777" w:rsidTr="00ED0631">
        <w:trPr>
          <w:trHeight w:val="315"/>
        </w:trPr>
        <w:tc>
          <w:tcPr>
            <w:tcW w:w="1658" w:type="dxa"/>
            <w:tcBorders>
              <w:top w:val="single" w:sz="4" w:space="0" w:color="auto"/>
              <w:left w:val="nil"/>
              <w:bottom w:val="single" w:sz="4" w:space="0" w:color="auto"/>
              <w:right w:val="nil"/>
            </w:tcBorders>
            <w:shd w:val="clear" w:color="auto" w:fill="auto"/>
            <w:noWrap/>
            <w:vAlign w:val="bottom"/>
            <w:hideMark/>
          </w:tcPr>
          <w:p w14:paraId="7FDE217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431" w:type="dxa"/>
            <w:tcBorders>
              <w:top w:val="single" w:sz="4" w:space="0" w:color="auto"/>
              <w:left w:val="nil"/>
              <w:bottom w:val="single" w:sz="4" w:space="0" w:color="auto"/>
              <w:right w:val="nil"/>
            </w:tcBorders>
            <w:shd w:val="clear" w:color="auto" w:fill="auto"/>
            <w:noWrap/>
            <w:vAlign w:val="bottom"/>
            <w:hideMark/>
          </w:tcPr>
          <w:p w14:paraId="07B684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Very valuable </w:t>
            </w:r>
          </w:p>
        </w:tc>
        <w:tc>
          <w:tcPr>
            <w:tcW w:w="1107" w:type="dxa"/>
            <w:tcBorders>
              <w:top w:val="single" w:sz="4" w:space="0" w:color="auto"/>
              <w:left w:val="nil"/>
              <w:bottom w:val="single" w:sz="4" w:space="0" w:color="auto"/>
              <w:right w:val="nil"/>
            </w:tcBorders>
            <w:shd w:val="clear" w:color="auto" w:fill="auto"/>
            <w:noWrap/>
            <w:vAlign w:val="bottom"/>
            <w:hideMark/>
          </w:tcPr>
          <w:p w14:paraId="7FF505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Valuable </w:t>
            </w:r>
          </w:p>
        </w:tc>
        <w:tc>
          <w:tcPr>
            <w:tcW w:w="2111" w:type="dxa"/>
            <w:tcBorders>
              <w:top w:val="single" w:sz="4" w:space="0" w:color="auto"/>
              <w:left w:val="nil"/>
              <w:bottom w:val="single" w:sz="4" w:space="0" w:color="auto"/>
              <w:right w:val="nil"/>
            </w:tcBorders>
            <w:shd w:val="clear" w:color="auto" w:fill="auto"/>
            <w:noWrap/>
            <w:vAlign w:val="bottom"/>
            <w:hideMark/>
          </w:tcPr>
          <w:p w14:paraId="75DAEF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Reasonably valuable </w:t>
            </w:r>
          </w:p>
        </w:tc>
        <w:tc>
          <w:tcPr>
            <w:tcW w:w="1093" w:type="dxa"/>
            <w:tcBorders>
              <w:top w:val="single" w:sz="4" w:space="0" w:color="auto"/>
              <w:left w:val="nil"/>
              <w:bottom w:val="single" w:sz="4" w:space="0" w:color="auto"/>
              <w:right w:val="nil"/>
            </w:tcBorders>
            <w:shd w:val="clear" w:color="auto" w:fill="auto"/>
            <w:noWrap/>
            <w:vAlign w:val="bottom"/>
            <w:hideMark/>
          </w:tcPr>
          <w:p w14:paraId="6B19C5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Not value </w:t>
            </w:r>
          </w:p>
        </w:tc>
      </w:tr>
      <w:tr w:rsidR="00AC362E" w:rsidRPr="00491EF1" w14:paraId="16D01A8E" w14:textId="77777777" w:rsidTr="00ED0631">
        <w:trPr>
          <w:trHeight w:val="315"/>
        </w:trPr>
        <w:tc>
          <w:tcPr>
            <w:tcW w:w="1658" w:type="dxa"/>
            <w:tcBorders>
              <w:top w:val="nil"/>
              <w:left w:val="nil"/>
              <w:bottom w:val="nil"/>
              <w:right w:val="nil"/>
            </w:tcBorders>
            <w:shd w:val="clear" w:color="auto" w:fill="auto"/>
            <w:noWrap/>
            <w:vAlign w:val="bottom"/>
            <w:hideMark/>
          </w:tcPr>
          <w:p w14:paraId="2F66A0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431" w:type="dxa"/>
            <w:tcBorders>
              <w:top w:val="nil"/>
              <w:left w:val="nil"/>
              <w:bottom w:val="nil"/>
              <w:right w:val="nil"/>
            </w:tcBorders>
            <w:shd w:val="clear" w:color="auto" w:fill="auto"/>
            <w:noWrap/>
            <w:vAlign w:val="bottom"/>
            <w:hideMark/>
          </w:tcPr>
          <w:p w14:paraId="0F3930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07" w:type="dxa"/>
            <w:tcBorders>
              <w:top w:val="nil"/>
              <w:left w:val="nil"/>
              <w:bottom w:val="nil"/>
              <w:right w:val="nil"/>
            </w:tcBorders>
            <w:shd w:val="clear" w:color="auto" w:fill="auto"/>
            <w:noWrap/>
            <w:vAlign w:val="bottom"/>
            <w:hideMark/>
          </w:tcPr>
          <w:p w14:paraId="1FFA9E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2111" w:type="dxa"/>
            <w:tcBorders>
              <w:top w:val="nil"/>
              <w:left w:val="nil"/>
              <w:bottom w:val="nil"/>
              <w:right w:val="nil"/>
            </w:tcBorders>
            <w:shd w:val="clear" w:color="auto" w:fill="auto"/>
            <w:noWrap/>
            <w:vAlign w:val="bottom"/>
            <w:hideMark/>
          </w:tcPr>
          <w:p w14:paraId="6C93A83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77A883A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CCA30C9" w14:textId="77777777" w:rsidTr="00ED0631">
        <w:trPr>
          <w:trHeight w:val="315"/>
        </w:trPr>
        <w:tc>
          <w:tcPr>
            <w:tcW w:w="1658" w:type="dxa"/>
            <w:tcBorders>
              <w:top w:val="nil"/>
              <w:left w:val="nil"/>
              <w:bottom w:val="nil"/>
              <w:right w:val="nil"/>
            </w:tcBorders>
            <w:shd w:val="clear" w:color="auto" w:fill="auto"/>
            <w:noWrap/>
            <w:vAlign w:val="bottom"/>
            <w:hideMark/>
          </w:tcPr>
          <w:p w14:paraId="48976E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431" w:type="dxa"/>
            <w:tcBorders>
              <w:top w:val="nil"/>
              <w:left w:val="nil"/>
              <w:bottom w:val="nil"/>
              <w:right w:val="nil"/>
            </w:tcBorders>
            <w:shd w:val="clear" w:color="auto" w:fill="auto"/>
            <w:noWrap/>
            <w:vAlign w:val="bottom"/>
            <w:hideMark/>
          </w:tcPr>
          <w:p w14:paraId="74794D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107" w:type="dxa"/>
            <w:tcBorders>
              <w:top w:val="nil"/>
              <w:left w:val="nil"/>
              <w:bottom w:val="nil"/>
              <w:right w:val="nil"/>
            </w:tcBorders>
            <w:shd w:val="clear" w:color="auto" w:fill="auto"/>
            <w:noWrap/>
            <w:vAlign w:val="bottom"/>
            <w:hideMark/>
          </w:tcPr>
          <w:p w14:paraId="6CAE44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2111" w:type="dxa"/>
            <w:tcBorders>
              <w:top w:val="nil"/>
              <w:left w:val="nil"/>
              <w:bottom w:val="nil"/>
              <w:right w:val="nil"/>
            </w:tcBorders>
            <w:shd w:val="clear" w:color="auto" w:fill="auto"/>
            <w:noWrap/>
            <w:vAlign w:val="bottom"/>
            <w:hideMark/>
          </w:tcPr>
          <w:p w14:paraId="747D210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7F697C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4F4220AE" w14:textId="77777777" w:rsidTr="00ED0631">
        <w:trPr>
          <w:trHeight w:val="315"/>
        </w:trPr>
        <w:tc>
          <w:tcPr>
            <w:tcW w:w="1658" w:type="dxa"/>
            <w:tcBorders>
              <w:top w:val="nil"/>
              <w:left w:val="nil"/>
              <w:bottom w:val="nil"/>
              <w:right w:val="nil"/>
            </w:tcBorders>
            <w:shd w:val="clear" w:color="auto" w:fill="auto"/>
            <w:noWrap/>
            <w:vAlign w:val="bottom"/>
            <w:hideMark/>
          </w:tcPr>
          <w:p w14:paraId="43BE4B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431" w:type="dxa"/>
            <w:tcBorders>
              <w:top w:val="nil"/>
              <w:left w:val="nil"/>
              <w:bottom w:val="nil"/>
              <w:right w:val="nil"/>
            </w:tcBorders>
            <w:shd w:val="clear" w:color="auto" w:fill="auto"/>
            <w:noWrap/>
            <w:vAlign w:val="bottom"/>
            <w:hideMark/>
          </w:tcPr>
          <w:p w14:paraId="767403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107" w:type="dxa"/>
            <w:tcBorders>
              <w:top w:val="nil"/>
              <w:left w:val="nil"/>
              <w:bottom w:val="nil"/>
              <w:right w:val="nil"/>
            </w:tcBorders>
            <w:shd w:val="clear" w:color="auto" w:fill="auto"/>
            <w:noWrap/>
            <w:vAlign w:val="bottom"/>
            <w:hideMark/>
          </w:tcPr>
          <w:p w14:paraId="5BB7A3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2111" w:type="dxa"/>
            <w:tcBorders>
              <w:top w:val="nil"/>
              <w:left w:val="nil"/>
              <w:bottom w:val="nil"/>
              <w:right w:val="nil"/>
            </w:tcBorders>
            <w:shd w:val="clear" w:color="auto" w:fill="auto"/>
            <w:noWrap/>
            <w:vAlign w:val="bottom"/>
            <w:hideMark/>
          </w:tcPr>
          <w:p w14:paraId="2F1439B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35F691B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87A587B" w14:textId="77777777" w:rsidTr="00ED0631">
        <w:trPr>
          <w:trHeight w:val="315"/>
        </w:trPr>
        <w:tc>
          <w:tcPr>
            <w:tcW w:w="1658" w:type="dxa"/>
            <w:tcBorders>
              <w:top w:val="nil"/>
              <w:left w:val="nil"/>
              <w:bottom w:val="nil"/>
              <w:right w:val="nil"/>
            </w:tcBorders>
            <w:shd w:val="clear" w:color="auto" w:fill="auto"/>
            <w:noWrap/>
            <w:vAlign w:val="bottom"/>
            <w:hideMark/>
          </w:tcPr>
          <w:p w14:paraId="36EC9A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431" w:type="dxa"/>
            <w:tcBorders>
              <w:top w:val="nil"/>
              <w:left w:val="nil"/>
              <w:bottom w:val="nil"/>
              <w:right w:val="nil"/>
            </w:tcBorders>
            <w:shd w:val="clear" w:color="auto" w:fill="auto"/>
            <w:noWrap/>
            <w:vAlign w:val="bottom"/>
            <w:hideMark/>
          </w:tcPr>
          <w:p w14:paraId="2DE8C6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107" w:type="dxa"/>
            <w:tcBorders>
              <w:top w:val="nil"/>
              <w:left w:val="nil"/>
              <w:bottom w:val="nil"/>
              <w:right w:val="nil"/>
            </w:tcBorders>
            <w:shd w:val="clear" w:color="auto" w:fill="auto"/>
            <w:noWrap/>
            <w:vAlign w:val="bottom"/>
            <w:hideMark/>
          </w:tcPr>
          <w:p w14:paraId="56141B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2111" w:type="dxa"/>
            <w:tcBorders>
              <w:top w:val="nil"/>
              <w:left w:val="nil"/>
              <w:bottom w:val="nil"/>
              <w:right w:val="nil"/>
            </w:tcBorders>
            <w:shd w:val="clear" w:color="auto" w:fill="auto"/>
            <w:noWrap/>
            <w:vAlign w:val="bottom"/>
            <w:hideMark/>
          </w:tcPr>
          <w:p w14:paraId="5C7898B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198899A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EDA26AA" w14:textId="77777777" w:rsidTr="00ED0631">
        <w:trPr>
          <w:trHeight w:val="315"/>
        </w:trPr>
        <w:tc>
          <w:tcPr>
            <w:tcW w:w="1658" w:type="dxa"/>
            <w:tcBorders>
              <w:top w:val="nil"/>
              <w:left w:val="nil"/>
              <w:bottom w:val="nil"/>
              <w:right w:val="nil"/>
            </w:tcBorders>
            <w:shd w:val="clear" w:color="auto" w:fill="auto"/>
            <w:noWrap/>
            <w:vAlign w:val="bottom"/>
            <w:hideMark/>
          </w:tcPr>
          <w:p w14:paraId="78A139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431" w:type="dxa"/>
            <w:tcBorders>
              <w:top w:val="nil"/>
              <w:left w:val="nil"/>
              <w:bottom w:val="nil"/>
              <w:right w:val="nil"/>
            </w:tcBorders>
            <w:shd w:val="clear" w:color="auto" w:fill="auto"/>
            <w:noWrap/>
            <w:vAlign w:val="bottom"/>
            <w:hideMark/>
          </w:tcPr>
          <w:p w14:paraId="5C3551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107" w:type="dxa"/>
            <w:tcBorders>
              <w:top w:val="nil"/>
              <w:left w:val="nil"/>
              <w:bottom w:val="nil"/>
              <w:right w:val="nil"/>
            </w:tcBorders>
            <w:shd w:val="clear" w:color="auto" w:fill="auto"/>
            <w:noWrap/>
            <w:vAlign w:val="bottom"/>
            <w:hideMark/>
          </w:tcPr>
          <w:p w14:paraId="049253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2111" w:type="dxa"/>
            <w:tcBorders>
              <w:top w:val="nil"/>
              <w:left w:val="nil"/>
              <w:bottom w:val="nil"/>
              <w:right w:val="nil"/>
            </w:tcBorders>
            <w:shd w:val="clear" w:color="auto" w:fill="auto"/>
            <w:noWrap/>
            <w:vAlign w:val="bottom"/>
            <w:hideMark/>
          </w:tcPr>
          <w:p w14:paraId="7CA92C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093" w:type="dxa"/>
            <w:tcBorders>
              <w:top w:val="nil"/>
              <w:left w:val="nil"/>
              <w:bottom w:val="nil"/>
              <w:right w:val="nil"/>
            </w:tcBorders>
            <w:shd w:val="clear" w:color="auto" w:fill="auto"/>
            <w:noWrap/>
            <w:vAlign w:val="bottom"/>
            <w:hideMark/>
          </w:tcPr>
          <w:p w14:paraId="010B702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A5EAABD" w14:textId="77777777" w:rsidTr="00ED0631">
        <w:trPr>
          <w:trHeight w:val="315"/>
        </w:trPr>
        <w:tc>
          <w:tcPr>
            <w:tcW w:w="1658" w:type="dxa"/>
            <w:tcBorders>
              <w:top w:val="nil"/>
              <w:left w:val="nil"/>
              <w:bottom w:val="nil"/>
              <w:right w:val="nil"/>
            </w:tcBorders>
            <w:shd w:val="clear" w:color="auto" w:fill="auto"/>
            <w:noWrap/>
            <w:vAlign w:val="bottom"/>
            <w:hideMark/>
          </w:tcPr>
          <w:p w14:paraId="020A1E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431" w:type="dxa"/>
            <w:tcBorders>
              <w:top w:val="nil"/>
              <w:left w:val="nil"/>
              <w:bottom w:val="nil"/>
              <w:right w:val="nil"/>
            </w:tcBorders>
            <w:shd w:val="clear" w:color="auto" w:fill="auto"/>
            <w:noWrap/>
            <w:vAlign w:val="bottom"/>
            <w:hideMark/>
          </w:tcPr>
          <w:p w14:paraId="594D6C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107" w:type="dxa"/>
            <w:tcBorders>
              <w:top w:val="nil"/>
              <w:left w:val="nil"/>
              <w:bottom w:val="nil"/>
              <w:right w:val="nil"/>
            </w:tcBorders>
            <w:shd w:val="clear" w:color="auto" w:fill="auto"/>
            <w:noWrap/>
            <w:vAlign w:val="bottom"/>
            <w:hideMark/>
          </w:tcPr>
          <w:p w14:paraId="0A49D1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2111" w:type="dxa"/>
            <w:tcBorders>
              <w:top w:val="nil"/>
              <w:left w:val="nil"/>
              <w:bottom w:val="nil"/>
              <w:right w:val="nil"/>
            </w:tcBorders>
            <w:shd w:val="clear" w:color="auto" w:fill="auto"/>
            <w:noWrap/>
            <w:vAlign w:val="bottom"/>
            <w:hideMark/>
          </w:tcPr>
          <w:p w14:paraId="4CEB694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7E324A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449BBB1C" w14:textId="77777777" w:rsidTr="00ED0631">
        <w:trPr>
          <w:trHeight w:val="315"/>
        </w:trPr>
        <w:tc>
          <w:tcPr>
            <w:tcW w:w="1658" w:type="dxa"/>
            <w:tcBorders>
              <w:top w:val="nil"/>
              <w:left w:val="nil"/>
              <w:bottom w:val="nil"/>
              <w:right w:val="nil"/>
            </w:tcBorders>
            <w:shd w:val="clear" w:color="auto" w:fill="auto"/>
            <w:noWrap/>
            <w:vAlign w:val="bottom"/>
            <w:hideMark/>
          </w:tcPr>
          <w:p w14:paraId="4CC8FED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431" w:type="dxa"/>
            <w:tcBorders>
              <w:top w:val="nil"/>
              <w:left w:val="nil"/>
              <w:bottom w:val="nil"/>
              <w:right w:val="nil"/>
            </w:tcBorders>
            <w:shd w:val="clear" w:color="auto" w:fill="auto"/>
            <w:noWrap/>
            <w:vAlign w:val="bottom"/>
            <w:hideMark/>
          </w:tcPr>
          <w:p w14:paraId="55E519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107" w:type="dxa"/>
            <w:tcBorders>
              <w:top w:val="nil"/>
              <w:left w:val="nil"/>
              <w:bottom w:val="nil"/>
              <w:right w:val="nil"/>
            </w:tcBorders>
            <w:shd w:val="clear" w:color="auto" w:fill="auto"/>
            <w:noWrap/>
            <w:vAlign w:val="bottom"/>
            <w:hideMark/>
          </w:tcPr>
          <w:p w14:paraId="51227B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2111" w:type="dxa"/>
            <w:tcBorders>
              <w:top w:val="nil"/>
              <w:left w:val="nil"/>
              <w:bottom w:val="nil"/>
              <w:right w:val="nil"/>
            </w:tcBorders>
            <w:shd w:val="clear" w:color="auto" w:fill="auto"/>
            <w:noWrap/>
            <w:vAlign w:val="bottom"/>
            <w:hideMark/>
          </w:tcPr>
          <w:p w14:paraId="32EA304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5D4BEBA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CFE8B04" w14:textId="77777777" w:rsidTr="00ED0631">
        <w:trPr>
          <w:trHeight w:val="315"/>
        </w:trPr>
        <w:tc>
          <w:tcPr>
            <w:tcW w:w="1658" w:type="dxa"/>
            <w:tcBorders>
              <w:top w:val="nil"/>
              <w:left w:val="nil"/>
              <w:bottom w:val="nil"/>
              <w:right w:val="nil"/>
            </w:tcBorders>
            <w:shd w:val="clear" w:color="auto" w:fill="auto"/>
            <w:noWrap/>
            <w:vAlign w:val="bottom"/>
            <w:hideMark/>
          </w:tcPr>
          <w:p w14:paraId="2565F4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431" w:type="dxa"/>
            <w:tcBorders>
              <w:top w:val="nil"/>
              <w:left w:val="nil"/>
              <w:bottom w:val="nil"/>
              <w:right w:val="nil"/>
            </w:tcBorders>
            <w:shd w:val="clear" w:color="auto" w:fill="auto"/>
            <w:noWrap/>
            <w:vAlign w:val="bottom"/>
            <w:hideMark/>
          </w:tcPr>
          <w:p w14:paraId="535E7F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107" w:type="dxa"/>
            <w:tcBorders>
              <w:top w:val="nil"/>
              <w:left w:val="nil"/>
              <w:bottom w:val="nil"/>
              <w:right w:val="nil"/>
            </w:tcBorders>
            <w:shd w:val="clear" w:color="auto" w:fill="auto"/>
            <w:noWrap/>
            <w:vAlign w:val="bottom"/>
            <w:hideMark/>
          </w:tcPr>
          <w:p w14:paraId="6B4072D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2111" w:type="dxa"/>
            <w:tcBorders>
              <w:top w:val="nil"/>
              <w:left w:val="nil"/>
              <w:bottom w:val="nil"/>
              <w:right w:val="nil"/>
            </w:tcBorders>
            <w:shd w:val="clear" w:color="auto" w:fill="auto"/>
            <w:noWrap/>
            <w:vAlign w:val="bottom"/>
            <w:hideMark/>
          </w:tcPr>
          <w:p w14:paraId="2282E8D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93" w:type="dxa"/>
            <w:tcBorders>
              <w:top w:val="nil"/>
              <w:left w:val="nil"/>
              <w:bottom w:val="nil"/>
              <w:right w:val="nil"/>
            </w:tcBorders>
            <w:shd w:val="clear" w:color="auto" w:fill="auto"/>
            <w:noWrap/>
            <w:vAlign w:val="bottom"/>
            <w:hideMark/>
          </w:tcPr>
          <w:p w14:paraId="132A68A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7152FDD" w14:textId="77777777" w:rsidTr="00ED0631">
        <w:trPr>
          <w:trHeight w:val="315"/>
        </w:trPr>
        <w:tc>
          <w:tcPr>
            <w:tcW w:w="1658" w:type="dxa"/>
            <w:tcBorders>
              <w:top w:val="nil"/>
              <w:left w:val="nil"/>
              <w:bottom w:val="nil"/>
              <w:right w:val="nil"/>
            </w:tcBorders>
            <w:shd w:val="clear" w:color="auto" w:fill="auto"/>
            <w:noWrap/>
            <w:vAlign w:val="bottom"/>
            <w:hideMark/>
          </w:tcPr>
          <w:p w14:paraId="2C27ED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431" w:type="dxa"/>
            <w:tcBorders>
              <w:top w:val="nil"/>
              <w:left w:val="nil"/>
              <w:bottom w:val="nil"/>
              <w:right w:val="nil"/>
            </w:tcBorders>
            <w:shd w:val="clear" w:color="auto" w:fill="auto"/>
            <w:noWrap/>
            <w:vAlign w:val="bottom"/>
            <w:hideMark/>
          </w:tcPr>
          <w:p w14:paraId="12E040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45 </w:t>
            </w:r>
          </w:p>
        </w:tc>
        <w:tc>
          <w:tcPr>
            <w:tcW w:w="1107" w:type="dxa"/>
            <w:tcBorders>
              <w:top w:val="nil"/>
              <w:left w:val="nil"/>
              <w:bottom w:val="nil"/>
              <w:right w:val="nil"/>
            </w:tcBorders>
            <w:shd w:val="clear" w:color="auto" w:fill="auto"/>
            <w:noWrap/>
            <w:vAlign w:val="bottom"/>
            <w:hideMark/>
          </w:tcPr>
          <w:p w14:paraId="40142B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51 </w:t>
            </w:r>
          </w:p>
        </w:tc>
        <w:tc>
          <w:tcPr>
            <w:tcW w:w="2111" w:type="dxa"/>
            <w:tcBorders>
              <w:top w:val="nil"/>
              <w:left w:val="nil"/>
              <w:bottom w:val="nil"/>
              <w:right w:val="nil"/>
            </w:tcBorders>
            <w:shd w:val="clear" w:color="auto" w:fill="auto"/>
            <w:noWrap/>
            <w:vAlign w:val="bottom"/>
            <w:hideMark/>
          </w:tcPr>
          <w:p w14:paraId="60C663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093" w:type="dxa"/>
            <w:tcBorders>
              <w:top w:val="nil"/>
              <w:left w:val="nil"/>
              <w:bottom w:val="nil"/>
              <w:right w:val="nil"/>
            </w:tcBorders>
            <w:shd w:val="clear" w:color="auto" w:fill="auto"/>
            <w:noWrap/>
            <w:vAlign w:val="bottom"/>
            <w:hideMark/>
          </w:tcPr>
          <w:p w14:paraId="35DC7F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175136AF" w14:textId="77777777" w:rsidTr="00ED0631">
        <w:trPr>
          <w:trHeight w:val="315"/>
        </w:trPr>
        <w:tc>
          <w:tcPr>
            <w:tcW w:w="1658" w:type="dxa"/>
            <w:tcBorders>
              <w:top w:val="nil"/>
              <w:left w:val="nil"/>
              <w:bottom w:val="single" w:sz="4" w:space="0" w:color="auto"/>
              <w:right w:val="nil"/>
            </w:tcBorders>
            <w:shd w:val="clear" w:color="auto" w:fill="auto"/>
            <w:noWrap/>
            <w:vAlign w:val="bottom"/>
            <w:hideMark/>
          </w:tcPr>
          <w:p w14:paraId="32DA18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431" w:type="dxa"/>
            <w:tcBorders>
              <w:top w:val="nil"/>
              <w:left w:val="nil"/>
              <w:bottom w:val="single" w:sz="4" w:space="0" w:color="auto"/>
              <w:right w:val="nil"/>
            </w:tcBorders>
            <w:shd w:val="clear" w:color="auto" w:fill="auto"/>
            <w:noWrap/>
            <w:vAlign w:val="bottom"/>
            <w:hideMark/>
          </w:tcPr>
          <w:p w14:paraId="73EF05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07" w:type="dxa"/>
            <w:tcBorders>
              <w:top w:val="nil"/>
              <w:left w:val="nil"/>
              <w:bottom w:val="single" w:sz="4" w:space="0" w:color="auto"/>
              <w:right w:val="nil"/>
            </w:tcBorders>
            <w:shd w:val="clear" w:color="auto" w:fill="auto"/>
            <w:noWrap/>
            <w:vAlign w:val="bottom"/>
            <w:hideMark/>
          </w:tcPr>
          <w:p w14:paraId="33A05D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2111" w:type="dxa"/>
            <w:tcBorders>
              <w:top w:val="nil"/>
              <w:left w:val="nil"/>
              <w:bottom w:val="single" w:sz="4" w:space="0" w:color="auto"/>
              <w:right w:val="nil"/>
            </w:tcBorders>
            <w:shd w:val="clear" w:color="auto" w:fill="auto"/>
            <w:noWrap/>
            <w:vAlign w:val="bottom"/>
            <w:hideMark/>
          </w:tcPr>
          <w:p w14:paraId="2A28D7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93" w:type="dxa"/>
            <w:tcBorders>
              <w:top w:val="nil"/>
              <w:left w:val="nil"/>
              <w:bottom w:val="single" w:sz="4" w:space="0" w:color="auto"/>
              <w:right w:val="nil"/>
            </w:tcBorders>
            <w:shd w:val="clear" w:color="auto" w:fill="auto"/>
            <w:noWrap/>
            <w:vAlign w:val="bottom"/>
            <w:hideMark/>
          </w:tcPr>
          <w:p w14:paraId="7BEB92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0FED24CB" w14:textId="77777777" w:rsidTr="00ED0631">
        <w:trPr>
          <w:trHeight w:val="315"/>
        </w:trPr>
        <w:tc>
          <w:tcPr>
            <w:tcW w:w="1658" w:type="dxa"/>
            <w:tcBorders>
              <w:top w:val="nil"/>
              <w:left w:val="nil"/>
              <w:bottom w:val="single" w:sz="4" w:space="0" w:color="auto"/>
              <w:right w:val="nil"/>
            </w:tcBorders>
            <w:shd w:val="clear" w:color="auto" w:fill="auto"/>
            <w:noWrap/>
            <w:vAlign w:val="bottom"/>
            <w:hideMark/>
          </w:tcPr>
          <w:p w14:paraId="21AB8A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431" w:type="dxa"/>
            <w:tcBorders>
              <w:top w:val="nil"/>
              <w:left w:val="nil"/>
              <w:bottom w:val="single" w:sz="4" w:space="0" w:color="auto"/>
              <w:right w:val="nil"/>
            </w:tcBorders>
            <w:shd w:val="clear" w:color="auto" w:fill="auto"/>
            <w:noWrap/>
            <w:vAlign w:val="bottom"/>
            <w:hideMark/>
          </w:tcPr>
          <w:p w14:paraId="4CEB446E"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109</w:t>
            </w:r>
          </w:p>
        </w:tc>
        <w:tc>
          <w:tcPr>
            <w:tcW w:w="1107" w:type="dxa"/>
            <w:tcBorders>
              <w:top w:val="nil"/>
              <w:left w:val="nil"/>
              <w:bottom w:val="single" w:sz="4" w:space="0" w:color="auto"/>
              <w:right w:val="nil"/>
            </w:tcBorders>
            <w:shd w:val="clear" w:color="auto" w:fill="auto"/>
            <w:noWrap/>
            <w:vAlign w:val="bottom"/>
            <w:hideMark/>
          </w:tcPr>
          <w:p w14:paraId="78AD03F4"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82</w:t>
            </w:r>
          </w:p>
        </w:tc>
        <w:tc>
          <w:tcPr>
            <w:tcW w:w="2111" w:type="dxa"/>
            <w:tcBorders>
              <w:top w:val="nil"/>
              <w:left w:val="nil"/>
              <w:bottom w:val="single" w:sz="4" w:space="0" w:color="auto"/>
              <w:right w:val="nil"/>
            </w:tcBorders>
            <w:shd w:val="clear" w:color="auto" w:fill="auto"/>
            <w:noWrap/>
            <w:vAlign w:val="bottom"/>
            <w:hideMark/>
          </w:tcPr>
          <w:p w14:paraId="207D993C"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1093" w:type="dxa"/>
            <w:tcBorders>
              <w:top w:val="nil"/>
              <w:left w:val="nil"/>
              <w:bottom w:val="single" w:sz="4" w:space="0" w:color="auto"/>
              <w:right w:val="nil"/>
            </w:tcBorders>
            <w:shd w:val="clear" w:color="auto" w:fill="auto"/>
            <w:noWrap/>
            <w:vAlign w:val="bottom"/>
            <w:hideMark/>
          </w:tcPr>
          <w:p w14:paraId="0D6C545D"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r>
    </w:tbl>
    <w:p w14:paraId="17A92B4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20: Teachers rating of the value of parent-teacher interviews by island type</w:t>
      </w:r>
    </w:p>
    <w:tbl>
      <w:tblPr>
        <w:tblW w:w="6887" w:type="dxa"/>
        <w:tblInd w:w="93" w:type="dxa"/>
        <w:tblLook w:val="04A0" w:firstRow="1" w:lastRow="0" w:firstColumn="1" w:lastColumn="0" w:noHBand="0" w:noVBand="1"/>
      </w:tblPr>
      <w:tblGrid>
        <w:gridCol w:w="1242"/>
        <w:gridCol w:w="1407"/>
        <w:gridCol w:w="1088"/>
        <w:gridCol w:w="2075"/>
        <w:gridCol w:w="1075"/>
      </w:tblGrid>
      <w:tr w:rsidR="00AC362E" w:rsidRPr="00491EF1" w14:paraId="6389B339"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4FEE3116"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407" w:type="dxa"/>
            <w:tcBorders>
              <w:top w:val="single" w:sz="4" w:space="0" w:color="auto"/>
              <w:left w:val="nil"/>
              <w:bottom w:val="nil"/>
              <w:right w:val="nil"/>
            </w:tcBorders>
            <w:shd w:val="clear" w:color="auto" w:fill="auto"/>
            <w:noWrap/>
            <w:vAlign w:val="bottom"/>
            <w:hideMark/>
          </w:tcPr>
          <w:p w14:paraId="7FDE01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Very valuable </w:t>
            </w:r>
          </w:p>
        </w:tc>
        <w:tc>
          <w:tcPr>
            <w:tcW w:w="1088" w:type="dxa"/>
            <w:tcBorders>
              <w:top w:val="single" w:sz="4" w:space="0" w:color="auto"/>
              <w:left w:val="nil"/>
              <w:bottom w:val="nil"/>
              <w:right w:val="nil"/>
            </w:tcBorders>
            <w:shd w:val="clear" w:color="auto" w:fill="auto"/>
            <w:noWrap/>
            <w:vAlign w:val="bottom"/>
            <w:hideMark/>
          </w:tcPr>
          <w:p w14:paraId="02E18E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Valuable </w:t>
            </w:r>
          </w:p>
        </w:tc>
        <w:tc>
          <w:tcPr>
            <w:tcW w:w="2075" w:type="dxa"/>
            <w:tcBorders>
              <w:top w:val="single" w:sz="4" w:space="0" w:color="auto"/>
              <w:left w:val="nil"/>
              <w:bottom w:val="nil"/>
              <w:right w:val="nil"/>
            </w:tcBorders>
            <w:shd w:val="clear" w:color="auto" w:fill="auto"/>
            <w:noWrap/>
            <w:vAlign w:val="bottom"/>
            <w:hideMark/>
          </w:tcPr>
          <w:p w14:paraId="2219E2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Reasonably valuable </w:t>
            </w:r>
          </w:p>
        </w:tc>
        <w:tc>
          <w:tcPr>
            <w:tcW w:w="1075" w:type="dxa"/>
            <w:tcBorders>
              <w:top w:val="single" w:sz="4" w:space="0" w:color="auto"/>
              <w:left w:val="nil"/>
              <w:bottom w:val="nil"/>
              <w:right w:val="nil"/>
            </w:tcBorders>
            <w:shd w:val="clear" w:color="auto" w:fill="auto"/>
            <w:noWrap/>
            <w:vAlign w:val="bottom"/>
            <w:hideMark/>
          </w:tcPr>
          <w:p w14:paraId="560A48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Not value </w:t>
            </w:r>
          </w:p>
        </w:tc>
      </w:tr>
      <w:tr w:rsidR="00AC362E" w:rsidRPr="00491EF1" w14:paraId="0D09794A"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34AD76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407" w:type="dxa"/>
            <w:tcBorders>
              <w:top w:val="single" w:sz="4" w:space="0" w:color="auto"/>
              <w:left w:val="nil"/>
              <w:bottom w:val="nil"/>
              <w:right w:val="nil"/>
            </w:tcBorders>
            <w:shd w:val="clear" w:color="auto" w:fill="auto"/>
            <w:noWrap/>
            <w:vAlign w:val="bottom"/>
            <w:hideMark/>
          </w:tcPr>
          <w:p w14:paraId="7DB897D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49 </w:t>
            </w:r>
          </w:p>
        </w:tc>
        <w:tc>
          <w:tcPr>
            <w:tcW w:w="1088" w:type="dxa"/>
            <w:tcBorders>
              <w:top w:val="single" w:sz="4" w:space="0" w:color="auto"/>
              <w:left w:val="nil"/>
              <w:bottom w:val="nil"/>
              <w:right w:val="nil"/>
            </w:tcBorders>
            <w:shd w:val="clear" w:color="auto" w:fill="auto"/>
            <w:noWrap/>
            <w:vAlign w:val="bottom"/>
            <w:hideMark/>
          </w:tcPr>
          <w:p w14:paraId="2DA739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2075" w:type="dxa"/>
            <w:tcBorders>
              <w:top w:val="single" w:sz="4" w:space="0" w:color="auto"/>
              <w:left w:val="nil"/>
              <w:bottom w:val="nil"/>
              <w:right w:val="nil"/>
            </w:tcBorders>
            <w:shd w:val="clear" w:color="auto" w:fill="auto"/>
            <w:noWrap/>
            <w:vAlign w:val="bottom"/>
            <w:hideMark/>
          </w:tcPr>
          <w:p w14:paraId="034954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75" w:type="dxa"/>
            <w:tcBorders>
              <w:top w:val="single" w:sz="4" w:space="0" w:color="auto"/>
              <w:left w:val="nil"/>
              <w:bottom w:val="nil"/>
              <w:right w:val="nil"/>
            </w:tcBorders>
            <w:shd w:val="clear" w:color="auto" w:fill="auto"/>
            <w:noWrap/>
            <w:vAlign w:val="bottom"/>
            <w:hideMark/>
          </w:tcPr>
          <w:p w14:paraId="2F312F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r>
      <w:tr w:rsidR="00AC362E" w:rsidRPr="00491EF1" w14:paraId="30F9D6C7" w14:textId="77777777" w:rsidTr="00ED0631">
        <w:trPr>
          <w:trHeight w:val="315"/>
        </w:trPr>
        <w:tc>
          <w:tcPr>
            <w:tcW w:w="1242" w:type="dxa"/>
            <w:tcBorders>
              <w:top w:val="nil"/>
              <w:left w:val="nil"/>
              <w:bottom w:val="nil"/>
              <w:right w:val="nil"/>
            </w:tcBorders>
            <w:shd w:val="clear" w:color="auto" w:fill="auto"/>
            <w:noWrap/>
            <w:vAlign w:val="bottom"/>
            <w:hideMark/>
          </w:tcPr>
          <w:p w14:paraId="3F7EC7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407" w:type="dxa"/>
            <w:tcBorders>
              <w:top w:val="nil"/>
              <w:left w:val="nil"/>
              <w:bottom w:val="nil"/>
              <w:right w:val="nil"/>
            </w:tcBorders>
            <w:shd w:val="clear" w:color="auto" w:fill="auto"/>
            <w:noWrap/>
            <w:vAlign w:val="bottom"/>
            <w:hideMark/>
          </w:tcPr>
          <w:p w14:paraId="7DBC2F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088" w:type="dxa"/>
            <w:tcBorders>
              <w:top w:val="nil"/>
              <w:left w:val="nil"/>
              <w:bottom w:val="nil"/>
              <w:right w:val="nil"/>
            </w:tcBorders>
            <w:shd w:val="clear" w:color="auto" w:fill="auto"/>
            <w:noWrap/>
            <w:vAlign w:val="bottom"/>
            <w:hideMark/>
          </w:tcPr>
          <w:p w14:paraId="378538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2075" w:type="dxa"/>
            <w:tcBorders>
              <w:top w:val="nil"/>
              <w:left w:val="nil"/>
              <w:bottom w:val="nil"/>
              <w:right w:val="nil"/>
            </w:tcBorders>
            <w:shd w:val="clear" w:color="auto" w:fill="auto"/>
            <w:noWrap/>
            <w:vAlign w:val="bottom"/>
            <w:hideMark/>
          </w:tcPr>
          <w:p w14:paraId="0CC54E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075" w:type="dxa"/>
            <w:tcBorders>
              <w:top w:val="nil"/>
              <w:left w:val="nil"/>
              <w:bottom w:val="nil"/>
              <w:right w:val="nil"/>
            </w:tcBorders>
            <w:shd w:val="clear" w:color="auto" w:fill="auto"/>
            <w:noWrap/>
            <w:vAlign w:val="bottom"/>
            <w:hideMark/>
          </w:tcPr>
          <w:p w14:paraId="086BF74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1E0368C" w14:textId="77777777" w:rsidTr="00ED0631">
        <w:trPr>
          <w:trHeight w:val="315"/>
        </w:trPr>
        <w:tc>
          <w:tcPr>
            <w:tcW w:w="1242" w:type="dxa"/>
            <w:tcBorders>
              <w:top w:val="nil"/>
              <w:left w:val="nil"/>
              <w:bottom w:val="nil"/>
              <w:right w:val="nil"/>
            </w:tcBorders>
            <w:shd w:val="clear" w:color="auto" w:fill="auto"/>
            <w:noWrap/>
            <w:vAlign w:val="bottom"/>
            <w:hideMark/>
          </w:tcPr>
          <w:p w14:paraId="7BB159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407" w:type="dxa"/>
            <w:tcBorders>
              <w:top w:val="nil"/>
              <w:left w:val="nil"/>
              <w:bottom w:val="nil"/>
              <w:right w:val="nil"/>
            </w:tcBorders>
            <w:shd w:val="clear" w:color="auto" w:fill="auto"/>
            <w:noWrap/>
            <w:vAlign w:val="bottom"/>
            <w:hideMark/>
          </w:tcPr>
          <w:p w14:paraId="5DC068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45 </w:t>
            </w:r>
          </w:p>
        </w:tc>
        <w:tc>
          <w:tcPr>
            <w:tcW w:w="1088" w:type="dxa"/>
            <w:tcBorders>
              <w:top w:val="nil"/>
              <w:left w:val="nil"/>
              <w:bottom w:val="nil"/>
              <w:right w:val="nil"/>
            </w:tcBorders>
            <w:shd w:val="clear" w:color="auto" w:fill="auto"/>
            <w:noWrap/>
            <w:vAlign w:val="bottom"/>
            <w:hideMark/>
          </w:tcPr>
          <w:p w14:paraId="3983BE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51 </w:t>
            </w:r>
          </w:p>
        </w:tc>
        <w:tc>
          <w:tcPr>
            <w:tcW w:w="2075" w:type="dxa"/>
            <w:tcBorders>
              <w:top w:val="nil"/>
              <w:left w:val="nil"/>
              <w:bottom w:val="nil"/>
              <w:right w:val="nil"/>
            </w:tcBorders>
            <w:shd w:val="clear" w:color="auto" w:fill="auto"/>
            <w:noWrap/>
            <w:vAlign w:val="bottom"/>
            <w:hideMark/>
          </w:tcPr>
          <w:p w14:paraId="0E1DE0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075" w:type="dxa"/>
            <w:tcBorders>
              <w:top w:val="nil"/>
              <w:left w:val="nil"/>
              <w:bottom w:val="nil"/>
              <w:right w:val="nil"/>
            </w:tcBorders>
            <w:shd w:val="clear" w:color="auto" w:fill="auto"/>
            <w:noWrap/>
            <w:vAlign w:val="bottom"/>
            <w:hideMark/>
          </w:tcPr>
          <w:p w14:paraId="2B4A71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11746766"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71997A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407" w:type="dxa"/>
            <w:tcBorders>
              <w:top w:val="single" w:sz="4" w:space="0" w:color="auto"/>
              <w:left w:val="nil"/>
              <w:bottom w:val="single" w:sz="4" w:space="0" w:color="auto"/>
              <w:right w:val="nil"/>
            </w:tcBorders>
            <w:shd w:val="clear" w:color="auto" w:fill="auto"/>
            <w:noWrap/>
            <w:vAlign w:val="bottom"/>
            <w:hideMark/>
          </w:tcPr>
          <w:p w14:paraId="27FD01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109 </w:t>
            </w:r>
          </w:p>
        </w:tc>
        <w:tc>
          <w:tcPr>
            <w:tcW w:w="1088" w:type="dxa"/>
            <w:tcBorders>
              <w:top w:val="single" w:sz="4" w:space="0" w:color="auto"/>
              <w:left w:val="nil"/>
              <w:bottom w:val="single" w:sz="4" w:space="0" w:color="auto"/>
              <w:right w:val="nil"/>
            </w:tcBorders>
            <w:shd w:val="clear" w:color="auto" w:fill="auto"/>
            <w:noWrap/>
            <w:vAlign w:val="bottom"/>
            <w:hideMark/>
          </w:tcPr>
          <w:p w14:paraId="3025C7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82 </w:t>
            </w:r>
          </w:p>
        </w:tc>
        <w:tc>
          <w:tcPr>
            <w:tcW w:w="2075" w:type="dxa"/>
            <w:tcBorders>
              <w:top w:val="single" w:sz="4" w:space="0" w:color="auto"/>
              <w:left w:val="nil"/>
              <w:bottom w:val="single" w:sz="4" w:space="0" w:color="auto"/>
              <w:right w:val="nil"/>
            </w:tcBorders>
            <w:shd w:val="clear" w:color="auto" w:fill="auto"/>
            <w:noWrap/>
            <w:vAlign w:val="bottom"/>
            <w:hideMark/>
          </w:tcPr>
          <w:p w14:paraId="3457A5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075" w:type="dxa"/>
            <w:tcBorders>
              <w:top w:val="single" w:sz="4" w:space="0" w:color="auto"/>
              <w:left w:val="nil"/>
              <w:bottom w:val="single" w:sz="4" w:space="0" w:color="auto"/>
              <w:right w:val="nil"/>
            </w:tcBorders>
            <w:shd w:val="clear" w:color="auto" w:fill="auto"/>
            <w:noWrap/>
            <w:vAlign w:val="bottom"/>
            <w:hideMark/>
          </w:tcPr>
          <w:p w14:paraId="218549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r>
    </w:tbl>
    <w:p w14:paraId="39AF6A8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21: Approaches teachers use to judge the progress of children by island (Portfolio was intended)</w:t>
      </w:r>
    </w:p>
    <w:tbl>
      <w:tblPr>
        <w:tblW w:w="9654" w:type="dxa"/>
        <w:tblInd w:w="93" w:type="dxa"/>
        <w:tblLook w:val="04A0" w:firstRow="1" w:lastRow="0" w:firstColumn="1" w:lastColumn="0" w:noHBand="0" w:noVBand="1"/>
      </w:tblPr>
      <w:tblGrid>
        <w:gridCol w:w="1945"/>
        <w:gridCol w:w="1298"/>
        <w:gridCol w:w="1298"/>
        <w:gridCol w:w="1298"/>
        <w:gridCol w:w="1637"/>
        <w:gridCol w:w="1282"/>
        <w:gridCol w:w="896"/>
      </w:tblGrid>
      <w:tr w:rsidR="00AC362E" w:rsidRPr="00491EF1" w14:paraId="798188DE" w14:textId="77777777" w:rsidTr="00ED0631">
        <w:trPr>
          <w:trHeight w:val="315"/>
        </w:trPr>
        <w:tc>
          <w:tcPr>
            <w:tcW w:w="1945" w:type="dxa"/>
            <w:tcBorders>
              <w:top w:val="single" w:sz="4" w:space="0" w:color="auto"/>
              <w:left w:val="nil"/>
              <w:bottom w:val="single" w:sz="4" w:space="0" w:color="auto"/>
              <w:right w:val="nil"/>
            </w:tcBorders>
            <w:shd w:val="clear" w:color="auto" w:fill="auto"/>
            <w:noWrap/>
            <w:vAlign w:val="bottom"/>
            <w:hideMark/>
          </w:tcPr>
          <w:p w14:paraId="199698E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98" w:type="dxa"/>
            <w:tcBorders>
              <w:top w:val="single" w:sz="4" w:space="0" w:color="auto"/>
              <w:left w:val="nil"/>
              <w:bottom w:val="single" w:sz="4" w:space="0" w:color="auto"/>
              <w:right w:val="nil"/>
            </w:tcBorders>
            <w:shd w:val="clear" w:color="auto" w:fill="auto"/>
            <w:noWrap/>
            <w:vAlign w:val="bottom"/>
            <w:hideMark/>
          </w:tcPr>
          <w:p w14:paraId="4174CA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Exams </w:t>
            </w:r>
          </w:p>
        </w:tc>
        <w:tc>
          <w:tcPr>
            <w:tcW w:w="1298" w:type="dxa"/>
            <w:tcBorders>
              <w:top w:val="single" w:sz="4" w:space="0" w:color="auto"/>
              <w:left w:val="nil"/>
              <w:bottom w:val="single" w:sz="4" w:space="0" w:color="auto"/>
              <w:right w:val="nil"/>
            </w:tcBorders>
            <w:shd w:val="clear" w:color="auto" w:fill="auto"/>
            <w:noWrap/>
            <w:vAlign w:val="bottom"/>
            <w:hideMark/>
          </w:tcPr>
          <w:p w14:paraId="388109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Tests </w:t>
            </w:r>
          </w:p>
        </w:tc>
        <w:tc>
          <w:tcPr>
            <w:tcW w:w="1298" w:type="dxa"/>
            <w:tcBorders>
              <w:top w:val="single" w:sz="4" w:space="0" w:color="auto"/>
              <w:left w:val="nil"/>
              <w:bottom w:val="single" w:sz="4" w:space="0" w:color="auto"/>
              <w:right w:val="nil"/>
            </w:tcBorders>
            <w:shd w:val="clear" w:color="auto" w:fill="auto"/>
            <w:noWrap/>
            <w:vAlign w:val="bottom"/>
            <w:hideMark/>
          </w:tcPr>
          <w:p w14:paraId="495133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Portfolios </w:t>
            </w:r>
          </w:p>
        </w:tc>
        <w:tc>
          <w:tcPr>
            <w:tcW w:w="1637" w:type="dxa"/>
            <w:tcBorders>
              <w:top w:val="single" w:sz="4" w:space="0" w:color="auto"/>
              <w:left w:val="nil"/>
              <w:bottom w:val="single" w:sz="4" w:space="0" w:color="auto"/>
              <w:right w:val="nil"/>
            </w:tcBorders>
            <w:shd w:val="clear" w:color="auto" w:fill="auto"/>
            <w:noWrap/>
            <w:vAlign w:val="bottom"/>
            <w:hideMark/>
          </w:tcPr>
          <w:p w14:paraId="4B3122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Observations </w:t>
            </w:r>
          </w:p>
        </w:tc>
        <w:tc>
          <w:tcPr>
            <w:tcW w:w="1282" w:type="dxa"/>
            <w:tcBorders>
              <w:top w:val="single" w:sz="4" w:space="0" w:color="auto"/>
              <w:left w:val="nil"/>
              <w:bottom w:val="single" w:sz="4" w:space="0" w:color="auto"/>
              <w:right w:val="nil"/>
            </w:tcBorders>
            <w:shd w:val="clear" w:color="auto" w:fill="auto"/>
            <w:noWrap/>
            <w:vAlign w:val="bottom"/>
            <w:hideMark/>
          </w:tcPr>
          <w:p w14:paraId="36F8AA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Just know </w:t>
            </w:r>
          </w:p>
        </w:tc>
        <w:tc>
          <w:tcPr>
            <w:tcW w:w="896" w:type="dxa"/>
            <w:tcBorders>
              <w:top w:val="single" w:sz="4" w:space="0" w:color="auto"/>
              <w:left w:val="nil"/>
              <w:bottom w:val="single" w:sz="4" w:space="0" w:color="auto"/>
              <w:right w:val="nil"/>
            </w:tcBorders>
            <w:shd w:val="clear" w:color="auto" w:fill="auto"/>
            <w:noWrap/>
            <w:vAlign w:val="bottom"/>
            <w:hideMark/>
          </w:tcPr>
          <w:p w14:paraId="7CB9A8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r>
      <w:tr w:rsidR="00AC362E" w:rsidRPr="00491EF1" w14:paraId="6B8A3EEE" w14:textId="77777777" w:rsidTr="00ED0631">
        <w:trPr>
          <w:trHeight w:val="315"/>
        </w:trPr>
        <w:tc>
          <w:tcPr>
            <w:tcW w:w="1945" w:type="dxa"/>
            <w:tcBorders>
              <w:top w:val="nil"/>
              <w:left w:val="nil"/>
              <w:bottom w:val="nil"/>
              <w:right w:val="nil"/>
            </w:tcBorders>
            <w:shd w:val="clear" w:color="auto" w:fill="auto"/>
            <w:noWrap/>
            <w:vAlign w:val="bottom"/>
            <w:hideMark/>
          </w:tcPr>
          <w:p w14:paraId="796C95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298" w:type="dxa"/>
            <w:tcBorders>
              <w:top w:val="nil"/>
              <w:left w:val="nil"/>
              <w:bottom w:val="nil"/>
              <w:right w:val="nil"/>
            </w:tcBorders>
            <w:shd w:val="clear" w:color="auto" w:fill="auto"/>
            <w:noWrap/>
            <w:vAlign w:val="bottom"/>
            <w:hideMark/>
          </w:tcPr>
          <w:p w14:paraId="55A3A1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98" w:type="dxa"/>
            <w:tcBorders>
              <w:top w:val="nil"/>
              <w:left w:val="nil"/>
              <w:bottom w:val="nil"/>
              <w:right w:val="nil"/>
            </w:tcBorders>
            <w:shd w:val="clear" w:color="auto" w:fill="auto"/>
            <w:noWrap/>
            <w:vAlign w:val="bottom"/>
            <w:hideMark/>
          </w:tcPr>
          <w:p w14:paraId="018360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298" w:type="dxa"/>
            <w:tcBorders>
              <w:top w:val="nil"/>
              <w:left w:val="nil"/>
              <w:bottom w:val="nil"/>
              <w:right w:val="nil"/>
            </w:tcBorders>
            <w:shd w:val="clear" w:color="auto" w:fill="auto"/>
            <w:noWrap/>
            <w:vAlign w:val="bottom"/>
            <w:hideMark/>
          </w:tcPr>
          <w:p w14:paraId="281B35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637" w:type="dxa"/>
            <w:tcBorders>
              <w:top w:val="nil"/>
              <w:left w:val="nil"/>
              <w:bottom w:val="nil"/>
              <w:right w:val="nil"/>
            </w:tcBorders>
            <w:shd w:val="clear" w:color="auto" w:fill="auto"/>
            <w:noWrap/>
            <w:vAlign w:val="bottom"/>
            <w:hideMark/>
          </w:tcPr>
          <w:p w14:paraId="36E204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282" w:type="dxa"/>
            <w:tcBorders>
              <w:top w:val="nil"/>
              <w:left w:val="nil"/>
              <w:bottom w:val="nil"/>
              <w:right w:val="nil"/>
            </w:tcBorders>
            <w:shd w:val="clear" w:color="auto" w:fill="auto"/>
            <w:noWrap/>
            <w:vAlign w:val="bottom"/>
            <w:hideMark/>
          </w:tcPr>
          <w:p w14:paraId="17C6AF7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3C462F1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6F5E1EC" w14:textId="77777777" w:rsidTr="00ED0631">
        <w:trPr>
          <w:trHeight w:val="315"/>
        </w:trPr>
        <w:tc>
          <w:tcPr>
            <w:tcW w:w="1945" w:type="dxa"/>
            <w:tcBorders>
              <w:top w:val="nil"/>
              <w:left w:val="nil"/>
              <w:bottom w:val="nil"/>
              <w:right w:val="nil"/>
            </w:tcBorders>
            <w:shd w:val="clear" w:color="auto" w:fill="auto"/>
            <w:noWrap/>
            <w:vAlign w:val="bottom"/>
            <w:hideMark/>
          </w:tcPr>
          <w:p w14:paraId="319D10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298" w:type="dxa"/>
            <w:tcBorders>
              <w:top w:val="nil"/>
              <w:left w:val="nil"/>
              <w:bottom w:val="nil"/>
              <w:right w:val="nil"/>
            </w:tcBorders>
            <w:shd w:val="clear" w:color="auto" w:fill="auto"/>
            <w:noWrap/>
            <w:vAlign w:val="bottom"/>
            <w:hideMark/>
          </w:tcPr>
          <w:p w14:paraId="719552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98" w:type="dxa"/>
            <w:tcBorders>
              <w:top w:val="nil"/>
              <w:left w:val="nil"/>
              <w:bottom w:val="nil"/>
              <w:right w:val="nil"/>
            </w:tcBorders>
            <w:shd w:val="clear" w:color="auto" w:fill="auto"/>
            <w:noWrap/>
            <w:vAlign w:val="bottom"/>
            <w:hideMark/>
          </w:tcPr>
          <w:p w14:paraId="0890A5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98" w:type="dxa"/>
            <w:tcBorders>
              <w:top w:val="nil"/>
              <w:left w:val="nil"/>
              <w:bottom w:val="nil"/>
              <w:right w:val="nil"/>
            </w:tcBorders>
            <w:shd w:val="clear" w:color="auto" w:fill="auto"/>
            <w:noWrap/>
            <w:vAlign w:val="bottom"/>
            <w:hideMark/>
          </w:tcPr>
          <w:p w14:paraId="301838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637" w:type="dxa"/>
            <w:tcBorders>
              <w:top w:val="nil"/>
              <w:left w:val="nil"/>
              <w:bottom w:val="nil"/>
              <w:right w:val="nil"/>
            </w:tcBorders>
            <w:shd w:val="clear" w:color="auto" w:fill="auto"/>
            <w:noWrap/>
            <w:vAlign w:val="bottom"/>
            <w:hideMark/>
          </w:tcPr>
          <w:p w14:paraId="2C3BF4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82" w:type="dxa"/>
            <w:tcBorders>
              <w:top w:val="nil"/>
              <w:left w:val="nil"/>
              <w:bottom w:val="nil"/>
              <w:right w:val="nil"/>
            </w:tcBorders>
            <w:shd w:val="clear" w:color="auto" w:fill="auto"/>
            <w:noWrap/>
            <w:vAlign w:val="bottom"/>
            <w:hideMark/>
          </w:tcPr>
          <w:p w14:paraId="1326151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3705074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81DEFE1" w14:textId="77777777" w:rsidTr="00ED0631">
        <w:trPr>
          <w:trHeight w:val="315"/>
        </w:trPr>
        <w:tc>
          <w:tcPr>
            <w:tcW w:w="1945" w:type="dxa"/>
            <w:tcBorders>
              <w:top w:val="nil"/>
              <w:left w:val="nil"/>
              <w:bottom w:val="nil"/>
              <w:right w:val="nil"/>
            </w:tcBorders>
            <w:shd w:val="clear" w:color="auto" w:fill="auto"/>
            <w:noWrap/>
            <w:vAlign w:val="bottom"/>
            <w:hideMark/>
          </w:tcPr>
          <w:p w14:paraId="31E909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298" w:type="dxa"/>
            <w:tcBorders>
              <w:top w:val="nil"/>
              <w:left w:val="nil"/>
              <w:bottom w:val="nil"/>
              <w:right w:val="nil"/>
            </w:tcBorders>
            <w:shd w:val="clear" w:color="auto" w:fill="auto"/>
            <w:noWrap/>
            <w:vAlign w:val="bottom"/>
            <w:hideMark/>
          </w:tcPr>
          <w:p w14:paraId="541D78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98" w:type="dxa"/>
            <w:tcBorders>
              <w:top w:val="nil"/>
              <w:left w:val="nil"/>
              <w:bottom w:val="nil"/>
              <w:right w:val="nil"/>
            </w:tcBorders>
            <w:shd w:val="clear" w:color="auto" w:fill="auto"/>
            <w:noWrap/>
            <w:vAlign w:val="bottom"/>
            <w:hideMark/>
          </w:tcPr>
          <w:p w14:paraId="09B782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98" w:type="dxa"/>
            <w:tcBorders>
              <w:top w:val="nil"/>
              <w:left w:val="nil"/>
              <w:bottom w:val="nil"/>
              <w:right w:val="nil"/>
            </w:tcBorders>
            <w:shd w:val="clear" w:color="auto" w:fill="auto"/>
            <w:noWrap/>
            <w:vAlign w:val="bottom"/>
            <w:hideMark/>
          </w:tcPr>
          <w:p w14:paraId="602143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637" w:type="dxa"/>
            <w:tcBorders>
              <w:top w:val="nil"/>
              <w:left w:val="nil"/>
              <w:bottom w:val="nil"/>
              <w:right w:val="nil"/>
            </w:tcBorders>
            <w:shd w:val="clear" w:color="auto" w:fill="auto"/>
            <w:noWrap/>
            <w:vAlign w:val="bottom"/>
            <w:hideMark/>
          </w:tcPr>
          <w:p w14:paraId="7715D7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82" w:type="dxa"/>
            <w:tcBorders>
              <w:top w:val="nil"/>
              <w:left w:val="nil"/>
              <w:bottom w:val="nil"/>
              <w:right w:val="nil"/>
            </w:tcBorders>
            <w:shd w:val="clear" w:color="auto" w:fill="auto"/>
            <w:noWrap/>
            <w:vAlign w:val="bottom"/>
            <w:hideMark/>
          </w:tcPr>
          <w:p w14:paraId="1BFF3FF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2A46C5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0EC4E091" w14:textId="77777777" w:rsidTr="00ED0631">
        <w:trPr>
          <w:trHeight w:val="315"/>
        </w:trPr>
        <w:tc>
          <w:tcPr>
            <w:tcW w:w="1945" w:type="dxa"/>
            <w:tcBorders>
              <w:top w:val="nil"/>
              <w:left w:val="nil"/>
              <w:bottom w:val="nil"/>
              <w:right w:val="nil"/>
            </w:tcBorders>
            <w:shd w:val="clear" w:color="auto" w:fill="auto"/>
            <w:noWrap/>
            <w:vAlign w:val="bottom"/>
            <w:hideMark/>
          </w:tcPr>
          <w:p w14:paraId="2F8878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298" w:type="dxa"/>
            <w:tcBorders>
              <w:top w:val="nil"/>
              <w:left w:val="nil"/>
              <w:bottom w:val="nil"/>
              <w:right w:val="nil"/>
            </w:tcBorders>
            <w:shd w:val="clear" w:color="auto" w:fill="auto"/>
            <w:noWrap/>
            <w:vAlign w:val="bottom"/>
            <w:hideMark/>
          </w:tcPr>
          <w:p w14:paraId="217E31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98" w:type="dxa"/>
            <w:tcBorders>
              <w:top w:val="nil"/>
              <w:left w:val="nil"/>
              <w:bottom w:val="nil"/>
              <w:right w:val="nil"/>
            </w:tcBorders>
            <w:shd w:val="clear" w:color="auto" w:fill="auto"/>
            <w:noWrap/>
            <w:vAlign w:val="bottom"/>
            <w:hideMark/>
          </w:tcPr>
          <w:p w14:paraId="0138DC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8" w:type="dxa"/>
            <w:tcBorders>
              <w:top w:val="nil"/>
              <w:left w:val="nil"/>
              <w:bottom w:val="nil"/>
              <w:right w:val="nil"/>
            </w:tcBorders>
            <w:shd w:val="clear" w:color="auto" w:fill="auto"/>
            <w:noWrap/>
            <w:vAlign w:val="bottom"/>
            <w:hideMark/>
          </w:tcPr>
          <w:p w14:paraId="7D5FF1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637" w:type="dxa"/>
            <w:tcBorders>
              <w:top w:val="nil"/>
              <w:left w:val="nil"/>
              <w:bottom w:val="nil"/>
              <w:right w:val="nil"/>
            </w:tcBorders>
            <w:shd w:val="clear" w:color="auto" w:fill="auto"/>
            <w:noWrap/>
            <w:vAlign w:val="bottom"/>
            <w:hideMark/>
          </w:tcPr>
          <w:p w14:paraId="64D061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82" w:type="dxa"/>
            <w:tcBorders>
              <w:top w:val="nil"/>
              <w:left w:val="nil"/>
              <w:bottom w:val="nil"/>
              <w:right w:val="nil"/>
            </w:tcBorders>
            <w:shd w:val="clear" w:color="auto" w:fill="auto"/>
            <w:noWrap/>
            <w:vAlign w:val="bottom"/>
            <w:hideMark/>
          </w:tcPr>
          <w:p w14:paraId="292BA43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0A48327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BDC4C78" w14:textId="77777777" w:rsidTr="00ED0631">
        <w:trPr>
          <w:trHeight w:val="315"/>
        </w:trPr>
        <w:tc>
          <w:tcPr>
            <w:tcW w:w="1945" w:type="dxa"/>
            <w:tcBorders>
              <w:top w:val="nil"/>
              <w:left w:val="nil"/>
              <w:bottom w:val="nil"/>
              <w:right w:val="nil"/>
            </w:tcBorders>
            <w:shd w:val="clear" w:color="auto" w:fill="auto"/>
            <w:noWrap/>
            <w:vAlign w:val="bottom"/>
            <w:hideMark/>
          </w:tcPr>
          <w:p w14:paraId="31E7CC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298" w:type="dxa"/>
            <w:tcBorders>
              <w:top w:val="nil"/>
              <w:left w:val="nil"/>
              <w:bottom w:val="nil"/>
              <w:right w:val="nil"/>
            </w:tcBorders>
            <w:shd w:val="clear" w:color="auto" w:fill="auto"/>
            <w:noWrap/>
            <w:vAlign w:val="bottom"/>
            <w:hideMark/>
          </w:tcPr>
          <w:p w14:paraId="2494A3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8" w:type="dxa"/>
            <w:tcBorders>
              <w:top w:val="nil"/>
              <w:left w:val="nil"/>
              <w:bottom w:val="nil"/>
              <w:right w:val="nil"/>
            </w:tcBorders>
            <w:shd w:val="clear" w:color="auto" w:fill="auto"/>
            <w:noWrap/>
            <w:vAlign w:val="bottom"/>
            <w:hideMark/>
          </w:tcPr>
          <w:p w14:paraId="7540DD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8" w:type="dxa"/>
            <w:tcBorders>
              <w:top w:val="nil"/>
              <w:left w:val="nil"/>
              <w:bottom w:val="nil"/>
              <w:right w:val="nil"/>
            </w:tcBorders>
            <w:shd w:val="clear" w:color="auto" w:fill="auto"/>
            <w:noWrap/>
            <w:vAlign w:val="bottom"/>
            <w:hideMark/>
          </w:tcPr>
          <w:p w14:paraId="5473E5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637" w:type="dxa"/>
            <w:tcBorders>
              <w:top w:val="nil"/>
              <w:left w:val="nil"/>
              <w:bottom w:val="nil"/>
              <w:right w:val="nil"/>
            </w:tcBorders>
            <w:shd w:val="clear" w:color="auto" w:fill="auto"/>
            <w:noWrap/>
            <w:vAlign w:val="bottom"/>
            <w:hideMark/>
          </w:tcPr>
          <w:p w14:paraId="7D3045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82" w:type="dxa"/>
            <w:tcBorders>
              <w:top w:val="nil"/>
              <w:left w:val="nil"/>
              <w:bottom w:val="nil"/>
              <w:right w:val="nil"/>
            </w:tcBorders>
            <w:shd w:val="clear" w:color="auto" w:fill="auto"/>
            <w:noWrap/>
            <w:vAlign w:val="bottom"/>
            <w:hideMark/>
          </w:tcPr>
          <w:p w14:paraId="3FE2CA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896" w:type="dxa"/>
            <w:tcBorders>
              <w:top w:val="nil"/>
              <w:left w:val="nil"/>
              <w:bottom w:val="nil"/>
              <w:right w:val="nil"/>
            </w:tcBorders>
            <w:shd w:val="clear" w:color="auto" w:fill="auto"/>
            <w:noWrap/>
            <w:vAlign w:val="bottom"/>
            <w:hideMark/>
          </w:tcPr>
          <w:p w14:paraId="7A78803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55CC40F" w14:textId="77777777" w:rsidTr="00ED0631">
        <w:trPr>
          <w:trHeight w:val="315"/>
        </w:trPr>
        <w:tc>
          <w:tcPr>
            <w:tcW w:w="1945" w:type="dxa"/>
            <w:tcBorders>
              <w:top w:val="nil"/>
              <w:left w:val="nil"/>
              <w:bottom w:val="nil"/>
              <w:right w:val="nil"/>
            </w:tcBorders>
            <w:shd w:val="clear" w:color="auto" w:fill="auto"/>
            <w:noWrap/>
            <w:vAlign w:val="bottom"/>
            <w:hideMark/>
          </w:tcPr>
          <w:p w14:paraId="4D6E8D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298" w:type="dxa"/>
            <w:tcBorders>
              <w:top w:val="nil"/>
              <w:left w:val="nil"/>
              <w:bottom w:val="nil"/>
              <w:right w:val="nil"/>
            </w:tcBorders>
            <w:shd w:val="clear" w:color="auto" w:fill="auto"/>
            <w:noWrap/>
            <w:vAlign w:val="bottom"/>
            <w:hideMark/>
          </w:tcPr>
          <w:p w14:paraId="252FD0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98" w:type="dxa"/>
            <w:tcBorders>
              <w:top w:val="nil"/>
              <w:left w:val="nil"/>
              <w:bottom w:val="nil"/>
              <w:right w:val="nil"/>
            </w:tcBorders>
            <w:shd w:val="clear" w:color="auto" w:fill="auto"/>
            <w:noWrap/>
            <w:vAlign w:val="bottom"/>
            <w:hideMark/>
          </w:tcPr>
          <w:p w14:paraId="36704F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98" w:type="dxa"/>
            <w:tcBorders>
              <w:top w:val="nil"/>
              <w:left w:val="nil"/>
              <w:bottom w:val="nil"/>
              <w:right w:val="nil"/>
            </w:tcBorders>
            <w:shd w:val="clear" w:color="auto" w:fill="auto"/>
            <w:noWrap/>
            <w:vAlign w:val="bottom"/>
            <w:hideMark/>
          </w:tcPr>
          <w:p w14:paraId="0D9C20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637" w:type="dxa"/>
            <w:tcBorders>
              <w:top w:val="nil"/>
              <w:left w:val="nil"/>
              <w:bottom w:val="nil"/>
              <w:right w:val="nil"/>
            </w:tcBorders>
            <w:shd w:val="clear" w:color="auto" w:fill="auto"/>
            <w:noWrap/>
            <w:vAlign w:val="bottom"/>
            <w:hideMark/>
          </w:tcPr>
          <w:p w14:paraId="3987D8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82" w:type="dxa"/>
            <w:tcBorders>
              <w:top w:val="nil"/>
              <w:left w:val="nil"/>
              <w:bottom w:val="nil"/>
              <w:right w:val="nil"/>
            </w:tcBorders>
            <w:shd w:val="clear" w:color="auto" w:fill="auto"/>
            <w:noWrap/>
            <w:vAlign w:val="bottom"/>
            <w:hideMark/>
          </w:tcPr>
          <w:p w14:paraId="2B948D5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7CFEC872"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C2F0BB2" w14:textId="77777777" w:rsidTr="00ED0631">
        <w:trPr>
          <w:trHeight w:val="315"/>
        </w:trPr>
        <w:tc>
          <w:tcPr>
            <w:tcW w:w="1945" w:type="dxa"/>
            <w:tcBorders>
              <w:top w:val="nil"/>
              <w:left w:val="nil"/>
              <w:bottom w:val="nil"/>
              <w:right w:val="nil"/>
            </w:tcBorders>
            <w:shd w:val="clear" w:color="auto" w:fill="auto"/>
            <w:noWrap/>
            <w:vAlign w:val="bottom"/>
            <w:hideMark/>
          </w:tcPr>
          <w:p w14:paraId="62DA5D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298" w:type="dxa"/>
            <w:tcBorders>
              <w:top w:val="nil"/>
              <w:left w:val="nil"/>
              <w:bottom w:val="nil"/>
              <w:right w:val="nil"/>
            </w:tcBorders>
            <w:shd w:val="clear" w:color="auto" w:fill="auto"/>
            <w:noWrap/>
            <w:vAlign w:val="bottom"/>
            <w:hideMark/>
          </w:tcPr>
          <w:p w14:paraId="6E2F86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8" w:type="dxa"/>
            <w:tcBorders>
              <w:top w:val="nil"/>
              <w:left w:val="nil"/>
              <w:bottom w:val="nil"/>
              <w:right w:val="nil"/>
            </w:tcBorders>
            <w:shd w:val="clear" w:color="auto" w:fill="auto"/>
            <w:noWrap/>
            <w:vAlign w:val="bottom"/>
            <w:hideMark/>
          </w:tcPr>
          <w:p w14:paraId="3043BB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98" w:type="dxa"/>
            <w:tcBorders>
              <w:top w:val="nil"/>
              <w:left w:val="nil"/>
              <w:bottom w:val="nil"/>
              <w:right w:val="nil"/>
            </w:tcBorders>
            <w:shd w:val="clear" w:color="auto" w:fill="auto"/>
            <w:noWrap/>
            <w:vAlign w:val="bottom"/>
            <w:hideMark/>
          </w:tcPr>
          <w:p w14:paraId="316A58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637" w:type="dxa"/>
            <w:tcBorders>
              <w:top w:val="nil"/>
              <w:left w:val="nil"/>
              <w:bottom w:val="nil"/>
              <w:right w:val="nil"/>
            </w:tcBorders>
            <w:shd w:val="clear" w:color="auto" w:fill="auto"/>
            <w:noWrap/>
            <w:vAlign w:val="bottom"/>
            <w:hideMark/>
          </w:tcPr>
          <w:p w14:paraId="57D9B9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82" w:type="dxa"/>
            <w:tcBorders>
              <w:top w:val="nil"/>
              <w:left w:val="nil"/>
              <w:bottom w:val="nil"/>
              <w:right w:val="nil"/>
            </w:tcBorders>
            <w:shd w:val="clear" w:color="auto" w:fill="auto"/>
            <w:noWrap/>
            <w:vAlign w:val="bottom"/>
            <w:hideMark/>
          </w:tcPr>
          <w:p w14:paraId="56AD26C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4BB4A5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0D66DBFF" w14:textId="77777777" w:rsidTr="00ED0631">
        <w:trPr>
          <w:trHeight w:val="315"/>
        </w:trPr>
        <w:tc>
          <w:tcPr>
            <w:tcW w:w="1945" w:type="dxa"/>
            <w:tcBorders>
              <w:top w:val="nil"/>
              <w:left w:val="nil"/>
              <w:bottom w:val="nil"/>
              <w:right w:val="nil"/>
            </w:tcBorders>
            <w:shd w:val="clear" w:color="auto" w:fill="auto"/>
            <w:noWrap/>
            <w:vAlign w:val="bottom"/>
            <w:hideMark/>
          </w:tcPr>
          <w:p w14:paraId="63E094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298" w:type="dxa"/>
            <w:tcBorders>
              <w:top w:val="nil"/>
              <w:left w:val="nil"/>
              <w:bottom w:val="nil"/>
              <w:right w:val="nil"/>
            </w:tcBorders>
            <w:shd w:val="clear" w:color="auto" w:fill="auto"/>
            <w:noWrap/>
            <w:vAlign w:val="bottom"/>
            <w:hideMark/>
          </w:tcPr>
          <w:p w14:paraId="39AA7DF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8" w:type="dxa"/>
            <w:tcBorders>
              <w:top w:val="nil"/>
              <w:left w:val="nil"/>
              <w:bottom w:val="nil"/>
              <w:right w:val="nil"/>
            </w:tcBorders>
            <w:shd w:val="clear" w:color="auto" w:fill="auto"/>
            <w:noWrap/>
            <w:vAlign w:val="bottom"/>
            <w:hideMark/>
          </w:tcPr>
          <w:p w14:paraId="5CAEAC2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8" w:type="dxa"/>
            <w:tcBorders>
              <w:top w:val="nil"/>
              <w:left w:val="nil"/>
              <w:bottom w:val="nil"/>
              <w:right w:val="nil"/>
            </w:tcBorders>
            <w:shd w:val="clear" w:color="auto" w:fill="auto"/>
            <w:noWrap/>
            <w:vAlign w:val="bottom"/>
            <w:hideMark/>
          </w:tcPr>
          <w:p w14:paraId="340ECB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637" w:type="dxa"/>
            <w:tcBorders>
              <w:top w:val="nil"/>
              <w:left w:val="nil"/>
              <w:bottom w:val="nil"/>
              <w:right w:val="nil"/>
            </w:tcBorders>
            <w:shd w:val="clear" w:color="auto" w:fill="auto"/>
            <w:noWrap/>
            <w:vAlign w:val="bottom"/>
            <w:hideMark/>
          </w:tcPr>
          <w:p w14:paraId="36983ED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82" w:type="dxa"/>
            <w:tcBorders>
              <w:top w:val="nil"/>
              <w:left w:val="nil"/>
              <w:bottom w:val="nil"/>
              <w:right w:val="nil"/>
            </w:tcBorders>
            <w:shd w:val="clear" w:color="auto" w:fill="auto"/>
            <w:noWrap/>
            <w:vAlign w:val="bottom"/>
            <w:hideMark/>
          </w:tcPr>
          <w:p w14:paraId="09AFFA8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96" w:type="dxa"/>
            <w:tcBorders>
              <w:top w:val="nil"/>
              <w:left w:val="nil"/>
              <w:bottom w:val="nil"/>
              <w:right w:val="nil"/>
            </w:tcBorders>
            <w:shd w:val="clear" w:color="auto" w:fill="auto"/>
            <w:noWrap/>
            <w:vAlign w:val="bottom"/>
            <w:hideMark/>
          </w:tcPr>
          <w:p w14:paraId="3F2BC66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C8BBF0C" w14:textId="77777777" w:rsidTr="00ED0631">
        <w:trPr>
          <w:trHeight w:val="315"/>
        </w:trPr>
        <w:tc>
          <w:tcPr>
            <w:tcW w:w="1945" w:type="dxa"/>
            <w:tcBorders>
              <w:top w:val="nil"/>
              <w:left w:val="nil"/>
              <w:bottom w:val="nil"/>
              <w:right w:val="nil"/>
            </w:tcBorders>
            <w:shd w:val="clear" w:color="auto" w:fill="auto"/>
            <w:noWrap/>
            <w:vAlign w:val="bottom"/>
            <w:hideMark/>
          </w:tcPr>
          <w:p w14:paraId="3E128E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298" w:type="dxa"/>
            <w:tcBorders>
              <w:top w:val="nil"/>
              <w:left w:val="nil"/>
              <w:bottom w:val="nil"/>
              <w:right w:val="nil"/>
            </w:tcBorders>
            <w:shd w:val="clear" w:color="auto" w:fill="auto"/>
            <w:noWrap/>
            <w:vAlign w:val="bottom"/>
            <w:hideMark/>
          </w:tcPr>
          <w:p w14:paraId="68E4DA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60 </w:t>
            </w:r>
          </w:p>
        </w:tc>
        <w:tc>
          <w:tcPr>
            <w:tcW w:w="1298" w:type="dxa"/>
            <w:tcBorders>
              <w:top w:val="nil"/>
              <w:left w:val="nil"/>
              <w:bottom w:val="nil"/>
              <w:right w:val="nil"/>
            </w:tcBorders>
            <w:shd w:val="clear" w:color="auto" w:fill="auto"/>
            <w:noWrap/>
            <w:vAlign w:val="bottom"/>
            <w:hideMark/>
          </w:tcPr>
          <w:p w14:paraId="2EAD48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58 </w:t>
            </w:r>
          </w:p>
        </w:tc>
        <w:tc>
          <w:tcPr>
            <w:tcW w:w="1298" w:type="dxa"/>
            <w:tcBorders>
              <w:top w:val="nil"/>
              <w:left w:val="nil"/>
              <w:bottom w:val="nil"/>
              <w:right w:val="nil"/>
            </w:tcBorders>
            <w:shd w:val="clear" w:color="auto" w:fill="auto"/>
            <w:noWrap/>
            <w:vAlign w:val="bottom"/>
            <w:hideMark/>
          </w:tcPr>
          <w:p w14:paraId="48D34A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85 </w:t>
            </w:r>
          </w:p>
        </w:tc>
        <w:tc>
          <w:tcPr>
            <w:tcW w:w="1637" w:type="dxa"/>
            <w:tcBorders>
              <w:top w:val="nil"/>
              <w:left w:val="nil"/>
              <w:bottom w:val="nil"/>
              <w:right w:val="nil"/>
            </w:tcBorders>
            <w:shd w:val="clear" w:color="auto" w:fill="auto"/>
            <w:noWrap/>
            <w:vAlign w:val="bottom"/>
            <w:hideMark/>
          </w:tcPr>
          <w:p w14:paraId="6CD041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45 </w:t>
            </w:r>
          </w:p>
        </w:tc>
        <w:tc>
          <w:tcPr>
            <w:tcW w:w="1282" w:type="dxa"/>
            <w:tcBorders>
              <w:top w:val="nil"/>
              <w:left w:val="nil"/>
              <w:bottom w:val="nil"/>
              <w:right w:val="nil"/>
            </w:tcBorders>
            <w:shd w:val="clear" w:color="auto" w:fill="auto"/>
            <w:noWrap/>
            <w:vAlign w:val="bottom"/>
            <w:hideMark/>
          </w:tcPr>
          <w:p w14:paraId="0C5CD1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896" w:type="dxa"/>
            <w:tcBorders>
              <w:top w:val="nil"/>
              <w:left w:val="nil"/>
              <w:bottom w:val="nil"/>
              <w:right w:val="nil"/>
            </w:tcBorders>
            <w:shd w:val="clear" w:color="auto" w:fill="auto"/>
            <w:noWrap/>
            <w:vAlign w:val="bottom"/>
            <w:hideMark/>
          </w:tcPr>
          <w:p w14:paraId="5FE057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7280A7E5" w14:textId="77777777" w:rsidTr="00ED0631">
        <w:trPr>
          <w:trHeight w:val="315"/>
        </w:trPr>
        <w:tc>
          <w:tcPr>
            <w:tcW w:w="1945" w:type="dxa"/>
            <w:tcBorders>
              <w:top w:val="nil"/>
              <w:left w:val="nil"/>
              <w:bottom w:val="single" w:sz="4" w:space="0" w:color="auto"/>
              <w:right w:val="nil"/>
            </w:tcBorders>
            <w:shd w:val="clear" w:color="auto" w:fill="auto"/>
            <w:noWrap/>
            <w:vAlign w:val="bottom"/>
            <w:hideMark/>
          </w:tcPr>
          <w:p w14:paraId="582D0E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298" w:type="dxa"/>
            <w:tcBorders>
              <w:top w:val="nil"/>
              <w:left w:val="nil"/>
              <w:bottom w:val="single" w:sz="4" w:space="0" w:color="auto"/>
              <w:right w:val="nil"/>
            </w:tcBorders>
            <w:shd w:val="clear" w:color="auto" w:fill="auto"/>
            <w:noWrap/>
            <w:vAlign w:val="bottom"/>
            <w:hideMark/>
          </w:tcPr>
          <w:p w14:paraId="539B71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8" w:type="dxa"/>
            <w:tcBorders>
              <w:top w:val="nil"/>
              <w:left w:val="nil"/>
              <w:bottom w:val="single" w:sz="4" w:space="0" w:color="auto"/>
              <w:right w:val="nil"/>
            </w:tcBorders>
            <w:shd w:val="clear" w:color="auto" w:fill="auto"/>
            <w:noWrap/>
            <w:vAlign w:val="bottom"/>
            <w:hideMark/>
          </w:tcPr>
          <w:p w14:paraId="0D6308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8" w:type="dxa"/>
            <w:tcBorders>
              <w:top w:val="nil"/>
              <w:left w:val="nil"/>
              <w:bottom w:val="single" w:sz="4" w:space="0" w:color="auto"/>
              <w:right w:val="nil"/>
            </w:tcBorders>
            <w:shd w:val="clear" w:color="auto" w:fill="auto"/>
            <w:noWrap/>
            <w:vAlign w:val="bottom"/>
            <w:hideMark/>
          </w:tcPr>
          <w:p w14:paraId="2B5670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637" w:type="dxa"/>
            <w:tcBorders>
              <w:top w:val="nil"/>
              <w:left w:val="nil"/>
              <w:bottom w:val="single" w:sz="4" w:space="0" w:color="auto"/>
              <w:right w:val="nil"/>
            </w:tcBorders>
            <w:shd w:val="clear" w:color="auto" w:fill="auto"/>
            <w:noWrap/>
            <w:vAlign w:val="bottom"/>
            <w:hideMark/>
          </w:tcPr>
          <w:p w14:paraId="2E2A97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82" w:type="dxa"/>
            <w:tcBorders>
              <w:top w:val="nil"/>
              <w:left w:val="nil"/>
              <w:bottom w:val="single" w:sz="4" w:space="0" w:color="auto"/>
              <w:right w:val="nil"/>
            </w:tcBorders>
            <w:shd w:val="clear" w:color="auto" w:fill="auto"/>
            <w:noWrap/>
            <w:vAlign w:val="bottom"/>
            <w:hideMark/>
          </w:tcPr>
          <w:p w14:paraId="330844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96" w:type="dxa"/>
            <w:tcBorders>
              <w:top w:val="nil"/>
              <w:left w:val="nil"/>
              <w:bottom w:val="single" w:sz="4" w:space="0" w:color="auto"/>
              <w:right w:val="nil"/>
            </w:tcBorders>
            <w:shd w:val="clear" w:color="auto" w:fill="auto"/>
            <w:noWrap/>
            <w:vAlign w:val="bottom"/>
            <w:hideMark/>
          </w:tcPr>
          <w:p w14:paraId="5F30E9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335B308B" w14:textId="77777777" w:rsidTr="00ED0631">
        <w:trPr>
          <w:trHeight w:val="315"/>
        </w:trPr>
        <w:tc>
          <w:tcPr>
            <w:tcW w:w="1945" w:type="dxa"/>
            <w:tcBorders>
              <w:top w:val="nil"/>
              <w:left w:val="nil"/>
              <w:bottom w:val="single" w:sz="4" w:space="0" w:color="auto"/>
              <w:right w:val="nil"/>
            </w:tcBorders>
            <w:shd w:val="clear" w:color="auto" w:fill="auto"/>
            <w:noWrap/>
            <w:vAlign w:val="bottom"/>
            <w:hideMark/>
          </w:tcPr>
          <w:p w14:paraId="4CB6028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298" w:type="dxa"/>
            <w:tcBorders>
              <w:top w:val="nil"/>
              <w:left w:val="nil"/>
              <w:bottom w:val="single" w:sz="4" w:space="0" w:color="auto"/>
              <w:right w:val="nil"/>
            </w:tcBorders>
            <w:shd w:val="clear" w:color="auto" w:fill="auto"/>
            <w:noWrap/>
            <w:vAlign w:val="bottom"/>
            <w:hideMark/>
          </w:tcPr>
          <w:p w14:paraId="7D8C35D4"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90</w:t>
            </w:r>
          </w:p>
        </w:tc>
        <w:tc>
          <w:tcPr>
            <w:tcW w:w="1298" w:type="dxa"/>
            <w:tcBorders>
              <w:top w:val="nil"/>
              <w:left w:val="nil"/>
              <w:bottom w:val="single" w:sz="4" w:space="0" w:color="auto"/>
              <w:right w:val="nil"/>
            </w:tcBorders>
            <w:shd w:val="clear" w:color="auto" w:fill="auto"/>
            <w:noWrap/>
            <w:vAlign w:val="bottom"/>
            <w:hideMark/>
          </w:tcPr>
          <w:p w14:paraId="06FA1415"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112</w:t>
            </w:r>
          </w:p>
        </w:tc>
        <w:tc>
          <w:tcPr>
            <w:tcW w:w="1298" w:type="dxa"/>
            <w:tcBorders>
              <w:top w:val="nil"/>
              <w:left w:val="nil"/>
              <w:bottom w:val="single" w:sz="4" w:space="0" w:color="auto"/>
              <w:right w:val="nil"/>
            </w:tcBorders>
            <w:shd w:val="clear" w:color="auto" w:fill="auto"/>
            <w:noWrap/>
            <w:vAlign w:val="bottom"/>
            <w:hideMark/>
          </w:tcPr>
          <w:p w14:paraId="42E12C17"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168</w:t>
            </w:r>
          </w:p>
        </w:tc>
        <w:tc>
          <w:tcPr>
            <w:tcW w:w="1637" w:type="dxa"/>
            <w:tcBorders>
              <w:top w:val="nil"/>
              <w:left w:val="nil"/>
              <w:bottom w:val="single" w:sz="4" w:space="0" w:color="auto"/>
              <w:right w:val="nil"/>
            </w:tcBorders>
            <w:shd w:val="clear" w:color="auto" w:fill="auto"/>
            <w:noWrap/>
            <w:vAlign w:val="bottom"/>
            <w:hideMark/>
          </w:tcPr>
          <w:p w14:paraId="53654C9D"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75</w:t>
            </w:r>
          </w:p>
        </w:tc>
        <w:tc>
          <w:tcPr>
            <w:tcW w:w="1282" w:type="dxa"/>
            <w:tcBorders>
              <w:top w:val="nil"/>
              <w:left w:val="nil"/>
              <w:bottom w:val="single" w:sz="4" w:space="0" w:color="auto"/>
              <w:right w:val="nil"/>
            </w:tcBorders>
            <w:shd w:val="clear" w:color="auto" w:fill="auto"/>
            <w:noWrap/>
            <w:vAlign w:val="bottom"/>
            <w:hideMark/>
          </w:tcPr>
          <w:p w14:paraId="70391034"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896" w:type="dxa"/>
            <w:tcBorders>
              <w:top w:val="nil"/>
              <w:left w:val="nil"/>
              <w:bottom w:val="single" w:sz="4" w:space="0" w:color="auto"/>
              <w:right w:val="nil"/>
            </w:tcBorders>
            <w:shd w:val="clear" w:color="auto" w:fill="auto"/>
            <w:noWrap/>
            <w:vAlign w:val="bottom"/>
            <w:hideMark/>
          </w:tcPr>
          <w:p w14:paraId="582F8DAE"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r>
    </w:tbl>
    <w:p w14:paraId="4C62004A"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66B1EEC6"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22: Approaches teachers use to judge the progress of children by island type (Portfolio was intended)</w:t>
      </w:r>
    </w:p>
    <w:tbl>
      <w:tblPr>
        <w:tblW w:w="9240" w:type="dxa"/>
        <w:tblInd w:w="93" w:type="dxa"/>
        <w:tblLook w:val="04A0" w:firstRow="1" w:lastRow="0" w:firstColumn="1" w:lastColumn="0" w:noHBand="0" w:noVBand="1"/>
      </w:tblPr>
      <w:tblGrid>
        <w:gridCol w:w="1426"/>
        <w:gridCol w:w="1248"/>
        <w:gridCol w:w="1263"/>
        <w:gridCol w:w="1263"/>
        <w:gridCol w:w="1574"/>
        <w:gridCol w:w="1233"/>
        <w:gridCol w:w="1233"/>
      </w:tblGrid>
      <w:tr w:rsidR="00AC362E" w:rsidRPr="00491EF1" w14:paraId="44F0EA07" w14:textId="77777777" w:rsidTr="00ED0631">
        <w:trPr>
          <w:trHeight w:val="315"/>
        </w:trPr>
        <w:tc>
          <w:tcPr>
            <w:tcW w:w="1426" w:type="dxa"/>
            <w:tcBorders>
              <w:top w:val="single" w:sz="4" w:space="0" w:color="auto"/>
              <w:left w:val="nil"/>
              <w:bottom w:val="nil"/>
              <w:right w:val="nil"/>
            </w:tcBorders>
            <w:shd w:val="clear" w:color="auto" w:fill="auto"/>
            <w:noWrap/>
            <w:vAlign w:val="bottom"/>
            <w:hideMark/>
          </w:tcPr>
          <w:p w14:paraId="5321FE3E"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48" w:type="dxa"/>
            <w:tcBorders>
              <w:top w:val="single" w:sz="4" w:space="0" w:color="auto"/>
              <w:left w:val="nil"/>
              <w:bottom w:val="single" w:sz="4" w:space="0" w:color="auto"/>
              <w:right w:val="nil"/>
            </w:tcBorders>
            <w:shd w:val="clear" w:color="auto" w:fill="auto"/>
            <w:noWrap/>
            <w:vAlign w:val="bottom"/>
            <w:hideMark/>
          </w:tcPr>
          <w:p w14:paraId="5A2361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Exams </w:t>
            </w:r>
          </w:p>
        </w:tc>
        <w:tc>
          <w:tcPr>
            <w:tcW w:w="1263" w:type="dxa"/>
            <w:tcBorders>
              <w:top w:val="single" w:sz="4" w:space="0" w:color="auto"/>
              <w:left w:val="nil"/>
              <w:bottom w:val="single" w:sz="4" w:space="0" w:color="auto"/>
              <w:right w:val="nil"/>
            </w:tcBorders>
            <w:shd w:val="clear" w:color="auto" w:fill="auto"/>
            <w:noWrap/>
            <w:vAlign w:val="bottom"/>
            <w:hideMark/>
          </w:tcPr>
          <w:p w14:paraId="1A7251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Tests </w:t>
            </w:r>
          </w:p>
        </w:tc>
        <w:tc>
          <w:tcPr>
            <w:tcW w:w="1263" w:type="dxa"/>
            <w:tcBorders>
              <w:top w:val="single" w:sz="4" w:space="0" w:color="auto"/>
              <w:left w:val="nil"/>
              <w:bottom w:val="single" w:sz="4" w:space="0" w:color="auto"/>
              <w:right w:val="nil"/>
            </w:tcBorders>
            <w:shd w:val="clear" w:color="auto" w:fill="auto"/>
            <w:noWrap/>
            <w:vAlign w:val="bottom"/>
            <w:hideMark/>
          </w:tcPr>
          <w:p w14:paraId="2EBE65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Portfolios </w:t>
            </w:r>
          </w:p>
        </w:tc>
        <w:tc>
          <w:tcPr>
            <w:tcW w:w="1574" w:type="dxa"/>
            <w:tcBorders>
              <w:top w:val="single" w:sz="4" w:space="0" w:color="auto"/>
              <w:left w:val="nil"/>
              <w:bottom w:val="single" w:sz="4" w:space="0" w:color="auto"/>
              <w:right w:val="nil"/>
            </w:tcBorders>
            <w:shd w:val="clear" w:color="auto" w:fill="auto"/>
            <w:noWrap/>
            <w:vAlign w:val="bottom"/>
            <w:hideMark/>
          </w:tcPr>
          <w:p w14:paraId="593AE0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Observations </w:t>
            </w:r>
          </w:p>
        </w:tc>
        <w:tc>
          <w:tcPr>
            <w:tcW w:w="1233" w:type="dxa"/>
            <w:tcBorders>
              <w:top w:val="single" w:sz="4" w:space="0" w:color="auto"/>
              <w:left w:val="nil"/>
              <w:bottom w:val="single" w:sz="4" w:space="0" w:color="auto"/>
              <w:right w:val="nil"/>
            </w:tcBorders>
            <w:shd w:val="clear" w:color="auto" w:fill="auto"/>
            <w:noWrap/>
            <w:vAlign w:val="bottom"/>
            <w:hideMark/>
          </w:tcPr>
          <w:p w14:paraId="42CB56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Just know </w:t>
            </w:r>
          </w:p>
        </w:tc>
        <w:tc>
          <w:tcPr>
            <w:tcW w:w="1233" w:type="dxa"/>
            <w:tcBorders>
              <w:top w:val="single" w:sz="4" w:space="0" w:color="auto"/>
              <w:left w:val="nil"/>
              <w:bottom w:val="single" w:sz="4" w:space="0" w:color="auto"/>
              <w:right w:val="nil"/>
            </w:tcBorders>
            <w:shd w:val="clear" w:color="auto" w:fill="auto"/>
            <w:noWrap/>
            <w:vAlign w:val="bottom"/>
            <w:hideMark/>
          </w:tcPr>
          <w:p w14:paraId="0DBA73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r>
      <w:tr w:rsidR="00AC362E" w:rsidRPr="00491EF1" w14:paraId="658305E8" w14:textId="77777777" w:rsidTr="00ED0631">
        <w:trPr>
          <w:trHeight w:val="315"/>
        </w:trPr>
        <w:tc>
          <w:tcPr>
            <w:tcW w:w="1426" w:type="dxa"/>
            <w:tcBorders>
              <w:top w:val="single" w:sz="4" w:space="0" w:color="auto"/>
              <w:left w:val="nil"/>
              <w:bottom w:val="nil"/>
              <w:right w:val="nil"/>
            </w:tcBorders>
            <w:shd w:val="clear" w:color="auto" w:fill="auto"/>
            <w:noWrap/>
            <w:vAlign w:val="bottom"/>
            <w:hideMark/>
          </w:tcPr>
          <w:p w14:paraId="694EF2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48" w:type="dxa"/>
            <w:tcBorders>
              <w:top w:val="nil"/>
              <w:left w:val="nil"/>
              <w:bottom w:val="nil"/>
              <w:right w:val="nil"/>
            </w:tcBorders>
            <w:shd w:val="clear" w:color="auto" w:fill="auto"/>
            <w:noWrap/>
            <w:vAlign w:val="bottom"/>
            <w:hideMark/>
          </w:tcPr>
          <w:p w14:paraId="14BF97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20 </w:t>
            </w:r>
          </w:p>
        </w:tc>
        <w:tc>
          <w:tcPr>
            <w:tcW w:w="1263" w:type="dxa"/>
            <w:tcBorders>
              <w:top w:val="nil"/>
              <w:left w:val="nil"/>
              <w:bottom w:val="nil"/>
              <w:right w:val="nil"/>
            </w:tcBorders>
            <w:shd w:val="clear" w:color="auto" w:fill="auto"/>
            <w:noWrap/>
            <w:vAlign w:val="bottom"/>
            <w:hideMark/>
          </w:tcPr>
          <w:p w14:paraId="152606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42 </w:t>
            </w:r>
          </w:p>
        </w:tc>
        <w:tc>
          <w:tcPr>
            <w:tcW w:w="1263" w:type="dxa"/>
            <w:tcBorders>
              <w:top w:val="nil"/>
              <w:left w:val="nil"/>
              <w:bottom w:val="nil"/>
              <w:right w:val="nil"/>
            </w:tcBorders>
            <w:shd w:val="clear" w:color="auto" w:fill="auto"/>
            <w:noWrap/>
            <w:vAlign w:val="bottom"/>
            <w:hideMark/>
          </w:tcPr>
          <w:p w14:paraId="6EE141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63 </w:t>
            </w:r>
          </w:p>
        </w:tc>
        <w:tc>
          <w:tcPr>
            <w:tcW w:w="1574" w:type="dxa"/>
            <w:tcBorders>
              <w:top w:val="nil"/>
              <w:left w:val="nil"/>
              <w:bottom w:val="nil"/>
              <w:right w:val="nil"/>
            </w:tcBorders>
            <w:shd w:val="clear" w:color="auto" w:fill="auto"/>
            <w:noWrap/>
            <w:vAlign w:val="bottom"/>
            <w:hideMark/>
          </w:tcPr>
          <w:p w14:paraId="5292B6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 </w:t>
            </w:r>
          </w:p>
        </w:tc>
        <w:tc>
          <w:tcPr>
            <w:tcW w:w="1233" w:type="dxa"/>
            <w:tcBorders>
              <w:top w:val="nil"/>
              <w:left w:val="nil"/>
              <w:bottom w:val="nil"/>
              <w:right w:val="nil"/>
            </w:tcBorders>
            <w:shd w:val="clear" w:color="auto" w:fill="auto"/>
            <w:noWrap/>
            <w:vAlign w:val="bottom"/>
            <w:hideMark/>
          </w:tcPr>
          <w:p w14:paraId="6166DD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233" w:type="dxa"/>
            <w:tcBorders>
              <w:top w:val="nil"/>
              <w:left w:val="nil"/>
              <w:bottom w:val="nil"/>
              <w:right w:val="nil"/>
            </w:tcBorders>
            <w:shd w:val="clear" w:color="auto" w:fill="auto"/>
            <w:noWrap/>
            <w:vAlign w:val="bottom"/>
            <w:hideMark/>
          </w:tcPr>
          <w:p w14:paraId="425C2E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6475DFEF" w14:textId="77777777" w:rsidTr="00ED0631">
        <w:trPr>
          <w:trHeight w:val="315"/>
        </w:trPr>
        <w:tc>
          <w:tcPr>
            <w:tcW w:w="1426" w:type="dxa"/>
            <w:tcBorders>
              <w:top w:val="nil"/>
              <w:left w:val="nil"/>
              <w:bottom w:val="nil"/>
              <w:right w:val="nil"/>
            </w:tcBorders>
            <w:shd w:val="clear" w:color="auto" w:fill="auto"/>
            <w:noWrap/>
            <w:vAlign w:val="bottom"/>
            <w:hideMark/>
          </w:tcPr>
          <w:p w14:paraId="6E8694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48" w:type="dxa"/>
            <w:tcBorders>
              <w:top w:val="nil"/>
              <w:left w:val="nil"/>
              <w:bottom w:val="nil"/>
              <w:right w:val="nil"/>
            </w:tcBorders>
            <w:shd w:val="clear" w:color="auto" w:fill="auto"/>
            <w:noWrap/>
            <w:vAlign w:val="bottom"/>
            <w:hideMark/>
          </w:tcPr>
          <w:p w14:paraId="3BF669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263" w:type="dxa"/>
            <w:tcBorders>
              <w:top w:val="nil"/>
              <w:left w:val="nil"/>
              <w:bottom w:val="nil"/>
              <w:right w:val="nil"/>
            </w:tcBorders>
            <w:shd w:val="clear" w:color="auto" w:fill="auto"/>
            <w:noWrap/>
            <w:vAlign w:val="bottom"/>
            <w:hideMark/>
          </w:tcPr>
          <w:p w14:paraId="774042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263" w:type="dxa"/>
            <w:tcBorders>
              <w:top w:val="nil"/>
              <w:left w:val="nil"/>
              <w:bottom w:val="nil"/>
              <w:right w:val="nil"/>
            </w:tcBorders>
            <w:shd w:val="clear" w:color="auto" w:fill="auto"/>
            <w:noWrap/>
            <w:vAlign w:val="bottom"/>
            <w:hideMark/>
          </w:tcPr>
          <w:p w14:paraId="775533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20 </w:t>
            </w:r>
          </w:p>
        </w:tc>
        <w:tc>
          <w:tcPr>
            <w:tcW w:w="1574" w:type="dxa"/>
            <w:tcBorders>
              <w:top w:val="nil"/>
              <w:left w:val="nil"/>
              <w:bottom w:val="nil"/>
              <w:right w:val="nil"/>
            </w:tcBorders>
            <w:shd w:val="clear" w:color="auto" w:fill="auto"/>
            <w:noWrap/>
            <w:vAlign w:val="bottom"/>
            <w:hideMark/>
          </w:tcPr>
          <w:p w14:paraId="1AB308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33" w:type="dxa"/>
            <w:tcBorders>
              <w:top w:val="nil"/>
              <w:left w:val="nil"/>
              <w:bottom w:val="nil"/>
              <w:right w:val="nil"/>
            </w:tcBorders>
            <w:shd w:val="clear" w:color="auto" w:fill="auto"/>
            <w:noWrap/>
            <w:vAlign w:val="bottom"/>
            <w:hideMark/>
          </w:tcPr>
          <w:p w14:paraId="61578D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33" w:type="dxa"/>
            <w:tcBorders>
              <w:top w:val="nil"/>
              <w:left w:val="nil"/>
              <w:bottom w:val="nil"/>
              <w:right w:val="nil"/>
            </w:tcBorders>
            <w:shd w:val="clear" w:color="auto" w:fill="auto"/>
            <w:noWrap/>
            <w:vAlign w:val="bottom"/>
            <w:hideMark/>
          </w:tcPr>
          <w:p w14:paraId="76D1AA0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81A49B8" w14:textId="77777777" w:rsidTr="00ED0631">
        <w:trPr>
          <w:trHeight w:val="315"/>
        </w:trPr>
        <w:tc>
          <w:tcPr>
            <w:tcW w:w="1426" w:type="dxa"/>
            <w:tcBorders>
              <w:top w:val="nil"/>
              <w:left w:val="nil"/>
              <w:bottom w:val="nil"/>
              <w:right w:val="nil"/>
            </w:tcBorders>
            <w:shd w:val="clear" w:color="auto" w:fill="auto"/>
            <w:noWrap/>
            <w:vAlign w:val="bottom"/>
            <w:hideMark/>
          </w:tcPr>
          <w:p w14:paraId="191CAF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48" w:type="dxa"/>
            <w:tcBorders>
              <w:top w:val="nil"/>
              <w:left w:val="nil"/>
              <w:bottom w:val="nil"/>
              <w:right w:val="nil"/>
            </w:tcBorders>
            <w:shd w:val="clear" w:color="auto" w:fill="auto"/>
            <w:noWrap/>
            <w:vAlign w:val="bottom"/>
            <w:hideMark/>
          </w:tcPr>
          <w:p w14:paraId="7C89E1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60 </w:t>
            </w:r>
          </w:p>
        </w:tc>
        <w:tc>
          <w:tcPr>
            <w:tcW w:w="1263" w:type="dxa"/>
            <w:tcBorders>
              <w:top w:val="nil"/>
              <w:left w:val="nil"/>
              <w:bottom w:val="nil"/>
              <w:right w:val="nil"/>
            </w:tcBorders>
            <w:shd w:val="clear" w:color="auto" w:fill="auto"/>
            <w:noWrap/>
            <w:vAlign w:val="bottom"/>
            <w:hideMark/>
          </w:tcPr>
          <w:p w14:paraId="508C2A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58 </w:t>
            </w:r>
          </w:p>
        </w:tc>
        <w:tc>
          <w:tcPr>
            <w:tcW w:w="1263" w:type="dxa"/>
            <w:tcBorders>
              <w:top w:val="nil"/>
              <w:left w:val="nil"/>
              <w:bottom w:val="nil"/>
              <w:right w:val="nil"/>
            </w:tcBorders>
            <w:shd w:val="clear" w:color="auto" w:fill="auto"/>
            <w:noWrap/>
            <w:vAlign w:val="bottom"/>
            <w:hideMark/>
          </w:tcPr>
          <w:p w14:paraId="2C4795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85 </w:t>
            </w:r>
          </w:p>
        </w:tc>
        <w:tc>
          <w:tcPr>
            <w:tcW w:w="1574" w:type="dxa"/>
            <w:tcBorders>
              <w:top w:val="nil"/>
              <w:left w:val="nil"/>
              <w:bottom w:val="nil"/>
              <w:right w:val="nil"/>
            </w:tcBorders>
            <w:shd w:val="clear" w:color="auto" w:fill="auto"/>
            <w:noWrap/>
            <w:vAlign w:val="bottom"/>
            <w:hideMark/>
          </w:tcPr>
          <w:p w14:paraId="51363B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45 </w:t>
            </w:r>
          </w:p>
        </w:tc>
        <w:tc>
          <w:tcPr>
            <w:tcW w:w="1233" w:type="dxa"/>
            <w:tcBorders>
              <w:top w:val="nil"/>
              <w:left w:val="nil"/>
              <w:bottom w:val="nil"/>
              <w:right w:val="nil"/>
            </w:tcBorders>
            <w:shd w:val="clear" w:color="auto" w:fill="auto"/>
            <w:noWrap/>
            <w:vAlign w:val="bottom"/>
            <w:hideMark/>
          </w:tcPr>
          <w:p w14:paraId="28A6C8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33" w:type="dxa"/>
            <w:tcBorders>
              <w:top w:val="nil"/>
              <w:left w:val="nil"/>
              <w:bottom w:val="nil"/>
              <w:right w:val="nil"/>
            </w:tcBorders>
            <w:shd w:val="clear" w:color="auto" w:fill="auto"/>
            <w:noWrap/>
            <w:vAlign w:val="bottom"/>
            <w:hideMark/>
          </w:tcPr>
          <w:p w14:paraId="2173F2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6F2C903B" w14:textId="77777777" w:rsidTr="00ED0631">
        <w:trPr>
          <w:trHeight w:val="315"/>
        </w:trPr>
        <w:tc>
          <w:tcPr>
            <w:tcW w:w="1426" w:type="dxa"/>
            <w:tcBorders>
              <w:top w:val="single" w:sz="4" w:space="0" w:color="auto"/>
              <w:left w:val="nil"/>
              <w:bottom w:val="single" w:sz="4" w:space="0" w:color="auto"/>
              <w:right w:val="nil"/>
            </w:tcBorders>
            <w:shd w:val="clear" w:color="auto" w:fill="auto"/>
            <w:noWrap/>
            <w:vAlign w:val="bottom"/>
            <w:hideMark/>
          </w:tcPr>
          <w:p w14:paraId="238B05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48" w:type="dxa"/>
            <w:tcBorders>
              <w:top w:val="single" w:sz="4" w:space="0" w:color="auto"/>
              <w:left w:val="nil"/>
              <w:bottom w:val="single" w:sz="4" w:space="0" w:color="auto"/>
              <w:right w:val="nil"/>
            </w:tcBorders>
            <w:shd w:val="clear" w:color="auto" w:fill="auto"/>
            <w:noWrap/>
            <w:vAlign w:val="bottom"/>
            <w:hideMark/>
          </w:tcPr>
          <w:p w14:paraId="277195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90 </w:t>
            </w:r>
          </w:p>
        </w:tc>
        <w:tc>
          <w:tcPr>
            <w:tcW w:w="1263" w:type="dxa"/>
            <w:tcBorders>
              <w:top w:val="single" w:sz="4" w:space="0" w:color="auto"/>
              <w:left w:val="nil"/>
              <w:bottom w:val="single" w:sz="4" w:space="0" w:color="auto"/>
              <w:right w:val="nil"/>
            </w:tcBorders>
            <w:shd w:val="clear" w:color="auto" w:fill="auto"/>
            <w:noWrap/>
            <w:vAlign w:val="bottom"/>
            <w:hideMark/>
          </w:tcPr>
          <w:p w14:paraId="4B7B5A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112 </w:t>
            </w:r>
          </w:p>
        </w:tc>
        <w:tc>
          <w:tcPr>
            <w:tcW w:w="1263" w:type="dxa"/>
            <w:tcBorders>
              <w:top w:val="single" w:sz="4" w:space="0" w:color="auto"/>
              <w:left w:val="nil"/>
              <w:bottom w:val="single" w:sz="4" w:space="0" w:color="auto"/>
              <w:right w:val="nil"/>
            </w:tcBorders>
            <w:shd w:val="clear" w:color="auto" w:fill="auto"/>
            <w:noWrap/>
            <w:vAlign w:val="bottom"/>
            <w:hideMark/>
          </w:tcPr>
          <w:p w14:paraId="564766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168 </w:t>
            </w:r>
          </w:p>
        </w:tc>
        <w:tc>
          <w:tcPr>
            <w:tcW w:w="1574" w:type="dxa"/>
            <w:tcBorders>
              <w:top w:val="single" w:sz="4" w:space="0" w:color="auto"/>
              <w:left w:val="nil"/>
              <w:bottom w:val="single" w:sz="4" w:space="0" w:color="auto"/>
              <w:right w:val="nil"/>
            </w:tcBorders>
            <w:shd w:val="clear" w:color="auto" w:fill="auto"/>
            <w:noWrap/>
            <w:vAlign w:val="bottom"/>
            <w:hideMark/>
          </w:tcPr>
          <w:p w14:paraId="0C3DA4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75 </w:t>
            </w:r>
          </w:p>
        </w:tc>
        <w:tc>
          <w:tcPr>
            <w:tcW w:w="1233" w:type="dxa"/>
            <w:tcBorders>
              <w:top w:val="single" w:sz="4" w:space="0" w:color="auto"/>
              <w:left w:val="nil"/>
              <w:bottom w:val="single" w:sz="4" w:space="0" w:color="auto"/>
              <w:right w:val="nil"/>
            </w:tcBorders>
            <w:shd w:val="clear" w:color="auto" w:fill="auto"/>
            <w:noWrap/>
            <w:vAlign w:val="bottom"/>
            <w:hideMark/>
          </w:tcPr>
          <w:p w14:paraId="33EEBA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33" w:type="dxa"/>
            <w:tcBorders>
              <w:top w:val="single" w:sz="4" w:space="0" w:color="auto"/>
              <w:left w:val="nil"/>
              <w:bottom w:val="single" w:sz="4" w:space="0" w:color="auto"/>
              <w:right w:val="nil"/>
            </w:tcBorders>
            <w:shd w:val="clear" w:color="auto" w:fill="auto"/>
            <w:noWrap/>
            <w:vAlign w:val="bottom"/>
            <w:hideMark/>
          </w:tcPr>
          <w:p w14:paraId="6871C2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bl>
    <w:p w14:paraId="1BA6088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23: The percent of boys and girls that teachers </w:t>
      </w:r>
      <w:r w:rsidRPr="00491EF1">
        <w:rPr>
          <w:rFonts w:asciiTheme="majorHAnsi" w:eastAsia="Times New Roman" w:hAnsiTheme="majorHAnsi" w:cstheme="majorHAnsi"/>
          <w:b/>
          <w:color w:val="000000"/>
          <w:u w:val="single"/>
          <w:lang w:eastAsia="en-AU"/>
        </w:rPr>
        <w:t>expect</w:t>
      </w:r>
      <w:r w:rsidRPr="00491EF1">
        <w:rPr>
          <w:rFonts w:asciiTheme="majorHAnsi" w:eastAsia="Times New Roman" w:hAnsiTheme="majorHAnsi" w:cstheme="majorHAnsi"/>
          <w:b/>
          <w:color w:val="000000"/>
          <w:lang w:eastAsia="en-AU"/>
        </w:rPr>
        <w:t xml:space="preserve"> to meet the learning outcomes this year by island</w:t>
      </w:r>
    </w:p>
    <w:tbl>
      <w:tblPr>
        <w:tblW w:w="4761" w:type="dxa"/>
        <w:tblInd w:w="93" w:type="dxa"/>
        <w:tblLook w:val="04A0" w:firstRow="1" w:lastRow="0" w:firstColumn="1" w:lastColumn="0" w:noHBand="0" w:noVBand="1"/>
      </w:tblPr>
      <w:tblGrid>
        <w:gridCol w:w="2996"/>
        <w:gridCol w:w="901"/>
        <w:gridCol w:w="864"/>
      </w:tblGrid>
      <w:tr w:rsidR="00AC362E" w:rsidRPr="00491EF1" w14:paraId="5C101DA3" w14:textId="77777777" w:rsidTr="00ED0631">
        <w:trPr>
          <w:trHeight w:val="315"/>
        </w:trPr>
        <w:tc>
          <w:tcPr>
            <w:tcW w:w="2996" w:type="dxa"/>
            <w:tcBorders>
              <w:top w:val="single" w:sz="4" w:space="0" w:color="auto"/>
              <w:left w:val="nil"/>
              <w:bottom w:val="single" w:sz="4" w:space="0" w:color="auto"/>
              <w:right w:val="nil"/>
            </w:tcBorders>
            <w:shd w:val="clear" w:color="auto" w:fill="auto"/>
            <w:noWrap/>
            <w:vAlign w:val="bottom"/>
            <w:hideMark/>
          </w:tcPr>
          <w:p w14:paraId="4BA27F8E"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901" w:type="dxa"/>
            <w:tcBorders>
              <w:top w:val="single" w:sz="4" w:space="0" w:color="auto"/>
              <w:left w:val="nil"/>
              <w:bottom w:val="single" w:sz="4" w:space="0" w:color="auto"/>
              <w:right w:val="nil"/>
            </w:tcBorders>
            <w:shd w:val="clear" w:color="auto" w:fill="auto"/>
            <w:noWrap/>
            <w:vAlign w:val="bottom"/>
            <w:hideMark/>
          </w:tcPr>
          <w:p w14:paraId="34045A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Boys</w:t>
            </w:r>
          </w:p>
        </w:tc>
        <w:tc>
          <w:tcPr>
            <w:tcW w:w="864" w:type="dxa"/>
            <w:tcBorders>
              <w:top w:val="single" w:sz="4" w:space="0" w:color="auto"/>
              <w:left w:val="nil"/>
              <w:bottom w:val="single" w:sz="4" w:space="0" w:color="auto"/>
              <w:right w:val="nil"/>
            </w:tcBorders>
            <w:shd w:val="clear" w:color="auto" w:fill="auto"/>
            <w:noWrap/>
            <w:vAlign w:val="bottom"/>
            <w:hideMark/>
          </w:tcPr>
          <w:p w14:paraId="260655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Girls</w:t>
            </w:r>
          </w:p>
        </w:tc>
      </w:tr>
      <w:tr w:rsidR="00AC362E" w:rsidRPr="00491EF1" w14:paraId="09137395" w14:textId="77777777" w:rsidTr="00ED0631">
        <w:trPr>
          <w:trHeight w:val="315"/>
        </w:trPr>
        <w:tc>
          <w:tcPr>
            <w:tcW w:w="2996" w:type="dxa"/>
            <w:tcBorders>
              <w:top w:val="nil"/>
              <w:left w:val="nil"/>
              <w:bottom w:val="nil"/>
              <w:right w:val="nil"/>
            </w:tcBorders>
            <w:shd w:val="clear" w:color="auto" w:fill="auto"/>
            <w:noWrap/>
            <w:vAlign w:val="bottom"/>
            <w:hideMark/>
          </w:tcPr>
          <w:p w14:paraId="714DE4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901" w:type="dxa"/>
            <w:tcBorders>
              <w:top w:val="nil"/>
              <w:left w:val="nil"/>
              <w:bottom w:val="nil"/>
              <w:right w:val="nil"/>
            </w:tcBorders>
            <w:shd w:val="clear" w:color="auto" w:fill="auto"/>
            <w:noWrap/>
            <w:vAlign w:val="bottom"/>
            <w:hideMark/>
          </w:tcPr>
          <w:p w14:paraId="544CD710"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57%</w:t>
            </w:r>
          </w:p>
        </w:tc>
        <w:tc>
          <w:tcPr>
            <w:tcW w:w="864" w:type="dxa"/>
            <w:tcBorders>
              <w:top w:val="nil"/>
              <w:left w:val="nil"/>
              <w:bottom w:val="nil"/>
              <w:right w:val="nil"/>
            </w:tcBorders>
            <w:shd w:val="clear" w:color="auto" w:fill="auto"/>
            <w:noWrap/>
            <w:vAlign w:val="bottom"/>
            <w:hideMark/>
          </w:tcPr>
          <w:p w14:paraId="22E367D7"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71%</w:t>
            </w:r>
          </w:p>
        </w:tc>
      </w:tr>
      <w:tr w:rsidR="00AC362E" w:rsidRPr="00491EF1" w14:paraId="6B398537" w14:textId="77777777" w:rsidTr="00ED0631">
        <w:trPr>
          <w:trHeight w:val="315"/>
        </w:trPr>
        <w:tc>
          <w:tcPr>
            <w:tcW w:w="2996" w:type="dxa"/>
            <w:tcBorders>
              <w:top w:val="nil"/>
              <w:left w:val="nil"/>
              <w:bottom w:val="nil"/>
              <w:right w:val="nil"/>
            </w:tcBorders>
            <w:shd w:val="clear" w:color="auto" w:fill="auto"/>
            <w:noWrap/>
            <w:vAlign w:val="bottom"/>
            <w:hideMark/>
          </w:tcPr>
          <w:p w14:paraId="4A45D1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901" w:type="dxa"/>
            <w:tcBorders>
              <w:top w:val="nil"/>
              <w:left w:val="nil"/>
              <w:bottom w:val="nil"/>
              <w:right w:val="nil"/>
            </w:tcBorders>
            <w:shd w:val="clear" w:color="auto" w:fill="auto"/>
            <w:noWrap/>
            <w:vAlign w:val="bottom"/>
            <w:hideMark/>
          </w:tcPr>
          <w:p w14:paraId="738C9C8C"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c>
          <w:tcPr>
            <w:tcW w:w="864" w:type="dxa"/>
            <w:tcBorders>
              <w:top w:val="nil"/>
              <w:left w:val="nil"/>
              <w:bottom w:val="nil"/>
              <w:right w:val="nil"/>
            </w:tcBorders>
            <w:shd w:val="clear" w:color="auto" w:fill="auto"/>
            <w:noWrap/>
            <w:vAlign w:val="bottom"/>
            <w:hideMark/>
          </w:tcPr>
          <w:p w14:paraId="745E92FA"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63%</w:t>
            </w:r>
          </w:p>
        </w:tc>
      </w:tr>
      <w:tr w:rsidR="00AC362E" w:rsidRPr="00491EF1" w14:paraId="65B1E580" w14:textId="77777777" w:rsidTr="00ED0631">
        <w:trPr>
          <w:trHeight w:val="315"/>
        </w:trPr>
        <w:tc>
          <w:tcPr>
            <w:tcW w:w="2996" w:type="dxa"/>
            <w:tcBorders>
              <w:top w:val="nil"/>
              <w:left w:val="nil"/>
              <w:bottom w:val="nil"/>
              <w:right w:val="nil"/>
            </w:tcBorders>
            <w:shd w:val="clear" w:color="auto" w:fill="auto"/>
            <w:noWrap/>
            <w:vAlign w:val="bottom"/>
            <w:hideMark/>
          </w:tcPr>
          <w:p w14:paraId="18B88D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901" w:type="dxa"/>
            <w:tcBorders>
              <w:top w:val="nil"/>
              <w:left w:val="nil"/>
              <w:bottom w:val="nil"/>
              <w:right w:val="nil"/>
            </w:tcBorders>
            <w:shd w:val="clear" w:color="auto" w:fill="auto"/>
            <w:noWrap/>
            <w:vAlign w:val="bottom"/>
            <w:hideMark/>
          </w:tcPr>
          <w:p w14:paraId="7B205267"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61%</w:t>
            </w:r>
          </w:p>
        </w:tc>
        <w:tc>
          <w:tcPr>
            <w:tcW w:w="864" w:type="dxa"/>
            <w:tcBorders>
              <w:top w:val="nil"/>
              <w:left w:val="nil"/>
              <w:bottom w:val="nil"/>
              <w:right w:val="nil"/>
            </w:tcBorders>
            <w:shd w:val="clear" w:color="auto" w:fill="auto"/>
            <w:noWrap/>
            <w:vAlign w:val="bottom"/>
            <w:hideMark/>
          </w:tcPr>
          <w:p w14:paraId="220645D6"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73%</w:t>
            </w:r>
          </w:p>
        </w:tc>
      </w:tr>
      <w:tr w:rsidR="00AC362E" w:rsidRPr="00491EF1" w14:paraId="1EE33991" w14:textId="77777777" w:rsidTr="00ED0631">
        <w:trPr>
          <w:trHeight w:val="315"/>
        </w:trPr>
        <w:tc>
          <w:tcPr>
            <w:tcW w:w="2996" w:type="dxa"/>
            <w:tcBorders>
              <w:top w:val="nil"/>
              <w:left w:val="nil"/>
              <w:bottom w:val="nil"/>
              <w:right w:val="nil"/>
            </w:tcBorders>
            <w:shd w:val="clear" w:color="auto" w:fill="auto"/>
            <w:noWrap/>
            <w:vAlign w:val="bottom"/>
            <w:hideMark/>
          </w:tcPr>
          <w:p w14:paraId="74BE59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901" w:type="dxa"/>
            <w:tcBorders>
              <w:top w:val="nil"/>
              <w:left w:val="nil"/>
              <w:bottom w:val="nil"/>
              <w:right w:val="nil"/>
            </w:tcBorders>
            <w:shd w:val="clear" w:color="auto" w:fill="auto"/>
            <w:noWrap/>
            <w:vAlign w:val="bottom"/>
            <w:hideMark/>
          </w:tcPr>
          <w:p w14:paraId="4581788A"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42%</w:t>
            </w:r>
          </w:p>
        </w:tc>
        <w:tc>
          <w:tcPr>
            <w:tcW w:w="864" w:type="dxa"/>
            <w:tcBorders>
              <w:top w:val="nil"/>
              <w:left w:val="nil"/>
              <w:bottom w:val="nil"/>
              <w:right w:val="nil"/>
            </w:tcBorders>
            <w:shd w:val="clear" w:color="auto" w:fill="auto"/>
            <w:noWrap/>
            <w:vAlign w:val="bottom"/>
            <w:hideMark/>
          </w:tcPr>
          <w:p w14:paraId="12FA1423"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64%</w:t>
            </w:r>
          </w:p>
        </w:tc>
      </w:tr>
      <w:tr w:rsidR="00AC362E" w:rsidRPr="00491EF1" w14:paraId="63871F4E" w14:textId="77777777" w:rsidTr="00ED0631">
        <w:trPr>
          <w:trHeight w:val="315"/>
        </w:trPr>
        <w:tc>
          <w:tcPr>
            <w:tcW w:w="2996" w:type="dxa"/>
            <w:tcBorders>
              <w:top w:val="nil"/>
              <w:left w:val="nil"/>
              <w:bottom w:val="nil"/>
              <w:right w:val="nil"/>
            </w:tcBorders>
            <w:shd w:val="clear" w:color="auto" w:fill="auto"/>
            <w:noWrap/>
            <w:vAlign w:val="bottom"/>
            <w:hideMark/>
          </w:tcPr>
          <w:p w14:paraId="0E2421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901" w:type="dxa"/>
            <w:tcBorders>
              <w:top w:val="nil"/>
              <w:left w:val="nil"/>
              <w:bottom w:val="nil"/>
              <w:right w:val="nil"/>
            </w:tcBorders>
            <w:shd w:val="clear" w:color="auto" w:fill="auto"/>
            <w:noWrap/>
            <w:vAlign w:val="bottom"/>
            <w:hideMark/>
          </w:tcPr>
          <w:p w14:paraId="1B2BE36E"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66%</w:t>
            </w:r>
          </w:p>
        </w:tc>
        <w:tc>
          <w:tcPr>
            <w:tcW w:w="864" w:type="dxa"/>
            <w:tcBorders>
              <w:top w:val="nil"/>
              <w:left w:val="nil"/>
              <w:bottom w:val="nil"/>
              <w:right w:val="nil"/>
            </w:tcBorders>
            <w:shd w:val="clear" w:color="auto" w:fill="auto"/>
            <w:noWrap/>
            <w:vAlign w:val="bottom"/>
            <w:hideMark/>
          </w:tcPr>
          <w:p w14:paraId="7DC0ABAE"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80%</w:t>
            </w:r>
          </w:p>
        </w:tc>
      </w:tr>
      <w:tr w:rsidR="00AC362E" w:rsidRPr="00491EF1" w14:paraId="1F069625" w14:textId="77777777" w:rsidTr="00ED0631">
        <w:trPr>
          <w:trHeight w:val="315"/>
        </w:trPr>
        <w:tc>
          <w:tcPr>
            <w:tcW w:w="2996" w:type="dxa"/>
            <w:tcBorders>
              <w:top w:val="nil"/>
              <w:left w:val="nil"/>
              <w:bottom w:val="nil"/>
              <w:right w:val="nil"/>
            </w:tcBorders>
            <w:shd w:val="clear" w:color="auto" w:fill="auto"/>
            <w:noWrap/>
            <w:vAlign w:val="bottom"/>
            <w:hideMark/>
          </w:tcPr>
          <w:p w14:paraId="51C8DF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901" w:type="dxa"/>
            <w:tcBorders>
              <w:top w:val="nil"/>
              <w:left w:val="nil"/>
              <w:bottom w:val="nil"/>
              <w:right w:val="nil"/>
            </w:tcBorders>
            <w:shd w:val="clear" w:color="auto" w:fill="auto"/>
            <w:noWrap/>
            <w:vAlign w:val="bottom"/>
            <w:hideMark/>
          </w:tcPr>
          <w:p w14:paraId="2225E9FC"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46%</w:t>
            </w:r>
          </w:p>
        </w:tc>
        <w:tc>
          <w:tcPr>
            <w:tcW w:w="864" w:type="dxa"/>
            <w:tcBorders>
              <w:top w:val="nil"/>
              <w:left w:val="nil"/>
              <w:bottom w:val="nil"/>
              <w:right w:val="nil"/>
            </w:tcBorders>
            <w:shd w:val="clear" w:color="auto" w:fill="auto"/>
            <w:noWrap/>
            <w:vAlign w:val="bottom"/>
            <w:hideMark/>
          </w:tcPr>
          <w:p w14:paraId="238E23F8"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57%</w:t>
            </w:r>
          </w:p>
        </w:tc>
      </w:tr>
      <w:tr w:rsidR="00AC362E" w:rsidRPr="00491EF1" w14:paraId="30EC02A5" w14:textId="77777777" w:rsidTr="00ED0631">
        <w:trPr>
          <w:trHeight w:val="315"/>
        </w:trPr>
        <w:tc>
          <w:tcPr>
            <w:tcW w:w="2996" w:type="dxa"/>
            <w:tcBorders>
              <w:top w:val="nil"/>
              <w:left w:val="nil"/>
              <w:bottom w:val="nil"/>
              <w:right w:val="nil"/>
            </w:tcBorders>
            <w:shd w:val="clear" w:color="auto" w:fill="auto"/>
            <w:noWrap/>
            <w:vAlign w:val="bottom"/>
            <w:hideMark/>
          </w:tcPr>
          <w:p w14:paraId="5ABAD3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901" w:type="dxa"/>
            <w:tcBorders>
              <w:top w:val="nil"/>
              <w:left w:val="nil"/>
              <w:bottom w:val="nil"/>
              <w:right w:val="nil"/>
            </w:tcBorders>
            <w:shd w:val="clear" w:color="auto" w:fill="auto"/>
            <w:noWrap/>
            <w:vAlign w:val="bottom"/>
            <w:hideMark/>
          </w:tcPr>
          <w:p w14:paraId="4C63AD36"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46%</w:t>
            </w:r>
          </w:p>
        </w:tc>
        <w:tc>
          <w:tcPr>
            <w:tcW w:w="864" w:type="dxa"/>
            <w:tcBorders>
              <w:top w:val="nil"/>
              <w:left w:val="nil"/>
              <w:bottom w:val="nil"/>
              <w:right w:val="nil"/>
            </w:tcBorders>
            <w:shd w:val="clear" w:color="auto" w:fill="auto"/>
            <w:noWrap/>
            <w:vAlign w:val="bottom"/>
            <w:hideMark/>
          </w:tcPr>
          <w:p w14:paraId="26F8C6B6"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56%</w:t>
            </w:r>
          </w:p>
        </w:tc>
      </w:tr>
      <w:tr w:rsidR="00AC362E" w:rsidRPr="00491EF1" w14:paraId="52EA3E00" w14:textId="77777777" w:rsidTr="00ED0631">
        <w:trPr>
          <w:trHeight w:val="315"/>
        </w:trPr>
        <w:tc>
          <w:tcPr>
            <w:tcW w:w="2996" w:type="dxa"/>
            <w:tcBorders>
              <w:top w:val="nil"/>
              <w:left w:val="nil"/>
              <w:bottom w:val="nil"/>
              <w:right w:val="nil"/>
            </w:tcBorders>
            <w:shd w:val="clear" w:color="auto" w:fill="auto"/>
            <w:noWrap/>
            <w:vAlign w:val="bottom"/>
            <w:hideMark/>
          </w:tcPr>
          <w:p w14:paraId="692E35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901" w:type="dxa"/>
            <w:tcBorders>
              <w:top w:val="nil"/>
              <w:left w:val="nil"/>
              <w:bottom w:val="nil"/>
              <w:right w:val="nil"/>
            </w:tcBorders>
            <w:shd w:val="clear" w:color="auto" w:fill="auto"/>
            <w:noWrap/>
            <w:vAlign w:val="bottom"/>
            <w:hideMark/>
          </w:tcPr>
          <w:p w14:paraId="2CBBEDC0"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43%</w:t>
            </w:r>
          </w:p>
        </w:tc>
        <w:tc>
          <w:tcPr>
            <w:tcW w:w="864" w:type="dxa"/>
            <w:tcBorders>
              <w:top w:val="nil"/>
              <w:left w:val="nil"/>
              <w:bottom w:val="nil"/>
              <w:right w:val="nil"/>
            </w:tcBorders>
            <w:shd w:val="clear" w:color="auto" w:fill="auto"/>
            <w:noWrap/>
            <w:vAlign w:val="bottom"/>
            <w:hideMark/>
          </w:tcPr>
          <w:p w14:paraId="409C9AC5"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r>
      <w:tr w:rsidR="00AC362E" w:rsidRPr="00491EF1" w14:paraId="04AD77C8" w14:textId="77777777" w:rsidTr="00ED0631">
        <w:trPr>
          <w:trHeight w:val="315"/>
        </w:trPr>
        <w:tc>
          <w:tcPr>
            <w:tcW w:w="2996" w:type="dxa"/>
            <w:tcBorders>
              <w:top w:val="nil"/>
              <w:left w:val="nil"/>
              <w:bottom w:val="nil"/>
              <w:right w:val="nil"/>
            </w:tcBorders>
            <w:shd w:val="clear" w:color="auto" w:fill="auto"/>
            <w:noWrap/>
            <w:vAlign w:val="bottom"/>
            <w:hideMark/>
          </w:tcPr>
          <w:p w14:paraId="7F5955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901" w:type="dxa"/>
            <w:tcBorders>
              <w:top w:val="nil"/>
              <w:left w:val="nil"/>
              <w:bottom w:val="nil"/>
              <w:right w:val="nil"/>
            </w:tcBorders>
            <w:shd w:val="clear" w:color="auto" w:fill="auto"/>
            <w:noWrap/>
            <w:vAlign w:val="bottom"/>
            <w:hideMark/>
          </w:tcPr>
          <w:p w14:paraId="21431DDA"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c>
          <w:tcPr>
            <w:tcW w:w="864" w:type="dxa"/>
            <w:tcBorders>
              <w:top w:val="nil"/>
              <w:left w:val="nil"/>
              <w:bottom w:val="nil"/>
              <w:right w:val="nil"/>
            </w:tcBorders>
            <w:shd w:val="clear" w:color="auto" w:fill="auto"/>
            <w:noWrap/>
            <w:vAlign w:val="bottom"/>
            <w:hideMark/>
          </w:tcPr>
          <w:p w14:paraId="26DCEE44"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71%</w:t>
            </w:r>
          </w:p>
        </w:tc>
      </w:tr>
      <w:tr w:rsidR="00AC362E" w:rsidRPr="00491EF1" w14:paraId="180FBF02" w14:textId="77777777" w:rsidTr="00ED0631">
        <w:trPr>
          <w:trHeight w:val="315"/>
        </w:trPr>
        <w:tc>
          <w:tcPr>
            <w:tcW w:w="2996" w:type="dxa"/>
            <w:tcBorders>
              <w:top w:val="nil"/>
              <w:left w:val="nil"/>
              <w:bottom w:val="single" w:sz="4" w:space="0" w:color="auto"/>
              <w:right w:val="nil"/>
            </w:tcBorders>
            <w:shd w:val="clear" w:color="auto" w:fill="auto"/>
            <w:noWrap/>
            <w:vAlign w:val="bottom"/>
            <w:hideMark/>
          </w:tcPr>
          <w:p w14:paraId="0DD8D5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901" w:type="dxa"/>
            <w:tcBorders>
              <w:top w:val="nil"/>
              <w:left w:val="nil"/>
              <w:bottom w:val="single" w:sz="4" w:space="0" w:color="auto"/>
              <w:right w:val="nil"/>
            </w:tcBorders>
            <w:shd w:val="clear" w:color="auto" w:fill="auto"/>
            <w:noWrap/>
            <w:vAlign w:val="bottom"/>
            <w:hideMark/>
          </w:tcPr>
          <w:p w14:paraId="527BB3CD"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51%</w:t>
            </w:r>
          </w:p>
        </w:tc>
        <w:tc>
          <w:tcPr>
            <w:tcW w:w="864" w:type="dxa"/>
            <w:tcBorders>
              <w:top w:val="nil"/>
              <w:left w:val="nil"/>
              <w:bottom w:val="single" w:sz="4" w:space="0" w:color="auto"/>
              <w:right w:val="nil"/>
            </w:tcBorders>
            <w:shd w:val="clear" w:color="auto" w:fill="auto"/>
            <w:noWrap/>
            <w:vAlign w:val="bottom"/>
            <w:hideMark/>
          </w:tcPr>
          <w:p w14:paraId="6EADAE97"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75%</w:t>
            </w:r>
          </w:p>
        </w:tc>
      </w:tr>
      <w:tr w:rsidR="00AC362E" w:rsidRPr="00491EF1" w14:paraId="2D147DE7" w14:textId="77777777" w:rsidTr="00ED0631">
        <w:trPr>
          <w:trHeight w:val="315"/>
        </w:trPr>
        <w:tc>
          <w:tcPr>
            <w:tcW w:w="2996" w:type="dxa"/>
            <w:tcBorders>
              <w:top w:val="nil"/>
              <w:left w:val="nil"/>
              <w:bottom w:val="single" w:sz="4" w:space="0" w:color="auto"/>
              <w:right w:val="nil"/>
            </w:tcBorders>
            <w:shd w:val="clear" w:color="auto" w:fill="auto"/>
            <w:noWrap/>
            <w:vAlign w:val="bottom"/>
            <w:hideMark/>
          </w:tcPr>
          <w:p w14:paraId="2F1F75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901" w:type="dxa"/>
            <w:tcBorders>
              <w:top w:val="nil"/>
              <w:left w:val="nil"/>
              <w:bottom w:val="single" w:sz="4" w:space="0" w:color="auto"/>
              <w:right w:val="nil"/>
            </w:tcBorders>
            <w:shd w:val="clear" w:color="auto" w:fill="auto"/>
            <w:noWrap/>
            <w:vAlign w:val="bottom"/>
            <w:hideMark/>
          </w:tcPr>
          <w:p w14:paraId="64F6737D"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c>
          <w:tcPr>
            <w:tcW w:w="864" w:type="dxa"/>
            <w:tcBorders>
              <w:top w:val="nil"/>
              <w:left w:val="nil"/>
              <w:bottom w:val="single" w:sz="4" w:space="0" w:color="auto"/>
              <w:right w:val="nil"/>
            </w:tcBorders>
            <w:shd w:val="clear" w:color="auto" w:fill="auto"/>
            <w:noWrap/>
            <w:vAlign w:val="bottom"/>
            <w:hideMark/>
          </w:tcPr>
          <w:p w14:paraId="5DB96996"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69%</w:t>
            </w:r>
          </w:p>
        </w:tc>
      </w:tr>
    </w:tbl>
    <w:p w14:paraId="062EDBAA"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24: The percent of boys and girls that teachers </w:t>
      </w:r>
      <w:r w:rsidRPr="00491EF1">
        <w:rPr>
          <w:rFonts w:asciiTheme="majorHAnsi" w:eastAsia="Times New Roman" w:hAnsiTheme="majorHAnsi" w:cstheme="majorHAnsi"/>
          <w:b/>
          <w:color w:val="000000"/>
          <w:u w:val="single"/>
          <w:lang w:eastAsia="en-AU"/>
        </w:rPr>
        <w:t>expect</w:t>
      </w:r>
      <w:r w:rsidRPr="00491EF1">
        <w:rPr>
          <w:rFonts w:asciiTheme="majorHAnsi" w:eastAsia="Times New Roman" w:hAnsiTheme="majorHAnsi" w:cstheme="majorHAnsi"/>
          <w:b/>
          <w:color w:val="000000"/>
          <w:lang w:eastAsia="en-AU"/>
        </w:rPr>
        <w:t xml:space="preserve"> to meet the learning outcomes this year by island type</w:t>
      </w:r>
    </w:p>
    <w:tbl>
      <w:tblPr>
        <w:tblW w:w="3960" w:type="dxa"/>
        <w:tblInd w:w="93" w:type="dxa"/>
        <w:tblLook w:val="04A0" w:firstRow="1" w:lastRow="0" w:firstColumn="1" w:lastColumn="0" w:noHBand="0" w:noVBand="1"/>
      </w:tblPr>
      <w:tblGrid>
        <w:gridCol w:w="2191"/>
        <w:gridCol w:w="903"/>
        <w:gridCol w:w="866"/>
      </w:tblGrid>
      <w:tr w:rsidR="00AC362E" w:rsidRPr="00491EF1" w14:paraId="6F8EA5FD" w14:textId="77777777" w:rsidTr="00ED0631">
        <w:trPr>
          <w:trHeight w:val="315"/>
        </w:trPr>
        <w:tc>
          <w:tcPr>
            <w:tcW w:w="2191" w:type="dxa"/>
            <w:tcBorders>
              <w:top w:val="single" w:sz="4" w:space="0" w:color="auto"/>
              <w:left w:val="nil"/>
              <w:bottom w:val="nil"/>
              <w:right w:val="nil"/>
            </w:tcBorders>
            <w:shd w:val="clear" w:color="auto" w:fill="auto"/>
            <w:noWrap/>
            <w:vAlign w:val="bottom"/>
            <w:hideMark/>
          </w:tcPr>
          <w:p w14:paraId="4EADCCF1"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903" w:type="dxa"/>
            <w:tcBorders>
              <w:top w:val="single" w:sz="4" w:space="0" w:color="auto"/>
              <w:left w:val="nil"/>
              <w:bottom w:val="single" w:sz="4" w:space="0" w:color="auto"/>
              <w:right w:val="nil"/>
            </w:tcBorders>
            <w:shd w:val="clear" w:color="auto" w:fill="auto"/>
            <w:noWrap/>
            <w:vAlign w:val="bottom"/>
            <w:hideMark/>
          </w:tcPr>
          <w:p w14:paraId="7C9C1E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Boys</w:t>
            </w:r>
          </w:p>
        </w:tc>
        <w:tc>
          <w:tcPr>
            <w:tcW w:w="866" w:type="dxa"/>
            <w:tcBorders>
              <w:top w:val="single" w:sz="4" w:space="0" w:color="auto"/>
              <w:left w:val="nil"/>
              <w:bottom w:val="single" w:sz="4" w:space="0" w:color="auto"/>
              <w:right w:val="nil"/>
            </w:tcBorders>
            <w:shd w:val="clear" w:color="auto" w:fill="auto"/>
            <w:noWrap/>
            <w:vAlign w:val="bottom"/>
            <w:hideMark/>
          </w:tcPr>
          <w:p w14:paraId="0C4FE1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Girls</w:t>
            </w:r>
          </w:p>
        </w:tc>
      </w:tr>
      <w:tr w:rsidR="00AC362E" w:rsidRPr="00491EF1" w14:paraId="647B97F6" w14:textId="77777777" w:rsidTr="00ED0631">
        <w:trPr>
          <w:trHeight w:val="315"/>
        </w:trPr>
        <w:tc>
          <w:tcPr>
            <w:tcW w:w="2191" w:type="dxa"/>
            <w:tcBorders>
              <w:top w:val="single" w:sz="4" w:space="0" w:color="auto"/>
              <w:left w:val="nil"/>
              <w:bottom w:val="nil"/>
              <w:right w:val="nil"/>
            </w:tcBorders>
            <w:shd w:val="clear" w:color="auto" w:fill="auto"/>
            <w:noWrap/>
            <w:vAlign w:val="bottom"/>
            <w:hideMark/>
          </w:tcPr>
          <w:p w14:paraId="4E82BA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Large island</w:t>
            </w:r>
          </w:p>
        </w:tc>
        <w:tc>
          <w:tcPr>
            <w:tcW w:w="903" w:type="dxa"/>
            <w:tcBorders>
              <w:top w:val="nil"/>
              <w:left w:val="nil"/>
              <w:bottom w:val="nil"/>
              <w:right w:val="nil"/>
            </w:tcBorders>
            <w:shd w:val="clear" w:color="auto" w:fill="auto"/>
            <w:noWrap/>
            <w:vAlign w:val="bottom"/>
            <w:hideMark/>
          </w:tcPr>
          <w:p w14:paraId="084B90D7"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c>
          <w:tcPr>
            <w:tcW w:w="866" w:type="dxa"/>
            <w:tcBorders>
              <w:top w:val="nil"/>
              <w:left w:val="nil"/>
              <w:bottom w:val="nil"/>
              <w:right w:val="nil"/>
            </w:tcBorders>
            <w:shd w:val="clear" w:color="auto" w:fill="auto"/>
            <w:noWrap/>
            <w:vAlign w:val="bottom"/>
            <w:hideMark/>
          </w:tcPr>
          <w:p w14:paraId="56004C4A"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65%</w:t>
            </w:r>
          </w:p>
        </w:tc>
      </w:tr>
      <w:tr w:rsidR="00AC362E" w:rsidRPr="00491EF1" w14:paraId="0CB1B1F5" w14:textId="77777777" w:rsidTr="00ED0631">
        <w:trPr>
          <w:trHeight w:val="315"/>
        </w:trPr>
        <w:tc>
          <w:tcPr>
            <w:tcW w:w="2191" w:type="dxa"/>
            <w:tcBorders>
              <w:top w:val="nil"/>
              <w:left w:val="nil"/>
              <w:bottom w:val="nil"/>
              <w:right w:val="nil"/>
            </w:tcBorders>
            <w:shd w:val="clear" w:color="auto" w:fill="auto"/>
            <w:noWrap/>
            <w:vAlign w:val="bottom"/>
            <w:hideMark/>
          </w:tcPr>
          <w:p w14:paraId="748193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Small island</w:t>
            </w:r>
          </w:p>
        </w:tc>
        <w:tc>
          <w:tcPr>
            <w:tcW w:w="903" w:type="dxa"/>
            <w:tcBorders>
              <w:top w:val="nil"/>
              <w:left w:val="nil"/>
              <w:bottom w:val="nil"/>
              <w:right w:val="nil"/>
            </w:tcBorders>
            <w:shd w:val="clear" w:color="auto" w:fill="auto"/>
            <w:noWrap/>
            <w:vAlign w:val="bottom"/>
            <w:hideMark/>
          </w:tcPr>
          <w:p w14:paraId="2A03AABB"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c>
          <w:tcPr>
            <w:tcW w:w="866" w:type="dxa"/>
            <w:tcBorders>
              <w:top w:val="nil"/>
              <w:left w:val="nil"/>
              <w:bottom w:val="nil"/>
              <w:right w:val="nil"/>
            </w:tcBorders>
            <w:shd w:val="clear" w:color="auto" w:fill="auto"/>
            <w:noWrap/>
            <w:vAlign w:val="bottom"/>
            <w:hideMark/>
          </w:tcPr>
          <w:p w14:paraId="69B981B3"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73%</w:t>
            </w:r>
          </w:p>
        </w:tc>
      </w:tr>
      <w:tr w:rsidR="00AC362E" w:rsidRPr="00491EF1" w14:paraId="40A0455A" w14:textId="77777777" w:rsidTr="00ED0631">
        <w:trPr>
          <w:trHeight w:val="315"/>
        </w:trPr>
        <w:tc>
          <w:tcPr>
            <w:tcW w:w="2191" w:type="dxa"/>
            <w:tcBorders>
              <w:top w:val="nil"/>
              <w:left w:val="nil"/>
              <w:bottom w:val="nil"/>
              <w:right w:val="nil"/>
            </w:tcBorders>
            <w:shd w:val="clear" w:color="auto" w:fill="auto"/>
            <w:noWrap/>
            <w:vAlign w:val="bottom"/>
            <w:hideMark/>
          </w:tcPr>
          <w:p w14:paraId="1804B6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Sth Tarawa</w:t>
            </w:r>
          </w:p>
        </w:tc>
        <w:tc>
          <w:tcPr>
            <w:tcW w:w="903" w:type="dxa"/>
            <w:tcBorders>
              <w:top w:val="nil"/>
              <w:left w:val="nil"/>
              <w:bottom w:val="nil"/>
              <w:right w:val="nil"/>
            </w:tcBorders>
            <w:shd w:val="clear" w:color="auto" w:fill="auto"/>
            <w:noWrap/>
            <w:vAlign w:val="bottom"/>
            <w:hideMark/>
          </w:tcPr>
          <w:p w14:paraId="07CBFDB0"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c>
          <w:tcPr>
            <w:tcW w:w="866" w:type="dxa"/>
            <w:tcBorders>
              <w:top w:val="nil"/>
              <w:left w:val="nil"/>
              <w:bottom w:val="nil"/>
              <w:right w:val="nil"/>
            </w:tcBorders>
            <w:shd w:val="clear" w:color="auto" w:fill="auto"/>
            <w:noWrap/>
            <w:vAlign w:val="bottom"/>
            <w:hideMark/>
          </w:tcPr>
          <w:p w14:paraId="37CFF96B"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71%</w:t>
            </w:r>
          </w:p>
        </w:tc>
      </w:tr>
      <w:tr w:rsidR="00AC362E" w:rsidRPr="00491EF1" w14:paraId="705806E1" w14:textId="77777777" w:rsidTr="00ED0631">
        <w:trPr>
          <w:trHeight w:val="315"/>
        </w:trPr>
        <w:tc>
          <w:tcPr>
            <w:tcW w:w="2191" w:type="dxa"/>
            <w:tcBorders>
              <w:top w:val="single" w:sz="4" w:space="0" w:color="auto"/>
              <w:left w:val="nil"/>
              <w:bottom w:val="single" w:sz="4" w:space="0" w:color="auto"/>
              <w:right w:val="nil"/>
            </w:tcBorders>
            <w:shd w:val="clear" w:color="auto" w:fill="auto"/>
            <w:noWrap/>
            <w:vAlign w:val="bottom"/>
            <w:hideMark/>
          </w:tcPr>
          <w:p w14:paraId="5F9172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903" w:type="dxa"/>
            <w:tcBorders>
              <w:top w:val="single" w:sz="4" w:space="0" w:color="auto"/>
              <w:left w:val="nil"/>
              <w:bottom w:val="single" w:sz="4" w:space="0" w:color="auto"/>
              <w:right w:val="nil"/>
            </w:tcBorders>
            <w:shd w:val="clear" w:color="auto" w:fill="auto"/>
            <w:noWrap/>
            <w:vAlign w:val="bottom"/>
            <w:hideMark/>
          </w:tcPr>
          <w:p w14:paraId="69E1718F"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c>
          <w:tcPr>
            <w:tcW w:w="866" w:type="dxa"/>
            <w:tcBorders>
              <w:top w:val="single" w:sz="4" w:space="0" w:color="auto"/>
              <w:left w:val="nil"/>
              <w:bottom w:val="single" w:sz="4" w:space="0" w:color="auto"/>
              <w:right w:val="nil"/>
            </w:tcBorders>
            <w:shd w:val="clear" w:color="auto" w:fill="auto"/>
            <w:noWrap/>
            <w:vAlign w:val="bottom"/>
            <w:hideMark/>
          </w:tcPr>
          <w:p w14:paraId="08CE607B"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69%</w:t>
            </w:r>
          </w:p>
        </w:tc>
      </w:tr>
    </w:tbl>
    <w:p w14:paraId="7C0CC86A"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1719341"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25: Teachers' rating of the change in student performance by island</w:t>
      </w:r>
    </w:p>
    <w:tbl>
      <w:tblPr>
        <w:tblW w:w="7834" w:type="dxa"/>
        <w:tblInd w:w="93" w:type="dxa"/>
        <w:tblLook w:val="04A0" w:firstRow="1" w:lastRow="0" w:firstColumn="1" w:lastColumn="0" w:noHBand="0" w:noVBand="1"/>
      </w:tblPr>
      <w:tblGrid>
        <w:gridCol w:w="1630"/>
        <w:gridCol w:w="1307"/>
        <w:gridCol w:w="1923"/>
        <w:gridCol w:w="1387"/>
        <w:gridCol w:w="1587"/>
      </w:tblGrid>
      <w:tr w:rsidR="00AC362E" w:rsidRPr="00491EF1" w14:paraId="5441C0D4"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4D2AEB1F"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028ADB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2407422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4581FF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2735C1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3C2131DB" w14:textId="77777777" w:rsidTr="00ED0631">
        <w:trPr>
          <w:trHeight w:val="315"/>
        </w:trPr>
        <w:tc>
          <w:tcPr>
            <w:tcW w:w="1630" w:type="dxa"/>
            <w:tcBorders>
              <w:top w:val="nil"/>
              <w:left w:val="nil"/>
              <w:bottom w:val="nil"/>
              <w:right w:val="nil"/>
            </w:tcBorders>
            <w:shd w:val="clear" w:color="auto" w:fill="auto"/>
            <w:noWrap/>
            <w:vAlign w:val="bottom"/>
            <w:hideMark/>
          </w:tcPr>
          <w:p w14:paraId="798F762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07" w:type="dxa"/>
            <w:tcBorders>
              <w:top w:val="nil"/>
              <w:left w:val="nil"/>
              <w:bottom w:val="nil"/>
              <w:right w:val="nil"/>
            </w:tcBorders>
            <w:shd w:val="clear" w:color="auto" w:fill="auto"/>
            <w:noWrap/>
            <w:vAlign w:val="bottom"/>
            <w:hideMark/>
          </w:tcPr>
          <w:p w14:paraId="0FB4C1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923" w:type="dxa"/>
            <w:tcBorders>
              <w:top w:val="nil"/>
              <w:left w:val="nil"/>
              <w:bottom w:val="nil"/>
              <w:right w:val="nil"/>
            </w:tcBorders>
            <w:shd w:val="clear" w:color="auto" w:fill="auto"/>
            <w:noWrap/>
            <w:vAlign w:val="bottom"/>
            <w:hideMark/>
          </w:tcPr>
          <w:p w14:paraId="245D59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nil"/>
              <w:right w:val="nil"/>
            </w:tcBorders>
            <w:shd w:val="clear" w:color="auto" w:fill="auto"/>
            <w:noWrap/>
            <w:vAlign w:val="bottom"/>
            <w:hideMark/>
          </w:tcPr>
          <w:p w14:paraId="2C4E7C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587" w:type="dxa"/>
            <w:tcBorders>
              <w:top w:val="nil"/>
              <w:left w:val="nil"/>
              <w:bottom w:val="nil"/>
              <w:right w:val="nil"/>
            </w:tcBorders>
            <w:shd w:val="clear" w:color="auto" w:fill="auto"/>
            <w:noWrap/>
            <w:vAlign w:val="bottom"/>
            <w:hideMark/>
          </w:tcPr>
          <w:p w14:paraId="5A16EA2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AA32FF7" w14:textId="77777777" w:rsidTr="00ED0631">
        <w:trPr>
          <w:trHeight w:val="315"/>
        </w:trPr>
        <w:tc>
          <w:tcPr>
            <w:tcW w:w="1630" w:type="dxa"/>
            <w:tcBorders>
              <w:top w:val="nil"/>
              <w:left w:val="nil"/>
              <w:bottom w:val="nil"/>
              <w:right w:val="nil"/>
            </w:tcBorders>
            <w:shd w:val="clear" w:color="auto" w:fill="auto"/>
            <w:noWrap/>
            <w:vAlign w:val="bottom"/>
            <w:hideMark/>
          </w:tcPr>
          <w:p w14:paraId="608283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07" w:type="dxa"/>
            <w:tcBorders>
              <w:top w:val="nil"/>
              <w:left w:val="nil"/>
              <w:bottom w:val="nil"/>
              <w:right w:val="nil"/>
            </w:tcBorders>
            <w:shd w:val="clear" w:color="auto" w:fill="auto"/>
            <w:noWrap/>
            <w:vAlign w:val="bottom"/>
            <w:hideMark/>
          </w:tcPr>
          <w:p w14:paraId="09E9E0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923" w:type="dxa"/>
            <w:tcBorders>
              <w:top w:val="nil"/>
              <w:left w:val="nil"/>
              <w:bottom w:val="nil"/>
              <w:right w:val="nil"/>
            </w:tcBorders>
            <w:shd w:val="clear" w:color="auto" w:fill="auto"/>
            <w:noWrap/>
            <w:vAlign w:val="bottom"/>
            <w:hideMark/>
          </w:tcPr>
          <w:p w14:paraId="6C511F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nil"/>
              <w:right w:val="nil"/>
            </w:tcBorders>
            <w:shd w:val="clear" w:color="auto" w:fill="auto"/>
            <w:noWrap/>
            <w:vAlign w:val="bottom"/>
            <w:hideMark/>
          </w:tcPr>
          <w:p w14:paraId="7F2FC2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87" w:type="dxa"/>
            <w:tcBorders>
              <w:top w:val="nil"/>
              <w:left w:val="nil"/>
              <w:bottom w:val="nil"/>
              <w:right w:val="nil"/>
            </w:tcBorders>
            <w:shd w:val="clear" w:color="auto" w:fill="auto"/>
            <w:noWrap/>
            <w:vAlign w:val="bottom"/>
            <w:hideMark/>
          </w:tcPr>
          <w:p w14:paraId="66411A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68C90117" w14:textId="77777777" w:rsidTr="00ED0631">
        <w:trPr>
          <w:trHeight w:val="315"/>
        </w:trPr>
        <w:tc>
          <w:tcPr>
            <w:tcW w:w="1630" w:type="dxa"/>
            <w:tcBorders>
              <w:top w:val="nil"/>
              <w:left w:val="nil"/>
              <w:bottom w:val="nil"/>
              <w:right w:val="nil"/>
            </w:tcBorders>
            <w:shd w:val="clear" w:color="auto" w:fill="auto"/>
            <w:noWrap/>
            <w:vAlign w:val="bottom"/>
            <w:hideMark/>
          </w:tcPr>
          <w:p w14:paraId="1173F3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07" w:type="dxa"/>
            <w:tcBorders>
              <w:top w:val="nil"/>
              <w:left w:val="nil"/>
              <w:bottom w:val="nil"/>
              <w:right w:val="nil"/>
            </w:tcBorders>
            <w:shd w:val="clear" w:color="auto" w:fill="auto"/>
            <w:noWrap/>
            <w:vAlign w:val="bottom"/>
            <w:hideMark/>
          </w:tcPr>
          <w:p w14:paraId="285C7D2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923" w:type="dxa"/>
            <w:tcBorders>
              <w:top w:val="nil"/>
              <w:left w:val="nil"/>
              <w:bottom w:val="nil"/>
              <w:right w:val="nil"/>
            </w:tcBorders>
            <w:shd w:val="clear" w:color="auto" w:fill="auto"/>
            <w:noWrap/>
            <w:vAlign w:val="bottom"/>
            <w:hideMark/>
          </w:tcPr>
          <w:p w14:paraId="7F3A02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6F8A77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587" w:type="dxa"/>
            <w:tcBorders>
              <w:top w:val="nil"/>
              <w:left w:val="nil"/>
              <w:bottom w:val="nil"/>
              <w:right w:val="nil"/>
            </w:tcBorders>
            <w:shd w:val="clear" w:color="auto" w:fill="auto"/>
            <w:noWrap/>
            <w:vAlign w:val="bottom"/>
            <w:hideMark/>
          </w:tcPr>
          <w:p w14:paraId="2E0AA0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05F209A" w14:textId="77777777" w:rsidTr="00ED0631">
        <w:trPr>
          <w:trHeight w:val="315"/>
        </w:trPr>
        <w:tc>
          <w:tcPr>
            <w:tcW w:w="1630" w:type="dxa"/>
            <w:tcBorders>
              <w:top w:val="nil"/>
              <w:left w:val="nil"/>
              <w:bottom w:val="nil"/>
              <w:right w:val="nil"/>
            </w:tcBorders>
            <w:shd w:val="clear" w:color="auto" w:fill="auto"/>
            <w:noWrap/>
            <w:vAlign w:val="bottom"/>
            <w:hideMark/>
          </w:tcPr>
          <w:p w14:paraId="023BB6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07" w:type="dxa"/>
            <w:tcBorders>
              <w:top w:val="nil"/>
              <w:left w:val="nil"/>
              <w:bottom w:val="nil"/>
              <w:right w:val="nil"/>
            </w:tcBorders>
            <w:shd w:val="clear" w:color="auto" w:fill="auto"/>
            <w:noWrap/>
            <w:vAlign w:val="bottom"/>
            <w:hideMark/>
          </w:tcPr>
          <w:p w14:paraId="47E4BD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923" w:type="dxa"/>
            <w:tcBorders>
              <w:top w:val="nil"/>
              <w:left w:val="nil"/>
              <w:bottom w:val="nil"/>
              <w:right w:val="nil"/>
            </w:tcBorders>
            <w:shd w:val="clear" w:color="auto" w:fill="auto"/>
            <w:noWrap/>
            <w:vAlign w:val="bottom"/>
            <w:hideMark/>
          </w:tcPr>
          <w:p w14:paraId="2D3A012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254A05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87" w:type="dxa"/>
            <w:tcBorders>
              <w:top w:val="nil"/>
              <w:left w:val="nil"/>
              <w:bottom w:val="nil"/>
              <w:right w:val="nil"/>
            </w:tcBorders>
            <w:shd w:val="clear" w:color="auto" w:fill="auto"/>
            <w:noWrap/>
            <w:vAlign w:val="bottom"/>
            <w:hideMark/>
          </w:tcPr>
          <w:p w14:paraId="23C8FB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364529F1" w14:textId="77777777" w:rsidTr="00ED0631">
        <w:trPr>
          <w:trHeight w:val="315"/>
        </w:trPr>
        <w:tc>
          <w:tcPr>
            <w:tcW w:w="1630" w:type="dxa"/>
            <w:tcBorders>
              <w:top w:val="nil"/>
              <w:left w:val="nil"/>
              <w:bottom w:val="nil"/>
              <w:right w:val="nil"/>
            </w:tcBorders>
            <w:shd w:val="clear" w:color="auto" w:fill="auto"/>
            <w:noWrap/>
            <w:vAlign w:val="bottom"/>
            <w:hideMark/>
          </w:tcPr>
          <w:p w14:paraId="0C72B8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07" w:type="dxa"/>
            <w:tcBorders>
              <w:top w:val="nil"/>
              <w:left w:val="nil"/>
              <w:bottom w:val="nil"/>
              <w:right w:val="nil"/>
            </w:tcBorders>
            <w:shd w:val="clear" w:color="auto" w:fill="auto"/>
            <w:noWrap/>
            <w:vAlign w:val="bottom"/>
            <w:hideMark/>
          </w:tcPr>
          <w:p w14:paraId="28225F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923" w:type="dxa"/>
            <w:tcBorders>
              <w:top w:val="nil"/>
              <w:left w:val="nil"/>
              <w:bottom w:val="nil"/>
              <w:right w:val="nil"/>
            </w:tcBorders>
            <w:shd w:val="clear" w:color="auto" w:fill="auto"/>
            <w:noWrap/>
            <w:vAlign w:val="bottom"/>
            <w:hideMark/>
          </w:tcPr>
          <w:p w14:paraId="49C1BE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28A3A6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587" w:type="dxa"/>
            <w:tcBorders>
              <w:top w:val="nil"/>
              <w:left w:val="nil"/>
              <w:bottom w:val="nil"/>
              <w:right w:val="nil"/>
            </w:tcBorders>
            <w:shd w:val="clear" w:color="auto" w:fill="auto"/>
            <w:noWrap/>
            <w:vAlign w:val="bottom"/>
            <w:hideMark/>
          </w:tcPr>
          <w:p w14:paraId="2933761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7708318" w14:textId="77777777" w:rsidTr="00ED0631">
        <w:trPr>
          <w:trHeight w:val="315"/>
        </w:trPr>
        <w:tc>
          <w:tcPr>
            <w:tcW w:w="1630" w:type="dxa"/>
            <w:tcBorders>
              <w:top w:val="nil"/>
              <w:left w:val="nil"/>
              <w:bottom w:val="nil"/>
              <w:right w:val="nil"/>
            </w:tcBorders>
            <w:shd w:val="clear" w:color="auto" w:fill="auto"/>
            <w:noWrap/>
            <w:vAlign w:val="bottom"/>
            <w:hideMark/>
          </w:tcPr>
          <w:p w14:paraId="1666CC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07" w:type="dxa"/>
            <w:tcBorders>
              <w:top w:val="nil"/>
              <w:left w:val="nil"/>
              <w:bottom w:val="nil"/>
              <w:right w:val="nil"/>
            </w:tcBorders>
            <w:shd w:val="clear" w:color="auto" w:fill="auto"/>
            <w:noWrap/>
            <w:vAlign w:val="bottom"/>
            <w:hideMark/>
          </w:tcPr>
          <w:p w14:paraId="00B1F6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923" w:type="dxa"/>
            <w:tcBorders>
              <w:top w:val="nil"/>
              <w:left w:val="nil"/>
              <w:bottom w:val="nil"/>
              <w:right w:val="nil"/>
            </w:tcBorders>
            <w:shd w:val="clear" w:color="auto" w:fill="auto"/>
            <w:noWrap/>
            <w:vAlign w:val="bottom"/>
            <w:hideMark/>
          </w:tcPr>
          <w:p w14:paraId="4639A9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87" w:type="dxa"/>
            <w:tcBorders>
              <w:top w:val="nil"/>
              <w:left w:val="nil"/>
              <w:bottom w:val="nil"/>
              <w:right w:val="nil"/>
            </w:tcBorders>
            <w:shd w:val="clear" w:color="auto" w:fill="auto"/>
            <w:noWrap/>
            <w:vAlign w:val="bottom"/>
            <w:hideMark/>
          </w:tcPr>
          <w:p w14:paraId="2D19AD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87" w:type="dxa"/>
            <w:tcBorders>
              <w:top w:val="nil"/>
              <w:left w:val="nil"/>
              <w:bottom w:val="nil"/>
              <w:right w:val="nil"/>
            </w:tcBorders>
            <w:shd w:val="clear" w:color="auto" w:fill="auto"/>
            <w:noWrap/>
            <w:vAlign w:val="bottom"/>
            <w:hideMark/>
          </w:tcPr>
          <w:p w14:paraId="4D23F4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31A4DC90" w14:textId="77777777" w:rsidTr="00ED0631">
        <w:trPr>
          <w:trHeight w:val="315"/>
        </w:trPr>
        <w:tc>
          <w:tcPr>
            <w:tcW w:w="1630" w:type="dxa"/>
            <w:tcBorders>
              <w:top w:val="nil"/>
              <w:left w:val="nil"/>
              <w:bottom w:val="nil"/>
              <w:right w:val="nil"/>
            </w:tcBorders>
            <w:shd w:val="clear" w:color="auto" w:fill="auto"/>
            <w:noWrap/>
            <w:vAlign w:val="bottom"/>
            <w:hideMark/>
          </w:tcPr>
          <w:p w14:paraId="326235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07" w:type="dxa"/>
            <w:tcBorders>
              <w:top w:val="nil"/>
              <w:left w:val="nil"/>
              <w:bottom w:val="nil"/>
              <w:right w:val="nil"/>
            </w:tcBorders>
            <w:shd w:val="clear" w:color="auto" w:fill="auto"/>
            <w:noWrap/>
            <w:vAlign w:val="bottom"/>
            <w:hideMark/>
          </w:tcPr>
          <w:p w14:paraId="7CB578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923" w:type="dxa"/>
            <w:tcBorders>
              <w:top w:val="nil"/>
              <w:left w:val="nil"/>
              <w:bottom w:val="nil"/>
              <w:right w:val="nil"/>
            </w:tcBorders>
            <w:shd w:val="clear" w:color="auto" w:fill="auto"/>
            <w:noWrap/>
            <w:vAlign w:val="bottom"/>
            <w:hideMark/>
          </w:tcPr>
          <w:p w14:paraId="58D88C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nil"/>
              <w:right w:val="nil"/>
            </w:tcBorders>
            <w:shd w:val="clear" w:color="auto" w:fill="auto"/>
            <w:noWrap/>
            <w:vAlign w:val="bottom"/>
            <w:hideMark/>
          </w:tcPr>
          <w:p w14:paraId="069364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587" w:type="dxa"/>
            <w:tcBorders>
              <w:top w:val="nil"/>
              <w:left w:val="nil"/>
              <w:bottom w:val="nil"/>
              <w:right w:val="nil"/>
            </w:tcBorders>
            <w:shd w:val="clear" w:color="auto" w:fill="auto"/>
            <w:noWrap/>
            <w:vAlign w:val="bottom"/>
            <w:hideMark/>
          </w:tcPr>
          <w:p w14:paraId="5F9351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3B092437" w14:textId="77777777" w:rsidTr="00ED0631">
        <w:trPr>
          <w:trHeight w:val="315"/>
        </w:trPr>
        <w:tc>
          <w:tcPr>
            <w:tcW w:w="1630" w:type="dxa"/>
            <w:tcBorders>
              <w:top w:val="nil"/>
              <w:left w:val="nil"/>
              <w:bottom w:val="nil"/>
              <w:right w:val="nil"/>
            </w:tcBorders>
            <w:shd w:val="clear" w:color="auto" w:fill="auto"/>
            <w:noWrap/>
            <w:vAlign w:val="bottom"/>
            <w:hideMark/>
          </w:tcPr>
          <w:p w14:paraId="1CAE45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07" w:type="dxa"/>
            <w:tcBorders>
              <w:top w:val="nil"/>
              <w:left w:val="nil"/>
              <w:bottom w:val="nil"/>
              <w:right w:val="nil"/>
            </w:tcBorders>
            <w:shd w:val="clear" w:color="auto" w:fill="auto"/>
            <w:noWrap/>
            <w:vAlign w:val="bottom"/>
            <w:hideMark/>
          </w:tcPr>
          <w:p w14:paraId="64A35FE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6AA3B8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nil"/>
              <w:right w:val="nil"/>
            </w:tcBorders>
            <w:shd w:val="clear" w:color="auto" w:fill="auto"/>
            <w:noWrap/>
            <w:vAlign w:val="bottom"/>
            <w:hideMark/>
          </w:tcPr>
          <w:p w14:paraId="25FD0D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587" w:type="dxa"/>
            <w:tcBorders>
              <w:top w:val="nil"/>
              <w:left w:val="nil"/>
              <w:bottom w:val="nil"/>
              <w:right w:val="nil"/>
            </w:tcBorders>
            <w:shd w:val="clear" w:color="auto" w:fill="auto"/>
            <w:noWrap/>
            <w:vAlign w:val="bottom"/>
            <w:hideMark/>
          </w:tcPr>
          <w:p w14:paraId="7806E1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BC7335F" w14:textId="77777777" w:rsidTr="00ED0631">
        <w:trPr>
          <w:trHeight w:val="315"/>
        </w:trPr>
        <w:tc>
          <w:tcPr>
            <w:tcW w:w="1630" w:type="dxa"/>
            <w:tcBorders>
              <w:top w:val="nil"/>
              <w:left w:val="nil"/>
              <w:bottom w:val="nil"/>
              <w:right w:val="nil"/>
            </w:tcBorders>
            <w:shd w:val="clear" w:color="auto" w:fill="auto"/>
            <w:noWrap/>
            <w:vAlign w:val="bottom"/>
            <w:hideMark/>
          </w:tcPr>
          <w:p w14:paraId="68BF1B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07" w:type="dxa"/>
            <w:tcBorders>
              <w:top w:val="nil"/>
              <w:left w:val="nil"/>
              <w:bottom w:val="nil"/>
              <w:right w:val="nil"/>
            </w:tcBorders>
            <w:shd w:val="clear" w:color="auto" w:fill="auto"/>
            <w:noWrap/>
            <w:vAlign w:val="bottom"/>
            <w:hideMark/>
          </w:tcPr>
          <w:p w14:paraId="067D05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923" w:type="dxa"/>
            <w:tcBorders>
              <w:top w:val="nil"/>
              <w:left w:val="nil"/>
              <w:bottom w:val="nil"/>
              <w:right w:val="nil"/>
            </w:tcBorders>
            <w:shd w:val="clear" w:color="auto" w:fill="auto"/>
            <w:noWrap/>
            <w:vAlign w:val="bottom"/>
            <w:hideMark/>
          </w:tcPr>
          <w:p w14:paraId="055957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387" w:type="dxa"/>
            <w:tcBorders>
              <w:top w:val="nil"/>
              <w:left w:val="nil"/>
              <w:bottom w:val="nil"/>
              <w:right w:val="nil"/>
            </w:tcBorders>
            <w:shd w:val="clear" w:color="auto" w:fill="auto"/>
            <w:noWrap/>
            <w:vAlign w:val="bottom"/>
            <w:hideMark/>
          </w:tcPr>
          <w:p w14:paraId="4F74F9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55 </w:t>
            </w:r>
          </w:p>
        </w:tc>
        <w:tc>
          <w:tcPr>
            <w:tcW w:w="1587" w:type="dxa"/>
            <w:tcBorders>
              <w:top w:val="nil"/>
              <w:left w:val="nil"/>
              <w:bottom w:val="nil"/>
              <w:right w:val="nil"/>
            </w:tcBorders>
            <w:shd w:val="clear" w:color="auto" w:fill="auto"/>
            <w:noWrap/>
            <w:vAlign w:val="bottom"/>
            <w:hideMark/>
          </w:tcPr>
          <w:p w14:paraId="558C20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r>
      <w:tr w:rsidR="00AC362E" w:rsidRPr="00491EF1" w14:paraId="49682EE0" w14:textId="77777777" w:rsidTr="00ED0631">
        <w:trPr>
          <w:trHeight w:val="315"/>
        </w:trPr>
        <w:tc>
          <w:tcPr>
            <w:tcW w:w="1630" w:type="dxa"/>
            <w:tcBorders>
              <w:top w:val="nil"/>
              <w:left w:val="nil"/>
              <w:bottom w:val="single" w:sz="4" w:space="0" w:color="auto"/>
              <w:right w:val="nil"/>
            </w:tcBorders>
            <w:shd w:val="clear" w:color="auto" w:fill="auto"/>
            <w:noWrap/>
            <w:vAlign w:val="bottom"/>
            <w:hideMark/>
          </w:tcPr>
          <w:p w14:paraId="240ACD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07" w:type="dxa"/>
            <w:tcBorders>
              <w:top w:val="nil"/>
              <w:left w:val="nil"/>
              <w:bottom w:val="single" w:sz="4" w:space="0" w:color="auto"/>
              <w:right w:val="nil"/>
            </w:tcBorders>
            <w:shd w:val="clear" w:color="auto" w:fill="auto"/>
            <w:noWrap/>
            <w:vAlign w:val="bottom"/>
            <w:hideMark/>
          </w:tcPr>
          <w:p w14:paraId="4D6D44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923" w:type="dxa"/>
            <w:tcBorders>
              <w:top w:val="nil"/>
              <w:left w:val="nil"/>
              <w:bottom w:val="single" w:sz="4" w:space="0" w:color="auto"/>
              <w:right w:val="nil"/>
            </w:tcBorders>
            <w:shd w:val="clear" w:color="auto" w:fill="auto"/>
            <w:noWrap/>
            <w:vAlign w:val="bottom"/>
            <w:hideMark/>
          </w:tcPr>
          <w:p w14:paraId="73FA50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single" w:sz="4" w:space="0" w:color="auto"/>
              <w:right w:val="nil"/>
            </w:tcBorders>
            <w:shd w:val="clear" w:color="auto" w:fill="auto"/>
            <w:noWrap/>
            <w:vAlign w:val="bottom"/>
            <w:hideMark/>
          </w:tcPr>
          <w:p w14:paraId="64F4E9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87" w:type="dxa"/>
            <w:tcBorders>
              <w:top w:val="nil"/>
              <w:left w:val="nil"/>
              <w:bottom w:val="single" w:sz="4" w:space="0" w:color="auto"/>
              <w:right w:val="nil"/>
            </w:tcBorders>
            <w:shd w:val="clear" w:color="auto" w:fill="auto"/>
            <w:noWrap/>
            <w:vAlign w:val="bottom"/>
            <w:hideMark/>
          </w:tcPr>
          <w:p w14:paraId="22B308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BE2CDB4" w14:textId="77777777" w:rsidTr="00ED0631">
        <w:trPr>
          <w:trHeight w:val="315"/>
        </w:trPr>
        <w:tc>
          <w:tcPr>
            <w:tcW w:w="1630" w:type="dxa"/>
            <w:tcBorders>
              <w:top w:val="nil"/>
              <w:left w:val="nil"/>
              <w:bottom w:val="single" w:sz="4" w:space="0" w:color="auto"/>
              <w:right w:val="nil"/>
            </w:tcBorders>
            <w:shd w:val="clear" w:color="auto" w:fill="auto"/>
            <w:noWrap/>
            <w:vAlign w:val="bottom"/>
            <w:hideMark/>
          </w:tcPr>
          <w:p w14:paraId="3CDB15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07" w:type="dxa"/>
            <w:tcBorders>
              <w:top w:val="nil"/>
              <w:left w:val="nil"/>
              <w:bottom w:val="single" w:sz="4" w:space="0" w:color="auto"/>
              <w:right w:val="nil"/>
            </w:tcBorders>
            <w:shd w:val="clear" w:color="auto" w:fill="auto"/>
            <w:noWrap/>
            <w:vAlign w:val="bottom"/>
            <w:hideMark/>
          </w:tcPr>
          <w:p w14:paraId="3BCFE116"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c>
          <w:tcPr>
            <w:tcW w:w="1923" w:type="dxa"/>
            <w:tcBorders>
              <w:top w:val="nil"/>
              <w:left w:val="nil"/>
              <w:bottom w:val="single" w:sz="4" w:space="0" w:color="auto"/>
              <w:right w:val="nil"/>
            </w:tcBorders>
            <w:shd w:val="clear" w:color="auto" w:fill="auto"/>
            <w:noWrap/>
            <w:vAlign w:val="bottom"/>
            <w:hideMark/>
          </w:tcPr>
          <w:p w14:paraId="30FAE155"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26</w:t>
            </w:r>
          </w:p>
        </w:tc>
        <w:tc>
          <w:tcPr>
            <w:tcW w:w="1387" w:type="dxa"/>
            <w:tcBorders>
              <w:top w:val="nil"/>
              <w:left w:val="nil"/>
              <w:bottom w:val="single" w:sz="4" w:space="0" w:color="auto"/>
              <w:right w:val="nil"/>
            </w:tcBorders>
            <w:shd w:val="clear" w:color="auto" w:fill="auto"/>
            <w:noWrap/>
            <w:vAlign w:val="bottom"/>
            <w:hideMark/>
          </w:tcPr>
          <w:p w14:paraId="23A359A4"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92</w:t>
            </w:r>
          </w:p>
        </w:tc>
        <w:tc>
          <w:tcPr>
            <w:tcW w:w="1587" w:type="dxa"/>
            <w:tcBorders>
              <w:top w:val="nil"/>
              <w:left w:val="nil"/>
              <w:bottom w:val="single" w:sz="4" w:space="0" w:color="auto"/>
              <w:right w:val="nil"/>
            </w:tcBorders>
            <w:shd w:val="clear" w:color="auto" w:fill="auto"/>
            <w:noWrap/>
            <w:vAlign w:val="bottom"/>
            <w:hideMark/>
          </w:tcPr>
          <w:p w14:paraId="4CB2A14C"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28</w:t>
            </w:r>
          </w:p>
        </w:tc>
      </w:tr>
    </w:tbl>
    <w:p w14:paraId="46FA5E36"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26: Teachers' rating of the change in student performance by island type</w:t>
      </w:r>
    </w:p>
    <w:tbl>
      <w:tblPr>
        <w:tblW w:w="7446" w:type="dxa"/>
        <w:tblInd w:w="93" w:type="dxa"/>
        <w:tblLook w:val="04A0" w:firstRow="1" w:lastRow="0" w:firstColumn="1" w:lastColumn="0" w:noHBand="0" w:noVBand="1"/>
      </w:tblPr>
      <w:tblGrid>
        <w:gridCol w:w="1242"/>
        <w:gridCol w:w="1307"/>
        <w:gridCol w:w="1923"/>
        <w:gridCol w:w="1387"/>
        <w:gridCol w:w="1587"/>
      </w:tblGrid>
      <w:tr w:rsidR="00AC362E" w:rsidRPr="00491EF1" w14:paraId="42B5D1FC"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0DFD262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nil"/>
              <w:right w:val="nil"/>
            </w:tcBorders>
            <w:shd w:val="clear" w:color="auto" w:fill="auto"/>
            <w:noWrap/>
            <w:vAlign w:val="bottom"/>
            <w:hideMark/>
          </w:tcPr>
          <w:p w14:paraId="43AD1B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nil"/>
              <w:right w:val="nil"/>
            </w:tcBorders>
            <w:shd w:val="clear" w:color="auto" w:fill="auto"/>
            <w:noWrap/>
            <w:vAlign w:val="bottom"/>
            <w:hideMark/>
          </w:tcPr>
          <w:p w14:paraId="63116B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nil"/>
              <w:right w:val="nil"/>
            </w:tcBorders>
            <w:shd w:val="clear" w:color="auto" w:fill="auto"/>
            <w:noWrap/>
            <w:vAlign w:val="bottom"/>
            <w:hideMark/>
          </w:tcPr>
          <w:p w14:paraId="2E4E80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nil"/>
              <w:right w:val="nil"/>
            </w:tcBorders>
            <w:shd w:val="clear" w:color="auto" w:fill="auto"/>
            <w:noWrap/>
            <w:vAlign w:val="bottom"/>
            <w:hideMark/>
          </w:tcPr>
          <w:p w14:paraId="14A96C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0352D873"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544580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07" w:type="dxa"/>
            <w:tcBorders>
              <w:top w:val="single" w:sz="4" w:space="0" w:color="auto"/>
              <w:left w:val="nil"/>
              <w:bottom w:val="nil"/>
              <w:right w:val="nil"/>
            </w:tcBorders>
            <w:shd w:val="clear" w:color="auto" w:fill="auto"/>
            <w:noWrap/>
            <w:vAlign w:val="bottom"/>
            <w:hideMark/>
          </w:tcPr>
          <w:p w14:paraId="097099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 </w:t>
            </w:r>
          </w:p>
        </w:tc>
        <w:tc>
          <w:tcPr>
            <w:tcW w:w="1923" w:type="dxa"/>
            <w:tcBorders>
              <w:top w:val="single" w:sz="4" w:space="0" w:color="auto"/>
              <w:left w:val="nil"/>
              <w:bottom w:val="nil"/>
              <w:right w:val="nil"/>
            </w:tcBorders>
            <w:shd w:val="clear" w:color="auto" w:fill="auto"/>
            <w:noWrap/>
            <w:vAlign w:val="bottom"/>
            <w:hideMark/>
          </w:tcPr>
          <w:p w14:paraId="3FCE2D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387" w:type="dxa"/>
            <w:tcBorders>
              <w:top w:val="single" w:sz="4" w:space="0" w:color="auto"/>
              <w:left w:val="nil"/>
              <w:bottom w:val="nil"/>
              <w:right w:val="nil"/>
            </w:tcBorders>
            <w:shd w:val="clear" w:color="auto" w:fill="auto"/>
            <w:noWrap/>
            <w:vAlign w:val="bottom"/>
            <w:hideMark/>
          </w:tcPr>
          <w:p w14:paraId="63AFCD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 </w:t>
            </w:r>
          </w:p>
        </w:tc>
        <w:tc>
          <w:tcPr>
            <w:tcW w:w="1587" w:type="dxa"/>
            <w:tcBorders>
              <w:top w:val="single" w:sz="4" w:space="0" w:color="auto"/>
              <w:left w:val="nil"/>
              <w:bottom w:val="nil"/>
              <w:right w:val="nil"/>
            </w:tcBorders>
            <w:shd w:val="clear" w:color="auto" w:fill="auto"/>
            <w:noWrap/>
            <w:vAlign w:val="bottom"/>
            <w:hideMark/>
          </w:tcPr>
          <w:p w14:paraId="6A7E1E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r>
      <w:tr w:rsidR="00AC362E" w:rsidRPr="00491EF1" w14:paraId="6873A4EE" w14:textId="77777777" w:rsidTr="00ED0631">
        <w:trPr>
          <w:trHeight w:val="315"/>
        </w:trPr>
        <w:tc>
          <w:tcPr>
            <w:tcW w:w="1242" w:type="dxa"/>
            <w:tcBorders>
              <w:top w:val="nil"/>
              <w:left w:val="nil"/>
              <w:bottom w:val="nil"/>
              <w:right w:val="nil"/>
            </w:tcBorders>
            <w:shd w:val="clear" w:color="auto" w:fill="auto"/>
            <w:noWrap/>
            <w:vAlign w:val="bottom"/>
            <w:hideMark/>
          </w:tcPr>
          <w:p w14:paraId="1C4668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07" w:type="dxa"/>
            <w:tcBorders>
              <w:top w:val="nil"/>
              <w:left w:val="nil"/>
              <w:bottom w:val="nil"/>
              <w:right w:val="nil"/>
            </w:tcBorders>
            <w:shd w:val="clear" w:color="auto" w:fill="auto"/>
            <w:noWrap/>
            <w:vAlign w:val="bottom"/>
            <w:hideMark/>
          </w:tcPr>
          <w:p w14:paraId="5421F8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923" w:type="dxa"/>
            <w:tcBorders>
              <w:top w:val="nil"/>
              <w:left w:val="nil"/>
              <w:bottom w:val="nil"/>
              <w:right w:val="nil"/>
            </w:tcBorders>
            <w:shd w:val="clear" w:color="auto" w:fill="auto"/>
            <w:noWrap/>
            <w:vAlign w:val="bottom"/>
            <w:hideMark/>
          </w:tcPr>
          <w:p w14:paraId="363C512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87" w:type="dxa"/>
            <w:tcBorders>
              <w:top w:val="nil"/>
              <w:left w:val="nil"/>
              <w:bottom w:val="nil"/>
              <w:right w:val="nil"/>
            </w:tcBorders>
            <w:shd w:val="clear" w:color="auto" w:fill="auto"/>
            <w:noWrap/>
            <w:vAlign w:val="bottom"/>
            <w:hideMark/>
          </w:tcPr>
          <w:p w14:paraId="430283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587" w:type="dxa"/>
            <w:tcBorders>
              <w:top w:val="nil"/>
              <w:left w:val="nil"/>
              <w:bottom w:val="nil"/>
              <w:right w:val="nil"/>
            </w:tcBorders>
            <w:shd w:val="clear" w:color="auto" w:fill="auto"/>
            <w:noWrap/>
            <w:vAlign w:val="bottom"/>
            <w:hideMark/>
          </w:tcPr>
          <w:p w14:paraId="527834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450BB88F" w14:textId="77777777" w:rsidTr="00ED0631">
        <w:trPr>
          <w:trHeight w:val="315"/>
        </w:trPr>
        <w:tc>
          <w:tcPr>
            <w:tcW w:w="1242" w:type="dxa"/>
            <w:tcBorders>
              <w:top w:val="nil"/>
              <w:left w:val="nil"/>
              <w:bottom w:val="nil"/>
              <w:right w:val="nil"/>
            </w:tcBorders>
            <w:shd w:val="clear" w:color="auto" w:fill="auto"/>
            <w:noWrap/>
            <w:vAlign w:val="bottom"/>
            <w:hideMark/>
          </w:tcPr>
          <w:p w14:paraId="378B36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07" w:type="dxa"/>
            <w:tcBorders>
              <w:top w:val="nil"/>
              <w:left w:val="nil"/>
              <w:bottom w:val="nil"/>
              <w:right w:val="nil"/>
            </w:tcBorders>
            <w:shd w:val="clear" w:color="auto" w:fill="auto"/>
            <w:noWrap/>
            <w:vAlign w:val="bottom"/>
            <w:hideMark/>
          </w:tcPr>
          <w:p w14:paraId="72B0BF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923" w:type="dxa"/>
            <w:tcBorders>
              <w:top w:val="nil"/>
              <w:left w:val="nil"/>
              <w:bottom w:val="nil"/>
              <w:right w:val="nil"/>
            </w:tcBorders>
            <w:shd w:val="clear" w:color="auto" w:fill="auto"/>
            <w:noWrap/>
            <w:vAlign w:val="bottom"/>
            <w:hideMark/>
          </w:tcPr>
          <w:p w14:paraId="01BA58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387" w:type="dxa"/>
            <w:tcBorders>
              <w:top w:val="nil"/>
              <w:left w:val="nil"/>
              <w:bottom w:val="nil"/>
              <w:right w:val="nil"/>
            </w:tcBorders>
            <w:shd w:val="clear" w:color="auto" w:fill="auto"/>
            <w:noWrap/>
            <w:vAlign w:val="bottom"/>
            <w:hideMark/>
          </w:tcPr>
          <w:p w14:paraId="64E17E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55 </w:t>
            </w:r>
          </w:p>
        </w:tc>
        <w:tc>
          <w:tcPr>
            <w:tcW w:w="1587" w:type="dxa"/>
            <w:tcBorders>
              <w:top w:val="nil"/>
              <w:left w:val="nil"/>
              <w:bottom w:val="nil"/>
              <w:right w:val="nil"/>
            </w:tcBorders>
            <w:shd w:val="clear" w:color="auto" w:fill="auto"/>
            <w:noWrap/>
            <w:vAlign w:val="bottom"/>
            <w:hideMark/>
          </w:tcPr>
          <w:p w14:paraId="39C13B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r>
      <w:tr w:rsidR="00AC362E" w:rsidRPr="00491EF1" w14:paraId="03ADB921"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6DB40E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07" w:type="dxa"/>
            <w:tcBorders>
              <w:top w:val="single" w:sz="4" w:space="0" w:color="auto"/>
              <w:left w:val="nil"/>
              <w:bottom w:val="single" w:sz="4" w:space="0" w:color="auto"/>
              <w:right w:val="nil"/>
            </w:tcBorders>
            <w:shd w:val="clear" w:color="auto" w:fill="auto"/>
            <w:noWrap/>
            <w:vAlign w:val="bottom"/>
            <w:hideMark/>
          </w:tcPr>
          <w:p w14:paraId="2F9978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52 </w:t>
            </w:r>
          </w:p>
        </w:tc>
        <w:tc>
          <w:tcPr>
            <w:tcW w:w="1923" w:type="dxa"/>
            <w:tcBorders>
              <w:top w:val="single" w:sz="4" w:space="0" w:color="auto"/>
              <w:left w:val="nil"/>
              <w:bottom w:val="single" w:sz="4" w:space="0" w:color="auto"/>
              <w:right w:val="nil"/>
            </w:tcBorders>
            <w:shd w:val="clear" w:color="auto" w:fill="auto"/>
            <w:noWrap/>
            <w:vAlign w:val="bottom"/>
            <w:hideMark/>
          </w:tcPr>
          <w:p w14:paraId="2D9FAD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26 </w:t>
            </w:r>
          </w:p>
        </w:tc>
        <w:tc>
          <w:tcPr>
            <w:tcW w:w="1387" w:type="dxa"/>
            <w:tcBorders>
              <w:top w:val="single" w:sz="4" w:space="0" w:color="auto"/>
              <w:left w:val="nil"/>
              <w:bottom w:val="single" w:sz="4" w:space="0" w:color="auto"/>
              <w:right w:val="nil"/>
            </w:tcBorders>
            <w:shd w:val="clear" w:color="auto" w:fill="auto"/>
            <w:noWrap/>
            <w:vAlign w:val="bottom"/>
            <w:hideMark/>
          </w:tcPr>
          <w:p w14:paraId="61E2BB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92 </w:t>
            </w:r>
          </w:p>
        </w:tc>
        <w:tc>
          <w:tcPr>
            <w:tcW w:w="1587" w:type="dxa"/>
            <w:tcBorders>
              <w:top w:val="single" w:sz="4" w:space="0" w:color="auto"/>
              <w:left w:val="nil"/>
              <w:bottom w:val="single" w:sz="4" w:space="0" w:color="auto"/>
              <w:right w:val="nil"/>
            </w:tcBorders>
            <w:shd w:val="clear" w:color="auto" w:fill="auto"/>
            <w:noWrap/>
            <w:vAlign w:val="bottom"/>
            <w:hideMark/>
          </w:tcPr>
          <w:p w14:paraId="52362E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28 </w:t>
            </w:r>
          </w:p>
        </w:tc>
      </w:tr>
    </w:tbl>
    <w:p w14:paraId="3AA3CDE0"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27: Change in how informed teachers consider the community is about education improvement by island</w:t>
      </w:r>
    </w:p>
    <w:tbl>
      <w:tblPr>
        <w:tblW w:w="7400" w:type="dxa"/>
        <w:tblInd w:w="93" w:type="dxa"/>
        <w:tblLook w:val="04A0" w:firstRow="1" w:lastRow="0" w:firstColumn="1" w:lastColumn="0" w:noHBand="0" w:noVBand="1"/>
      </w:tblPr>
      <w:tblGrid>
        <w:gridCol w:w="1708"/>
        <w:gridCol w:w="1369"/>
        <w:gridCol w:w="1140"/>
        <w:gridCol w:w="1521"/>
        <w:gridCol w:w="1662"/>
      </w:tblGrid>
      <w:tr w:rsidR="00AC362E" w:rsidRPr="00491EF1" w14:paraId="158BD3CB" w14:textId="77777777" w:rsidTr="00ED0631">
        <w:trPr>
          <w:trHeight w:val="315"/>
        </w:trPr>
        <w:tc>
          <w:tcPr>
            <w:tcW w:w="1708" w:type="dxa"/>
            <w:tcBorders>
              <w:top w:val="single" w:sz="4" w:space="0" w:color="auto"/>
              <w:left w:val="nil"/>
              <w:bottom w:val="single" w:sz="4" w:space="0" w:color="auto"/>
              <w:right w:val="nil"/>
            </w:tcBorders>
            <w:shd w:val="clear" w:color="auto" w:fill="auto"/>
            <w:noWrap/>
            <w:vAlign w:val="bottom"/>
            <w:hideMark/>
          </w:tcPr>
          <w:p w14:paraId="391DEEA1"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69" w:type="dxa"/>
            <w:tcBorders>
              <w:top w:val="single" w:sz="4" w:space="0" w:color="auto"/>
              <w:left w:val="nil"/>
              <w:bottom w:val="single" w:sz="4" w:space="0" w:color="auto"/>
              <w:right w:val="nil"/>
            </w:tcBorders>
            <w:shd w:val="clear" w:color="auto" w:fill="auto"/>
            <w:noWrap/>
            <w:vAlign w:val="bottom"/>
            <w:hideMark/>
          </w:tcPr>
          <w:p w14:paraId="4C5871A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140" w:type="dxa"/>
            <w:tcBorders>
              <w:top w:val="single" w:sz="4" w:space="0" w:color="auto"/>
              <w:left w:val="nil"/>
              <w:bottom w:val="single" w:sz="4" w:space="0" w:color="auto"/>
              <w:right w:val="nil"/>
            </w:tcBorders>
            <w:shd w:val="clear" w:color="auto" w:fill="auto"/>
            <w:noWrap/>
            <w:vAlign w:val="bottom"/>
            <w:hideMark/>
          </w:tcPr>
          <w:p w14:paraId="780DD5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Better </w:t>
            </w:r>
          </w:p>
        </w:tc>
        <w:tc>
          <w:tcPr>
            <w:tcW w:w="1521" w:type="dxa"/>
            <w:tcBorders>
              <w:top w:val="single" w:sz="4" w:space="0" w:color="auto"/>
              <w:left w:val="nil"/>
              <w:bottom w:val="single" w:sz="4" w:space="0" w:color="auto"/>
              <w:right w:val="nil"/>
            </w:tcBorders>
            <w:shd w:val="clear" w:color="auto" w:fill="auto"/>
            <w:noWrap/>
            <w:vAlign w:val="bottom"/>
            <w:hideMark/>
          </w:tcPr>
          <w:p w14:paraId="45D234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Slightly better </w:t>
            </w:r>
          </w:p>
        </w:tc>
        <w:tc>
          <w:tcPr>
            <w:tcW w:w="1662" w:type="dxa"/>
            <w:tcBorders>
              <w:top w:val="single" w:sz="4" w:space="0" w:color="auto"/>
              <w:left w:val="nil"/>
              <w:bottom w:val="single" w:sz="4" w:space="0" w:color="auto"/>
              <w:right w:val="nil"/>
            </w:tcBorders>
            <w:shd w:val="clear" w:color="auto" w:fill="auto"/>
            <w:noWrap/>
            <w:vAlign w:val="bottom"/>
            <w:hideMark/>
          </w:tcPr>
          <w:p w14:paraId="2C42B0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585B7236" w14:textId="77777777" w:rsidTr="00ED0631">
        <w:trPr>
          <w:trHeight w:val="315"/>
        </w:trPr>
        <w:tc>
          <w:tcPr>
            <w:tcW w:w="1708" w:type="dxa"/>
            <w:tcBorders>
              <w:top w:val="nil"/>
              <w:left w:val="nil"/>
              <w:bottom w:val="nil"/>
              <w:right w:val="nil"/>
            </w:tcBorders>
            <w:shd w:val="clear" w:color="auto" w:fill="auto"/>
            <w:noWrap/>
            <w:vAlign w:val="bottom"/>
            <w:hideMark/>
          </w:tcPr>
          <w:p w14:paraId="3048C0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69" w:type="dxa"/>
            <w:tcBorders>
              <w:top w:val="nil"/>
              <w:left w:val="nil"/>
              <w:bottom w:val="nil"/>
              <w:right w:val="nil"/>
            </w:tcBorders>
            <w:shd w:val="clear" w:color="auto" w:fill="auto"/>
            <w:noWrap/>
            <w:vAlign w:val="bottom"/>
            <w:hideMark/>
          </w:tcPr>
          <w:p w14:paraId="722013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140" w:type="dxa"/>
            <w:tcBorders>
              <w:top w:val="nil"/>
              <w:left w:val="nil"/>
              <w:bottom w:val="nil"/>
              <w:right w:val="nil"/>
            </w:tcBorders>
            <w:shd w:val="clear" w:color="auto" w:fill="auto"/>
            <w:noWrap/>
            <w:vAlign w:val="bottom"/>
            <w:hideMark/>
          </w:tcPr>
          <w:p w14:paraId="539650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521" w:type="dxa"/>
            <w:tcBorders>
              <w:top w:val="nil"/>
              <w:left w:val="nil"/>
              <w:bottom w:val="nil"/>
              <w:right w:val="nil"/>
            </w:tcBorders>
            <w:shd w:val="clear" w:color="auto" w:fill="auto"/>
            <w:noWrap/>
            <w:vAlign w:val="bottom"/>
            <w:hideMark/>
          </w:tcPr>
          <w:p w14:paraId="4892B4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662" w:type="dxa"/>
            <w:tcBorders>
              <w:top w:val="nil"/>
              <w:left w:val="nil"/>
              <w:bottom w:val="nil"/>
              <w:right w:val="nil"/>
            </w:tcBorders>
            <w:shd w:val="clear" w:color="auto" w:fill="auto"/>
            <w:noWrap/>
            <w:vAlign w:val="bottom"/>
            <w:hideMark/>
          </w:tcPr>
          <w:p w14:paraId="3F270E4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52DC67A" w14:textId="77777777" w:rsidTr="00ED0631">
        <w:trPr>
          <w:trHeight w:val="315"/>
        </w:trPr>
        <w:tc>
          <w:tcPr>
            <w:tcW w:w="1708" w:type="dxa"/>
            <w:tcBorders>
              <w:top w:val="nil"/>
              <w:left w:val="nil"/>
              <w:bottom w:val="nil"/>
              <w:right w:val="nil"/>
            </w:tcBorders>
            <w:shd w:val="clear" w:color="auto" w:fill="auto"/>
            <w:noWrap/>
            <w:vAlign w:val="bottom"/>
            <w:hideMark/>
          </w:tcPr>
          <w:p w14:paraId="473979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69" w:type="dxa"/>
            <w:tcBorders>
              <w:top w:val="nil"/>
              <w:left w:val="nil"/>
              <w:bottom w:val="nil"/>
              <w:right w:val="nil"/>
            </w:tcBorders>
            <w:shd w:val="clear" w:color="auto" w:fill="auto"/>
            <w:noWrap/>
            <w:vAlign w:val="bottom"/>
            <w:hideMark/>
          </w:tcPr>
          <w:p w14:paraId="02EB95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140" w:type="dxa"/>
            <w:tcBorders>
              <w:top w:val="nil"/>
              <w:left w:val="nil"/>
              <w:bottom w:val="nil"/>
              <w:right w:val="nil"/>
            </w:tcBorders>
            <w:shd w:val="clear" w:color="auto" w:fill="auto"/>
            <w:noWrap/>
            <w:vAlign w:val="bottom"/>
            <w:hideMark/>
          </w:tcPr>
          <w:p w14:paraId="22DFF3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521" w:type="dxa"/>
            <w:tcBorders>
              <w:top w:val="nil"/>
              <w:left w:val="nil"/>
              <w:bottom w:val="nil"/>
              <w:right w:val="nil"/>
            </w:tcBorders>
            <w:shd w:val="clear" w:color="auto" w:fill="auto"/>
            <w:noWrap/>
            <w:vAlign w:val="bottom"/>
            <w:hideMark/>
          </w:tcPr>
          <w:p w14:paraId="0486CD6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662" w:type="dxa"/>
            <w:tcBorders>
              <w:top w:val="nil"/>
              <w:left w:val="nil"/>
              <w:bottom w:val="nil"/>
              <w:right w:val="nil"/>
            </w:tcBorders>
            <w:shd w:val="clear" w:color="auto" w:fill="auto"/>
            <w:noWrap/>
            <w:vAlign w:val="bottom"/>
            <w:hideMark/>
          </w:tcPr>
          <w:p w14:paraId="428220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3398249C" w14:textId="77777777" w:rsidTr="00ED0631">
        <w:trPr>
          <w:trHeight w:val="315"/>
        </w:trPr>
        <w:tc>
          <w:tcPr>
            <w:tcW w:w="1708" w:type="dxa"/>
            <w:tcBorders>
              <w:top w:val="nil"/>
              <w:left w:val="nil"/>
              <w:bottom w:val="nil"/>
              <w:right w:val="nil"/>
            </w:tcBorders>
            <w:shd w:val="clear" w:color="auto" w:fill="auto"/>
            <w:noWrap/>
            <w:vAlign w:val="bottom"/>
            <w:hideMark/>
          </w:tcPr>
          <w:p w14:paraId="182400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69" w:type="dxa"/>
            <w:tcBorders>
              <w:top w:val="nil"/>
              <w:left w:val="nil"/>
              <w:bottom w:val="nil"/>
              <w:right w:val="nil"/>
            </w:tcBorders>
            <w:shd w:val="clear" w:color="auto" w:fill="auto"/>
            <w:noWrap/>
            <w:vAlign w:val="bottom"/>
            <w:hideMark/>
          </w:tcPr>
          <w:p w14:paraId="383121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140" w:type="dxa"/>
            <w:tcBorders>
              <w:top w:val="nil"/>
              <w:left w:val="nil"/>
              <w:bottom w:val="nil"/>
              <w:right w:val="nil"/>
            </w:tcBorders>
            <w:shd w:val="clear" w:color="auto" w:fill="auto"/>
            <w:noWrap/>
            <w:vAlign w:val="bottom"/>
            <w:hideMark/>
          </w:tcPr>
          <w:p w14:paraId="4FE7A5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521" w:type="dxa"/>
            <w:tcBorders>
              <w:top w:val="nil"/>
              <w:left w:val="nil"/>
              <w:bottom w:val="nil"/>
              <w:right w:val="nil"/>
            </w:tcBorders>
            <w:shd w:val="clear" w:color="auto" w:fill="auto"/>
            <w:noWrap/>
            <w:vAlign w:val="bottom"/>
            <w:hideMark/>
          </w:tcPr>
          <w:p w14:paraId="04B2C9D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662" w:type="dxa"/>
            <w:tcBorders>
              <w:top w:val="nil"/>
              <w:left w:val="nil"/>
              <w:bottom w:val="nil"/>
              <w:right w:val="nil"/>
            </w:tcBorders>
            <w:shd w:val="clear" w:color="auto" w:fill="auto"/>
            <w:noWrap/>
            <w:vAlign w:val="bottom"/>
            <w:hideMark/>
          </w:tcPr>
          <w:p w14:paraId="59F553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543B100E" w14:textId="77777777" w:rsidTr="00ED0631">
        <w:trPr>
          <w:trHeight w:val="315"/>
        </w:trPr>
        <w:tc>
          <w:tcPr>
            <w:tcW w:w="1708" w:type="dxa"/>
            <w:tcBorders>
              <w:top w:val="nil"/>
              <w:left w:val="nil"/>
              <w:bottom w:val="nil"/>
              <w:right w:val="nil"/>
            </w:tcBorders>
            <w:shd w:val="clear" w:color="auto" w:fill="auto"/>
            <w:noWrap/>
            <w:vAlign w:val="bottom"/>
            <w:hideMark/>
          </w:tcPr>
          <w:p w14:paraId="6EC14B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69" w:type="dxa"/>
            <w:tcBorders>
              <w:top w:val="nil"/>
              <w:left w:val="nil"/>
              <w:bottom w:val="nil"/>
              <w:right w:val="nil"/>
            </w:tcBorders>
            <w:shd w:val="clear" w:color="auto" w:fill="auto"/>
            <w:noWrap/>
            <w:vAlign w:val="bottom"/>
            <w:hideMark/>
          </w:tcPr>
          <w:p w14:paraId="08864DEC"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40" w:type="dxa"/>
            <w:tcBorders>
              <w:top w:val="nil"/>
              <w:left w:val="nil"/>
              <w:bottom w:val="nil"/>
              <w:right w:val="nil"/>
            </w:tcBorders>
            <w:shd w:val="clear" w:color="auto" w:fill="auto"/>
            <w:noWrap/>
            <w:vAlign w:val="bottom"/>
            <w:hideMark/>
          </w:tcPr>
          <w:p w14:paraId="236804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21" w:type="dxa"/>
            <w:tcBorders>
              <w:top w:val="nil"/>
              <w:left w:val="nil"/>
              <w:bottom w:val="nil"/>
              <w:right w:val="nil"/>
            </w:tcBorders>
            <w:shd w:val="clear" w:color="auto" w:fill="auto"/>
            <w:noWrap/>
            <w:vAlign w:val="bottom"/>
            <w:hideMark/>
          </w:tcPr>
          <w:p w14:paraId="688D94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662" w:type="dxa"/>
            <w:tcBorders>
              <w:top w:val="nil"/>
              <w:left w:val="nil"/>
              <w:bottom w:val="nil"/>
              <w:right w:val="nil"/>
            </w:tcBorders>
            <w:shd w:val="clear" w:color="auto" w:fill="auto"/>
            <w:noWrap/>
            <w:vAlign w:val="bottom"/>
            <w:hideMark/>
          </w:tcPr>
          <w:p w14:paraId="1A8AA7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4D947F38" w14:textId="77777777" w:rsidTr="00ED0631">
        <w:trPr>
          <w:trHeight w:val="315"/>
        </w:trPr>
        <w:tc>
          <w:tcPr>
            <w:tcW w:w="1708" w:type="dxa"/>
            <w:tcBorders>
              <w:top w:val="nil"/>
              <w:left w:val="nil"/>
              <w:bottom w:val="nil"/>
              <w:right w:val="nil"/>
            </w:tcBorders>
            <w:shd w:val="clear" w:color="auto" w:fill="auto"/>
            <w:noWrap/>
            <w:vAlign w:val="bottom"/>
            <w:hideMark/>
          </w:tcPr>
          <w:p w14:paraId="78E3CC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69" w:type="dxa"/>
            <w:tcBorders>
              <w:top w:val="nil"/>
              <w:left w:val="nil"/>
              <w:bottom w:val="nil"/>
              <w:right w:val="nil"/>
            </w:tcBorders>
            <w:shd w:val="clear" w:color="auto" w:fill="auto"/>
            <w:noWrap/>
            <w:vAlign w:val="bottom"/>
            <w:hideMark/>
          </w:tcPr>
          <w:p w14:paraId="561E3F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140" w:type="dxa"/>
            <w:tcBorders>
              <w:top w:val="nil"/>
              <w:left w:val="nil"/>
              <w:bottom w:val="nil"/>
              <w:right w:val="nil"/>
            </w:tcBorders>
            <w:shd w:val="clear" w:color="auto" w:fill="auto"/>
            <w:noWrap/>
            <w:vAlign w:val="bottom"/>
            <w:hideMark/>
          </w:tcPr>
          <w:p w14:paraId="617FDC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21" w:type="dxa"/>
            <w:tcBorders>
              <w:top w:val="nil"/>
              <w:left w:val="nil"/>
              <w:bottom w:val="nil"/>
              <w:right w:val="nil"/>
            </w:tcBorders>
            <w:shd w:val="clear" w:color="auto" w:fill="auto"/>
            <w:noWrap/>
            <w:vAlign w:val="bottom"/>
            <w:hideMark/>
          </w:tcPr>
          <w:p w14:paraId="013CCB1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662" w:type="dxa"/>
            <w:tcBorders>
              <w:top w:val="nil"/>
              <w:left w:val="nil"/>
              <w:bottom w:val="nil"/>
              <w:right w:val="nil"/>
            </w:tcBorders>
            <w:shd w:val="clear" w:color="auto" w:fill="auto"/>
            <w:noWrap/>
            <w:vAlign w:val="bottom"/>
            <w:hideMark/>
          </w:tcPr>
          <w:p w14:paraId="1448F2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4A244CB8" w14:textId="77777777" w:rsidTr="00ED0631">
        <w:trPr>
          <w:trHeight w:val="315"/>
        </w:trPr>
        <w:tc>
          <w:tcPr>
            <w:tcW w:w="1708" w:type="dxa"/>
            <w:tcBorders>
              <w:top w:val="nil"/>
              <w:left w:val="nil"/>
              <w:bottom w:val="nil"/>
              <w:right w:val="nil"/>
            </w:tcBorders>
            <w:shd w:val="clear" w:color="auto" w:fill="auto"/>
            <w:noWrap/>
            <w:vAlign w:val="bottom"/>
            <w:hideMark/>
          </w:tcPr>
          <w:p w14:paraId="54E16E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69" w:type="dxa"/>
            <w:tcBorders>
              <w:top w:val="nil"/>
              <w:left w:val="nil"/>
              <w:bottom w:val="nil"/>
              <w:right w:val="nil"/>
            </w:tcBorders>
            <w:shd w:val="clear" w:color="auto" w:fill="auto"/>
            <w:noWrap/>
            <w:vAlign w:val="bottom"/>
            <w:hideMark/>
          </w:tcPr>
          <w:p w14:paraId="6763D2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140" w:type="dxa"/>
            <w:tcBorders>
              <w:top w:val="nil"/>
              <w:left w:val="nil"/>
              <w:bottom w:val="nil"/>
              <w:right w:val="nil"/>
            </w:tcBorders>
            <w:shd w:val="clear" w:color="auto" w:fill="auto"/>
            <w:noWrap/>
            <w:vAlign w:val="bottom"/>
            <w:hideMark/>
          </w:tcPr>
          <w:p w14:paraId="7B8810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21" w:type="dxa"/>
            <w:tcBorders>
              <w:top w:val="nil"/>
              <w:left w:val="nil"/>
              <w:bottom w:val="nil"/>
              <w:right w:val="nil"/>
            </w:tcBorders>
            <w:shd w:val="clear" w:color="auto" w:fill="auto"/>
            <w:noWrap/>
            <w:vAlign w:val="bottom"/>
            <w:hideMark/>
          </w:tcPr>
          <w:p w14:paraId="2DFBEB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662" w:type="dxa"/>
            <w:tcBorders>
              <w:top w:val="nil"/>
              <w:left w:val="nil"/>
              <w:bottom w:val="nil"/>
              <w:right w:val="nil"/>
            </w:tcBorders>
            <w:shd w:val="clear" w:color="auto" w:fill="auto"/>
            <w:noWrap/>
            <w:vAlign w:val="bottom"/>
            <w:hideMark/>
          </w:tcPr>
          <w:p w14:paraId="347D68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5F8F9FBB" w14:textId="77777777" w:rsidTr="00ED0631">
        <w:trPr>
          <w:trHeight w:val="315"/>
        </w:trPr>
        <w:tc>
          <w:tcPr>
            <w:tcW w:w="1708" w:type="dxa"/>
            <w:tcBorders>
              <w:top w:val="nil"/>
              <w:left w:val="nil"/>
              <w:bottom w:val="nil"/>
              <w:right w:val="nil"/>
            </w:tcBorders>
            <w:shd w:val="clear" w:color="auto" w:fill="auto"/>
            <w:noWrap/>
            <w:vAlign w:val="bottom"/>
            <w:hideMark/>
          </w:tcPr>
          <w:p w14:paraId="6DA013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69" w:type="dxa"/>
            <w:tcBorders>
              <w:top w:val="nil"/>
              <w:left w:val="nil"/>
              <w:bottom w:val="nil"/>
              <w:right w:val="nil"/>
            </w:tcBorders>
            <w:shd w:val="clear" w:color="auto" w:fill="auto"/>
            <w:noWrap/>
            <w:vAlign w:val="bottom"/>
            <w:hideMark/>
          </w:tcPr>
          <w:p w14:paraId="311220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140" w:type="dxa"/>
            <w:tcBorders>
              <w:top w:val="nil"/>
              <w:left w:val="nil"/>
              <w:bottom w:val="nil"/>
              <w:right w:val="nil"/>
            </w:tcBorders>
            <w:shd w:val="clear" w:color="auto" w:fill="auto"/>
            <w:noWrap/>
            <w:vAlign w:val="bottom"/>
            <w:hideMark/>
          </w:tcPr>
          <w:p w14:paraId="1F844D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521" w:type="dxa"/>
            <w:tcBorders>
              <w:top w:val="nil"/>
              <w:left w:val="nil"/>
              <w:bottom w:val="nil"/>
              <w:right w:val="nil"/>
            </w:tcBorders>
            <w:shd w:val="clear" w:color="auto" w:fill="auto"/>
            <w:noWrap/>
            <w:vAlign w:val="bottom"/>
            <w:hideMark/>
          </w:tcPr>
          <w:p w14:paraId="31A79BD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662" w:type="dxa"/>
            <w:tcBorders>
              <w:top w:val="nil"/>
              <w:left w:val="nil"/>
              <w:bottom w:val="nil"/>
              <w:right w:val="nil"/>
            </w:tcBorders>
            <w:shd w:val="clear" w:color="auto" w:fill="auto"/>
            <w:noWrap/>
            <w:vAlign w:val="bottom"/>
            <w:hideMark/>
          </w:tcPr>
          <w:p w14:paraId="061144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7E4ABCC4" w14:textId="77777777" w:rsidTr="00ED0631">
        <w:trPr>
          <w:trHeight w:val="315"/>
        </w:trPr>
        <w:tc>
          <w:tcPr>
            <w:tcW w:w="1708" w:type="dxa"/>
            <w:tcBorders>
              <w:top w:val="nil"/>
              <w:left w:val="nil"/>
              <w:bottom w:val="nil"/>
              <w:right w:val="nil"/>
            </w:tcBorders>
            <w:shd w:val="clear" w:color="auto" w:fill="auto"/>
            <w:noWrap/>
            <w:vAlign w:val="bottom"/>
            <w:hideMark/>
          </w:tcPr>
          <w:p w14:paraId="23EFA7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69" w:type="dxa"/>
            <w:tcBorders>
              <w:top w:val="nil"/>
              <w:left w:val="nil"/>
              <w:bottom w:val="nil"/>
              <w:right w:val="nil"/>
            </w:tcBorders>
            <w:shd w:val="clear" w:color="auto" w:fill="auto"/>
            <w:noWrap/>
            <w:vAlign w:val="bottom"/>
            <w:hideMark/>
          </w:tcPr>
          <w:p w14:paraId="3BF0CF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140" w:type="dxa"/>
            <w:tcBorders>
              <w:top w:val="nil"/>
              <w:left w:val="nil"/>
              <w:bottom w:val="nil"/>
              <w:right w:val="nil"/>
            </w:tcBorders>
            <w:shd w:val="clear" w:color="auto" w:fill="auto"/>
            <w:noWrap/>
            <w:vAlign w:val="bottom"/>
            <w:hideMark/>
          </w:tcPr>
          <w:p w14:paraId="206259C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521" w:type="dxa"/>
            <w:tcBorders>
              <w:top w:val="nil"/>
              <w:left w:val="nil"/>
              <w:bottom w:val="nil"/>
              <w:right w:val="nil"/>
            </w:tcBorders>
            <w:shd w:val="clear" w:color="auto" w:fill="auto"/>
            <w:noWrap/>
            <w:vAlign w:val="bottom"/>
            <w:hideMark/>
          </w:tcPr>
          <w:p w14:paraId="781AE5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662" w:type="dxa"/>
            <w:tcBorders>
              <w:top w:val="nil"/>
              <w:left w:val="nil"/>
              <w:bottom w:val="nil"/>
              <w:right w:val="nil"/>
            </w:tcBorders>
            <w:shd w:val="clear" w:color="auto" w:fill="auto"/>
            <w:noWrap/>
            <w:vAlign w:val="bottom"/>
            <w:hideMark/>
          </w:tcPr>
          <w:p w14:paraId="3AE8567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DF640F9" w14:textId="77777777" w:rsidTr="00ED0631">
        <w:trPr>
          <w:trHeight w:val="315"/>
        </w:trPr>
        <w:tc>
          <w:tcPr>
            <w:tcW w:w="1708" w:type="dxa"/>
            <w:tcBorders>
              <w:top w:val="nil"/>
              <w:left w:val="nil"/>
              <w:bottom w:val="nil"/>
              <w:right w:val="nil"/>
            </w:tcBorders>
            <w:shd w:val="clear" w:color="auto" w:fill="auto"/>
            <w:noWrap/>
            <w:vAlign w:val="bottom"/>
            <w:hideMark/>
          </w:tcPr>
          <w:p w14:paraId="1438B6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69" w:type="dxa"/>
            <w:tcBorders>
              <w:top w:val="nil"/>
              <w:left w:val="nil"/>
              <w:bottom w:val="nil"/>
              <w:right w:val="nil"/>
            </w:tcBorders>
            <w:shd w:val="clear" w:color="auto" w:fill="auto"/>
            <w:noWrap/>
            <w:vAlign w:val="bottom"/>
            <w:hideMark/>
          </w:tcPr>
          <w:p w14:paraId="5EC693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 </w:t>
            </w:r>
          </w:p>
        </w:tc>
        <w:tc>
          <w:tcPr>
            <w:tcW w:w="1140" w:type="dxa"/>
            <w:tcBorders>
              <w:top w:val="nil"/>
              <w:left w:val="nil"/>
              <w:bottom w:val="nil"/>
              <w:right w:val="nil"/>
            </w:tcBorders>
            <w:shd w:val="clear" w:color="auto" w:fill="auto"/>
            <w:noWrap/>
            <w:vAlign w:val="bottom"/>
            <w:hideMark/>
          </w:tcPr>
          <w:p w14:paraId="03051E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56 </w:t>
            </w:r>
          </w:p>
        </w:tc>
        <w:tc>
          <w:tcPr>
            <w:tcW w:w="1521" w:type="dxa"/>
            <w:tcBorders>
              <w:top w:val="nil"/>
              <w:left w:val="nil"/>
              <w:bottom w:val="nil"/>
              <w:right w:val="nil"/>
            </w:tcBorders>
            <w:shd w:val="clear" w:color="auto" w:fill="auto"/>
            <w:noWrap/>
            <w:vAlign w:val="bottom"/>
            <w:hideMark/>
          </w:tcPr>
          <w:p w14:paraId="7679F7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662" w:type="dxa"/>
            <w:tcBorders>
              <w:top w:val="nil"/>
              <w:left w:val="nil"/>
              <w:bottom w:val="nil"/>
              <w:right w:val="nil"/>
            </w:tcBorders>
            <w:shd w:val="clear" w:color="auto" w:fill="auto"/>
            <w:noWrap/>
            <w:vAlign w:val="bottom"/>
            <w:hideMark/>
          </w:tcPr>
          <w:p w14:paraId="4006BF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5E0C69DF" w14:textId="77777777" w:rsidTr="00ED0631">
        <w:trPr>
          <w:trHeight w:val="315"/>
        </w:trPr>
        <w:tc>
          <w:tcPr>
            <w:tcW w:w="1708" w:type="dxa"/>
            <w:tcBorders>
              <w:top w:val="nil"/>
              <w:left w:val="nil"/>
              <w:bottom w:val="single" w:sz="4" w:space="0" w:color="auto"/>
              <w:right w:val="nil"/>
            </w:tcBorders>
            <w:shd w:val="clear" w:color="auto" w:fill="auto"/>
            <w:noWrap/>
            <w:vAlign w:val="bottom"/>
            <w:hideMark/>
          </w:tcPr>
          <w:p w14:paraId="4B277A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69" w:type="dxa"/>
            <w:tcBorders>
              <w:top w:val="nil"/>
              <w:left w:val="nil"/>
              <w:bottom w:val="single" w:sz="4" w:space="0" w:color="auto"/>
              <w:right w:val="nil"/>
            </w:tcBorders>
            <w:shd w:val="clear" w:color="auto" w:fill="auto"/>
            <w:noWrap/>
            <w:vAlign w:val="bottom"/>
            <w:hideMark/>
          </w:tcPr>
          <w:p w14:paraId="449B3A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140" w:type="dxa"/>
            <w:tcBorders>
              <w:top w:val="nil"/>
              <w:left w:val="nil"/>
              <w:bottom w:val="single" w:sz="4" w:space="0" w:color="auto"/>
              <w:right w:val="nil"/>
            </w:tcBorders>
            <w:shd w:val="clear" w:color="auto" w:fill="auto"/>
            <w:noWrap/>
            <w:vAlign w:val="bottom"/>
            <w:hideMark/>
          </w:tcPr>
          <w:p w14:paraId="1231B4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521" w:type="dxa"/>
            <w:tcBorders>
              <w:top w:val="nil"/>
              <w:left w:val="nil"/>
              <w:bottom w:val="single" w:sz="4" w:space="0" w:color="auto"/>
              <w:right w:val="nil"/>
            </w:tcBorders>
            <w:shd w:val="clear" w:color="auto" w:fill="auto"/>
            <w:noWrap/>
            <w:vAlign w:val="bottom"/>
            <w:hideMark/>
          </w:tcPr>
          <w:p w14:paraId="17EA4B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662" w:type="dxa"/>
            <w:tcBorders>
              <w:top w:val="nil"/>
              <w:left w:val="nil"/>
              <w:bottom w:val="single" w:sz="4" w:space="0" w:color="auto"/>
              <w:right w:val="nil"/>
            </w:tcBorders>
            <w:shd w:val="clear" w:color="auto" w:fill="auto"/>
            <w:noWrap/>
            <w:vAlign w:val="bottom"/>
            <w:hideMark/>
          </w:tcPr>
          <w:p w14:paraId="125EE8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4D244AF" w14:textId="77777777" w:rsidTr="00ED0631">
        <w:trPr>
          <w:trHeight w:val="315"/>
        </w:trPr>
        <w:tc>
          <w:tcPr>
            <w:tcW w:w="1708" w:type="dxa"/>
            <w:tcBorders>
              <w:top w:val="nil"/>
              <w:left w:val="nil"/>
              <w:bottom w:val="single" w:sz="4" w:space="0" w:color="auto"/>
              <w:right w:val="nil"/>
            </w:tcBorders>
            <w:shd w:val="clear" w:color="auto" w:fill="auto"/>
            <w:noWrap/>
            <w:vAlign w:val="bottom"/>
            <w:hideMark/>
          </w:tcPr>
          <w:p w14:paraId="1D468B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69" w:type="dxa"/>
            <w:tcBorders>
              <w:top w:val="nil"/>
              <w:left w:val="nil"/>
              <w:bottom w:val="single" w:sz="4" w:space="0" w:color="auto"/>
              <w:right w:val="nil"/>
            </w:tcBorders>
            <w:shd w:val="clear" w:color="auto" w:fill="auto"/>
            <w:noWrap/>
            <w:vAlign w:val="bottom"/>
            <w:hideMark/>
          </w:tcPr>
          <w:p w14:paraId="366247CD"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69</w:t>
            </w:r>
          </w:p>
        </w:tc>
        <w:tc>
          <w:tcPr>
            <w:tcW w:w="1140" w:type="dxa"/>
            <w:tcBorders>
              <w:top w:val="nil"/>
              <w:left w:val="nil"/>
              <w:bottom w:val="single" w:sz="4" w:space="0" w:color="auto"/>
              <w:right w:val="nil"/>
            </w:tcBorders>
            <w:shd w:val="clear" w:color="auto" w:fill="auto"/>
            <w:noWrap/>
            <w:vAlign w:val="bottom"/>
            <w:hideMark/>
          </w:tcPr>
          <w:p w14:paraId="736953F1"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96</w:t>
            </w:r>
          </w:p>
        </w:tc>
        <w:tc>
          <w:tcPr>
            <w:tcW w:w="1521" w:type="dxa"/>
            <w:tcBorders>
              <w:top w:val="nil"/>
              <w:left w:val="nil"/>
              <w:bottom w:val="single" w:sz="4" w:space="0" w:color="auto"/>
              <w:right w:val="nil"/>
            </w:tcBorders>
            <w:shd w:val="clear" w:color="auto" w:fill="auto"/>
            <w:noWrap/>
            <w:vAlign w:val="bottom"/>
            <w:hideMark/>
          </w:tcPr>
          <w:p w14:paraId="2AC647E7"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22</w:t>
            </w:r>
          </w:p>
        </w:tc>
        <w:tc>
          <w:tcPr>
            <w:tcW w:w="1662" w:type="dxa"/>
            <w:tcBorders>
              <w:top w:val="nil"/>
              <w:left w:val="nil"/>
              <w:bottom w:val="single" w:sz="4" w:space="0" w:color="auto"/>
              <w:right w:val="nil"/>
            </w:tcBorders>
            <w:shd w:val="clear" w:color="auto" w:fill="auto"/>
            <w:noWrap/>
            <w:vAlign w:val="bottom"/>
            <w:hideMark/>
          </w:tcPr>
          <w:p w14:paraId="13C12C6E" w14:textId="77777777" w:rsidR="00AC362E" w:rsidRPr="00491EF1" w:rsidRDefault="00AC362E" w:rsidP="00470803">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22</w:t>
            </w:r>
          </w:p>
        </w:tc>
      </w:tr>
    </w:tbl>
    <w:p w14:paraId="41A1EDC7" w14:textId="77777777" w:rsidR="00AC362E" w:rsidRPr="00491EF1" w:rsidRDefault="00AC362E" w:rsidP="00ED0631">
      <w:pP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br w:type="page"/>
      </w:r>
    </w:p>
    <w:p w14:paraId="7C2BBD09"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28: Change in how informed teachers consider the community is about education improvement by island type</w:t>
      </w:r>
    </w:p>
    <w:tbl>
      <w:tblPr>
        <w:tblW w:w="6676" w:type="dxa"/>
        <w:tblInd w:w="93" w:type="dxa"/>
        <w:tblLook w:val="04A0" w:firstRow="1" w:lastRow="0" w:firstColumn="1" w:lastColumn="0" w:noHBand="0" w:noVBand="1"/>
      </w:tblPr>
      <w:tblGrid>
        <w:gridCol w:w="1242"/>
        <w:gridCol w:w="1307"/>
        <w:gridCol w:w="1088"/>
        <w:gridCol w:w="1452"/>
        <w:gridCol w:w="1587"/>
      </w:tblGrid>
      <w:tr w:rsidR="00AC362E" w:rsidRPr="00491EF1" w14:paraId="7F6F869E"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350008FE"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07" w:type="dxa"/>
            <w:tcBorders>
              <w:top w:val="single" w:sz="4" w:space="0" w:color="auto"/>
              <w:left w:val="nil"/>
              <w:bottom w:val="nil"/>
              <w:right w:val="nil"/>
            </w:tcBorders>
            <w:shd w:val="clear" w:color="auto" w:fill="auto"/>
            <w:noWrap/>
            <w:vAlign w:val="bottom"/>
            <w:hideMark/>
          </w:tcPr>
          <w:p w14:paraId="5D65C2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088" w:type="dxa"/>
            <w:tcBorders>
              <w:top w:val="single" w:sz="4" w:space="0" w:color="auto"/>
              <w:left w:val="nil"/>
              <w:bottom w:val="nil"/>
              <w:right w:val="nil"/>
            </w:tcBorders>
            <w:shd w:val="clear" w:color="auto" w:fill="auto"/>
            <w:noWrap/>
            <w:vAlign w:val="bottom"/>
            <w:hideMark/>
          </w:tcPr>
          <w:p w14:paraId="23E48F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Better </w:t>
            </w:r>
          </w:p>
        </w:tc>
        <w:tc>
          <w:tcPr>
            <w:tcW w:w="1452" w:type="dxa"/>
            <w:tcBorders>
              <w:top w:val="single" w:sz="4" w:space="0" w:color="auto"/>
              <w:left w:val="nil"/>
              <w:bottom w:val="nil"/>
              <w:right w:val="nil"/>
            </w:tcBorders>
            <w:shd w:val="clear" w:color="auto" w:fill="auto"/>
            <w:noWrap/>
            <w:vAlign w:val="bottom"/>
            <w:hideMark/>
          </w:tcPr>
          <w:p w14:paraId="1252E5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Slightly better </w:t>
            </w:r>
          </w:p>
        </w:tc>
        <w:tc>
          <w:tcPr>
            <w:tcW w:w="1587" w:type="dxa"/>
            <w:tcBorders>
              <w:top w:val="single" w:sz="4" w:space="0" w:color="auto"/>
              <w:left w:val="nil"/>
              <w:bottom w:val="nil"/>
              <w:right w:val="nil"/>
            </w:tcBorders>
            <w:shd w:val="clear" w:color="auto" w:fill="auto"/>
            <w:noWrap/>
            <w:vAlign w:val="bottom"/>
            <w:hideMark/>
          </w:tcPr>
          <w:p w14:paraId="1136D3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04E5AD66" w14:textId="77777777" w:rsidTr="00ED0631">
        <w:trPr>
          <w:trHeight w:val="315"/>
        </w:trPr>
        <w:tc>
          <w:tcPr>
            <w:tcW w:w="1242" w:type="dxa"/>
            <w:tcBorders>
              <w:top w:val="single" w:sz="4" w:space="0" w:color="auto"/>
              <w:left w:val="nil"/>
              <w:bottom w:val="nil"/>
              <w:right w:val="nil"/>
            </w:tcBorders>
            <w:shd w:val="clear" w:color="auto" w:fill="auto"/>
            <w:noWrap/>
            <w:vAlign w:val="bottom"/>
            <w:hideMark/>
          </w:tcPr>
          <w:p w14:paraId="748C69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07" w:type="dxa"/>
            <w:tcBorders>
              <w:top w:val="single" w:sz="4" w:space="0" w:color="auto"/>
              <w:left w:val="nil"/>
              <w:bottom w:val="nil"/>
              <w:right w:val="nil"/>
            </w:tcBorders>
            <w:shd w:val="clear" w:color="auto" w:fill="auto"/>
            <w:noWrap/>
            <w:vAlign w:val="bottom"/>
            <w:hideMark/>
          </w:tcPr>
          <w:p w14:paraId="49B0FD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c>
          <w:tcPr>
            <w:tcW w:w="1088" w:type="dxa"/>
            <w:tcBorders>
              <w:top w:val="single" w:sz="4" w:space="0" w:color="auto"/>
              <w:left w:val="nil"/>
              <w:bottom w:val="nil"/>
              <w:right w:val="nil"/>
            </w:tcBorders>
            <w:shd w:val="clear" w:color="auto" w:fill="auto"/>
            <w:noWrap/>
            <w:vAlign w:val="bottom"/>
            <w:hideMark/>
          </w:tcPr>
          <w:p w14:paraId="25EA9C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32 </w:t>
            </w:r>
          </w:p>
        </w:tc>
        <w:tc>
          <w:tcPr>
            <w:tcW w:w="1452" w:type="dxa"/>
            <w:tcBorders>
              <w:top w:val="single" w:sz="4" w:space="0" w:color="auto"/>
              <w:left w:val="nil"/>
              <w:bottom w:val="nil"/>
              <w:right w:val="nil"/>
            </w:tcBorders>
            <w:shd w:val="clear" w:color="auto" w:fill="auto"/>
            <w:noWrap/>
            <w:vAlign w:val="bottom"/>
            <w:hideMark/>
          </w:tcPr>
          <w:p w14:paraId="34865E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87" w:type="dxa"/>
            <w:tcBorders>
              <w:top w:val="single" w:sz="4" w:space="0" w:color="auto"/>
              <w:left w:val="nil"/>
              <w:bottom w:val="nil"/>
              <w:right w:val="nil"/>
            </w:tcBorders>
            <w:shd w:val="clear" w:color="auto" w:fill="auto"/>
            <w:noWrap/>
            <w:vAlign w:val="bottom"/>
            <w:hideMark/>
          </w:tcPr>
          <w:p w14:paraId="21DF0C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r>
      <w:tr w:rsidR="00AC362E" w:rsidRPr="00491EF1" w14:paraId="6528DEA3" w14:textId="77777777" w:rsidTr="00ED0631">
        <w:trPr>
          <w:trHeight w:val="315"/>
        </w:trPr>
        <w:tc>
          <w:tcPr>
            <w:tcW w:w="1242" w:type="dxa"/>
            <w:tcBorders>
              <w:top w:val="nil"/>
              <w:left w:val="nil"/>
              <w:bottom w:val="nil"/>
              <w:right w:val="nil"/>
            </w:tcBorders>
            <w:shd w:val="clear" w:color="auto" w:fill="auto"/>
            <w:noWrap/>
            <w:vAlign w:val="bottom"/>
            <w:hideMark/>
          </w:tcPr>
          <w:p w14:paraId="7A39D3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07" w:type="dxa"/>
            <w:tcBorders>
              <w:top w:val="nil"/>
              <w:left w:val="nil"/>
              <w:bottom w:val="nil"/>
              <w:right w:val="nil"/>
            </w:tcBorders>
            <w:shd w:val="clear" w:color="auto" w:fill="auto"/>
            <w:noWrap/>
            <w:vAlign w:val="bottom"/>
            <w:hideMark/>
          </w:tcPr>
          <w:p w14:paraId="177C97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088" w:type="dxa"/>
            <w:tcBorders>
              <w:top w:val="nil"/>
              <w:left w:val="nil"/>
              <w:bottom w:val="nil"/>
              <w:right w:val="nil"/>
            </w:tcBorders>
            <w:shd w:val="clear" w:color="auto" w:fill="auto"/>
            <w:noWrap/>
            <w:vAlign w:val="bottom"/>
            <w:hideMark/>
          </w:tcPr>
          <w:p w14:paraId="21C0AF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452" w:type="dxa"/>
            <w:tcBorders>
              <w:top w:val="nil"/>
              <w:left w:val="nil"/>
              <w:bottom w:val="nil"/>
              <w:right w:val="nil"/>
            </w:tcBorders>
            <w:shd w:val="clear" w:color="auto" w:fill="auto"/>
            <w:noWrap/>
            <w:vAlign w:val="bottom"/>
            <w:hideMark/>
          </w:tcPr>
          <w:p w14:paraId="7816E2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587" w:type="dxa"/>
            <w:tcBorders>
              <w:top w:val="nil"/>
              <w:left w:val="nil"/>
              <w:bottom w:val="nil"/>
              <w:right w:val="nil"/>
            </w:tcBorders>
            <w:shd w:val="clear" w:color="auto" w:fill="auto"/>
            <w:noWrap/>
            <w:vAlign w:val="bottom"/>
            <w:hideMark/>
          </w:tcPr>
          <w:p w14:paraId="20EDFD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11401172" w14:textId="77777777" w:rsidTr="00ED0631">
        <w:trPr>
          <w:trHeight w:val="315"/>
        </w:trPr>
        <w:tc>
          <w:tcPr>
            <w:tcW w:w="1242" w:type="dxa"/>
            <w:tcBorders>
              <w:top w:val="nil"/>
              <w:left w:val="nil"/>
              <w:bottom w:val="nil"/>
              <w:right w:val="nil"/>
            </w:tcBorders>
            <w:shd w:val="clear" w:color="auto" w:fill="auto"/>
            <w:noWrap/>
            <w:vAlign w:val="bottom"/>
            <w:hideMark/>
          </w:tcPr>
          <w:p w14:paraId="6BF1ED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07" w:type="dxa"/>
            <w:tcBorders>
              <w:top w:val="nil"/>
              <w:left w:val="nil"/>
              <w:bottom w:val="nil"/>
              <w:right w:val="nil"/>
            </w:tcBorders>
            <w:shd w:val="clear" w:color="auto" w:fill="auto"/>
            <w:noWrap/>
            <w:vAlign w:val="bottom"/>
            <w:hideMark/>
          </w:tcPr>
          <w:p w14:paraId="3B2E63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 </w:t>
            </w:r>
          </w:p>
        </w:tc>
        <w:tc>
          <w:tcPr>
            <w:tcW w:w="1088" w:type="dxa"/>
            <w:tcBorders>
              <w:top w:val="nil"/>
              <w:left w:val="nil"/>
              <w:bottom w:val="nil"/>
              <w:right w:val="nil"/>
            </w:tcBorders>
            <w:shd w:val="clear" w:color="auto" w:fill="auto"/>
            <w:noWrap/>
            <w:vAlign w:val="bottom"/>
            <w:hideMark/>
          </w:tcPr>
          <w:p w14:paraId="7D9D14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56 </w:t>
            </w:r>
          </w:p>
        </w:tc>
        <w:tc>
          <w:tcPr>
            <w:tcW w:w="1452" w:type="dxa"/>
            <w:tcBorders>
              <w:top w:val="nil"/>
              <w:left w:val="nil"/>
              <w:bottom w:val="nil"/>
              <w:right w:val="nil"/>
            </w:tcBorders>
            <w:shd w:val="clear" w:color="auto" w:fill="auto"/>
            <w:noWrap/>
            <w:vAlign w:val="bottom"/>
            <w:hideMark/>
          </w:tcPr>
          <w:p w14:paraId="0E243D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587" w:type="dxa"/>
            <w:tcBorders>
              <w:top w:val="nil"/>
              <w:left w:val="nil"/>
              <w:bottom w:val="nil"/>
              <w:right w:val="nil"/>
            </w:tcBorders>
            <w:shd w:val="clear" w:color="auto" w:fill="auto"/>
            <w:noWrap/>
            <w:vAlign w:val="bottom"/>
            <w:hideMark/>
          </w:tcPr>
          <w:p w14:paraId="1F6218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61443D48"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61E9FA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07" w:type="dxa"/>
            <w:tcBorders>
              <w:top w:val="single" w:sz="4" w:space="0" w:color="auto"/>
              <w:left w:val="nil"/>
              <w:bottom w:val="single" w:sz="4" w:space="0" w:color="auto"/>
              <w:right w:val="nil"/>
            </w:tcBorders>
            <w:shd w:val="clear" w:color="auto" w:fill="auto"/>
            <w:noWrap/>
            <w:vAlign w:val="bottom"/>
            <w:hideMark/>
          </w:tcPr>
          <w:p w14:paraId="683D35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69 </w:t>
            </w:r>
          </w:p>
        </w:tc>
        <w:tc>
          <w:tcPr>
            <w:tcW w:w="1088" w:type="dxa"/>
            <w:tcBorders>
              <w:top w:val="single" w:sz="4" w:space="0" w:color="auto"/>
              <w:left w:val="nil"/>
              <w:bottom w:val="single" w:sz="4" w:space="0" w:color="auto"/>
              <w:right w:val="nil"/>
            </w:tcBorders>
            <w:shd w:val="clear" w:color="auto" w:fill="auto"/>
            <w:noWrap/>
            <w:vAlign w:val="bottom"/>
            <w:hideMark/>
          </w:tcPr>
          <w:p w14:paraId="0F3996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96 </w:t>
            </w:r>
          </w:p>
        </w:tc>
        <w:tc>
          <w:tcPr>
            <w:tcW w:w="1452" w:type="dxa"/>
            <w:tcBorders>
              <w:top w:val="single" w:sz="4" w:space="0" w:color="auto"/>
              <w:left w:val="nil"/>
              <w:bottom w:val="single" w:sz="4" w:space="0" w:color="auto"/>
              <w:right w:val="nil"/>
            </w:tcBorders>
            <w:shd w:val="clear" w:color="auto" w:fill="auto"/>
            <w:noWrap/>
            <w:vAlign w:val="bottom"/>
            <w:hideMark/>
          </w:tcPr>
          <w:p w14:paraId="2F4095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1587" w:type="dxa"/>
            <w:tcBorders>
              <w:top w:val="single" w:sz="4" w:space="0" w:color="auto"/>
              <w:left w:val="nil"/>
              <w:bottom w:val="single" w:sz="4" w:space="0" w:color="auto"/>
              <w:right w:val="nil"/>
            </w:tcBorders>
            <w:shd w:val="clear" w:color="auto" w:fill="auto"/>
            <w:noWrap/>
            <w:vAlign w:val="bottom"/>
            <w:hideMark/>
          </w:tcPr>
          <w:p w14:paraId="5BB8F2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r>
    </w:tbl>
    <w:p w14:paraId="11EFD51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29: The number of teachers who have done English language training in the last 4 yrs who have also repeated all Yr 3/4 new curriculum training cycles by island</w:t>
      </w:r>
    </w:p>
    <w:tbl>
      <w:tblPr>
        <w:tblW w:w="4760" w:type="dxa"/>
        <w:tblInd w:w="93" w:type="dxa"/>
        <w:tblLook w:val="04A0" w:firstRow="1" w:lastRow="0" w:firstColumn="1" w:lastColumn="0" w:noHBand="0" w:noVBand="1"/>
      </w:tblPr>
      <w:tblGrid>
        <w:gridCol w:w="2046"/>
        <w:gridCol w:w="1365"/>
        <w:gridCol w:w="1349"/>
      </w:tblGrid>
      <w:tr w:rsidR="00AC362E" w:rsidRPr="00491EF1" w14:paraId="13D01FBC" w14:textId="77777777" w:rsidTr="00ED0631">
        <w:trPr>
          <w:trHeight w:val="315"/>
        </w:trPr>
        <w:tc>
          <w:tcPr>
            <w:tcW w:w="2046" w:type="dxa"/>
            <w:tcBorders>
              <w:top w:val="single" w:sz="4" w:space="0" w:color="auto"/>
              <w:left w:val="nil"/>
              <w:bottom w:val="single" w:sz="4" w:space="0" w:color="auto"/>
              <w:right w:val="nil"/>
            </w:tcBorders>
            <w:shd w:val="clear" w:color="auto" w:fill="auto"/>
            <w:noWrap/>
            <w:vAlign w:val="bottom"/>
            <w:hideMark/>
          </w:tcPr>
          <w:p w14:paraId="38CE965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365" w:type="dxa"/>
            <w:tcBorders>
              <w:top w:val="single" w:sz="4" w:space="0" w:color="auto"/>
              <w:left w:val="nil"/>
              <w:bottom w:val="single" w:sz="4" w:space="0" w:color="auto"/>
              <w:right w:val="nil"/>
            </w:tcBorders>
            <w:shd w:val="clear" w:color="auto" w:fill="auto"/>
            <w:noWrap/>
            <w:vAlign w:val="bottom"/>
            <w:hideMark/>
          </w:tcPr>
          <w:p w14:paraId="686A70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349" w:type="dxa"/>
            <w:tcBorders>
              <w:top w:val="single" w:sz="4" w:space="0" w:color="auto"/>
              <w:left w:val="nil"/>
              <w:bottom w:val="single" w:sz="4" w:space="0" w:color="auto"/>
              <w:right w:val="nil"/>
            </w:tcBorders>
            <w:shd w:val="clear" w:color="auto" w:fill="auto"/>
            <w:noWrap/>
            <w:vAlign w:val="bottom"/>
            <w:hideMark/>
          </w:tcPr>
          <w:p w14:paraId="56624A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77A9CAF5" w14:textId="77777777" w:rsidTr="00ED0631">
        <w:trPr>
          <w:trHeight w:val="315"/>
        </w:trPr>
        <w:tc>
          <w:tcPr>
            <w:tcW w:w="2046" w:type="dxa"/>
            <w:tcBorders>
              <w:top w:val="nil"/>
              <w:left w:val="nil"/>
              <w:bottom w:val="nil"/>
              <w:right w:val="nil"/>
            </w:tcBorders>
            <w:shd w:val="clear" w:color="auto" w:fill="auto"/>
            <w:noWrap/>
            <w:vAlign w:val="bottom"/>
            <w:hideMark/>
          </w:tcPr>
          <w:p w14:paraId="325E3A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65" w:type="dxa"/>
            <w:tcBorders>
              <w:top w:val="nil"/>
              <w:left w:val="nil"/>
              <w:bottom w:val="nil"/>
              <w:right w:val="nil"/>
            </w:tcBorders>
            <w:shd w:val="clear" w:color="auto" w:fill="auto"/>
            <w:noWrap/>
            <w:vAlign w:val="bottom"/>
            <w:hideMark/>
          </w:tcPr>
          <w:p w14:paraId="64094D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349" w:type="dxa"/>
            <w:tcBorders>
              <w:top w:val="nil"/>
              <w:left w:val="nil"/>
              <w:bottom w:val="nil"/>
              <w:right w:val="nil"/>
            </w:tcBorders>
            <w:shd w:val="clear" w:color="auto" w:fill="auto"/>
            <w:noWrap/>
            <w:vAlign w:val="bottom"/>
            <w:hideMark/>
          </w:tcPr>
          <w:p w14:paraId="53FBA3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32B82398" w14:textId="77777777" w:rsidTr="00ED0631">
        <w:trPr>
          <w:trHeight w:val="315"/>
        </w:trPr>
        <w:tc>
          <w:tcPr>
            <w:tcW w:w="2046" w:type="dxa"/>
            <w:tcBorders>
              <w:top w:val="nil"/>
              <w:left w:val="nil"/>
              <w:bottom w:val="nil"/>
              <w:right w:val="nil"/>
            </w:tcBorders>
            <w:shd w:val="clear" w:color="auto" w:fill="auto"/>
            <w:noWrap/>
            <w:vAlign w:val="bottom"/>
            <w:hideMark/>
          </w:tcPr>
          <w:p w14:paraId="47DC18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65" w:type="dxa"/>
            <w:tcBorders>
              <w:top w:val="nil"/>
              <w:left w:val="nil"/>
              <w:bottom w:val="nil"/>
              <w:right w:val="nil"/>
            </w:tcBorders>
            <w:shd w:val="clear" w:color="auto" w:fill="auto"/>
            <w:noWrap/>
            <w:vAlign w:val="bottom"/>
            <w:hideMark/>
          </w:tcPr>
          <w:p w14:paraId="61A5F9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49" w:type="dxa"/>
            <w:tcBorders>
              <w:top w:val="nil"/>
              <w:left w:val="nil"/>
              <w:bottom w:val="nil"/>
              <w:right w:val="nil"/>
            </w:tcBorders>
            <w:shd w:val="clear" w:color="auto" w:fill="auto"/>
            <w:noWrap/>
            <w:vAlign w:val="bottom"/>
            <w:hideMark/>
          </w:tcPr>
          <w:p w14:paraId="37577F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14E205C2" w14:textId="77777777" w:rsidTr="00ED0631">
        <w:trPr>
          <w:trHeight w:val="315"/>
        </w:trPr>
        <w:tc>
          <w:tcPr>
            <w:tcW w:w="2046" w:type="dxa"/>
            <w:tcBorders>
              <w:top w:val="nil"/>
              <w:left w:val="nil"/>
              <w:bottom w:val="nil"/>
              <w:right w:val="nil"/>
            </w:tcBorders>
            <w:shd w:val="clear" w:color="auto" w:fill="auto"/>
            <w:noWrap/>
            <w:vAlign w:val="bottom"/>
            <w:hideMark/>
          </w:tcPr>
          <w:p w14:paraId="5D3A44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65" w:type="dxa"/>
            <w:tcBorders>
              <w:top w:val="nil"/>
              <w:left w:val="nil"/>
              <w:bottom w:val="nil"/>
              <w:right w:val="nil"/>
            </w:tcBorders>
            <w:shd w:val="clear" w:color="auto" w:fill="auto"/>
            <w:noWrap/>
            <w:vAlign w:val="bottom"/>
            <w:hideMark/>
          </w:tcPr>
          <w:p w14:paraId="1F518B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49" w:type="dxa"/>
            <w:tcBorders>
              <w:top w:val="nil"/>
              <w:left w:val="nil"/>
              <w:bottom w:val="nil"/>
              <w:right w:val="nil"/>
            </w:tcBorders>
            <w:shd w:val="clear" w:color="auto" w:fill="auto"/>
            <w:noWrap/>
            <w:vAlign w:val="bottom"/>
            <w:hideMark/>
          </w:tcPr>
          <w:p w14:paraId="166752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260CAD2B" w14:textId="77777777" w:rsidTr="00ED0631">
        <w:trPr>
          <w:trHeight w:val="315"/>
        </w:trPr>
        <w:tc>
          <w:tcPr>
            <w:tcW w:w="2046" w:type="dxa"/>
            <w:tcBorders>
              <w:top w:val="nil"/>
              <w:left w:val="nil"/>
              <w:bottom w:val="nil"/>
              <w:right w:val="nil"/>
            </w:tcBorders>
            <w:shd w:val="clear" w:color="auto" w:fill="auto"/>
            <w:noWrap/>
            <w:vAlign w:val="bottom"/>
            <w:hideMark/>
          </w:tcPr>
          <w:p w14:paraId="3E039C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65" w:type="dxa"/>
            <w:tcBorders>
              <w:top w:val="nil"/>
              <w:left w:val="nil"/>
              <w:bottom w:val="nil"/>
              <w:right w:val="nil"/>
            </w:tcBorders>
            <w:shd w:val="clear" w:color="auto" w:fill="auto"/>
            <w:noWrap/>
            <w:vAlign w:val="bottom"/>
            <w:hideMark/>
          </w:tcPr>
          <w:p w14:paraId="2B94B6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49" w:type="dxa"/>
            <w:tcBorders>
              <w:top w:val="nil"/>
              <w:left w:val="nil"/>
              <w:bottom w:val="nil"/>
              <w:right w:val="nil"/>
            </w:tcBorders>
            <w:shd w:val="clear" w:color="auto" w:fill="auto"/>
            <w:noWrap/>
            <w:vAlign w:val="bottom"/>
            <w:hideMark/>
          </w:tcPr>
          <w:p w14:paraId="033868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3FBA273E" w14:textId="77777777" w:rsidTr="00ED0631">
        <w:trPr>
          <w:trHeight w:val="315"/>
        </w:trPr>
        <w:tc>
          <w:tcPr>
            <w:tcW w:w="2046" w:type="dxa"/>
            <w:tcBorders>
              <w:top w:val="nil"/>
              <w:left w:val="nil"/>
              <w:bottom w:val="nil"/>
              <w:right w:val="nil"/>
            </w:tcBorders>
            <w:shd w:val="clear" w:color="auto" w:fill="auto"/>
            <w:noWrap/>
            <w:vAlign w:val="bottom"/>
            <w:hideMark/>
          </w:tcPr>
          <w:p w14:paraId="4F5C21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65" w:type="dxa"/>
            <w:tcBorders>
              <w:top w:val="nil"/>
              <w:left w:val="nil"/>
              <w:bottom w:val="nil"/>
              <w:right w:val="nil"/>
            </w:tcBorders>
            <w:shd w:val="clear" w:color="auto" w:fill="auto"/>
            <w:noWrap/>
            <w:vAlign w:val="bottom"/>
            <w:hideMark/>
          </w:tcPr>
          <w:p w14:paraId="1C8B101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49" w:type="dxa"/>
            <w:tcBorders>
              <w:top w:val="nil"/>
              <w:left w:val="nil"/>
              <w:bottom w:val="nil"/>
              <w:right w:val="nil"/>
            </w:tcBorders>
            <w:shd w:val="clear" w:color="auto" w:fill="auto"/>
            <w:noWrap/>
            <w:vAlign w:val="bottom"/>
            <w:hideMark/>
          </w:tcPr>
          <w:p w14:paraId="1DF449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437D6032" w14:textId="77777777" w:rsidTr="00ED0631">
        <w:trPr>
          <w:trHeight w:val="315"/>
        </w:trPr>
        <w:tc>
          <w:tcPr>
            <w:tcW w:w="2046" w:type="dxa"/>
            <w:tcBorders>
              <w:top w:val="nil"/>
              <w:left w:val="nil"/>
              <w:bottom w:val="nil"/>
              <w:right w:val="nil"/>
            </w:tcBorders>
            <w:shd w:val="clear" w:color="auto" w:fill="auto"/>
            <w:noWrap/>
            <w:vAlign w:val="bottom"/>
            <w:hideMark/>
          </w:tcPr>
          <w:p w14:paraId="638049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65" w:type="dxa"/>
            <w:tcBorders>
              <w:top w:val="nil"/>
              <w:left w:val="nil"/>
              <w:bottom w:val="nil"/>
              <w:right w:val="nil"/>
            </w:tcBorders>
            <w:shd w:val="clear" w:color="auto" w:fill="auto"/>
            <w:noWrap/>
            <w:vAlign w:val="bottom"/>
            <w:hideMark/>
          </w:tcPr>
          <w:p w14:paraId="4B8B7E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49" w:type="dxa"/>
            <w:tcBorders>
              <w:top w:val="nil"/>
              <w:left w:val="nil"/>
              <w:bottom w:val="nil"/>
              <w:right w:val="nil"/>
            </w:tcBorders>
            <w:shd w:val="clear" w:color="auto" w:fill="auto"/>
            <w:noWrap/>
            <w:vAlign w:val="bottom"/>
            <w:hideMark/>
          </w:tcPr>
          <w:p w14:paraId="418C6E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3A8E5930" w14:textId="77777777" w:rsidTr="00ED0631">
        <w:trPr>
          <w:trHeight w:val="315"/>
        </w:trPr>
        <w:tc>
          <w:tcPr>
            <w:tcW w:w="2046" w:type="dxa"/>
            <w:tcBorders>
              <w:top w:val="nil"/>
              <w:left w:val="nil"/>
              <w:bottom w:val="nil"/>
              <w:right w:val="nil"/>
            </w:tcBorders>
            <w:shd w:val="clear" w:color="auto" w:fill="auto"/>
            <w:noWrap/>
            <w:vAlign w:val="bottom"/>
            <w:hideMark/>
          </w:tcPr>
          <w:p w14:paraId="3BE037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65" w:type="dxa"/>
            <w:tcBorders>
              <w:top w:val="nil"/>
              <w:left w:val="nil"/>
              <w:bottom w:val="nil"/>
              <w:right w:val="nil"/>
            </w:tcBorders>
            <w:shd w:val="clear" w:color="auto" w:fill="auto"/>
            <w:noWrap/>
            <w:vAlign w:val="bottom"/>
            <w:hideMark/>
          </w:tcPr>
          <w:p w14:paraId="23AED19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49" w:type="dxa"/>
            <w:tcBorders>
              <w:top w:val="nil"/>
              <w:left w:val="nil"/>
              <w:bottom w:val="nil"/>
              <w:right w:val="nil"/>
            </w:tcBorders>
            <w:shd w:val="clear" w:color="auto" w:fill="auto"/>
            <w:noWrap/>
            <w:vAlign w:val="bottom"/>
            <w:hideMark/>
          </w:tcPr>
          <w:p w14:paraId="04AB4B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1961106B" w14:textId="77777777" w:rsidTr="00ED0631">
        <w:trPr>
          <w:trHeight w:val="315"/>
        </w:trPr>
        <w:tc>
          <w:tcPr>
            <w:tcW w:w="2046" w:type="dxa"/>
            <w:tcBorders>
              <w:top w:val="nil"/>
              <w:left w:val="nil"/>
              <w:bottom w:val="nil"/>
              <w:right w:val="nil"/>
            </w:tcBorders>
            <w:shd w:val="clear" w:color="auto" w:fill="auto"/>
            <w:noWrap/>
            <w:vAlign w:val="bottom"/>
            <w:hideMark/>
          </w:tcPr>
          <w:p w14:paraId="020056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65" w:type="dxa"/>
            <w:tcBorders>
              <w:top w:val="nil"/>
              <w:left w:val="nil"/>
              <w:bottom w:val="nil"/>
              <w:right w:val="nil"/>
            </w:tcBorders>
            <w:shd w:val="clear" w:color="auto" w:fill="auto"/>
            <w:noWrap/>
            <w:vAlign w:val="bottom"/>
            <w:hideMark/>
          </w:tcPr>
          <w:p w14:paraId="61F367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49" w:type="dxa"/>
            <w:tcBorders>
              <w:top w:val="nil"/>
              <w:left w:val="nil"/>
              <w:bottom w:val="nil"/>
              <w:right w:val="nil"/>
            </w:tcBorders>
            <w:shd w:val="clear" w:color="auto" w:fill="auto"/>
            <w:noWrap/>
            <w:vAlign w:val="bottom"/>
            <w:hideMark/>
          </w:tcPr>
          <w:p w14:paraId="51C54E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36BC64F8" w14:textId="77777777" w:rsidTr="00ED0631">
        <w:trPr>
          <w:trHeight w:val="315"/>
        </w:trPr>
        <w:tc>
          <w:tcPr>
            <w:tcW w:w="2046" w:type="dxa"/>
            <w:tcBorders>
              <w:top w:val="nil"/>
              <w:left w:val="nil"/>
              <w:bottom w:val="nil"/>
              <w:right w:val="nil"/>
            </w:tcBorders>
            <w:shd w:val="clear" w:color="auto" w:fill="auto"/>
            <w:noWrap/>
            <w:vAlign w:val="bottom"/>
            <w:hideMark/>
          </w:tcPr>
          <w:p w14:paraId="3BBF87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65" w:type="dxa"/>
            <w:tcBorders>
              <w:top w:val="nil"/>
              <w:left w:val="nil"/>
              <w:bottom w:val="nil"/>
              <w:right w:val="nil"/>
            </w:tcBorders>
            <w:shd w:val="clear" w:color="auto" w:fill="auto"/>
            <w:noWrap/>
            <w:vAlign w:val="bottom"/>
            <w:hideMark/>
          </w:tcPr>
          <w:p w14:paraId="3DC8AB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c>
          <w:tcPr>
            <w:tcW w:w="1349" w:type="dxa"/>
            <w:tcBorders>
              <w:top w:val="nil"/>
              <w:left w:val="nil"/>
              <w:bottom w:val="nil"/>
              <w:right w:val="nil"/>
            </w:tcBorders>
            <w:shd w:val="clear" w:color="auto" w:fill="auto"/>
            <w:noWrap/>
            <w:vAlign w:val="bottom"/>
            <w:hideMark/>
          </w:tcPr>
          <w:p w14:paraId="567738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67BCD344" w14:textId="77777777" w:rsidTr="00ED0631">
        <w:trPr>
          <w:trHeight w:val="315"/>
        </w:trPr>
        <w:tc>
          <w:tcPr>
            <w:tcW w:w="2046" w:type="dxa"/>
            <w:tcBorders>
              <w:top w:val="nil"/>
              <w:left w:val="nil"/>
              <w:bottom w:val="single" w:sz="4" w:space="0" w:color="auto"/>
              <w:right w:val="nil"/>
            </w:tcBorders>
            <w:shd w:val="clear" w:color="auto" w:fill="auto"/>
            <w:noWrap/>
            <w:vAlign w:val="bottom"/>
            <w:hideMark/>
          </w:tcPr>
          <w:p w14:paraId="747A60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Tamana</w:t>
            </w:r>
          </w:p>
        </w:tc>
        <w:tc>
          <w:tcPr>
            <w:tcW w:w="1365" w:type="dxa"/>
            <w:tcBorders>
              <w:top w:val="nil"/>
              <w:left w:val="nil"/>
              <w:bottom w:val="single" w:sz="4" w:space="0" w:color="auto"/>
              <w:right w:val="nil"/>
            </w:tcBorders>
            <w:shd w:val="clear" w:color="auto" w:fill="auto"/>
            <w:noWrap/>
            <w:vAlign w:val="bottom"/>
            <w:hideMark/>
          </w:tcPr>
          <w:p w14:paraId="15E24E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49" w:type="dxa"/>
            <w:tcBorders>
              <w:top w:val="nil"/>
              <w:left w:val="nil"/>
              <w:bottom w:val="single" w:sz="4" w:space="0" w:color="auto"/>
              <w:right w:val="nil"/>
            </w:tcBorders>
            <w:shd w:val="clear" w:color="auto" w:fill="auto"/>
            <w:noWrap/>
            <w:vAlign w:val="bottom"/>
            <w:hideMark/>
          </w:tcPr>
          <w:p w14:paraId="25DB43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144BC9C5" w14:textId="77777777" w:rsidTr="00ED0631">
        <w:trPr>
          <w:trHeight w:val="315"/>
        </w:trPr>
        <w:tc>
          <w:tcPr>
            <w:tcW w:w="2046" w:type="dxa"/>
            <w:tcBorders>
              <w:top w:val="nil"/>
              <w:left w:val="nil"/>
              <w:bottom w:val="single" w:sz="4" w:space="0" w:color="auto"/>
              <w:right w:val="nil"/>
            </w:tcBorders>
            <w:shd w:val="clear" w:color="auto" w:fill="auto"/>
            <w:noWrap/>
            <w:vAlign w:val="bottom"/>
            <w:hideMark/>
          </w:tcPr>
          <w:p w14:paraId="5201C8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65" w:type="dxa"/>
            <w:tcBorders>
              <w:top w:val="nil"/>
              <w:left w:val="nil"/>
              <w:bottom w:val="single" w:sz="4" w:space="0" w:color="auto"/>
              <w:right w:val="nil"/>
            </w:tcBorders>
            <w:shd w:val="clear" w:color="auto" w:fill="auto"/>
            <w:noWrap/>
            <w:vAlign w:val="bottom"/>
            <w:hideMark/>
          </w:tcPr>
          <w:p w14:paraId="297A4B56"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c>
          <w:tcPr>
            <w:tcW w:w="1349" w:type="dxa"/>
            <w:tcBorders>
              <w:top w:val="nil"/>
              <w:left w:val="nil"/>
              <w:bottom w:val="single" w:sz="4" w:space="0" w:color="auto"/>
              <w:right w:val="nil"/>
            </w:tcBorders>
            <w:shd w:val="clear" w:color="auto" w:fill="auto"/>
            <w:noWrap/>
            <w:vAlign w:val="bottom"/>
            <w:hideMark/>
          </w:tcPr>
          <w:p w14:paraId="53A8F85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15</w:t>
            </w:r>
          </w:p>
        </w:tc>
      </w:tr>
    </w:tbl>
    <w:p w14:paraId="3A884BD4"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30: The number of teachers who have done English language training in the last 4 yrs who have also repeated all Yr 3/4 new curriculum training cycles by island type</w:t>
      </w:r>
    </w:p>
    <w:tbl>
      <w:tblPr>
        <w:tblW w:w="3961" w:type="dxa"/>
        <w:tblInd w:w="93" w:type="dxa"/>
        <w:tblLook w:val="04A0" w:firstRow="1" w:lastRow="0" w:firstColumn="1" w:lastColumn="0" w:noHBand="0" w:noVBand="1"/>
      </w:tblPr>
      <w:tblGrid>
        <w:gridCol w:w="1439"/>
        <w:gridCol w:w="1261"/>
        <w:gridCol w:w="1261"/>
      </w:tblGrid>
      <w:tr w:rsidR="00AC362E" w:rsidRPr="00491EF1" w14:paraId="4D002E93" w14:textId="77777777" w:rsidTr="00ED0631">
        <w:trPr>
          <w:trHeight w:val="315"/>
        </w:trPr>
        <w:tc>
          <w:tcPr>
            <w:tcW w:w="1439" w:type="dxa"/>
            <w:tcBorders>
              <w:top w:val="single" w:sz="4" w:space="0" w:color="auto"/>
              <w:left w:val="nil"/>
              <w:bottom w:val="nil"/>
              <w:right w:val="nil"/>
            </w:tcBorders>
            <w:shd w:val="clear" w:color="auto" w:fill="auto"/>
            <w:noWrap/>
            <w:vAlign w:val="bottom"/>
            <w:hideMark/>
          </w:tcPr>
          <w:p w14:paraId="19D1E5E0"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w:t>
            </w:r>
          </w:p>
        </w:tc>
        <w:tc>
          <w:tcPr>
            <w:tcW w:w="1261" w:type="dxa"/>
            <w:tcBorders>
              <w:top w:val="single" w:sz="4" w:space="0" w:color="auto"/>
              <w:left w:val="nil"/>
              <w:bottom w:val="nil"/>
              <w:right w:val="nil"/>
            </w:tcBorders>
            <w:shd w:val="clear" w:color="auto" w:fill="auto"/>
            <w:noWrap/>
            <w:vAlign w:val="bottom"/>
            <w:hideMark/>
          </w:tcPr>
          <w:p w14:paraId="246C7E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Yes </w:t>
            </w:r>
          </w:p>
        </w:tc>
        <w:tc>
          <w:tcPr>
            <w:tcW w:w="1261" w:type="dxa"/>
            <w:tcBorders>
              <w:top w:val="single" w:sz="4" w:space="0" w:color="auto"/>
              <w:left w:val="nil"/>
              <w:bottom w:val="nil"/>
              <w:right w:val="nil"/>
            </w:tcBorders>
            <w:shd w:val="clear" w:color="auto" w:fill="auto"/>
            <w:noWrap/>
            <w:vAlign w:val="bottom"/>
            <w:hideMark/>
          </w:tcPr>
          <w:p w14:paraId="7139AF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 </w:t>
            </w:r>
          </w:p>
        </w:tc>
      </w:tr>
      <w:tr w:rsidR="00AC362E" w:rsidRPr="00491EF1" w14:paraId="1EF78C59" w14:textId="77777777" w:rsidTr="00ED0631">
        <w:trPr>
          <w:trHeight w:val="315"/>
        </w:trPr>
        <w:tc>
          <w:tcPr>
            <w:tcW w:w="1439" w:type="dxa"/>
            <w:tcBorders>
              <w:top w:val="single" w:sz="4" w:space="0" w:color="auto"/>
              <w:left w:val="nil"/>
              <w:bottom w:val="nil"/>
              <w:right w:val="nil"/>
            </w:tcBorders>
            <w:shd w:val="clear" w:color="auto" w:fill="auto"/>
            <w:noWrap/>
            <w:vAlign w:val="bottom"/>
            <w:hideMark/>
          </w:tcPr>
          <w:p w14:paraId="1B0790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61" w:type="dxa"/>
            <w:tcBorders>
              <w:top w:val="single" w:sz="4" w:space="0" w:color="auto"/>
              <w:left w:val="nil"/>
              <w:bottom w:val="nil"/>
              <w:right w:val="nil"/>
            </w:tcBorders>
            <w:shd w:val="clear" w:color="auto" w:fill="auto"/>
            <w:noWrap/>
            <w:vAlign w:val="bottom"/>
            <w:hideMark/>
          </w:tcPr>
          <w:p w14:paraId="0C2E03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1261" w:type="dxa"/>
            <w:tcBorders>
              <w:top w:val="single" w:sz="4" w:space="0" w:color="auto"/>
              <w:left w:val="nil"/>
              <w:bottom w:val="nil"/>
              <w:right w:val="nil"/>
            </w:tcBorders>
            <w:shd w:val="clear" w:color="auto" w:fill="auto"/>
            <w:noWrap/>
            <w:vAlign w:val="bottom"/>
            <w:hideMark/>
          </w:tcPr>
          <w:p w14:paraId="5C4D5D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r>
      <w:tr w:rsidR="00AC362E" w:rsidRPr="00491EF1" w14:paraId="505ADEE0" w14:textId="77777777" w:rsidTr="00ED0631">
        <w:trPr>
          <w:trHeight w:val="315"/>
        </w:trPr>
        <w:tc>
          <w:tcPr>
            <w:tcW w:w="1439" w:type="dxa"/>
            <w:tcBorders>
              <w:top w:val="nil"/>
              <w:left w:val="nil"/>
              <w:bottom w:val="nil"/>
              <w:right w:val="nil"/>
            </w:tcBorders>
            <w:shd w:val="clear" w:color="auto" w:fill="auto"/>
            <w:noWrap/>
            <w:vAlign w:val="bottom"/>
            <w:hideMark/>
          </w:tcPr>
          <w:p w14:paraId="19CFF6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61" w:type="dxa"/>
            <w:tcBorders>
              <w:top w:val="nil"/>
              <w:left w:val="nil"/>
              <w:bottom w:val="nil"/>
              <w:right w:val="nil"/>
            </w:tcBorders>
            <w:shd w:val="clear" w:color="auto" w:fill="auto"/>
            <w:noWrap/>
            <w:vAlign w:val="bottom"/>
            <w:hideMark/>
          </w:tcPr>
          <w:p w14:paraId="5A3F6A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61" w:type="dxa"/>
            <w:tcBorders>
              <w:top w:val="nil"/>
              <w:left w:val="nil"/>
              <w:bottom w:val="nil"/>
              <w:right w:val="nil"/>
            </w:tcBorders>
            <w:shd w:val="clear" w:color="auto" w:fill="auto"/>
            <w:noWrap/>
            <w:vAlign w:val="bottom"/>
            <w:hideMark/>
          </w:tcPr>
          <w:p w14:paraId="4DE11E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085EEADC" w14:textId="77777777" w:rsidTr="00ED0631">
        <w:trPr>
          <w:trHeight w:val="315"/>
        </w:trPr>
        <w:tc>
          <w:tcPr>
            <w:tcW w:w="1439" w:type="dxa"/>
            <w:tcBorders>
              <w:top w:val="nil"/>
              <w:left w:val="nil"/>
              <w:bottom w:val="nil"/>
              <w:right w:val="nil"/>
            </w:tcBorders>
            <w:shd w:val="clear" w:color="auto" w:fill="auto"/>
            <w:noWrap/>
            <w:vAlign w:val="bottom"/>
            <w:hideMark/>
          </w:tcPr>
          <w:p w14:paraId="492505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61" w:type="dxa"/>
            <w:tcBorders>
              <w:top w:val="nil"/>
              <w:left w:val="nil"/>
              <w:bottom w:val="nil"/>
              <w:right w:val="nil"/>
            </w:tcBorders>
            <w:shd w:val="clear" w:color="auto" w:fill="auto"/>
            <w:noWrap/>
            <w:vAlign w:val="bottom"/>
            <w:hideMark/>
          </w:tcPr>
          <w:p w14:paraId="2C5D50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c>
          <w:tcPr>
            <w:tcW w:w="1261" w:type="dxa"/>
            <w:tcBorders>
              <w:top w:val="nil"/>
              <w:left w:val="nil"/>
              <w:bottom w:val="nil"/>
              <w:right w:val="nil"/>
            </w:tcBorders>
            <w:shd w:val="clear" w:color="auto" w:fill="auto"/>
            <w:noWrap/>
            <w:vAlign w:val="bottom"/>
            <w:hideMark/>
          </w:tcPr>
          <w:p w14:paraId="12DECC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237BE3AF" w14:textId="77777777" w:rsidTr="00ED0631">
        <w:trPr>
          <w:trHeight w:val="315"/>
        </w:trPr>
        <w:tc>
          <w:tcPr>
            <w:tcW w:w="1439" w:type="dxa"/>
            <w:tcBorders>
              <w:top w:val="single" w:sz="4" w:space="0" w:color="auto"/>
              <w:left w:val="nil"/>
              <w:bottom w:val="single" w:sz="4" w:space="0" w:color="auto"/>
              <w:right w:val="nil"/>
            </w:tcBorders>
            <w:shd w:val="clear" w:color="auto" w:fill="auto"/>
            <w:noWrap/>
            <w:vAlign w:val="bottom"/>
            <w:hideMark/>
          </w:tcPr>
          <w:p w14:paraId="3C649D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61" w:type="dxa"/>
            <w:tcBorders>
              <w:top w:val="single" w:sz="4" w:space="0" w:color="auto"/>
              <w:left w:val="nil"/>
              <w:bottom w:val="single" w:sz="4" w:space="0" w:color="auto"/>
              <w:right w:val="nil"/>
            </w:tcBorders>
            <w:shd w:val="clear" w:color="auto" w:fill="auto"/>
            <w:noWrap/>
            <w:vAlign w:val="bottom"/>
            <w:hideMark/>
          </w:tcPr>
          <w:p w14:paraId="7AFB8F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52 </w:t>
            </w:r>
          </w:p>
        </w:tc>
        <w:tc>
          <w:tcPr>
            <w:tcW w:w="1261" w:type="dxa"/>
            <w:tcBorders>
              <w:top w:val="single" w:sz="4" w:space="0" w:color="auto"/>
              <w:left w:val="nil"/>
              <w:bottom w:val="single" w:sz="4" w:space="0" w:color="auto"/>
              <w:right w:val="nil"/>
            </w:tcBorders>
            <w:shd w:val="clear" w:color="auto" w:fill="auto"/>
            <w:noWrap/>
            <w:vAlign w:val="bottom"/>
            <w:hideMark/>
          </w:tcPr>
          <w:p w14:paraId="1FAF4F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r>
    </w:tbl>
    <w:p w14:paraId="62DA6E9D"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70D26628" w14:textId="77777777" w:rsidR="00AC362E" w:rsidRPr="00491EF1" w:rsidRDefault="00AC362E" w:rsidP="00470803">
      <w:pPr>
        <w:pStyle w:val="Heading3"/>
      </w:pPr>
      <w:bookmarkStart w:id="236" w:name="_Toc461615821"/>
      <w:r w:rsidRPr="00491EF1">
        <w:lastRenderedPageBreak/>
        <w:t>School Leader Survey Data</w:t>
      </w:r>
      <w:bookmarkEnd w:id="236"/>
    </w:p>
    <w:p w14:paraId="52A606AA"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 Primary school leaders rating of the new curriculum by island-comfort</w:t>
      </w:r>
    </w:p>
    <w:tbl>
      <w:tblPr>
        <w:tblW w:w="7900" w:type="dxa"/>
        <w:tblInd w:w="93" w:type="dxa"/>
        <w:tblLook w:val="04A0" w:firstRow="1" w:lastRow="0" w:firstColumn="1" w:lastColumn="0" w:noHBand="0" w:noVBand="1"/>
      </w:tblPr>
      <w:tblGrid>
        <w:gridCol w:w="1681"/>
        <w:gridCol w:w="1540"/>
        <w:gridCol w:w="954"/>
        <w:gridCol w:w="1017"/>
        <w:gridCol w:w="1823"/>
        <w:gridCol w:w="941"/>
      </w:tblGrid>
      <w:tr w:rsidR="00AC362E" w:rsidRPr="00491EF1" w14:paraId="0FB3E63D" w14:textId="77777777" w:rsidTr="00ED0631">
        <w:trPr>
          <w:trHeight w:val="315"/>
        </w:trPr>
        <w:tc>
          <w:tcPr>
            <w:tcW w:w="1681" w:type="dxa"/>
            <w:tcBorders>
              <w:top w:val="single" w:sz="4" w:space="0" w:color="auto"/>
              <w:left w:val="nil"/>
              <w:bottom w:val="single" w:sz="4" w:space="0" w:color="auto"/>
              <w:right w:val="nil"/>
            </w:tcBorders>
            <w:shd w:val="clear" w:color="auto" w:fill="auto"/>
            <w:noWrap/>
            <w:vAlign w:val="bottom"/>
            <w:hideMark/>
          </w:tcPr>
          <w:p w14:paraId="465A849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Comfort</w:t>
            </w:r>
          </w:p>
        </w:tc>
        <w:tc>
          <w:tcPr>
            <w:tcW w:w="1540" w:type="dxa"/>
            <w:tcBorders>
              <w:top w:val="single" w:sz="4" w:space="0" w:color="auto"/>
              <w:left w:val="nil"/>
              <w:bottom w:val="single" w:sz="4" w:space="0" w:color="auto"/>
              <w:right w:val="nil"/>
            </w:tcBorders>
            <w:shd w:val="clear" w:color="auto" w:fill="auto"/>
            <w:noWrap/>
            <w:vAlign w:val="bottom"/>
            <w:hideMark/>
          </w:tcPr>
          <w:p w14:paraId="199D97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954" w:type="dxa"/>
            <w:tcBorders>
              <w:top w:val="single" w:sz="4" w:space="0" w:color="auto"/>
              <w:left w:val="nil"/>
              <w:bottom w:val="single" w:sz="4" w:space="0" w:color="auto"/>
              <w:right w:val="nil"/>
            </w:tcBorders>
            <w:shd w:val="clear" w:color="auto" w:fill="auto"/>
            <w:noWrap/>
            <w:vAlign w:val="bottom"/>
            <w:hideMark/>
          </w:tcPr>
          <w:p w14:paraId="4DB9CE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961" w:type="dxa"/>
            <w:tcBorders>
              <w:top w:val="single" w:sz="4" w:space="0" w:color="auto"/>
              <w:left w:val="nil"/>
              <w:bottom w:val="single" w:sz="4" w:space="0" w:color="auto"/>
              <w:right w:val="nil"/>
            </w:tcBorders>
            <w:shd w:val="clear" w:color="auto" w:fill="auto"/>
            <w:noWrap/>
            <w:vAlign w:val="bottom"/>
            <w:hideMark/>
          </w:tcPr>
          <w:p w14:paraId="6C38D3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c>
          <w:tcPr>
            <w:tcW w:w="1823" w:type="dxa"/>
            <w:tcBorders>
              <w:top w:val="single" w:sz="4" w:space="0" w:color="auto"/>
              <w:left w:val="nil"/>
              <w:bottom w:val="single" w:sz="4" w:space="0" w:color="auto"/>
              <w:right w:val="nil"/>
            </w:tcBorders>
            <w:shd w:val="clear" w:color="auto" w:fill="auto"/>
            <w:noWrap/>
            <w:vAlign w:val="bottom"/>
            <w:hideMark/>
          </w:tcPr>
          <w:p w14:paraId="5B1E52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disagree </w:t>
            </w:r>
          </w:p>
        </w:tc>
        <w:tc>
          <w:tcPr>
            <w:tcW w:w="941" w:type="dxa"/>
            <w:tcBorders>
              <w:top w:val="single" w:sz="4" w:space="0" w:color="auto"/>
              <w:left w:val="nil"/>
              <w:bottom w:val="single" w:sz="4" w:space="0" w:color="auto"/>
              <w:right w:val="nil"/>
            </w:tcBorders>
            <w:shd w:val="clear" w:color="auto" w:fill="auto"/>
            <w:noWrap/>
            <w:vAlign w:val="bottom"/>
            <w:hideMark/>
          </w:tcPr>
          <w:p w14:paraId="354ABF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Unsure </w:t>
            </w:r>
          </w:p>
        </w:tc>
      </w:tr>
      <w:tr w:rsidR="00AC362E" w:rsidRPr="00491EF1" w14:paraId="6B405490" w14:textId="77777777" w:rsidTr="00ED0631">
        <w:trPr>
          <w:trHeight w:val="315"/>
        </w:trPr>
        <w:tc>
          <w:tcPr>
            <w:tcW w:w="1681" w:type="dxa"/>
            <w:tcBorders>
              <w:top w:val="nil"/>
              <w:left w:val="nil"/>
              <w:bottom w:val="nil"/>
              <w:right w:val="nil"/>
            </w:tcBorders>
            <w:shd w:val="clear" w:color="auto" w:fill="auto"/>
            <w:noWrap/>
            <w:vAlign w:val="bottom"/>
            <w:hideMark/>
          </w:tcPr>
          <w:p w14:paraId="039474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540" w:type="dxa"/>
            <w:tcBorders>
              <w:top w:val="nil"/>
              <w:left w:val="nil"/>
              <w:bottom w:val="nil"/>
              <w:right w:val="nil"/>
            </w:tcBorders>
            <w:shd w:val="clear" w:color="auto" w:fill="auto"/>
            <w:noWrap/>
            <w:vAlign w:val="bottom"/>
            <w:hideMark/>
          </w:tcPr>
          <w:p w14:paraId="715095C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54" w:type="dxa"/>
            <w:tcBorders>
              <w:top w:val="nil"/>
              <w:left w:val="nil"/>
              <w:bottom w:val="nil"/>
              <w:right w:val="nil"/>
            </w:tcBorders>
            <w:shd w:val="clear" w:color="auto" w:fill="auto"/>
            <w:noWrap/>
            <w:vAlign w:val="bottom"/>
            <w:hideMark/>
          </w:tcPr>
          <w:p w14:paraId="3B8E3E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61" w:type="dxa"/>
            <w:tcBorders>
              <w:top w:val="nil"/>
              <w:left w:val="nil"/>
              <w:bottom w:val="nil"/>
              <w:right w:val="nil"/>
            </w:tcBorders>
            <w:shd w:val="clear" w:color="auto" w:fill="auto"/>
            <w:noWrap/>
            <w:vAlign w:val="bottom"/>
            <w:hideMark/>
          </w:tcPr>
          <w:p w14:paraId="5B0AD8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823" w:type="dxa"/>
            <w:tcBorders>
              <w:top w:val="nil"/>
              <w:left w:val="nil"/>
              <w:bottom w:val="nil"/>
              <w:right w:val="nil"/>
            </w:tcBorders>
            <w:shd w:val="clear" w:color="auto" w:fill="auto"/>
            <w:noWrap/>
            <w:vAlign w:val="bottom"/>
            <w:hideMark/>
          </w:tcPr>
          <w:p w14:paraId="4A2CAE2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2F22F5E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EE994C6" w14:textId="77777777" w:rsidTr="00ED0631">
        <w:trPr>
          <w:trHeight w:val="315"/>
        </w:trPr>
        <w:tc>
          <w:tcPr>
            <w:tcW w:w="1681" w:type="dxa"/>
            <w:tcBorders>
              <w:top w:val="nil"/>
              <w:left w:val="nil"/>
              <w:bottom w:val="nil"/>
              <w:right w:val="nil"/>
            </w:tcBorders>
            <w:shd w:val="clear" w:color="auto" w:fill="auto"/>
            <w:noWrap/>
            <w:vAlign w:val="bottom"/>
            <w:hideMark/>
          </w:tcPr>
          <w:p w14:paraId="1DF91A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540" w:type="dxa"/>
            <w:tcBorders>
              <w:top w:val="nil"/>
              <w:left w:val="nil"/>
              <w:bottom w:val="nil"/>
              <w:right w:val="nil"/>
            </w:tcBorders>
            <w:shd w:val="clear" w:color="auto" w:fill="auto"/>
            <w:noWrap/>
            <w:vAlign w:val="bottom"/>
            <w:hideMark/>
          </w:tcPr>
          <w:p w14:paraId="787ECE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54" w:type="dxa"/>
            <w:tcBorders>
              <w:top w:val="nil"/>
              <w:left w:val="nil"/>
              <w:bottom w:val="nil"/>
              <w:right w:val="nil"/>
            </w:tcBorders>
            <w:shd w:val="clear" w:color="auto" w:fill="auto"/>
            <w:noWrap/>
            <w:vAlign w:val="bottom"/>
            <w:hideMark/>
          </w:tcPr>
          <w:p w14:paraId="33B4B5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961" w:type="dxa"/>
            <w:tcBorders>
              <w:top w:val="nil"/>
              <w:left w:val="nil"/>
              <w:bottom w:val="nil"/>
              <w:right w:val="nil"/>
            </w:tcBorders>
            <w:shd w:val="clear" w:color="auto" w:fill="auto"/>
            <w:noWrap/>
            <w:vAlign w:val="bottom"/>
            <w:hideMark/>
          </w:tcPr>
          <w:p w14:paraId="369D05E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40F80CB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070D93B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6F492CE" w14:textId="77777777" w:rsidTr="00ED0631">
        <w:trPr>
          <w:trHeight w:val="315"/>
        </w:trPr>
        <w:tc>
          <w:tcPr>
            <w:tcW w:w="1681" w:type="dxa"/>
            <w:tcBorders>
              <w:top w:val="nil"/>
              <w:left w:val="nil"/>
              <w:bottom w:val="nil"/>
              <w:right w:val="nil"/>
            </w:tcBorders>
            <w:shd w:val="clear" w:color="auto" w:fill="auto"/>
            <w:noWrap/>
            <w:vAlign w:val="bottom"/>
            <w:hideMark/>
          </w:tcPr>
          <w:p w14:paraId="51FD44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540" w:type="dxa"/>
            <w:tcBorders>
              <w:top w:val="nil"/>
              <w:left w:val="nil"/>
              <w:bottom w:val="nil"/>
              <w:right w:val="nil"/>
            </w:tcBorders>
            <w:shd w:val="clear" w:color="auto" w:fill="auto"/>
            <w:noWrap/>
            <w:vAlign w:val="bottom"/>
            <w:hideMark/>
          </w:tcPr>
          <w:p w14:paraId="7C4BE4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54" w:type="dxa"/>
            <w:tcBorders>
              <w:top w:val="nil"/>
              <w:left w:val="nil"/>
              <w:bottom w:val="nil"/>
              <w:right w:val="nil"/>
            </w:tcBorders>
            <w:shd w:val="clear" w:color="auto" w:fill="auto"/>
            <w:noWrap/>
            <w:vAlign w:val="bottom"/>
            <w:hideMark/>
          </w:tcPr>
          <w:p w14:paraId="068A70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61" w:type="dxa"/>
            <w:tcBorders>
              <w:top w:val="nil"/>
              <w:left w:val="nil"/>
              <w:bottom w:val="nil"/>
              <w:right w:val="nil"/>
            </w:tcBorders>
            <w:shd w:val="clear" w:color="auto" w:fill="auto"/>
            <w:noWrap/>
            <w:vAlign w:val="bottom"/>
            <w:hideMark/>
          </w:tcPr>
          <w:p w14:paraId="080C878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63B8D3C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44A19C4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92FAB6A" w14:textId="77777777" w:rsidTr="00ED0631">
        <w:trPr>
          <w:trHeight w:val="315"/>
        </w:trPr>
        <w:tc>
          <w:tcPr>
            <w:tcW w:w="1681" w:type="dxa"/>
            <w:tcBorders>
              <w:top w:val="nil"/>
              <w:left w:val="nil"/>
              <w:bottom w:val="nil"/>
              <w:right w:val="nil"/>
            </w:tcBorders>
            <w:shd w:val="clear" w:color="auto" w:fill="auto"/>
            <w:noWrap/>
            <w:vAlign w:val="bottom"/>
            <w:hideMark/>
          </w:tcPr>
          <w:p w14:paraId="6FB0A1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540" w:type="dxa"/>
            <w:tcBorders>
              <w:top w:val="nil"/>
              <w:left w:val="nil"/>
              <w:bottom w:val="nil"/>
              <w:right w:val="nil"/>
            </w:tcBorders>
            <w:shd w:val="clear" w:color="auto" w:fill="auto"/>
            <w:noWrap/>
            <w:vAlign w:val="bottom"/>
            <w:hideMark/>
          </w:tcPr>
          <w:p w14:paraId="663E312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54" w:type="dxa"/>
            <w:tcBorders>
              <w:top w:val="nil"/>
              <w:left w:val="nil"/>
              <w:bottom w:val="nil"/>
              <w:right w:val="nil"/>
            </w:tcBorders>
            <w:shd w:val="clear" w:color="auto" w:fill="auto"/>
            <w:noWrap/>
            <w:vAlign w:val="bottom"/>
            <w:hideMark/>
          </w:tcPr>
          <w:p w14:paraId="7AF0F3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961" w:type="dxa"/>
            <w:tcBorders>
              <w:top w:val="nil"/>
              <w:left w:val="nil"/>
              <w:bottom w:val="nil"/>
              <w:right w:val="nil"/>
            </w:tcBorders>
            <w:shd w:val="clear" w:color="auto" w:fill="auto"/>
            <w:noWrap/>
            <w:vAlign w:val="bottom"/>
            <w:hideMark/>
          </w:tcPr>
          <w:p w14:paraId="08BDF82C"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7AE65D7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729C81E2"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5276C2B" w14:textId="77777777" w:rsidTr="00ED0631">
        <w:trPr>
          <w:trHeight w:val="315"/>
        </w:trPr>
        <w:tc>
          <w:tcPr>
            <w:tcW w:w="1681" w:type="dxa"/>
            <w:tcBorders>
              <w:top w:val="nil"/>
              <w:left w:val="nil"/>
              <w:bottom w:val="nil"/>
              <w:right w:val="nil"/>
            </w:tcBorders>
            <w:shd w:val="clear" w:color="auto" w:fill="auto"/>
            <w:noWrap/>
            <w:vAlign w:val="bottom"/>
            <w:hideMark/>
          </w:tcPr>
          <w:p w14:paraId="34D00C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540" w:type="dxa"/>
            <w:tcBorders>
              <w:top w:val="nil"/>
              <w:left w:val="nil"/>
              <w:bottom w:val="nil"/>
              <w:right w:val="nil"/>
            </w:tcBorders>
            <w:shd w:val="clear" w:color="auto" w:fill="auto"/>
            <w:noWrap/>
            <w:vAlign w:val="bottom"/>
            <w:hideMark/>
          </w:tcPr>
          <w:p w14:paraId="2C7C62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54" w:type="dxa"/>
            <w:tcBorders>
              <w:top w:val="nil"/>
              <w:left w:val="nil"/>
              <w:bottom w:val="nil"/>
              <w:right w:val="nil"/>
            </w:tcBorders>
            <w:shd w:val="clear" w:color="auto" w:fill="auto"/>
            <w:noWrap/>
            <w:vAlign w:val="bottom"/>
            <w:hideMark/>
          </w:tcPr>
          <w:p w14:paraId="3AD1B2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961" w:type="dxa"/>
            <w:tcBorders>
              <w:top w:val="nil"/>
              <w:left w:val="nil"/>
              <w:bottom w:val="nil"/>
              <w:right w:val="nil"/>
            </w:tcBorders>
            <w:shd w:val="clear" w:color="auto" w:fill="auto"/>
            <w:noWrap/>
            <w:vAlign w:val="bottom"/>
            <w:hideMark/>
          </w:tcPr>
          <w:p w14:paraId="19C8FB3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4E5B639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2309AC6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F449440" w14:textId="77777777" w:rsidTr="00ED0631">
        <w:trPr>
          <w:trHeight w:val="315"/>
        </w:trPr>
        <w:tc>
          <w:tcPr>
            <w:tcW w:w="1681" w:type="dxa"/>
            <w:tcBorders>
              <w:top w:val="nil"/>
              <w:left w:val="nil"/>
              <w:bottom w:val="nil"/>
              <w:right w:val="nil"/>
            </w:tcBorders>
            <w:shd w:val="clear" w:color="auto" w:fill="auto"/>
            <w:noWrap/>
            <w:vAlign w:val="bottom"/>
            <w:hideMark/>
          </w:tcPr>
          <w:p w14:paraId="146D80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540" w:type="dxa"/>
            <w:tcBorders>
              <w:top w:val="nil"/>
              <w:left w:val="nil"/>
              <w:bottom w:val="nil"/>
              <w:right w:val="nil"/>
            </w:tcBorders>
            <w:shd w:val="clear" w:color="auto" w:fill="auto"/>
            <w:noWrap/>
            <w:vAlign w:val="bottom"/>
            <w:hideMark/>
          </w:tcPr>
          <w:p w14:paraId="47E457B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54" w:type="dxa"/>
            <w:tcBorders>
              <w:top w:val="nil"/>
              <w:left w:val="nil"/>
              <w:bottom w:val="nil"/>
              <w:right w:val="nil"/>
            </w:tcBorders>
            <w:shd w:val="clear" w:color="auto" w:fill="auto"/>
            <w:noWrap/>
            <w:vAlign w:val="bottom"/>
            <w:hideMark/>
          </w:tcPr>
          <w:p w14:paraId="1E0524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961" w:type="dxa"/>
            <w:tcBorders>
              <w:top w:val="nil"/>
              <w:left w:val="nil"/>
              <w:bottom w:val="nil"/>
              <w:right w:val="nil"/>
            </w:tcBorders>
            <w:shd w:val="clear" w:color="auto" w:fill="auto"/>
            <w:noWrap/>
            <w:vAlign w:val="bottom"/>
            <w:hideMark/>
          </w:tcPr>
          <w:p w14:paraId="46619DD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29F14B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1" w:type="dxa"/>
            <w:tcBorders>
              <w:top w:val="nil"/>
              <w:left w:val="nil"/>
              <w:bottom w:val="nil"/>
              <w:right w:val="nil"/>
            </w:tcBorders>
            <w:shd w:val="clear" w:color="auto" w:fill="auto"/>
            <w:noWrap/>
            <w:vAlign w:val="bottom"/>
            <w:hideMark/>
          </w:tcPr>
          <w:p w14:paraId="28E4740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D6427F5" w14:textId="77777777" w:rsidTr="00ED0631">
        <w:trPr>
          <w:trHeight w:val="315"/>
        </w:trPr>
        <w:tc>
          <w:tcPr>
            <w:tcW w:w="1681" w:type="dxa"/>
            <w:tcBorders>
              <w:top w:val="nil"/>
              <w:left w:val="nil"/>
              <w:bottom w:val="nil"/>
              <w:right w:val="nil"/>
            </w:tcBorders>
            <w:shd w:val="clear" w:color="auto" w:fill="auto"/>
            <w:noWrap/>
            <w:vAlign w:val="bottom"/>
            <w:hideMark/>
          </w:tcPr>
          <w:p w14:paraId="64F835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540" w:type="dxa"/>
            <w:tcBorders>
              <w:top w:val="nil"/>
              <w:left w:val="nil"/>
              <w:bottom w:val="nil"/>
              <w:right w:val="nil"/>
            </w:tcBorders>
            <w:shd w:val="clear" w:color="auto" w:fill="auto"/>
            <w:noWrap/>
            <w:vAlign w:val="bottom"/>
            <w:hideMark/>
          </w:tcPr>
          <w:p w14:paraId="212224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54" w:type="dxa"/>
            <w:tcBorders>
              <w:top w:val="nil"/>
              <w:left w:val="nil"/>
              <w:bottom w:val="nil"/>
              <w:right w:val="nil"/>
            </w:tcBorders>
            <w:shd w:val="clear" w:color="auto" w:fill="auto"/>
            <w:noWrap/>
            <w:vAlign w:val="bottom"/>
            <w:hideMark/>
          </w:tcPr>
          <w:p w14:paraId="35E474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961" w:type="dxa"/>
            <w:tcBorders>
              <w:top w:val="nil"/>
              <w:left w:val="nil"/>
              <w:bottom w:val="nil"/>
              <w:right w:val="nil"/>
            </w:tcBorders>
            <w:shd w:val="clear" w:color="auto" w:fill="auto"/>
            <w:noWrap/>
            <w:vAlign w:val="bottom"/>
            <w:hideMark/>
          </w:tcPr>
          <w:p w14:paraId="185A2DA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56966D9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63F6C80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D6BB791" w14:textId="77777777" w:rsidTr="00ED0631">
        <w:trPr>
          <w:trHeight w:val="315"/>
        </w:trPr>
        <w:tc>
          <w:tcPr>
            <w:tcW w:w="1681" w:type="dxa"/>
            <w:tcBorders>
              <w:top w:val="nil"/>
              <w:left w:val="nil"/>
              <w:bottom w:val="nil"/>
              <w:right w:val="nil"/>
            </w:tcBorders>
            <w:shd w:val="clear" w:color="auto" w:fill="auto"/>
            <w:noWrap/>
            <w:vAlign w:val="bottom"/>
            <w:hideMark/>
          </w:tcPr>
          <w:p w14:paraId="565DA8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540" w:type="dxa"/>
            <w:tcBorders>
              <w:top w:val="nil"/>
              <w:left w:val="nil"/>
              <w:bottom w:val="nil"/>
              <w:right w:val="nil"/>
            </w:tcBorders>
            <w:shd w:val="clear" w:color="auto" w:fill="auto"/>
            <w:noWrap/>
            <w:vAlign w:val="bottom"/>
            <w:hideMark/>
          </w:tcPr>
          <w:p w14:paraId="620541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54" w:type="dxa"/>
            <w:tcBorders>
              <w:top w:val="nil"/>
              <w:left w:val="nil"/>
              <w:bottom w:val="nil"/>
              <w:right w:val="nil"/>
            </w:tcBorders>
            <w:shd w:val="clear" w:color="auto" w:fill="auto"/>
            <w:noWrap/>
            <w:vAlign w:val="bottom"/>
            <w:hideMark/>
          </w:tcPr>
          <w:p w14:paraId="7EA64E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61" w:type="dxa"/>
            <w:tcBorders>
              <w:top w:val="nil"/>
              <w:left w:val="nil"/>
              <w:bottom w:val="nil"/>
              <w:right w:val="nil"/>
            </w:tcBorders>
            <w:shd w:val="clear" w:color="auto" w:fill="auto"/>
            <w:noWrap/>
            <w:vAlign w:val="bottom"/>
            <w:hideMark/>
          </w:tcPr>
          <w:p w14:paraId="4D17F14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2A9078A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03707CA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443170D" w14:textId="77777777" w:rsidTr="00ED0631">
        <w:trPr>
          <w:trHeight w:val="315"/>
        </w:trPr>
        <w:tc>
          <w:tcPr>
            <w:tcW w:w="1681" w:type="dxa"/>
            <w:tcBorders>
              <w:top w:val="nil"/>
              <w:left w:val="nil"/>
              <w:bottom w:val="nil"/>
              <w:right w:val="nil"/>
            </w:tcBorders>
            <w:shd w:val="clear" w:color="auto" w:fill="auto"/>
            <w:noWrap/>
            <w:vAlign w:val="bottom"/>
            <w:hideMark/>
          </w:tcPr>
          <w:p w14:paraId="786DEA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540" w:type="dxa"/>
            <w:tcBorders>
              <w:top w:val="nil"/>
              <w:left w:val="nil"/>
              <w:bottom w:val="nil"/>
              <w:right w:val="nil"/>
            </w:tcBorders>
            <w:shd w:val="clear" w:color="auto" w:fill="auto"/>
            <w:noWrap/>
            <w:vAlign w:val="bottom"/>
            <w:hideMark/>
          </w:tcPr>
          <w:p w14:paraId="2BC72C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54" w:type="dxa"/>
            <w:tcBorders>
              <w:top w:val="nil"/>
              <w:left w:val="nil"/>
              <w:bottom w:val="nil"/>
              <w:right w:val="nil"/>
            </w:tcBorders>
            <w:shd w:val="clear" w:color="auto" w:fill="auto"/>
            <w:noWrap/>
            <w:vAlign w:val="bottom"/>
            <w:hideMark/>
          </w:tcPr>
          <w:p w14:paraId="13086F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961" w:type="dxa"/>
            <w:tcBorders>
              <w:top w:val="nil"/>
              <w:left w:val="nil"/>
              <w:bottom w:val="nil"/>
              <w:right w:val="nil"/>
            </w:tcBorders>
            <w:shd w:val="clear" w:color="auto" w:fill="auto"/>
            <w:noWrap/>
            <w:vAlign w:val="bottom"/>
            <w:hideMark/>
          </w:tcPr>
          <w:p w14:paraId="45B274A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823" w:type="dxa"/>
            <w:tcBorders>
              <w:top w:val="nil"/>
              <w:left w:val="nil"/>
              <w:bottom w:val="nil"/>
              <w:right w:val="nil"/>
            </w:tcBorders>
            <w:shd w:val="clear" w:color="auto" w:fill="auto"/>
            <w:noWrap/>
            <w:vAlign w:val="bottom"/>
            <w:hideMark/>
          </w:tcPr>
          <w:p w14:paraId="6A330FB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1" w:type="dxa"/>
            <w:tcBorders>
              <w:top w:val="nil"/>
              <w:left w:val="nil"/>
              <w:bottom w:val="nil"/>
              <w:right w:val="nil"/>
            </w:tcBorders>
            <w:shd w:val="clear" w:color="auto" w:fill="auto"/>
            <w:noWrap/>
            <w:vAlign w:val="bottom"/>
            <w:hideMark/>
          </w:tcPr>
          <w:p w14:paraId="43EE33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E4E695C" w14:textId="77777777" w:rsidTr="00ED0631">
        <w:trPr>
          <w:trHeight w:val="315"/>
        </w:trPr>
        <w:tc>
          <w:tcPr>
            <w:tcW w:w="1681" w:type="dxa"/>
            <w:tcBorders>
              <w:top w:val="single" w:sz="4" w:space="0" w:color="auto"/>
              <w:left w:val="nil"/>
              <w:bottom w:val="single" w:sz="4" w:space="0" w:color="auto"/>
              <w:right w:val="nil"/>
            </w:tcBorders>
            <w:shd w:val="clear" w:color="auto" w:fill="auto"/>
            <w:noWrap/>
            <w:vAlign w:val="bottom"/>
            <w:hideMark/>
          </w:tcPr>
          <w:p w14:paraId="3CD815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540" w:type="dxa"/>
            <w:tcBorders>
              <w:top w:val="single" w:sz="4" w:space="0" w:color="auto"/>
              <w:left w:val="nil"/>
              <w:bottom w:val="single" w:sz="4" w:space="0" w:color="auto"/>
              <w:right w:val="nil"/>
            </w:tcBorders>
            <w:shd w:val="clear" w:color="auto" w:fill="auto"/>
            <w:noWrap/>
            <w:vAlign w:val="bottom"/>
            <w:hideMark/>
          </w:tcPr>
          <w:p w14:paraId="48B250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954" w:type="dxa"/>
            <w:tcBorders>
              <w:top w:val="single" w:sz="4" w:space="0" w:color="auto"/>
              <w:left w:val="nil"/>
              <w:bottom w:val="single" w:sz="4" w:space="0" w:color="auto"/>
              <w:right w:val="nil"/>
            </w:tcBorders>
            <w:shd w:val="clear" w:color="auto" w:fill="auto"/>
            <w:noWrap/>
            <w:vAlign w:val="bottom"/>
            <w:hideMark/>
          </w:tcPr>
          <w:p w14:paraId="7BCD95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33 </w:t>
            </w:r>
          </w:p>
        </w:tc>
        <w:tc>
          <w:tcPr>
            <w:tcW w:w="961" w:type="dxa"/>
            <w:tcBorders>
              <w:top w:val="single" w:sz="4" w:space="0" w:color="auto"/>
              <w:left w:val="nil"/>
              <w:bottom w:val="single" w:sz="4" w:space="0" w:color="auto"/>
              <w:right w:val="nil"/>
            </w:tcBorders>
            <w:shd w:val="clear" w:color="auto" w:fill="auto"/>
            <w:noWrap/>
            <w:vAlign w:val="bottom"/>
            <w:hideMark/>
          </w:tcPr>
          <w:p w14:paraId="18F5BF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823" w:type="dxa"/>
            <w:tcBorders>
              <w:top w:val="single" w:sz="4" w:space="0" w:color="auto"/>
              <w:left w:val="nil"/>
              <w:bottom w:val="single" w:sz="4" w:space="0" w:color="auto"/>
              <w:right w:val="nil"/>
            </w:tcBorders>
            <w:shd w:val="clear" w:color="auto" w:fill="auto"/>
            <w:noWrap/>
            <w:vAlign w:val="bottom"/>
            <w:hideMark/>
          </w:tcPr>
          <w:p w14:paraId="26C96D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1" w:type="dxa"/>
            <w:tcBorders>
              <w:top w:val="single" w:sz="4" w:space="0" w:color="auto"/>
              <w:left w:val="nil"/>
              <w:bottom w:val="single" w:sz="4" w:space="0" w:color="auto"/>
              <w:right w:val="nil"/>
            </w:tcBorders>
            <w:shd w:val="clear" w:color="auto" w:fill="auto"/>
            <w:noWrap/>
            <w:vAlign w:val="bottom"/>
            <w:hideMark/>
          </w:tcPr>
          <w:p w14:paraId="188B2D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112CAE44"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2: Primary school leaders rating of the new curriculum by island category-comfort </w:t>
      </w:r>
    </w:p>
    <w:tbl>
      <w:tblPr>
        <w:tblW w:w="8420" w:type="dxa"/>
        <w:tblInd w:w="93" w:type="dxa"/>
        <w:tblLook w:val="04A0" w:firstRow="1" w:lastRow="0" w:firstColumn="1" w:lastColumn="0" w:noHBand="0" w:noVBand="1"/>
      </w:tblPr>
      <w:tblGrid>
        <w:gridCol w:w="1352"/>
        <w:gridCol w:w="1624"/>
        <w:gridCol w:w="1183"/>
        <w:gridCol w:w="1169"/>
        <w:gridCol w:w="1923"/>
        <w:gridCol w:w="1169"/>
      </w:tblGrid>
      <w:tr w:rsidR="00AC362E" w:rsidRPr="00491EF1" w14:paraId="3FEB9253" w14:textId="77777777" w:rsidTr="00ED0631">
        <w:trPr>
          <w:trHeight w:val="315"/>
        </w:trPr>
        <w:tc>
          <w:tcPr>
            <w:tcW w:w="1352" w:type="dxa"/>
            <w:tcBorders>
              <w:top w:val="single" w:sz="4" w:space="0" w:color="auto"/>
              <w:left w:val="nil"/>
              <w:bottom w:val="nil"/>
              <w:right w:val="nil"/>
            </w:tcBorders>
            <w:shd w:val="clear" w:color="auto" w:fill="auto"/>
            <w:noWrap/>
            <w:vAlign w:val="bottom"/>
            <w:hideMark/>
          </w:tcPr>
          <w:p w14:paraId="7A2610E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Comfort </w:t>
            </w:r>
          </w:p>
        </w:tc>
        <w:tc>
          <w:tcPr>
            <w:tcW w:w="1624" w:type="dxa"/>
            <w:tcBorders>
              <w:top w:val="single" w:sz="4" w:space="0" w:color="auto"/>
              <w:left w:val="nil"/>
              <w:bottom w:val="nil"/>
              <w:right w:val="nil"/>
            </w:tcBorders>
            <w:shd w:val="clear" w:color="auto" w:fill="auto"/>
            <w:noWrap/>
            <w:vAlign w:val="bottom"/>
            <w:hideMark/>
          </w:tcPr>
          <w:p w14:paraId="2162B8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183" w:type="dxa"/>
            <w:tcBorders>
              <w:top w:val="single" w:sz="4" w:space="0" w:color="auto"/>
              <w:left w:val="nil"/>
              <w:bottom w:val="nil"/>
              <w:right w:val="nil"/>
            </w:tcBorders>
            <w:shd w:val="clear" w:color="auto" w:fill="auto"/>
            <w:noWrap/>
            <w:vAlign w:val="bottom"/>
            <w:hideMark/>
          </w:tcPr>
          <w:p w14:paraId="6349C6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169" w:type="dxa"/>
            <w:tcBorders>
              <w:top w:val="single" w:sz="4" w:space="0" w:color="auto"/>
              <w:left w:val="nil"/>
              <w:bottom w:val="nil"/>
              <w:right w:val="nil"/>
            </w:tcBorders>
            <w:shd w:val="clear" w:color="auto" w:fill="auto"/>
            <w:noWrap/>
            <w:vAlign w:val="bottom"/>
            <w:hideMark/>
          </w:tcPr>
          <w:p w14:paraId="205895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c>
          <w:tcPr>
            <w:tcW w:w="1923" w:type="dxa"/>
            <w:tcBorders>
              <w:top w:val="single" w:sz="4" w:space="0" w:color="auto"/>
              <w:left w:val="nil"/>
              <w:bottom w:val="nil"/>
              <w:right w:val="nil"/>
            </w:tcBorders>
            <w:shd w:val="clear" w:color="auto" w:fill="auto"/>
            <w:noWrap/>
            <w:vAlign w:val="bottom"/>
            <w:hideMark/>
          </w:tcPr>
          <w:p w14:paraId="015CB2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disagree </w:t>
            </w:r>
          </w:p>
        </w:tc>
        <w:tc>
          <w:tcPr>
            <w:tcW w:w="1169" w:type="dxa"/>
            <w:tcBorders>
              <w:top w:val="single" w:sz="4" w:space="0" w:color="auto"/>
              <w:left w:val="nil"/>
              <w:bottom w:val="nil"/>
              <w:right w:val="nil"/>
            </w:tcBorders>
            <w:shd w:val="clear" w:color="auto" w:fill="auto"/>
            <w:noWrap/>
            <w:vAlign w:val="bottom"/>
            <w:hideMark/>
          </w:tcPr>
          <w:p w14:paraId="5C3031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Unsure </w:t>
            </w:r>
          </w:p>
        </w:tc>
      </w:tr>
      <w:tr w:rsidR="00AC362E" w:rsidRPr="00491EF1" w14:paraId="26C09C0D" w14:textId="77777777" w:rsidTr="00ED0631">
        <w:trPr>
          <w:trHeight w:val="315"/>
        </w:trPr>
        <w:tc>
          <w:tcPr>
            <w:tcW w:w="1352" w:type="dxa"/>
            <w:tcBorders>
              <w:top w:val="single" w:sz="4" w:space="0" w:color="auto"/>
              <w:left w:val="nil"/>
              <w:bottom w:val="nil"/>
              <w:right w:val="nil"/>
            </w:tcBorders>
            <w:shd w:val="clear" w:color="auto" w:fill="auto"/>
            <w:noWrap/>
            <w:vAlign w:val="bottom"/>
            <w:hideMark/>
          </w:tcPr>
          <w:p w14:paraId="4B5953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624" w:type="dxa"/>
            <w:tcBorders>
              <w:top w:val="single" w:sz="4" w:space="0" w:color="auto"/>
              <w:left w:val="nil"/>
              <w:bottom w:val="nil"/>
              <w:right w:val="nil"/>
            </w:tcBorders>
            <w:shd w:val="clear" w:color="auto" w:fill="auto"/>
            <w:noWrap/>
            <w:vAlign w:val="bottom"/>
            <w:hideMark/>
          </w:tcPr>
          <w:p w14:paraId="3CF808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183" w:type="dxa"/>
            <w:tcBorders>
              <w:top w:val="single" w:sz="4" w:space="0" w:color="auto"/>
              <w:left w:val="nil"/>
              <w:bottom w:val="nil"/>
              <w:right w:val="nil"/>
            </w:tcBorders>
            <w:shd w:val="clear" w:color="auto" w:fill="auto"/>
            <w:noWrap/>
            <w:vAlign w:val="bottom"/>
            <w:hideMark/>
          </w:tcPr>
          <w:p w14:paraId="127C05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1169" w:type="dxa"/>
            <w:tcBorders>
              <w:top w:val="single" w:sz="4" w:space="0" w:color="auto"/>
              <w:left w:val="nil"/>
              <w:bottom w:val="nil"/>
              <w:right w:val="nil"/>
            </w:tcBorders>
            <w:shd w:val="clear" w:color="auto" w:fill="auto"/>
            <w:noWrap/>
            <w:vAlign w:val="bottom"/>
            <w:hideMark/>
          </w:tcPr>
          <w:p w14:paraId="3AE44F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923" w:type="dxa"/>
            <w:tcBorders>
              <w:top w:val="single" w:sz="4" w:space="0" w:color="auto"/>
              <w:left w:val="nil"/>
              <w:bottom w:val="nil"/>
              <w:right w:val="nil"/>
            </w:tcBorders>
            <w:shd w:val="clear" w:color="auto" w:fill="auto"/>
            <w:noWrap/>
            <w:vAlign w:val="bottom"/>
            <w:hideMark/>
          </w:tcPr>
          <w:p w14:paraId="63CD13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169" w:type="dxa"/>
            <w:tcBorders>
              <w:top w:val="single" w:sz="4" w:space="0" w:color="auto"/>
              <w:left w:val="nil"/>
              <w:bottom w:val="nil"/>
              <w:right w:val="nil"/>
            </w:tcBorders>
            <w:shd w:val="clear" w:color="auto" w:fill="auto"/>
            <w:noWrap/>
            <w:vAlign w:val="bottom"/>
            <w:hideMark/>
          </w:tcPr>
          <w:p w14:paraId="4D613F2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58798357" w14:textId="77777777" w:rsidTr="00ED0631">
        <w:trPr>
          <w:trHeight w:val="315"/>
        </w:trPr>
        <w:tc>
          <w:tcPr>
            <w:tcW w:w="1352" w:type="dxa"/>
            <w:tcBorders>
              <w:top w:val="nil"/>
              <w:left w:val="nil"/>
              <w:bottom w:val="nil"/>
              <w:right w:val="nil"/>
            </w:tcBorders>
            <w:shd w:val="clear" w:color="auto" w:fill="auto"/>
            <w:noWrap/>
            <w:vAlign w:val="bottom"/>
            <w:hideMark/>
          </w:tcPr>
          <w:p w14:paraId="462F73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624" w:type="dxa"/>
            <w:tcBorders>
              <w:top w:val="nil"/>
              <w:left w:val="nil"/>
              <w:bottom w:val="nil"/>
              <w:right w:val="nil"/>
            </w:tcBorders>
            <w:shd w:val="clear" w:color="auto" w:fill="auto"/>
            <w:noWrap/>
            <w:vAlign w:val="bottom"/>
            <w:hideMark/>
          </w:tcPr>
          <w:p w14:paraId="2564E7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183" w:type="dxa"/>
            <w:tcBorders>
              <w:top w:val="nil"/>
              <w:left w:val="nil"/>
              <w:bottom w:val="nil"/>
              <w:right w:val="nil"/>
            </w:tcBorders>
            <w:shd w:val="clear" w:color="auto" w:fill="auto"/>
            <w:noWrap/>
            <w:vAlign w:val="bottom"/>
            <w:hideMark/>
          </w:tcPr>
          <w:p w14:paraId="2B0527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169" w:type="dxa"/>
            <w:tcBorders>
              <w:top w:val="nil"/>
              <w:left w:val="nil"/>
              <w:bottom w:val="nil"/>
              <w:right w:val="nil"/>
            </w:tcBorders>
            <w:shd w:val="clear" w:color="auto" w:fill="auto"/>
            <w:noWrap/>
            <w:vAlign w:val="bottom"/>
            <w:hideMark/>
          </w:tcPr>
          <w:p w14:paraId="7FD0D80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09FBF11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9" w:type="dxa"/>
            <w:tcBorders>
              <w:top w:val="nil"/>
              <w:left w:val="nil"/>
              <w:bottom w:val="nil"/>
              <w:right w:val="nil"/>
            </w:tcBorders>
            <w:shd w:val="clear" w:color="auto" w:fill="auto"/>
            <w:noWrap/>
            <w:vAlign w:val="bottom"/>
            <w:hideMark/>
          </w:tcPr>
          <w:p w14:paraId="215BC3F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26A40E8" w14:textId="77777777" w:rsidTr="00ED0631">
        <w:trPr>
          <w:trHeight w:val="315"/>
        </w:trPr>
        <w:tc>
          <w:tcPr>
            <w:tcW w:w="1352" w:type="dxa"/>
            <w:tcBorders>
              <w:top w:val="nil"/>
              <w:left w:val="nil"/>
              <w:bottom w:val="nil"/>
              <w:right w:val="nil"/>
            </w:tcBorders>
            <w:shd w:val="clear" w:color="auto" w:fill="auto"/>
            <w:noWrap/>
            <w:vAlign w:val="bottom"/>
            <w:hideMark/>
          </w:tcPr>
          <w:p w14:paraId="48B08B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624" w:type="dxa"/>
            <w:tcBorders>
              <w:top w:val="nil"/>
              <w:left w:val="nil"/>
              <w:bottom w:val="nil"/>
              <w:right w:val="nil"/>
            </w:tcBorders>
            <w:shd w:val="clear" w:color="auto" w:fill="auto"/>
            <w:noWrap/>
            <w:vAlign w:val="bottom"/>
            <w:hideMark/>
          </w:tcPr>
          <w:p w14:paraId="37EB5B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183" w:type="dxa"/>
            <w:tcBorders>
              <w:top w:val="nil"/>
              <w:left w:val="nil"/>
              <w:bottom w:val="nil"/>
              <w:right w:val="nil"/>
            </w:tcBorders>
            <w:shd w:val="clear" w:color="auto" w:fill="auto"/>
            <w:noWrap/>
            <w:vAlign w:val="bottom"/>
            <w:hideMark/>
          </w:tcPr>
          <w:p w14:paraId="5B1BFD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69" w:type="dxa"/>
            <w:tcBorders>
              <w:top w:val="nil"/>
              <w:left w:val="nil"/>
              <w:bottom w:val="nil"/>
              <w:right w:val="nil"/>
            </w:tcBorders>
            <w:shd w:val="clear" w:color="auto" w:fill="auto"/>
            <w:noWrap/>
            <w:vAlign w:val="bottom"/>
            <w:hideMark/>
          </w:tcPr>
          <w:p w14:paraId="5BCEBE7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256DA2A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9" w:type="dxa"/>
            <w:tcBorders>
              <w:top w:val="nil"/>
              <w:left w:val="nil"/>
              <w:bottom w:val="nil"/>
              <w:right w:val="nil"/>
            </w:tcBorders>
            <w:shd w:val="clear" w:color="auto" w:fill="auto"/>
            <w:noWrap/>
            <w:vAlign w:val="bottom"/>
            <w:hideMark/>
          </w:tcPr>
          <w:p w14:paraId="7A0525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3556B1AB" w14:textId="77777777" w:rsidTr="00ED0631">
        <w:trPr>
          <w:trHeight w:val="315"/>
        </w:trPr>
        <w:tc>
          <w:tcPr>
            <w:tcW w:w="1352" w:type="dxa"/>
            <w:tcBorders>
              <w:top w:val="single" w:sz="4" w:space="0" w:color="auto"/>
              <w:left w:val="nil"/>
              <w:bottom w:val="single" w:sz="4" w:space="0" w:color="auto"/>
              <w:right w:val="nil"/>
            </w:tcBorders>
            <w:shd w:val="clear" w:color="auto" w:fill="auto"/>
            <w:noWrap/>
            <w:vAlign w:val="bottom"/>
            <w:hideMark/>
          </w:tcPr>
          <w:p w14:paraId="3148C3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624" w:type="dxa"/>
            <w:tcBorders>
              <w:top w:val="single" w:sz="4" w:space="0" w:color="auto"/>
              <w:left w:val="nil"/>
              <w:bottom w:val="single" w:sz="4" w:space="0" w:color="auto"/>
              <w:right w:val="nil"/>
            </w:tcBorders>
            <w:shd w:val="clear" w:color="auto" w:fill="auto"/>
            <w:noWrap/>
            <w:vAlign w:val="bottom"/>
            <w:hideMark/>
          </w:tcPr>
          <w:p w14:paraId="4F734B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183" w:type="dxa"/>
            <w:tcBorders>
              <w:top w:val="single" w:sz="4" w:space="0" w:color="auto"/>
              <w:left w:val="nil"/>
              <w:bottom w:val="single" w:sz="4" w:space="0" w:color="auto"/>
              <w:right w:val="nil"/>
            </w:tcBorders>
            <w:shd w:val="clear" w:color="auto" w:fill="auto"/>
            <w:noWrap/>
            <w:vAlign w:val="bottom"/>
            <w:hideMark/>
          </w:tcPr>
          <w:p w14:paraId="1523ED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33 </w:t>
            </w:r>
          </w:p>
        </w:tc>
        <w:tc>
          <w:tcPr>
            <w:tcW w:w="1169" w:type="dxa"/>
            <w:tcBorders>
              <w:top w:val="single" w:sz="4" w:space="0" w:color="auto"/>
              <w:left w:val="nil"/>
              <w:bottom w:val="single" w:sz="4" w:space="0" w:color="auto"/>
              <w:right w:val="nil"/>
            </w:tcBorders>
            <w:shd w:val="clear" w:color="auto" w:fill="auto"/>
            <w:noWrap/>
            <w:vAlign w:val="bottom"/>
            <w:hideMark/>
          </w:tcPr>
          <w:p w14:paraId="1E5E01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923" w:type="dxa"/>
            <w:tcBorders>
              <w:top w:val="single" w:sz="4" w:space="0" w:color="auto"/>
              <w:left w:val="nil"/>
              <w:bottom w:val="single" w:sz="4" w:space="0" w:color="auto"/>
              <w:right w:val="nil"/>
            </w:tcBorders>
            <w:shd w:val="clear" w:color="auto" w:fill="auto"/>
            <w:noWrap/>
            <w:vAlign w:val="bottom"/>
            <w:hideMark/>
          </w:tcPr>
          <w:p w14:paraId="176142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169" w:type="dxa"/>
            <w:tcBorders>
              <w:top w:val="single" w:sz="4" w:space="0" w:color="auto"/>
              <w:left w:val="nil"/>
              <w:bottom w:val="single" w:sz="4" w:space="0" w:color="auto"/>
              <w:right w:val="nil"/>
            </w:tcBorders>
            <w:shd w:val="clear" w:color="auto" w:fill="auto"/>
            <w:noWrap/>
            <w:vAlign w:val="bottom"/>
            <w:hideMark/>
          </w:tcPr>
          <w:p w14:paraId="093445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bl>
    <w:p w14:paraId="59EACAA1"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 Primary school leaders rating of the new curriculum by island-difficulty</w:t>
      </w:r>
    </w:p>
    <w:tbl>
      <w:tblPr>
        <w:tblW w:w="5660" w:type="dxa"/>
        <w:tblInd w:w="93" w:type="dxa"/>
        <w:tblLook w:val="04A0" w:firstRow="1" w:lastRow="0" w:firstColumn="1" w:lastColumn="0" w:noHBand="0" w:noVBand="1"/>
      </w:tblPr>
      <w:tblGrid>
        <w:gridCol w:w="1853"/>
        <w:gridCol w:w="1697"/>
        <w:gridCol w:w="1051"/>
        <w:gridCol w:w="1059"/>
      </w:tblGrid>
      <w:tr w:rsidR="00AC362E" w:rsidRPr="00491EF1" w14:paraId="12999D2A" w14:textId="77777777" w:rsidTr="00ED0631">
        <w:trPr>
          <w:trHeight w:val="315"/>
        </w:trPr>
        <w:tc>
          <w:tcPr>
            <w:tcW w:w="1853" w:type="dxa"/>
            <w:tcBorders>
              <w:top w:val="single" w:sz="4" w:space="0" w:color="auto"/>
              <w:left w:val="nil"/>
              <w:bottom w:val="single" w:sz="4" w:space="0" w:color="auto"/>
              <w:right w:val="nil"/>
            </w:tcBorders>
            <w:shd w:val="clear" w:color="000000" w:fill="FFFFFF"/>
            <w:noWrap/>
            <w:vAlign w:val="bottom"/>
            <w:hideMark/>
          </w:tcPr>
          <w:p w14:paraId="1F6C76B4"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color w:val="000000"/>
                <w:lang w:eastAsia="en-AU"/>
              </w:rPr>
              <w:t> </w:t>
            </w:r>
            <w:r w:rsidRPr="00491EF1">
              <w:rPr>
                <w:rFonts w:asciiTheme="majorHAnsi" w:eastAsia="Times New Roman" w:hAnsiTheme="majorHAnsi" w:cstheme="majorHAnsi"/>
                <w:b/>
                <w:bCs/>
                <w:color w:val="000000"/>
                <w:lang w:eastAsia="en-AU"/>
              </w:rPr>
              <w:t>Difficulty</w:t>
            </w:r>
          </w:p>
        </w:tc>
        <w:tc>
          <w:tcPr>
            <w:tcW w:w="1697" w:type="dxa"/>
            <w:tcBorders>
              <w:top w:val="single" w:sz="4" w:space="0" w:color="auto"/>
              <w:left w:val="nil"/>
              <w:bottom w:val="single" w:sz="4" w:space="0" w:color="auto"/>
              <w:right w:val="nil"/>
            </w:tcBorders>
            <w:shd w:val="clear" w:color="000000" w:fill="FFFFFF"/>
            <w:noWrap/>
            <w:vAlign w:val="bottom"/>
            <w:hideMark/>
          </w:tcPr>
          <w:p w14:paraId="1F12A6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51" w:type="dxa"/>
            <w:tcBorders>
              <w:top w:val="single" w:sz="4" w:space="0" w:color="auto"/>
              <w:left w:val="nil"/>
              <w:bottom w:val="single" w:sz="4" w:space="0" w:color="auto"/>
              <w:right w:val="nil"/>
            </w:tcBorders>
            <w:shd w:val="clear" w:color="000000" w:fill="FFFFFF"/>
            <w:noWrap/>
            <w:vAlign w:val="bottom"/>
            <w:hideMark/>
          </w:tcPr>
          <w:p w14:paraId="2990A8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059" w:type="dxa"/>
            <w:tcBorders>
              <w:top w:val="single" w:sz="4" w:space="0" w:color="auto"/>
              <w:left w:val="nil"/>
              <w:bottom w:val="single" w:sz="4" w:space="0" w:color="auto"/>
              <w:right w:val="nil"/>
            </w:tcBorders>
            <w:shd w:val="clear" w:color="000000" w:fill="FFFFFF"/>
            <w:noWrap/>
            <w:vAlign w:val="bottom"/>
            <w:hideMark/>
          </w:tcPr>
          <w:p w14:paraId="2D96F0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15AE710A" w14:textId="77777777" w:rsidTr="00ED0631">
        <w:trPr>
          <w:trHeight w:val="315"/>
        </w:trPr>
        <w:tc>
          <w:tcPr>
            <w:tcW w:w="1853" w:type="dxa"/>
            <w:tcBorders>
              <w:top w:val="nil"/>
              <w:left w:val="nil"/>
              <w:bottom w:val="nil"/>
              <w:right w:val="nil"/>
            </w:tcBorders>
            <w:shd w:val="clear" w:color="000000" w:fill="FFFFFF"/>
            <w:noWrap/>
            <w:vAlign w:val="bottom"/>
            <w:hideMark/>
          </w:tcPr>
          <w:p w14:paraId="2A2F1D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97" w:type="dxa"/>
            <w:tcBorders>
              <w:top w:val="nil"/>
              <w:left w:val="nil"/>
              <w:bottom w:val="nil"/>
              <w:right w:val="nil"/>
            </w:tcBorders>
            <w:shd w:val="clear" w:color="000000" w:fill="FFFFFF"/>
            <w:noWrap/>
            <w:vAlign w:val="bottom"/>
            <w:hideMark/>
          </w:tcPr>
          <w:p w14:paraId="6C9882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31DF71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6407AE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04095BB9" w14:textId="77777777" w:rsidTr="00ED0631">
        <w:trPr>
          <w:trHeight w:val="315"/>
        </w:trPr>
        <w:tc>
          <w:tcPr>
            <w:tcW w:w="1853" w:type="dxa"/>
            <w:tcBorders>
              <w:top w:val="nil"/>
              <w:left w:val="nil"/>
              <w:bottom w:val="nil"/>
              <w:right w:val="nil"/>
            </w:tcBorders>
            <w:shd w:val="clear" w:color="000000" w:fill="FFFFFF"/>
            <w:noWrap/>
            <w:vAlign w:val="bottom"/>
            <w:hideMark/>
          </w:tcPr>
          <w:p w14:paraId="603347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97" w:type="dxa"/>
            <w:tcBorders>
              <w:top w:val="nil"/>
              <w:left w:val="nil"/>
              <w:bottom w:val="nil"/>
              <w:right w:val="nil"/>
            </w:tcBorders>
            <w:shd w:val="clear" w:color="000000" w:fill="FFFFFF"/>
            <w:noWrap/>
            <w:vAlign w:val="bottom"/>
            <w:hideMark/>
          </w:tcPr>
          <w:p w14:paraId="2A48F7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4C3F18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2B8E10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r>
      <w:tr w:rsidR="00AC362E" w:rsidRPr="00491EF1" w14:paraId="4FD6D2B3" w14:textId="77777777" w:rsidTr="00ED0631">
        <w:trPr>
          <w:trHeight w:val="315"/>
        </w:trPr>
        <w:tc>
          <w:tcPr>
            <w:tcW w:w="1853" w:type="dxa"/>
            <w:tcBorders>
              <w:top w:val="nil"/>
              <w:left w:val="nil"/>
              <w:bottom w:val="nil"/>
              <w:right w:val="nil"/>
            </w:tcBorders>
            <w:shd w:val="clear" w:color="000000" w:fill="FFFFFF"/>
            <w:noWrap/>
            <w:vAlign w:val="bottom"/>
            <w:hideMark/>
          </w:tcPr>
          <w:p w14:paraId="76107B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97" w:type="dxa"/>
            <w:tcBorders>
              <w:top w:val="nil"/>
              <w:left w:val="nil"/>
              <w:bottom w:val="nil"/>
              <w:right w:val="nil"/>
            </w:tcBorders>
            <w:shd w:val="clear" w:color="000000" w:fill="FFFFFF"/>
            <w:noWrap/>
            <w:vAlign w:val="bottom"/>
            <w:hideMark/>
          </w:tcPr>
          <w:p w14:paraId="71689A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000000" w:fill="FFFFFF"/>
            <w:noWrap/>
            <w:vAlign w:val="bottom"/>
            <w:hideMark/>
          </w:tcPr>
          <w:p w14:paraId="54ED46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2DAC8E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25FDAAE" w14:textId="77777777" w:rsidTr="00ED0631">
        <w:trPr>
          <w:trHeight w:val="315"/>
        </w:trPr>
        <w:tc>
          <w:tcPr>
            <w:tcW w:w="1853" w:type="dxa"/>
            <w:tcBorders>
              <w:top w:val="nil"/>
              <w:left w:val="nil"/>
              <w:bottom w:val="nil"/>
              <w:right w:val="nil"/>
            </w:tcBorders>
            <w:shd w:val="clear" w:color="000000" w:fill="FFFFFF"/>
            <w:noWrap/>
            <w:vAlign w:val="bottom"/>
            <w:hideMark/>
          </w:tcPr>
          <w:p w14:paraId="7F5DF7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97" w:type="dxa"/>
            <w:tcBorders>
              <w:top w:val="nil"/>
              <w:left w:val="nil"/>
              <w:bottom w:val="nil"/>
              <w:right w:val="nil"/>
            </w:tcBorders>
            <w:shd w:val="clear" w:color="000000" w:fill="FFFFFF"/>
            <w:noWrap/>
            <w:vAlign w:val="bottom"/>
            <w:hideMark/>
          </w:tcPr>
          <w:p w14:paraId="52DA34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180C1A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000000" w:fill="FFFFFF"/>
            <w:noWrap/>
            <w:vAlign w:val="bottom"/>
            <w:hideMark/>
          </w:tcPr>
          <w:p w14:paraId="23731E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4C7C053" w14:textId="77777777" w:rsidTr="00ED0631">
        <w:trPr>
          <w:trHeight w:val="315"/>
        </w:trPr>
        <w:tc>
          <w:tcPr>
            <w:tcW w:w="1853" w:type="dxa"/>
            <w:tcBorders>
              <w:top w:val="nil"/>
              <w:left w:val="nil"/>
              <w:bottom w:val="nil"/>
              <w:right w:val="nil"/>
            </w:tcBorders>
            <w:shd w:val="clear" w:color="000000" w:fill="FFFFFF"/>
            <w:noWrap/>
            <w:vAlign w:val="bottom"/>
            <w:hideMark/>
          </w:tcPr>
          <w:p w14:paraId="02550E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97" w:type="dxa"/>
            <w:tcBorders>
              <w:top w:val="nil"/>
              <w:left w:val="nil"/>
              <w:bottom w:val="nil"/>
              <w:right w:val="nil"/>
            </w:tcBorders>
            <w:shd w:val="clear" w:color="000000" w:fill="FFFFFF"/>
            <w:noWrap/>
            <w:vAlign w:val="bottom"/>
            <w:hideMark/>
          </w:tcPr>
          <w:p w14:paraId="141404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5EF349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1059" w:type="dxa"/>
            <w:tcBorders>
              <w:top w:val="nil"/>
              <w:left w:val="nil"/>
              <w:bottom w:val="nil"/>
              <w:right w:val="nil"/>
            </w:tcBorders>
            <w:shd w:val="clear" w:color="000000" w:fill="FFFFFF"/>
            <w:noWrap/>
            <w:vAlign w:val="bottom"/>
            <w:hideMark/>
          </w:tcPr>
          <w:p w14:paraId="365638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3DD88780" w14:textId="77777777" w:rsidTr="00ED0631">
        <w:trPr>
          <w:trHeight w:val="315"/>
        </w:trPr>
        <w:tc>
          <w:tcPr>
            <w:tcW w:w="1853" w:type="dxa"/>
            <w:tcBorders>
              <w:top w:val="nil"/>
              <w:left w:val="nil"/>
              <w:bottom w:val="nil"/>
              <w:right w:val="nil"/>
            </w:tcBorders>
            <w:shd w:val="clear" w:color="000000" w:fill="FFFFFF"/>
            <w:noWrap/>
            <w:vAlign w:val="bottom"/>
            <w:hideMark/>
          </w:tcPr>
          <w:p w14:paraId="1E29F4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97" w:type="dxa"/>
            <w:tcBorders>
              <w:top w:val="nil"/>
              <w:left w:val="nil"/>
              <w:bottom w:val="nil"/>
              <w:right w:val="nil"/>
            </w:tcBorders>
            <w:shd w:val="clear" w:color="000000" w:fill="FFFFFF"/>
            <w:noWrap/>
            <w:vAlign w:val="bottom"/>
            <w:hideMark/>
          </w:tcPr>
          <w:p w14:paraId="4A8F6C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7B3B60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000000" w:fill="FFFFFF"/>
            <w:noWrap/>
            <w:vAlign w:val="bottom"/>
            <w:hideMark/>
          </w:tcPr>
          <w:p w14:paraId="300152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6427337" w14:textId="77777777" w:rsidTr="00ED0631">
        <w:trPr>
          <w:trHeight w:val="315"/>
        </w:trPr>
        <w:tc>
          <w:tcPr>
            <w:tcW w:w="1853" w:type="dxa"/>
            <w:tcBorders>
              <w:top w:val="nil"/>
              <w:left w:val="nil"/>
              <w:bottom w:val="nil"/>
              <w:right w:val="nil"/>
            </w:tcBorders>
            <w:shd w:val="clear" w:color="000000" w:fill="FFFFFF"/>
            <w:noWrap/>
            <w:vAlign w:val="bottom"/>
            <w:hideMark/>
          </w:tcPr>
          <w:p w14:paraId="36D315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97" w:type="dxa"/>
            <w:tcBorders>
              <w:top w:val="nil"/>
              <w:left w:val="nil"/>
              <w:bottom w:val="nil"/>
              <w:right w:val="nil"/>
            </w:tcBorders>
            <w:shd w:val="clear" w:color="000000" w:fill="FFFFFF"/>
            <w:noWrap/>
            <w:vAlign w:val="bottom"/>
            <w:hideMark/>
          </w:tcPr>
          <w:p w14:paraId="5ADBDF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000000" w:fill="FFFFFF"/>
            <w:noWrap/>
            <w:vAlign w:val="bottom"/>
            <w:hideMark/>
          </w:tcPr>
          <w:p w14:paraId="40127A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1FF8C8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3469ACF6" w14:textId="77777777" w:rsidTr="00ED0631">
        <w:trPr>
          <w:trHeight w:val="315"/>
        </w:trPr>
        <w:tc>
          <w:tcPr>
            <w:tcW w:w="1853" w:type="dxa"/>
            <w:tcBorders>
              <w:top w:val="nil"/>
              <w:left w:val="nil"/>
              <w:bottom w:val="nil"/>
              <w:right w:val="nil"/>
            </w:tcBorders>
            <w:shd w:val="clear" w:color="000000" w:fill="FFFFFF"/>
            <w:noWrap/>
            <w:vAlign w:val="bottom"/>
            <w:hideMark/>
          </w:tcPr>
          <w:p w14:paraId="5E4AC3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97" w:type="dxa"/>
            <w:tcBorders>
              <w:top w:val="nil"/>
              <w:left w:val="nil"/>
              <w:bottom w:val="nil"/>
              <w:right w:val="nil"/>
            </w:tcBorders>
            <w:shd w:val="clear" w:color="000000" w:fill="FFFFFF"/>
            <w:noWrap/>
            <w:vAlign w:val="bottom"/>
            <w:hideMark/>
          </w:tcPr>
          <w:p w14:paraId="7536DF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552125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000000" w:fill="FFFFFF"/>
            <w:noWrap/>
            <w:vAlign w:val="bottom"/>
            <w:hideMark/>
          </w:tcPr>
          <w:p w14:paraId="73B2FB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6397EA1B" w14:textId="77777777" w:rsidTr="00ED0631">
        <w:trPr>
          <w:trHeight w:val="315"/>
        </w:trPr>
        <w:tc>
          <w:tcPr>
            <w:tcW w:w="1853" w:type="dxa"/>
            <w:tcBorders>
              <w:top w:val="nil"/>
              <w:left w:val="nil"/>
              <w:bottom w:val="nil"/>
              <w:right w:val="nil"/>
            </w:tcBorders>
            <w:shd w:val="clear" w:color="000000" w:fill="FFFFFF"/>
            <w:noWrap/>
            <w:vAlign w:val="bottom"/>
            <w:hideMark/>
          </w:tcPr>
          <w:p w14:paraId="551D37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97" w:type="dxa"/>
            <w:tcBorders>
              <w:top w:val="nil"/>
              <w:left w:val="nil"/>
              <w:bottom w:val="nil"/>
              <w:right w:val="nil"/>
            </w:tcBorders>
            <w:shd w:val="clear" w:color="000000" w:fill="FFFFFF"/>
            <w:noWrap/>
            <w:vAlign w:val="bottom"/>
            <w:hideMark/>
          </w:tcPr>
          <w:p w14:paraId="5CEEC22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000000" w:fill="FFFFFF"/>
            <w:noWrap/>
            <w:vAlign w:val="bottom"/>
            <w:hideMark/>
          </w:tcPr>
          <w:p w14:paraId="4E9BB3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9" w:type="dxa"/>
            <w:tcBorders>
              <w:top w:val="nil"/>
              <w:left w:val="nil"/>
              <w:bottom w:val="nil"/>
              <w:right w:val="nil"/>
            </w:tcBorders>
            <w:shd w:val="clear" w:color="000000" w:fill="FFFFFF"/>
            <w:noWrap/>
            <w:vAlign w:val="bottom"/>
            <w:hideMark/>
          </w:tcPr>
          <w:p w14:paraId="46526F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6352BA14" w14:textId="77777777" w:rsidTr="00ED0631">
        <w:trPr>
          <w:trHeight w:val="315"/>
        </w:trPr>
        <w:tc>
          <w:tcPr>
            <w:tcW w:w="1853" w:type="dxa"/>
            <w:tcBorders>
              <w:top w:val="single" w:sz="4" w:space="0" w:color="auto"/>
              <w:left w:val="nil"/>
              <w:bottom w:val="single" w:sz="4" w:space="0" w:color="auto"/>
              <w:right w:val="nil"/>
            </w:tcBorders>
            <w:shd w:val="clear" w:color="000000" w:fill="FFFFFF"/>
            <w:noWrap/>
            <w:vAlign w:val="bottom"/>
            <w:hideMark/>
          </w:tcPr>
          <w:p w14:paraId="55FCF7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97" w:type="dxa"/>
            <w:tcBorders>
              <w:top w:val="single" w:sz="4" w:space="0" w:color="auto"/>
              <w:left w:val="nil"/>
              <w:bottom w:val="single" w:sz="4" w:space="0" w:color="auto"/>
              <w:right w:val="nil"/>
            </w:tcBorders>
            <w:shd w:val="clear" w:color="000000" w:fill="FFFFFF"/>
            <w:noWrap/>
            <w:vAlign w:val="bottom"/>
            <w:hideMark/>
          </w:tcPr>
          <w:p w14:paraId="64AE21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51" w:type="dxa"/>
            <w:tcBorders>
              <w:top w:val="single" w:sz="4" w:space="0" w:color="auto"/>
              <w:left w:val="nil"/>
              <w:bottom w:val="single" w:sz="4" w:space="0" w:color="auto"/>
              <w:right w:val="nil"/>
            </w:tcBorders>
            <w:shd w:val="clear" w:color="000000" w:fill="FFFFFF"/>
            <w:noWrap/>
            <w:vAlign w:val="bottom"/>
            <w:hideMark/>
          </w:tcPr>
          <w:p w14:paraId="074F43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 </w:t>
            </w:r>
          </w:p>
        </w:tc>
        <w:tc>
          <w:tcPr>
            <w:tcW w:w="1059" w:type="dxa"/>
            <w:tcBorders>
              <w:top w:val="single" w:sz="4" w:space="0" w:color="auto"/>
              <w:left w:val="nil"/>
              <w:bottom w:val="single" w:sz="4" w:space="0" w:color="auto"/>
              <w:right w:val="nil"/>
            </w:tcBorders>
            <w:shd w:val="clear" w:color="000000" w:fill="FFFFFF"/>
            <w:noWrap/>
            <w:vAlign w:val="bottom"/>
            <w:hideMark/>
          </w:tcPr>
          <w:p w14:paraId="06CF8C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r>
    </w:tbl>
    <w:p w14:paraId="77B976F1" w14:textId="77777777" w:rsidR="00AC362E" w:rsidRPr="00491EF1" w:rsidRDefault="00AC362E" w:rsidP="00ED0631">
      <w:pP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br w:type="page"/>
      </w:r>
    </w:p>
    <w:p w14:paraId="2114E80D"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 xml:space="preserve">Table 4: Primary school leaders rating of the new curriculum by island category-difficulty </w:t>
      </w:r>
    </w:p>
    <w:tbl>
      <w:tblPr>
        <w:tblW w:w="5820" w:type="dxa"/>
        <w:tblInd w:w="93" w:type="dxa"/>
        <w:tblLook w:val="04A0" w:firstRow="1" w:lastRow="0" w:firstColumn="1" w:lastColumn="0" w:noHBand="0" w:noVBand="1"/>
      </w:tblPr>
      <w:tblGrid>
        <w:gridCol w:w="1473"/>
        <w:gridCol w:w="1769"/>
        <w:gridCol w:w="1289"/>
        <w:gridCol w:w="1289"/>
      </w:tblGrid>
      <w:tr w:rsidR="00AC362E" w:rsidRPr="00491EF1" w14:paraId="23CA064A" w14:textId="77777777" w:rsidTr="00ED0631">
        <w:trPr>
          <w:trHeight w:val="315"/>
        </w:trPr>
        <w:tc>
          <w:tcPr>
            <w:tcW w:w="1473" w:type="dxa"/>
            <w:tcBorders>
              <w:top w:val="single" w:sz="4" w:space="0" w:color="auto"/>
              <w:left w:val="nil"/>
              <w:bottom w:val="single" w:sz="4" w:space="0" w:color="auto"/>
              <w:right w:val="nil"/>
            </w:tcBorders>
            <w:shd w:val="clear" w:color="auto" w:fill="auto"/>
            <w:noWrap/>
            <w:vAlign w:val="bottom"/>
            <w:hideMark/>
          </w:tcPr>
          <w:p w14:paraId="3A16EECC"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Difficulty </w:t>
            </w:r>
          </w:p>
        </w:tc>
        <w:tc>
          <w:tcPr>
            <w:tcW w:w="1769" w:type="dxa"/>
            <w:tcBorders>
              <w:top w:val="single" w:sz="4" w:space="0" w:color="auto"/>
              <w:left w:val="nil"/>
              <w:bottom w:val="single" w:sz="4" w:space="0" w:color="auto"/>
              <w:right w:val="nil"/>
            </w:tcBorders>
            <w:shd w:val="clear" w:color="auto" w:fill="auto"/>
            <w:noWrap/>
            <w:vAlign w:val="bottom"/>
            <w:hideMark/>
          </w:tcPr>
          <w:p w14:paraId="1CD3EB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89" w:type="dxa"/>
            <w:tcBorders>
              <w:top w:val="single" w:sz="4" w:space="0" w:color="auto"/>
              <w:left w:val="nil"/>
              <w:bottom w:val="single" w:sz="4" w:space="0" w:color="auto"/>
              <w:right w:val="nil"/>
            </w:tcBorders>
            <w:shd w:val="clear" w:color="auto" w:fill="auto"/>
            <w:noWrap/>
            <w:vAlign w:val="bottom"/>
            <w:hideMark/>
          </w:tcPr>
          <w:p w14:paraId="08F189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289" w:type="dxa"/>
            <w:tcBorders>
              <w:top w:val="single" w:sz="4" w:space="0" w:color="auto"/>
              <w:left w:val="nil"/>
              <w:bottom w:val="single" w:sz="4" w:space="0" w:color="auto"/>
              <w:right w:val="nil"/>
            </w:tcBorders>
            <w:shd w:val="clear" w:color="auto" w:fill="auto"/>
            <w:noWrap/>
            <w:vAlign w:val="bottom"/>
            <w:hideMark/>
          </w:tcPr>
          <w:p w14:paraId="35233C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050E4F63" w14:textId="77777777" w:rsidTr="00ED0631">
        <w:trPr>
          <w:trHeight w:val="315"/>
        </w:trPr>
        <w:tc>
          <w:tcPr>
            <w:tcW w:w="1473" w:type="dxa"/>
            <w:tcBorders>
              <w:top w:val="nil"/>
              <w:left w:val="nil"/>
              <w:bottom w:val="nil"/>
              <w:right w:val="nil"/>
            </w:tcBorders>
            <w:shd w:val="clear" w:color="auto" w:fill="auto"/>
            <w:noWrap/>
            <w:vAlign w:val="bottom"/>
            <w:hideMark/>
          </w:tcPr>
          <w:p w14:paraId="186005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69" w:type="dxa"/>
            <w:tcBorders>
              <w:top w:val="nil"/>
              <w:left w:val="nil"/>
              <w:bottom w:val="nil"/>
              <w:right w:val="nil"/>
            </w:tcBorders>
            <w:shd w:val="clear" w:color="auto" w:fill="auto"/>
            <w:noWrap/>
            <w:vAlign w:val="bottom"/>
            <w:hideMark/>
          </w:tcPr>
          <w:p w14:paraId="36BEBC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89" w:type="dxa"/>
            <w:tcBorders>
              <w:top w:val="nil"/>
              <w:left w:val="nil"/>
              <w:bottom w:val="nil"/>
              <w:right w:val="nil"/>
            </w:tcBorders>
            <w:shd w:val="clear" w:color="auto" w:fill="auto"/>
            <w:noWrap/>
            <w:vAlign w:val="bottom"/>
            <w:hideMark/>
          </w:tcPr>
          <w:p w14:paraId="4E50DB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89" w:type="dxa"/>
            <w:tcBorders>
              <w:top w:val="nil"/>
              <w:left w:val="nil"/>
              <w:bottom w:val="nil"/>
              <w:right w:val="nil"/>
            </w:tcBorders>
            <w:shd w:val="clear" w:color="auto" w:fill="auto"/>
            <w:noWrap/>
            <w:vAlign w:val="bottom"/>
            <w:hideMark/>
          </w:tcPr>
          <w:p w14:paraId="0F13C8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00A617CD" w14:textId="77777777" w:rsidTr="00ED0631">
        <w:trPr>
          <w:trHeight w:val="315"/>
        </w:trPr>
        <w:tc>
          <w:tcPr>
            <w:tcW w:w="1473" w:type="dxa"/>
            <w:tcBorders>
              <w:top w:val="nil"/>
              <w:left w:val="nil"/>
              <w:bottom w:val="nil"/>
              <w:right w:val="nil"/>
            </w:tcBorders>
            <w:shd w:val="clear" w:color="auto" w:fill="auto"/>
            <w:noWrap/>
            <w:vAlign w:val="bottom"/>
            <w:hideMark/>
          </w:tcPr>
          <w:p w14:paraId="11082E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69" w:type="dxa"/>
            <w:tcBorders>
              <w:top w:val="nil"/>
              <w:left w:val="nil"/>
              <w:bottom w:val="nil"/>
              <w:right w:val="nil"/>
            </w:tcBorders>
            <w:shd w:val="clear" w:color="auto" w:fill="auto"/>
            <w:noWrap/>
            <w:vAlign w:val="bottom"/>
            <w:hideMark/>
          </w:tcPr>
          <w:p w14:paraId="01F8644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89" w:type="dxa"/>
            <w:tcBorders>
              <w:top w:val="nil"/>
              <w:left w:val="nil"/>
              <w:bottom w:val="nil"/>
              <w:right w:val="nil"/>
            </w:tcBorders>
            <w:shd w:val="clear" w:color="auto" w:fill="auto"/>
            <w:noWrap/>
            <w:vAlign w:val="bottom"/>
            <w:hideMark/>
          </w:tcPr>
          <w:p w14:paraId="312B26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289" w:type="dxa"/>
            <w:tcBorders>
              <w:top w:val="nil"/>
              <w:left w:val="nil"/>
              <w:bottom w:val="nil"/>
              <w:right w:val="nil"/>
            </w:tcBorders>
            <w:shd w:val="clear" w:color="auto" w:fill="auto"/>
            <w:noWrap/>
            <w:vAlign w:val="bottom"/>
            <w:hideMark/>
          </w:tcPr>
          <w:p w14:paraId="5F70AC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r w:rsidR="00AC362E" w:rsidRPr="00491EF1" w14:paraId="245C80C5" w14:textId="77777777" w:rsidTr="00ED0631">
        <w:trPr>
          <w:trHeight w:val="315"/>
        </w:trPr>
        <w:tc>
          <w:tcPr>
            <w:tcW w:w="1473" w:type="dxa"/>
            <w:tcBorders>
              <w:top w:val="nil"/>
              <w:left w:val="nil"/>
              <w:bottom w:val="nil"/>
              <w:right w:val="nil"/>
            </w:tcBorders>
            <w:shd w:val="clear" w:color="auto" w:fill="auto"/>
            <w:noWrap/>
            <w:vAlign w:val="bottom"/>
            <w:hideMark/>
          </w:tcPr>
          <w:p w14:paraId="7EEBCC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69" w:type="dxa"/>
            <w:tcBorders>
              <w:top w:val="nil"/>
              <w:left w:val="nil"/>
              <w:bottom w:val="nil"/>
              <w:right w:val="nil"/>
            </w:tcBorders>
            <w:shd w:val="clear" w:color="auto" w:fill="auto"/>
            <w:noWrap/>
            <w:vAlign w:val="bottom"/>
            <w:hideMark/>
          </w:tcPr>
          <w:p w14:paraId="37221F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89" w:type="dxa"/>
            <w:tcBorders>
              <w:top w:val="nil"/>
              <w:left w:val="nil"/>
              <w:bottom w:val="nil"/>
              <w:right w:val="nil"/>
            </w:tcBorders>
            <w:shd w:val="clear" w:color="auto" w:fill="auto"/>
            <w:noWrap/>
            <w:vAlign w:val="bottom"/>
            <w:hideMark/>
          </w:tcPr>
          <w:p w14:paraId="33234B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89" w:type="dxa"/>
            <w:tcBorders>
              <w:top w:val="nil"/>
              <w:left w:val="nil"/>
              <w:bottom w:val="nil"/>
              <w:right w:val="nil"/>
            </w:tcBorders>
            <w:shd w:val="clear" w:color="auto" w:fill="auto"/>
            <w:noWrap/>
            <w:vAlign w:val="bottom"/>
            <w:hideMark/>
          </w:tcPr>
          <w:p w14:paraId="6C12B2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65CE84E3" w14:textId="77777777" w:rsidTr="00ED0631">
        <w:trPr>
          <w:trHeight w:val="315"/>
        </w:trPr>
        <w:tc>
          <w:tcPr>
            <w:tcW w:w="1473" w:type="dxa"/>
            <w:tcBorders>
              <w:top w:val="single" w:sz="4" w:space="0" w:color="auto"/>
              <w:left w:val="nil"/>
              <w:bottom w:val="single" w:sz="4" w:space="0" w:color="auto"/>
              <w:right w:val="nil"/>
            </w:tcBorders>
            <w:shd w:val="clear" w:color="auto" w:fill="auto"/>
            <w:noWrap/>
            <w:vAlign w:val="bottom"/>
            <w:hideMark/>
          </w:tcPr>
          <w:p w14:paraId="0BC4BF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69" w:type="dxa"/>
            <w:tcBorders>
              <w:top w:val="single" w:sz="4" w:space="0" w:color="auto"/>
              <w:left w:val="nil"/>
              <w:bottom w:val="single" w:sz="4" w:space="0" w:color="auto"/>
              <w:right w:val="nil"/>
            </w:tcBorders>
            <w:shd w:val="clear" w:color="auto" w:fill="auto"/>
            <w:noWrap/>
            <w:vAlign w:val="bottom"/>
            <w:hideMark/>
          </w:tcPr>
          <w:p w14:paraId="15FE61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89" w:type="dxa"/>
            <w:tcBorders>
              <w:top w:val="single" w:sz="4" w:space="0" w:color="auto"/>
              <w:left w:val="nil"/>
              <w:bottom w:val="single" w:sz="4" w:space="0" w:color="auto"/>
              <w:right w:val="nil"/>
            </w:tcBorders>
            <w:shd w:val="clear" w:color="auto" w:fill="auto"/>
            <w:noWrap/>
            <w:vAlign w:val="bottom"/>
            <w:hideMark/>
          </w:tcPr>
          <w:p w14:paraId="5ADD2F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1289" w:type="dxa"/>
            <w:tcBorders>
              <w:top w:val="single" w:sz="4" w:space="0" w:color="auto"/>
              <w:left w:val="nil"/>
              <w:bottom w:val="single" w:sz="4" w:space="0" w:color="auto"/>
              <w:right w:val="nil"/>
            </w:tcBorders>
            <w:shd w:val="clear" w:color="auto" w:fill="auto"/>
            <w:noWrap/>
            <w:vAlign w:val="bottom"/>
            <w:hideMark/>
          </w:tcPr>
          <w:p w14:paraId="727AA3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r>
    </w:tbl>
    <w:p w14:paraId="3ECCDDD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5: Primary school leaders rating of the new curriculum by island-topic</w:t>
      </w:r>
    </w:p>
    <w:tbl>
      <w:tblPr>
        <w:tblW w:w="5660" w:type="dxa"/>
        <w:tblInd w:w="93" w:type="dxa"/>
        <w:tblLook w:val="04A0" w:firstRow="1" w:lastRow="0" w:firstColumn="1" w:lastColumn="0" w:noHBand="0" w:noVBand="1"/>
      </w:tblPr>
      <w:tblGrid>
        <w:gridCol w:w="1853"/>
        <w:gridCol w:w="1697"/>
        <w:gridCol w:w="1051"/>
        <w:gridCol w:w="1059"/>
      </w:tblGrid>
      <w:tr w:rsidR="00AC362E" w:rsidRPr="00491EF1" w14:paraId="37F42ECF" w14:textId="77777777" w:rsidTr="00ED0631">
        <w:trPr>
          <w:trHeight w:val="315"/>
        </w:trPr>
        <w:tc>
          <w:tcPr>
            <w:tcW w:w="1853" w:type="dxa"/>
            <w:tcBorders>
              <w:top w:val="single" w:sz="4" w:space="0" w:color="auto"/>
              <w:left w:val="nil"/>
              <w:bottom w:val="single" w:sz="4" w:space="0" w:color="auto"/>
              <w:right w:val="nil"/>
            </w:tcBorders>
            <w:shd w:val="clear" w:color="000000" w:fill="FFFFFF"/>
            <w:noWrap/>
            <w:vAlign w:val="bottom"/>
            <w:hideMark/>
          </w:tcPr>
          <w:p w14:paraId="54677817"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Topics</w:t>
            </w:r>
          </w:p>
        </w:tc>
        <w:tc>
          <w:tcPr>
            <w:tcW w:w="1697" w:type="dxa"/>
            <w:tcBorders>
              <w:top w:val="single" w:sz="4" w:space="0" w:color="auto"/>
              <w:left w:val="nil"/>
              <w:bottom w:val="single" w:sz="4" w:space="0" w:color="auto"/>
              <w:right w:val="nil"/>
            </w:tcBorders>
            <w:shd w:val="clear" w:color="000000" w:fill="FFFFFF"/>
            <w:noWrap/>
            <w:vAlign w:val="bottom"/>
            <w:hideMark/>
          </w:tcPr>
          <w:p w14:paraId="2076F5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51" w:type="dxa"/>
            <w:tcBorders>
              <w:top w:val="single" w:sz="4" w:space="0" w:color="auto"/>
              <w:left w:val="nil"/>
              <w:bottom w:val="single" w:sz="4" w:space="0" w:color="auto"/>
              <w:right w:val="nil"/>
            </w:tcBorders>
            <w:shd w:val="clear" w:color="000000" w:fill="FFFFFF"/>
            <w:noWrap/>
            <w:vAlign w:val="bottom"/>
            <w:hideMark/>
          </w:tcPr>
          <w:p w14:paraId="0EAC86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059" w:type="dxa"/>
            <w:tcBorders>
              <w:top w:val="single" w:sz="4" w:space="0" w:color="auto"/>
              <w:left w:val="nil"/>
              <w:bottom w:val="single" w:sz="4" w:space="0" w:color="auto"/>
              <w:right w:val="nil"/>
            </w:tcBorders>
            <w:shd w:val="clear" w:color="000000" w:fill="FFFFFF"/>
            <w:noWrap/>
            <w:vAlign w:val="bottom"/>
            <w:hideMark/>
          </w:tcPr>
          <w:p w14:paraId="0BAAF1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3F7938DA" w14:textId="77777777" w:rsidTr="00ED0631">
        <w:trPr>
          <w:trHeight w:val="315"/>
        </w:trPr>
        <w:tc>
          <w:tcPr>
            <w:tcW w:w="1853" w:type="dxa"/>
            <w:tcBorders>
              <w:top w:val="nil"/>
              <w:left w:val="nil"/>
              <w:bottom w:val="nil"/>
              <w:right w:val="nil"/>
            </w:tcBorders>
            <w:shd w:val="clear" w:color="000000" w:fill="FFFFFF"/>
            <w:noWrap/>
            <w:vAlign w:val="bottom"/>
            <w:hideMark/>
          </w:tcPr>
          <w:p w14:paraId="2DB489A7"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Abaiang</w:t>
            </w:r>
          </w:p>
        </w:tc>
        <w:tc>
          <w:tcPr>
            <w:tcW w:w="1697" w:type="dxa"/>
            <w:tcBorders>
              <w:top w:val="nil"/>
              <w:left w:val="nil"/>
              <w:bottom w:val="nil"/>
              <w:right w:val="nil"/>
            </w:tcBorders>
            <w:shd w:val="clear" w:color="000000" w:fill="FFFFFF"/>
            <w:noWrap/>
            <w:vAlign w:val="bottom"/>
            <w:hideMark/>
          </w:tcPr>
          <w:p w14:paraId="021185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51" w:type="dxa"/>
            <w:tcBorders>
              <w:top w:val="nil"/>
              <w:left w:val="nil"/>
              <w:bottom w:val="nil"/>
              <w:right w:val="nil"/>
            </w:tcBorders>
            <w:shd w:val="clear" w:color="000000" w:fill="FFFFFF"/>
            <w:noWrap/>
            <w:vAlign w:val="bottom"/>
            <w:hideMark/>
          </w:tcPr>
          <w:p w14:paraId="754D14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000000" w:fill="FFFFFF"/>
            <w:noWrap/>
            <w:vAlign w:val="bottom"/>
            <w:hideMark/>
          </w:tcPr>
          <w:p w14:paraId="291255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713E217A" w14:textId="77777777" w:rsidTr="00ED0631">
        <w:trPr>
          <w:trHeight w:val="315"/>
        </w:trPr>
        <w:tc>
          <w:tcPr>
            <w:tcW w:w="1853" w:type="dxa"/>
            <w:tcBorders>
              <w:top w:val="nil"/>
              <w:left w:val="nil"/>
              <w:bottom w:val="nil"/>
              <w:right w:val="nil"/>
            </w:tcBorders>
            <w:shd w:val="clear" w:color="000000" w:fill="FFFFFF"/>
            <w:noWrap/>
            <w:vAlign w:val="bottom"/>
            <w:hideMark/>
          </w:tcPr>
          <w:p w14:paraId="2886E5A7"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Butaritari</w:t>
            </w:r>
          </w:p>
        </w:tc>
        <w:tc>
          <w:tcPr>
            <w:tcW w:w="1697" w:type="dxa"/>
            <w:tcBorders>
              <w:top w:val="nil"/>
              <w:left w:val="nil"/>
              <w:bottom w:val="nil"/>
              <w:right w:val="nil"/>
            </w:tcBorders>
            <w:shd w:val="clear" w:color="000000" w:fill="FFFFFF"/>
            <w:noWrap/>
            <w:vAlign w:val="bottom"/>
            <w:hideMark/>
          </w:tcPr>
          <w:p w14:paraId="5A2505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000000" w:fill="FFFFFF"/>
            <w:noWrap/>
            <w:vAlign w:val="bottom"/>
            <w:hideMark/>
          </w:tcPr>
          <w:p w14:paraId="59404F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000000" w:fill="FFFFFF"/>
            <w:noWrap/>
            <w:vAlign w:val="bottom"/>
            <w:hideMark/>
          </w:tcPr>
          <w:p w14:paraId="13319C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5FA83A60" w14:textId="77777777" w:rsidTr="00ED0631">
        <w:trPr>
          <w:trHeight w:val="315"/>
        </w:trPr>
        <w:tc>
          <w:tcPr>
            <w:tcW w:w="1853" w:type="dxa"/>
            <w:tcBorders>
              <w:top w:val="nil"/>
              <w:left w:val="nil"/>
              <w:bottom w:val="nil"/>
              <w:right w:val="nil"/>
            </w:tcBorders>
            <w:shd w:val="clear" w:color="000000" w:fill="FFFFFF"/>
            <w:noWrap/>
            <w:vAlign w:val="bottom"/>
            <w:hideMark/>
          </w:tcPr>
          <w:p w14:paraId="77974093"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Kiritimati</w:t>
            </w:r>
          </w:p>
        </w:tc>
        <w:tc>
          <w:tcPr>
            <w:tcW w:w="1697" w:type="dxa"/>
            <w:tcBorders>
              <w:top w:val="nil"/>
              <w:left w:val="nil"/>
              <w:bottom w:val="nil"/>
              <w:right w:val="nil"/>
            </w:tcBorders>
            <w:shd w:val="clear" w:color="000000" w:fill="FFFFFF"/>
            <w:noWrap/>
            <w:vAlign w:val="bottom"/>
            <w:hideMark/>
          </w:tcPr>
          <w:p w14:paraId="00953F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000000" w:fill="FFFFFF"/>
            <w:noWrap/>
            <w:vAlign w:val="bottom"/>
            <w:hideMark/>
          </w:tcPr>
          <w:p w14:paraId="78C3A4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0480E3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0DCAF21F" w14:textId="77777777" w:rsidTr="00ED0631">
        <w:trPr>
          <w:trHeight w:val="315"/>
        </w:trPr>
        <w:tc>
          <w:tcPr>
            <w:tcW w:w="1853" w:type="dxa"/>
            <w:tcBorders>
              <w:top w:val="nil"/>
              <w:left w:val="nil"/>
              <w:bottom w:val="nil"/>
              <w:right w:val="nil"/>
            </w:tcBorders>
            <w:shd w:val="clear" w:color="000000" w:fill="FFFFFF"/>
            <w:noWrap/>
            <w:vAlign w:val="bottom"/>
            <w:hideMark/>
          </w:tcPr>
          <w:p w14:paraId="53D44DE4"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Maiana</w:t>
            </w:r>
          </w:p>
        </w:tc>
        <w:tc>
          <w:tcPr>
            <w:tcW w:w="1697" w:type="dxa"/>
            <w:tcBorders>
              <w:top w:val="nil"/>
              <w:left w:val="nil"/>
              <w:bottom w:val="nil"/>
              <w:right w:val="nil"/>
            </w:tcBorders>
            <w:shd w:val="clear" w:color="000000" w:fill="FFFFFF"/>
            <w:noWrap/>
            <w:vAlign w:val="bottom"/>
            <w:hideMark/>
          </w:tcPr>
          <w:p w14:paraId="12BCF5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000000" w:fill="FFFFFF"/>
            <w:noWrap/>
            <w:vAlign w:val="bottom"/>
            <w:hideMark/>
          </w:tcPr>
          <w:p w14:paraId="7625E8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275F4A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396E5B6" w14:textId="77777777" w:rsidTr="00ED0631">
        <w:trPr>
          <w:trHeight w:val="315"/>
        </w:trPr>
        <w:tc>
          <w:tcPr>
            <w:tcW w:w="1853" w:type="dxa"/>
            <w:tcBorders>
              <w:top w:val="nil"/>
              <w:left w:val="nil"/>
              <w:bottom w:val="nil"/>
              <w:right w:val="nil"/>
            </w:tcBorders>
            <w:shd w:val="clear" w:color="000000" w:fill="FFFFFF"/>
            <w:noWrap/>
            <w:vAlign w:val="bottom"/>
            <w:hideMark/>
          </w:tcPr>
          <w:p w14:paraId="3DB73853"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Nonouti</w:t>
            </w:r>
          </w:p>
        </w:tc>
        <w:tc>
          <w:tcPr>
            <w:tcW w:w="1697" w:type="dxa"/>
            <w:tcBorders>
              <w:top w:val="nil"/>
              <w:left w:val="nil"/>
              <w:bottom w:val="nil"/>
              <w:right w:val="nil"/>
            </w:tcBorders>
            <w:shd w:val="clear" w:color="000000" w:fill="FFFFFF"/>
            <w:noWrap/>
            <w:vAlign w:val="bottom"/>
            <w:hideMark/>
          </w:tcPr>
          <w:p w14:paraId="38F890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1" w:type="dxa"/>
            <w:tcBorders>
              <w:top w:val="nil"/>
              <w:left w:val="nil"/>
              <w:bottom w:val="nil"/>
              <w:right w:val="nil"/>
            </w:tcBorders>
            <w:shd w:val="clear" w:color="000000" w:fill="FFFFFF"/>
            <w:noWrap/>
            <w:vAlign w:val="bottom"/>
            <w:hideMark/>
          </w:tcPr>
          <w:p w14:paraId="32C4FD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4A3CA5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8C11CE1" w14:textId="77777777" w:rsidTr="00ED0631">
        <w:trPr>
          <w:trHeight w:val="315"/>
        </w:trPr>
        <w:tc>
          <w:tcPr>
            <w:tcW w:w="1853" w:type="dxa"/>
            <w:tcBorders>
              <w:top w:val="nil"/>
              <w:left w:val="nil"/>
              <w:bottom w:val="nil"/>
              <w:right w:val="nil"/>
            </w:tcBorders>
            <w:shd w:val="clear" w:color="000000" w:fill="FFFFFF"/>
            <w:noWrap/>
            <w:vAlign w:val="bottom"/>
            <w:hideMark/>
          </w:tcPr>
          <w:p w14:paraId="1EF735FC"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North Tabiteuea</w:t>
            </w:r>
          </w:p>
        </w:tc>
        <w:tc>
          <w:tcPr>
            <w:tcW w:w="1697" w:type="dxa"/>
            <w:tcBorders>
              <w:top w:val="nil"/>
              <w:left w:val="nil"/>
              <w:bottom w:val="nil"/>
              <w:right w:val="nil"/>
            </w:tcBorders>
            <w:shd w:val="clear" w:color="000000" w:fill="FFFFFF"/>
            <w:noWrap/>
            <w:vAlign w:val="bottom"/>
            <w:hideMark/>
          </w:tcPr>
          <w:p w14:paraId="0CDEC7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000000" w:fill="FFFFFF"/>
            <w:noWrap/>
            <w:vAlign w:val="bottom"/>
            <w:hideMark/>
          </w:tcPr>
          <w:p w14:paraId="598E15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000000" w:fill="FFFFFF"/>
            <w:noWrap/>
            <w:vAlign w:val="bottom"/>
            <w:hideMark/>
          </w:tcPr>
          <w:p w14:paraId="3ADF6F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7721C927" w14:textId="77777777" w:rsidTr="00ED0631">
        <w:trPr>
          <w:trHeight w:val="315"/>
        </w:trPr>
        <w:tc>
          <w:tcPr>
            <w:tcW w:w="1853" w:type="dxa"/>
            <w:tcBorders>
              <w:top w:val="nil"/>
              <w:left w:val="nil"/>
              <w:bottom w:val="nil"/>
              <w:right w:val="nil"/>
            </w:tcBorders>
            <w:shd w:val="clear" w:color="000000" w:fill="FFFFFF"/>
            <w:noWrap/>
            <w:vAlign w:val="bottom"/>
            <w:hideMark/>
          </w:tcPr>
          <w:p w14:paraId="137DBD81"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North Tarawa</w:t>
            </w:r>
          </w:p>
        </w:tc>
        <w:tc>
          <w:tcPr>
            <w:tcW w:w="1697" w:type="dxa"/>
            <w:tcBorders>
              <w:top w:val="nil"/>
              <w:left w:val="nil"/>
              <w:bottom w:val="nil"/>
              <w:right w:val="nil"/>
            </w:tcBorders>
            <w:shd w:val="clear" w:color="000000" w:fill="FFFFFF"/>
            <w:noWrap/>
            <w:vAlign w:val="bottom"/>
            <w:hideMark/>
          </w:tcPr>
          <w:p w14:paraId="59DBC8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000000" w:fill="FFFFFF"/>
            <w:noWrap/>
            <w:vAlign w:val="bottom"/>
            <w:hideMark/>
          </w:tcPr>
          <w:p w14:paraId="5FAA40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9" w:type="dxa"/>
            <w:tcBorders>
              <w:top w:val="nil"/>
              <w:left w:val="nil"/>
              <w:bottom w:val="nil"/>
              <w:right w:val="nil"/>
            </w:tcBorders>
            <w:shd w:val="clear" w:color="000000" w:fill="FFFFFF"/>
            <w:noWrap/>
            <w:vAlign w:val="bottom"/>
            <w:hideMark/>
          </w:tcPr>
          <w:p w14:paraId="216D3F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02E049BF" w14:textId="77777777" w:rsidTr="00ED0631">
        <w:trPr>
          <w:trHeight w:val="315"/>
        </w:trPr>
        <w:tc>
          <w:tcPr>
            <w:tcW w:w="1853" w:type="dxa"/>
            <w:tcBorders>
              <w:top w:val="nil"/>
              <w:left w:val="nil"/>
              <w:bottom w:val="nil"/>
              <w:right w:val="nil"/>
            </w:tcBorders>
            <w:shd w:val="clear" w:color="000000" w:fill="FFFFFF"/>
            <w:noWrap/>
            <w:vAlign w:val="bottom"/>
            <w:hideMark/>
          </w:tcPr>
          <w:p w14:paraId="662EE41D"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South Tabiteuea</w:t>
            </w:r>
          </w:p>
        </w:tc>
        <w:tc>
          <w:tcPr>
            <w:tcW w:w="1697" w:type="dxa"/>
            <w:tcBorders>
              <w:top w:val="nil"/>
              <w:left w:val="nil"/>
              <w:bottom w:val="nil"/>
              <w:right w:val="nil"/>
            </w:tcBorders>
            <w:shd w:val="clear" w:color="000000" w:fill="FFFFFF"/>
            <w:noWrap/>
            <w:vAlign w:val="bottom"/>
            <w:hideMark/>
          </w:tcPr>
          <w:p w14:paraId="2FF20B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000000" w:fill="FFFFFF"/>
            <w:noWrap/>
            <w:vAlign w:val="bottom"/>
            <w:hideMark/>
          </w:tcPr>
          <w:p w14:paraId="73B499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000000" w:fill="FFFFFF"/>
            <w:noWrap/>
            <w:vAlign w:val="bottom"/>
            <w:hideMark/>
          </w:tcPr>
          <w:p w14:paraId="727162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4729FD1E" w14:textId="77777777" w:rsidTr="00ED0631">
        <w:trPr>
          <w:trHeight w:val="315"/>
        </w:trPr>
        <w:tc>
          <w:tcPr>
            <w:tcW w:w="1853" w:type="dxa"/>
            <w:tcBorders>
              <w:top w:val="nil"/>
              <w:left w:val="nil"/>
              <w:bottom w:val="nil"/>
              <w:right w:val="nil"/>
            </w:tcBorders>
            <w:shd w:val="clear" w:color="000000" w:fill="FFFFFF"/>
            <w:noWrap/>
            <w:vAlign w:val="bottom"/>
            <w:hideMark/>
          </w:tcPr>
          <w:p w14:paraId="7179E6D8" w14:textId="77777777" w:rsidR="00AC362E" w:rsidRPr="00491EF1" w:rsidRDefault="00AC362E" w:rsidP="00ED0631">
            <w:pPr>
              <w:spacing w:after="0"/>
              <w:rPr>
                <w:rFonts w:asciiTheme="majorHAnsi" w:eastAsia="Times New Roman" w:hAnsiTheme="majorHAnsi" w:cstheme="majorHAnsi"/>
                <w:lang w:eastAsia="en-AU"/>
              </w:rPr>
            </w:pPr>
            <w:r w:rsidRPr="00491EF1">
              <w:rPr>
                <w:rFonts w:asciiTheme="majorHAnsi" w:eastAsia="Times New Roman" w:hAnsiTheme="majorHAnsi" w:cstheme="majorHAnsi"/>
                <w:lang w:eastAsia="en-AU"/>
              </w:rPr>
              <w:t>South Tarawa</w:t>
            </w:r>
          </w:p>
        </w:tc>
        <w:tc>
          <w:tcPr>
            <w:tcW w:w="1697" w:type="dxa"/>
            <w:tcBorders>
              <w:top w:val="nil"/>
              <w:left w:val="nil"/>
              <w:bottom w:val="nil"/>
              <w:right w:val="nil"/>
            </w:tcBorders>
            <w:shd w:val="clear" w:color="000000" w:fill="FFFFFF"/>
            <w:noWrap/>
            <w:vAlign w:val="bottom"/>
            <w:hideMark/>
          </w:tcPr>
          <w:p w14:paraId="6C99F1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000000" w:fill="FFFFFF"/>
            <w:noWrap/>
            <w:vAlign w:val="bottom"/>
            <w:hideMark/>
          </w:tcPr>
          <w:p w14:paraId="68C303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1059" w:type="dxa"/>
            <w:tcBorders>
              <w:top w:val="nil"/>
              <w:left w:val="nil"/>
              <w:bottom w:val="nil"/>
              <w:right w:val="nil"/>
            </w:tcBorders>
            <w:shd w:val="clear" w:color="000000" w:fill="FFFFFF"/>
            <w:noWrap/>
            <w:vAlign w:val="bottom"/>
            <w:hideMark/>
          </w:tcPr>
          <w:p w14:paraId="1C6E1B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DAF7F24" w14:textId="77777777" w:rsidTr="00ED0631">
        <w:trPr>
          <w:trHeight w:val="315"/>
        </w:trPr>
        <w:tc>
          <w:tcPr>
            <w:tcW w:w="1853" w:type="dxa"/>
            <w:tcBorders>
              <w:top w:val="single" w:sz="4" w:space="0" w:color="auto"/>
              <w:left w:val="nil"/>
              <w:bottom w:val="single" w:sz="4" w:space="0" w:color="auto"/>
              <w:right w:val="nil"/>
            </w:tcBorders>
            <w:shd w:val="clear" w:color="000000" w:fill="FFFFFF"/>
            <w:noWrap/>
            <w:vAlign w:val="bottom"/>
            <w:hideMark/>
          </w:tcPr>
          <w:p w14:paraId="30E046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97" w:type="dxa"/>
            <w:tcBorders>
              <w:top w:val="single" w:sz="4" w:space="0" w:color="auto"/>
              <w:left w:val="nil"/>
              <w:bottom w:val="single" w:sz="4" w:space="0" w:color="auto"/>
              <w:right w:val="nil"/>
            </w:tcBorders>
            <w:shd w:val="clear" w:color="000000" w:fill="FFFFFF"/>
            <w:noWrap/>
            <w:vAlign w:val="bottom"/>
            <w:hideMark/>
          </w:tcPr>
          <w:p w14:paraId="26F339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 </w:t>
            </w:r>
          </w:p>
        </w:tc>
        <w:tc>
          <w:tcPr>
            <w:tcW w:w="1051" w:type="dxa"/>
            <w:tcBorders>
              <w:top w:val="single" w:sz="4" w:space="0" w:color="auto"/>
              <w:left w:val="nil"/>
              <w:bottom w:val="single" w:sz="4" w:space="0" w:color="auto"/>
              <w:right w:val="nil"/>
            </w:tcBorders>
            <w:shd w:val="clear" w:color="000000" w:fill="FFFFFF"/>
            <w:noWrap/>
            <w:vAlign w:val="bottom"/>
            <w:hideMark/>
          </w:tcPr>
          <w:p w14:paraId="5BF484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 </w:t>
            </w:r>
          </w:p>
        </w:tc>
        <w:tc>
          <w:tcPr>
            <w:tcW w:w="1059" w:type="dxa"/>
            <w:tcBorders>
              <w:top w:val="single" w:sz="4" w:space="0" w:color="auto"/>
              <w:left w:val="nil"/>
              <w:bottom w:val="single" w:sz="4" w:space="0" w:color="auto"/>
              <w:right w:val="nil"/>
            </w:tcBorders>
            <w:shd w:val="clear" w:color="000000" w:fill="FFFFFF"/>
            <w:noWrap/>
            <w:vAlign w:val="bottom"/>
            <w:hideMark/>
          </w:tcPr>
          <w:p w14:paraId="4E93F8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bl>
    <w:p w14:paraId="70AD4B5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6: Primary school leaders rating of the new curriculum by island category-topic </w:t>
      </w:r>
    </w:p>
    <w:tbl>
      <w:tblPr>
        <w:tblW w:w="5820" w:type="dxa"/>
        <w:tblInd w:w="93" w:type="dxa"/>
        <w:tblLook w:val="04A0" w:firstRow="1" w:lastRow="0" w:firstColumn="1" w:lastColumn="0" w:noHBand="0" w:noVBand="1"/>
      </w:tblPr>
      <w:tblGrid>
        <w:gridCol w:w="1476"/>
        <w:gridCol w:w="1774"/>
        <w:gridCol w:w="1293"/>
        <w:gridCol w:w="1277"/>
      </w:tblGrid>
      <w:tr w:rsidR="00AC362E" w:rsidRPr="00491EF1" w14:paraId="1D91D4EE" w14:textId="77777777" w:rsidTr="00ED0631">
        <w:trPr>
          <w:trHeight w:val="315"/>
        </w:trPr>
        <w:tc>
          <w:tcPr>
            <w:tcW w:w="1476" w:type="dxa"/>
            <w:tcBorders>
              <w:top w:val="single" w:sz="4" w:space="0" w:color="auto"/>
              <w:left w:val="nil"/>
              <w:bottom w:val="single" w:sz="4" w:space="0" w:color="auto"/>
              <w:right w:val="nil"/>
            </w:tcBorders>
            <w:shd w:val="clear" w:color="auto" w:fill="auto"/>
            <w:noWrap/>
            <w:vAlign w:val="bottom"/>
            <w:hideMark/>
          </w:tcPr>
          <w:p w14:paraId="43310CF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Topics </w:t>
            </w:r>
          </w:p>
        </w:tc>
        <w:tc>
          <w:tcPr>
            <w:tcW w:w="1774" w:type="dxa"/>
            <w:tcBorders>
              <w:top w:val="single" w:sz="4" w:space="0" w:color="auto"/>
              <w:left w:val="nil"/>
              <w:bottom w:val="single" w:sz="4" w:space="0" w:color="auto"/>
              <w:right w:val="nil"/>
            </w:tcBorders>
            <w:shd w:val="clear" w:color="auto" w:fill="auto"/>
            <w:noWrap/>
            <w:vAlign w:val="bottom"/>
            <w:hideMark/>
          </w:tcPr>
          <w:p w14:paraId="4BCB6C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93" w:type="dxa"/>
            <w:tcBorders>
              <w:top w:val="single" w:sz="4" w:space="0" w:color="auto"/>
              <w:left w:val="nil"/>
              <w:bottom w:val="single" w:sz="4" w:space="0" w:color="auto"/>
              <w:right w:val="nil"/>
            </w:tcBorders>
            <w:shd w:val="clear" w:color="auto" w:fill="auto"/>
            <w:noWrap/>
            <w:vAlign w:val="bottom"/>
            <w:hideMark/>
          </w:tcPr>
          <w:p w14:paraId="560950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277" w:type="dxa"/>
            <w:tcBorders>
              <w:top w:val="single" w:sz="4" w:space="0" w:color="auto"/>
              <w:left w:val="nil"/>
              <w:bottom w:val="single" w:sz="4" w:space="0" w:color="auto"/>
              <w:right w:val="nil"/>
            </w:tcBorders>
            <w:shd w:val="clear" w:color="auto" w:fill="auto"/>
            <w:noWrap/>
            <w:vAlign w:val="bottom"/>
            <w:hideMark/>
          </w:tcPr>
          <w:p w14:paraId="3E4FFC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4937C452" w14:textId="77777777" w:rsidTr="00ED0631">
        <w:trPr>
          <w:trHeight w:val="315"/>
        </w:trPr>
        <w:tc>
          <w:tcPr>
            <w:tcW w:w="1476" w:type="dxa"/>
            <w:tcBorders>
              <w:top w:val="nil"/>
              <w:left w:val="nil"/>
              <w:bottom w:val="nil"/>
              <w:right w:val="nil"/>
            </w:tcBorders>
            <w:shd w:val="clear" w:color="auto" w:fill="auto"/>
            <w:noWrap/>
            <w:vAlign w:val="bottom"/>
            <w:hideMark/>
          </w:tcPr>
          <w:p w14:paraId="7EA271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74" w:type="dxa"/>
            <w:tcBorders>
              <w:top w:val="nil"/>
              <w:left w:val="nil"/>
              <w:bottom w:val="nil"/>
              <w:right w:val="nil"/>
            </w:tcBorders>
            <w:shd w:val="clear" w:color="auto" w:fill="auto"/>
            <w:noWrap/>
            <w:vAlign w:val="bottom"/>
            <w:hideMark/>
          </w:tcPr>
          <w:p w14:paraId="38D8AB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293" w:type="dxa"/>
            <w:tcBorders>
              <w:top w:val="nil"/>
              <w:left w:val="nil"/>
              <w:bottom w:val="nil"/>
              <w:right w:val="nil"/>
            </w:tcBorders>
            <w:shd w:val="clear" w:color="auto" w:fill="auto"/>
            <w:noWrap/>
            <w:vAlign w:val="bottom"/>
            <w:hideMark/>
          </w:tcPr>
          <w:p w14:paraId="6B4130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277" w:type="dxa"/>
            <w:tcBorders>
              <w:top w:val="nil"/>
              <w:left w:val="nil"/>
              <w:bottom w:val="nil"/>
              <w:right w:val="nil"/>
            </w:tcBorders>
            <w:shd w:val="clear" w:color="auto" w:fill="auto"/>
            <w:noWrap/>
            <w:vAlign w:val="bottom"/>
            <w:hideMark/>
          </w:tcPr>
          <w:p w14:paraId="3EE3EE3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160EE9A" w14:textId="77777777" w:rsidTr="00ED0631">
        <w:trPr>
          <w:trHeight w:val="315"/>
        </w:trPr>
        <w:tc>
          <w:tcPr>
            <w:tcW w:w="1476" w:type="dxa"/>
            <w:tcBorders>
              <w:top w:val="nil"/>
              <w:left w:val="nil"/>
              <w:bottom w:val="nil"/>
              <w:right w:val="nil"/>
            </w:tcBorders>
            <w:shd w:val="clear" w:color="auto" w:fill="auto"/>
            <w:noWrap/>
            <w:vAlign w:val="bottom"/>
            <w:hideMark/>
          </w:tcPr>
          <w:p w14:paraId="7B736B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74" w:type="dxa"/>
            <w:tcBorders>
              <w:top w:val="nil"/>
              <w:left w:val="nil"/>
              <w:bottom w:val="nil"/>
              <w:right w:val="nil"/>
            </w:tcBorders>
            <w:shd w:val="clear" w:color="auto" w:fill="auto"/>
            <w:noWrap/>
            <w:vAlign w:val="bottom"/>
            <w:hideMark/>
          </w:tcPr>
          <w:p w14:paraId="15DE0B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93" w:type="dxa"/>
            <w:tcBorders>
              <w:top w:val="nil"/>
              <w:left w:val="nil"/>
              <w:bottom w:val="nil"/>
              <w:right w:val="nil"/>
            </w:tcBorders>
            <w:shd w:val="clear" w:color="auto" w:fill="auto"/>
            <w:noWrap/>
            <w:vAlign w:val="bottom"/>
            <w:hideMark/>
          </w:tcPr>
          <w:p w14:paraId="0272590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77" w:type="dxa"/>
            <w:tcBorders>
              <w:top w:val="nil"/>
              <w:left w:val="nil"/>
              <w:bottom w:val="nil"/>
              <w:right w:val="nil"/>
            </w:tcBorders>
            <w:shd w:val="clear" w:color="auto" w:fill="auto"/>
            <w:noWrap/>
            <w:vAlign w:val="bottom"/>
            <w:hideMark/>
          </w:tcPr>
          <w:p w14:paraId="77CEBE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4C7488A0" w14:textId="77777777" w:rsidTr="00ED0631">
        <w:trPr>
          <w:trHeight w:val="315"/>
        </w:trPr>
        <w:tc>
          <w:tcPr>
            <w:tcW w:w="1476" w:type="dxa"/>
            <w:tcBorders>
              <w:top w:val="nil"/>
              <w:left w:val="nil"/>
              <w:bottom w:val="nil"/>
              <w:right w:val="nil"/>
            </w:tcBorders>
            <w:shd w:val="clear" w:color="auto" w:fill="auto"/>
            <w:noWrap/>
            <w:vAlign w:val="bottom"/>
            <w:hideMark/>
          </w:tcPr>
          <w:p w14:paraId="0EAE69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74" w:type="dxa"/>
            <w:tcBorders>
              <w:top w:val="nil"/>
              <w:left w:val="nil"/>
              <w:bottom w:val="nil"/>
              <w:right w:val="nil"/>
            </w:tcBorders>
            <w:shd w:val="clear" w:color="auto" w:fill="auto"/>
            <w:noWrap/>
            <w:vAlign w:val="bottom"/>
            <w:hideMark/>
          </w:tcPr>
          <w:p w14:paraId="54001E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93" w:type="dxa"/>
            <w:tcBorders>
              <w:top w:val="nil"/>
              <w:left w:val="nil"/>
              <w:bottom w:val="nil"/>
              <w:right w:val="nil"/>
            </w:tcBorders>
            <w:shd w:val="clear" w:color="auto" w:fill="auto"/>
            <w:noWrap/>
            <w:vAlign w:val="bottom"/>
            <w:hideMark/>
          </w:tcPr>
          <w:p w14:paraId="23A43F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77" w:type="dxa"/>
            <w:tcBorders>
              <w:top w:val="nil"/>
              <w:left w:val="nil"/>
              <w:bottom w:val="nil"/>
              <w:right w:val="nil"/>
            </w:tcBorders>
            <w:shd w:val="clear" w:color="auto" w:fill="auto"/>
            <w:noWrap/>
            <w:vAlign w:val="bottom"/>
            <w:hideMark/>
          </w:tcPr>
          <w:p w14:paraId="6F1324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1AA50657" w14:textId="77777777" w:rsidTr="00ED0631">
        <w:trPr>
          <w:trHeight w:val="315"/>
        </w:trPr>
        <w:tc>
          <w:tcPr>
            <w:tcW w:w="1476" w:type="dxa"/>
            <w:tcBorders>
              <w:top w:val="single" w:sz="4" w:space="0" w:color="auto"/>
              <w:left w:val="nil"/>
              <w:bottom w:val="single" w:sz="4" w:space="0" w:color="auto"/>
              <w:right w:val="nil"/>
            </w:tcBorders>
            <w:shd w:val="clear" w:color="auto" w:fill="auto"/>
            <w:noWrap/>
            <w:vAlign w:val="bottom"/>
            <w:hideMark/>
          </w:tcPr>
          <w:p w14:paraId="2DAA3D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74" w:type="dxa"/>
            <w:tcBorders>
              <w:top w:val="single" w:sz="4" w:space="0" w:color="auto"/>
              <w:left w:val="nil"/>
              <w:bottom w:val="single" w:sz="4" w:space="0" w:color="auto"/>
              <w:right w:val="nil"/>
            </w:tcBorders>
            <w:shd w:val="clear" w:color="auto" w:fill="auto"/>
            <w:noWrap/>
            <w:vAlign w:val="bottom"/>
            <w:hideMark/>
          </w:tcPr>
          <w:p w14:paraId="770A81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 </w:t>
            </w:r>
          </w:p>
        </w:tc>
        <w:tc>
          <w:tcPr>
            <w:tcW w:w="1293" w:type="dxa"/>
            <w:tcBorders>
              <w:top w:val="single" w:sz="4" w:space="0" w:color="auto"/>
              <w:left w:val="nil"/>
              <w:bottom w:val="single" w:sz="4" w:space="0" w:color="auto"/>
              <w:right w:val="nil"/>
            </w:tcBorders>
            <w:shd w:val="clear" w:color="auto" w:fill="auto"/>
            <w:noWrap/>
            <w:vAlign w:val="bottom"/>
            <w:hideMark/>
          </w:tcPr>
          <w:p w14:paraId="691916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1277" w:type="dxa"/>
            <w:tcBorders>
              <w:top w:val="single" w:sz="4" w:space="0" w:color="auto"/>
              <w:left w:val="nil"/>
              <w:bottom w:val="single" w:sz="4" w:space="0" w:color="auto"/>
              <w:right w:val="nil"/>
            </w:tcBorders>
            <w:shd w:val="clear" w:color="auto" w:fill="auto"/>
            <w:noWrap/>
            <w:vAlign w:val="bottom"/>
            <w:hideMark/>
          </w:tcPr>
          <w:p w14:paraId="027D43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bl>
    <w:p w14:paraId="47F10682"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7: Primary school leaders rating of the new curriculum by island-guidance</w:t>
      </w:r>
    </w:p>
    <w:tbl>
      <w:tblPr>
        <w:tblW w:w="5660" w:type="dxa"/>
        <w:tblInd w:w="93" w:type="dxa"/>
        <w:tblLook w:val="04A0" w:firstRow="1" w:lastRow="0" w:firstColumn="1" w:lastColumn="0" w:noHBand="0" w:noVBand="1"/>
      </w:tblPr>
      <w:tblGrid>
        <w:gridCol w:w="1853"/>
        <w:gridCol w:w="1697"/>
        <w:gridCol w:w="1051"/>
        <w:gridCol w:w="1059"/>
      </w:tblGrid>
      <w:tr w:rsidR="00AC362E" w:rsidRPr="00491EF1" w14:paraId="7664F17B" w14:textId="77777777" w:rsidTr="00ED0631">
        <w:trPr>
          <w:trHeight w:val="315"/>
        </w:trPr>
        <w:tc>
          <w:tcPr>
            <w:tcW w:w="1853" w:type="dxa"/>
            <w:tcBorders>
              <w:top w:val="single" w:sz="4" w:space="0" w:color="auto"/>
              <w:left w:val="nil"/>
              <w:bottom w:val="single" w:sz="4" w:space="0" w:color="auto"/>
              <w:right w:val="nil"/>
            </w:tcBorders>
            <w:shd w:val="clear" w:color="auto" w:fill="auto"/>
            <w:noWrap/>
            <w:vAlign w:val="bottom"/>
            <w:hideMark/>
          </w:tcPr>
          <w:p w14:paraId="04937DF9"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Guidance</w:t>
            </w:r>
          </w:p>
        </w:tc>
        <w:tc>
          <w:tcPr>
            <w:tcW w:w="1697" w:type="dxa"/>
            <w:tcBorders>
              <w:top w:val="single" w:sz="4" w:space="0" w:color="auto"/>
              <w:left w:val="nil"/>
              <w:bottom w:val="single" w:sz="4" w:space="0" w:color="auto"/>
              <w:right w:val="nil"/>
            </w:tcBorders>
            <w:shd w:val="clear" w:color="auto" w:fill="auto"/>
            <w:noWrap/>
            <w:vAlign w:val="bottom"/>
            <w:hideMark/>
          </w:tcPr>
          <w:p w14:paraId="29547D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51" w:type="dxa"/>
            <w:tcBorders>
              <w:top w:val="single" w:sz="4" w:space="0" w:color="auto"/>
              <w:left w:val="nil"/>
              <w:bottom w:val="single" w:sz="4" w:space="0" w:color="auto"/>
              <w:right w:val="nil"/>
            </w:tcBorders>
            <w:shd w:val="clear" w:color="auto" w:fill="auto"/>
            <w:noWrap/>
            <w:vAlign w:val="bottom"/>
            <w:hideMark/>
          </w:tcPr>
          <w:p w14:paraId="2964E1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059" w:type="dxa"/>
            <w:tcBorders>
              <w:top w:val="single" w:sz="4" w:space="0" w:color="auto"/>
              <w:left w:val="nil"/>
              <w:bottom w:val="single" w:sz="4" w:space="0" w:color="auto"/>
              <w:right w:val="nil"/>
            </w:tcBorders>
            <w:shd w:val="clear" w:color="auto" w:fill="auto"/>
            <w:noWrap/>
            <w:vAlign w:val="bottom"/>
            <w:hideMark/>
          </w:tcPr>
          <w:p w14:paraId="1E31C5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37AE7BCC" w14:textId="77777777" w:rsidTr="00ED0631">
        <w:trPr>
          <w:trHeight w:val="315"/>
        </w:trPr>
        <w:tc>
          <w:tcPr>
            <w:tcW w:w="1853" w:type="dxa"/>
            <w:tcBorders>
              <w:top w:val="nil"/>
              <w:left w:val="nil"/>
              <w:bottom w:val="nil"/>
              <w:right w:val="nil"/>
            </w:tcBorders>
            <w:shd w:val="clear" w:color="auto" w:fill="auto"/>
            <w:noWrap/>
            <w:vAlign w:val="bottom"/>
            <w:hideMark/>
          </w:tcPr>
          <w:p w14:paraId="199102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97" w:type="dxa"/>
            <w:tcBorders>
              <w:top w:val="nil"/>
              <w:left w:val="nil"/>
              <w:bottom w:val="nil"/>
              <w:right w:val="nil"/>
            </w:tcBorders>
            <w:shd w:val="clear" w:color="auto" w:fill="auto"/>
            <w:noWrap/>
            <w:vAlign w:val="bottom"/>
            <w:hideMark/>
          </w:tcPr>
          <w:p w14:paraId="6B0A9A8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51" w:type="dxa"/>
            <w:tcBorders>
              <w:top w:val="nil"/>
              <w:left w:val="nil"/>
              <w:bottom w:val="nil"/>
              <w:right w:val="nil"/>
            </w:tcBorders>
            <w:shd w:val="clear" w:color="auto" w:fill="auto"/>
            <w:noWrap/>
            <w:vAlign w:val="bottom"/>
            <w:hideMark/>
          </w:tcPr>
          <w:p w14:paraId="10D7FD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492F53C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E9FB1E1" w14:textId="77777777" w:rsidTr="00ED0631">
        <w:trPr>
          <w:trHeight w:val="315"/>
        </w:trPr>
        <w:tc>
          <w:tcPr>
            <w:tcW w:w="1853" w:type="dxa"/>
            <w:tcBorders>
              <w:top w:val="nil"/>
              <w:left w:val="nil"/>
              <w:bottom w:val="nil"/>
              <w:right w:val="nil"/>
            </w:tcBorders>
            <w:shd w:val="clear" w:color="auto" w:fill="auto"/>
            <w:noWrap/>
            <w:vAlign w:val="bottom"/>
            <w:hideMark/>
          </w:tcPr>
          <w:p w14:paraId="3BD00D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97" w:type="dxa"/>
            <w:tcBorders>
              <w:top w:val="nil"/>
              <w:left w:val="nil"/>
              <w:bottom w:val="nil"/>
              <w:right w:val="nil"/>
            </w:tcBorders>
            <w:shd w:val="clear" w:color="auto" w:fill="auto"/>
            <w:noWrap/>
            <w:vAlign w:val="bottom"/>
            <w:hideMark/>
          </w:tcPr>
          <w:p w14:paraId="37B284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569023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59" w:type="dxa"/>
            <w:tcBorders>
              <w:top w:val="nil"/>
              <w:left w:val="nil"/>
              <w:bottom w:val="nil"/>
              <w:right w:val="nil"/>
            </w:tcBorders>
            <w:shd w:val="clear" w:color="auto" w:fill="auto"/>
            <w:noWrap/>
            <w:vAlign w:val="bottom"/>
            <w:hideMark/>
          </w:tcPr>
          <w:p w14:paraId="72B6171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3A8A1FB" w14:textId="77777777" w:rsidTr="00ED0631">
        <w:trPr>
          <w:trHeight w:val="315"/>
        </w:trPr>
        <w:tc>
          <w:tcPr>
            <w:tcW w:w="1853" w:type="dxa"/>
            <w:tcBorders>
              <w:top w:val="nil"/>
              <w:left w:val="nil"/>
              <w:bottom w:val="nil"/>
              <w:right w:val="nil"/>
            </w:tcBorders>
            <w:shd w:val="clear" w:color="auto" w:fill="auto"/>
            <w:noWrap/>
            <w:vAlign w:val="bottom"/>
            <w:hideMark/>
          </w:tcPr>
          <w:p w14:paraId="5F77E2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97" w:type="dxa"/>
            <w:tcBorders>
              <w:top w:val="nil"/>
              <w:left w:val="nil"/>
              <w:bottom w:val="nil"/>
              <w:right w:val="nil"/>
            </w:tcBorders>
            <w:shd w:val="clear" w:color="auto" w:fill="auto"/>
            <w:noWrap/>
            <w:vAlign w:val="bottom"/>
            <w:hideMark/>
          </w:tcPr>
          <w:p w14:paraId="15325E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487241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624BDEA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C17E119" w14:textId="77777777" w:rsidTr="00ED0631">
        <w:trPr>
          <w:trHeight w:val="315"/>
        </w:trPr>
        <w:tc>
          <w:tcPr>
            <w:tcW w:w="1853" w:type="dxa"/>
            <w:tcBorders>
              <w:top w:val="nil"/>
              <w:left w:val="nil"/>
              <w:bottom w:val="nil"/>
              <w:right w:val="nil"/>
            </w:tcBorders>
            <w:shd w:val="clear" w:color="auto" w:fill="auto"/>
            <w:noWrap/>
            <w:vAlign w:val="bottom"/>
            <w:hideMark/>
          </w:tcPr>
          <w:p w14:paraId="475AC5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97" w:type="dxa"/>
            <w:tcBorders>
              <w:top w:val="nil"/>
              <w:left w:val="nil"/>
              <w:bottom w:val="nil"/>
              <w:right w:val="nil"/>
            </w:tcBorders>
            <w:shd w:val="clear" w:color="auto" w:fill="auto"/>
            <w:noWrap/>
            <w:vAlign w:val="bottom"/>
            <w:hideMark/>
          </w:tcPr>
          <w:p w14:paraId="00518C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5384E1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2BD3816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78B578E" w14:textId="77777777" w:rsidTr="00ED0631">
        <w:trPr>
          <w:trHeight w:val="315"/>
        </w:trPr>
        <w:tc>
          <w:tcPr>
            <w:tcW w:w="1853" w:type="dxa"/>
            <w:tcBorders>
              <w:top w:val="nil"/>
              <w:left w:val="nil"/>
              <w:bottom w:val="nil"/>
              <w:right w:val="nil"/>
            </w:tcBorders>
            <w:shd w:val="clear" w:color="auto" w:fill="auto"/>
            <w:noWrap/>
            <w:vAlign w:val="bottom"/>
            <w:hideMark/>
          </w:tcPr>
          <w:p w14:paraId="6B235B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97" w:type="dxa"/>
            <w:tcBorders>
              <w:top w:val="nil"/>
              <w:left w:val="nil"/>
              <w:bottom w:val="nil"/>
              <w:right w:val="nil"/>
            </w:tcBorders>
            <w:shd w:val="clear" w:color="auto" w:fill="auto"/>
            <w:noWrap/>
            <w:vAlign w:val="bottom"/>
            <w:hideMark/>
          </w:tcPr>
          <w:p w14:paraId="466787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auto" w:fill="auto"/>
            <w:noWrap/>
            <w:vAlign w:val="bottom"/>
            <w:hideMark/>
          </w:tcPr>
          <w:p w14:paraId="0CCD3F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3910E0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1564BF7" w14:textId="77777777" w:rsidTr="00ED0631">
        <w:trPr>
          <w:trHeight w:val="315"/>
        </w:trPr>
        <w:tc>
          <w:tcPr>
            <w:tcW w:w="1853" w:type="dxa"/>
            <w:tcBorders>
              <w:top w:val="nil"/>
              <w:left w:val="nil"/>
              <w:bottom w:val="nil"/>
              <w:right w:val="nil"/>
            </w:tcBorders>
            <w:shd w:val="clear" w:color="auto" w:fill="auto"/>
            <w:noWrap/>
            <w:vAlign w:val="bottom"/>
            <w:hideMark/>
          </w:tcPr>
          <w:p w14:paraId="17AABD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97" w:type="dxa"/>
            <w:tcBorders>
              <w:top w:val="nil"/>
              <w:left w:val="nil"/>
              <w:bottom w:val="nil"/>
              <w:right w:val="nil"/>
            </w:tcBorders>
            <w:shd w:val="clear" w:color="auto" w:fill="auto"/>
            <w:noWrap/>
            <w:vAlign w:val="bottom"/>
            <w:hideMark/>
          </w:tcPr>
          <w:p w14:paraId="0C3C51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auto" w:fill="auto"/>
            <w:noWrap/>
            <w:vAlign w:val="bottom"/>
            <w:hideMark/>
          </w:tcPr>
          <w:p w14:paraId="00FEFF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auto" w:fill="auto"/>
            <w:noWrap/>
            <w:vAlign w:val="bottom"/>
            <w:hideMark/>
          </w:tcPr>
          <w:p w14:paraId="51A0652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3855970" w14:textId="77777777" w:rsidTr="00ED0631">
        <w:trPr>
          <w:trHeight w:val="315"/>
        </w:trPr>
        <w:tc>
          <w:tcPr>
            <w:tcW w:w="1853" w:type="dxa"/>
            <w:tcBorders>
              <w:top w:val="nil"/>
              <w:left w:val="nil"/>
              <w:bottom w:val="nil"/>
              <w:right w:val="nil"/>
            </w:tcBorders>
            <w:shd w:val="clear" w:color="auto" w:fill="auto"/>
            <w:noWrap/>
            <w:vAlign w:val="bottom"/>
            <w:hideMark/>
          </w:tcPr>
          <w:p w14:paraId="36ACEE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97" w:type="dxa"/>
            <w:tcBorders>
              <w:top w:val="nil"/>
              <w:left w:val="nil"/>
              <w:bottom w:val="nil"/>
              <w:right w:val="nil"/>
            </w:tcBorders>
            <w:shd w:val="clear" w:color="auto" w:fill="auto"/>
            <w:noWrap/>
            <w:vAlign w:val="bottom"/>
            <w:hideMark/>
          </w:tcPr>
          <w:p w14:paraId="23518D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auto" w:fill="auto"/>
            <w:noWrap/>
            <w:vAlign w:val="bottom"/>
            <w:hideMark/>
          </w:tcPr>
          <w:p w14:paraId="0AB70A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9" w:type="dxa"/>
            <w:tcBorders>
              <w:top w:val="nil"/>
              <w:left w:val="nil"/>
              <w:bottom w:val="nil"/>
              <w:right w:val="nil"/>
            </w:tcBorders>
            <w:shd w:val="clear" w:color="auto" w:fill="auto"/>
            <w:noWrap/>
            <w:vAlign w:val="bottom"/>
            <w:hideMark/>
          </w:tcPr>
          <w:p w14:paraId="2B136E9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DC8F17D" w14:textId="77777777" w:rsidTr="00ED0631">
        <w:trPr>
          <w:trHeight w:val="315"/>
        </w:trPr>
        <w:tc>
          <w:tcPr>
            <w:tcW w:w="1853" w:type="dxa"/>
            <w:tcBorders>
              <w:top w:val="nil"/>
              <w:left w:val="nil"/>
              <w:bottom w:val="nil"/>
              <w:right w:val="nil"/>
            </w:tcBorders>
            <w:shd w:val="clear" w:color="auto" w:fill="auto"/>
            <w:noWrap/>
            <w:vAlign w:val="bottom"/>
            <w:hideMark/>
          </w:tcPr>
          <w:p w14:paraId="4DC4F0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97" w:type="dxa"/>
            <w:tcBorders>
              <w:top w:val="nil"/>
              <w:left w:val="nil"/>
              <w:bottom w:val="nil"/>
              <w:right w:val="nil"/>
            </w:tcBorders>
            <w:shd w:val="clear" w:color="auto" w:fill="auto"/>
            <w:noWrap/>
            <w:vAlign w:val="bottom"/>
            <w:hideMark/>
          </w:tcPr>
          <w:p w14:paraId="1744D4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auto" w:fill="auto"/>
            <w:noWrap/>
            <w:vAlign w:val="bottom"/>
            <w:hideMark/>
          </w:tcPr>
          <w:p w14:paraId="468ADB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auto" w:fill="auto"/>
            <w:noWrap/>
            <w:vAlign w:val="bottom"/>
            <w:hideMark/>
          </w:tcPr>
          <w:p w14:paraId="580E75C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EE3ABF3" w14:textId="77777777" w:rsidTr="00ED0631">
        <w:trPr>
          <w:trHeight w:val="315"/>
        </w:trPr>
        <w:tc>
          <w:tcPr>
            <w:tcW w:w="1853" w:type="dxa"/>
            <w:tcBorders>
              <w:top w:val="nil"/>
              <w:left w:val="nil"/>
              <w:bottom w:val="nil"/>
              <w:right w:val="nil"/>
            </w:tcBorders>
            <w:shd w:val="clear" w:color="auto" w:fill="auto"/>
            <w:noWrap/>
            <w:vAlign w:val="bottom"/>
            <w:hideMark/>
          </w:tcPr>
          <w:p w14:paraId="60E529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97" w:type="dxa"/>
            <w:tcBorders>
              <w:top w:val="nil"/>
              <w:left w:val="nil"/>
              <w:bottom w:val="nil"/>
              <w:right w:val="nil"/>
            </w:tcBorders>
            <w:shd w:val="clear" w:color="auto" w:fill="auto"/>
            <w:noWrap/>
            <w:vAlign w:val="bottom"/>
            <w:hideMark/>
          </w:tcPr>
          <w:p w14:paraId="5287D5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1" w:type="dxa"/>
            <w:tcBorders>
              <w:top w:val="nil"/>
              <w:left w:val="nil"/>
              <w:bottom w:val="nil"/>
              <w:right w:val="nil"/>
            </w:tcBorders>
            <w:shd w:val="clear" w:color="auto" w:fill="auto"/>
            <w:noWrap/>
            <w:vAlign w:val="bottom"/>
            <w:hideMark/>
          </w:tcPr>
          <w:p w14:paraId="401A4B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1059" w:type="dxa"/>
            <w:tcBorders>
              <w:top w:val="nil"/>
              <w:left w:val="nil"/>
              <w:bottom w:val="nil"/>
              <w:right w:val="nil"/>
            </w:tcBorders>
            <w:shd w:val="clear" w:color="auto" w:fill="auto"/>
            <w:noWrap/>
            <w:vAlign w:val="bottom"/>
            <w:hideMark/>
          </w:tcPr>
          <w:p w14:paraId="4BDD2BBC"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2180CFC" w14:textId="77777777" w:rsidTr="00ED0631">
        <w:trPr>
          <w:trHeight w:val="315"/>
        </w:trPr>
        <w:tc>
          <w:tcPr>
            <w:tcW w:w="1853" w:type="dxa"/>
            <w:tcBorders>
              <w:top w:val="single" w:sz="4" w:space="0" w:color="auto"/>
              <w:left w:val="nil"/>
              <w:bottom w:val="single" w:sz="4" w:space="0" w:color="auto"/>
              <w:right w:val="nil"/>
            </w:tcBorders>
            <w:shd w:val="clear" w:color="auto" w:fill="auto"/>
            <w:noWrap/>
            <w:vAlign w:val="bottom"/>
            <w:hideMark/>
          </w:tcPr>
          <w:p w14:paraId="7F4895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97" w:type="dxa"/>
            <w:tcBorders>
              <w:top w:val="single" w:sz="4" w:space="0" w:color="auto"/>
              <w:left w:val="nil"/>
              <w:bottom w:val="single" w:sz="4" w:space="0" w:color="auto"/>
              <w:right w:val="nil"/>
            </w:tcBorders>
            <w:shd w:val="clear" w:color="auto" w:fill="auto"/>
            <w:noWrap/>
            <w:vAlign w:val="bottom"/>
            <w:hideMark/>
          </w:tcPr>
          <w:p w14:paraId="1EA0B0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 </w:t>
            </w:r>
          </w:p>
        </w:tc>
        <w:tc>
          <w:tcPr>
            <w:tcW w:w="1051" w:type="dxa"/>
            <w:tcBorders>
              <w:top w:val="single" w:sz="4" w:space="0" w:color="auto"/>
              <w:left w:val="nil"/>
              <w:bottom w:val="single" w:sz="4" w:space="0" w:color="auto"/>
              <w:right w:val="nil"/>
            </w:tcBorders>
            <w:shd w:val="clear" w:color="auto" w:fill="auto"/>
            <w:noWrap/>
            <w:vAlign w:val="bottom"/>
            <w:hideMark/>
          </w:tcPr>
          <w:p w14:paraId="159F2F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27 </w:t>
            </w:r>
          </w:p>
        </w:tc>
        <w:tc>
          <w:tcPr>
            <w:tcW w:w="1059" w:type="dxa"/>
            <w:tcBorders>
              <w:top w:val="single" w:sz="4" w:space="0" w:color="auto"/>
              <w:left w:val="nil"/>
              <w:bottom w:val="single" w:sz="4" w:space="0" w:color="auto"/>
              <w:right w:val="nil"/>
            </w:tcBorders>
            <w:shd w:val="clear" w:color="auto" w:fill="auto"/>
            <w:noWrap/>
            <w:vAlign w:val="bottom"/>
            <w:hideMark/>
          </w:tcPr>
          <w:p w14:paraId="16F50D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7FB70E4A" w14:textId="77777777" w:rsidR="00AC362E" w:rsidRPr="00491EF1" w:rsidRDefault="00AC362E">
      <w:pP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br w:type="page"/>
      </w:r>
    </w:p>
    <w:p w14:paraId="2CAC188E"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 xml:space="preserve">Table 8: Primary school leaders rating of the new curriculum by island category-guidance </w:t>
      </w:r>
    </w:p>
    <w:tbl>
      <w:tblPr>
        <w:tblW w:w="5820" w:type="dxa"/>
        <w:tblInd w:w="93" w:type="dxa"/>
        <w:tblLook w:val="04A0" w:firstRow="1" w:lastRow="0" w:firstColumn="1" w:lastColumn="0" w:noHBand="0" w:noVBand="1"/>
      </w:tblPr>
      <w:tblGrid>
        <w:gridCol w:w="1476"/>
        <w:gridCol w:w="1774"/>
        <w:gridCol w:w="1293"/>
        <w:gridCol w:w="1277"/>
      </w:tblGrid>
      <w:tr w:rsidR="00AC362E" w:rsidRPr="00491EF1" w14:paraId="6DFF1560" w14:textId="77777777" w:rsidTr="00ED0631">
        <w:trPr>
          <w:trHeight w:val="315"/>
        </w:trPr>
        <w:tc>
          <w:tcPr>
            <w:tcW w:w="1476" w:type="dxa"/>
            <w:tcBorders>
              <w:top w:val="single" w:sz="4" w:space="0" w:color="auto"/>
              <w:left w:val="nil"/>
              <w:bottom w:val="single" w:sz="4" w:space="0" w:color="auto"/>
              <w:right w:val="nil"/>
            </w:tcBorders>
            <w:shd w:val="clear" w:color="auto" w:fill="auto"/>
            <w:noWrap/>
            <w:vAlign w:val="bottom"/>
            <w:hideMark/>
          </w:tcPr>
          <w:p w14:paraId="6136DA2C"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Guidance </w:t>
            </w:r>
          </w:p>
        </w:tc>
        <w:tc>
          <w:tcPr>
            <w:tcW w:w="1774" w:type="dxa"/>
            <w:tcBorders>
              <w:top w:val="single" w:sz="4" w:space="0" w:color="auto"/>
              <w:left w:val="nil"/>
              <w:bottom w:val="single" w:sz="4" w:space="0" w:color="auto"/>
              <w:right w:val="nil"/>
            </w:tcBorders>
            <w:shd w:val="clear" w:color="auto" w:fill="auto"/>
            <w:noWrap/>
            <w:vAlign w:val="bottom"/>
            <w:hideMark/>
          </w:tcPr>
          <w:p w14:paraId="105CBA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93" w:type="dxa"/>
            <w:tcBorders>
              <w:top w:val="single" w:sz="4" w:space="0" w:color="auto"/>
              <w:left w:val="nil"/>
              <w:bottom w:val="single" w:sz="4" w:space="0" w:color="auto"/>
              <w:right w:val="nil"/>
            </w:tcBorders>
            <w:shd w:val="clear" w:color="auto" w:fill="auto"/>
            <w:noWrap/>
            <w:vAlign w:val="bottom"/>
            <w:hideMark/>
          </w:tcPr>
          <w:p w14:paraId="507DDF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277" w:type="dxa"/>
            <w:tcBorders>
              <w:top w:val="single" w:sz="4" w:space="0" w:color="auto"/>
              <w:left w:val="nil"/>
              <w:bottom w:val="single" w:sz="4" w:space="0" w:color="auto"/>
              <w:right w:val="nil"/>
            </w:tcBorders>
            <w:shd w:val="clear" w:color="auto" w:fill="auto"/>
            <w:noWrap/>
            <w:vAlign w:val="bottom"/>
            <w:hideMark/>
          </w:tcPr>
          <w:p w14:paraId="07EEC4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3A4A9D8B" w14:textId="77777777" w:rsidTr="00ED0631">
        <w:trPr>
          <w:trHeight w:val="315"/>
        </w:trPr>
        <w:tc>
          <w:tcPr>
            <w:tcW w:w="1476" w:type="dxa"/>
            <w:tcBorders>
              <w:top w:val="nil"/>
              <w:left w:val="nil"/>
              <w:bottom w:val="nil"/>
              <w:right w:val="nil"/>
            </w:tcBorders>
            <w:shd w:val="clear" w:color="auto" w:fill="auto"/>
            <w:noWrap/>
            <w:vAlign w:val="bottom"/>
            <w:hideMark/>
          </w:tcPr>
          <w:p w14:paraId="6DE3E7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74" w:type="dxa"/>
            <w:tcBorders>
              <w:top w:val="nil"/>
              <w:left w:val="nil"/>
              <w:bottom w:val="nil"/>
              <w:right w:val="nil"/>
            </w:tcBorders>
            <w:shd w:val="clear" w:color="auto" w:fill="auto"/>
            <w:noWrap/>
            <w:vAlign w:val="bottom"/>
            <w:hideMark/>
          </w:tcPr>
          <w:p w14:paraId="5B4755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93" w:type="dxa"/>
            <w:tcBorders>
              <w:top w:val="nil"/>
              <w:left w:val="nil"/>
              <w:bottom w:val="nil"/>
              <w:right w:val="nil"/>
            </w:tcBorders>
            <w:shd w:val="clear" w:color="auto" w:fill="auto"/>
            <w:noWrap/>
            <w:vAlign w:val="bottom"/>
            <w:hideMark/>
          </w:tcPr>
          <w:p w14:paraId="5AA567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1277" w:type="dxa"/>
            <w:tcBorders>
              <w:top w:val="nil"/>
              <w:left w:val="nil"/>
              <w:bottom w:val="nil"/>
              <w:right w:val="nil"/>
            </w:tcBorders>
            <w:shd w:val="clear" w:color="auto" w:fill="auto"/>
            <w:noWrap/>
            <w:vAlign w:val="bottom"/>
            <w:hideMark/>
          </w:tcPr>
          <w:p w14:paraId="168653D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CD918D4" w14:textId="77777777" w:rsidTr="00ED0631">
        <w:trPr>
          <w:trHeight w:val="315"/>
        </w:trPr>
        <w:tc>
          <w:tcPr>
            <w:tcW w:w="1476" w:type="dxa"/>
            <w:tcBorders>
              <w:top w:val="nil"/>
              <w:left w:val="nil"/>
              <w:bottom w:val="nil"/>
              <w:right w:val="nil"/>
            </w:tcBorders>
            <w:shd w:val="clear" w:color="auto" w:fill="auto"/>
            <w:noWrap/>
            <w:vAlign w:val="bottom"/>
            <w:hideMark/>
          </w:tcPr>
          <w:p w14:paraId="5B8AB9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74" w:type="dxa"/>
            <w:tcBorders>
              <w:top w:val="nil"/>
              <w:left w:val="nil"/>
              <w:bottom w:val="nil"/>
              <w:right w:val="nil"/>
            </w:tcBorders>
            <w:shd w:val="clear" w:color="auto" w:fill="auto"/>
            <w:noWrap/>
            <w:vAlign w:val="bottom"/>
            <w:hideMark/>
          </w:tcPr>
          <w:p w14:paraId="74070B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93" w:type="dxa"/>
            <w:tcBorders>
              <w:top w:val="nil"/>
              <w:left w:val="nil"/>
              <w:bottom w:val="nil"/>
              <w:right w:val="nil"/>
            </w:tcBorders>
            <w:shd w:val="clear" w:color="auto" w:fill="auto"/>
            <w:noWrap/>
            <w:vAlign w:val="bottom"/>
            <w:hideMark/>
          </w:tcPr>
          <w:p w14:paraId="4D56A3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77" w:type="dxa"/>
            <w:tcBorders>
              <w:top w:val="nil"/>
              <w:left w:val="nil"/>
              <w:bottom w:val="nil"/>
              <w:right w:val="nil"/>
            </w:tcBorders>
            <w:shd w:val="clear" w:color="auto" w:fill="auto"/>
            <w:noWrap/>
            <w:vAlign w:val="bottom"/>
            <w:hideMark/>
          </w:tcPr>
          <w:p w14:paraId="0FD657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5A68A589" w14:textId="77777777" w:rsidTr="00ED0631">
        <w:trPr>
          <w:trHeight w:val="315"/>
        </w:trPr>
        <w:tc>
          <w:tcPr>
            <w:tcW w:w="1476" w:type="dxa"/>
            <w:tcBorders>
              <w:top w:val="nil"/>
              <w:left w:val="nil"/>
              <w:bottom w:val="nil"/>
              <w:right w:val="nil"/>
            </w:tcBorders>
            <w:shd w:val="clear" w:color="auto" w:fill="auto"/>
            <w:noWrap/>
            <w:vAlign w:val="bottom"/>
            <w:hideMark/>
          </w:tcPr>
          <w:p w14:paraId="1F9A4B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74" w:type="dxa"/>
            <w:tcBorders>
              <w:top w:val="nil"/>
              <w:left w:val="nil"/>
              <w:bottom w:val="nil"/>
              <w:right w:val="nil"/>
            </w:tcBorders>
            <w:shd w:val="clear" w:color="auto" w:fill="auto"/>
            <w:noWrap/>
            <w:vAlign w:val="bottom"/>
            <w:hideMark/>
          </w:tcPr>
          <w:p w14:paraId="7D4835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93" w:type="dxa"/>
            <w:tcBorders>
              <w:top w:val="nil"/>
              <w:left w:val="nil"/>
              <w:bottom w:val="nil"/>
              <w:right w:val="nil"/>
            </w:tcBorders>
            <w:shd w:val="clear" w:color="auto" w:fill="auto"/>
            <w:noWrap/>
            <w:vAlign w:val="bottom"/>
            <w:hideMark/>
          </w:tcPr>
          <w:p w14:paraId="562BBA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77" w:type="dxa"/>
            <w:tcBorders>
              <w:top w:val="nil"/>
              <w:left w:val="nil"/>
              <w:bottom w:val="nil"/>
              <w:right w:val="nil"/>
            </w:tcBorders>
            <w:shd w:val="clear" w:color="auto" w:fill="auto"/>
            <w:noWrap/>
            <w:vAlign w:val="bottom"/>
            <w:hideMark/>
          </w:tcPr>
          <w:p w14:paraId="66A4C6B9"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B9184B3" w14:textId="77777777" w:rsidTr="00ED0631">
        <w:trPr>
          <w:trHeight w:val="315"/>
        </w:trPr>
        <w:tc>
          <w:tcPr>
            <w:tcW w:w="1476" w:type="dxa"/>
            <w:tcBorders>
              <w:top w:val="single" w:sz="4" w:space="0" w:color="auto"/>
              <w:left w:val="nil"/>
              <w:bottom w:val="single" w:sz="4" w:space="0" w:color="auto"/>
              <w:right w:val="nil"/>
            </w:tcBorders>
            <w:shd w:val="clear" w:color="auto" w:fill="auto"/>
            <w:noWrap/>
            <w:vAlign w:val="bottom"/>
            <w:hideMark/>
          </w:tcPr>
          <w:p w14:paraId="7BA35C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774" w:type="dxa"/>
            <w:tcBorders>
              <w:top w:val="single" w:sz="4" w:space="0" w:color="auto"/>
              <w:left w:val="nil"/>
              <w:bottom w:val="single" w:sz="4" w:space="0" w:color="auto"/>
              <w:right w:val="nil"/>
            </w:tcBorders>
            <w:shd w:val="clear" w:color="auto" w:fill="auto"/>
            <w:noWrap/>
            <w:vAlign w:val="bottom"/>
            <w:hideMark/>
          </w:tcPr>
          <w:p w14:paraId="450F2C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293" w:type="dxa"/>
            <w:tcBorders>
              <w:top w:val="single" w:sz="4" w:space="0" w:color="auto"/>
              <w:left w:val="nil"/>
              <w:bottom w:val="single" w:sz="4" w:space="0" w:color="auto"/>
              <w:right w:val="nil"/>
            </w:tcBorders>
            <w:shd w:val="clear" w:color="auto" w:fill="auto"/>
            <w:noWrap/>
            <w:vAlign w:val="bottom"/>
            <w:hideMark/>
          </w:tcPr>
          <w:p w14:paraId="7219B3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 </w:t>
            </w:r>
          </w:p>
        </w:tc>
        <w:tc>
          <w:tcPr>
            <w:tcW w:w="1277" w:type="dxa"/>
            <w:tcBorders>
              <w:top w:val="single" w:sz="4" w:space="0" w:color="auto"/>
              <w:left w:val="nil"/>
              <w:bottom w:val="single" w:sz="4" w:space="0" w:color="auto"/>
              <w:right w:val="nil"/>
            </w:tcBorders>
            <w:shd w:val="clear" w:color="auto" w:fill="auto"/>
            <w:noWrap/>
            <w:vAlign w:val="bottom"/>
            <w:hideMark/>
          </w:tcPr>
          <w:p w14:paraId="5F0B32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bl>
    <w:p w14:paraId="289CAD62"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9: Primary school leaders rating of the new curriculum by island-not targeted</w:t>
      </w:r>
    </w:p>
    <w:tbl>
      <w:tblPr>
        <w:tblW w:w="5660" w:type="dxa"/>
        <w:tblInd w:w="93" w:type="dxa"/>
        <w:tblLook w:val="04A0" w:firstRow="1" w:lastRow="0" w:firstColumn="1" w:lastColumn="0" w:noHBand="0" w:noVBand="1"/>
      </w:tblPr>
      <w:tblGrid>
        <w:gridCol w:w="1853"/>
        <w:gridCol w:w="1697"/>
        <w:gridCol w:w="1051"/>
        <w:gridCol w:w="1059"/>
      </w:tblGrid>
      <w:tr w:rsidR="00AC362E" w:rsidRPr="00491EF1" w14:paraId="6C198FE7" w14:textId="77777777" w:rsidTr="00ED0631">
        <w:trPr>
          <w:trHeight w:val="315"/>
        </w:trPr>
        <w:tc>
          <w:tcPr>
            <w:tcW w:w="1853" w:type="dxa"/>
            <w:tcBorders>
              <w:top w:val="single" w:sz="4" w:space="0" w:color="auto"/>
              <w:left w:val="nil"/>
              <w:bottom w:val="single" w:sz="4" w:space="0" w:color="auto"/>
              <w:right w:val="nil"/>
            </w:tcBorders>
            <w:shd w:val="clear" w:color="auto" w:fill="auto"/>
            <w:noWrap/>
            <w:vAlign w:val="bottom"/>
            <w:hideMark/>
          </w:tcPr>
          <w:p w14:paraId="1DB440BA"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Not targeted</w:t>
            </w:r>
          </w:p>
        </w:tc>
        <w:tc>
          <w:tcPr>
            <w:tcW w:w="1697" w:type="dxa"/>
            <w:tcBorders>
              <w:top w:val="single" w:sz="4" w:space="0" w:color="auto"/>
              <w:left w:val="nil"/>
              <w:bottom w:val="single" w:sz="4" w:space="0" w:color="auto"/>
              <w:right w:val="nil"/>
            </w:tcBorders>
            <w:shd w:val="clear" w:color="auto" w:fill="auto"/>
            <w:noWrap/>
            <w:vAlign w:val="bottom"/>
            <w:hideMark/>
          </w:tcPr>
          <w:p w14:paraId="2723D4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51" w:type="dxa"/>
            <w:tcBorders>
              <w:top w:val="single" w:sz="4" w:space="0" w:color="auto"/>
              <w:left w:val="nil"/>
              <w:bottom w:val="single" w:sz="4" w:space="0" w:color="auto"/>
              <w:right w:val="nil"/>
            </w:tcBorders>
            <w:shd w:val="clear" w:color="auto" w:fill="auto"/>
            <w:noWrap/>
            <w:vAlign w:val="bottom"/>
            <w:hideMark/>
          </w:tcPr>
          <w:p w14:paraId="24AC21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059" w:type="dxa"/>
            <w:tcBorders>
              <w:top w:val="single" w:sz="4" w:space="0" w:color="auto"/>
              <w:left w:val="nil"/>
              <w:bottom w:val="single" w:sz="4" w:space="0" w:color="auto"/>
              <w:right w:val="nil"/>
            </w:tcBorders>
            <w:shd w:val="clear" w:color="auto" w:fill="auto"/>
            <w:noWrap/>
            <w:vAlign w:val="bottom"/>
            <w:hideMark/>
          </w:tcPr>
          <w:p w14:paraId="7A9974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03D0377E" w14:textId="77777777" w:rsidTr="00ED0631">
        <w:trPr>
          <w:trHeight w:val="315"/>
        </w:trPr>
        <w:tc>
          <w:tcPr>
            <w:tcW w:w="1853" w:type="dxa"/>
            <w:tcBorders>
              <w:top w:val="nil"/>
              <w:left w:val="nil"/>
              <w:bottom w:val="nil"/>
              <w:right w:val="nil"/>
            </w:tcBorders>
            <w:shd w:val="clear" w:color="auto" w:fill="auto"/>
            <w:noWrap/>
            <w:vAlign w:val="bottom"/>
            <w:hideMark/>
          </w:tcPr>
          <w:p w14:paraId="2BB277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97" w:type="dxa"/>
            <w:tcBorders>
              <w:top w:val="nil"/>
              <w:left w:val="nil"/>
              <w:bottom w:val="nil"/>
              <w:right w:val="nil"/>
            </w:tcBorders>
            <w:shd w:val="clear" w:color="auto" w:fill="auto"/>
            <w:noWrap/>
            <w:vAlign w:val="bottom"/>
            <w:hideMark/>
          </w:tcPr>
          <w:p w14:paraId="78AA8FB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51" w:type="dxa"/>
            <w:tcBorders>
              <w:top w:val="nil"/>
              <w:left w:val="nil"/>
              <w:bottom w:val="nil"/>
              <w:right w:val="nil"/>
            </w:tcBorders>
            <w:shd w:val="clear" w:color="auto" w:fill="auto"/>
            <w:noWrap/>
            <w:vAlign w:val="bottom"/>
            <w:hideMark/>
          </w:tcPr>
          <w:p w14:paraId="425872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561BCE8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5378612" w14:textId="77777777" w:rsidTr="00ED0631">
        <w:trPr>
          <w:trHeight w:val="315"/>
        </w:trPr>
        <w:tc>
          <w:tcPr>
            <w:tcW w:w="1853" w:type="dxa"/>
            <w:tcBorders>
              <w:top w:val="nil"/>
              <w:left w:val="nil"/>
              <w:bottom w:val="nil"/>
              <w:right w:val="nil"/>
            </w:tcBorders>
            <w:shd w:val="clear" w:color="auto" w:fill="auto"/>
            <w:noWrap/>
            <w:vAlign w:val="bottom"/>
            <w:hideMark/>
          </w:tcPr>
          <w:p w14:paraId="65ED93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97" w:type="dxa"/>
            <w:tcBorders>
              <w:top w:val="nil"/>
              <w:left w:val="nil"/>
              <w:bottom w:val="nil"/>
              <w:right w:val="nil"/>
            </w:tcBorders>
            <w:shd w:val="clear" w:color="auto" w:fill="auto"/>
            <w:noWrap/>
            <w:vAlign w:val="bottom"/>
            <w:hideMark/>
          </w:tcPr>
          <w:p w14:paraId="6647F2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714116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59" w:type="dxa"/>
            <w:tcBorders>
              <w:top w:val="nil"/>
              <w:left w:val="nil"/>
              <w:bottom w:val="nil"/>
              <w:right w:val="nil"/>
            </w:tcBorders>
            <w:shd w:val="clear" w:color="auto" w:fill="auto"/>
            <w:noWrap/>
            <w:vAlign w:val="bottom"/>
            <w:hideMark/>
          </w:tcPr>
          <w:p w14:paraId="68F9762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4157180" w14:textId="77777777" w:rsidTr="00ED0631">
        <w:trPr>
          <w:trHeight w:val="315"/>
        </w:trPr>
        <w:tc>
          <w:tcPr>
            <w:tcW w:w="1853" w:type="dxa"/>
            <w:tcBorders>
              <w:top w:val="nil"/>
              <w:left w:val="nil"/>
              <w:bottom w:val="nil"/>
              <w:right w:val="nil"/>
            </w:tcBorders>
            <w:shd w:val="clear" w:color="auto" w:fill="auto"/>
            <w:noWrap/>
            <w:vAlign w:val="bottom"/>
            <w:hideMark/>
          </w:tcPr>
          <w:p w14:paraId="7E1F45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97" w:type="dxa"/>
            <w:tcBorders>
              <w:top w:val="nil"/>
              <w:left w:val="nil"/>
              <w:bottom w:val="nil"/>
              <w:right w:val="nil"/>
            </w:tcBorders>
            <w:shd w:val="clear" w:color="auto" w:fill="auto"/>
            <w:noWrap/>
            <w:vAlign w:val="bottom"/>
            <w:hideMark/>
          </w:tcPr>
          <w:p w14:paraId="10C179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695A75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4E5E55FC"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3A7B6C0" w14:textId="77777777" w:rsidTr="00ED0631">
        <w:trPr>
          <w:trHeight w:val="315"/>
        </w:trPr>
        <w:tc>
          <w:tcPr>
            <w:tcW w:w="1853" w:type="dxa"/>
            <w:tcBorders>
              <w:top w:val="nil"/>
              <w:left w:val="nil"/>
              <w:bottom w:val="nil"/>
              <w:right w:val="nil"/>
            </w:tcBorders>
            <w:shd w:val="clear" w:color="auto" w:fill="auto"/>
            <w:noWrap/>
            <w:vAlign w:val="bottom"/>
            <w:hideMark/>
          </w:tcPr>
          <w:p w14:paraId="15B003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97" w:type="dxa"/>
            <w:tcBorders>
              <w:top w:val="nil"/>
              <w:left w:val="nil"/>
              <w:bottom w:val="nil"/>
              <w:right w:val="nil"/>
            </w:tcBorders>
            <w:shd w:val="clear" w:color="auto" w:fill="auto"/>
            <w:noWrap/>
            <w:vAlign w:val="bottom"/>
            <w:hideMark/>
          </w:tcPr>
          <w:p w14:paraId="1C91BA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1DA928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7D899F0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382CFE7" w14:textId="77777777" w:rsidTr="00ED0631">
        <w:trPr>
          <w:trHeight w:val="315"/>
        </w:trPr>
        <w:tc>
          <w:tcPr>
            <w:tcW w:w="1853" w:type="dxa"/>
            <w:tcBorders>
              <w:top w:val="nil"/>
              <w:left w:val="nil"/>
              <w:bottom w:val="nil"/>
              <w:right w:val="nil"/>
            </w:tcBorders>
            <w:shd w:val="clear" w:color="auto" w:fill="auto"/>
            <w:noWrap/>
            <w:vAlign w:val="bottom"/>
            <w:hideMark/>
          </w:tcPr>
          <w:p w14:paraId="741AB5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97" w:type="dxa"/>
            <w:tcBorders>
              <w:top w:val="nil"/>
              <w:left w:val="nil"/>
              <w:bottom w:val="nil"/>
              <w:right w:val="nil"/>
            </w:tcBorders>
            <w:shd w:val="clear" w:color="auto" w:fill="auto"/>
            <w:noWrap/>
            <w:vAlign w:val="bottom"/>
            <w:hideMark/>
          </w:tcPr>
          <w:p w14:paraId="3FB1A9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1DC037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59" w:type="dxa"/>
            <w:tcBorders>
              <w:top w:val="nil"/>
              <w:left w:val="nil"/>
              <w:bottom w:val="nil"/>
              <w:right w:val="nil"/>
            </w:tcBorders>
            <w:shd w:val="clear" w:color="auto" w:fill="auto"/>
            <w:noWrap/>
            <w:vAlign w:val="bottom"/>
            <w:hideMark/>
          </w:tcPr>
          <w:p w14:paraId="7219D16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1817D6E" w14:textId="77777777" w:rsidTr="00ED0631">
        <w:trPr>
          <w:trHeight w:val="315"/>
        </w:trPr>
        <w:tc>
          <w:tcPr>
            <w:tcW w:w="1853" w:type="dxa"/>
            <w:tcBorders>
              <w:top w:val="nil"/>
              <w:left w:val="nil"/>
              <w:bottom w:val="nil"/>
              <w:right w:val="nil"/>
            </w:tcBorders>
            <w:shd w:val="clear" w:color="auto" w:fill="auto"/>
            <w:noWrap/>
            <w:vAlign w:val="bottom"/>
            <w:hideMark/>
          </w:tcPr>
          <w:p w14:paraId="2C6EC4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97" w:type="dxa"/>
            <w:tcBorders>
              <w:top w:val="nil"/>
              <w:left w:val="nil"/>
              <w:bottom w:val="nil"/>
              <w:right w:val="nil"/>
            </w:tcBorders>
            <w:shd w:val="clear" w:color="auto" w:fill="auto"/>
            <w:noWrap/>
            <w:vAlign w:val="bottom"/>
            <w:hideMark/>
          </w:tcPr>
          <w:p w14:paraId="3070B9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auto" w:fill="auto"/>
            <w:noWrap/>
            <w:vAlign w:val="bottom"/>
            <w:hideMark/>
          </w:tcPr>
          <w:p w14:paraId="6F994F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679746BC"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7D095CF" w14:textId="77777777" w:rsidTr="00ED0631">
        <w:trPr>
          <w:trHeight w:val="315"/>
        </w:trPr>
        <w:tc>
          <w:tcPr>
            <w:tcW w:w="1853" w:type="dxa"/>
            <w:tcBorders>
              <w:top w:val="nil"/>
              <w:left w:val="nil"/>
              <w:bottom w:val="nil"/>
              <w:right w:val="nil"/>
            </w:tcBorders>
            <w:shd w:val="clear" w:color="auto" w:fill="auto"/>
            <w:noWrap/>
            <w:vAlign w:val="bottom"/>
            <w:hideMark/>
          </w:tcPr>
          <w:p w14:paraId="4FB5A4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97" w:type="dxa"/>
            <w:tcBorders>
              <w:top w:val="nil"/>
              <w:left w:val="nil"/>
              <w:bottom w:val="nil"/>
              <w:right w:val="nil"/>
            </w:tcBorders>
            <w:shd w:val="clear" w:color="auto" w:fill="auto"/>
            <w:noWrap/>
            <w:vAlign w:val="bottom"/>
            <w:hideMark/>
          </w:tcPr>
          <w:p w14:paraId="066EDD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663FB1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9" w:type="dxa"/>
            <w:tcBorders>
              <w:top w:val="nil"/>
              <w:left w:val="nil"/>
              <w:bottom w:val="nil"/>
              <w:right w:val="nil"/>
            </w:tcBorders>
            <w:shd w:val="clear" w:color="auto" w:fill="auto"/>
            <w:noWrap/>
            <w:vAlign w:val="bottom"/>
            <w:hideMark/>
          </w:tcPr>
          <w:p w14:paraId="348686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02A042F5" w14:textId="77777777" w:rsidTr="00ED0631">
        <w:trPr>
          <w:trHeight w:val="315"/>
        </w:trPr>
        <w:tc>
          <w:tcPr>
            <w:tcW w:w="1853" w:type="dxa"/>
            <w:tcBorders>
              <w:top w:val="nil"/>
              <w:left w:val="nil"/>
              <w:bottom w:val="nil"/>
              <w:right w:val="nil"/>
            </w:tcBorders>
            <w:shd w:val="clear" w:color="auto" w:fill="auto"/>
            <w:noWrap/>
            <w:vAlign w:val="bottom"/>
            <w:hideMark/>
          </w:tcPr>
          <w:p w14:paraId="080FE2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97" w:type="dxa"/>
            <w:tcBorders>
              <w:top w:val="nil"/>
              <w:left w:val="nil"/>
              <w:bottom w:val="nil"/>
              <w:right w:val="nil"/>
            </w:tcBorders>
            <w:shd w:val="clear" w:color="auto" w:fill="auto"/>
            <w:noWrap/>
            <w:vAlign w:val="bottom"/>
            <w:hideMark/>
          </w:tcPr>
          <w:p w14:paraId="647D43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auto" w:fill="auto"/>
            <w:noWrap/>
            <w:vAlign w:val="bottom"/>
            <w:hideMark/>
          </w:tcPr>
          <w:p w14:paraId="349CA5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7880DCB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4205BB2" w14:textId="77777777" w:rsidTr="00ED0631">
        <w:trPr>
          <w:trHeight w:val="315"/>
        </w:trPr>
        <w:tc>
          <w:tcPr>
            <w:tcW w:w="1853" w:type="dxa"/>
            <w:tcBorders>
              <w:top w:val="nil"/>
              <w:left w:val="nil"/>
              <w:bottom w:val="nil"/>
              <w:right w:val="nil"/>
            </w:tcBorders>
            <w:shd w:val="clear" w:color="auto" w:fill="auto"/>
            <w:noWrap/>
            <w:vAlign w:val="bottom"/>
            <w:hideMark/>
          </w:tcPr>
          <w:p w14:paraId="593568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97" w:type="dxa"/>
            <w:tcBorders>
              <w:top w:val="nil"/>
              <w:left w:val="nil"/>
              <w:bottom w:val="nil"/>
              <w:right w:val="nil"/>
            </w:tcBorders>
            <w:shd w:val="clear" w:color="auto" w:fill="auto"/>
            <w:noWrap/>
            <w:vAlign w:val="bottom"/>
            <w:hideMark/>
          </w:tcPr>
          <w:p w14:paraId="71034C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51" w:type="dxa"/>
            <w:tcBorders>
              <w:top w:val="nil"/>
              <w:left w:val="nil"/>
              <w:bottom w:val="nil"/>
              <w:right w:val="nil"/>
            </w:tcBorders>
            <w:shd w:val="clear" w:color="auto" w:fill="auto"/>
            <w:noWrap/>
            <w:vAlign w:val="bottom"/>
            <w:hideMark/>
          </w:tcPr>
          <w:p w14:paraId="26A855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1059" w:type="dxa"/>
            <w:tcBorders>
              <w:top w:val="nil"/>
              <w:left w:val="nil"/>
              <w:bottom w:val="nil"/>
              <w:right w:val="nil"/>
            </w:tcBorders>
            <w:shd w:val="clear" w:color="auto" w:fill="auto"/>
            <w:noWrap/>
            <w:vAlign w:val="bottom"/>
            <w:hideMark/>
          </w:tcPr>
          <w:p w14:paraId="22D5EE3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B24A02A" w14:textId="77777777" w:rsidTr="00ED0631">
        <w:trPr>
          <w:trHeight w:val="315"/>
        </w:trPr>
        <w:tc>
          <w:tcPr>
            <w:tcW w:w="1853" w:type="dxa"/>
            <w:tcBorders>
              <w:top w:val="single" w:sz="4" w:space="0" w:color="auto"/>
              <w:left w:val="nil"/>
              <w:bottom w:val="single" w:sz="4" w:space="0" w:color="auto"/>
              <w:right w:val="nil"/>
            </w:tcBorders>
            <w:shd w:val="clear" w:color="auto" w:fill="auto"/>
            <w:noWrap/>
            <w:vAlign w:val="bottom"/>
            <w:hideMark/>
          </w:tcPr>
          <w:p w14:paraId="686A79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97" w:type="dxa"/>
            <w:tcBorders>
              <w:top w:val="single" w:sz="4" w:space="0" w:color="auto"/>
              <w:left w:val="nil"/>
              <w:bottom w:val="single" w:sz="4" w:space="0" w:color="auto"/>
              <w:right w:val="nil"/>
            </w:tcBorders>
            <w:shd w:val="clear" w:color="auto" w:fill="auto"/>
            <w:noWrap/>
            <w:vAlign w:val="bottom"/>
            <w:hideMark/>
          </w:tcPr>
          <w:p w14:paraId="57C337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 </w:t>
            </w:r>
          </w:p>
        </w:tc>
        <w:tc>
          <w:tcPr>
            <w:tcW w:w="1051" w:type="dxa"/>
            <w:tcBorders>
              <w:top w:val="single" w:sz="4" w:space="0" w:color="auto"/>
              <w:left w:val="nil"/>
              <w:bottom w:val="single" w:sz="4" w:space="0" w:color="auto"/>
              <w:right w:val="nil"/>
            </w:tcBorders>
            <w:shd w:val="clear" w:color="auto" w:fill="auto"/>
            <w:noWrap/>
            <w:vAlign w:val="bottom"/>
            <w:hideMark/>
          </w:tcPr>
          <w:p w14:paraId="774479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31 </w:t>
            </w:r>
          </w:p>
        </w:tc>
        <w:tc>
          <w:tcPr>
            <w:tcW w:w="1059" w:type="dxa"/>
            <w:tcBorders>
              <w:top w:val="single" w:sz="4" w:space="0" w:color="auto"/>
              <w:left w:val="nil"/>
              <w:bottom w:val="single" w:sz="4" w:space="0" w:color="auto"/>
              <w:right w:val="nil"/>
            </w:tcBorders>
            <w:shd w:val="clear" w:color="auto" w:fill="auto"/>
            <w:noWrap/>
            <w:vAlign w:val="bottom"/>
            <w:hideMark/>
          </w:tcPr>
          <w:p w14:paraId="18E4C3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67211A29"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10: Primary school leaders rating of the new curriculum by island category-not targeted </w:t>
      </w:r>
    </w:p>
    <w:tbl>
      <w:tblPr>
        <w:tblW w:w="5820" w:type="dxa"/>
        <w:tblInd w:w="93" w:type="dxa"/>
        <w:tblLook w:val="04A0" w:firstRow="1" w:lastRow="0" w:firstColumn="1" w:lastColumn="0" w:noHBand="0" w:noVBand="1"/>
      </w:tblPr>
      <w:tblGrid>
        <w:gridCol w:w="1582"/>
        <w:gridCol w:w="1731"/>
        <w:gridCol w:w="1261"/>
        <w:gridCol w:w="1246"/>
      </w:tblGrid>
      <w:tr w:rsidR="00AC362E" w:rsidRPr="00491EF1" w14:paraId="090187C3" w14:textId="77777777" w:rsidTr="00ED0631">
        <w:trPr>
          <w:trHeight w:val="315"/>
        </w:trPr>
        <w:tc>
          <w:tcPr>
            <w:tcW w:w="1582" w:type="dxa"/>
            <w:tcBorders>
              <w:top w:val="single" w:sz="4" w:space="0" w:color="auto"/>
              <w:left w:val="nil"/>
              <w:bottom w:val="single" w:sz="4" w:space="0" w:color="auto"/>
              <w:right w:val="nil"/>
            </w:tcBorders>
            <w:shd w:val="clear" w:color="auto" w:fill="auto"/>
            <w:noWrap/>
            <w:vAlign w:val="bottom"/>
            <w:hideMark/>
          </w:tcPr>
          <w:p w14:paraId="7BF58BDB"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Not targeted </w:t>
            </w:r>
          </w:p>
        </w:tc>
        <w:tc>
          <w:tcPr>
            <w:tcW w:w="1731" w:type="dxa"/>
            <w:tcBorders>
              <w:top w:val="single" w:sz="4" w:space="0" w:color="auto"/>
              <w:left w:val="nil"/>
              <w:bottom w:val="single" w:sz="4" w:space="0" w:color="auto"/>
              <w:right w:val="nil"/>
            </w:tcBorders>
            <w:shd w:val="clear" w:color="auto" w:fill="auto"/>
            <w:noWrap/>
            <w:vAlign w:val="bottom"/>
            <w:hideMark/>
          </w:tcPr>
          <w:p w14:paraId="16033F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61" w:type="dxa"/>
            <w:tcBorders>
              <w:top w:val="single" w:sz="4" w:space="0" w:color="auto"/>
              <w:left w:val="nil"/>
              <w:bottom w:val="single" w:sz="4" w:space="0" w:color="auto"/>
              <w:right w:val="nil"/>
            </w:tcBorders>
            <w:shd w:val="clear" w:color="auto" w:fill="auto"/>
            <w:noWrap/>
            <w:vAlign w:val="bottom"/>
            <w:hideMark/>
          </w:tcPr>
          <w:p w14:paraId="159A98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246" w:type="dxa"/>
            <w:tcBorders>
              <w:top w:val="single" w:sz="4" w:space="0" w:color="auto"/>
              <w:left w:val="nil"/>
              <w:bottom w:val="single" w:sz="4" w:space="0" w:color="auto"/>
              <w:right w:val="nil"/>
            </w:tcBorders>
            <w:shd w:val="clear" w:color="auto" w:fill="auto"/>
            <w:noWrap/>
            <w:vAlign w:val="bottom"/>
            <w:hideMark/>
          </w:tcPr>
          <w:p w14:paraId="66E8B8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65C92492" w14:textId="77777777" w:rsidTr="00ED0631">
        <w:trPr>
          <w:trHeight w:val="315"/>
        </w:trPr>
        <w:tc>
          <w:tcPr>
            <w:tcW w:w="1582" w:type="dxa"/>
            <w:tcBorders>
              <w:top w:val="nil"/>
              <w:left w:val="nil"/>
              <w:bottom w:val="nil"/>
              <w:right w:val="nil"/>
            </w:tcBorders>
            <w:shd w:val="clear" w:color="auto" w:fill="auto"/>
            <w:noWrap/>
            <w:vAlign w:val="bottom"/>
            <w:hideMark/>
          </w:tcPr>
          <w:p w14:paraId="1AC1FF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31" w:type="dxa"/>
            <w:tcBorders>
              <w:top w:val="nil"/>
              <w:left w:val="nil"/>
              <w:bottom w:val="nil"/>
              <w:right w:val="nil"/>
            </w:tcBorders>
            <w:shd w:val="clear" w:color="auto" w:fill="auto"/>
            <w:noWrap/>
            <w:vAlign w:val="bottom"/>
            <w:hideMark/>
          </w:tcPr>
          <w:p w14:paraId="1F6782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61" w:type="dxa"/>
            <w:tcBorders>
              <w:top w:val="nil"/>
              <w:left w:val="nil"/>
              <w:bottom w:val="nil"/>
              <w:right w:val="nil"/>
            </w:tcBorders>
            <w:shd w:val="clear" w:color="auto" w:fill="auto"/>
            <w:noWrap/>
            <w:vAlign w:val="bottom"/>
            <w:hideMark/>
          </w:tcPr>
          <w:p w14:paraId="6106F6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1246" w:type="dxa"/>
            <w:tcBorders>
              <w:top w:val="nil"/>
              <w:left w:val="nil"/>
              <w:bottom w:val="nil"/>
              <w:right w:val="nil"/>
            </w:tcBorders>
            <w:shd w:val="clear" w:color="auto" w:fill="auto"/>
            <w:noWrap/>
            <w:vAlign w:val="bottom"/>
            <w:hideMark/>
          </w:tcPr>
          <w:p w14:paraId="633E3D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219AE0EE" w14:textId="77777777" w:rsidTr="00ED0631">
        <w:trPr>
          <w:trHeight w:val="315"/>
        </w:trPr>
        <w:tc>
          <w:tcPr>
            <w:tcW w:w="1582" w:type="dxa"/>
            <w:tcBorders>
              <w:top w:val="nil"/>
              <w:left w:val="nil"/>
              <w:bottom w:val="nil"/>
              <w:right w:val="nil"/>
            </w:tcBorders>
            <w:shd w:val="clear" w:color="auto" w:fill="auto"/>
            <w:noWrap/>
            <w:vAlign w:val="bottom"/>
            <w:hideMark/>
          </w:tcPr>
          <w:p w14:paraId="708CD8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31" w:type="dxa"/>
            <w:tcBorders>
              <w:top w:val="nil"/>
              <w:left w:val="nil"/>
              <w:bottom w:val="nil"/>
              <w:right w:val="nil"/>
            </w:tcBorders>
            <w:shd w:val="clear" w:color="auto" w:fill="auto"/>
            <w:noWrap/>
            <w:vAlign w:val="bottom"/>
            <w:hideMark/>
          </w:tcPr>
          <w:p w14:paraId="664DCF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61" w:type="dxa"/>
            <w:tcBorders>
              <w:top w:val="nil"/>
              <w:left w:val="nil"/>
              <w:bottom w:val="nil"/>
              <w:right w:val="nil"/>
            </w:tcBorders>
            <w:shd w:val="clear" w:color="auto" w:fill="auto"/>
            <w:noWrap/>
            <w:vAlign w:val="bottom"/>
            <w:hideMark/>
          </w:tcPr>
          <w:p w14:paraId="521963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246" w:type="dxa"/>
            <w:tcBorders>
              <w:top w:val="nil"/>
              <w:left w:val="nil"/>
              <w:bottom w:val="nil"/>
              <w:right w:val="nil"/>
            </w:tcBorders>
            <w:shd w:val="clear" w:color="auto" w:fill="auto"/>
            <w:noWrap/>
            <w:vAlign w:val="bottom"/>
            <w:hideMark/>
          </w:tcPr>
          <w:p w14:paraId="32FCA6E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7B65569" w14:textId="77777777" w:rsidTr="00ED0631">
        <w:trPr>
          <w:trHeight w:val="315"/>
        </w:trPr>
        <w:tc>
          <w:tcPr>
            <w:tcW w:w="1582" w:type="dxa"/>
            <w:tcBorders>
              <w:top w:val="nil"/>
              <w:left w:val="nil"/>
              <w:bottom w:val="nil"/>
              <w:right w:val="nil"/>
            </w:tcBorders>
            <w:shd w:val="clear" w:color="auto" w:fill="auto"/>
            <w:noWrap/>
            <w:vAlign w:val="bottom"/>
            <w:hideMark/>
          </w:tcPr>
          <w:p w14:paraId="4DB3C0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31" w:type="dxa"/>
            <w:tcBorders>
              <w:top w:val="nil"/>
              <w:left w:val="nil"/>
              <w:bottom w:val="nil"/>
              <w:right w:val="nil"/>
            </w:tcBorders>
            <w:shd w:val="clear" w:color="auto" w:fill="auto"/>
            <w:noWrap/>
            <w:vAlign w:val="bottom"/>
            <w:hideMark/>
          </w:tcPr>
          <w:p w14:paraId="03DDCE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61" w:type="dxa"/>
            <w:tcBorders>
              <w:top w:val="nil"/>
              <w:left w:val="nil"/>
              <w:bottom w:val="nil"/>
              <w:right w:val="nil"/>
            </w:tcBorders>
            <w:shd w:val="clear" w:color="auto" w:fill="auto"/>
            <w:noWrap/>
            <w:vAlign w:val="bottom"/>
            <w:hideMark/>
          </w:tcPr>
          <w:p w14:paraId="6F38DD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46" w:type="dxa"/>
            <w:tcBorders>
              <w:top w:val="nil"/>
              <w:left w:val="nil"/>
              <w:bottom w:val="nil"/>
              <w:right w:val="nil"/>
            </w:tcBorders>
            <w:shd w:val="clear" w:color="auto" w:fill="auto"/>
            <w:noWrap/>
            <w:vAlign w:val="bottom"/>
            <w:hideMark/>
          </w:tcPr>
          <w:p w14:paraId="7388872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3E5D6ED" w14:textId="77777777" w:rsidTr="00ED0631">
        <w:trPr>
          <w:trHeight w:val="315"/>
        </w:trPr>
        <w:tc>
          <w:tcPr>
            <w:tcW w:w="1582" w:type="dxa"/>
            <w:tcBorders>
              <w:top w:val="single" w:sz="4" w:space="0" w:color="auto"/>
              <w:left w:val="nil"/>
              <w:bottom w:val="single" w:sz="4" w:space="0" w:color="auto"/>
              <w:right w:val="nil"/>
            </w:tcBorders>
            <w:shd w:val="clear" w:color="auto" w:fill="auto"/>
            <w:noWrap/>
            <w:vAlign w:val="bottom"/>
            <w:hideMark/>
          </w:tcPr>
          <w:p w14:paraId="08F780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731" w:type="dxa"/>
            <w:tcBorders>
              <w:top w:val="single" w:sz="4" w:space="0" w:color="auto"/>
              <w:left w:val="nil"/>
              <w:bottom w:val="single" w:sz="4" w:space="0" w:color="auto"/>
              <w:right w:val="nil"/>
            </w:tcBorders>
            <w:shd w:val="clear" w:color="auto" w:fill="auto"/>
            <w:noWrap/>
            <w:vAlign w:val="bottom"/>
            <w:hideMark/>
          </w:tcPr>
          <w:p w14:paraId="1A06A2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261" w:type="dxa"/>
            <w:tcBorders>
              <w:top w:val="single" w:sz="4" w:space="0" w:color="auto"/>
              <w:left w:val="nil"/>
              <w:bottom w:val="single" w:sz="4" w:space="0" w:color="auto"/>
              <w:right w:val="nil"/>
            </w:tcBorders>
            <w:shd w:val="clear" w:color="auto" w:fill="auto"/>
            <w:noWrap/>
            <w:vAlign w:val="bottom"/>
            <w:hideMark/>
          </w:tcPr>
          <w:p w14:paraId="0BA522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31 </w:t>
            </w:r>
          </w:p>
        </w:tc>
        <w:tc>
          <w:tcPr>
            <w:tcW w:w="1246" w:type="dxa"/>
            <w:tcBorders>
              <w:top w:val="single" w:sz="4" w:space="0" w:color="auto"/>
              <w:left w:val="nil"/>
              <w:bottom w:val="single" w:sz="4" w:space="0" w:color="auto"/>
              <w:right w:val="nil"/>
            </w:tcBorders>
            <w:shd w:val="clear" w:color="auto" w:fill="auto"/>
            <w:noWrap/>
            <w:vAlign w:val="bottom"/>
            <w:hideMark/>
          </w:tcPr>
          <w:p w14:paraId="593AE8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bl>
    <w:p w14:paraId="63731A83"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51CCFA51"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11: Primary school leaders rating of the new curriculum by island-better teacher</w:t>
      </w:r>
    </w:p>
    <w:tbl>
      <w:tblPr>
        <w:tblW w:w="6780" w:type="dxa"/>
        <w:tblInd w:w="93" w:type="dxa"/>
        <w:tblLook w:val="04A0" w:firstRow="1" w:lastRow="0" w:firstColumn="1" w:lastColumn="0" w:noHBand="0" w:noVBand="1"/>
      </w:tblPr>
      <w:tblGrid>
        <w:gridCol w:w="1877"/>
        <w:gridCol w:w="1718"/>
        <w:gridCol w:w="1064"/>
        <w:gridCol w:w="1072"/>
        <w:gridCol w:w="1049"/>
      </w:tblGrid>
      <w:tr w:rsidR="00AC362E" w:rsidRPr="00491EF1" w14:paraId="5DD6B28E" w14:textId="77777777" w:rsidTr="00ED0631">
        <w:trPr>
          <w:trHeight w:val="315"/>
        </w:trPr>
        <w:tc>
          <w:tcPr>
            <w:tcW w:w="1877" w:type="dxa"/>
            <w:tcBorders>
              <w:top w:val="single" w:sz="4" w:space="0" w:color="auto"/>
              <w:left w:val="nil"/>
              <w:bottom w:val="single" w:sz="4" w:space="0" w:color="auto"/>
              <w:right w:val="nil"/>
            </w:tcBorders>
            <w:shd w:val="clear" w:color="auto" w:fill="auto"/>
            <w:noWrap/>
            <w:vAlign w:val="bottom"/>
            <w:hideMark/>
          </w:tcPr>
          <w:p w14:paraId="3FABD064"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Better teacher</w:t>
            </w:r>
          </w:p>
        </w:tc>
        <w:tc>
          <w:tcPr>
            <w:tcW w:w="1718" w:type="dxa"/>
            <w:tcBorders>
              <w:top w:val="single" w:sz="4" w:space="0" w:color="auto"/>
              <w:left w:val="nil"/>
              <w:bottom w:val="single" w:sz="4" w:space="0" w:color="auto"/>
              <w:right w:val="nil"/>
            </w:tcBorders>
            <w:shd w:val="clear" w:color="auto" w:fill="auto"/>
            <w:noWrap/>
            <w:vAlign w:val="bottom"/>
            <w:hideMark/>
          </w:tcPr>
          <w:p w14:paraId="3D66537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64" w:type="dxa"/>
            <w:tcBorders>
              <w:top w:val="single" w:sz="4" w:space="0" w:color="auto"/>
              <w:left w:val="nil"/>
              <w:bottom w:val="single" w:sz="4" w:space="0" w:color="auto"/>
              <w:right w:val="nil"/>
            </w:tcBorders>
            <w:shd w:val="clear" w:color="auto" w:fill="auto"/>
            <w:noWrap/>
            <w:vAlign w:val="bottom"/>
            <w:hideMark/>
          </w:tcPr>
          <w:p w14:paraId="199BB1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072" w:type="dxa"/>
            <w:tcBorders>
              <w:top w:val="single" w:sz="4" w:space="0" w:color="auto"/>
              <w:left w:val="nil"/>
              <w:bottom w:val="single" w:sz="4" w:space="0" w:color="auto"/>
              <w:right w:val="nil"/>
            </w:tcBorders>
            <w:shd w:val="clear" w:color="auto" w:fill="auto"/>
            <w:noWrap/>
            <w:vAlign w:val="bottom"/>
            <w:hideMark/>
          </w:tcPr>
          <w:p w14:paraId="04FA1A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c>
          <w:tcPr>
            <w:tcW w:w="1049" w:type="dxa"/>
            <w:tcBorders>
              <w:top w:val="single" w:sz="4" w:space="0" w:color="auto"/>
              <w:left w:val="nil"/>
              <w:bottom w:val="single" w:sz="4" w:space="0" w:color="auto"/>
              <w:right w:val="nil"/>
            </w:tcBorders>
            <w:shd w:val="clear" w:color="auto" w:fill="auto"/>
            <w:noWrap/>
            <w:vAlign w:val="bottom"/>
            <w:hideMark/>
          </w:tcPr>
          <w:p w14:paraId="09E97F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Unsure </w:t>
            </w:r>
          </w:p>
        </w:tc>
      </w:tr>
      <w:tr w:rsidR="00AC362E" w:rsidRPr="00491EF1" w14:paraId="5D0117F0" w14:textId="77777777" w:rsidTr="00ED0631">
        <w:trPr>
          <w:trHeight w:val="315"/>
        </w:trPr>
        <w:tc>
          <w:tcPr>
            <w:tcW w:w="1877" w:type="dxa"/>
            <w:tcBorders>
              <w:top w:val="nil"/>
              <w:left w:val="nil"/>
              <w:bottom w:val="nil"/>
              <w:right w:val="nil"/>
            </w:tcBorders>
            <w:shd w:val="clear" w:color="auto" w:fill="auto"/>
            <w:noWrap/>
            <w:vAlign w:val="bottom"/>
            <w:hideMark/>
          </w:tcPr>
          <w:p w14:paraId="108CC8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718" w:type="dxa"/>
            <w:tcBorders>
              <w:top w:val="nil"/>
              <w:left w:val="nil"/>
              <w:bottom w:val="nil"/>
              <w:right w:val="nil"/>
            </w:tcBorders>
            <w:shd w:val="clear" w:color="auto" w:fill="auto"/>
            <w:noWrap/>
            <w:vAlign w:val="bottom"/>
            <w:hideMark/>
          </w:tcPr>
          <w:p w14:paraId="03E94BD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64" w:type="dxa"/>
            <w:tcBorders>
              <w:top w:val="nil"/>
              <w:left w:val="nil"/>
              <w:bottom w:val="nil"/>
              <w:right w:val="nil"/>
            </w:tcBorders>
            <w:shd w:val="clear" w:color="auto" w:fill="auto"/>
            <w:noWrap/>
            <w:vAlign w:val="bottom"/>
            <w:hideMark/>
          </w:tcPr>
          <w:p w14:paraId="280EF5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72" w:type="dxa"/>
            <w:tcBorders>
              <w:top w:val="nil"/>
              <w:left w:val="nil"/>
              <w:bottom w:val="nil"/>
              <w:right w:val="nil"/>
            </w:tcBorders>
            <w:shd w:val="clear" w:color="auto" w:fill="auto"/>
            <w:noWrap/>
            <w:vAlign w:val="bottom"/>
            <w:hideMark/>
          </w:tcPr>
          <w:p w14:paraId="60DFE40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083B10D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0CBF855" w14:textId="77777777" w:rsidTr="00ED0631">
        <w:trPr>
          <w:trHeight w:val="315"/>
        </w:trPr>
        <w:tc>
          <w:tcPr>
            <w:tcW w:w="1877" w:type="dxa"/>
            <w:tcBorders>
              <w:top w:val="nil"/>
              <w:left w:val="nil"/>
              <w:bottom w:val="nil"/>
              <w:right w:val="nil"/>
            </w:tcBorders>
            <w:shd w:val="clear" w:color="auto" w:fill="auto"/>
            <w:noWrap/>
            <w:vAlign w:val="bottom"/>
            <w:hideMark/>
          </w:tcPr>
          <w:p w14:paraId="0E002F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718" w:type="dxa"/>
            <w:tcBorders>
              <w:top w:val="nil"/>
              <w:left w:val="nil"/>
              <w:bottom w:val="nil"/>
              <w:right w:val="nil"/>
            </w:tcBorders>
            <w:shd w:val="clear" w:color="auto" w:fill="auto"/>
            <w:noWrap/>
            <w:vAlign w:val="bottom"/>
            <w:hideMark/>
          </w:tcPr>
          <w:p w14:paraId="382174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64" w:type="dxa"/>
            <w:tcBorders>
              <w:top w:val="nil"/>
              <w:left w:val="nil"/>
              <w:bottom w:val="nil"/>
              <w:right w:val="nil"/>
            </w:tcBorders>
            <w:shd w:val="clear" w:color="auto" w:fill="auto"/>
            <w:noWrap/>
            <w:vAlign w:val="bottom"/>
            <w:hideMark/>
          </w:tcPr>
          <w:p w14:paraId="768512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72" w:type="dxa"/>
            <w:tcBorders>
              <w:top w:val="nil"/>
              <w:left w:val="nil"/>
              <w:bottom w:val="nil"/>
              <w:right w:val="nil"/>
            </w:tcBorders>
            <w:shd w:val="clear" w:color="auto" w:fill="auto"/>
            <w:noWrap/>
            <w:vAlign w:val="bottom"/>
            <w:hideMark/>
          </w:tcPr>
          <w:p w14:paraId="6A2A087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69933E5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12A5AED" w14:textId="77777777" w:rsidTr="00ED0631">
        <w:trPr>
          <w:trHeight w:val="315"/>
        </w:trPr>
        <w:tc>
          <w:tcPr>
            <w:tcW w:w="1877" w:type="dxa"/>
            <w:tcBorders>
              <w:top w:val="nil"/>
              <w:left w:val="nil"/>
              <w:bottom w:val="nil"/>
              <w:right w:val="nil"/>
            </w:tcBorders>
            <w:shd w:val="clear" w:color="auto" w:fill="auto"/>
            <w:noWrap/>
            <w:vAlign w:val="bottom"/>
            <w:hideMark/>
          </w:tcPr>
          <w:p w14:paraId="3C02B5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718" w:type="dxa"/>
            <w:tcBorders>
              <w:top w:val="nil"/>
              <w:left w:val="nil"/>
              <w:bottom w:val="nil"/>
              <w:right w:val="nil"/>
            </w:tcBorders>
            <w:shd w:val="clear" w:color="auto" w:fill="auto"/>
            <w:noWrap/>
            <w:vAlign w:val="bottom"/>
            <w:hideMark/>
          </w:tcPr>
          <w:p w14:paraId="4EF84E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64" w:type="dxa"/>
            <w:tcBorders>
              <w:top w:val="nil"/>
              <w:left w:val="nil"/>
              <w:bottom w:val="nil"/>
              <w:right w:val="nil"/>
            </w:tcBorders>
            <w:shd w:val="clear" w:color="auto" w:fill="auto"/>
            <w:noWrap/>
            <w:vAlign w:val="bottom"/>
            <w:hideMark/>
          </w:tcPr>
          <w:p w14:paraId="26F6CD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72" w:type="dxa"/>
            <w:tcBorders>
              <w:top w:val="nil"/>
              <w:left w:val="nil"/>
              <w:bottom w:val="nil"/>
              <w:right w:val="nil"/>
            </w:tcBorders>
            <w:shd w:val="clear" w:color="auto" w:fill="auto"/>
            <w:noWrap/>
            <w:vAlign w:val="bottom"/>
            <w:hideMark/>
          </w:tcPr>
          <w:p w14:paraId="6536977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7A5CB21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5BF5280" w14:textId="77777777" w:rsidTr="00ED0631">
        <w:trPr>
          <w:trHeight w:val="315"/>
        </w:trPr>
        <w:tc>
          <w:tcPr>
            <w:tcW w:w="1877" w:type="dxa"/>
            <w:tcBorders>
              <w:top w:val="nil"/>
              <w:left w:val="nil"/>
              <w:bottom w:val="nil"/>
              <w:right w:val="nil"/>
            </w:tcBorders>
            <w:shd w:val="clear" w:color="auto" w:fill="auto"/>
            <w:noWrap/>
            <w:vAlign w:val="bottom"/>
            <w:hideMark/>
          </w:tcPr>
          <w:p w14:paraId="60EF26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718" w:type="dxa"/>
            <w:tcBorders>
              <w:top w:val="nil"/>
              <w:left w:val="nil"/>
              <w:bottom w:val="nil"/>
              <w:right w:val="nil"/>
            </w:tcBorders>
            <w:shd w:val="clear" w:color="auto" w:fill="auto"/>
            <w:noWrap/>
            <w:vAlign w:val="bottom"/>
            <w:hideMark/>
          </w:tcPr>
          <w:p w14:paraId="519615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64" w:type="dxa"/>
            <w:tcBorders>
              <w:top w:val="nil"/>
              <w:left w:val="nil"/>
              <w:bottom w:val="nil"/>
              <w:right w:val="nil"/>
            </w:tcBorders>
            <w:shd w:val="clear" w:color="auto" w:fill="auto"/>
            <w:noWrap/>
            <w:vAlign w:val="bottom"/>
            <w:hideMark/>
          </w:tcPr>
          <w:p w14:paraId="05C6AF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72" w:type="dxa"/>
            <w:tcBorders>
              <w:top w:val="nil"/>
              <w:left w:val="nil"/>
              <w:bottom w:val="nil"/>
              <w:right w:val="nil"/>
            </w:tcBorders>
            <w:shd w:val="clear" w:color="auto" w:fill="auto"/>
            <w:noWrap/>
            <w:vAlign w:val="bottom"/>
            <w:hideMark/>
          </w:tcPr>
          <w:p w14:paraId="3258C74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12E2E6DC"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447F706" w14:textId="77777777" w:rsidTr="00ED0631">
        <w:trPr>
          <w:trHeight w:val="315"/>
        </w:trPr>
        <w:tc>
          <w:tcPr>
            <w:tcW w:w="1877" w:type="dxa"/>
            <w:tcBorders>
              <w:top w:val="nil"/>
              <w:left w:val="nil"/>
              <w:bottom w:val="nil"/>
              <w:right w:val="nil"/>
            </w:tcBorders>
            <w:shd w:val="clear" w:color="auto" w:fill="auto"/>
            <w:noWrap/>
            <w:vAlign w:val="bottom"/>
            <w:hideMark/>
          </w:tcPr>
          <w:p w14:paraId="37CCC4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718" w:type="dxa"/>
            <w:tcBorders>
              <w:top w:val="nil"/>
              <w:left w:val="nil"/>
              <w:bottom w:val="nil"/>
              <w:right w:val="nil"/>
            </w:tcBorders>
            <w:shd w:val="clear" w:color="auto" w:fill="auto"/>
            <w:noWrap/>
            <w:vAlign w:val="bottom"/>
            <w:hideMark/>
          </w:tcPr>
          <w:p w14:paraId="45977D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64" w:type="dxa"/>
            <w:tcBorders>
              <w:top w:val="nil"/>
              <w:left w:val="nil"/>
              <w:bottom w:val="nil"/>
              <w:right w:val="nil"/>
            </w:tcBorders>
            <w:shd w:val="clear" w:color="auto" w:fill="auto"/>
            <w:noWrap/>
            <w:vAlign w:val="bottom"/>
            <w:hideMark/>
          </w:tcPr>
          <w:p w14:paraId="5FAFFE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72" w:type="dxa"/>
            <w:tcBorders>
              <w:top w:val="nil"/>
              <w:left w:val="nil"/>
              <w:bottom w:val="nil"/>
              <w:right w:val="nil"/>
            </w:tcBorders>
            <w:shd w:val="clear" w:color="auto" w:fill="auto"/>
            <w:noWrap/>
            <w:vAlign w:val="bottom"/>
            <w:hideMark/>
          </w:tcPr>
          <w:p w14:paraId="7DC409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49" w:type="dxa"/>
            <w:tcBorders>
              <w:top w:val="nil"/>
              <w:left w:val="nil"/>
              <w:bottom w:val="nil"/>
              <w:right w:val="nil"/>
            </w:tcBorders>
            <w:shd w:val="clear" w:color="auto" w:fill="auto"/>
            <w:noWrap/>
            <w:vAlign w:val="bottom"/>
            <w:hideMark/>
          </w:tcPr>
          <w:p w14:paraId="64B08E1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3236A11" w14:textId="77777777" w:rsidTr="00ED0631">
        <w:trPr>
          <w:trHeight w:val="315"/>
        </w:trPr>
        <w:tc>
          <w:tcPr>
            <w:tcW w:w="1877" w:type="dxa"/>
            <w:tcBorders>
              <w:top w:val="nil"/>
              <w:left w:val="nil"/>
              <w:bottom w:val="nil"/>
              <w:right w:val="nil"/>
            </w:tcBorders>
            <w:shd w:val="clear" w:color="auto" w:fill="auto"/>
            <w:noWrap/>
            <w:vAlign w:val="bottom"/>
            <w:hideMark/>
          </w:tcPr>
          <w:p w14:paraId="37DC85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718" w:type="dxa"/>
            <w:tcBorders>
              <w:top w:val="nil"/>
              <w:left w:val="nil"/>
              <w:bottom w:val="nil"/>
              <w:right w:val="nil"/>
            </w:tcBorders>
            <w:shd w:val="clear" w:color="auto" w:fill="auto"/>
            <w:noWrap/>
            <w:vAlign w:val="bottom"/>
            <w:hideMark/>
          </w:tcPr>
          <w:p w14:paraId="22090D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64" w:type="dxa"/>
            <w:tcBorders>
              <w:top w:val="nil"/>
              <w:left w:val="nil"/>
              <w:bottom w:val="nil"/>
              <w:right w:val="nil"/>
            </w:tcBorders>
            <w:shd w:val="clear" w:color="auto" w:fill="auto"/>
            <w:noWrap/>
            <w:vAlign w:val="bottom"/>
            <w:hideMark/>
          </w:tcPr>
          <w:p w14:paraId="5060CE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72" w:type="dxa"/>
            <w:tcBorders>
              <w:top w:val="nil"/>
              <w:left w:val="nil"/>
              <w:bottom w:val="nil"/>
              <w:right w:val="nil"/>
            </w:tcBorders>
            <w:shd w:val="clear" w:color="auto" w:fill="auto"/>
            <w:noWrap/>
            <w:vAlign w:val="bottom"/>
            <w:hideMark/>
          </w:tcPr>
          <w:p w14:paraId="2CEFF81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0D0DBD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48C2F914" w14:textId="77777777" w:rsidTr="00ED0631">
        <w:trPr>
          <w:trHeight w:val="315"/>
        </w:trPr>
        <w:tc>
          <w:tcPr>
            <w:tcW w:w="1877" w:type="dxa"/>
            <w:tcBorders>
              <w:top w:val="nil"/>
              <w:left w:val="nil"/>
              <w:bottom w:val="nil"/>
              <w:right w:val="nil"/>
            </w:tcBorders>
            <w:shd w:val="clear" w:color="auto" w:fill="auto"/>
            <w:noWrap/>
            <w:vAlign w:val="bottom"/>
            <w:hideMark/>
          </w:tcPr>
          <w:p w14:paraId="60A8F2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718" w:type="dxa"/>
            <w:tcBorders>
              <w:top w:val="nil"/>
              <w:left w:val="nil"/>
              <w:bottom w:val="nil"/>
              <w:right w:val="nil"/>
            </w:tcBorders>
            <w:shd w:val="clear" w:color="auto" w:fill="auto"/>
            <w:noWrap/>
            <w:vAlign w:val="bottom"/>
            <w:hideMark/>
          </w:tcPr>
          <w:p w14:paraId="4C5DC1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64" w:type="dxa"/>
            <w:tcBorders>
              <w:top w:val="nil"/>
              <w:left w:val="nil"/>
              <w:bottom w:val="nil"/>
              <w:right w:val="nil"/>
            </w:tcBorders>
            <w:shd w:val="clear" w:color="auto" w:fill="auto"/>
            <w:noWrap/>
            <w:vAlign w:val="bottom"/>
            <w:hideMark/>
          </w:tcPr>
          <w:p w14:paraId="43DB83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72" w:type="dxa"/>
            <w:tcBorders>
              <w:top w:val="nil"/>
              <w:left w:val="nil"/>
              <w:bottom w:val="nil"/>
              <w:right w:val="nil"/>
            </w:tcBorders>
            <w:shd w:val="clear" w:color="auto" w:fill="auto"/>
            <w:noWrap/>
            <w:vAlign w:val="bottom"/>
            <w:hideMark/>
          </w:tcPr>
          <w:p w14:paraId="57472F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49" w:type="dxa"/>
            <w:tcBorders>
              <w:top w:val="nil"/>
              <w:left w:val="nil"/>
              <w:bottom w:val="nil"/>
              <w:right w:val="nil"/>
            </w:tcBorders>
            <w:shd w:val="clear" w:color="auto" w:fill="auto"/>
            <w:noWrap/>
            <w:vAlign w:val="bottom"/>
            <w:hideMark/>
          </w:tcPr>
          <w:p w14:paraId="60E4E8C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9885A09" w14:textId="77777777" w:rsidTr="00ED0631">
        <w:trPr>
          <w:trHeight w:val="315"/>
        </w:trPr>
        <w:tc>
          <w:tcPr>
            <w:tcW w:w="1877" w:type="dxa"/>
            <w:tcBorders>
              <w:top w:val="nil"/>
              <w:left w:val="nil"/>
              <w:bottom w:val="nil"/>
              <w:right w:val="nil"/>
            </w:tcBorders>
            <w:shd w:val="clear" w:color="auto" w:fill="auto"/>
            <w:noWrap/>
            <w:vAlign w:val="bottom"/>
            <w:hideMark/>
          </w:tcPr>
          <w:p w14:paraId="7ADA45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718" w:type="dxa"/>
            <w:tcBorders>
              <w:top w:val="nil"/>
              <w:left w:val="nil"/>
              <w:bottom w:val="nil"/>
              <w:right w:val="nil"/>
            </w:tcBorders>
            <w:shd w:val="clear" w:color="auto" w:fill="auto"/>
            <w:noWrap/>
            <w:vAlign w:val="bottom"/>
            <w:hideMark/>
          </w:tcPr>
          <w:p w14:paraId="22A8A2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64" w:type="dxa"/>
            <w:tcBorders>
              <w:top w:val="nil"/>
              <w:left w:val="nil"/>
              <w:bottom w:val="nil"/>
              <w:right w:val="nil"/>
            </w:tcBorders>
            <w:shd w:val="clear" w:color="auto" w:fill="auto"/>
            <w:noWrap/>
            <w:vAlign w:val="bottom"/>
            <w:hideMark/>
          </w:tcPr>
          <w:p w14:paraId="3A693D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72" w:type="dxa"/>
            <w:tcBorders>
              <w:top w:val="nil"/>
              <w:left w:val="nil"/>
              <w:bottom w:val="nil"/>
              <w:right w:val="nil"/>
            </w:tcBorders>
            <w:shd w:val="clear" w:color="auto" w:fill="auto"/>
            <w:noWrap/>
            <w:vAlign w:val="bottom"/>
            <w:hideMark/>
          </w:tcPr>
          <w:p w14:paraId="7271B2A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0EE09A3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820B366" w14:textId="77777777" w:rsidTr="00ED0631">
        <w:trPr>
          <w:trHeight w:val="315"/>
        </w:trPr>
        <w:tc>
          <w:tcPr>
            <w:tcW w:w="1877" w:type="dxa"/>
            <w:tcBorders>
              <w:top w:val="nil"/>
              <w:left w:val="nil"/>
              <w:bottom w:val="nil"/>
              <w:right w:val="nil"/>
            </w:tcBorders>
            <w:shd w:val="clear" w:color="auto" w:fill="auto"/>
            <w:noWrap/>
            <w:vAlign w:val="bottom"/>
            <w:hideMark/>
          </w:tcPr>
          <w:p w14:paraId="5EF2FE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718" w:type="dxa"/>
            <w:tcBorders>
              <w:top w:val="nil"/>
              <w:left w:val="nil"/>
              <w:bottom w:val="nil"/>
              <w:right w:val="nil"/>
            </w:tcBorders>
            <w:shd w:val="clear" w:color="auto" w:fill="auto"/>
            <w:noWrap/>
            <w:vAlign w:val="bottom"/>
            <w:hideMark/>
          </w:tcPr>
          <w:p w14:paraId="2B14E9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64" w:type="dxa"/>
            <w:tcBorders>
              <w:top w:val="nil"/>
              <w:left w:val="nil"/>
              <w:bottom w:val="nil"/>
              <w:right w:val="nil"/>
            </w:tcBorders>
            <w:shd w:val="clear" w:color="auto" w:fill="auto"/>
            <w:noWrap/>
            <w:vAlign w:val="bottom"/>
            <w:hideMark/>
          </w:tcPr>
          <w:p w14:paraId="5C4581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1072" w:type="dxa"/>
            <w:tcBorders>
              <w:top w:val="nil"/>
              <w:left w:val="nil"/>
              <w:bottom w:val="nil"/>
              <w:right w:val="nil"/>
            </w:tcBorders>
            <w:shd w:val="clear" w:color="auto" w:fill="auto"/>
            <w:noWrap/>
            <w:vAlign w:val="bottom"/>
            <w:hideMark/>
          </w:tcPr>
          <w:p w14:paraId="7173297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49" w:type="dxa"/>
            <w:tcBorders>
              <w:top w:val="nil"/>
              <w:left w:val="nil"/>
              <w:bottom w:val="nil"/>
              <w:right w:val="nil"/>
            </w:tcBorders>
            <w:shd w:val="clear" w:color="auto" w:fill="auto"/>
            <w:noWrap/>
            <w:vAlign w:val="bottom"/>
            <w:hideMark/>
          </w:tcPr>
          <w:p w14:paraId="6A0B21E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6699051" w14:textId="77777777" w:rsidTr="00ED0631">
        <w:trPr>
          <w:trHeight w:val="315"/>
        </w:trPr>
        <w:tc>
          <w:tcPr>
            <w:tcW w:w="1877" w:type="dxa"/>
            <w:tcBorders>
              <w:top w:val="single" w:sz="4" w:space="0" w:color="auto"/>
              <w:left w:val="nil"/>
              <w:bottom w:val="single" w:sz="4" w:space="0" w:color="auto"/>
              <w:right w:val="nil"/>
            </w:tcBorders>
            <w:shd w:val="clear" w:color="auto" w:fill="auto"/>
            <w:noWrap/>
            <w:vAlign w:val="bottom"/>
            <w:hideMark/>
          </w:tcPr>
          <w:p w14:paraId="298F1C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718" w:type="dxa"/>
            <w:tcBorders>
              <w:top w:val="single" w:sz="4" w:space="0" w:color="auto"/>
              <w:left w:val="nil"/>
              <w:bottom w:val="single" w:sz="4" w:space="0" w:color="auto"/>
              <w:right w:val="nil"/>
            </w:tcBorders>
            <w:shd w:val="clear" w:color="auto" w:fill="auto"/>
            <w:noWrap/>
            <w:vAlign w:val="bottom"/>
            <w:hideMark/>
          </w:tcPr>
          <w:p w14:paraId="72333F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20 </w:t>
            </w:r>
          </w:p>
        </w:tc>
        <w:tc>
          <w:tcPr>
            <w:tcW w:w="1064" w:type="dxa"/>
            <w:tcBorders>
              <w:top w:val="single" w:sz="4" w:space="0" w:color="auto"/>
              <w:left w:val="nil"/>
              <w:bottom w:val="single" w:sz="4" w:space="0" w:color="auto"/>
              <w:right w:val="nil"/>
            </w:tcBorders>
            <w:shd w:val="clear" w:color="auto" w:fill="auto"/>
            <w:noWrap/>
            <w:vAlign w:val="bottom"/>
            <w:hideMark/>
          </w:tcPr>
          <w:p w14:paraId="3322FC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22 </w:t>
            </w:r>
          </w:p>
        </w:tc>
        <w:tc>
          <w:tcPr>
            <w:tcW w:w="1072" w:type="dxa"/>
            <w:tcBorders>
              <w:top w:val="single" w:sz="4" w:space="0" w:color="auto"/>
              <w:left w:val="nil"/>
              <w:bottom w:val="single" w:sz="4" w:space="0" w:color="auto"/>
              <w:right w:val="nil"/>
            </w:tcBorders>
            <w:shd w:val="clear" w:color="auto" w:fill="auto"/>
            <w:noWrap/>
            <w:vAlign w:val="bottom"/>
            <w:hideMark/>
          </w:tcPr>
          <w:p w14:paraId="604CFF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49" w:type="dxa"/>
            <w:tcBorders>
              <w:top w:val="single" w:sz="4" w:space="0" w:color="auto"/>
              <w:left w:val="nil"/>
              <w:bottom w:val="single" w:sz="4" w:space="0" w:color="auto"/>
              <w:right w:val="nil"/>
            </w:tcBorders>
            <w:shd w:val="clear" w:color="auto" w:fill="auto"/>
            <w:noWrap/>
            <w:vAlign w:val="bottom"/>
            <w:hideMark/>
          </w:tcPr>
          <w:p w14:paraId="04F502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5AD2530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12: Primary school leaders rating of the new curriculum by island category-better teacher </w:t>
      </w:r>
    </w:p>
    <w:tbl>
      <w:tblPr>
        <w:tblW w:w="7120" w:type="dxa"/>
        <w:tblInd w:w="93" w:type="dxa"/>
        <w:tblLook w:val="04A0" w:firstRow="1" w:lastRow="0" w:firstColumn="1" w:lastColumn="0" w:noHBand="0" w:noVBand="1"/>
      </w:tblPr>
      <w:tblGrid>
        <w:gridCol w:w="1737"/>
        <w:gridCol w:w="1699"/>
        <w:gridCol w:w="1238"/>
        <w:gridCol w:w="1223"/>
        <w:gridCol w:w="1223"/>
      </w:tblGrid>
      <w:tr w:rsidR="00AC362E" w:rsidRPr="00491EF1" w14:paraId="42B59FC8" w14:textId="77777777" w:rsidTr="00ED0631">
        <w:trPr>
          <w:trHeight w:val="315"/>
        </w:trPr>
        <w:tc>
          <w:tcPr>
            <w:tcW w:w="1737" w:type="dxa"/>
            <w:tcBorders>
              <w:top w:val="single" w:sz="4" w:space="0" w:color="auto"/>
              <w:left w:val="nil"/>
              <w:bottom w:val="single" w:sz="4" w:space="0" w:color="auto"/>
              <w:right w:val="nil"/>
            </w:tcBorders>
            <w:shd w:val="clear" w:color="auto" w:fill="auto"/>
            <w:noWrap/>
            <w:vAlign w:val="bottom"/>
            <w:hideMark/>
          </w:tcPr>
          <w:p w14:paraId="51C8516B"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Better teacher </w:t>
            </w:r>
          </w:p>
        </w:tc>
        <w:tc>
          <w:tcPr>
            <w:tcW w:w="1699" w:type="dxa"/>
            <w:tcBorders>
              <w:top w:val="single" w:sz="4" w:space="0" w:color="auto"/>
              <w:left w:val="nil"/>
              <w:bottom w:val="single" w:sz="4" w:space="0" w:color="auto"/>
              <w:right w:val="nil"/>
            </w:tcBorders>
            <w:shd w:val="clear" w:color="auto" w:fill="auto"/>
            <w:noWrap/>
            <w:vAlign w:val="bottom"/>
            <w:hideMark/>
          </w:tcPr>
          <w:p w14:paraId="0CE844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38" w:type="dxa"/>
            <w:tcBorders>
              <w:top w:val="single" w:sz="4" w:space="0" w:color="auto"/>
              <w:left w:val="nil"/>
              <w:bottom w:val="single" w:sz="4" w:space="0" w:color="auto"/>
              <w:right w:val="nil"/>
            </w:tcBorders>
            <w:shd w:val="clear" w:color="auto" w:fill="auto"/>
            <w:noWrap/>
            <w:vAlign w:val="bottom"/>
            <w:hideMark/>
          </w:tcPr>
          <w:p w14:paraId="45A5FD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223" w:type="dxa"/>
            <w:tcBorders>
              <w:top w:val="single" w:sz="4" w:space="0" w:color="auto"/>
              <w:left w:val="nil"/>
              <w:bottom w:val="single" w:sz="4" w:space="0" w:color="auto"/>
              <w:right w:val="nil"/>
            </w:tcBorders>
            <w:shd w:val="clear" w:color="auto" w:fill="auto"/>
            <w:noWrap/>
            <w:vAlign w:val="bottom"/>
            <w:hideMark/>
          </w:tcPr>
          <w:p w14:paraId="0BFC86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c>
          <w:tcPr>
            <w:tcW w:w="1223" w:type="dxa"/>
            <w:tcBorders>
              <w:top w:val="single" w:sz="4" w:space="0" w:color="auto"/>
              <w:left w:val="nil"/>
              <w:bottom w:val="single" w:sz="4" w:space="0" w:color="auto"/>
              <w:right w:val="nil"/>
            </w:tcBorders>
            <w:shd w:val="clear" w:color="auto" w:fill="auto"/>
            <w:noWrap/>
            <w:vAlign w:val="bottom"/>
            <w:hideMark/>
          </w:tcPr>
          <w:p w14:paraId="71C58C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Unsure </w:t>
            </w:r>
          </w:p>
        </w:tc>
      </w:tr>
      <w:tr w:rsidR="00AC362E" w:rsidRPr="00491EF1" w14:paraId="765CDA68" w14:textId="77777777" w:rsidTr="00ED0631">
        <w:trPr>
          <w:trHeight w:val="315"/>
        </w:trPr>
        <w:tc>
          <w:tcPr>
            <w:tcW w:w="1737" w:type="dxa"/>
            <w:tcBorders>
              <w:top w:val="nil"/>
              <w:left w:val="nil"/>
              <w:bottom w:val="nil"/>
              <w:right w:val="nil"/>
            </w:tcBorders>
            <w:shd w:val="clear" w:color="auto" w:fill="auto"/>
            <w:noWrap/>
            <w:vAlign w:val="bottom"/>
            <w:hideMark/>
          </w:tcPr>
          <w:p w14:paraId="4CBF83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699" w:type="dxa"/>
            <w:tcBorders>
              <w:top w:val="nil"/>
              <w:left w:val="nil"/>
              <w:bottom w:val="nil"/>
              <w:right w:val="nil"/>
            </w:tcBorders>
            <w:shd w:val="clear" w:color="auto" w:fill="auto"/>
            <w:noWrap/>
            <w:vAlign w:val="bottom"/>
            <w:hideMark/>
          </w:tcPr>
          <w:p w14:paraId="6A199A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238" w:type="dxa"/>
            <w:tcBorders>
              <w:top w:val="nil"/>
              <w:left w:val="nil"/>
              <w:bottom w:val="nil"/>
              <w:right w:val="nil"/>
            </w:tcBorders>
            <w:shd w:val="clear" w:color="auto" w:fill="auto"/>
            <w:noWrap/>
            <w:vAlign w:val="bottom"/>
            <w:hideMark/>
          </w:tcPr>
          <w:p w14:paraId="7343C3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223" w:type="dxa"/>
            <w:tcBorders>
              <w:top w:val="nil"/>
              <w:left w:val="nil"/>
              <w:bottom w:val="nil"/>
              <w:right w:val="nil"/>
            </w:tcBorders>
            <w:shd w:val="clear" w:color="auto" w:fill="auto"/>
            <w:noWrap/>
            <w:vAlign w:val="bottom"/>
            <w:hideMark/>
          </w:tcPr>
          <w:p w14:paraId="09A6ED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23" w:type="dxa"/>
            <w:tcBorders>
              <w:top w:val="nil"/>
              <w:left w:val="nil"/>
              <w:bottom w:val="nil"/>
              <w:right w:val="nil"/>
            </w:tcBorders>
            <w:shd w:val="clear" w:color="auto" w:fill="auto"/>
            <w:noWrap/>
            <w:vAlign w:val="bottom"/>
            <w:hideMark/>
          </w:tcPr>
          <w:p w14:paraId="63F62E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65AF219B" w14:textId="77777777" w:rsidTr="00ED0631">
        <w:trPr>
          <w:trHeight w:val="315"/>
        </w:trPr>
        <w:tc>
          <w:tcPr>
            <w:tcW w:w="1737" w:type="dxa"/>
            <w:tcBorders>
              <w:top w:val="nil"/>
              <w:left w:val="nil"/>
              <w:bottom w:val="nil"/>
              <w:right w:val="nil"/>
            </w:tcBorders>
            <w:shd w:val="clear" w:color="auto" w:fill="auto"/>
            <w:noWrap/>
            <w:vAlign w:val="bottom"/>
            <w:hideMark/>
          </w:tcPr>
          <w:p w14:paraId="6333AB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699" w:type="dxa"/>
            <w:tcBorders>
              <w:top w:val="nil"/>
              <w:left w:val="nil"/>
              <w:bottom w:val="nil"/>
              <w:right w:val="nil"/>
            </w:tcBorders>
            <w:shd w:val="clear" w:color="auto" w:fill="auto"/>
            <w:noWrap/>
            <w:vAlign w:val="bottom"/>
            <w:hideMark/>
          </w:tcPr>
          <w:p w14:paraId="5058D0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38" w:type="dxa"/>
            <w:tcBorders>
              <w:top w:val="nil"/>
              <w:left w:val="nil"/>
              <w:bottom w:val="nil"/>
              <w:right w:val="nil"/>
            </w:tcBorders>
            <w:shd w:val="clear" w:color="auto" w:fill="auto"/>
            <w:noWrap/>
            <w:vAlign w:val="bottom"/>
            <w:hideMark/>
          </w:tcPr>
          <w:p w14:paraId="7A49CA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23" w:type="dxa"/>
            <w:tcBorders>
              <w:top w:val="nil"/>
              <w:left w:val="nil"/>
              <w:bottom w:val="nil"/>
              <w:right w:val="nil"/>
            </w:tcBorders>
            <w:shd w:val="clear" w:color="auto" w:fill="auto"/>
            <w:noWrap/>
            <w:vAlign w:val="bottom"/>
            <w:hideMark/>
          </w:tcPr>
          <w:p w14:paraId="7BEA41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23" w:type="dxa"/>
            <w:tcBorders>
              <w:top w:val="nil"/>
              <w:left w:val="nil"/>
              <w:bottom w:val="nil"/>
              <w:right w:val="nil"/>
            </w:tcBorders>
            <w:shd w:val="clear" w:color="auto" w:fill="auto"/>
            <w:noWrap/>
            <w:vAlign w:val="bottom"/>
            <w:hideMark/>
          </w:tcPr>
          <w:p w14:paraId="64E2A3B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82C2833" w14:textId="77777777" w:rsidTr="00ED0631">
        <w:trPr>
          <w:trHeight w:val="315"/>
        </w:trPr>
        <w:tc>
          <w:tcPr>
            <w:tcW w:w="1737" w:type="dxa"/>
            <w:tcBorders>
              <w:top w:val="nil"/>
              <w:left w:val="nil"/>
              <w:bottom w:val="nil"/>
              <w:right w:val="nil"/>
            </w:tcBorders>
            <w:shd w:val="clear" w:color="auto" w:fill="auto"/>
            <w:noWrap/>
            <w:vAlign w:val="bottom"/>
            <w:hideMark/>
          </w:tcPr>
          <w:p w14:paraId="0AA922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699" w:type="dxa"/>
            <w:tcBorders>
              <w:top w:val="nil"/>
              <w:left w:val="nil"/>
              <w:bottom w:val="nil"/>
              <w:right w:val="nil"/>
            </w:tcBorders>
            <w:shd w:val="clear" w:color="auto" w:fill="auto"/>
            <w:noWrap/>
            <w:vAlign w:val="bottom"/>
            <w:hideMark/>
          </w:tcPr>
          <w:p w14:paraId="15A732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38" w:type="dxa"/>
            <w:tcBorders>
              <w:top w:val="nil"/>
              <w:left w:val="nil"/>
              <w:bottom w:val="nil"/>
              <w:right w:val="nil"/>
            </w:tcBorders>
            <w:shd w:val="clear" w:color="auto" w:fill="auto"/>
            <w:noWrap/>
            <w:vAlign w:val="bottom"/>
            <w:hideMark/>
          </w:tcPr>
          <w:p w14:paraId="4A3946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23" w:type="dxa"/>
            <w:tcBorders>
              <w:top w:val="nil"/>
              <w:left w:val="nil"/>
              <w:bottom w:val="nil"/>
              <w:right w:val="nil"/>
            </w:tcBorders>
            <w:shd w:val="clear" w:color="auto" w:fill="auto"/>
            <w:noWrap/>
            <w:vAlign w:val="bottom"/>
            <w:hideMark/>
          </w:tcPr>
          <w:p w14:paraId="123FE0F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23" w:type="dxa"/>
            <w:tcBorders>
              <w:top w:val="nil"/>
              <w:left w:val="nil"/>
              <w:bottom w:val="nil"/>
              <w:right w:val="nil"/>
            </w:tcBorders>
            <w:shd w:val="clear" w:color="auto" w:fill="auto"/>
            <w:noWrap/>
            <w:vAlign w:val="bottom"/>
            <w:hideMark/>
          </w:tcPr>
          <w:p w14:paraId="37A74C7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17AF92F" w14:textId="77777777" w:rsidTr="00ED0631">
        <w:trPr>
          <w:trHeight w:val="315"/>
        </w:trPr>
        <w:tc>
          <w:tcPr>
            <w:tcW w:w="1737" w:type="dxa"/>
            <w:tcBorders>
              <w:top w:val="single" w:sz="4" w:space="0" w:color="auto"/>
              <w:left w:val="nil"/>
              <w:bottom w:val="single" w:sz="4" w:space="0" w:color="auto"/>
              <w:right w:val="nil"/>
            </w:tcBorders>
            <w:shd w:val="clear" w:color="auto" w:fill="auto"/>
            <w:noWrap/>
            <w:vAlign w:val="bottom"/>
            <w:hideMark/>
          </w:tcPr>
          <w:p w14:paraId="410EF9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699" w:type="dxa"/>
            <w:tcBorders>
              <w:top w:val="single" w:sz="4" w:space="0" w:color="auto"/>
              <w:left w:val="nil"/>
              <w:bottom w:val="single" w:sz="4" w:space="0" w:color="auto"/>
              <w:right w:val="nil"/>
            </w:tcBorders>
            <w:shd w:val="clear" w:color="auto" w:fill="auto"/>
            <w:noWrap/>
            <w:vAlign w:val="bottom"/>
            <w:hideMark/>
          </w:tcPr>
          <w:p w14:paraId="767D0C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20 </w:t>
            </w:r>
          </w:p>
        </w:tc>
        <w:tc>
          <w:tcPr>
            <w:tcW w:w="1238" w:type="dxa"/>
            <w:tcBorders>
              <w:top w:val="single" w:sz="4" w:space="0" w:color="auto"/>
              <w:left w:val="nil"/>
              <w:bottom w:val="single" w:sz="4" w:space="0" w:color="auto"/>
              <w:right w:val="nil"/>
            </w:tcBorders>
            <w:shd w:val="clear" w:color="auto" w:fill="auto"/>
            <w:noWrap/>
            <w:vAlign w:val="bottom"/>
            <w:hideMark/>
          </w:tcPr>
          <w:p w14:paraId="36538F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1223" w:type="dxa"/>
            <w:tcBorders>
              <w:top w:val="single" w:sz="4" w:space="0" w:color="auto"/>
              <w:left w:val="nil"/>
              <w:bottom w:val="single" w:sz="4" w:space="0" w:color="auto"/>
              <w:right w:val="nil"/>
            </w:tcBorders>
            <w:shd w:val="clear" w:color="auto" w:fill="auto"/>
            <w:noWrap/>
            <w:vAlign w:val="bottom"/>
            <w:hideMark/>
          </w:tcPr>
          <w:p w14:paraId="3EC0F8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223" w:type="dxa"/>
            <w:tcBorders>
              <w:top w:val="single" w:sz="4" w:space="0" w:color="auto"/>
              <w:left w:val="nil"/>
              <w:bottom w:val="single" w:sz="4" w:space="0" w:color="auto"/>
              <w:right w:val="nil"/>
            </w:tcBorders>
            <w:shd w:val="clear" w:color="auto" w:fill="auto"/>
            <w:noWrap/>
            <w:vAlign w:val="bottom"/>
            <w:hideMark/>
          </w:tcPr>
          <w:p w14:paraId="0BFAD9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bl>
    <w:p w14:paraId="55B64CCD"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13: Primary school leaders rating of the new curriculum by island-interested</w:t>
      </w:r>
    </w:p>
    <w:tbl>
      <w:tblPr>
        <w:tblW w:w="4540" w:type="dxa"/>
        <w:tblInd w:w="93" w:type="dxa"/>
        <w:tblLook w:val="04A0" w:firstRow="1" w:lastRow="0" w:firstColumn="1" w:lastColumn="0" w:noHBand="0" w:noVBand="1"/>
      </w:tblPr>
      <w:tblGrid>
        <w:gridCol w:w="1829"/>
        <w:gridCol w:w="1674"/>
        <w:gridCol w:w="1037"/>
      </w:tblGrid>
      <w:tr w:rsidR="00AC362E" w:rsidRPr="00491EF1" w14:paraId="12ADA32A"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4DAD2E50"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Interested</w:t>
            </w:r>
          </w:p>
        </w:tc>
        <w:tc>
          <w:tcPr>
            <w:tcW w:w="1674" w:type="dxa"/>
            <w:tcBorders>
              <w:top w:val="single" w:sz="4" w:space="0" w:color="auto"/>
              <w:left w:val="nil"/>
              <w:bottom w:val="single" w:sz="4" w:space="0" w:color="auto"/>
              <w:right w:val="nil"/>
            </w:tcBorders>
            <w:shd w:val="clear" w:color="auto" w:fill="auto"/>
            <w:noWrap/>
            <w:vAlign w:val="bottom"/>
            <w:hideMark/>
          </w:tcPr>
          <w:p w14:paraId="07D684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37" w:type="dxa"/>
            <w:tcBorders>
              <w:top w:val="single" w:sz="4" w:space="0" w:color="auto"/>
              <w:left w:val="nil"/>
              <w:bottom w:val="single" w:sz="4" w:space="0" w:color="auto"/>
              <w:right w:val="nil"/>
            </w:tcBorders>
            <w:shd w:val="clear" w:color="auto" w:fill="auto"/>
            <w:noWrap/>
            <w:vAlign w:val="bottom"/>
            <w:hideMark/>
          </w:tcPr>
          <w:p w14:paraId="4BAEF9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226FA9F8" w14:textId="77777777" w:rsidTr="00ED0631">
        <w:trPr>
          <w:trHeight w:val="315"/>
        </w:trPr>
        <w:tc>
          <w:tcPr>
            <w:tcW w:w="1829" w:type="dxa"/>
            <w:tcBorders>
              <w:top w:val="nil"/>
              <w:left w:val="nil"/>
              <w:bottom w:val="nil"/>
              <w:right w:val="nil"/>
            </w:tcBorders>
            <w:shd w:val="clear" w:color="auto" w:fill="auto"/>
            <w:noWrap/>
            <w:vAlign w:val="bottom"/>
            <w:hideMark/>
          </w:tcPr>
          <w:p w14:paraId="2A594E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74" w:type="dxa"/>
            <w:tcBorders>
              <w:top w:val="nil"/>
              <w:left w:val="nil"/>
              <w:bottom w:val="nil"/>
              <w:right w:val="nil"/>
            </w:tcBorders>
            <w:shd w:val="clear" w:color="auto" w:fill="auto"/>
            <w:noWrap/>
            <w:vAlign w:val="bottom"/>
            <w:hideMark/>
          </w:tcPr>
          <w:p w14:paraId="3F12951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7" w:type="dxa"/>
            <w:tcBorders>
              <w:top w:val="nil"/>
              <w:left w:val="nil"/>
              <w:bottom w:val="nil"/>
              <w:right w:val="nil"/>
            </w:tcBorders>
            <w:shd w:val="clear" w:color="auto" w:fill="auto"/>
            <w:noWrap/>
            <w:vAlign w:val="bottom"/>
            <w:hideMark/>
          </w:tcPr>
          <w:p w14:paraId="46ED8E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54AD74FD" w14:textId="77777777" w:rsidTr="00ED0631">
        <w:trPr>
          <w:trHeight w:val="315"/>
        </w:trPr>
        <w:tc>
          <w:tcPr>
            <w:tcW w:w="1829" w:type="dxa"/>
            <w:tcBorders>
              <w:top w:val="nil"/>
              <w:left w:val="nil"/>
              <w:bottom w:val="nil"/>
              <w:right w:val="nil"/>
            </w:tcBorders>
            <w:shd w:val="clear" w:color="auto" w:fill="auto"/>
            <w:noWrap/>
            <w:vAlign w:val="bottom"/>
            <w:hideMark/>
          </w:tcPr>
          <w:p w14:paraId="30D864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74" w:type="dxa"/>
            <w:tcBorders>
              <w:top w:val="nil"/>
              <w:left w:val="nil"/>
              <w:bottom w:val="nil"/>
              <w:right w:val="nil"/>
            </w:tcBorders>
            <w:shd w:val="clear" w:color="auto" w:fill="auto"/>
            <w:noWrap/>
            <w:vAlign w:val="bottom"/>
            <w:hideMark/>
          </w:tcPr>
          <w:p w14:paraId="789D71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4B2139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7DC58DAF" w14:textId="77777777" w:rsidTr="00ED0631">
        <w:trPr>
          <w:trHeight w:val="315"/>
        </w:trPr>
        <w:tc>
          <w:tcPr>
            <w:tcW w:w="1829" w:type="dxa"/>
            <w:tcBorders>
              <w:top w:val="nil"/>
              <w:left w:val="nil"/>
              <w:bottom w:val="nil"/>
              <w:right w:val="nil"/>
            </w:tcBorders>
            <w:shd w:val="clear" w:color="auto" w:fill="auto"/>
            <w:noWrap/>
            <w:vAlign w:val="bottom"/>
            <w:hideMark/>
          </w:tcPr>
          <w:p w14:paraId="1D6DE6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74" w:type="dxa"/>
            <w:tcBorders>
              <w:top w:val="nil"/>
              <w:left w:val="nil"/>
              <w:bottom w:val="nil"/>
              <w:right w:val="nil"/>
            </w:tcBorders>
            <w:shd w:val="clear" w:color="auto" w:fill="auto"/>
            <w:noWrap/>
            <w:vAlign w:val="bottom"/>
            <w:hideMark/>
          </w:tcPr>
          <w:p w14:paraId="1C1E65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5524BF2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00FE6ED" w14:textId="77777777" w:rsidTr="00ED0631">
        <w:trPr>
          <w:trHeight w:val="315"/>
        </w:trPr>
        <w:tc>
          <w:tcPr>
            <w:tcW w:w="1829" w:type="dxa"/>
            <w:tcBorders>
              <w:top w:val="nil"/>
              <w:left w:val="nil"/>
              <w:bottom w:val="nil"/>
              <w:right w:val="nil"/>
            </w:tcBorders>
            <w:shd w:val="clear" w:color="auto" w:fill="auto"/>
            <w:noWrap/>
            <w:vAlign w:val="bottom"/>
            <w:hideMark/>
          </w:tcPr>
          <w:p w14:paraId="1ED968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74" w:type="dxa"/>
            <w:tcBorders>
              <w:top w:val="nil"/>
              <w:left w:val="nil"/>
              <w:bottom w:val="nil"/>
              <w:right w:val="nil"/>
            </w:tcBorders>
            <w:shd w:val="clear" w:color="auto" w:fill="auto"/>
            <w:noWrap/>
            <w:vAlign w:val="bottom"/>
            <w:hideMark/>
          </w:tcPr>
          <w:p w14:paraId="159C7E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2FBD667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55AC83CD" w14:textId="77777777" w:rsidTr="00ED0631">
        <w:trPr>
          <w:trHeight w:val="315"/>
        </w:trPr>
        <w:tc>
          <w:tcPr>
            <w:tcW w:w="1829" w:type="dxa"/>
            <w:tcBorders>
              <w:top w:val="nil"/>
              <w:left w:val="nil"/>
              <w:bottom w:val="nil"/>
              <w:right w:val="nil"/>
            </w:tcBorders>
            <w:shd w:val="clear" w:color="auto" w:fill="auto"/>
            <w:noWrap/>
            <w:vAlign w:val="bottom"/>
            <w:hideMark/>
          </w:tcPr>
          <w:p w14:paraId="4D1ADE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74" w:type="dxa"/>
            <w:tcBorders>
              <w:top w:val="nil"/>
              <w:left w:val="nil"/>
              <w:bottom w:val="nil"/>
              <w:right w:val="nil"/>
            </w:tcBorders>
            <w:shd w:val="clear" w:color="auto" w:fill="auto"/>
            <w:noWrap/>
            <w:vAlign w:val="bottom"/>
            <w:hideMark/>
          </w:tcPr>
          <w:p w14:paraId="1AE31E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161599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143D628E" w14:textId="77777777" w:rsidTr="00ED0631">
        <w:trPr>
          <w:trHeight w:val="315"/>
        </w:trPr>
        <w:tc>
          <w:tcPr>
            <w:tcW w:w="1829" w:type="dxa"/>
            <w:tcBorders>
              <w:top w:val="nil"/>
              <w:left w:val="nil"/>
              <w:bottom w:val="nil"/>
              <w:right w:val="nil"/>
            </w:tcBorders>
            <w:shd w:val="clear" w:color="auto" w:fill="auto"/>
            <w:noWrap/>
            <w:vAlign w:val="bottom"/>
            <w:hideMark/>
          </w:tcPr>
          <w:p w14:paraId="564944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74" w:type="dxa"/>
            <w:tcBorders>
              <w:top w:val="nil"/>
              <w:left w:val="nil"/>
              <w:bottom w:val="nil"/>
              <w:right w:val="nil"/>
            </w:tcBorders>
            <w:shd w:val="clear" w:color="auto" w:fill="auto"/>
            <w:noWrap/>
            <w:vAlign w:val="bottom"/>
            <w:hideMark/>
          </w:tcPr>
          <w:p w14:paraId="53C4E5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43A7B7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68C6685" w14:textId="77777777" w:rsidTr="00ED0631">
        <w:trPr>
          <w:trHeight w:val="315"/>
        </w:trPr>
        <w:tc>
          <w:tcPr>
            <w:tcW w:w="1829" w:type="dxa"/>
            <w:tcBorders>
              <w:top w:val="nil"/>
              <w:left w:val="nil"/>
              <w:bottom w:val="nil"/>
              <w:right w:val="nil"/>
            </w:tcBorders>
            <w:shd w:val="clear" w:color="auto" w:fill="auto"/>
            <w:noWrap/>
            <w:vAlign w:val="bottom"/>
            <w:hideMark/>
          </w:tcPr>
          <w:p w14:paraId="11FA8F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74" w:type="dxa"/>
            <w:tcBorders>
              <w:top w:val="nil"/>
              <w:left w:val="nil"/>
              <w:bottom w:val="nil"/>
              <w:right w:val="nil"/>
            </w:tcBorders>
            <w:shd w:val="clear" w:color="auto" w:fill="auto"/>
            <w:noWrap/>
            <w:vAlign w:val="bottom"/>
            <w:hideMark/>
          </w:tcPr>
          <w:p w14:paraId="546941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650908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6E28420C" w14:textId="77777777" w:rsidTr="00ED0631">
        <w:trPr>
          <w:trHeight w:val="315"/>
        </w:trPr>
        <w:tc>
          <w:tcPr>
            <w:tcW w:w="1829" w:type="dxa"/>
            <w:tcBorders>
              <w:top w:val="nil"/>
              <w:left w:val="nil"/>
              <w:bottom w:val="nil"/>
              <w:right w:val="nil"/>
            </w:tcBorders>
            <w:shd w:val="clear" w:color="auto" w:fill="auto"/>
            <w:noWrap/>
            <w:vAlign w:val="bottom"/>
            <w:hideMark/>
          </w:tcPr>
          <w:p w14:paraId="7345B5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74" w:type="dxa"/>
            <w:tcBorders>
              <w:top w:val="nil"/>
              <w:left w:val="nil"/>
              <w:bottom w:val="nil"/>
              <w:right w:val="nil"/>
            </w:tcBorders>
            <w:shd w:val="clear" w:color="auto" w:fill="auto"/>
            <w:noWrap/>
            <w:vAlign w:val="bottom"/>
            <w:hideMark/>
          </w:tcPr>
          <w:p w14:paraId="545326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14F74B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02CAEDF0" w14:textId="77777777" w:rsidTr="00ED0631">
        <w:trPr>
          <w:trHeight w:val="315"/>
        </w:trPr>
        <w:tc>
          <w:tcPr>
            <w:tcW w:w="1829" w:type="dxa"/>
            <w:tcBorders>
              <w:top w:val="nil"/>
              <w:left w:val="nil"/>
              <w:bottom w:val="nil"/>
              <w:right w:val="nil"/>
            </w:tcBorders>
            <w:shd w:val="clear" w:color="auto" w:fill="auto"/>
            <w:noWrap/>
            <w:vAlign w:val="bottom"/>
            <w:hideMark/>
          </w:tcPr>
          <w:p w14:paraId="197AB1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74" w:type="dxa"/>
            <w:tcBorders>
              <w:top w:val="nil"/>
              <w:left w:val="nil"/>
              <w:bottom w:val="nil"/>
              <w:right w:val="nil"/>
            </w:tcBorders>
            <w:shd w:val="clear" w:color="auto" w:fill="auto"/>
            <w:noWrap/>
            <w:vAlign w:val="bottom"/>
            <w:hideMark/>
          </w:tcPr>
          <w:p w14:paraId="130138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37" w:type="dxa"/>
            <w:tcBorders>
              <w:top w:val="nil"/>
              <w:left w:val="nil"/>
              <w:bottom w:val="nil"/>
              <w:right w:val="nil"/>
            </w:tcBorders>
            <w:shd w:val="clear" w:color="auto" w:fill="auto"/>
            <w:noWrap/>
            <w:vAlign w:val="bottom"/>
            <w:hideMark/>
          </w:tcPr>
          <w:p w14:paraId="30CEA6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r>
      <w:tr w:rsidR="00AC362E" w:rsidRPr="00491EF1" w14:paraId="27CA570D"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3E16C9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74" w:type="dxa"/>
            <w:tcBorders>
              <w:top w:val="single" w:sz="4" w:space="0" w:color="auto"/>
              <w:left w:val="nil"/>
              <w:bottom w:val="single" w:sz="4" w:space="0" w:color="auto"/>
              <w:right w:val="nil"/>
            </w:tcBorders>
            <w:shd w:val="clear" w:color="auto" w:fill="auto"/>
            <w:noWrap/>
            <w:vAlign w:val="bottom"/>
            <w:hideMark/>
          </w:tcPr>
          <w:p w14:paraId="0B4BB7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 </w:t>
            </w:r>
          </w:p>
        </w:tc>
        <w:tc>
          <w:tcPr>
            <w:tcW w:w="1037" w:type="dxa"/>
            <w:tcBorders>
              <w:top w:val="single" w:sz="4" w:space="0" w:color="auto"/>
              <w:left w:val="nil"/>
              <w:bottom w:val="single" w:sz="4" w:space="0" w:color="auto"/>
              <w:right w:val="nil"/>
            </w:tcBorders>
            <w:shd w:val="clear" w:color="auto" w:fill="auto"/>
            <w:noWrap/>
            <w:vAlign w:val="bottom"/>
            <w:hideMark/>
          </w:tcPr>
          <w:p w14:paraId="72D31B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 </w:t>
            </w:r>
          </w:p>
        </w:tc>
      </w:tr>
    </w:tbl>
    <w:p w14:paraId="187A42B3"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255D909D"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 xml:space="preserve">Table 14: Primary school leaders rating of the new curriculum by island category-interested </w:t>
      </w:r>
    </w:p>
    <w:tbl>
      <w:tblPr>
        <w:tblW w:w="4520" w:type="dxa"/>
        <w:tblInd w:w="93" w:type="dxa"/>
        <w:tblLook w:val="04A0" w:firstRow="1" w:lastRow="0" w:firstColumn="1" w:lastColumn="0" w:noHBand="0" w:noVBand="1"/>
      </w:tblPr>
      <w:tblGrid>
        <w:gridCol w:w="1469"/>
        <w:gridCol w:w="1765"/>
        <w:gridCol w:w="1286"/>
      </w:tblGrid>
      <w:tr w:rsidR="00AC362E" w:rsidRPr="00491EF1" w14:paraId="3A12FF59"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1181AABC"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Interested </w:t>
            </w:r>
          </w:p>
        </w:tc>
        <w:tc>
          <w:tcPr>
            <w:tcW w:w="1765" w:type="dxa"/>
            <w:tcBorders>
              <w:top w:val="single" w:sz="4" w:space="0" w:color="auto"/>
              <w:left w:val="nil"/>
              <w:bottom w:val="single" w:sz="4" w:space="0" w:color="auto"/>
              <w:right w:val="nil"/>
            </w:tcBorders>
            <w:shd w:val="clear" w:color="auto" w:fill="auto"/>
            <w:noWrap/>
            <w:vAlign w:val="bottom"/>
            <w:hideMark/>
          </w:tcPr>
          <w:p w14:paraId="367F9D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86" w:type="dxa"/>
            <w:tcBorders>
              <w:top w:val="single" w:sz="4" w:space="0" w:color="auto"/>
              <w:left w:val="nil"/>
              <w:bottom w:val="single" w:sz="4" w:space="0" w:color="auto"/>
              <w:right w:val="nil"/>
            </w:tcBorders>
            <w:shd w:val="clear" w:color="auto" w:fill="auto"/>
            <w:noWrap/>
            <w:vAlign w:val="bottom"/>
            <w:hideMark/>
          </w:tcPr>
          <w:p w14:paraId="58CFE1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14236C17" w14:textId="77777777" w:rsidTr="00ED0631">
        <w:trPr>
          <w:trHeight w:val="315"/>
        </w:trPr>
        <w:tc>
          <w:tcPr>
            <w:tcW w:w="1469" w:type="dxa"/>
            <w:tcBorders>
              <w:top w:val="nil"/>
              <w:left w:val="nil"/>
              <w:bottom w:val="nil"/>
              <w:right w:val="nil"/>
            </w:tcBorders>
            <w:shd w:val="clear" w:color="auto" w:fill="auto"/>
            <w:noWrap/>
            <w:vAlign w:val="bottom"/>
            <w:hideMark/>
          </w:tcPr>
          <w:p w14:paraId="05DAD9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65" w:type="dxa"/>
            <w:tcBorders>
              <w:top w:val="nil"/>
              <w:left w:val="nil"/>
              <w:bottom w:val="nil"/>
              <w:right w:val="nil"/>
            </w:tcBorders>
            <w:shd w:val="clear" w:color="auto" w:fill="auto"/>
            <w:noWrap/>
            <w:vAlign w:val="bottom"/>
            <w:hideMark/>
          </w:tcPr>
          <w:p w14:paraId="37CFC6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286" w:type="dxa"/>
            <w:tcBorders>
              <w:top w:val="nil"/>
              <w:left w:val="nil"/>
              <w:bottom w:val="nil"/>
              <w:right w:val="nil"/>
            </w:tcBorders>
            <w:shd w:val="clear" w:color="auto" w:fill="auto"/>
            <w:noWrap/>
            <w:vAlign w:val="bottom"/>
            <w:hideMark/>
          </w:tcPr>
          <w:p w14:paraId="38EDC1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r>
      <w:tr w:rsidR="00AC362E" w:rsidRPr="00491EF1" w14:paraId="091377B7" w14:textId="77777777" w:rsidTr="00ED0631">
        <w:trPr>
          <w:trHeight w:val="315"/>
        </w:trPr>
        <w:tc>
          <w:tcPr>
            <w:tcW w:w="1469" w:type="dxa"/>
            <w:tcBorders>
              <w:top w:val="nil"/>
              <w:left w:val="nil"/>
              <w:bottom w:val="nil"/>
              <w:right w:val="nil"/>
            </w:tcBorders>
            <w:shd w:val="clear" w:color="auto" w:fill="auto"/>
            <w:noWrap/>
            <w:vAlign w:val="bottom"/>
            <w:hideMark/>
          </w:tcPr>
          <w:p w14:paraId="2DF665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65" w:type="dxa"/>
            <w:tcBorders>
              <w:top w:val="nil"/>
              <w:left w:val="nil"/>
              <w:bottom w:val="nil"/>
              <w:right w:val="nil"/>
            </w:tcBorders>
            <w:shd w:val="clear" w:color="auto" w:fill="auto"/>
            <w:noWrap/>
            <w:vAlign w:val="bottom"/>
            <w:hideMark/>
          </w:tcPr>
          <w:p w14:paraId="60AF33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86" w:type="dxa"/>
            <w:tcBorders>
              <w:top w:val="nil"/>
              <w:left w:val="nil"/>
              <w:bottom w:val="nil"/>
              <w:right w:val="nil"/>
            </w:tcBorders>
            <w:shd w:val="clear" w:color="auto" w:fill="auto"/>
            <w:noWrap/>
            <w:vAlign w:val="bottom"/>
            <w:hideMark/>
          </w:tcPr>
          <w:p w14:paraId="3C46F4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042568BB" w14:textId="77777777" w:rsidTr="00ED0631">
        <w:trPr>
          <w:trHeight w:val="315"/>
        </w:trPr>
        <w:tc>
          <w:tcPr>
            <w:tcW w:w="1469" w:type="dxa"/>
            <w:tcBorders>
              <w:top w:val="nil"/>
              <w:left w:val="nil"/>
              <w:bottom w:val="nil"/>
              <w:right w:val="nil"/>
            </w:tcBorders>
            <w:shd w:val="clear" w:color="auto" w:fill="auto"/>
            <w:noWrap/>
            <w:vAlign w:val="bottom"/>
            <w:hideMark/>
          </w:tcPr>
          <w:p w14:paraId="4AE44E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65" w:type="dxa"/>
            <w:tcBorders>
              <w:top w:val="nil"/>
              <w:left w:val="nil"/>
              <w:bottom w:val="nil"/>
              <w:right w:val="nil"/>
            </w:tcBorders>
            <w:shd w:val="clear" w:color="auto" w:fill="auto"/>
            <w:noWrap/>
            <w:vAlign w:val="bottom"/>
            <w:hideMark/>
          </w:tcPr>
          <w:p w14:paraId="33A510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86" w:type="dxa"/>
            <w:tcBorders>
              <w:top w:val="nil"/>
              <w:left w:val="nil"/>
              <w:bottom w:val="nil"/>
              <w:right w:val="nil"/>
            </w:tcBorders>
            <w:shd w:val="clear" w:color="auto" w:fill="auto"/>
            <w:noWrap/>
            <w:vAlign w:val="bottom"/>
            <w:hideMark/>
          </w:tcPr>
          <w:p w14:paraId="5E692E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02131D59"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2A2F7C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65" w:type="dxa"/>
            <w:tcBorders>
              <w:top w:val="single" w:sz="4" w:space="0" w:color="auto"/>
              <w:left w:val="nil"/>
              <w:bottom w:val="single" w:sz="4" w:space="0" w:color="auto"/>
              <w:right w:val="nil"/>
            </w:tcBorders>
            <w:shd w:val="clear" w:color="auto" w:fill="auto"/>
            <w:noWrap/>
            <w:vAlign w:val="bottom"/>
            <w:hideMark/>
          </w:tcPr>
          <w:p w14:paraId="7AC6B3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 </w:t>
            </w:r>
          </w:p>
        </w:tc>
        <w:tc>
          <w:tcPr>
            <w:tcW w:w="1286" w:type="dxa"/>
            <w:tcBorders>
              <w:top w:val="single" w:sz="4" w:space="0" w:color="auto"/>
              <w:left w:val="nil"/>
              <w:bottom w:val="single" w:sz="4" w:space="0" w:color="auto"/>
              <w:right w:val="nil"/>
            </w:tcBorders>
            <w:shd w:val="clear" w:color="auto" w:fill="auto"/>
            <w:noWrap/>
            <w:vAlign w:val="bottom"/>
            <w:hideMark/>
          </w:tcPr>
          <w:p w14:paraId="33DB60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r>
    </w:tbl>
    <w:p w14:paraId="32598DF0"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15: Primary school leaders rating of the new curriculum by island-boys and girls</w:t>
      </w:r>
    </w:p>
    <w:tbl>
      <w:tblPr>
        <w:tblW w:w="4540" w:type="dxa"/>
        <w:tblInd w:w="93" w:type="dxa"/>
        <w:tblLook w:val="04A0" w:firstRow="1" w:lastRow="0" w:firstColumn="1" w:lastColumn="0" w:noHBand="0" w:noVBand="1"/>
      </w:tblPr>
      <w:tblGrid>
        <w:gridCol w:w="1829"/>
        <w:gridCol w:w="1674"/>
        <w:gridCol w:w="1037"/>
      </w:tblGrid>
      <w:tr w:rsidR="00AC362E" w:rsidRPr="00491EF1" w14:paraId="7E80C024"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30A70948"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Boys / Girls</w:t>
            </w:r>
          </w:p>
        </w:tc>
        <w:tc>
          <w:tcPr>
            <w:tcW w:w="1674" w:type="dxa"/>
            <w:tcBorders>
              <w:top w:val="single" w:sz="4" w:space="0" w:color="auto"/>
              <w:left w:val="nil"/>
              <w:bottom w:val="single" w:sz="4" w:space="0" w:color="auto"/>
              <w:right w:val="nil"/>
            </w:tcBorders>
            <w:shd w:val="clear" w:color="auto" w:fill="auto"/>
            <w:noWrap/>
            <w:vAlign w:val="bottom"/>
            <w:hideMark/>
          </w:tcPr>
          <w:p w14:paraId="131BD8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37" w:type="dxa"/>
            <w:tcBorders>
              <w:top w:val="single" w:sz="4" w:space="0" w:color="auto"/>
              <w:left w:val="nil"/>
              <w:bottom w:val="single" w:sz="4" w:space="0" w:color="auto"/>
              <w:right w:val="nil"/>
            </w:tcBorders>
            <w:shd w:val="clear" w:color="auto" w:fill="auto"/>
            <w:noWrap/>
            <w:vAlign w:val="bottom"/>
            <w:hideMark/>
          </w:tcPr>
          <w:p w14:paraId="2E4DEC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3181D72B" w14:textId="77777777" w:rsidTr="00ED0631">
        <w:trPr>
          <w:trHeight w:val="315"/>
        </w:trPr>
        <w:tc>
          <w:tcPr>
            <w:tcW w:w="1829" w:type="dxa"/>
            <w:tcBorders>
              <w:top w:val="nil"/>
              <w:left w:val="nil"/>
              <w:bottom w:val="nil"/>
              <w:right w:val="nil"/>
            </w:tcBorders>
            <w:shd w:val="clear" w:color="auto" w:fill="auto"/>
            <w:noWrap/>
            <w:vAlign w:val="bottom"/>
            <w:hideMark/>
          </w:tcPr>
          <w:p w14:paraId="2C5813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74" w:type="dxa"/>
            <w:tcBorders>
              <w:top w:val="nil"/>
              <w:left w:val="nil"/>
              <w:bottom w:val="nil"/>
              <w:right w:val="nil"/>
            </w:tcBorders>
            <w:shd w:val="clear" w:color="auto" w:fill="auto"/>
            <w:noWrap/>
            <w:vAlign w:val="bottom"/>
            <w:hideMark/>
          </w:tcPr>
          <w:p w14:paraId="4A030AB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7" w:type="dxa"/>
            <w:tcBorders>
              <w:top w:val="nil"/>
              <w:left w:val="nil"/>
              <w:bottom w:val="nil"/>
              <w:right w:val="nil"/>
            </w:tcBorders>
            <w:shd w:val="clear" w:color="auto" w:fill="auto"/>
            <w:noWrap/>
            <w:vAlign w:val="bottom"/>
            <w:hideMark/>
          </w:tcPr>
          <w:p w14:paraId="71BE6D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24D3BB5B" w14:textId="77777777" w:rsidTr="00ED0631">
        <w:trPr>
          <w:trHeight w:val="315"/>
        </w:trPr>
        <w:tc>
          <w:tcPr>
            <w:tcW w:w="1829" w:type="dxa"/>
            <w:tcBorders>
              <w:top w:val="nil"/>
              <w:left w:val="nil"/>
              <w:bottom w:val="nil"/>
              <w:right w:val="nil"/>
            </w:tcBorders>
            <w:shd w:val="clear" w:color="auto" w:fill="auto"/>
            <w:noWrap/>
            <w:vAlign w:val="bottom"/>
            <w:hideMark/>
          </w:tcPr>
          <w:p w14:paraId="5D2860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74" w:type="dxa"/>
            <w:tcBorders>
              <w:top w:val="nil"/>
              <w:left w:val="nil"/>
              <w:bottom w:val="nil"/>
              <w:right w:val="nil"/>
            </w:tcBorders>
            <w:shd w:val="clear" w:color="auto" w:fill="auto"/>
            <w:noWrap/>
            <w:vAlign w:val="bottom"/>
            <w:hideMark/>
          </w:tcPr>
          <w:p w14:paraId="7103D9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3BAE32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127A72C3" w14:textId="77777777" w:rsidTr="00ED0631">
        <w:trPr>
          <w:trHeight w:val="315"/>
        </w:trPr>
        <w:tc>
          <w:tcPr>
            <w:tcW w:w="1829" w:type="dxa"/>
            <w:tcBorders>
              <w:top w:val="nil"/>
              <w:left w:val="nil"/>
              <w:bottom w:val="nil"/>
              <w:right w:val="nil"/>
            </w:tcBorders>
            <w:shd w:val="clear" w:color="auto" w:fill="auto"/>
            <w:noWrap/>
            <w:vAlign w:val="bottom"/>
            <w:hideMark/>
          </w:tcPr>
          <w:p w14:paraId="69C752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74" w:type="dxa"/>
            <w:tcBorders>
              <w:top w:val="nil"/>
              <w:left w:val="nil"/>
              <w:bottom w:val="nil"/>
              <w:right w:val="nil"/>
            </w:tcBorders>
            <w:shd w:val="clear" w:color="auto" w:fill="auto"/>
            <w:noWrap/>
            <w:vAlign w:val="bottom"/>
            <w:hideMark/>
          </w:tcPr>
          <w:p w14:paraId="1EBA73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71F9AD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0E476E22" w14:textId="77777777" w:rsidTr="00ED0631">
        <w:trPr>
          <w:trHeight w:val="315"/>
        </w:trPr>
        <w:tc>
          <w:tcPr>
            <w:tcW w:w="1829" w:type="dxa"/>
            <w:tcBorders>
              <w:top w:val="nil"/>
              <w:left w:val="nil"/>
              <w:bottom w:val="nil"/>
              <w:right w:val="nil"/>
            </w:tcBorders>
            <w:shd w:val="clear" w:color="auto" w:fill="auto"/>
            <w:noWrap/>
            <w:vAlign w:val="bottom"/>
            <w:hideMark/>
          </w:tcPr>
          <w:p w14:paraId="7E916C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74" w:type="dxa"/>
            <w:tcBorders>
              <w:top w:val="nil"/>
              <w:left w:val="nil"/>
              <w:bottom w:val="nil"/>
              <w:right w:val="nil"/>
            </w:tcBorders>
            <w:shd w:val="clear" w:color="auto" w:fill="auto"/>
            <w:noWrap/>
            <w:vAlign w:val="bottom"/>
            <w:hideMark/>
          </w:tcPr>
          <w:p w14:paraId="2BF08D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466AE7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65AD0468" w14:textId="77777777" w:rsidTr="00ED0631">
        <w:trPr>
          <w:trHeight w:val="315"/>
        </w:trPr>
        <w:tc>
          <w:tcPr>
            <w:tcW w:w="1829" w:type="dxa"/>
            <w:tcBorders>
              <w:top w:val="nil"/>
              <w:left w:val="nil"/>
              <w:bottom w:val="nil"/>
              <w:right w:val="nil"/>
            </w:tcBorders>
            <w:shd w:val="clear" w:color="auto" w:fill="auto"/>
            <w:noWrap/>
            <w:vAlign w:val="bottom"/>
            <w:hideMark/>
          </w:tcPr>
          <w:p w14:paraId="6558D9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74" w:type="dxa"/>
            <w:tcBorders>
              <w:top w:val="nil"/>
              <w:left w:val="nil"/>
              <w:bottom w:val="nil"/>
              <w:right w:val="nil"/>
            </w:tcBorders>
            <w:shd w:val="clear" w:color="auto" w:fill="auto"/>
            <w:noWrap/>
            <w:vAlign w:val="bottom"/>
            <w:hideMark/>
          </w:tcPr>
          <w:p w14:paraId="1C974B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732821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03DB3A0F" w14:textId="77777777" w:rsidTr="00ED0631">
        <w:trPr>
          <w:trHeight w:val="315"/>
        </w:trPr>
        <w:tc>
          <w:tcPr>
            <w:tcW w:w="1829" w:type="dxa"/>
            <w:tcBorders>
              <w:top w:val="nil"/>
              <w:left w:val="nil"/>
              <w:bottom w:val="nil"/>
              <w:right w:val="nil"/>
            </w:tcBorders>
            <w:shd w:val="clear" w:color="auto" w:fill="auto"/>
            <w:noWrap/>
            <w:vAlign w:val="bottom"/>
            <w:hideMark/>
          </w:tcPr>
          <w:p w14:paraId="398F02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74" w:type="dxa"/>
            <w:tcBorders>
              <w:top w:val="nil"/>
              <w:left w:val="nil"/>
              <w:bottom w:val="nil"/>
              <w:right w:val="nil"/>
            </w:tcBorders>
            <w:shd w:val="clear" w:color="auto" w:fill="auto"/>
            <w:noWrap/>
            <w:vAlign w:val="bottom"/>
            <w:hideMark/>
          </w:tcPr>
          <w:p w14:paraId="3E6AE6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261EBA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6ADFEA75" w14:textId="77777777" w:rsidTr="00ED0631">
        <w:trPr>
          <w:trHeight w:val="315"/>
        </w:trPr>
        <w:tc>
          <w:tcPr>
            <w:tcW w:w="1829" w:type="dxa"/>
            <w:tcBorders>
              <w:top w:val="nil"/>
              <w:left w:val="nil"/>
              <w:bottom w:val="nil"/>
              <w:right w:val="nil"/>
            </w:tcBorders>
            <w:shd w:val="clear" w:color="auto" w:fill="auto"/>
            <w:noWrap/>
            <w:vAlign w:val="bottom"/>
            <w:hideMark/>
          </w:tcPr>
          <w:p w14:paraId="0C4F16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74" w:type="dxa"/>
            <w:tcBorders>
              <w:top w:val="nil"/>
              <w:left w:val="nil"/>
              <w:bottom w:val="nil"/>
              <w:right w:val="nil"/>
            </w:tcBorders>
            <w:shd w:val="clear" w:color="auto" w:fill="auto"/>
            <w:noWrap/>
            <w:vAlign w:val="bottom"/>
            <w:hideMark/>
          </w:tcPr>
          <w:p w14:paraId="510C2C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5B0BB3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72AD2434" w14:textId="77777777" w:rsidTr="00ED0631">
        <w:trPr>
          <w:trHeight w:val="315"/>
        </w:trPr>
        <w:tc>
          <w:tcPr>
            <w:tcW w:w="1829" w:type="dxa"/>
            <w:tcBorders>
              <w:top w:val="nil"/>
              <w:left w:val="nil"/>
              <w:bottom w:val="nil"/>
              <w:right w:val="nil"/>
            </w:tcBorders>
            <w:shd w:val="clear" w:color="auto" w:fill="auto"/>
            <w:noWrap/>
            <w:vAlign w:val="bottom"/>
            <w:hideMark/>
          </w:tcPr>
          <w:p w14:paraId="2B327F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74" w:type="dxa"/>
            <w:tcBorders>
              <w:top w:val="nil"/>
              <w:left w:val="nil"/>
              <w:bottom w:val="nil"/>
              <w:right w:val="nil"/>
            </w:tcBorders>
            <w:shd w:val="clear" w:color="auto" w:fill="auto"/>
            <w:noWrap/>
            <w:vAlign w:val="bottom"/>
            <w:hideMark/>
          </w:tcPr>
          <w:p w14:paraId="4B4B27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1D2A167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3F2C5CF8" w14:textId="77777777" w:rsidTr="00ED0631">
        <w:trPr>
          <w:trHeight w:val="315"/>
        </w:trPr>
        <w:tc>
          <w:tcPr>
            <w:tcW w:w="1829" w:type="dxa"/>
            <w:tcBorders>
              <w:top w:val="nil"/>
              <w:left w:val="nil"/>
              <w:bottom w:val="nil"/>
              <w:right w:val="nil"/>
            </w:tcBorders>
            <w:shd w:val="clear" w:color="auto" w:fill="auto"/>
            <w:noWrap/>
            <w:vAlign w:val="bottom"/>
            <w:hideMark/>
          </w:tcPr>
          <w:p w14:paraId="7752CF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74" w:type="dxa"/>
            <w:tcBorders>
              <w:top w:val="nil"/>
              <w:left w:val="nil"/>
              <w:bottom w:val="nil"/>
              <w:right w:val="nil"/>
            </w:tcBorders>
            <w:shd w:val="clear" w:color="auto" w:fill="auto"/>
            <w:noWrap/>
            <w:vAlign w:val="bottom"/>
            <w:hideMark/>
          </w:tcPr>
          <w:p w14:paraId="3EF268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37" w:type="dxa"/>
            <w:tcBorders>
              <w:top w:val="nil"/>
              <w:left w:val="nil"/>
              <w:bottom w:val="nil"/>
              <w:right w:val="nil"/>
            </w:tcBorders>
            <w:shd w:val="clear" w:color="auto" w:fill="auto"/>
            <w:noWrap/>
            <w:vAlign w:val="bottom"/>
            <w:hideMark/>
          </w:tcPr>
          <w:p w14:paraId="7492CF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r>
      <w:tr w:rsidR="00AC362E" w:rsidRPr="00491EF1" w14:paraId="37E6F29B"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23F75D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74" w:type="dxa"/>
            <w:tcBorders>
              <w:top w:val="single" w:sz="4" w:space="0" w:color="auto"/>
              <w:left w:val="nil"/>
              <w:bottom w:val="single" w:sz="4" w:space="0" w:color="auto"/>
              <w:right w:val="nil"/>
            </w:tcBorders>
            <w:shd w:val="clear" w:color="auto" w:fill="auto"/>
            <w:noWrap/>
            <w:vAlign w:val="bottom"/>
            <w:hideMark/>
          </w:tcPr>
          <w:p w14:paraId="63DC14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 </w:t>
            </w:r>
          </w:p>
        </w:tc>
        <w:tc>
          <w:tcPr>
            <w:tcW w:w="1037" w:type="dxa"/>
            <w:tcBorders>
              <w:top w:val="single" w:sz="4" w:space="0" w:color="auto"/>
              <w:left w:val="nil"/>
              <w:bottom w:val="single" w:sz="4" w:space="0" w:color="auto"/>
              <w:right w:val="nil"/>
            </w:tcBorders>
            <w:shd w:val="clear" w:color="auto" w:fill="auto"/>
            <w:noWrap/>
            <w:vAlign w:val="bottom"/>
            <w:hideMark/>
          </w:tcPr>
          <w:p w14:paraId="0D0C9C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 </w:t>
            </w:r>
          </w:p>
        </w:tc>
      </w:tr>
    </w:tbl>
    <w:p w14:paraId="31F5F143"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16: Primary school leaders rating of the new curriculum by island category-boys and girls </w:t>
      </w:r>
    </w:p>
    <w:tbl>
      <w:tblPr>
        <w:tblW w:w="4520" w:type="dxa"/>
        <w:tblInd w:w="93" w:type="dxa"/>
        <w:tblLook w:val="04A0" w:firstRow="1" w:lastRow="0" w:firstColumn="1" w:lastColumn="0" w:noHBand="0" w:noVBand="1"/>
      </w:tblPr>
      <w:tblGrid>
        <w:gridCol w:w="1469"/>
        <w:gridCol w:w="1765"/>
        <w:gridCol w:w="1286"/>
      </w:tblGrid>
      <w:tr w:rsidR="00AC362E" w:rsidRPr="00491EF1" w14:paraId="57196241"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43355FB9"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Boys / Girls </w:t>
            </w:r>
          </w:p>
        </w:tc>
        <w:tc>
          <w:tcPr>
            <w:tcW w:w="1765" w:type="dxa"/>
            <w:tcBorders>
              <w:top w:val="single" w:sz="4" w:space="0" w:color="auto"/>
              <w:left w:val="nil"/>
              <w:bottom w:val="single" w:sz="4" w:space="0" w:color="auto"/>
              <w:right w:val="nil"/>
            </w:tcBorders>
            <w:shd w:val="clear" w:color="auto" w:fill="auto"/>
            <w:noWrap/>
            <w:vAlign w:val="bottom"/>
            <w:hideMark/>
          </w:tcPr>
          <w:p w14:paraId="71A601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86" w:type="dxa"/>
            <w:tcBorders>
              <w:top w:val="single" w:sz="4" w:space="0" w:color="auto"/>
              <w:left w:val="nil"/>
              <w:bottom w:val="single" w:sz="4" w:space="0" w:color="auto"/>
              <w:right w:val="nil"/>
            </w:tcBorders>
            <w:shd w:val="clear" w:color="auto" w:fill="auto"/>
            <w:noWrap/>
            <w:vAlign w:val="bottom"/>
            <w:hideMark/>
          </w:tcPr>
          <w:p w14:paraId="0894FF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7EFB4518" w14:textId="77777777" w:rsidTr="00ED0631">
        <w:trPr>
          <w:trHeight w:val="315"/>
        </w:trPr>
        <w:tc>
          <w:tcPr>
            <w:tcW w:w="1469" w:type="dxa"/>
            <w:tcBorders>
              <w:top w:val="nil"/>
              <w:left w:val="nil"/>
              <w:bottom w:val="nil"/>
              <w:right w:val="nil"/>
            </w:tcBorders>
            <w:shd w:val="clear" w:color="auto" w:fill="auto"/>
            <w:noWrap/>
            <w:vAlign w:val="bottom"/>
            <w:hideMark/>
          </w:tcPr>
          <w:p w14:paraId="03DB32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65" w:type="dxa"/>
            <w:tcBorders>
              <w:top w:val="nil"/>
              <w:left w:val="nil"/>
              <w:bottom w:val="nil"/>
              <w:right w:val="nil"/>
            </w:tcBorders>
            <w:shd w:val="clear" w:color="auto" w:fill="auto"/>
            <w:noWrap/>
            <w:vAlign w:val="bottom"/>
            <w:hideMark/>
          </w:tcPr>
          <w:p w14:paraId="0B249F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86" w:type="dxa"/>
            <w:tcBorders>
              <w:top w:val="nil"/>
              <w:left w:val="nil"/>
              <w:bottom w:val="nil"/>
              <w:right w:val="nil"/>
            </w:tcBorders>
            <w:shd w:val="clear" w:color="auto" w:fill="auto"/>
            <w:noWrap/>
            <w:vAlign w:val="bottom"/>
            <w:hideMark/>
          </w:tcPr>
          <w:p w14:paraId="170391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336749DC" w14:textId="77777777" w:rsidTr="00ED0631">
        <w:trPr>
          <w:trHeight w:val="315"/>
        </w:trPr>
        <w:tc>
          <w:tcPr>
            <w:tcW w:w="1469" w:type="dxa"/>
            <w:tcBorders>
              <w:top w:val="nil"/>
              <w:left w:val="nil"/>
              <w:bottom w:val="nil"/>
              <w:right w:val="nil"/>
            </w:tcBorders>
            <w:shd w:val="clear" w:color="auto" w:fill="auto"/>
            <w:noWrap/>
            <w:vAlign w:val="bottom"/>
            <w:hideMark/>
          </w:tcPr>
          <w:p w14:paraId="08969B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65" w:type="dxa"/>
            <w:tcBorders>
              <w:top w:val="nil"/>
              <w:left w:val="nil"/>
              <w:bottom w:val="nil"/>
              <w:right w:val="nil"/>
            </w:tcBorders>
            <w:shd w:val="clear" w:color="auto" w:fill="auto"/>
            <w:noWrap/>
            <w:vAlign w:val="bottom"/>
            <w:hideMark/>
          </w:tcPr>
          <w:p w14:paraId="14D6CD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86" w:type="dxa"/>
            <w:tcBorders>
              <w:top w:val="nil"/>
              <w:left w:val="nil"/>
              <w:bottom w:val="nil"/>
              <w:right w:val="nil"/>
            </w:tcBorders>
            <w:shd w:val="clear" w:color="auto" w:fill="auto"/>
            <w:noWrap/>
            <w:vAlign w:val="bottom"/>
            <w:hideMark/>
          </w:tcPr>
          <w:p w14:paraId="0F971E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2E1413EB" w14:textId="77777777" w:rsidTr="00ED0631">
        <w:trPr>
          <w:trHeight w:val="315"/>
        </w:trPr>
        <w:tc>
          <w:tcPr>
            <w:tcW w:w="1469" w:type="dxa"/>
            <w:tcBorders>
              <w:top w:val="nil"/>
              <w:left w:val="nil"/>
              <w:bottom w:val="single" w:sz="4" w:space="0" w:color="auto"/>
              <w:right w:val="nil"/>
            </w:tcBorders>
            <w:shd w:val="clear" w:color="auto" w:fill="auto"/>
            <w:noWrap/>
            <w:vAlign w:val="bottom"/>
            <w:hideMark/>
          </w:tcPr>
          <w:p w14:paraId="1C893E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65" w:type="dxa"/>
            <w:tcBorders>
              <w:top w:val="nil"/>
              <w:left w:val="nil"/>
              <w:bottom w:val="single" w:sz="4" w:space="0" w:color="auto"/>
              <w:right w:val="nil"/>
            </w:tcBorders>
            <w:shd w:val="clear" w:color="auto" w:fill="auto"/>
            <w:noWrap/>
            <w:vAlign w:val="bottom"/>
            <w:hideMark/>
          </w:tcPr>
          <w:p w14:paraId="5831D2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86" w:type="dxa"/>
            <w:tcBorders>
              <w:top w:val="nil"/>
              <w:left w:val="nil"/>
              <w:bottom w:val="single" w:sz="4" w:space="0" w:color="auto"/>
              <w:right w:val="nil"/>
            </w:tcBorders>
            <w:shd w:val="clear" w:color="auto" w:fill="auto"/>
            <w:noWrap/>
            <w:vAlign w:val="bottom"/>
            <w:hideMark/>
          </w:tcPr>
          <w:p w14:paraId="0A5D08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7AB34A3C"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534CDC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65" w:type="dxa"/>
            <w:tcBorders>
              <w:top w:val="single" w:sz="4" w:space="0" w:color="auto"/>
              <w:left w:val="nil"/>
              <w:bottom w:val="single" w:sz="4" w:space="0" w:color="auto"/>
              <w:right w:val="nil"/>
            </w:tcBorders>
            <w:shd w:val="clear" w:color="auto" w:fill="auto"/>
            <w:noWrap/>
            <w:vAlign w:val="bottom"/>
            <w:hideMark/>
          </w:tcPr>
          <w:p w14:paraId="46BC10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 </w:t>
            </w:r>
          </w:p>
        </w:tc>
        <w:tc>
          <w:tcPr>
            <w:tcW w:w="1286" w:type="dxa"/>
            <w:tcBorders>
              <w:top w:val="single" w:sz="4" w:space="0" w:color="auto"/>
              <w:left w:val="nil"/>
              <w:bottom w:val="single" w:sz="4" w:space="0" w:color="auto"/>
              <w:right w:val="nil"/>
            </w:tcBorders>
            <w:shd w:val="clear" w:color="auto" w:fill="auto"/>
            <w:noWrap/>
            <w:vAlign w:val="bottom"/>
            <w:hideMark/>
          </w:tcPr>
          <w:p w14:paraId="37DB7F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 </w:t>
            </w:r>
          </w:p>
        </w:tc>
      </w:tr>
    </w:tbl>
    <w:p w14:paraId="4B33EC5D"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21FF7C56"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17: Primary school leaders rating of the new curriculum by island-interested</w:t>
      </w:r>
    </w:p>
    <w:tbl>
      <w:tblPr>
        <w:tblW w:w="4540" w:type="dxa"/>
        <w:tblInd w:w="93" w:type="dxa"/>
        <w:tblLook w:val="04A0" w:firstRow="1" w:lastRow="0" w:firstColumn="1" w:lastColumn="0" w:noHBand="0" w:noVBand="1"/>
      </w:tblPr>
      <w:tblGrid>
        <w:gridCol w:w="1829"/>
        <w:gridCol w:w="1674"/>
        <w:gridCol w:w="1037"/>
      </w:tblGrid>
      <w:tr w:rsidR="00AC362E" w:rsidRPr="00491EF1" w14:paraId="7ECB7490"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6151ACD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Interested</w:t>
            </w:r>
          </w:p>
        </w:tc>
        <w:tc>
          <w:tcPr>
            <w:tcW w:w="1674" w:type="dxa"/>
            <w:tcBorders>
              <w:top w:val="single" w:sz="4" w:space="0" w:color="auto"/>
              <w:left w:val="nil"/>
              <w:bottom w:val="single" w:sz="4" w:space="0" w:color="auto"/>
              <w:right w:val="nil"/>
            </w:tcBorders>
            <w:shd w:val="clear" w:color="auto" w:fill="auto"/>
            <w:noWrap/>
            <w:vAlign w:val="bottom"/>
            <w:hideMark/>
          </w:tcPr>
          <w:p w14:paraId="15604D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37" w:type="dxa"/>
            <w:tcBorders>
              <w:top w:val="single" w:sz="4" w:space="0" w:color="auto"/>
              <w:left w:val="nil"/>
              <w:bottom w:val="single" w:sz="4" w:space="0" w:color="auto"/>
              <w:right w:val="nil"/>
            </w:tcBorders>
            <w:shd w:val="clear" w:color="auto" w:fill="auto"/>
            <w:noWrap/>
            <w:vAlign w:val="bottom"/>
            <w:hideMark/>
          </w:tcPr>
          <w:p w14:paraId="2A78FE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4CAA52E6" w14:textId="77777777" w:rsidTr="00ED0631">
        <w:trPr>
          <w:trHeight w:val="315"/>
        </w:trPr>
        <w:tc>
          <w:tcPr>
            <w:tcW w:w="1829" w:type="dxa"/>
            <w:tcBorders>
              <w:top w:val="nil"/>
              <w:left w:val="nil"/>
              <w:bottom w:val="nil"/>
              <w:right w:val="nil"/>
            </w:tcBorders>
            <w:shd w:val="clear" w:color="auto" w:fill="auto"/>
            <w:noWrap/>
            <w:vAlign w:val="bottom"/>
            <w:hideMark/>
          </w:tcPr>
          <w:p w14:paraId="5E43C1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74" w:type="dxa"/>
            <w:tcBorders>
              <w:top w:val="nil"/>
              <w:left w:val="nil"/>
              <w:bottom w:val="nil"/>
              <w:right w:val="nil"/>
            </w:tcBorders>
            <w:shd w:val="clear" w:color="auto" w:fill="auto"/>
            <w:noWrap/>
            <w:vAlign w:val="bottom"/>
            <w:hideMark/>
          </w:tcPr>
          <w:p w14:paraId="686C01D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7" w:type="dxa"/>
            <w:tcBorders>
              <w:top w:val="nil"/>
              <w:left w:val="nil"/>
              <w:bottom w:val="nil"/>
              <w:right w:val="nil"/>
            </w:tcBorders>
            <w:shd w:val="clear" w:color="auto" w:fill="auto"/>
            <w:noWrap/>
            <w:vAlign w:val="bottom"/>
            <w:hideMark/>
          </w:tcPr>
          <w:p w14:paraId="129080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6820A215" w14:textId="77777777" w:rsidTr="00ED0631">
        <w:trPr>
          <w:trHeight w:val="315"/>
        </w:trPr>
        <w:tc>
          <w:tcPr>
            <w:tcW w:w="1829" w:type="dxa"/>
            <w:tcBorders>
              <w:top w:val="nil"/>
              <w:left w:val="nil"/>
              <w:bottom w:val="nil"/>
              <w:right w:val="nil"/>
            </w:tcBorders>
            <w:shd w:val="clear" w:color="auto" w:fill="auto"/>
            <w:noWrap/>
            <w:vAlign w:val="bottom"/>
            <w:hideMark/>
          </w:tcPr>
          <w:p w14:paraId="3D3B29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74" w:type="dxa"/>
            <w:tcBorders>
              <w:top w:val="nil"/>
              <w:left w:val="nil"/>
              <w:bottom w:val="nil"/>
              <w:right w:val="nil"/>
            </w:tcBorders>
            <w:shd w:val="clear" w:color="auto" w:fill="auto"/>
            <w:noWrap/>
            <w:vAlign w:val="bottom"/>
            <w:hideMark/>
          </w:tcPr>
          <w:p w14:paraId="21AA8B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26B425F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3B118E77" w14:textId="77777777" w:rsidTr="00ED0631">
        <w:trPr>
          <w:trHeight w:val="315"/>
        </w:trPr>
        <w:tc>
          <w:tcPr>
            <w:tcW w:w="1829" w:type="dxa"/>
            <w:tcBorders>
              <w:top w:val="nil"/>
              <w:left w:val="nil"/>
              <w:bottom w:val="nil"/>
              <w:right w:val="nil"/>
            </w:tcBorders>
            <w:shd w:val="clear" w:color="auto" w:fill="auto"/>
            <w:noWrap/>
            <w:vAlign w:val="bottom"/>
            <w:hideMark/>
          </w:tcPr>
          <w:p w14:paraId="46F6F2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74" w:type="dxa"/>
            <w:tcBorders>
              <w:top w:val="nil"/>
              <w:left w:val="nil"/>
              <w:bottom w:val="nil"/>
              <w:right w:val="nil"/>
            </w:tcBorders>
            <w:shd w:val="clear" w:color="auto" w:fill="auto"/>
            <w:noWrap/>
            <w:vAlign w:val="bottom"/>
            <w:hideMark/>
          </w:tcPr>
          <w:p w14:paraId="0ABED7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5652A1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70AFFBA4" w14:textId="77777777" w:rsidTr="00ED0631">
        <w:trPr>
          <w:trHeight w:val="315"/>
        </w:trPr>
        <w:tc>
          <w:tcPr>
            <w:tcW w:w="1829" w:type="dxa"/>
            <w:tcBorders>
              <w:top w:val="nil"/>
              <w:left w:val="nil"/>
              <w:bottom w:val="nil"/>
              <w:right w:val="nil"/>
            </w:tcBorders>
            <w:shd w:val="clear" w:color="auto" w:fill="auto"/>
            <w:noWrap/>
            <w:vAlign w:val="bottom"/>
            <w:hideMark/>
          </w:tcPr>
          <w:p w14:paraId="2B9347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74" w:type="dxa"/>
            <w:tcBorders>
              <w:top w:val="nil"/>
              <w:left w:val="nil"/>
              <w:bottom w:val="nil"/>
              <w:right w:val="nil"/>
            </w:tcBorders>
            <w:shd w:val="clear" w:color="auto" w:fill="auto"/>
            <w:noWrap/>
            <w:vAlign w:val="bottom"/>
            <w:hideMark/>
          </w:tcPr>
          <w:p w14:paraId="4C2C70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5FF5B8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775AB057" w14:textId="77777777" w:rsidTr="00ED0631">
        <w:trPr>
          <w:trHeight w:val="315"/>
        </w:trPr>
        <w:tc>
          <w:tcPr>
            <w:tcW w:w="1829" w:type="dxa"/>
            <w:tcBorders>
              <w:top w:val="nil"/>
              <w:left w:val="nil"/>
              <w:bottom w:val="nil"/>
              <w:right w:val="nil"/>
            </w:tcBorders>
            <w:shd w:val="clear" w:color="auto" w:fill="auto"/>
            <w:noWrap/>
            <w:vAlign w:val="bottom"/>
            <w:hideMark/>
          </w:tcPr>
          <w:p w14:paraId="2A55B3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74" w:type="dxa"/>
            <w:tcBorders>
              <w:top w:val="nil"/>
              <w:left w:val="nil"/>
              <w:bottom w:val="nil"/>
              <w:right w:val="nil"/>
            </w:tcBorders>
            <w:shd w:val="clear" w:color="auto" w:fill="auto"/>
            <w:noWrap/>
            <w:vAlign w:val="bottom"/>
            <w:hideMark/>
          </w:tcPr>
          <w:p w14:paraId="34D6BE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2D5A2C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30A9A04B" w14:textId="77777777" w:rsidTr="00ED0631">
        <w:trPr>
          <w:trHeight w:val="315"/>
        </w:trPr>
        <w:tc>
          <w:tcPr>
            <w:tcW w:w="1829" w:type="dxa"/>
            <w:tcBorders>
              <w:top w:val="nil"/>
              <w:left w:val="nil"/>
              <w:bottom w:val="nil"/>
              <w:right w:val="nil"/>
            </w:tcBorders>
            <w:shd w:val="clear" w:color="auto" w:fill="auto"/>
            <w:noWrap/>
            <w:vAlign w:val="bottom"/>
            <w:hideMark/>
          </w:tcPr>
          <w:p w14:paraId="6D2C04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74" w:type="dxa"/>
            <w:tcBorders>
              <w:top w:val="nil"/>
              <w:left w:val="nil"/>
              <w:bottom w:val="nil"/>
              <w:right w:val="nil"/>
            </w:tcBorders>
            <w:shd w:val="clear" w:color="auto" w:fill="auto"/>
            <w:noWrap/>
            <w:vAlign w:val="bottom"/>
            <w:hideMark/>
          </w:tcPr>
          <w:p w14:paraId="4CA51A2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74E92E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698AB9E7" w14:textId="77777777" w:rsidTr="00ED0631">
        <w:trPr>
          <w:trHeight w:val="315"/>
        </w:trPr>
        <w:tc>
          <w:tcPr>
            <w:tcW w:w="1829" w:type="dxa"/>
            <w:tcBorders>
              <w:top w:val="nil"/>
              <w:left w:val="nil"/>
              <w:bottom w:val="nil"/>
              <w:right w:val="nil"/>
            </w:tcBorders>
            <w:shd w:val="clear" w:color="auto" w:fill="auto"/>
            <w:noWrap/>
            <w:vAlign w:val="bottom"/>
            <w:hideMark/>
          </w:tcPr>
          <w:p w14:paraId="767735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74" w:type="dxa"/>
            <w:tcBorders>
              <w:top w:val="nil"/>
              <w:left w:val="nil"/>
              <w:bottom w:val="nil"/>
              <w:right w:val="nil"/>
            </w:tcBorders>
            <w:shd w:val="clear" w:color="auto" w:fill="auto"/>
            <w:noWrap/>
            <w:vAlign w:val="bottom"/>
            <w:hideMark/>
          </w:tcPr>
          <w:p w14:paraId="56441B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0DEA1D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740BCBDE" w14:textId="77777777" w:rsidTr="00ED0631">
        <w:trPr>
          <w:trHeight w:val="315"/>
        </w:trPr>
        <w:tc>
          <w:tcPr>
            <w:tcW w:w="1829" w:type="dxa"/>
            <w:tcBorders>
              <w:top w:val="nil"/>
              <w:left w:val="nil"/>
              <w:bottom w:val="nil"/>
              <w:right w:val="nil"/>
            </w:tcBorders>
            <w:shd w:val="clear" w:color="auto" w:fill="auto"/>
            <w:noWrap/>
            <w:vAlign w:val="bottom"/>
            <w:hideMark/>
          </w:tcPr>
          <w:p w14:paraId="0A0AC4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74" w:type="dxa"/>
            <w:tcBorders>
              <w:top w:val="nil"/>
              <w:left w:val="nil"/>
              <w:bottom w:val="nil"/>
              <w:right w:val="nil"/>
            </w:tcBorders>
            <w:shd w:val="clear" w:color="auto" w:fill="auto"/>
            <w:noWrap/>
            <w:vAlign w:val="bottom"/>
            <w:hideMark/>
          </w:tcPr>
          <w:p w14:paraId="5A2477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43F6F4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6DF6EC3" w14:textId="77777777" w:rsidTr="00ED0631">
        <w:trPr>
          <w:trHeight w:val="315"/>
        </w:trPr>
        <w:tc>
          <w:tcPr>
            <w:tcW w:w="1829" w:type="dxa"/>
            <w:tcBorders>
              <w:top w:val="nil"/>
              <w:left w:val="nil"/>
              <w:bottom w:val="nil"/>
              <w:right w:val="nil"/>
            </w:tcBorders>
            <w:shd w:val="clear" w:color="auto" w:fill="auto"/>
            <w:noWrap/>
            <w:vAlign w:val="bottom"/>
            <w:hideMark/>
          </w:tcPr>
          <w:p w14:paraId="0398EE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74" w:type="dxa"/>
            <w:tcBorders>
              <w:top w:val="nil"/>
              <w:left w:val="nil"/>
              <w:bottom w:val="nil"/>
              <w:right w:val="nil"/>
            </w:tcBorders>
            <w:shd w:val="clear" w:color="auto" w:fill="auto"/>
            <w:noWrap/>
            <w:vAlign w:val="bottom"/>
            <w:hideMark/>
          </w:tcPr>
          <w:p w14:paraId="1CFF78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37" w:type="dxa"/>
            <w:tcBorders>
              <w:top w:val="nil"/>
              <w:left w:val="nil"/>
              <w:bottom w:val="nil"/>
              <w:right w:val="nil"/>
            </w:tcBorders>
            <w:shd w:val="clear" w:color="auto" w:fill="auto"/>
            <w:noWrap/>
            <w:vAlign w:val="bottom"/>
            <w:hideMark/>
          </w:tcPr>
          <w:p w14:paraId="0FCF182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r>
      <w:tr w:rsidR="00AC362E" w:rsidRPr="00491EF1" w14:paraId="543F546F"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14A8DE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74" w:type="dxa"/>
            <w:tcBorders>
              <w:top w:val="single" w:sz="4" w:space="0" w:color="auto"/>
              <w:left w:val="nil"/>
              <w:bottom w:val="single" w:sz="4" w:space="0" w:color="auto"/>
              <w:right w:val="nil"/>
            </w:tcBorders>
            <w:shd w:val="clear" w:color="auto" w:fill="auto"/>
            <w:noWrap/>
            <w:vAlign w:val="bottom"/>
            <w:hideMark/>
          </w:tcPr>
          <w:p w14:paraId="2D66B5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 </w:t>
            </w:r>
          </w:p>
        </w:tc>
        <w:tc>
          <w:tcPr>
            <w:tcW w:w="1037" w:type="dxa"/>
            <w:tcBorders>
              <w:top w:val="single" w:sz="4" w:space="0" w:color="auto"/>
              <w:left w:val="nil"/>
              <w:bottom w:val="single" w:sz="4" w:space="0" w:color="auto"/>
              <w:right w:val="nil"/>
            </w:tcBorders>
            <w:shd w:val="clear" w:color="auto" w:fill="auto"/>
            <w:noWrap/>
            <w:vAlign w:val="bottom"/>
            <w:hideMark/>
          </w:tcPr>
          <w:p w14:paraId="585F1F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 </w:t>
            </w:r>
          </w:p>
        </w:tc>
      </w:tr>
    </w:tbl>
    <w:p w14:paraId="1C971346"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18: Primary school leaders rating of the new curriculum by island category-interested </w:t>
      </w:r>
    </w:p>
    <w:tbl>
      <w:tblPr>
        <w:tblW w:w="4520" w:type="dxa"/>
        <w:tblInd w:w="93" w:type="dxa"/>
        <w:tblLook w:val="04A0" w:firstRow="1" w:lastRow="0" w:firstColumn="1" w:lastColumn="0" w:noHBand="0" w:noVBand="1"/>
      </w:tblPr>
      <w:tblGrid>
        <w:gridCol w:w="1469"/>
        <w:gridCol w:w="1765"/>
        <w:gridCol w:w="1286"/>
      </w:tblGrid>
      <w:tr w:rsidR="00AC362E" w:rsidRPr="00491EF1" w14:paraId="5D22DE14"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6ACB1BF3"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Interested </w:t>
            </w:r>
          </w:p>
        </w:tc>
        <w:tc>
          <w:tcPr>
            <w:tcW w:w="1765" w:type="dxa"/>
            <w:tcBorders>
              <w:top w:val="single" w:sz="4" w:space="0" w:color="auto"/>
              <w:left w:val="nil"/>
              <w:bottom w:val="single" w:sz="4" w:space="0" w:color="auto"/>
              <w:right w:val="nil"/>
            </w:tcBorders>
            <w:shd w:val="clear" w:color="auto" w:fill="auto"/>
            <w:noWrap/>
            <w:vAlign w:val="bottom"/>
            <w:hideMark/>
          </w:tcPr>
          <w:p w14:paraId="0CFC29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86" w:type="dxa"/>
            <w:tcBorders>
              <w:top w:val="single" w:sz="4" w:space="0" w:color="auto"/>
              <w:left w:val="nil"/>
              <w:bottom w:val="single" w:sz="4" w:space="0" w:color="auto"/>
              <w:right w:val="nil"/>
            </w:tcBorders>
            <w:shd w:val="clear" w:color="auto" w:fill="auto"/>
            <w:noWrap/>
            <w:vAlign w:val="bottom"/>
            <w:hideMark/>
          </w:tcPr>
          <w:p w14:paraId="40E2F0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3A483549" w14:textId="77777777" w:rsidTr="00ED0631">
        <w:trPr>
          <w:trHeight w:val="315"/>
        </w:trPr>
        <w:tc>
          <w:tcPr>
            <w:tcW w:w="1469" w:type="dxa"/>
            <w:tcBorders>
              <w:top w:val="nil"/>
              <w:left w:val="nil"/>
              <w:bottom w:val="nil"/>
              <w:right w:val="nil"/>
            </w:tcBorders>
            <w:shd w:val="clear" w:color="auto" w:fill="auto"/>
            <w:noWrap/>
            <w:vAlign w:val="bottom"/>
            <w:hideMark/>
          </w:tcPr>
          <w:p w14:paraId="1DAE99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65" w:type="dxa"/>
            <w:tcBorders>
              <w:top w:val="nil"/>
              <w:left w:val="nil"/>
              <w:bottom w:val="nil"/>
              <w:right w:val="nil"/>
            </w:tcBorders>
            <w:shd w:val="clear" w:color="auto" w:fill="auto"/>
            <w:noWrap/>
            <w:vAlign w:val="bottom"/>
            <w:hideMark/>
          </w:tcPr>
          <w:p w14:paraId="4E3193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286" w:type="dxa"/>
            <w:tcBorders>
              <w:top w:val="nil"/>
              <w:left w:val="nil"/>
              <w:bottom w:val="nil"/>
              <w:right w:val="nil"/>
            </w:tcBorders>
            <w:shd w:val="clear" w:color="auto" w:fill="auto"/>
            <w:noWrap/>
            <w:vAlign w:val="bottom"/>
            <w:hideMark/>
          </w:tcPr>
          <w:p w14:paraId="5EFD66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r>
      <w:tr w:rsidR="00AC362E" w:rsidRPr="00491EF1" w14:paraId="7629A703" w14:textId="77777777" w:rsidTr="00ED0631">
        <w:trPr>
          <w:trHeight w:val="315"/>
        </w:trPr>
        <w:tc>
          <w:tcPr>
            <w:tcW w:w="1469" w:type="dxa"/>
            <w:tcBorders>
              <w:top w:val="nil"/>
              <w:left w:val="nil"/>
              <w:bottom w:val="nil"/>
              <w:right w:val="nil"/>
            </w:tcBorders>
            <w:shd w:val="clear" w:color="auto" w:fill="auto"/>
            <w:noWrap/>
            <w:vAlign w:val="bottom"/>
            <w:hideMark/>
          </w:tcPr>
          <w:p w14:paraId="7F3106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65" w:type="dxa"/>
            <w:tcBorders>
              <w:top w:val="nil"/>
              <w:left w:val="nil"/>
              <w:bottom w:val="nil"/>
              <w:right w:val="nil"/>
            </w:tcBorders>
            <w:shd w:val="clear" w:color="auto" w:fill="auto"/>
            <w:noWrap/>
            <w:vAlign w:val="bottom"/>
            <w:hideMark/>
          </w:tcPr>
          <w:p w14:paraId="16CFE2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86" w:type="dxa"/>
            <w:tcBorders>
              <w:top w:val="nil"/>
              <w:left w:val="nil"/>
              <w:bottom w:val="nil"/>
              <w:right w:val="nil"/>
            </w:tcBorders>
            <w:shd w:val="clear" w:color="auto" w:fill="auto"/>
            <w:noWrap/>
            <w:vAlign w:val="bottom"/>
            <w:hideMark/>
          </w:tcPr>
          <w:p w14:paraId="403617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69B354EB" w14:textId="77777777" w:rsidTr="00ED0631">
        <w:trPr>
          <w:trHeight w:val="315"/>
        </w:trPr>
        <w:tc>
          <w:tcPr>
            <w:tcW w:w="1469" w:type="dxa"/>
            <w:tcBorders>
              <w:top w:val="nil"/>
              <w:left w:val="nil"/>
              <w:bottom w:val="nil"/>
              <w:right w:val="nil"/>
            </w:tcBorders>
            <w:shd w:val="clear" w:color="auto" w:fill="auto"/>
            <w:noWrap/>
            <w:vAlign w:val="bottom"/>
            <w:hideMark/>
          </w:tcPr>
          <w:p w14:paraId="36F912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65" w:type="dxa"/>
            <w:tcBorders>
              <w:top w:val="nil"/>
              <w:left w:val="nil"/>
              <w:bottom w:val="nil"/>
              <w:right w:val="nil"/>
            </w:tcBorders>
            <w:shd w:val="clear" w:color="auto" w:fill="auto"/>
            <w:noWrap/>
            <w:vAlign w:val="bottom"/>
            <w:hideMark/>
          </w:tcPr>
          <w:p w14:paraId="0C45C9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286" w:type="dxa"/>
            <w:tcBorders>
              <w:top w:val="nil"/>
              <w:left w:val="nil"/>
              <w:bottom w:val="nil"/>
              <w:right w:val="nil"/>
            </w:tcBorders>
            <w:shd w:val="clear" w:color="auto" w:fill="auto"/>
            <w:noWrap/>
            <w:vAlign w:val="bottom"/>
            <w:hideMark/>
          </w:tcPr>
          <w:p w14:paraId="6C4D39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0FED2511"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1FCD9A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65" w:type="dxa"/>
            <w:tcBorders>
              <w:top w:val="single" w:sz="4" w:space="0" w:color="auto"/>
              <w:left w:val="nil"/>
              <w:bottom w:val="single" w:sz="4" w:space="0" w:color="auto"/>
              <w:right w:val="nil"/>
            </w:tcBorders>
            <w:shd w:val="clear" w:color="auto" w:fill="auto"/>
            <w:noWrap/>
            <w:vAlign w:val="bottom"/>
            <w:hideMark/>
          </w:tcPr>
          <w:p w14:paraId="2DBC80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 </w:t>
            </w:r>
          </w:p>
        </w:tc>
        <w:tc>
          <w:tcPr>
            <w:tcW w:w="1286" w:type="dxa"/>
            <w:tcBorders>
              <w:top w:val="single" w:sz="4" w:space="0" w:color="auto"/>
              <w:left w:val="nil"/>
              <w:bottom w:val="single" w:sz="4" w:space="0" w:color="auto"/>
              <w:right w:val="nil"/>
            </w:tcBorders>
            <w:shd w:val="clear" w:color="auto" w:fill="auto"/>
            <w:noWrap/>
            <w:vAlign w:val="bottom"/>
            <w:hideMark/>
          </w:tcPr>
          <w:p w14:paraId="339901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r>
    </w:tbl>
    <w:p w14:paraId="17B3C9D5"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19: Primary school leaders rating of the new curriculum by island-boys and girls</w:t>
      </w:r>
    </w:p>
    <w:tbl>
      <w:tblPr>
        <w:tblW w:w="4540" w:type="dxa"/>
        <w:tblInd w:w="93" w:type="dxa"/>
        <w:tblLook w:val="04A0" w:firstRow="1" w:lastRow="0" w:firstColumn="1" w:lastColumn="0" w:noHBand="0" w:noVBand="1"/>
      </w:tblPr>
      <w:tblGrid>
        <w:gridCol w:w="1829"/>
        <w:gridCol w:w="1674"/>
        <w:gridCol w:w="1037"/>
      </w:tblGrid>
      <w:tr w:rsidR="00AC362E" w:rsidRPr="00491EF1" w14:paraId="09956406"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67529CE2"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Boys / Girls</w:t>
            </w:r>
          </w:p>
        </w:tc>
        <w:tc>
          <w:tcPr>
            <w:tcW w:w="1674" w:type="dxa"/>
            <w:tcBorders>
              <w:top w:val="single" w:sz="4" w:space="0" w:color="auto"/>
              <w:left w:val="nil"/>
              <w:bottom w:val="single" w:sz="4" w:space="0" w:color="auto"/>
              <w:right w:val="nil"/>
            </w:tcBorders>
            <w:shd w:val="clear" w:color="auto" w:fill="auto"/>
            <w:noWrap/>
            <w:vAlign w:val="bottom"/>
            <w:hideMark/>
          </w:tcPr>
          <w:p w14:paraId="675986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37" w:type="dxa"/>
            <w:tcBorders>
              <w:top w:val="single" w:sz="4" w:space="0" w:color="auto"/>
              <w:left w:val="nil"/>
              <w:bottom w:val="single" w:sz="4" w:space="0" w:color="auto"/>
              <w:right w:val="nil"/>
            </w:tcBorders>
            <w:shd w:val="clear" w:color="auto" w:fill="auto"/>
            <w:noWrap/>
            <w:vAlign w:val="bottom"/>
            <w:hideMark/>
          </w:tcPr>
          <w:p w14:paraId="70806A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1362B1BA" w14:textId="77777777" w:rsidTr="00ED0631">
        <w:trPr>
          <w:trHeight w:val="315"/>
        </w:trPr>
        <w:tc>
          <w:tcPr>
            <w:tcW w:w="1829" w:type="dxa"/>
            <w:tcBorders>
              <w:top w:val="nil"/>
              <w:left w:val="nil"/>
              <w:bottom w:val="nil"/>
              <w:right w:val="nil"/>
            </w:tcBorders>
            <w:shd w:val="clear" w:color="auto" w:fill="auto"/>
            <w:noWrap/>
            <w:vAlign w:val="bottom"/>
            <w:hideMark/>
          </w:tcPr>
          <w:p w14:paraId="432AF4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74" w:type="dxa"/>
            <w:tcBorders>
              <w:top w:val="nil"/>
              <w:left w:val="nil"/>
              <w:bottom w:val="nil"/>
              <w:right w:val="nil"/>
            </w:tcBorders>
            <w:shd w:val="clear" w:color="auto" w:fill="auto"/>
            <w:noWrap/>
            <w:vAlign w:val="bottom"/>
            <w:hideMark/>
          </w:tcPr>
          <w:p w14:paraId="61E90C5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7" w:type="dxa"/>
            <w:tcBorders>
              <w:top w:val="nil"/>
              <w:left w:val="nil"/>
              <w:bottom w:val="nil"/>
              <w:right w:val="nil"/>
            </w:tcBorders>
            <w:shd w:val="clear" w:color="auto" w:fill="auto"/>
            <w:noWrap/>
            <w:vAlign w:val="bottom"/>
            <w:hideMark/>
          </w:tcPr>
          <w:p w14:paraId="448A94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252FF56C" w14:textId="77777777" w:rsidTr="00ED0631">
        <w:trPr>
          <w:trHeight w:val="315"/>
        </w:trPr>
        <w:tc>
          <w:tcPr>
            <w:tcW w:w="1829" w:type="dxa"/>
            <w:tcBorders>
              <w:top w:val="nil"/>
              <w:left w:val="nil"/>
              <w:bottom w:val="nil"/>
              <w:right w:val="nil"/>
            </w:tcBorders>
            <w:shd w:val="clear" w:color="auto" w:fill="auto"/>
            <w:noWrap/>
            <w:vAlign w:val="bottom"/>
            <w:hideMark/>
          </w:tcPr>
          <w:p w14:paraId="4C48F5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74" w:type="dxa"/>
            <w:tcBorders>
              <w:top w:val="nil"/>
              <w:left w:val="nil"/>
              <w:bottom w:val="nil"/>
              <w:right w:val="nil"/>
            </w:tcBorders>
            <w:shd w:val="clear" w:color="auto" w:fill="auto"/>
            <w:noWrap/>
            <w:vAlign w:val="bottom"/>
            <w:hideMark/>
          </w:tcPr>
          <w:p w14:paraId="25F859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4386CB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5072188D" w14:textId="77777777" w:rsidTr="00ED0631">
        <w:trPr>
          <w:trHeight w:val="315"/>
        </w:trPr>
        <w:tc>
          <w:tcPr>
            <w:tcW w:w="1829" w:type="dxa"/>
            <w:tcBorders>
              <w:top w:val="nil"/>
              <w:left w:val="nil"/>
              <w:bottom w:val="nil"/>
              <w:right w:val="nil"/>
            </w:tcBorders>
            <w:shd w:val="clear" w:color="auto" w:fill="auto"/>
            <w:noWrap/>
            <w:vAlign w:val="bottom"/>
            <w:hideMark/>
          </w:tcPr>
          <w:p w14:paraId="3BE6F9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74" w:type="dxa"/>
            <w:tcBorders>
              <w:top w:val="nil"/>
              <w:left w:val="nil"/>
              <w:bottom w:val="nil"/>
              <w:right w:val="nil"/>
            </w:tcBorders>
            <w:shd w:val="clear" w:color="auto" w:fill="auto"/>
            <w:noWrap/>
            <w:vAlign w:val="bottom"/>
            <w:hideMark/>
          </w:tcPr>
          <w:p w14:paraId="26F669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563BD5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76C88F30" w14:textId="77777777" w:rsidTr="00ED0631">
        <w:trPr>
          <w:trHeight w:val="315"/>
        </w:trPr>
        <w:tc>
          <w:tcPr>
            <w:tcW w:w="1829" w:type="dxa"/>
            <w:tcBorders>
              <w:top w:val="nil"/>
              <w:left w:val="nil"/>
              <w:bottom w:val="nil"/>
              <w:right w:val="nil"/>
            </w:tcBorders>
            <w:shd w:val="clear" w:color="auto" w:fill="auto"/>
            <w:noWrap/>
            <w:vAlign w:val="bottom"/>
            <w:hideMark/>
          </w:tcPr>
          <w:p w14:paraId="4424BA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74" w:type="dxa"/>
            <w:tcBorders>
              <w:top w:val="nil"/>
              <w:left w:val="nil"/>
              <w:bottom w:val="nil"/>
              <w:right w:val="nil"/>
            </w:tcBorders>
            <w:shd w:val="clear" w:color="auto" w:fill="auto"/>
            <w:noWrap/>
            <w:vAlign w:val="bottom"/>
            <w:hideMark/>
          </w:tcPr>
          <w:p w14:paraId="5015B1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6B4951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1C9AC412" w14:textId="77777777" w:rsidTr="00ED0631">
        <w:trPr>
          <w:trHeight w:val="315"/>
        </w:trPr>
        <w:tc>
          <w:tcPr>
            <w:tcW w:w="1829" w:type="dxa"/>
            <w:tcBorders>
              <w:top w:val="nil"/>
              <w:left w:val="nil"/>
              <w:bottom w:val="nil"/>
              <w:right w:val="nil"/>
            </w:tcBorders>
            <w:shd w:val="clear" w:color="auto" w:fill="auto"/>
            <w:noWrap/>
            <w:vAlign w:val="bottom"/>
            <w:hideMark/>
          </w:tcPr>
          <w:p w14:paraId="072A0F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74" w:type="dxa"/>
            <w:tcBorders>
              <w:top w:val="nil"/>
              <w:left w:val="nil"/>
              <w:bottom w:val="nil"/>
              <w:right w:val="nil"/>
            </w:tcBorders>
            <w:shd w:val="clear" w:color="auto" w:fill="auto"/>
            <w:noWrap/>
            <w:vAlign w:val="bottom"/>
            <w:hideMark/>
          </w:tcPr>
          <w:p w14:paraId="73A79D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005374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2BB76229" w14:textId="77777777" w:rsidTr="00ED0631">
        <w:trPr>
          <w:trHeight w:val="315"/>
        </w:trPr>
        <w:tc>
          <w:tcPr>
            <w:tcW w:w="1829" w:type="dxa"/>
            <w:tcBorders>
              <w:top w:val="nil"/>
              <w:left w:val="nil"/>
              <w:bottom w:val="nil"/>
              <w:right w:val="nil"/>
            </w:tcBorders>
            <w:shd w:val="clear" w:color="auto" w:fill="auto"/>
            <w:noWrap/>
            <w:vAlign w:val="bottom"/>
            <w:hideMark/>
          </w:tcPr>
          <w:p w14:paraId="7860B5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74" w:type="dxa"/>
            <w:tcBorders>
              <w:top w:val="nil"/>
              <w:left w:val="nil"/>
              <w:bottom w:val="nil"/>
              <w:right w:val="nil"/>
            </w:tcBorders>
            <w:shd w:val="clear" w:color="auto" w:fill="auto"/>
            <w:noWrap/>
            <w:vAlign w:val="bottom"/>
            <w:hideMark/>
          </w:tcPr>
          <w:p w14:paraId="3114DC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085E7B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36949F62" w14:textId="77777777" w:rsidTr="00ED0631">
        <w:trPr>
          <w:trHeight w:val="315"/>
        </w:trPr>
        <w:tc>
          <w:tcPr>
            <w:tcW w:w="1829" w:type="dxa"/>
            <w:tcBorders>
              <w:top w:val="nil"/>
              <w:left w:val="nil"/>
              <w:bottom w:val="nil"/>
              <w:right w:val="nil"/>
            </w:tcBorders>
            <w:shd w:val="clear" w:color="auto" w:fill="auto"/>
            <w:noWrap/>
            <w:vAlign w:val="bottom"/>
            <w:hideMark/>
          </w:tcPr>
          <w:p w14:paraId="353D9B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74" w:type="dxa"/>
            <w:tcBorders>
              <w:top w:val="nil"/>
              <w:left w:val="nil"/>
              <w:bottom w:val="nil"/>
              <w:right w:val="nil"/>
            </w:tcBorders>
            <w:shd w:val="clear" w:color="auto" w:fill="auto"/>
            <w:noWrap/>
            <w:vAlign w:val="bottom"/>
            <w:hideMark/>
          </w:tcPr>
          <w:p w14:paraId="178C30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7838D0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6E987D7E" w14:textId="77777777" w:rsidTr="00ED0631">
        <w:trPr>
          <w:trHeight w:val="315"/>
        </w:trPr>
        <w:tc>
          <w:tcPr>
            <w:tcW w:w="1829" w:type="dxa"/>
            <w:tcBorders>
              <w:top w:val="nil"/>
              <w:left w:val="nil"/>
              <w:bottom w:val="nil"/>
              <w:right w:val="nil"/>
            </w:tcBorders>
            <w:shd w:val="clear" w:color="auto" w:fill="auto"/>
            <w:noWrap/>
            <w:vAlign w:val="bottom"/>
            <w:hideMark/>
          </w:tcPr>
          <w:p w14:paraId="7EB34A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74" w:type="dxa"/>
            <w:tcBorders>
              <w:top w:val="nil"/>
              <w:left w:val="nil"/>
              <w:bottom w:val="nil"/>
              <w:right w:val="nil"/>
            </w:tcBorders>
            <w:shd w:val="clear" w:color="auto" w:fill="auto"/>
            <w:noWrap/>
            <w:vAlign w:val="bottom"/>
            <w:hideMark/>
          </w:tcPr>
          <w:p w14:paraId="3F4EDF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4FD9B8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06989ECB" w14:textId="77777777" w:rsidTr="00ED0631">
        <w:trPr>
          <w:trHeight w:val="315"/>
        </w:trPr>
        <w:tc>
          <w:tcPr>
            <w:tcW w:w="1829" w:type="dxa"/>
            <w:tcBorders>
              <w:top w:val="nil"/>
              <w:left w:val="nil"/>
              <w:bottom w:val="nil"/>
              <w:right w:val="nil"/>
            </w:tcBorders>
            <w:shd w:val="clear" w:color="auto" w:fill="auto"/>
            <w:noWrap/>
            <w:vAlign w:val="bottom"/>
            <w:hideMark/>
          </w:tcPr>
          <w:p w14:paraId="6B132E5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74" w:type="dxa"/>
            <w:tcBorders>
              <w:top w:val="nil"/>
              <w:left w:val="nil"/>
              <w:bottom w:val="nil"/>
              <w:right w:val="nil"/>
            </w:tcBorders>
            <w:shd w:val="clear" w:color="auto" w:fill="auto"/>
            <w:noWrap/>
            <w:vAlign w:val="bottom"/>
            <w:hideMark/>
          </w:tcPr>
          <w:p w14:paraId="59E61B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37" w:type="dxa"/>
            <w:tcBorders>
              <w:top w:val="nil"/>
              <w:left w:val="nil"/>
              <w:bottom w:val="nil"/>
              <w:right w:val="nil"/>
            </w:tcBorders>
            <w:shd w:val="clear" w:color="auto" w:fill="auto"/>
            <w:noWrap/>
            <w:vAlign w:val="bottom"/>
            <w:hideMark/>
          </w:tcPr>
          <w:p w14:paraId="6BCBDAD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r>
      <w:tr w:rsidR="00AC362E" w:rsidRPr="00491EF1" w14:paraId="5FBF7459"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281075F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74" w:type="dxa"/>
            <w:tcBorders>
              <w:top w:val="single" w:sz="4" w:space="0" w:color="auto"/>
              <w:left w:val="nil"/>
              <w:bottom w:val="single" w:sz="4" w:space="0" w:color="auto"/>
              <w:right w:val="nil"/>
            </w:tcBorders>
            <w:shd w:val="clear" w:color="auto" w:fill="auto"/>
            <w:noWrap/>
            <w:vAlign w:val="bottom"/>
            <w:hideMark/>
          </w:tcPr>
          <w:p w14:paraId="1A8947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 </w:t>
            </w:r>
          </w:p>
        </w:tc>
        <w:tc>
          <w:tcPr>
            <w:tcW w:w="1037" w:type="dxa"/>
            <w:tcBorders>
              <w:top w:val="single" w:sz="4" w:space="0" w:color="auto"/>
              <w:left w:val="nil"/>
              <w:bottom w:val="single" w:sz="4" w:space="0" w:color="auto"/>
              <w:right w:val="nil"/>
            </w:tcBorders>
            <w:shd w:val="clear" w:color="auto" w:fill="auto"/>
            <w:noWrap/>
            <w:vAlign w:val="bottom"/>
            <w:hideMark/>
          </w:tcPr>
          <w:p w14:paraId="1F92D9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25 </w:t>
            </w:r>
          </w:p>
        </w:tc>
      </w:tr>
    </w:tbl>
    <w:p w14:paraId="4EDF61F5"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6ABDD5D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 xml:space="preserve">Table 20: Primary school leaders rating of the new curriculum by island category-boys and girls </w:t>
      </w:r>
    </w:p>
    <w:tbl>
      <w:tblPr>
        <w:tblW w:w="4520" w:type="dxa"/>
        <w:tblInd w:w="93" w:type="dxa"/>
        <w:tblLook w:val="04A0" w:firstRow="1" w:lastRow="0" w:firstColumn="1" w:lastColumn="0" w:noHBand="0" w:noVBand="1"/>
      </w:tblPr>
      <w:tblGrid>
        <w:gridCol w:w="1469"/>
        <w:gridCol w:w="1765"/>
        <w:gridCol w:w="1286"/>
      </w:tblGrid>
      <w:tr w:rsidR="00AC362E" w:rsidRPr="00491EF1" w14:paraId="4F554886"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0FC23B4E"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Boys / Girls </w:t>
            </w:r>
          </w:p>
        </w:tc>
        <w:tc>
          <w:tcPr>
            <w:tcW w:w="1765" w:type="dxa"/>
            <w:tcBorders>
              <w:top w:val="single" w:sz="4" w:space="0" w:color="auto"/>
              <w:left w:val="nil"/>
              <w:bottom w:val="single" w:sz="4" w:space="0" w:color="auto"/>
              <w:right w:val="nil"/>
            </w:tcBorders>
            <w:shd w:val="clear" w:color="auto" w:fill="auto"/>
            <w:noWrap/>
            <w:vAlign w:val="bottom"/>
            <w:hideMark/>
          </w:tcPr>
          <w:p w14:paraId="2969E5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86" w:type="dxa"/>
            <w:tcBorders>
              <w:top w:val="single" w:sz="4" w:space="0" w:color="auto"/>
              <w:left w:val="nil"/>
              <w:bottom w:val="single" w:sz="4" w:space="0" w:color="auto"/>
              <w:right w:val="nil"/>
            </w:tcBorders>
            <w:shd w:val="clear" w:color="auto" w:fill="auto"/>
            <w:noWrap/>
            <w:vAlign w:val="bottom"/>
            <w:hideMark/>
          </w:tcPr>
          <w:p w14:paraId="5EA086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1C0385A3" w14:textId="77777777" w:rsidTr="00ED0631">
        <w:trPr>
          <w:trHeight w:val="315"/>
        </w:trPr>
        <w:tc>
          <w:tcPr>
            <w:tcW w:w="1469" w:type="dxa"/>
            <w:tcBorders>
              <w:top w:val="nil"/>
              <w:left w:val="nil"/>
              <w:bottom w:val="nil"/>
              <w:right w:val="nil"/>
            </w:tcBorders>
            <w:shd w:val="clear" w:color="auto" w:fill="auto"/>
            <w:noWrap/>
            <w:vAlign w:val="bottom"/>
            <w:hideMark/>
          </w:tcPr>
          <w:p w14:paraId="15CC1C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65" w:type="dxa"/>
            <w:tcBorders>
              <w:top w:val="nil"/>
              <w:left w:val="nil"/>
              <w:bottom w:val="nil"/>
              <w:right w:val="nil"/>
            </w:tcBorders>
            <w:shd w:val="clear" w:color="auto" w:fill="auto"/>
            <w:noWrap/>
            <w:vAlign w:val="bottom"/>
            <w:hideMark/>
          </w:tcPr>
          <w:p w14:paraId="527FF2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86" w:type="dxa"/>
            <w:tcBorders>
              <w:top w:val="nil"/>
              <w:left w:val="nil"/>
              <w:bottom w:val="nil"/>
              <w:right w:val="nil"/>
            </w:tcBorders>
            <w:shd w:val="clear" w:color="auto" w:fill="auto"/>
            <w:noWrap/>
            <w:vAlign w:val="bottom"/>
            <w:hideMark/>
          </w:tcPr>
          <w:p w14:paraId="1194FE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r>
      <w:tr w:rsidR="00AC362E" w:rsidRPr="00491EF1" w14:paraId="656528B3" w14:textId="77777777" w:rsidTr="00ED0631">
        <w:trPr>
          <w:trHeight w:val="315"/>
        </w:trPr>
        <w:tc>
          <w:tcPr>
            <w:tcW w:w="1469" w:type="dxa"/>
            <w:tcBorders>
              <w:top w:val="nil"/>
              <w:left w:val="nil"/>
              <w:bottom w:val="nil"/>
              <w:right w:val="nil"/>
            </w:tcBorders>
            <w:shd w:val="clear" w:color="auto" w:fill="auto"/>
            <w:noWrap/>
            <w:vAlign w:val="bottom"/>
            <w:hideMark/>
          </w:tcPr>
          <w:p w14:paraId="4E2A8E0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65" w:type="dxa"/>
            <w:tcBorders>
              <w:top w:val="nil"/>
              <w:left w:val="nil"/>
              <w:bottom w:val="nil"/>
              <w:right w:val="nil"/>
            </w:tcBorders>
            <w:shd w:val="clear" w:color="auto" w:fill="auto"/>
            <w:noWrap/>
            <w:vAlign w:val="bottom"/>
            <w:hideMark/>
          </w:tcPr>
          <w:p w14:paraId="5196F4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286" w:type="dxa"/>
            <w:tcBorders>
              <w:top w:val="nil"/>
              <w:left w:val="nil"/>
              <w:bottom w:val="nil"/>
              <w:right w:val="nil"/>
            </w:tcBorders>
            <w:shd w:val="clear" w:color="auto" w:fill="auto"/>
            <w:noWrap/>
            <w:vAlign w:val="bottom"/>
            <w:hideMark/>
          </w:tcPr>
          <w:p w14:paraId="271ED8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632674DB" w14:textId="77777777" w:rsidTr="00ED0631">
        <w:trPr>
          <w:trHeight w:val="315"/>
        </w:trPr>
        <w:tc>
          <w:tcPr>
            <w:tcW w:w="1469" w:type="dxa"/>
            <w:tcBorders>
              <w:top w:val="nil"/>
              <w:left w:val="nil"/>
              <w:bottom w:val="nil"/>
              <w:right w:val="nil"/>
            </w:tcBorders>
            <w:shd w:val="clear" w:color="auto" w:fill="auto"/>
            <w:noWrap/>
            <w:vAlign w:val="bottom"/>
            <w:hideMark/>
          </w:tcPr>
          <w:p w14:paraId="74D758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65" w:type="dxa"/>
            <w:tcBorders>
              <w:top w:val="nil"/>
              <w:left w:val="nil"/>
              <w:bottom w:val="nil"/>
              <w:right w:val="nil"/>
            </w:tcBorders>
            <w:shd w:val="clear" w:color="auto" w:fill="auto"/>
            <w:noWrap/>
            <w:vAlign w:val="bottom"/>
            <w:hideMark/>
          </w:tcPr>
          <w:p w14:paraId="0471FC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86" w:type="dxa"/>
            <w:tcBorders>
              <w:top w:val="nil"/>
              <w:left w:val="nil"/>
              <w:bottom w:val="nil"/>
              <w:right w:val="nil"/>
            </w:tcBorders>
            <w:shd w:val="clear" w:color="auto" w:fill="auto"/>
            <w:noWrap/>
            <w:vAlign w:val="bottom"/>
            <w:hideMark/>
          </w:tcPr>
          <w:p w14:paraId="23F0AC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7D2CE6DB" w14:textId="77777777" w:rsidTr="00ED0631">
        <w:trPr>
          <w:trHeight w:val="315"/>
        </w:trPr>
        <w:tc>
          <w:tcPr>
            <w:tcW w:w="1469" w:type="dxa"/>
            <w:tcBorders>
              <w:top w:val="single" w:sz="4" w:space="0" w:color="auto"/>
              <w:left w:val="nil"/>
              <w:bottom w:val="nil"/>
              <w:right w:val="nil"/>
            </w:tcBorders>
            <w:shd w:val="clear" w:color="auto" w:fill="auto"/>
            <w:noWrap/>
            <w:vAlign w:val="bottom"/>
            <w:hideMark/>
          </w:tcPr>
          <w:p w14:paraId="555DEC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65" w:type="dxa"/>
            <w:tcBorders>
              <w:top w:val="single" w:sz="4" w:space="0" w:color="auto"/>
              <w:left w:val="nil"/>
              <w:bottom w:val="nil"/>
              <w:right w:val="nil"/>
            </w:tcBorders>
            <w:shd w:val="clear" w:color="auto" w:fill="auto"/>
            <w:noWrap/>
            <w:vAlign w:val="bottom"/>
            <w:hideMark/>
          </w:tcPr>
          <w:p w14:paraId="0F3FDB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 </w:t>
            </w:r>
          </w:p>
        </w:tc>
        <w:tc>
          <w:tcPr>
            <w:tcW w:w="1286" w:type="dxa"/>
            <w:tcBorders>
              <w:top w:val="single" w:sz="4" w:space="0" w:color="auto"/>
              <w:left w:val="nil"/>
              <w:bottom w:val="nil"/>
              <w:right w:val="nil"/>
            </w:tcBorders>
            <w:shd w:val="clear" w:color="auto" w:fill="auto"/>
            <w:noWrap/>
            <w:vAlign w:val="bottom"/>
            <w:hideMark/>
          </w:tcPr>
          <w:p w14:paraId="1FE05B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25 </w:t>
            </w:r>
          </w:p>
        </w:tc>
      </w:tr>
    </w:tbl>
    <w:p w14:paraId="3EA1676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21: Primary school leaders rating of the new curriculum by island-concepts</w:t>
      </w:r>
    </w:p>
    <w:tbl>
      <w:tblPr>
        <w:tblW w:w="4540" w:type="dxa"/>
        <w:tblInd w:w="93" w:type="dxa"/>
        <w:tblLook w:val="04A0" w:firstRow="1" w:lastRow="0" w:firstColumn="1" w:lastColumn="0" w:noHBand="0" w:noVBand="1"/>
      </w:tblPr>
      <w:tblGrid>
        <w:gridCol w:w="1829"/>
        <w:gridCol w:w="1674"/>
        <w:gridCol w:w="1037"/>
      </w:tblGrid>
      <w:tr w:rsidR="00AC362E" w:rsidRPr="00491EF1" w14:paraId="78DD11BC"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5108C065"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Concepts</w:t>
            </w:r>
          </w:p>
        </w:tc>
        <w:tc>
          <w:tcPr>
            <w:tcW w:w="1674" w:type="dxa"/>
            <w:tcBorders>
              <w:top w:val="single" w:sz="4" w:space="0" w:color="auto"/>
              <w:left w:val="nil"/>
              <w:bottom w:val="single" w:sz="4" w:space="0" w:color="auto"/>
              <w:right w:val="nil"/>
            </w:tcBorders>
            <w:shd w:val="clear" w:color="auto" w:fill="auto"/>
            <w:noWrap/>
            <w:vAlign w:val="bottom"/>
            <w:hideMark/>
          </w:tcPr>
          <w:p w14:paraId="57C9C4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37" w:type="dxa"/>
            <w:tcBorders>
              <w:top w:val="single" w:sz="4" w:space="0" w:color="auto"/>
              <w:left w:val="nil"/>
              <w:bottom w:val="single" w:sz="4" w:space="0" w:color="auto"/>
              <w:right w:val="nil"/>
            </w:tcBorders>
            <w:shd w:val="clear" w:color="auto" w:fill="auto"/>
            <w:noWrap/>
            <w:vAlign w:val="bottom"/>
            <w:hideMark/>
          </w:tcPr>
          <w:p w14:paraId="728BD0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5711CCA8" w14:textId="77777777" w:rsidTr="00ED0631">
        <w:trPr>
          <w:trHeight w:val="315"/>
        </w:trPr>
        <w:tc>
          <w:tcPr>
            <w:tcW w:w="1829" w:type="dxa"/>
            <w:tcBorders>
              <w:top w:val="nil"/>
              <w:left w:val="nil"/>
              <w:bottom w:val="nil"/>
              <w:right w:val="nil"/>
            </w:tcBorders>
            <w:shd w:val="clear" w:color="auto" w:fill="auto"/>
            <w:noWrap/>
            <w:vAlign w:val="bottom"/>
            <w:hideMark/>
          </w:tcPr>
          <w:p w14:paraId="53FE50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74" w:type="dxa"/>
            <w:tcBorders>
              <w:top w:val="nil"/>
              <w:left w:val="nil"/>
              <w:bottom w:val="nil"/>
              <w:right w:val="nil"/>
            </w:tcBorders>
            <w:shd w:val="clear" w:color="auto" w:fill="auto"/>
            <w:noWrap/>
            <w:vAlign w:val="bottom"/>
            <w:hideMark/>
          </w:tcPr>
          <w:p w14:paraId="5E6364C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37" w:type="dxa"/>
            <w:tcBorders>
              <w:top w:val="nil"/>
              <w:left w:val="nil"/>
              <w:bottom w:val="nil"/>
              <w:right w:val="nil"/>
            </w:tcBorders>
            <w:shd w:val="clear" w:color="auto" w:fill="auto"/>
            <w:noWrap/>
            <w:vAlign w:val="bottom"/>
            <w:hideMark/>
          </w:tcPr>
          <w:p w14:paraId="261D8F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4727B64A" w14:textId="77777777" w:rsidTr="00ED0631">
        <w:trPr>
          <w:trHeight w:val="315"/>
        </w:trPr>
        <w:tc>
          <w:tcPr>
            <w:tcW w:w="1829" w:type="dxa"/>
            <w:tcBorders>
              <w:top w:val="nil"/>
              <w:left w:val="nil"/>
              <w:bottom w:val="nil"/>
              <w:right w:val="nil"/>
            </w:tcBorders>
            <w:shd w:val="clear" w:color="auto" w:fill="auto"/>
            <w:noWrap/>
            <w:vAlign w:val="bottom"/>
            <w:hideMark/>
          </w:tcPr>
          <w:p w14:paraId="60E53C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74" w:type="dxa"/>
            <w:tcBorders>
              <w:top w:val="nil"/>
              <w:left w:val="nil"/>
              <w:bottom w:val="nil"/>
              <w:right w:val="nil"/>
            </w:tcBorders>
            <w:shd w:val="clear" w:color="auto" w:fill="auto"/>
            <w:noWrap/>
            <w:vAlign w:val="bottom"/>
            <w:hideMark/>
          </w:tcPr>
          <w:p w14:paraId="55404B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1E8DF6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78A17DEE" w14:textId="77777777" w:rsidTr="00ED0631">
        <w:trPr>
          <w:trHeight w:val="315"/>
        </w:trPr>
        <w:tc>
          <w:tcPr>
            <w:tcW w:w="1829" w:type="dxa"/>
            <w:tcBorders>
              <w:top w:val="nil"/>
              <w:left w:val="nil"/>
              <w:bottom w:val="nil"/>
              <w:right w:val="nil"/>
            </w:tcBorders>
            <w:shd w:val="clear" w:color="auto" w:fill="auto"/>
            <w:noWrap/>
            <w:vAlign w:val="bottom"/>
            <w:hideMark/>
          </w:tcPr>
          <w:p w14:paraId="598903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74" w:type="dxa"/>
            <w:tcBorders>
              <w:top w:val="nil"/>
              <w:left w:val="nil"/>
              <w:bottom w:val="nil"/>
              <w:right w:val="nil"/>
            </w:tcBorders>
            <w:shd w:val="clear" w:color="auto" w:fill="auto"/>
            <w:noWrap/>
            <w:vAlign w:val="bottom"/>
            <w:hideMark/>
          </w:tcPr>
          <w:p w14:paraId="784914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26B494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728A4904" w14:textId="77777777" w:rsidTr="00ED0631">
        <w:trPr>
          <w:trHeight w:val="315"/>
        </w:trPr>
        <w:tc>
          <w:tcPr>
            <w:tcW w:w="1829" w:type="dxa"/>
            <w:tcBorders>
              <w:top w:val="nil"/>
              <w:left w:val="nil"/>
              <w:bottom w:val="nil"/>
              <w:right w:val="nil"/>
            </w:tcBorders>
            <w:shd w:val="clear" w:color="auto" w:fill="auto"/>
            <w:noWrap/>
            <w:vAlign w:val="bottom"/>
            <w:hideMark/>
          </w:tcPr>
          <w:p w14:paraId="66691C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74" w:type="dxa"/>
            <w:tcBorders>
              <w:top w:val="nil"/>
              <w:left w:val="nil"/>
              <w:bottom w:val="nil"/>
              <w:right w:val="nil"/>
            </w:tcBorders>
            <w:shd w:val="clear" w:color="auto" w:fill="auto"/>
            <w:noWrap/>
            <w:vAlign w:val="bottom"/>
            <w:hideMark/>
          </w:tcPr>
          <w:p w14:paraId="696EC3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37" w:type="dxa"/>
            <w:tcBorders>
              <w:top w:val="nil"/>
              <w:left w:val="nil"/>
              <w:bottom w:val="nil"/>
              <w:right w:val="nil"/>
            </w:tcBorders>
            <w:shd w:val="clear" w:color="auto" w:fill="auto"/>
            <w:noWrap/>
            <w:vAlign w:val="bottom"/>
            <w:hideMark/>
          </w:tcPr>
          <w:p w14:paraId="5956D0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6AD46EF7" w14:textId="77777777" w:rsidTr="00ED0631">
        <w:trPr>
          <w:trHeight w:val="315"/>
        </w:trPr>
        <w:tc>
          <w:tcPr>
            <w:tcW w:w="1829" w:type="dxa"/>
            <w:tcBorders>
              <w:top w:val="nil"/>
              <w:left w:val="nil"/>
              <w:bottom w:val="nil"/>
              <w:right w:val="nil"/>
            </w:tcBorders>
            <w:shd w:val="clear" w:color="auto" w:fill="auto"/>
            <w:noWrap/>
            <w:vAlign w:val="bottom"/>
            <w:hideMark/>
          </w:tcPr>
          <w:p w14:paraId="3E2022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74" w:type="dxa"/>
            <w:tcBorders>
              <w:top w:val="nil"/>
              <w:left w:val="nil"/>
              <w:bottom w:val="nil"/>
              <w:right w:val="nil"/>
            </w:tcBorders>
            <w:shd w:val="clear" w:color="auto" w:fill="auto"/>
            <w:noWrap/>
            <w:vAlign w:val="bottom"/>
            <w:hideMark/>
          </w:tcPr>
          <w:p w14:paraId="71D1BE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1680EB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5FDA04CF" w14:textId="77777777" w:rsidTr="00ED0631">
        <w:trPr>
          <w:trHeight w:val="315"/>
        </w:trPr>
        <w:tc>
          <w:tcPr>
            <w:tcW w:w="1829" w:type="dxa"/>
            <w:tcBorders>
              <w:top w:val="nil"/>
              <w:left w:val="nil"/>
              <w:bottom w:val="nil"/>
              <w:right w:val="nil"/>
            </w:tcBorders>
            <w:shd w:val="clear" w:color="auto" w:fill="auto"/>
            <w:noWrap/>
            <w:vAlign w:val="bottom"/>
            <w:hideMark/>
          </w:tcPr>
          <w:p w14:paraId="72B1E6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74" w:type="dxa"/>
            <w:tcBorders>
              <w:top w:val="nil"/>
              <w:left w:val="nil"/>
              <w:bottom w:val="nil"/>
              <w:right w:val="nil"/>
            </w:tcBorders>
            <w:shd w:val="clear" w:color="auto" w:fill="auto"/>
            <w:noWrap/>
            <w:vAlign w:val="bottom"/>
            <w:hideMark/>
          </w:tcPr>
          <w:p w14:paraId="2DEB58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38BDAE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50FD98FD" w14:textId="77777777" w:rsidTr="00ED0631">
        <w:trPr>
          <w:trHeight w:val="315"/>
        </w:trPr>
        <w:tc>
          <w:tcPr>
            <w:tcW w:w="1829" w:type="dxa"/>
            <w:tcBorders>
              <w:top w:val="nil"/>
              <w:left w:val="nil"/>
              <w:bottom w:val="nil"/>
              <w:right w:val="nil"/>
            </w:tcBorders>
            <w:shd w:val="clear" w:color="auto" w:fill="auto"/>
            <w:noWrap/>
            <w:vAlign w:val="bottom"/>
            <w:hideMark/>
          </w:tcPr>
          <w:p w14:paraId="49F758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74" w:type="dxa"/>
            <w:tcBorders>
              <w:top w:val="nil"/>
              <w:left w:val="nil"/>
              <w:bottom w:val="nil"/>
              <w:right w:val="nil"/>
            </w:tcBorders>
            <w:shd w:val="clear" w:color="auto" w:fill="auto"/>
            <w:noWrap/>
            <w:vAlign w:val="bottom"/>
            <w:hideMark/>
          </w:tcPr>
          <w:p w14:paraId="3102AF4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4F0A161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63235BD7" w14:textId="77777777" w:rsidTr="00ED0631">
        <w:trPr>
          <w:trHeight w:val="315"/>
        </w:trPr>
        <w:tc>
          <w:tcPr>
            <w:tcW w:w="1829" w:type="dxa"/>
            <w:tcBorders>
              <w:top w:val="nil"/>
              <w:left w:val="nil"/>
              <w:bottom w:val="nil"/>
              <w:right w:val="nil"/>
            </w:tcBorders>
            <w:shd w:val="clear" w:color="auto" w:fill="auto"/>
            <w:noWrap/>
            <w:vAlign w:val="bottom"/>
            <w:hideMark/>
          </w:tcPr>
          <w:p w14:paraId="2BE303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74" w:type="dxa"/>
            <w:tcBorders>
              <w:top w:val="nil"/>
              <w:left w:val="nil"/>
              <w:bottom w:val="nil"/>
              <w:right w:val="nil"/>
            </w:tcBorders>
            <w:shd w:val="clear" w:color="auto" w:fill="auto"/>
            <w:noWrap/>
            <w:vAlign w:val="bottom"/>
            <w:hideMark/>
          </w:tcPr>
          <w:p w14:paraId="3F1178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37" w:type="dxa"/>
            <w:tcBorders>
              <w:top w:val="nil"/>
              <w:left w:val="nil"/>
              <w:bottom w:val="nil"/>
              <w:right w:val="nil"/>
            </w:tcBorders>
            <w:shd w:val="clear" w:color="auto" w:fill="auto"/>
            <w:noWrap/>
            <w:vAlign w:val="bottom"/>
            <w:hideMark/>
          </w:tcPr>
          <w:p w14:paraId="1C50CF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33BCAE02" w14:textId="77777777" w:rsidTr="00ED0631">
        <w:trPr>
          <w:trHeight w:val="315"/>
        </w:trPr>
        <w:tc>
          <w:tcPr>
            <w:tcW w:w="1829" w:type="dxa"/>
            <w:tcBorders>
              <w:top w:val="nil"/>
              <w:left w:val="nil"/>
              <w:bottom w:val="nil"/>
              <w:right w:val="nil"/>
            </w:tcBorders>
            <w:shd w:val="clear" w:color="auto" w:fill="auto"/>
            <w:noWrap/>
            <w:vAlign w:val="bottom"/>
            <w:hideMark/>
          </w:tcPr>
          <w:p w14:paraId="5E8743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74" w:type="dxa"/>
            <w:tcBorders>
              <w:top w:val="nil"/>
              <w:left w:val="nil"/>
              <w:bottom w:val="nil"/>
              <w:right w:val="nil"/>
            </w:tcBorders>
            <w:shd w:val="clear" w:color="auto" w:fill="auto"/>
            <w:noWrap/>
            <w:vAlign w:val="bottom"/>
            <w:hideMark/>
          </w:tcPr>
          <w:p w14:paraId="0637B9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37" w:type="dxa"/>
            <w:tcBorders>
              <w:top w:val="nil"/>
              <w:left w:val="nil"/>
              <w:bottom w:val="nil"/>
              <w:right w:val="nil"/>
            </w:tcBorders>
            <w:shd w:val="clear" w:color="auto" w:fill="auto"/>
            <w:noWrap/>
            <w:vAlign w:val="bottom"/>
            <w:hideMark/>
          </w:tcPr>
          <w:p w14:paraId="22E12E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r>
      <w:tr w:rsidR="00AC362E" w:rsidRPr="00491EF1" w14:paraId="7F7AA1BA" w14:textId="77777777" w:rsidTr="00ED0631">
        <w:trPr>
          <w:trHeight w:val="315"/>
        </w:trPr>
        <w:tc>
          <w:tcPr>
            <w:tcW w:w="1829" w:type="dxa"/>
            <w:tcBorders>
              <w:top w:val="single" w:sz="4" w:space="0" w:color="auto"/>
              <w:left w:val="nil"/>
              <w:bottom w:val="single" w:sz="4" w:space="0" w:color="auto"/>
              <w:right w:val="nil"/>
            </w:tcBorders>
            <w:shd w:val="clear" w:color="auto" w:fill="auto"/>
            <w:noWrap/>
            <w:vAlign w:val="bottom"/>
            <w:hideMark/>
          </w:tcPr>
          <w:p w14:paraId="686C3E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74" w:type="dxa"/>
            <w:tcBorders>
              <w:top w:val="single" w:sz="4" w:space="0" w:color="auto"/>
              <w:left w:val="nil"/>
              <w:bottom w:val="single" w:sz="4" w:space="0" w:color="auto"/>
              <w:right w:val="nil"/>
            </w:tcBorders>
            <w:shd w:val="clear" w:color="auto" w:fill="auto"/>
            <w:noWrap/>
            <w:vAlign w:val="bottom"/>
            <w:hideMark/>
          </w:tcPr>
          <w:p w14:paraId="1BAFEB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 </w:t>
            </w:r>
          </w:p>
        </w:tc>
        <w:tc>
          <w:tcPr>
            <w:tcW w:w="1037" w:type="dxa"/>
            <w:tcBorders>
              <w:top w:val="single" w:sz="4" w:space="0" w:color="auto"/>
              <w:left w:val="nil"/>
              <w:bottom w:val="single" w:sz="4" w:space="0" w:color="auto"/>
              <w:right w:val="nil"/>
            </w:tcBorders>
            <w:shd w:val="clear" w:color="auto" w:fill="auto"/>
            <w:noWrap/>
            <w:vAlign w:val="bottom"/>
            <w:hideMark/>
          </w:tcPr>
          <w:p w14:paraId="46F6A7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29 </w:t>
            </w:r>
          </w:p>
        </w:tc>
      </w:tr>
    </w:tbl>
    <w:p w14:paraId="1E9B633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22: Primary school leaders rating of the new curriculum by island category-concepts </w:t>
      </w:r>
    </w:p>
    <w:tbl>
      <w:tblPr>
        <w:tblW w:w="4520" w:type="dxa"/>
        <w:tblInd w:w="93" w:type="dxa"/>
        <w:tblLook w:val="04A0" w:firstRow="1" w:lastRow="0" w:firstColumn="1" w:lastColumn="0" w:noHBand="0" w:noVBand="1"/>
      </w:tblPr>
      <w:tblGrid>
        <w:gridCol w:w="1469"/>
        <w:gridCol w:w="1765"/>
        <w:gridCol w:w="1286"/>
      </w:tblGrid>
      <w:tr w:rsidR="00AC362E" w:rsidRPr="00491EF1" w14:paraId="68936048" w14:textId="77777777" w:rsidTr="00ED0631">
        <w:trPr>
          <w:trHeight w:val="315"/>
        </w:trPr>
        <w:tc>
          <w:tcPr>
            <w:tcW w:w="1469" w:type="dxa"/>
            <w:tcBorders>
              <w:top w:val="single" w:sz="4" w:space="0" w:color="auto"/>
              <w:left w:val="nil"/>
              <w:bottom w:val="single" w:sz="4" w:space="0" w:color="auto"/>
              <w:right w:val="nil"/>
            </w:tcBorders>
            <w:shd w:val="clear" w:color="auto" w:fill="auto"/>
            <w:noWrap/>
            <w:vAlign w:val="bottom"/>
            <w:hideMark/>
          </w:tcPr>
          <w:p w14:paraId="4A3A1E8E"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Concepts </w:t>
            </w:r>
          </w:p>
        </w:tc>
        <w:tc>
          <w:tcPr>
            <w:tcW w:w="1765" w:type="dxa"/>
            <w:tcBorders>
              <w:top w:val="single" w:sz="4" w:space="0" w:color="auto"/>
              <w:left w:val="nil"/>
              <w:bottom w:val="single" w:sz="4" w:space="0" w:color="auto"/>
              <w:right w:val="nil"/>
            </w:tcBorders>
            <w:shd w:val="clear" w:color="auto" w:fill="auto"/>
            <w:noWrap/>
            <w:vAlign w:val="bottom"/>
            <w:hideMark/>
          </w:tcPr>
          <w:p w14:paraId="32B304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86" w:type="dxa"/>
            <w:tcBorders>
              <w:top w:val="single" w:sz="4" w:space="0" w:color="auto"/>
              <w:left w:val="nil"/>
              <w:bottom w:val="single" w:sz="4" w:space="0" w:color="auto"/>
              <w:right w:val="nil"/>
            </w:tcBorders>
            <w:shd w:val="clear" w:color="auto" w:fill="auto"/>
            <w:noWrap/>
            <w:vAlign w:val="bottom"/>
            <w:hideMark/>
          </w:tcPr>
          <w:p w14:paraId="18CC16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r>
      <w:tr w:rsidR="00AC362E" w:rsidRPr="00491EF1" w14:paraId="79220C7B" w14:textId="77777777" w:rsidTr="00ED0631">
        <w:trPr>
          <w:trHeight w:val="315"/>
        </w:trPr>
        <w:tc>
          <w:tcPr>
            <w:tcW w:w="1469" w:type="dxa"/>
            <w:tcBorders>
              <w:top w:val="nil"/>
              <w:left w:val="nil"/>
              <w:bottom w:val="nil"/>
              <w:right w:val="nil"/>
            </w:tcBorders>
            <w:shd w:val="clear" w:color="auto" w:fill="auto"/>
            <w:noWrap/>
            <w:vAlign w:val="bottom"/>
            <w:hideMark/>
          </w:tcPr>
          <w:p w14:paraId="78E191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65" w:type="dxa"/>
            <w:tcBorders>
              <w:top w:val="nil"/>
              <w:left w:val="nil"/>
              <w:bottom w:val="nil"/>
              <w:right w:val="nil"/>
            </w:tcBorders>
            <w:shd w:val="clear" w:color="auto" w:fill="auto"/>
            <w:noWrap/>
            <w:vAlign w:val="bottom"/>
            <w:hideMark/>
          </w:tcPr>
          <w:p w14:paraId="009CC7C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86" w:type="dxa"/>
            <w:tcBorders>
              <w:top w:val="nil"/>
              <w:left w:val="nil"/>
              <w:bottom w:val="nil"/>
              <w:right w:val="nil"/>
            </w:tcBorders>
            <w:shd w:val="clear" w:color="auto" w:fill="auto"/>
            <w:noWrap/>
            <w:vAlign w:val="bottom"/>
            <w:hideMark/>
          </w:tcPr>
          <w:p w14:paraId="19A8BB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r>
      <w:tr w:rsidR="00AC362E" w:rsidRPr="00491EF1" w14:paraId="6F7C5849" w14:textId="77777777" w:rsidTr="00ED0631">
        <w:trPr>
          <w:trHeight w:val="315"/>
        </w:trPr>
        <w:tc>
          <w:tcPr>
            <w:tcW w:w="1469" w:type="dxa"/>
            <w:tcBorders>
              <w:top w:val="nil"/>
              <w:left w:val="nil"/>
              <w:bottom w:val="nil"/>
              <w:right w:val="nil"/>
            </w:tcBorders>
            <w:shd w:val="clear" w:color="auto" w:fill="auto"/>
            <w:noWrap/>
            <w:vAlign w:val="bottom"/>
            <w:hideMark/>
          </w:tcPr>
          <w:p w14:paraId="2A45D3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65" w:type="dxa"/>
            <w:tcBorders>
              <w:top w:val="nil"/>
              <w:left w:val="nil"/>
              <w:bottom w:val="nil"/>
              <w:right w:val="nil"/>
            </w:tcBorders>
            <w:shd w:val="clear" w:color="auto" w:fill="auto"/>
            <w:noWrap/>
            <w:vAlign w:val="bottom"/>
            <w:hideMark/>
          </w:tcPr>
          <w:p w14:paraId="53D139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286" w:type="dxa"/>
            <w:tcBorders>
              <w:top w:val="nil"/>
              <w:left w:val="nil"/>
              <w:bottom w:val="nil"/>
              <w:right w:val="nil"/>
            </w:tcBorders>
            <w:shd w:val="clear" w:color="auto" w:fill="auto"/>
            <w:noWrap/>
            <w:vAlign w:val="bottom"/>
            <w:hideMark/>
          </w:tcPr>
          <w:p w14:paraId="1C9086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r>
      <w:tr w:rsidR="00AC362E" w:rsidRPr="00491EF1" w14:paraId="5A8457CF" w14:textId="77777777" w:rsidTr="00ED0631">
        <w:trPr>
          <w:trHeight w:val="315"/>
        </w:trPr>
        <w:tc>
          <w:tcPr>
            <w:tcW w:w="1469" w:type="dxa"/>
            <w:tcBorders>
              <w:top w:val="nil"/>
              <w:left w:val="nil"/>
              <w:bottom w:val="nil"/>
              <w:right w:val="nil"/>
            </w:tcBorders>
            <w:shd w:val="clear" w:color="auto" w:fill="auto"/>
            <w:noWrap/>
            <w:vAlign w:val="bottom"/>
            <w:hideMark/>
          </w:tcPr>
          <w:p w14:paraId="1053EA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65" w:type="dxa"/>
            <w:tcBorders>
              <w:top w:val="nil"/>
              <w:left w:val="nil"/>
              <w:bottom w:val="nil"/>
              <w:right w:val="nil"/>
            </w:tcBorders>
            <w:shd w:val="clear" w:color="auto" w:fill="auto"/>
            <w:noWrap/>
            <w:vAlign w:val="bottom"/>
            <w:hideMark/>
          </w:tcPr>
          <w:p w14:paraId="7E55F0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86" w:type="dxa"/>
            <w:tcBorders>
              <w:top w:val="nil"/>
              <w:left w:val="nil"/>
              <w:bottom w:val="nil"/>
              <w:right w:val="nil"/>
            </w:tcBorders>
            <w:shd w:val="clear" w:color="auto" w:fill="auto"/>
            <w:noWrap/>
            <w:vAlign w:val="bottom"/>
            <w:hideMark/>
          </w:tcPr>
          <w:p w14:paraId="41E71E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r w:rsidR="00AC362E" w:rsidRPr="00491EF1" w14:paraId="54F713DC" w14:textId="77777777" w:rsidTr="00ED0631">
        <w:trPr>
          <w:trHeight w:val="315"/>
        </w:trPr>
        <w:tc>
          <w:tcPr>
            <w:tcW w:w="1469" w:type="dxa"/>
            <w:tcBorders>
              <w:top w:val="single" w:sz="4" w:space="0" w:color="auto"/>
              <w:left w:val="nil"/>
              <w:bottom w:val="nil"/>
              <w:right w:val="nil"/>
            </w:tcBorders>
            <w:shd w:val="clear" w:color="auto" w:fill="auto"/>
            <w:noWrap/>
            <w:vAlign w:val="bottom"/>
            <w:hideMark/>
          </w:tcPr>
          <w:p w14:paraId="222976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65" w:type="dxa"/>
            <w:tcBorders>
              <w:top w:val="single" w:sz="4" w:space="0" w:color="auto"/>
              <w:left w:val="nil"/>
              <w:bottom w:val="nil"/>
              <w:right w:val="nil"/>
            </w:tcBorders>
            <w:shd w:val="clear" w:color="auto" w:fill="auto"/>
            <w:noWrap/>
            <w:vAlign w:val="bottom"/>
            <w:hideMark/>
          </w:tcPr>
          <w:p w14:paraId="2BAEC9A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1286" w:type="dxa"/>
            <w:tcBorders>
              <w:top w:val="single" w:sz="4" w:space="0" w:color="auto"/>
              <w:left w:val="nil"/>
              <w:bottom w:val="nil"/>
              <w:right w:val="nil"/>
            </w:tcBorders>
            <w:shd w:val="clear" w:color="auto" w:fill="auto"/>
            <w:noWrap/>
            <w:vAlign w:val="bottom"/>
            <w:hideMark/>
          </w:tcPr>
          <w:p w14:paraId="6B7A7C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r>
    </w:tbl>
    <w:p w14:paraId="25C1BDDC"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49D59B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23: Primary school leaders rating of the new curriculum by island-doing better (overall)</w:t>
      </w:r>
    </w:p>
    <w:tbl>
      <w:tblPr>
        <w:tblW w:w="5660" w:type="dxa"/>
        <w:tblInd w:w="93" w:type="dxa"/>
        <w:tblLook w:val="04A0" w:firstRow="1" w:lastRow="0" w:firstColumn="1" w:lastColumn="0" w:noHBand="0" w:noVBand="1"/>
      </w:tblPr>
      <w:tblGrid>
        <w:gridCol w:w="1853"/>
        <w:gridCol w:w="1697"/>
        <w:gridCol w:w="1051"/>
        <w:gridCol w:w="1059"/>
      </w:tblGrid>
      <w:tr w:rsidR="00AC362E" w:rsidRPr="00491EF1" w14:paraId="54AE8DCA" w14:textId="77777777" w:rsidTr="00ED0631">
        <w:trPr>
          <w:trHeight w:val="315"/>
        </w:trPr>
        <w:tc>
          <w:tcPr>
            <w:tcW w:w="1853" w:type="dxa"/>
            <w:tcBorders>
              <w:top w:val="single" w:sz="4" w:space="0" w:color="auto"/>
              <w:left w:val="nil"/>
              <w:bottom w:val="single" w:sz="4" w:space="0" w:color="auto"/>
              <w:right w:val="nil"/>
            </w:tcBorders>
            <w:shd w:val="clear" w:color="auto" w:fill="auto"/>
            <w:noWrap/>
            <w:vAlign w:val="bottom"/>
            <w:hideMark/>
          </w:tcPr>
          <w:p w14:paraId="7387B58B"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Doing better</w:t>
            </w:r>
          </w:p>
        </w:tc>
        <w:tc>
          <w:tcPr>
            <w:tcW w:w="1697" w:type="dxa"/>
            <w:tcBorders>
              <w:top w:val="single" w:sz="4" w:space="0" w:color="auto"/>
              <w:left w:val="nil"/>
              <w:bottom w:val="single" w:sz="4" w:space="0" w:color="auto"/>
              <w:right w:val="nil"/>
            </w:tcBorders>
            <w:shd w:val="clear" w:color="auto" w:fill="auto"/>
            <w:noWrap/>
            <w:vAlign w:val="bottom"/>
            <w:hideMark/>
          </w:tcPr>
          <w:p w14:paraId="384C7D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051" w:type="dxa"/>
            <w:tcBorders>
              <w:top w:val="single" w:sz="4" w:space="0" w:color="auto"/>
              <w:left w:val="nil"/>
              <w:bottom w:val="single" w:sz="4" w:space="0" w:color="auto"/>
              <w:right w:val="nil"/>
            </w:tcBorders>
            <w:shd w:val="clear" w:color="auto" w:fill="auto"/>
            <w:noWrap/>
            <w:vAlign w:val="bottom"/>
            <w:hideMark/>
          </w:tcPr>
          <w:p w14:paraId="696BCF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059" w:type="dxa"/>
            <w:tcBorders>
              <w:top w:val="single" w:sz="4" w:space="0" w:color="auto"/>
              <w:left w:val="nil"/>
              <w:bottom w:val="single" w:sz="4" w:space="0" w:color="auto"/>
              <w:right w:val="nil"/>
            </w:tcBorders>
            <w:shd w:val="clear" w:color="auto" w:fill="auto"/>
            <w:noWrap/>
            <w:vAlign w:val="bottom"/>
            <w:hideMark/>
          </w:tcPr>
          <w:p w14:paraId="6816FB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0E1B29DA" w14:textId="77777777" w:rsidTr="00ED0631">
        <w:trPr>
          <w:trHeight w:val="315"/>
        </w:trPr>
        <w:tc>
          <w:tcPr>
            <w:tcW w:w="1853" w:type="dxa"/>
            <w:tcBorders>
              <w:top w:val="nil"/>
              <w:left w:val="nil"/>
              <w:bottom w:val="nil"/>
              <w:right w:val="nil"/>
            </w:tcBorders>
            <w:shd w:val="clear" w:color="auto" w:fill="auto"/>
            <w:noWrap/>
            <w:vAlign w:val="bottom"/>
            <w:hideMark/>
          </w:tcPr>
          <w:p w14:paraId="478271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697" w:type="dxa"/>
            <w:tcBorders>
              <w:top w:val="nil"/>
              <w:left w:val="nil"/>
              <w:bottom w:val="nil"/>
              <w:right w:val="nil"/>
            </w:tcBorders>
            <w:shd w:val="clear" w:color="auto" w:fill="auto"/>
            <w:noWrap/>
            <w:vAlign w:val="bottom"/>
            <w:hideMark/>
          </w:tcPr>
          <w:p w14:paraId="723C895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51" w:type="dxa"/>
            <w:tcBorders>
              <w:top w:val="nil"/>
              <w:left w:val="nil"/>
              <w:bottom w:val="nil"/>
              <w:right w:val="nil"/>
            </w:tcBorders>
            <w:shd w:val="clear" w:color="auto" w:fill="auto"/>
            <w:noWrap/>
            <w:vAlign w:val="bottom"/>
            <w:hideMark/>
          </w:tcPr>
          <w:p w14:paraId="176CA4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3DE4D06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E6D9B00" w14:textId="77777777" w:rsidTr="00ED0631">
        <w:trPr>
          <w:trHeight w:val="315"/>
        </w:trPr>
        <w:tc>
          <w:tcPr>
            <w:tcW w:w="1853" w:type="dxa"/>
            <w:tcBorders>
              <w:top w:val="nil"/>
              <w:left w:val="nil"/>
              <w:bottom w:val="nil"/>
              <w:right w:val="nil"/>
            </w:tcBorders>
            <w:shd w:val="clear" w:color="auto" w:fill="auto"/>
            <w:noWrap/>
            <w:vAlign w:val="bottom"/>
            <w:hideMark/>
          </w:tcPr>
          <w:p w14:paraId="432159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697" w:type="dxa"/>
            <w:tcBorders>
              <w:top w:val="nil"/>
              <w:left w:val="nil"/>
              <w:bottom w:val="nil"/>
              <w:right w:val="nil"/>
            </w:tcBorders>
            <w:shd w:val="clear" w:color="auto" w:fill="auto"/>
            <w:noWrap/>
            <w:vAlign w:val="bottom"/>
            <w:hideMark/>
          </w:tcPr>
          <w:p w14:paraId="716F89A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auto" w:fill="auto"/>
            <w:noWrap/>
            <w:vAlign w:val="bottom"/>
            <w:hideMark/>
          </w:tcPr>
          <w:p w14:paraId="5F009F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35E8C8D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500E1AF" w14:textId="77777777" w:rsidTr="00ED0631">
        <w:trPr>
          <w:trHeight w:val="315"/>
        </w:trPr>
        <w:tc>
          <w:tcPr>
            <w:tcW w:w="1853" w:type="dxa"/>
            <w:tcBorders>
              <w:top w:val="nil"/>
              <w:left w:val="nil"/>
              <w:bottom w:val="nil"/>
              <w:right w:val="nil"/>
            </w:tcBorders>
            <w:shd w:val="clear" w:color="auto" w:fill="auto"/>
            <w:noWrap/>
            <w:vAlign w:val="bottom"/>
            <w:hideMark/>
          </w:tcPr>
          <w:p w14:paraId="0DE020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697" w:type="dxa"/>
            <w:tcBorders>
              <w:top w:val="nil"/>
              <w:left w:val="nil"/>
              <w:bottom w:val="nil"/>
              <w:right w:val="nil"/>
            </w:tcBorders>
            <w:shd w:val="clear" w:color="auto" w:fill="auto"/>
            <w:noWrap/>
            <w:vAlign w:val="bottom"/>
            <w:hideMark/>
          </w:tcPr>
          <w:p w14:paraId="6A3861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0FEF89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737E07D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DA264CC" w14:textId="77777777" w:rsidTr="00ED0631">
        <w:trPr>
          <w:trHeight w:val="315"/>
        </w:trPr>
        <w:tc>
          <w:tcPr>
            <w:tcW w:w="1853" w:type="dxa"/>
            <w:tcBorders>
              <w:top w:val="nil"/>
              <w:left w:val="nil"/>
              <w:bottom w:val="nil"/>
              <w:right w:val="nil"/>
            </w:tcBorders>
            <w:shd w:val="clear" w:color="auto" w:fill="auto"/>
            <w:noWrap/>
            <w:vAlign w:val="bottom"/>
            <w:hideMark/>
          </w:tcPr>
          <w:p w14:paraId="4DDED1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697" w:type="dxa"/>
            <w:tcBorders>
              <w:top w:val="nil"/>
              <w:left w:val="nil"/>
              <w:bottom w:val="nil"/>
              <w:right w:val="nil"/>
            </w:tcBorders>
            <w:shd w:val="clear" w:color="auto" w:fill="auto"/>
            <w:noWrap/>
            <w:vAlign w:val="bottom"/>
            <w:hideMark/>
          </w:tcPr>
          <w:p w14:paraId="780B02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597A95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9" w:type="dxa"/>
            <w:tcBorders>
              <w:top w:val="nil"/>
              <w:left w:val="nil"/>
              <w:bottom w:val="nil"/>
              <w:right w:val="nil"/>
            </w:tcBorders>
            <w:shd w:val="clear" w:color="auto" w:fill="auto"/>
            <w:noWrap/>
            <w:vAlign w:val="bottom"/>
            <w:hideMark/>
          </w:tcPr>
          <w:p w14:paraId="4EB33F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3F61C558" w14:textId="77777777" w:rsidTr="00ED0631">
        <w:trPr>
          <w:trHeight w:val="315"/>
        </w:trPr>
        <w:tc>
          <w:tcPr>
            <w:tcW w:w="1853" w:type="dxa"/>
            <w:tcBorders>
              <w:top w:val="nil"/>
              <w:left w:val="nil"/>
              <w:bottom w:val="nil"/>
              <w:right w:val="nil"/>
            </w:tcBorders>
            <w:shd w:val="clear" w:color="auto" w:fill="auto"/>
            <w:noWrap/>
            <w:vAlign w:val="bottom"/>
            <w:hideMark/>
          </w:tcPr>
          <w:p w14:paraId="6A01C6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697" w:type="dxa"/>
            <w:tcBorders>
              <w:top w:val="nil"/>
              <w:left w:val="nil"/>
              <w:bottom w:val="nil"/>
              <w:right w:val="nil"/>
            </w:tcBorders>
            <w:shd w:val="clear" w:color="auto" w:fill="auto"/>
            <w:noWrap/>
            <w:vAlign w:val="bottom"/>
            <w:hideMark/>
          </w:tcPr>
          <w:p w14:paraId="611954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23C594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59" w:type="dxa"/>
            <w:tcBorders>
              <w:top w:val="nil"/>
              <w:left w:val="nil"/>
              <w:bottom w:val="nil"/>
              <w:right w:val="nil"/>
            </w:tcBorders>
            <w:shd w:val="clear" w:color="auto" w:fill="auto"/>
            <w:noWrap/>
            <w:vAlign w:val="bottom"/>
            <w:hideMark/>
          </w:tcPr>
          <w:p w14:paraId="6DE683F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EAAACD5" w14:textId="77777777" w:rsidTr="00ED0631">
        <w:trPr>
          <w:trHeight w:val="315"/>
        </w:trPr>
        <w:tc>
          <w:tcPr>
            <w:tcW w:w="1853" w:type="dxa"/>
            <w:tcBorders>
              <w:top w:val="nil"/>
              <w:left w:val="nil"/>
              <w:bottom w:val="nil"/>
              <w:right w:val="nil"/>
            </w:tcBorders>
            <w:shd w:val="clear" w:color="auto" w:fill="auto"/>
            <w:noWrap/>
            <w:vAlign w:val="bottom"/>
            <w:hideMark/>
          </w:tcPr>
          <w:p w14:paraId="24DC8B6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697" w:type="dxa"/>
            <w:tcBorders>
              <w:top w:val="nil"/>
              <w:left w:val="nil"/>
              <w:bottom w:val="nil"/>
              <w:right w:val="nil"/>
            </w:tcBorders>
            <w:shd w:val="clear" w:color="auto" w:fill="auto"/>
            <w:noWrap/>
            <w:vAlign w:val="bottom"/>
            <w:hideMark/>
          </w:tcPr>
          <w:p w14:paraId="3BDBA3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auto" w:fill="auto"/>
            <w:noWrap/>
            <w:vAlign w:val="bottom"/>
            <w:hideMark/>
          </w:tcPr>
          <w:p w14:paraId="741CB6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9" w:type="dxa"/>
            <w:tcBorders>
              <w:top w:val="nil"/>
              <w:left w:val="nil"/>
              <w:bottom w:val="nil"/>
              <w:right w:val="nil"/>
            </w:tcBorders>
            <w:shd w:val="clear" w:color="auto" w:fill="auto"/>
            <w:noWrap/>
            <w:vAlign w:val="bottom"/>
            <w:hideMark/>
          </w:tcPr>
          <w:p w14:paraId="0CA26FE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8D3CFA1" w14:textId="77777777" w:rsidTr="00ED0631">
        <w:trPr>
          <w:trHeight w:val="315"/>
        </w:trPr>
        <w:tc>
          <w:tcPr>
            <w:tcW w:w="1853" w:type="dxa"/>
            <w:tcBorders>
              <w:top w:val="nil"/>
              <w:left w:val="nil"/>
              <w:bottom w:val="nil"/>
              <w:right w:val="nil"/>
            </w:tcBorders>
            <w:shd w:val="clear" w:color="auto" w:fill="auto"/>
            <w:noWrap/>
            <w:vAlign w:val="bottom"/>
            <w:hideMark/>
          </w:tcPr>
          <w:p w14:paraId="04B533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697" w:type="dxa"/>
            <w:tcBorders>
              <w:top w:val="nil"/>
              <w:left w:val="nil"/>
              <w:bottom w:val="nil"/>
              <w:right w:val="nil"/>
            </w:tcBorders>
            <w:shd w:val="clear" w:color="auto" w:fill="auto"/>
            <w:noWrap/>
            <w:vAlign w:val="bottom"/>
            <w:hideMark/>
          </w:tcPr>
          <w:p w14:paraId="368B8A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51" w:type="dxa"/>
            <w:tcBorders>
              <w:top w:val="nil"/>
              <w:left w:val="nil"/>
              <w:bottom w:val="nil"/>
              <w:right w:val="nil"/>
            </w:tcBorders>
            <w:shd w:val="clear" w:color="auto" w:fill="auto"/>
            <w:noWrap/>
            <w:vAlign w:val="bottom"/>
            <w:hideMark/>
          </w:tcPr>
          <w:p w14:paraId="224A3B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14DE8C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6E58DAF8" w14:textId="77777777" w:rsidTr="00ED0631">
        <w:trPr>
          <w:trHeight w:val="315"/>
        </w:trPr>
        <w:tc>
          <w:tcPr>
            <w:tcW w:w="1853" w:type="dxa"/>
            <w:tcBorders>
              <w:top w:val="nil"/>
              <w:left w:val="nil"/>
              <w:bottom w:val="nil"/>
              <w:right w:val="nil"/>
            </w:tcBorders>
            <w:shd w:val="clear" w:color="auto" w:fill="auto"/>
            <w:noWrap/>
            <w:vAlign w:val="bottom"/>
            <w:hideMark/>
          </w:tcPr>
          <w:p w14:paraId="30D127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697" w:type="dxa"/>
            <w:tcBorders>
              <w:top w:val="nil"/>
              <w:left w:val="nil"/>
              <w:bottom w:val="nil"/>
              <w:right w:val="nil"/>
            </w:tcBorders>
            <w:shd w:val="clear" w:color="auto" w:fill="auto"/>
            <w:noWrap/>
            <w:vAlign w:val="bottom"/>
            <w:hideMark/>
          </w:tcPr>
          <w:p w14:paraId="62F00A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51" w:type="dxa"/>
            <w:tcBorders>
              <w:top w:val="nil"/>
              <w:left w:val="nil"/>
              <w:bottom w:val="nil"/>
              <w:right w:val="nil"/>
            </w:tcBorders>
            <w:shd w:val="clear" w:color="auto" w:fill="auto"/>
            <w:noWrap/>
            <w:vAlign w:val="bottom"/>
            <w:hideMark/>
          </w:tcPr>
          <w:p w14:paraId="2DD98B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9" w:type="dxa"/>
            <w:tcBorders>
              <w:top w:val="nil"/>
              <w:left w:val="nil"/>
              <w:bottom w:val="nil"/>
              <w:right w:val="nil"/>
            </w:tcBorders>
            <w:shd w:val="clear" w:color="auto" w:fill="auto"/>
            <w:noWrap/>
            <w:vAlign w:val="bottom"/>
            <w:hideMark/>
          </w:tcPr>
          <w:p w14:paraId="0DD98F3D"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F3E3B82" w14:textId="77777777" w:rsidTr="00ED0631">
        <w:trPr>
          <w:trHeight w:val="315"/>
        </w:trPr>
        <w:tc>
          <w:tcPr>
            <w:tcW w:w="1853" w:type="dxa"/>
            <w:tcBorders>
              <w:top w:val="nil"/>
              <w:left w:val="nil"/>
              <w:bottom w:val="nil"/>
              <w:right w:val="nil"/>
            </w:tcBorders>
            <w:shd w:val="clear" w:color="auto" w:fill="auto"/>
            <w:noWrap/>
            <w:vAlign w:val="bottom"/>
            <w:hideMark/>
          </w:tcPr>
          <w:p w14:paraId="61D544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697" w:type="dxa"/>
            <w:tcBorders>
              <w:top w:val="nil"/>
              <w:left w:val="nil"/>
              <w:bottom w:val="nil"/>
              <w:right w:val="nil"/>
            </w:tcBorders>
            <w:shd w:val="clear" w:color="auto" w:fill="auto"/>
            <w:noWrap/>
            <w:vAlign w:val="bottom"/>
            <w:hideMark/>
          </w:tcPr>
          <w:p w14:paraId="4DB92A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51" w:type="dxa"/>
            <w:tcBorders>
              <w:top w:val="nil"/>
              <w:left w:val="nil"/>
              <w:bottom w:val="nil"/>
              <w:right w:val="nil"/>
            </w:tcBorders>
            <w:shd w:val="clear" w:color="auto" w:fill="auto"/>
            <w:noWrap/>
            <w:vAlign w:val="bottom"/>
            <w:hideMark/>
          </w:tcPr>
          <w:p w14:paraId="538DD4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1059" w:type="dxa"/>
            <w:tcBorders>
              <w:top w:val="nil"/>
              <w:left w:val="nil"/>
              <w:bottom w:val="nil"/>
              <w:right w:val="nil"/>
            </w:tcBorders>
            <w:shd w:val="clear" w:color="auto" w:fill="auto"/>
            <w:noWrap/>
            <w:vAlign w:val="bottom"/>
            <w:hideMark/>
          </w:tcPr>
          <w:p w14:paraId="0330B93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36D1A49" w14:textId="77777777" w:rsidTr="00ED0631">
        <w:trPr>
          <w:trHeight w:val="315"/>
        </w:trPr>
        <w:tc>
          <w:tcPr>
            <w:tcW w:w="1853" w:type="dxa"/>
            <w:tcBorders>
              <w:top w:val="single" w:sz="4" w:space="0" w:color="auto"/>
              <w:left w:val="nil"/>
              <w:bottom w:val="single" w:sz="4" w:space="0" w:color="auto"/>
              <w:right w:val="nil"/>
            </w:tcBorders>
            <w:shd w:val="clear" w:color="auto" w:fill="auto"/>
            <w:noWrap/>
            <w:vAlign w:val="bottom"/>
            <w:hideMark/>
          </w:tcPr>
          <w:p w14:paraId="117DE3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697" w:type="dxa"/>
            <w:tcBorders>
              <w:top w:val="single" w:sz="4" w:space="0" w:color="auto"/>
              <w:left w:val="nil"/>
              <w:bottom w:val="single" w:sz="4" w:space="0" w:color="auto"/>
              <w:right w:val="nil"/>
            </w:tcBorders>
            <w:shd w:val="clear" w:color="auto" w:fill="auto"/>
            <w:noWrap/>
            <w:vAlign w:val="bottom"/>
            <w:hideMark/>
          </w:tcPr>
          <w:p w14:paraId="259A72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 </w:t>
            </w:r>
          </w:p>
        </w:tc>
        <w:tc>
          <w:tcPr>
            <w:tcW w:w="1051" w:type="dxa"/>
            <w:tcBorders>
              <w:top w:val="single" w:sz="4" w:space="0" w:color="auto"/>
              <w:left w:val="nil"/>
              <w:bottom w:val="single" w:sz="4" w:space="0" w:color="auto"/>
              <w:right w:val="nil"/>
            </w:tcBorders>
            <w:shd w:val="clear" w:color="auto" w:fill="auto"/>
            <w:noWrap/>
            <w:vAlign w:val="bottom"/>
            <w:hideMark/>
          </w:tcPr>
          <w:p w14:paraId="3114E5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29 </w:t>
            </w:r>
          </w:p>
        </w:tc>
        <w:tc>
          <w:tcPr>
            <w:tcW w:w="1059" w:type="dxa"/>
            <w:tcBorders>
              <w:top w:val="single" w:sz="4" w:space="0" w:color="auto"/>
              <w:left w:val="nil"/>
              <w:bottom w:val="single" w:sz="4" w:space="0" w:color="auto"/>
              <w:right w:val="nil"/>
            </w:tcBorders>
            <w:shd w:val="clear" w:color="auto" w:fill="auto"/>
            <w:noWrap/>
            <w:vAlign w:val="bottom"/>
            <w:hideMark/>
          </w:tcPr>
          <w:p w14:paraId="09A82A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bl>
    <w:p w14:paraId="5B960B5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24: Primary school leaders rating of the new curriculum by island category-doing better (overall) </w:t>
      </w:r>
    </w:p>
    <w:tbl>
      <w:tblPr>
        <w:tblW w:w="5821" w:type="dxa"/>
        <w:tblInd w:w="93" w:type="dxa"/>
        <w:tblLook w:val="04A0" w:firstRow="1" w:lastRow="0" w:firstColumn="1" w:lastColumn="0" w:noHBand="0" w:noVBand="1"/>
      </w:tblPr>
      <w:tblGrid>
        <w:gridCol w:w="1564"/>
        <w:gridCol w:w="1738"/>
        <w:gridCol w:w="1267"/>
        <w:gridCol w:w="1252"/>
      </w:tblGrid>
      <w:tr w:rsidR="00AC362E" w:rsidRPr="00491EF1" w14:paraId="690E795D" w14:textId="77777777" w:rsidTr="00ED0631">
        <w:trPr>
          <w:trHeight w:val="315"/>
        </w:trPr>
        <w:tc>
          <w:tcPr>
            <w:tcW w:w="1564" w:type="dxa"/>
            <w:tcBorders>
              <w:top w:val="single" w:sz="4" w:space="0" w:color="auto"/>
              <w:left w:val="nil"/>
              <w:bottom w:val="single" w:sz="4" w:space="0" w:color="auto"/>
              <w:right w:val="nil"/>
            </w:tcBorders>
            <w:shd w:val="clear" w:color="auto" w:fill="auto"/>
            <w:noWrap/>
            <w:vAlign w:val="bottom"/>
            <w:hideMark/>
          </w:tcPr>
          <w:p w14:paraId="263E7BAD" w14:textId="77777777" w:rsidR="00AC362E" w:rsidRPr="00491EF1" w:rsidRDefault="00AC362E" w:rsidP="00ED0631">
            <w:pPr>
              <w:spacing w:after="0"/>
              <w:rPr>
                <w:rFonts w:asciiTheme="majorHAnsi" w:eastAsia="Times New Roman" w:hAnsiTheme="majorHAnsi" w:cstheme="majorHAnsi"/>
                <w:b/>
                <w:bCs/>
                <w:color w:val="000000"/>
                <w:lang w:eastAsia="en-AU"/>
              </w:rPr>
            </w:pPr>
            <w:r w:rsidRPr="00491EF1">
              <w:rPr>
                <w:rFonts w:asciiTheme="majorHAnsi" w:eastAsia="Times New Roman" w:hAnsiTheme="majorHAnsi" w:cstheme="majorHAnsi"/>
                <w:b/>
                <w:bCs/>
                <w:color w:val="000000"/>
                <w:lang w:eastAsia="en-AU"/>
              </w:rPr>
              <w:t xml:space="preserve"> Doing better </w:t>
            </w:r>
          </w:p>
        </w:tc>
        <w:tc>
          <w:tcPr>
            <w:tcW w:w="1738" w:type="dxa"/>
            <w:tcBorders>
              <w:top w:val="single" w:sz="4" w:space="0" w:color="auto"/>
              <w:left w:val="nil"/>
              <w:bottom w:val="single" w:sz="4" w:space="0" w:color="auto"/>
              <w:right w:val="nil"/>
            </w:tcBorders>
            <w:shd w:val="clear" w:color="auto" w:fill="auto"/>
            <w:noWrap/>
            <w:vAlign w:val="bottom"/>
            <w:hideMark/>
          </w:tcPr>
          <w:p w14:paraId="461B58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Strongly agree </w:t>
            </w:r>
          </w:p>
        </w:tc>
        <w:tc>
          <w:tcPr>
            <w:tcW w:w="1267" w:type="dxa"/>
            <w:tcBorders>
              <w:top w:val="single" w:sz="4" w:space="0" w:color="auto"/>
              <w:left w:val="nil"/>
              <w:bottom w:val="single" w:sz="4" w:space="0" w:color="auto"/>
              <w:right w:val="nil"/>
            </w:tcBorders>
            <w:shd w:val="clear" w:color="auto" w:fill="auto"/>
            <w:noWrap/>
            <w:vAlign w:val="bottom"/>
            <w:hideMark/>
          </w:tcPr>
          <w:p w14:paraId="222364C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Agree </w:t>
            </w:r>
          </w:p>
        </w:tc>
        <w:tc>
          <w:tcPr>
            <w:tcW w:w="1252" w:type="dxa"/>
            <w:tcBorders>
              <w:top w:val="single" w:sz="4" w:space="0" w:color="auto"/>
              <w:left w:val="nil"/>
              <w:bottom w:val="single" w:sz="4" w:space="0" w:color="auto"/>
              <w:right w:val="nil"/>
            </w:tcBorders>
            <w:shd w:val="clear" w:color="auto" w:fill="auto"/>
            <w:noWrap/>
            <w:vAlign w:val="bottom"/>
            <w:hideMark/>
          </w:tcPr>
          <w:p w14:paraId="42DE66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Disagree </w:t>
            </w:r>
          </w:p>
        </w:tc>
      </w:tr>
      <w:tr w:rsidR="00AC362E" w:rsidRPr="00491EF1" w14:paraId="5A8CD256" w14:textId="77777777" w:rsidTr="00ED0631">
        <w:trPr>
          <w:trHeight w:val="315"/>
        </w:trPr>
        <w:tc>
          <w:tcPr>
            <w:tcW w:w="1564" w:type="dxa"/>
            <w:tcBorders>
              <w:top w:val="nil"/>
              <w:left w:val="nil"/>
              <w:bottom w:val="nil"/>
              <w:right w:val="nil"/>
            </w:tcBorders>
            <w:shd w:val="clear" w:color="auto" w:fill="auto"/>
            <w:noWrap/>
            <w:vAlign w:val="bottom"/>
            <w:hideMark/>
          </w:tcPr>
          <w:p w14:paraId="6B52C8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738" w:type="dxa"/>
            <w:tcBorders>
              <w:top w:val="nil"/>
              <w:left w:val="nil"/>
              <w:bottom w:val="nil"/>
              <w:right w:val="nil"/>
            </w:tcBorders>
            <w:shd w:val="clear" w:color="auto" w:fill="auto"/>
            <w:noWrap/>
            <w:vAlign w:val="bottom"/>
            <w:hideMark/>
          </w:tcPr>
          <w:p w14:paraId="61D7C1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267" w:type="dxa"/>
            <w:tcBorders>
              <w:top w:val="nil"/>
              <w:left w:val="nil"/>
              <w:bottom w:val="nil"/>
              <w:right w:val="nil"/>
            </w:tcBorders>
            <w:shd w:val="clear" w:color="auto" w:fill="auto"/>
            <w:noWrap/>
            <w:vAlign w:val="bottom"/>
            <w:hideMark/>
          </w:tcPr>
          <w:p w14:paraId="2D1D4A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1252" w:type="dxa"/>
            <w:tcBorders>
              <w:top w:val="nil"/>
              <w:left w:val="nil"/>
              <w:bottom w:val="nil"/>
              <w:right w:val="nil"/>
            </w:tcBorders>
            <w:shd w:val="clear" w:color="auto" w:fill="auto"/>
            <w:noWrap/>
            <w:vAlign w:val="bottom"/>
            <w:hideMark/>
          </w:tcPr>
          <w:p w14:paraId="57C5CE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039A1682" w14:textId="77777777" w:rsidTr="00ED0631">
        <w:trPr>
          <w:trHeight w:val="315"/>
        </w:trPr>
        <w:tc>
          <w:tcPr>
            <w:tcW w:w="1564" w:type="dxa"/>
            <w:tcBorders>
              <w:top w:val="nil"/>
              <w:left w:val="nil"/>
              <w:bottom w:val="nil"/>
              <w:right w:val="nil"/>
            </w:tcBorders>
            <w:shd w:val="clear" w:color="auto" w:fill="auto"/>
            <w:noWrap/>
            <w:vAlign w:val="bottom"/>
            <w:hideMark/>
          </w:tcPr>
          <w:p w14:paraId="676E03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738" w:type="dxa"/>
            <w:tcBorders>
              <w:top w:val="nil"/>
              <w:left w:val="nil"/>
              <w:bottom w:val="nil"/>
              <w:right w:val="nil"/>
            </w:tcBorders>
            <w:shd w:val="clear" w:color="auto" w:fill="auto"/>
            <w:noWrap/>
            <w:vAlign w:val="bottom"/>
            <w:hideMark/>
          </w:tcPr>
          <w:p w14:paraId="028B68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67" w:type="dxa"/>
            <w:tcBorders>
              <w:top w:val="nil"/>
              <w:left w:val="nil"/>
              <w:bottom w:val="nil"/>
              <w:right w:val="nil"/>
            </w:tcBorders>
            <w:shd w:val="clear" w:color="auto" w:fill="auto"/>
            <w:noWrap/>
            <w:vAlign w:val="bottom"/>
            <w:hideMark/>
          </w:tcPr>
          <w:p w14:paraId="39302C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252" w:type="dxa"/>
            <w:tcBorders>
              <w:top w:val="nil"/>
              <w:left w:val="nil"/>
              <w:bottom w:val="nil"/>
              <w:right w:val="nil"/>
            </w:tcBorders>
            <w:shd w:val="clear" w:color="auto" w:fill="auto"/>
            <w:noWrap/>
            <w:vAlign w:val="bottom"/>
            <w:hideMark/>
          </w:tcPr>
          <w:p w14:paraId="08280D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0AFAF3DE" w14:textId="77777777" w:rsidTr="00ED0631">
        <w:trPr>
          <w:trHeight w:val="315"/>
        </w:trPr>
        <w:tc>
          <w:tcPr>
            <w:tcW w:w="1564" w:type="dxa"/>
            <w:tcBorders>
              <w:top w:val="nil"/>
              <w:left w:val="nil"/>
              <w:bottom w:val="nil"/>
              <w:right w:val="nil"/>
            </w:tcBorders>
            <w:shd w:val="clear" w:color="auto" w:fill="auto"/>
            <w:noWrap/>
            <w:vAlign w:val="bottom"/>
            <w:hideMark/>
          </w:tcPr>
          <w:p w14:paraId="495E1F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738" w:type="dxa"/>
            <w:tcBorders>
              <w:top w:val="nil"/>
              <w:left w:val="nil"/>
              <w:bottom w:val="nil"/>
              <w:right w:val="nil"/>
            </w:tcBorders>
            <w:shd w:val="clear" w:color="auto" w:fill="auto"/>
            <w:noWrap/>
            <w:vAlign w:val="bottom"/>
            <w:hideMark/>
          </w:tcPr>
          <w:p w14:paraId="3ADD7E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267" w:type="dxa"/>
            <w:tcBorders>
              <w:top w:val="nil"/>
              <w:left w:val="nil"/>
              <w:bottom w:val="nil"/>
              <w:right w:val="nil"/>
            </w:tcBorders>
            <w:shd w:val="clear" w:color="auto" w:fill="auto"/>
            <w:noWrap/>
            <w:vAlign w:val="bottom"/>
            <w:hideMark/>
          </w:tcPr>
          <w:p w14:paraId="5E49ABF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252" w:type="dxa"/>
            <w:tcBorders>
              <w:top w:val="nil"/>
              <w:left w:val="nil"/>
              <w:bottom w:val="nil"/>
              <w:right w:val="nil"/>
            </w:tcBorders>
            <w:shd w:val="clear" w:color="auto" w:fill="auto"/>
            <w:noWrap/>
            <w:vAlign w:val="bottom"/>
            <w:hideMark/>
          </w:tcPr>
          <w:p w14:paraId="4B58066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7FC5664" w14:textId="77777777" w:rsidTr="00ED0631">
        <w:trPr>
          <w:trHeight w:val="315"/>
        </w:trPr>
        <w:tc>
          <w:tcPr>
            <w:tcW w:w="1564" w:type="dxa"/>
            <w:tcBorders>
              <w:top w:val="single" w:sz="4" w:space="0" w:color="auto"/>
              <w:left w:val="nil"/>
              <w:bottom w:val="single" w:sz="4" w:space="0" w:color="auto"/>
              <w:right w:val="nil"/>
            </w:tcBorders>
            <w:shd w:val="clear" w:color="auto" w:fill="auto"/>
            <w:noWrap/>
            <w:vAlign w:val="bottom"/>
            <w:hideMark/>
          </w:tcPr>
          <w:p w14:paraId="586A39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738" w:type="dxa"/>
            <w:tcBorders>
              <w:top w:val="single" w:sz="4" w:space="0" w:color="auto"/>
              <w:left w:val="nil"/>
              <w:bottom w:val="single" w:sz="4" w:space="0" w:color="auto"/>
              <w:right w:val="nil"/>
            </w:tcBorders>
            <w:shd w:val="clear" w:color="auto" w:fill="auto"/>
            <w:noWrap/>
            <w:vAlign w:val="bottom"/>
            <w:hideMark/>
          </w:tcPr>
          <w:p w14:paraId="7E2FC9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267" w:type="dxa"/>
            <w:tcBorders>
              <w:top w:val="single" w:sz="4" w:space="0" w:color="auto"/>
              <w:left w:val="nil"/>
              <w:bottom w:val="single" w:sz="4" w:space="0" w:color="auto"/>
              <w:right w:val="nil"/>
            </w:tcBorders>
            <w:shd w:val="clear" w:color="auto" w:fill="auto"/>
            <w:noWrap/>
            <w:vAlign w:val="bottom"/>
            <w:hideMark/>
          </w:tcPr>
          <w:p w14:paraId="0A6021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29 </w:t>
            </w:r>
          </w:p>
        </w:tc>
        <w:tc>
          <w:tcPr>
            <w:tcW w:w="1252" w:type="dxa"/>
            <w:tcBorders>
              <w:top w:val="single" w:sz="4" w:space="0" w:color="auto"/>
              <w:left w:val="nil"/>
              <w:bottom w:val="single" w:sz="4" w:space="0" w:color="auto"/>
              <w:right w:val="nil"/>
            </w:tcBorders>
            <w:shd w:val="clear" w:color="auto" w:fill="auto"/>
            <w:noWrap/>
            <w:vAlign w:val="bottom"/>
            <w:hideMark/>
          </w:tcPr>
          <w:p w14:paraId="24E248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bl>
    <w:p w14:paraId="468AF872"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25: Type of English language training completed in the last 4yrs by island</w:t>
      </w:r>
    </w:p>
    <w:tbl>
      <w:tblPr>
        <w:tblW w:w="7900" w:type="dxa"/>
        <w:tblInd w:w="93" w:type="dxa"/>
        <w:tblLook w:val="04A0" w:firstRow="1" w:lastRow="0" w:firstColumn="1" w:lastColumn="0" w:noHBand="0" w:noVBand="1"/>
      </w:tblPr>
      <w:tblGrid>
        <w:gridCol w:w="1691"/>
        <w:gridCol w:w="959"/>
        <w:gridCol w:w="2062"/>
        <w:gridCol w:w="1296"/>
        <w:gridCol w:w="946"/>
        <w:gridCol w:w="946"/>
      </w:tblGrid>
      <w:tr w:rsidR="00AC362E" w:rsidRPr="00491EF1" w14:paraId="0A6A2C63" w14:textId="77777777" w:rsidTr="00ED0631">
        <w:trPr>
          <w:trHeight w:val="315"/>
        </w:trPr>
        <w:tc>
          <w:tcPr>
            <w:tcW w:w="1691" w:type="dxa"/>
            <w:tcBorders>
              <w:top w:val="single" w:sz="4" w:space="0" w:color="auto"/>
              <w:left w:val="nil"/>
              <w:bottom w:val="single" w:sz="4" w:space="0" w:color="auto"/>
              <w:right w:val="nil"/>
            </w:tcBorders>
            <w:shd w:val="clear" w:color="auto" w:fill="auto"/>
            <w:noWrap/>
            <w:vAlign w:val="bottom"/>
            <w:hideMark/>
          </w:tcPr>
          <w:p w14:paraId="5C69F7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Type of training</w:t>
            </w:r>
          </w:p>
        </w:tc>
        <w:tc>
          <w:tcPr>
            <w:tcW w:w="959" w:type="dxa"/>
            <w:tcBorders>
              <w:top w:val="single" w:sz="4" w:space="0" w:color="auto"/>
              <w:left w:val="nil"/>
              <w:bottom w:val="single" w:sz="4" w:space="0" w:color="auto"/>
              <w:right w:val="nil"/>
            </w:tcBorders>
            <w:shd w:val="clear" w:color="auto" w:fill="auto"/>
            <w:noWrap/>
            <w:vAlign w:val="bottom"/>
            <w:hideMark/>
          </w:tcPr>
          <w:p w14:paraId="683B16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KELP </w:t>
            </w:r>
          </w:p>
        </w:tc>
        <w:tc>
          <w:tcPr>
            <w:tcW w:w="2062" w:type="dxa"/>
            <w:tcBorders>
              <w:top w:val="single" w:sz="4" w:space="0" w:color="auto"/>
              <w:left w:val="nil"/>
              <w:bottom w:val="single" w:sz="4" w:space="0" w:color="auto"/>
              <w:right w:val="nil"/>
            </w:tcBorders>
            <w:shd w:val="clear" w:color="auto" w:fill="auto"/>
            <w:noWrap/>
            <w:vAlign w:val="bottom"/>
            <w:hideMark/>
          </w:tcPr>
          <w:p w14:paraId="3DCB4D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TESOL-2012 &amp; KELP </w:t>
            </w:r>
          </w:p>
        </w:tc>
        <w:tc>
          <w:tcPr>
            <w:tcW w:w="1296" w:type="dxa"/>
            <w:tcBorders>
              <w:top w:val="single" w:sz="4" w:space="0" w:color="auto"/>
              <w:left w:val="nil"/>
              <w:bottom w:val="single" w:sz="4" w:space="0" w:color="auto"/>
              <w:right w:val="nil"/>
            </w:tcBorders>
            <w:shd w:val="clear" w:color="auto" w:fill="auto"/>
            <w:noWrap/>
            <w:vAlign w:val="bottom"/>
            <w:hideMark/>
          </w:tcPr>
          <w:p w14:paraId="3B65CC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TESOL-2012 </w:t>
            </w:r>
          </w:p>
        </w:tc>
        <w:tc>
          <w:tcPr>
            <w:tcW w:w="946" w:type="dxa"/>
            <w:tcBorders>
              <w:top w:val="single" w:sz="4" w:space="0" w:color="auto"/>
              <w:left w:val="nil"/>
              <w:bottom w:val="single" w:sz="4" w:space="0" w:color="auto"/>
              <w:right w:val="nil"/>
            </w:tcBorders>
            <w:shd w:val="clear" w:color="auto" w:fill="auto"/>
            <w:noWrap/>
            <w:vAlign w:val="bottom"/>
            <w:hideMark/>
          </w:tcPr>
          <w:p w14:paraId="4B5A816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c>
          <w:tcPr>
            <w:tcW w:w="946" w:type="dxa"/>
            <w:tcBorders>
              <w:top w:val="single" w:sz="4" w:space="0" w:color="auto"/>
              <w:left w:val="nil"/>
              <w:bottom w:val="single" w:sz="4" w:space="0" w:color="auto"/>
              <w:right w:val="nil"/>
            </w:tcBorders>
            <w:shd w:val="clear" w:color="auto" w:fill="auto"/>
            <w:noWrap/>
            <w:vAlign w:val="bottom"/>
            <w:hideMark/>
          </w:tcPr>
          <w:p w14:paraId="6A2437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None </w:t>
            </w:r>
          </w:p>
        </w:tc>
      </w:tr>
      <w:tr w:rsidR="00AC362E" w:rsidRPr="00491EF1" w14:paraId="6F02DB6C" w14:textId="77777777" w:rsidTr="00ED0631">
        <w:trPr>
          <w:trHeight w:val="315"/>
        </w:trPr>
        <w:tc>
          <w:tcPr>
            <w:tcW w:w="1691" w:type="dxa"/>
            <w:tcBorders>
              <w:top w:val="nil"/>
              <w:left w:val="nil"/>
              <w:bottom w:val="nil"/>
              <w:right w:val="nil"/>
            </w:tcBorders>
            <w:shd w:val="clear" w:color="auto" w:fill="auto"/>
            <w:noWrap/>
            <w:vAlign w:val="bottom"/>
            <w:hideMark/>
          </w:tcPr>
          <w:p w14:paraId="26359A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959" w:type="dxa"/>
            <w:tcBorders>
              <w:top w:val="nil"/>
              <w:left w:val="nil"/>
              <w:bottom w:val="nil"/>
              <w:right w:val="nil"/>
            </w:tcBorders>
            <w:shd w:val="clear" w:color="auto" w:fill="auto"/>
            <w:noWrap/>
            <w:vAlign w:val="bottom"/>
            <w:hideMark/>
          </w:tcPr>
          <w:p w14:paraId="716C2D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2062" w:type="dxa"/>
            <w:tcBorders>
              <w:top w:val="nil"/>
              <w:left w:val="nil"/>
              <w:bottom w:val="nil"/>
              <w:right w:val="nil"/>
            </w:tcBorders>
            <w:shd w:val="clear" w:color="auto" w:fill="auto"/>
            <w:noWrap/>
            <w:vAlign w:val="bottom"/>
            <w:hideMark/>
          </w:tcPr>
          <w:p w14:paraId="5E24BD3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427B37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946" w:type="dxa"/>
            <w:tcBorders>
              <w:top w:val="nil"/>
              <w:left w:val="nil"/>
              <w:bottom w:val="nil"/>
              <w:right w:val="nil"/>
            </w:tcBorders>
            <w:shd w:val="clear" w:color="auto" w:fill="auto"/>
            <w:noWrap/>
            <w:vAlign w:val="bottom"/>
            <w:hideMark/>
          </w:tcPr>
          <w:p w14:paraId="0C03776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7C088C7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24BBB4D" w14:textId="77777777" w:rsidTr="00ED0631">
        <w:trPr>
          <w:trHeight w:val="315"/>
        </w:trPr>
        <w:tc>
          <w:tcPr>
            <w:tcW w:w="1691" w:type="dxa"/>
            <w:tcBorders>
              <w:top w:val="nil"/>
              <w:left w:val="nil"/>
              <w:bottom w:val="nil"/>
              <w:right w:val="nil"/>
            </w:tcBorders>
            <w:shd w:val="clear" w:color="auto" w:fill="auto"/>
            <w:noWrap/>
            <w:vAlign w:val="bottom"/>
            <w:hideMark/>
          </w:tcPr>
          <w:p w14:paraId="5BA89E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959" w:type="dxa"/>
            <w:tcBorders>
              <w:top w:val="nil"/>
              <w:left w:val="nil"/>
              <w:bottom w:val="nil"/>
              <w:right w:val="nil"/>
            </w:tcBorders>
            <w:shd w:val="clear" w:color="auto" w:fill="auto"/>
            <w:noWrap/>
            <w:vAlign w:val="bottom"/>
            <w:hideMark/>
          </w:tcPr>
          <w:p w14:paraId="6EDBD7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2062" w:type="dxa"/>
            <w:tcBorders>
              <w:top w:val="nil"/>
              <w:left w:val="nil"/>
              <w:bottom w:val="nil"/>
              <w:right w:val="nil"/>
            </w:tcBorders>
            <w:shd w:val="clear" w:color="auto" w:fill="auto"/>
            <w:noWrap/>
            <w:vAlign w:val="bottom"/>
            <w:hideMark/>
          </w:tcPr>
          <w:p w14:paraId="02DE410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237207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6" w:type="dxa"/>
            <w:tcBorders>
              <w:top w:val="nil"/>
              <w:left w:val="nil"/>
              <w:bottom w:val="nil"/>
              <w:right w:val="nil"/>
            </w:tcBorders>
            <w:shd w:val="clear" w:color="auto" w:fill="auto"/>
            <w:noWrap/>
            <w:vAlign w:val="bottom"/>
            <w:hideMark/>
          </w:tcPr>
          <w:p w14:paraId="68A433A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7E5D748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3333B21" w14:textId="77777777" w:rsidTr="00ED0631">
        <w:trPr>
          <w:trHeight w:val="315"/>
        </w:trPr>
        <w:tc>
          <w:tcPr>
            <w:tcW w:w="1691" w:type="dxa"/>
            <w:tcBorders>
              <w:top w:val="nil"/>
              <w:left w:val="nil"/>
              <w:bottom w:val="nil"/>
              <w:right w:val="nil"/>
            </w:tcBorders>
            <w:shd w:val="clear" w:color="auto" w:fill="auto"/>
            <w:noWrap/>
            <w:vAlign w:val="bottom"/>
            <w:hideMark/>
          </w:tcPr>
          <w:p w14:paraId="0E5D60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959" w:type="dxa"/>
            <w:tcBorders>
              <w:top w:val="nil"/>
              <w:left w:val="nil"/>
              <w:bottom w:val="nil"/>
              <w:right w:val="nil"/>
            </w:tcBorders>
            <w:shd w:val="clear" w:color="auto" w:fill="auto"/>
            <w:noWrap/>
            <w:vAlign w:val="bottom"/>
            <w:hideMark/>
          </w:tcPr>
          <w:p w14:paraId="2F4FAF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2062" w:type="dxa"/>
            <w:tcBorders>
              <w:top w:val="nil"/>
              <w:left w:val="nil"/>
              <w:bottom w:val="nil"/>
              <w:right w:val="nil"/>
            </w:tcBorders>
            <w:shd w:val="clear" w:color="auto" w:fill="auto"/>
            <w:noWrap/>
            <w:vAlign w:val="bottom"/>
            <w:hideMark/>
          </w:tcPr>
          <w:p w14:paraId="1F0A3E1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66FBFE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46" w:type="dxa"/>
            <w:tcBorders>
              <w:top w:val="nil"/>
              <w:left w:val="nil"/>
              <w:bottom w:val="nil"/>
              <w:right w:val="nil"/>
            </w:tcBorders>
            <w:shd w:val="clear" w:color="auto" w:fill="auto"/>
            <w:noWrap/>
            <w:vAlign w:val="bottom"/>
            <w:hideMark/>
          </w:tcPr>
          <w:p w14:paraId="6C71666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5572765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3E0EC1F" w14:textId="77777777" w:rsidTr="00ED0631">
        <w:trPr>
          <w:trHeight w:val="315"/>
        </w:trPr>
        <w:tc>
          <w:tcPr>
            <w:tcW w:w="1691" w:type="dxa"/>
            <w:tcBorders>
              <w:top w:val="nil"/>
              <w:left w:val="nil"/>
              <w:bottom w:val="nil"/>
              <w:right w:val="nil"/>
            </w:tcBorders>
            <w:shd w:val="clear" w:color="auto" w:fill="auto"/>
            <w:noWrap/>
            <w:vAlign w:val="bottom"/>
            <w:hideMark/>
          </w:tcPr>
          <w:p w14:paraId="7F7032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959" w:type="dxa"/>
            <w:tcBorders>
              <w:top w:val="nil"/>
              <w:left w:val="nil"/>
              <w:bottom w:val="nil"/>
              <w:right w:val="nil"/>
            </w:tcBorders>
            <w:shd w:val="clear" w:color="auto" w:fill="auto"/>
            <w:noWrap/>
            <w:vAlign w:val="bottom"/>
            <w:hideMark/>
          </w:tcPr>
          <w:p w14:paraId="0E3D57D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2062" w:type="dxa"/>
            <w:tcBorders>
              <w:top w:val="nil"/>
              <w:left w:val="nil"/>
              <w:bottom w:val="nil"/>
              <w:right w:val="nil"/>
            </w:tcBorders>
            <w:shd w:val="clear" w:color="auto" w:fill="auto"/>
            <w:noWrap/>
            <w:vAlign w:val="bottom"/>
            <w:hideMark/>
          </w:tcPr>
          <w:p w14:paraId="625EDC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296" w:type="dxa"/>
            <w:tcBorders>
              <w:top w:val="nil"/>
              <w:left w:val="nil"/>
              <w:bottom w:val="nil"/>
              <w:right w:val="nil"/>
            </w:tcBorders>
            <w:shd w:val="clear" w:color="auto" w:fill="auto"/>
            <w:noWrap/>
            <w:vAlign w:val="bottom"/>
            <w:hideMark/>
          </w:tcPr>
          <w:p w14:paraId="6C3239E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46" w:type="dxa"/>
            <w:tcBorders>
              <w:top w:val="nil"/>
              <w:left w:val="nil"/>
              <w:bottom w:val="nil"/>
              <w:right w:val="nil"/>
            </w:tcBorders>
            <w:shd w:val="clear" w:color="auto" w:fill="auto"/>
            <w:noWrap/>
            <w:vAlign w:val="bottom"/>
            <w:hideMark/>
          </w:tcPr>
          <w:p w14:paraId="5DE39D7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001DD78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3EFEB5E" w14:textId="77777777" w:rsidTr="00ED0631">
        <w:trPr>
          <w:trHeight w:val="315"/>
        </w:trPr>
        <w:tc>
          <w:tcPr>
            <w:tcW w:w="1691" w:type="dxa"/>
            <w:tcBorders>
              <w:top w:val="nil"/>
              <w:left w:val="nil"/>
              <w:bottom w:val="nil"/>
              <w:right w:val="nil"/>
            </w:tcBorders>
            <w:shd w:val="clear" w:color="auto" w:fill="auto"/>
            <w:noWrap/>
            <w:vAlign w:val="bottom"/>
            <w:hideMark/>
          </w:tcPr>
          <w:p w14:paraId="36CF11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959" w:type="dxa"/>
            <w:tcBorders>
              <w:top w:val="nil"/>
              <w:left w:val="nil"/>
              <w:bottom w:val="nil"/>
              <w:right w:val="nil"/>
            </w:tcBorders>
            <w:shd w:val="clear" w:color="auto" w:fill="auto"/>
            <w:noWrap/>
            <w:vAlign w:val="bottom"/>
            <w:hideMark/>
          </w:tcPr>
          <w:p w14:paraId="40E2BC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2062" w:type="dxa"/>
            <w:tcBorders>
              <w:top w:val="nil"/>
              <w:left w:val="nil"/>
              <w:bottom w:val="nil"/>
              <w:right w:val="nil"/>
            </w:tcBorders>
            <w:shd w:val="clear" w:color="auto" w:fill="auto"/>
            <w:noWrap/>
            <w:vAlign w:val="bottom"/>
            <w:hideMark/>
          </w:tcPr>
          <w:p w14:paraId="55582E1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32ECAB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946" w:type="dxa"/>
            <w:tcBorders>
              <w:top w:val="nil"/>
              <w:left w:val="nil"/>
              <w:bottom w:val="nil"/>
              <w:right w:val="nil"/>
            </w:tcBorders>
            <w:shd w:val="clear" w:color="auto" w:fill="auto"/>
            <w:noWrap/>
            <w:vAlign w:val="bottom"/>
            <w:hideMark/>
          </w:tcPr>
          <w:p w14:paraId="3C739F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6" w:type="dxa"/>
            <w:tcBorders>
              <w:top w:val="nil"/>
              <w:left w:val="nil"/>
              <w:bottom w:val="nil"/>
              <w:right w:val="nil"/>
            </w:tcBorders>
            <w:shd w:val="clear" w:color="auto" w:fill="auto"/>
            <w:noWrap/>
            <w:vAlign w:val="bottom"/>
            <w:hideMark/>
          </w:tcPr>
          <w:p w14:paraId="3AC85EF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3F35839" w14:textId="77777777" w:rsidTr="00ED0631">
        <w:trPr>
          <w:trHeight w:val="315"/>
        </w:trPr>
        <w:tc>
          <w:tcPr>
            <w:tcW w:w="1691" w:type="dxa"/>
            <w:tcBorders>
              <w:top w:val="nil"/>
              <w:left w:val="nil"/>
              <w:bottom w:val="nil"/>
              <w:right w:val="nil"/>
            </w:tcBorders>
            <w:shd w:val="clear" w:color="auto" w:fill="auto"/>
            <w:noWrap/>
            <w:vAlign w:val="bottom"/>
            <w:hideMark/>
          </w:tcPr>
          <w:p w14:paraId="162553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959" w:type="dxa"/>
            <w:tcBorders>
              <w:top w:val="nil"/>
              <w:left w:val="nil"/>
              <w:bottom w:val="nil"/>
              <w:right w:val="nil"/>
            </w:tcBorders>
            <w:shd w:val="clear" w:color="auto" w:fill="auto"/>
            <w:noWrap/>
            <w:vAlign w:val="bottom"/>
            <w:hideMark/>
          </w:tcPr>
          <w:p w14:paraId="310089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2062" w:type="dxa"/>
            <w:tcBorders>
              <w:top w:val="nil"/>
              <w:left w:val="nil"/>
              <w:bottom w:val="nil"/>
              <w:right w:val="nil"/>
            </w:tcBorders>
            <w:shd w:val="clear" w:color="auto" w:fill="auto"/>
            <w:noWrap/>
            <w:vAlign w:val="bottom"/>
            <w:hideMark/>
          </w:tcPr>
          <w:p w14:paraId="7CB42BF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27073A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6" w:type="dxa"/>
            <w:tcBorders>
              <w:top w:val="nil"/>
              <w:left w:val="nil"/>
              <w:bottom w:val="nil"/>
              <w:right w:val="nil"/>
            </w:tcBorders>
            <w:shd w:val="clear" w:color="auto" w:fill="auto"/>
            <w:noWrap/>
            <w:vAlign w:val="bottom"/>
            <w:hideMark/>
          </w:tcPr>
          <w:p w14:paraId="5B64106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28D58F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35555C52" w14:textId="77777777" w:rsidTr="00ED0631">
        <w:trPr>
          <w:trHeight w:val="315"/>
        </w:trPr>
        <w:tc>
          <w:tcPr>
            <w:tcW w:w="1691" w:type="dxa"/>
            <w:tcBorders>
              <w:top w:val="nil"/>
              <w:left w:val="nil"/>
              <w:bottom w:val="nil"/>
              <w:right w:val="nil"/>
            </w:tcBorders>
            <w:shd w:val="clear" w:color="auto" w:fill="auto"/>
            <w:noWrap/>
            <w:vAlign w:val="bottom"/>
            <w:hideMark/>
          </w:tcPr>
          <w:p w14:paraId="498C42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959" w:type="dxa"/>
            <w:tcBorders>
              <w:top w:val="nil"/>
              <w:left w:val="nil"/>
              <w:bottom w:val="nil"/>
              <w:right w:val="nil"/>
            </w:tcBorders>
            <w:shd w:val="clear" w:color="auto" w:fill="auto"/>
            <w:noWrap/>
            <w:vAlign w:val="bottom"/>
            <w:hideMark/>
          </w:tcPr>
          <w:p w14:paraId="24E1C5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2062" w:type="dxa"/>
            <w:tcBorders>
              <w:top w:val="nil"/>
              <w:left w:val="nil"/>
              <w:bottom w:val="nil"/>
              <w:right w:val="nil"/>
            </w:tcBorders>
            <w:shd w:val="clear" w:color="auto" w:fill="auto"/>
            <w:noWrap/>
            <w:vAlign w:val="bottom"/>
            <w:hideMark/>
          </w:tcPr>
          <w:p w14:paraId="045F0AB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4D2BB3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6" w:type="dxa"/>
            <w:tcBorders>
              <w:top w:val="nil"/>
              <w:left w:val="nil"/>
              <w:bottom w:val="nil"/>
              <w:right w:val="nil"/>
            </w:tcBorders>
            <w:shd w:val="clear" w:color="auto" w:fill="auto"/>
            <w:noWrap/>
            <w:vAlign w:val="bottom"/>
            <w:hideMark/>
          </w:tcPr>
          <w:p w14:paraId="20A443F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58CFC21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F9D6929" w14:textId="77777777" w:rsidTr="00ED0631">
        <w:trPr>
          <w:trHeight w:val="315"/>
        </w:trPr>
        <w:tc>
          <w:tcPr>
            <w:tcW w:w="1691" w:type="dxa"/>
            <w:tcBorders>
              <w:top w:val="nil"/>
              <w:left w:val="nil"/>
              <w:bottom w:val="nil"/>
              <w:right w:val="nil"/>
            </w:tcBorders>
            <w:shd w:val="clear" w:color="auto" w:fill="auto"/>
            <w:noWrap/>
            <w:vAlign w:val="bottom"/>
            <w:hideMark/>
          </w:tcPr>
          <w:p w14:paraId="26C394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959" w:type="dxa"/>
            <w:tcBorders>
              <w:top w:val="nil"/>
              <w:left w:val="nil"/>
              <w:bottom w:val="nil"/>
              <w:right w:val="nil"/>
            </w:tcBorders>
            <w:shd w:val="clear" w:color="auto" w:fill="auto"/>
            <w:noWrap/>
            <w:vAlign w:val="bottom"/>
            <w:hideMark/>
          </w:tcPr>
          <w:p w14:paraId="38279C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2062" w:type="dxa"/>
            <w:tcBorders>
              <w:top w:val="nil"/>
              <w:left w:val="nil"/>
              <w:bottom w:val="nil"/>
              <w:right w:val="nil"/>
            </w:tcBorders>
            <w:shd w:val="clear" w:color="auto" w:fill="auto"/>
            <w:noWrap/>
            <w:vAlign w:val="bottom"/>
            <w:hideMark/>
          </w:tcPr>
          <w:p w14:paraId="62B07C1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27947F21"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06DDDE7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46" w:type="dxa"/>
            <w:tcBorders>
              <w:top w:val="nil"/>
              <w:left w:val="nil"/>
              <w:bottom w:val="nil"/>
              <w:right w:val="nil"/>
            </w:tcBorders>
            <w:shd w:val="clear" w:color="auto" w:fill="auto"/>
            <w:noWrap/>
            <w:vAlign w:val="bottom"/>
            <w:hideMark/>
          </w:tcPr>
          <w:p w14:paraId="08AD68E2"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C06385D" w14:textId="77777777" w:rsidTr="00ED0631">
        <w:trPr>
          <w:trHeight w:val="315"/>
        </w:trPr>
        <w:tc>
          <w:tcPr>
            <w:tcW w:w="1691" w:type="dxa"/>
            <w:tcBorders>
              <w:top w:val="nil"/>
              <w:left w:val="nil"/>
              <w:bottom w:val="nil"/>
              <w:right w:val="nil"/>
            </w:tcBorders>
            <w:shd w:val="clear" w:color="auto" w:fill="auto"/>
            <w:noWrap/>
            <w:vAlign w:val="bottom"/>
            <w:hideMark/>
          </w:tcPr>
          <w:p w14:paraId="54D839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959" w:type="dxa"/>
            <w:tcBorders>
              <w:top w:val="nil"/>
              <w:left w:val="nil"/>
              <w:bottom w:val="nil"/>
              <w:right w:val="nil"/>
            </w:tcBorders>
            <w:shd w:val="clear" w:color="auto" w:fill="auto"/>
            <w:noWrap/>
            <w:vAlign w:val="bottom"/>
            <w:hideMark/>
          </w:tcPr>
          <w:p w14:paraId="06242F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2062" w:type="dxa"/>
            <w:tcBorders>
              <w:top w:val="nil"/>
              <w:left w:val="nil"/>
              <w:bottom w:val="nil"/>
              <w:right w:val="nil"/>
            </w:tcBorders>
            <w:shd w:val="clear" w:color="auto" w:fill="auto"/>
            <w:noWrap/>
            <w:vAlign w:val="bottom"/>
            <w:hideMark/>
          </w:tcPr>
          <w:p w14:paraId="353E856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6" w:type="dxa"/>
            <w:tcBorders>
              <w:top w:val="nil"/>
              <w:left w:val="nil"/>
              <w:bottom w:val="nil"/>
              <w:right w:val="nil"/>
            </w:tcBorders>
            <w:shd w:val="clear" w:color="auto" w:fill="auto"/>
            <w:noWrap/>
            <w:vAlign w:val="bottom"/>
            <w:hideMark/>
          </w:tcPr>
          <w:p w14:paraId="3A90CD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8 </w:t>
            </w:r>
          </w:p>
        </w:tc>
        <w:tc>
          <w:tcPr>
            <w:tcW w:w="946" w:type="dxa"/>
            <w:tcBorders>
              <w:top w:val="nil"/>
              <w:left w:val="nil"/>
              <w:bottom w:val="nil"/>
              <w:right w:val="nil"/>
            </w:tcBorders>
            <w:shd w:val="clear" w:color="auto" w:fill="auto"/>
            <w:noWrap/>
            <w:vAlign w:val="bottom"/>
            <w:hideMark/>
          </w:tcPr>
          <w:p w14:paraId="60178FF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46" w:type="dxa"/>
            <w:tcBorders>
              <w:top w:val="nil"/>
              <w:left w:val="nil"/>
              <w:bottom w:val="nil"/>
              <w:right w:val="nil"/>
            </w:tcBorders>
            <w:shd w:val="clear" w:color="auto" w:fill="auto"/>
            <w:noWrap/>
            <w:vAlign w:val="bottom"/>
            <w:hideMark/>
          </w:tcPr>
          <w:p w14:paraId="02FAD69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E2F2C5A" w14:textId="77777777" w:rsidTr="00ED0631">
        <w:trPr>
          <w:trHeight w:val="315"/>
        </w:trPr>
        <w:tc>
          <w:tcPr>
            <w:tcW w:w="1691" w:type="dxa"/>
            <w:tcBorders>
              <w:top w:val="single" w:sz="4" w:space="0" w:color="auto"/>
              <w:left w:val="nil"/>
              <w:bottom w:val="single" w:sz="4" w:space="0" w:color="auto"/>
              <w:right w:val="nil"/>
            </w:tcBorders>
            <w:shd w:val="clear" w:color="auto" w:fill="auto"/>
            <w:noWrap/>
            <w:vAlign w:val="bottom"/>
            <w:hideMark/>
          </w:tcPr>
          <w:p w14:paraId="45AD30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959" w:type="dxa"/>
            <w:tcBorders>
              <w:top w:val="single" w:sz="4" w:space="0" w:color="auto"/>
              <w:left w:val="nil"/>
              <w:bottom w:val="single" w:sz="4" w:space="0" w:color="auto"/>
              <w:right w:val="nil"/>
            </w:tcBorders>
            <w:shd w:val="clear" w:color="auto" w:fill="auto"/>
            <w:noWrap/>
            <w:vAlign w:val="bottom"/>
            <w:hideMark/>
          </w:tcPr>
          <w:p w14:paraId="203485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19 </w:t>
            </w:r>
          </w:p>
        </w:tc>
        <w:tc>
          <w:tcPr>
            <w:tcW w:w="2062" w:type="dxa"/>
            <w:tcBorders>
              <w:top w:val="single" w:sz="4" w:space="0" w:color="auto"/>
              <w:left w:val="nil"/>
              <w:bottom w:val="single" w:sz="4" w:space="0" w:color="auto"/>
              <w:right w:val="nil"/>
            </w:tcBorders>
            <w:shd w:val="clear" w:color="auto" w:fill="auto"/>
            <w:noWrap/>
            <w:vAlign w:val="bottom"/>
            <w:hideMark/>
          </w:tcPr>
          <w:p w14:paraId="19F919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296" w:type="dxa"/>
            <w:tcBorders>
              <w:top w:val="single" w:sz="4" w:space="0" w:color="auto"/>
              <w:left w:val="nil"/>
              <w:bottom w:val="single" w:sz="4" w:space="0" w:color="auto"/>
              <w:right w:val="nil"/>
            </w:tcBorders>
            <w:shd w:val="clear" w:color="auto" w:fill="auto"/>
            <w:noWrap/>
            <w:vAlign w:val="bottom"/>
            <w:hideMark/>
          </w:tcPr>
          <w:p w14:paraId="045C29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24 </w:t>
            </w:r>
          </w:p>
        </w:tc>
        <w:tc>
          <w:tcPr>
            <w:tcW w:w="946" w:type="dxa"/>
            <w:tcBorders>
              <w:top w:val="single" w:sz="4" w:space="0" w:color="auto"/>
              <w:left w:val="nil"/>
              <w:bottom w:val="single" w:sz="4" w:space="0" w:color="auto"/>
              <w:right w:val="nil"/>
            </w:tcBorders>
            <w:shd w:val="clear" w:color="auto" w:fill="auto"/>
            <w:noWrap/>
            <w:vAlign w:val="bottom"/>
            <w:hideMark/>
          </w:tcPr>
          <w:p w14:paraId="5EA241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46" w:type="dxa"/>
            <w:tcBorders>
              <w:top w:val="single" w:sz="4" w:space="0" w:color="auto"/>
              <w:left w:val="nil"/>
              <w:bottom w:val="single" w:sz="4" w:space="0" w:color="auto"/>
              <w:right w:val="nil"/>
            </w:tcBorders>
            <w:shd w:val="clear" w:color="auto" w:fill="auto"/>
            <w:noWrap/>
            <w:vAlign w:val="bottom"/>
            <w:hideMark/>
          </w:tcPr>
          <w:p w14:paraId="11A8A7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42C5316B"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22059C9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 xml:space="preserve">Table 26: Type of English language training completed in the last 4yrs by island category </w:t>
      </w:r>
    </w:p>
    <w:tbl>
      <w:tblPr>
        <w:tblW w:w="8420" w:type="dxa"/>
        <w:tblInd w:w="93" w:type="dxa"/>
        <w:tblLook w:val="04A0" w:firstRow="1" w:lastRow="0" w:firstColumn="1" w:lastColumn="0" w:noHBand="0" w:noVBand="1"/>
      </w:tblPr>
      <w:tblGrid>
        <w:gridCol w:w="1685"/>
        <w:gridCol w:w="1132"/>
        <w:gridCol w:w="2068"/>
        <w:gridCol w:w="1299"/>
        <w:gridCol w:w="1118"/>
        <w:gridCol w:w="1118"/>
      </w:tblGrid>
      <w:tr w:rsidR="00AC362E" w:rsidRPr="00491EF1" w14:paraId="220661D1" w14:textId="77777777" w:rsidTr="00ED0631">
        <w:trPr>
          <w:trHeight w:val="315"/>
        </w:trPr>
        <w:tc>
          <w:tcPr>
            <w:tcW w:w="1685" w:type="dxa"/>
            <w:tcBorders>
              <w:top w:val="single" w:sz="4" w:space="0" w:color="auto"/>
              <w:left w:val="nil"/>
              <w:bottom w:val="single" w:sz="4" w:space="0" w:color="auto"/>
              <w:right w:val="nil"/>
            </w:tcBorders>
            <w:shd w:val="clear" w:color="auto" w:fill="auto"/>
            <w:noWrap/>
            <w:vAlign w:val="bottom"/>
            <w:hideMark/>
          </w:tcPr>
          <w:p w14:paraId="4C55AB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Type of training </w:t>
            </w:r>
          </w:p>
        </w:tc>
        <w:tc>
          <w:tcPr>
            <w:tcW w:w="1132" w:type="dxa"/>
            <w:tcBorders>
              <w:top w:val="single" w:sz="4" w:space="0" w:color="auto"/>
              <w:left w:val="nil"/>
              <w:bottom w:val="single" w:sz="4" w:space="0" w:color="auto"/>
              <w:right w:val="nil"/>
            </w:tcBorders>
            <w:shd w:val="clear" w:color="auto" w:fill="auto"/>
            <w:noWrap/>
            <w:vAlign w:val="bottom"/>
            <w:hideMark/>
          </w:tcPr>
          <w:p w14:paraId="0DAB66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KELP </w:t>
            </w:r>
          </w:p>
        </w:tc>
        <w:tc>
          <w:tcPr>
            <w:tcW w:w="2068" w:type="dxa"/>
            <w:tcBorders>
              <w:top w:val="single" w:sz="4" w:space="0" w:color="auto"/>
              <w:left w:val="nil"/>
              <w:bottom w:val="single" w:sz="4" w:space="0" w:color="auto"/>
              <w:right w:val="nil"/>
            </w:tcBorders>
            <w:shd w:val="clear" w:color="auto" w:fill="auto"/>
            <w:noWrap/>
            <w:vAlign w:val="bottom"/>
            <w:hideMark/>
          </w:tcPr>
          <w:p w14:paraId="038DF6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TESOL-2012 &amp; KELP </w:t>
            </w:r>
          </w:p>
        </w:tc>
        <w:tc>
          <w:tcPr>
            <w:tcW w:w="1299" w:type="dxa"/>
            <w:tcBorders>
              <w:top w:val="single" w:sz="4" w:space="0" w:color="auto"/>
              <w:left w:val="nil"/>
              <w:bottom w:val="single" w:sz="4" w:space="0" w:color="auto"/>
              <w:right w:val="nil"/>
            </w:tcBorders>
            <w:shd w:val="clear" w:color="auto" w:fill="auto"/>
            <w:noWrap/>
            <w:vAlign w:val="bottom"/>
            <w:hideMark/>
          </w:tcPr>
          <w:p w14:paraId="783475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TESOL-2012 </w:t>
            </w:r>
          </w:p>
        </w:tc>
        <w:tc>
          <w:tcPr>
            <w:tcW w:w="1118" w:type="dxa"/>
            <w:tcBorders>
              <w:top w:val="single" w:sz="4" w:space="0" w:color="auto"/>
              <w:left w:val="nil"/>
              <w:bottom w:val="single" w:sz="4" w:space="0" w:color="auto"/>
              <w:right w:val="nil"/>
            </w:tcBorders>
            <w:shd w:val="clear" w:color="auto" w:fill="auto"/>
            <w:noWrap/>
            <w:vAlign w:val="bottom"/>
            <w:hideMark/>
          </w:tcPr>
          <w:p w14:paraId="0F80A3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Other </w:t>
            </w:r>
          </w:p>
        </w:tc>
        <w:tc>
          <w:tcPr>
            <w:tcW w:w="1118" w:type="dxa"/>
            <w:tcBorders>
              <w:top w:val="single" w:sz="4" w:space="0" w:color="auto"/>
              <w:left w:val="nil"/>
              <w:bottom w:val="single" w:sz="4" w:space="0" w:color="auto"/>
              <w:right w:val="nil"/>
            </w:tcBorders>
            <w:shd w:val="clear" w:color="auto" w:fill="auto"/>
            <w:noWrap/>
            <w:vAlign w:val="bottom"/>
            <w:hideMark/>
          </w:tcPr>
          <w:p w14:paraId="5507A9B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None </w:t>
            </w:r>
          </w:p>
        </w:tc>
      </w:tr>
      <w:tr w:rsidR="00AC362E" w:rsidRPr="00491EF1" w14:paraId="5B4BC370" w14:textId="77777777" w:rsidTr="00ED0631">
        <w:trPr>
          <w:trHeight w:val="315"/>
        </w:trPr>
        <w:tc>
          <w:tcPr>
            <w:tcW w:w="1685" w:type="dxa"/>
            <w:tcBorders>
              <w:top w:val="nil"/>
              <w:left w:val="nil"/>
              <w:bottom w:val="nil"/>
              <w:right w:val="nil"/>
            </w:tcBorders>
            <w:shd w:val="clear" w:color="auto" w:fill="auto"/>
            <w:noWrap/>
            <w:vAlign w:val="bottom"/>
            <w:hideMark/>
          </w:tcPr>
          <w:p w14:paraId="69E359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132" w:type="dxa"/>
            <w:tcBorders>
              <w:top w:val="nil"/>
              <w:left w:val="nil"/>
              <w:bottom w:val="nil"/>
              <w:right w:val="nil"/>
            </w:tcBorders>
            <w:shd w:val="clear" w:color="auto" w:fill="auto"/>
            <w:noWrap/>
            <w:vAlign w:val="bottom"/>
            <w:hideMark/>
          </w:tcPr>
          <w:p w14:paraId="51E6D3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 </w:t>
            </w:r>
          </w:p>
        </w:tc>
        <w:tc>
          <w:tcPr>
            <w:tcW w:w="2068" w:type="dxa"/>
            <w:tcBorders>
              <w:top w:val="nil"/>
              <w:left w:val="nil"/>
              <w:bottom w:val="nil"/>
              <w:right w:val="nil"/>
            </w:tcBorders>
            <w:shd w:val="clear" w:color="auto" w:fill="auto"/>
            <w:noWrap/>
            <w:vAlign w:val="bottom"/>
            <w:hideMark/>
          </w:tcPr>
          <w:p w14:paraId="1F4D4D4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9" w:type="dxa"/>
            <w:tcBorders>
              <w:top w:val="nil"/>
              <w:left w:val="nil"/>
              <w:bottom w:val="nil"/>
              <w:right w:val="nil"/>
            </w:tcBorders>
            <w:shd w:val="clear" w:color="auto" w:fill="auto"/>
            <w:noWrap/>
            <w:vAlign w:val="bottom"/>
            <w:hideMark/>
          </w:tcPr>
          <w:p w14:paraId="739ADD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118" w:type="dxa"/>
            <w:tcBorders>
              <w:top w:val="nil"/>
              <w:left w:val="nil"/>
              <w:bottom w:val="nil"/>
              <w:right w:val="nil"/>
            </w:tcBorders>
            <w:shd w:val="clear" w:color="auto" w:fill="auto"/>
            <w:noWrap/>
            <w:vAlign w:val="bottom"/>
            <w:hideMark/>
          </w:tcPr>
          <w:p w14:paraId="173664B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18" w:type="dxa"/>
            <w:tcBorders>
              <w:top w:val="nil"/>
              <w:left w:val="nil"/>
              <w:bottom w:val="nil"/>
              <w:right w:val="nil"/>
            </w:tcBorders>
            <w:shd w:val="clear" w:color="auto" w:fill="auto"/>
            <w:noWrap/>
            <w:vAlign w:val="bottom"/>
            <w:hideMark/>
          </w:tcPr>
          <w:p w14:paraId="1CC20B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4C3DFEBA" w14:textId="77777777" w:rsidTr="00ED0631">
        <w:trPr>
          <w:trHeight w:val="315"/>
        </w:trPr>
        <w:tc>
          <w:tcPr>
            <w:tcW w:w="1685" w:type="dxa"/>
            <w:tcBorders>
              <w:top w:val="nil"/>
              <w:left w:val="nil"/>
              <w:bottom w:val="nil"/>
              <w:right w:val="nil"/>
            </w:tcBorders>
            <w:shd w:val="clear" w:color="auto" w:fill="auto"/>
            <w:noWrap/>
            <w:vAlign w:val="bottom"/>
            <w:hideMark/>
          </w:tcPr>
          <w:p w14:paraId="049585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132" w:type="dxa"/>
            <w:tcBorders>
              <w:top w:val="nil"/>
              <w:left w:val="nil"/>
              <w:bottom w:val="nil"/>
              <w:right w:val="nil"/>
            </w:tcBorders>
            <w:shd w:val="clear" w:color="auto" w:fill="auto"/>
            <w:noWrap/>
            <w:vAlign w:val="bottom"/>
            <w:hideMark/>
          </w:tcPr>
          <w:p w14:paraId="77246D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2068" w:type="dxa"/>
            <w:tcBorders>
              <w:top w:val="nil"/>
              <w:left w:val="nil"/>
              <w:bottom w:val="nil"/>
              <w:right w:val="nil"/>
            </w:tcBorders>
            <w:shd w:val="clear" w:color="auto" w:fill="auto"/>
            <w:noWrap/>
            <w:vAlign w:val="bottom"/>
            <w:hideMark/>
          </w:tcPr>
          <w:p w14:paraId="4B8B29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99" w:type="dxa"/>
            <w:tcBorders>
              <w:top w:val="nil"/>
              <w:left w:val="nil"/>
              <w:bottom w:val="nil"/>
              <w:right w:val="nil"/>
            </w:tcBorders>
            <w:shd w:val="clear" w:color="auto" w:fill="auto"/>
            <w:noWrap/>
            <w:vAlign w:val="bottom"/>
            <w:hideMark/>
          </w:tcPr>
          <w:p w14:paraId="34CFF2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118" w:type="dxa"/>
            <w:tcBorders>
              <w:top w:val="nil"/>
              <w:left w:val="nil"/>
              <w:bottom w:val="nil"/>
              <w:right w:val="nil"/>
            </w:tcBorders>
            <w:shd w:val="clear" w:color="auto" w:fill="auto"/>
            <w:noWrap/>
            <w:vAlign w:val="bottom"/>
            <w:hideMark/>
          </w:tcPr>
          <w:p w14:paraId="28A7F4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118" w:type="dxa"/>
            <w:tcBorders>
              <w:top w:val="nil"/>
              <w:left w:val="nil"/>
              <w:bottom w:val="nil"/>
              <w:right w:val="nil"/>
            </w:tcBorders>
            <w:shd w:val="clear" w:color="auto" w:fill="auto"/>
            <w:noWrap/>
            <w:vAlign w:val="bottom"/>
            <w:hideMark/>
          </w:tcPr>
          <w:p w14:paraId="4E55CA4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5D802BA" w14:textId="77777777" w:rsidTr="00ED0631">
        <w:trPr>
          <w:trHeight w:val="315"/>
        </w:trPr>
        <w:tc>
          <w:tcPr>
            <w:tcW w:w="1685" w:type="dxa"/>
            <w:tcBorders>
              <w:top w:val="nil"/>
              <w:left w:val="nil"/>
              <w:bottom w:val="nil"/>
              <w:right w:val="nil"/>
            </w:tcBorders>
            <w:shd w:val="clear" w:color="auto" w:fill="auto"/>
            <w:noWrap/>
            <w:vAlign w:val="bottom"/>
            <w:hideMark/>
          </w:tcPr>
          <w:p w14:paraId="016205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132" w:type="dxa"/>
            <w:tcBorders>
              <w:top w:val="nil"/>
              <w:left w:val="nil"/>
              <w:bottom w:val="nil"/>
              <w:right w:val="nil"/>
            </w:tcBorders>
            <w:shd w:val="clear" w:color="auto" w:fill="auto"/>
            <w:noWrap/>
            <w:vAlign w:val="bottom"/>
            <w:hideMark/>
          </w:tcPr>
          <w:p w14:paraId="288765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2068" w:type="dxa"/>
            <w:tcBorders>
              <w:top w:val="nil"/>
              <w:left w:val="nil"/>
              <w:bottom w:val="nil"/>
              <w:right w:val="nil"/>
            </w:tcBorders>
            <w:shd w:val="clear" w:color="auto" w:fill="auto"/>
            <w:noWrap/>
            <w:vAlign w:val="bottom"/>
            <w:hideMark/>
          </w:tcPr>
          <w:p w14:paraId="6D552DE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99" w:type="dxa"/>
            <w:tcBorders>
              <w:top w:val="nil"/>
              <w:left w:val="nil"/>
              <w:bottom w:val="nil"/>
              <w:right w:val="nil"/>
            </w:tcBorders>
            <w:shd w:val="clear" w:color="auto" w:fill="auto"/>
            <w:noWrap/>
            <w:vAlign w:val="bottom"/>
            <w:hideMark/>
          </w:tcPr>
          <w:p w14:paraId="77CF3D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118" w:type="dxa"/>
            <w:tcBorders>
              <w:top w:val="nil"/>
              <w:left w:val="nil"/>
              <w:bottom w:val="nil"/>
              <w:right w:val="nil"/>
            </w:tcBorders>
            <w:shd w:val="clear" w:color="auto" w:fill="auto"/>
            <w:noWrap/>
            <w:vAlign w:val="bottom"/>
            <w:hideMark/>
          </w:tcPr>
          <w:p w14:paraId="647AA85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18" w:type="dxa"/>
            <w:tcBorders>
              <w:top w:val="nil"/>
              <w:left w:val="nil"/>
              <w:bottom w:val="nil"/>
              <w:right w:val="nil"/>
            </w:tcBorders>
            <w:shd w:val="clear" w:color="auto" w:fill="auto"/>
            <w:noWrap/>
            <w:vAlign w:val="bottom"/>
            <w:hideMark/>
          </w:tcPr>
          <w:p w14:paraId="5098ED6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6F05E03" w14:textId="77777777" w:rsidTr="00ED0631">
        <w:trPr>
          <w:trHeight w:val="315"/>
        </w:trPr>
        <w:tc>
          <w:tcPr>
            <w:tcW w:w="1685" w:type="dxa"/>
            <w:tcBorders>
              <w:top w:val="single" w:sz="4" w:space="0" w:color="auto"/>
              <w:left w:val="nil"/>
              <w:bottom w:val="single" w:sz="4" w:space="0" w:color="auto"/>
              <w:right w:val="nil"/>
            </w:tcBorders>
            <w:shd w:val="clear" w:color="auto" w:fill="auto"/>
            <w:noWrap/>
            <w:vAlign w:val="bottom"/>
            <w:hideMark/>
          </w:tcPr>
          <w:p w14:paraId="1AED54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132" w:type="dxa"/>
            <w:tcBorders>
              <w:top w:val="single" w:sz="4" w:space="0" w:color="auto"/>
              <w:left w:val="nil"/>
              <w:bottom w:val="single" w:sz="4" w:space="0" w:color="auto"/>
              <w:right w:val="nil"/>
            </w:tcBorders>
            <w:shd w:val="clear" w:color="auto" w:fill="auto"/>
            <w:noWrap/>
            <w:vAlign w:val="bottom"/>
            <w:hideMark/>
          </w:tcPr>
          <w:p w14:paraId="1DD10A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19 </w:t>
            </w:r>
          </w:p>
        </w:tc>
        <w:tc>
          <w:tcPr>
            <w:tcW w:w="2068" w:type="dxa"/>
            <w:tcBorders>
              <w:top w:val="single" w:sz="4" w:space="0" w:color="auto"/>
              <w:left w:val="nil"/>
              <w:bottom w:val="single" w:sz="4" w:space="0" w:color="auto"/>
              <w:right w:val="nil"/>
            </w:tcBorders>
            <w:shd w:val="clear" w:color="auto" w:fill="auto"/>
            <w:noWrap/>
            <w:vAlign w:val="bottom"/>
            <w:hideMark/>
          </w:tcPr>
          <w:p w14:paraId="777D44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299" w:type="dxa"/>
            <w:tcBorders>
              <w:top w:val="single" w:sz="4" w:space="0" w:color="auto"/>
              <w:left w:val="nil"/>
              <w:bottom w:val="single" w:sz="4" w:space="0" w:color="auto"/>
              <w:right w:val="nil"/>
            </w:tcBorders>
            <w:shd w:val="clear" w:color="auto" w:fill="auto"/>
            <w:noWrap/>
            <w:vAlign w:val="bottom"/>
            <w:hideMark/>
          </w:tcPr>
          <w:p w14:paraId="1BB471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c>
          <w:tcPr>
            <w:tcW w:w="1118" w:type="dxa"/>
            <w:tcBorders>
              <w:top w:val="single" w:sz="4" w:space="0" w:color="auto"/>
              <w:left w:val="nil"/>
              <w:bottom w:val="single" w:sz="4" w:space="0" w:color="auto"/>
              <w:right w:val="nil"/>
            </w:tcBorders>
            <w:shd w:val="clear" w:color="auto" w:fill="auto"/>
            <w:noWrap/>
            <w:vAlign w:val="bottom"/>
            <w:hideMark/>
          </w:tcPr>
          <w:p w14:paraId="74642A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118" w:type="dxa"/>
            <w:tcBorders>
              <w:top w:val="single" w:sz="4" w:space="0" w:color="auto"/>
              <w:left w:val="nil"/>
              <w:bottom w:val="single" w:sz="4" w:space="0" w:color="auto"/>
              <w:right w:val="nil"/>
            </w:tcBorders>
            <w:shd w:val="clear" w:color="auto" w:fill="auto"/>
            <w:noWrap/>
            <w:vAlign w:val="bottom"/>
            <w:hideMark/>
          </w:tcPr>
          <w:p w14:paraId="41BB3B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bl>
    <w:p w14:paraId="0E537F72"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27: Rating of English language training completed in the last 4yrs by island</w:t>
      </w:r>
    </w:p>
    <w:tbl>
      <w:tblPr>
        <w:tblW w:w="7917" w:type="dxa"/>
        <w:tblInd w:w="93" w:type="dxa"/>
        <w:tblLook w:val="04A0" w:firstRow="1" w:lastRow="0" w:firstColumn="1" w:lastColumn="0" w:noHBand="0" w:noVBand="1"/>
      </w:tblPr>
      <w:tblGrid>
        <w:gridCol w:w="1713"/>
        <w:gridCol w:w="1307"/>
        <w:gridCol w:w="1923"/>
        <w:gridCol w:w="1387"/>
        <w:gridCol w:w="1587"/>
      </w:tblGrid>
      <w:tr w:rsidR="00AC362E" w:rsidRPr="00491EF1" w14:paraId="0789FB49" w14:textId="77777777" w:rsidTr="00ED0631">
        <w:trPr>
          <w:trHeight w:val="315"/>
        </w:trPr>
        <w:tc>
          <w:tcPr>
            <w:tcW w:w="1713" w:type="dxa"/>
            <w:tcBorders>
              <w:top w:val="single" w:sz="4" w:space="0" w:color="auto"/>
              <w:left w:val="nil"/>
              <w:bottom w:val="single" w:sz="4" w:space="0" w:color="auto"/>
              <w:right w:val="nil"/>
            </w:tcBorders>
            <w:shd w:val="clear" w:color="auto" w:fill="auto"/>
            <w:noWrap/>
            <w:vAlign w:val="bottom"/>
            <w:hideMark/>
          </w:tcPr>
          <w:p w14:paraId="344CF0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Rating of training</w:t>
            </w:r>
          </w:p>
        </w:tc>
        <w:tc>
          <w:tcPr>
            <w:tcW w:w="1307" w:type="dxa"/>
            <w:tcBorders>
              <w:top w:val="single" w:sz="4" w:space="0" w:color="auto"/>
              <w:left w:val="nil"/>
              <w:bottom w:val="single" w:sz="4" w:space="0" w:color="auto"/>
              <w:right w:val="nil"/>
            </w:tcBorders>
            <w:shd w:val="clear" w:color="auto" w:fill="auto"/>
            <w:noWrap/>
            <w:vAlign w:val="bottom"/>
            <w:hideMark/>
          </w:tcPr>
          <w:p w14:paraId="06B493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588ABC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5D5F63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2F7DC8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4F8DC8F9" w14:textId="77777777" w:rsidTr="00ED0631">
        <w:trPr>
          <w:trHeight w:val="315"/>
        </w:trPr>
        <w:tc>
          <w:tcPr>
            <w:tcW w:w="1713" w:type="dxa"/>
            <w:tcBorders>
              <w:top w:val="nil"/>
              <w:left w:val="nil"/>
              <w:bottom w:val="nil"/>
              <w:right w:val="nil"/>
            </w:tcBorders>
            <w:shd w:val="clear" w:color="auto" w:fill="auto"/>
            <w:noWrap/>
            <w:vAlign w:val="bottom"/>
            <w:hideMark/>
          </w:tcPr>
          <w:p w14:paraId="5379DB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07" w:type="dxa"/>
            <w:tcBorders>
              <w:top w:val="nil"/>
              <w:left w:val="nil"/>
              <w:bottom w:val="nil"/>
              <w:right w:val="nil"/>
            </w:tcBorders>
            <w:shd w:val="clear" w:color="auto" w:fill="auto"/>
            <w:noWrap/>
            <w:vAlign w:val="bottom"/>
            <w:hideMark/>
          </w:tcPr>
          <w:p w14:paraId="04D6C4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923" w:type="dxa"/>
            <w:tcBorders>
              <w:top w:val="nil"/>
              <w:left w:val="nil"/>
              <w:bottom w:val="nil"/>
              <w:right w:val="nil"/>
            </w:tcBorders>
            <w:shd w:val="clear" w:color="auto" w:fill="auto"/>
            <w:noWrap/>
            <w:vAlign w:val="bottom"/>
            <w:hideMark/>
          </w:tcPr>
          <w:p w14:paraId="3E37264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64C468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587" w:type="dxa"/>
            <w:tcBorders>
              <w:top w:val="nil"/>
              <w:left w:val="nil"/>
              <w:bottom w:val="nil"/>
              <w:right w:val="nil"/>
            </w:tcBorders>
            <w:shd w:val="clear" w:color="auto" w:fill="auto"/>
            <w:noWrap/>
            <w:vAlign w:val="bottom"/>
            <w:hideMark/>
          </w:tcPr>
          <w:p w14:paraId="5DE905B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A569D8B" w14:textId="77777777" w:rsidTr="00ED0631">
        <w:trPr>
          <w:trHeight w:val="315"/>
        </w:trPr>
        <w:tc>
          <w:tcPr>
            <w:tcW w:w="1713" w:type="dxa"/>
            <w:tcBorders>
              <w:top w:val="nil"/>
              <w:left w:val="nil"/>
              <w:bottom w:val="nil"/>
              <w:right w:val="nil"/>
            </w:tcBorders>
            <w:shd w:val="clear" w:color="auto" w:fill="auto"/>
            <w:noWrap/>
            <w:vAlign w:val="bottom"/>
            <w:hideMark/>
          </w:tcPr>
          <w:p w14:paraId="0D63E3D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07" w:type="dxa"/>
            <w:tcBorders>
              <w:top w:val="nil"/>
              <w:left w:val="nil"/>
              <w:bottom w:val="nil"/>
              <w:right w:val="nil"/>
            </w:tcBorders>
            <w:shd w:val="clear" w:color="auto" w:fill="auto"/>
            <w:noWrap/>
            <w:vAlign w:val="bottom"/>
            <w:hideMark/>
          </w:tcPr>
          <w:p w14:paraId="4C2821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923" w:type="dxa"/>
            <w:tcBorders>
              <w:top w:val="nil"/>
              <w:left w:val="nil"/>
              <w:bottom w:val="nil"/>
              <w:right w:val="nil"/>
            </w:tcBorders>
            <w:shd w:val="clear" w:color="auto" w:fill="auto"/>
            <w:noWrap/>
            <w:vAlign w:val="bottom"/>
            <w:hideMark/>
          </w:tcPr>
          <w:p w14:paraId="3A8790F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7DD106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587" w:type="dxa"/>
            <w:tcBorders>
              <w:top w:val="nil"/>
              <w:left w:val="nil"/>
              <w:bottom w:val="nil"/>
              <w:right w:val="nil"/>
            </w:tcBorders>
            <w:shd w:val="clear" w:color="auto" w:fill="auto"/>
            <w:noWrap/>
            <w:vAlign w:val="bottom"/>
            <w:hideMark/>
          </w:tcPr>
          <w:p w14:paraId="56F46F1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8D2B0BA" w14:textId="77777777" w:rsidTr="00ED0631">
        <w:trPr>
          <w:trHeight w:val="315"/>
        </w:trPr>
        <w:tc>
          <w:tcPr>
            <w:tcW w:w="1713" w:type="dxa"/>
            <w:tcBorders>
              <w:top w:val="nil"/>
              <w:left w:val="nil"/>
              <w:bottom w:val="nil"/>
              <w:right w:val="nil"/>
            </w:tcBorders>
            <w:shd w:val="clear" w:color="auto" w:fill="auto"/>
            <w:noWrap/>
            <w:vAlign w:val="bottom"/>
            <w:hideMark/>
          </w:tcPr>
          <w:p w14:paraId="67E6D5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07" w:type="dxa"/>
            <w:tcBorders>
              <w:top w:val="nil"/>
              <w:left w:val="nil"/>
              <w:bottom w:val="nil"/>
              <w:right w:val="nil"/>
            </w:tcBorders>
            <w:shd w:val="clear" w:color="auto" w:fill="auto"/>
            <w:noWrap/>
            <w:vAlign w:val="bottom"/>
            <w:hideMark/>
          </w:tcPr>
          <w:p w14:paraId="1DA05B8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2BE483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387" w:type="dxa"/>
            <w:tcBorders>
              <w:top w:val="nil"/>
              <w:left w:val="nil"/>
              <w:bottom w:val="nil"/>
              <w:right w:val="nil"/>
            </w:tcBorders>
            <w:shd w:val="clear" w:color="auto" w:fill="auto"/>
            <w:noWrap/>
            <w:vAlign w:val="bottom"/>
            <w:hideMark/>
          </w:tcPr>
          <w:p w14:paraId="7886E2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69A84E5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D8DE902" w14:textId="77777777" w:rsidTr="00ED0631">
        <w:trPr>
          <w:trHeight w:val="315"/>
        </w:trPr>
        <w:tc>
          <w:tcPr>
            <w:tcW w:w="1713" w:type="dxa"/>
            <w:tcBorders>
              <w:top w:val="nil"/>
              <w:left w:val="nil"/>
              <w:bottom w:val="nil"/>
              <w:right w:val="nil"/>
            </w:tcBorders>
            <w:shd w:val="clear" w:color="auto" w:fill="auto"/>
            <w:noWrap/>
            <w:vAlign w:val="bottom"/>
            <w:hideMark/>
          </w:tcPr>
          <w:p w14:paraId="45D2CE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07" w:type="dxa"/>
            <w:tcBorders>
              <w:top w:val="nil"/>
              <w:left w:val="nil"/>
              <w:bottom w:val="nil"/>
              <w:right w:val="nil"/>
            </w:tcBorders>
            <w:shd w:val="clear" w:color="auto" w:fill="auto"/>
            <w:noWrap/>
            <w:vAlign w:val="bottom"/>
            <w:hideMark/>
          </w:tcPr>
          <w:p w14:paraId="433D53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923" w:type="dxa"/>
            <w:tcBorders>
              <w:top w:val="nil"/>
              <w:left w:val="nil"/>
              <w:bottom w:val="nil"/>
              <w:right w:val="nil"/>
            </w:tcBorders>
            <w:shd w:val="clear" w:color="auto" w:fill="auto"/>
            <w:noWrap/>
            <w:vAlign w:val="bottom"/>
            <w:hideMark/>
          </w:tcPr>
          <w:p w14:paraId="22B7ED6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051A39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587" w:type="dxa"/>
            <w:tcBorders>
              <w:top w:val="nil"/>
              <w:left w:val="nil"/>
              <w:bottom w:val="nil"/>
              <w:right w:val="nil"/>
            </w:tcBorders>
            <w:shd w:val="clear" w:color="auto" w:fill="auto"/>
            <w:noWrap/>
            <w:vAlign w:val="bottom"/>
            <w:hideMark/>
          </w:tcPr>
          <w:p w14:paraId="5A2F8F0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BD60943" w14:textId="77777777" w:rsidTr="00ED0631">
        <w:trPr>
          <w:trHeight w:val="315"/>
        </w:trPr>
        <w:tc>
          <w:tcPr>
            <w:tcW w:w="1713" w:type="dxa"/>
            <w:tcBorders>
              <w:top w:val="nil"/>
              <w:left w:val="nil"/>
              <w:bottom w:val="nil"/>
              <w:right w:val="nil"/>
            </w:tcBorders>
            <w:shd w:val="clear" w:color="auto" w:fill="auto"/>
            <w:noWrap/>
            <w:vAlign w:val="bottom"/>
            <w:hideMark/>
          </w:tcPr>
          <w:p w14:paraId="7830F5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07" w:type="dxa"/>
            <w:tcBorders>
              <w:top w:val="nil"/>
              <w:left w:val="nil"/>
              <w:bottom w:val="nil"/>
              <w:right w:val="nil"/>
            </w:tcBorders>
            <w:shd w:val="clear" w:color="auto" w:fill="auto"/>
            <w:noWrap/>
            <w:vAlign w:val="bottom"/>
            <w:hideMark/>
          </w:tcPr>
          <w:p w14:paraId="0939A3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923" w:type="dxa"/>
            <w:tcBorders>
              <w:top w:val="nil"/>
              <w:left w:val="nil"/>
              <w:bottom w:val="nil"/>
              <w:right w:val="nil"/>
            </w:tcBorders>
            <w:shd w:val="clear" w:color="auto" w:fill="auto"/>
            <w:noWrap/>
            <w:vAlign w:val="bottom"/>
            <w:hideMark/>
          </w:tcPr>
          <w:p w14:paraId="034ABF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387" w:type="dxa"/>
            <w:tcBorders>
              <w:top w:val="nil"/>
              <w:left w:val="nil"/>
              <w:bottom w:val="nil"/>
              <w:right w:val="nil"/>
            </w:tcBorders>
            <w:shd w:val="clear" w:color="auto" w:fill="auto"/>
            <w:noWrap/>
            <w:vAlign w:val="bottom"/>
            <w:hideMark/>
          </w:tcPr>
          <w:p w14:paraId="65AF11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0843CB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23BEB4D" w14:textId="77777777" w:rsidTr="00ED0631">
        <w:trPr>
          <w:trHeight w:val="315"/>
        </w:trPr>
        <w:tc>
          <w:tcPr>
            <w:tcW w:w="1713" w:type="dxa"/>
            <w:tcBorders>
              <w:top w:val="nil"/>
              <w:left w:val="nil"/>
              <w:bottom w:val="nil"/>
              <w:right w:val="nil"/>
            </w:tcBorders>
            <w:shd w:val="clear" w:color="auto" w:fill="auto"/>
            <w:noWrap/>
            <w:vAlign w:val="bottom"/>
            <w:hideMark/>
          </w:tcPr>
          <w:p w14:paraId="4D2E24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07" w:type="dxa"/>
            <w:tcBorders>
              <w:top w:val="nil"/>
              <w:left w:val="nil"/>
              <w:bottom w:val="nil"/>
              <w:right w:val="nil"/>
            </w:tcBorders>
            <w:shd w:val="clear" w:color="auto" w:fill="auto"/>
            <w:noWrap/>
            <w:vAlign w:val="bottom"/>
            <w:hideMark/>
          </w:tcPr>
          <w:p w14:paraId="7E3F434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5C049C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37FADD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2E021DB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8684A9B" w14:textId="77777777" w:rsidTr="00ED0631">
        <w:trPr>
          <w:trHeight w:val="315"/>
        </w:trPr>
        <w:tc>
          <w:tcPr>
            <w:tcW w:w="1713" w:type="dxa"/>
            <w:tcBorders>
              <w:top w:val="nil"/>
              <w:left w:val="nil"/>
              <w:bottom w:val="nil"/>
              <w:right w:val="nil"/>
            </w:tcBorders>
            <w:shd w:val="clear" w:color="auto" w:fill="auto"/>
            <w:noWrap/>
            <w:vAlign w:val="bottom"/>
            <w:hideMark/>
          </w:tcPr>
          <w:p w14:paraId="6FBEA4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07" w:type="dxa"/>
            <w:tcBorders>
              <w:top w:val="nil"/>
              <w:left w:val="nil"/>
              <w:bottom w:val="nil"/>
              <w:right w:val="nil"/>
            </w:tcBorders>
            <w:shd w:val="clear" w:color="auto" w:fill="auto"/>
            <w:noWrap/>
            <w:vAlign w:val="bottom"/>
            <w:hideMark/>
          </w:tcPr>
          <w:p w14:paraId="7FB28B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923" w:type="dxa"/>
            <w:tcBorders>
              <w:top w:val="nil"/>
              <w:left w:val="nil"/>
              <w:bottom w:val="nil"/>
              <w:right w:val="nil"/>
            </w:tcBorders>
            <w:shd w:val="clear" w:color="auto" w:fill="auto"/>
            <w:noWrap/>
            <w:vAlign w:val="bottom"/>
            <w:hideMark/>
          </w:tcPr>
          <w:p w14:paraId="7FACB8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2038E7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4205ED2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09C99DA" w14:textId="77777777" w:rsidTr="00ED0631">
        <w:trPr>
          <w:trHeight w:val="315"/>
        </w:trPr>
        <w:tc>
          <w:tcPr>
            <w:tcW w:w="1713" w:type="dxa"/>
            <w:tcBorders>
              <w:top w:val="nil"/>
              <w:left w:val="nil"/>
              <w:bottom w:val="nil"/>
              <w:right w:val="nil"/>
            </w:tcBorders>
            <w:shd w:val="clear" w:color="auto" w:fill="auto"/>
            <w:noWrap/>
            <w:vAlign w:val="bottom"/>
            <w:hideMark/>
          </w:tcPr>
          <w:p w14:paraId="540321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07" w:type="dxa"/>
            <w:tcBorders>
              <w:top w:val="nil"/>
              <w:left w:val="nil"/>
              <w:bottom w:val="nil"/>
              <w:right w:val="nil"/>
            </w:tcBorders>
            <w:shd w:val="clear" w:color="auto" w:fill="auto"/>
            <w:noWrap/>
            <w:vAlign w:val="bottom"/>
            <w:hideMark/>
          </w:tcPr>
          <w:p w14:paraId="171BD7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923" w:type="dxa"/>
            <w:tcBorders>
              <w:top w:val="nil"/>
              <w:left w:val="nil"/>
              <w:bottom w:val="nil"/>
              <w:right w:val="nil"/>
            </w:tcBorders>
            <w:shd w:val="clear" w:color="auto" w:fill="auto"/>
            <w:noWrap/>
            <w:vAlign w:val="bottom"/>
            <w:hideMark/>
          </w:tcPr>
          <w:p w14:paraId="22202B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387" w:type="dxa"/>
            <w:tcBorders>
              <w:top w:val="nil"/>
              <w:left w:val="nil"/>
              <w:bottom w:val="nil"/>
              <w:right w:val="nil"/>
            </w:tcBorders>
            <w:shd w:val="clear" w:color="auto" w:fill="auto"/>
            <w:noWrap/>
            <w:vAlign w:val="bottom"/>
            <w:hideMark/>
          </w:tcPr>
          <w:p w14:paraId="473DF8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2F77C3B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73605F6" w14:textId="77777777" w:rsidTr="00ED0631">
        <w:trPr>
          <w:trHeight w:val="315"/>
        </w:trPr>
        <w:tc>
          <w:tcPr>
            <w:tcW w:w="1713" w:type="dxa"/>
            <w:tcBorders>
              <w:top w:val="nil"/>
              <w:left w:val="nil"/>
              <w:bottom w:val="nil"/>
              <w:right w:val="nil"/>
            </w:tcBorders>
            <w:shd w:val="clear" w:color="auto" w:fill="auto"/>
            <w:noWrap/>
            <w:vAlign w:val="bottom"/>
            <w:hideMark/>
          </w:tcPr>
          <w:p w14:paraId="32C70D8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07" w:type="dxa"/>
            <w:tcBorders>
              <w:top w:val="nil"/>
              <w:left w:val="nil"/>
              <w:bottom w:val="nil"/>
              <w:right w:val="nil"/>
            </w:tcBorders>
            <w:shd w:val="clear" w:color="auto" w:fill="auto"/>
            <w:noWrap/>
            <w:vAlign w:val="bottom"/>
            <w:hideMark/>
          </w:tcPr>
          <w:p w14:paraId="195E92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923" w:type="dxa"/>
            <w:tcBorders>
              <w:top w:val="nil"/>
              <w:left w:val="nil"/>
              <w:bottom w:val="nil"/>
              <w:right w:val="nil"/>
            </w:tcBorders>
            <w:shd w:val="clear" w:color="auto" w:fill="auto"/>
            <w:noWrap/>
            <w:vAlign w:val="bottom"/>
            <w:hideMark/>
          </w:tcPr>
          <w:p w14:paraId="5C288F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1B0A73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587" w:type="dxa"/>
            <w:tcBorders>
              <w:top w:val="nil"/>
              <w:left w:val="nil"/>
              <w:bottom w:val="nil"/>
              <w:right w:val="nil"/>
            </w:tcBorders>
            <w:shd w:val="clear" w:color="auto" w:fill="auto"/>
            <w:noWrap/>
            <w:vAlign w:val="bottom"/>
            <w:hideMark/>
          </w:tcPr>
          <w:p w14:paraId="7B0DB06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DF49276" w14:textId="77777777" w:rsidTr="00ED0631">
        <w:trPr>
          <w:trHeight w:val="315"/>
        </w:trPr>
        <w:tc>
          <w:tcPr>
            <w:tcW w:w="1713" w:type="dxa"/>
            <w:tcBorders>
              <w:top w:val="single" w:sz="4" w:space="0" w:color="auto"/>
              <w:left w:val="nil"/>
              <w:bottom w:val="single" w:sz="4" w:space="0" w:color="auto"/>
              <w:right w:val="nil"/>
            </w:tcBorders>
            <w:shd w:val="clear" w:color="auto" w:fill="auto"/>
            <w:noWrap/>
            <w:vAlign w:val="bottom"/>
            <w:hideMark/>
          </w:tcPr>
          <w:p w14:paraId="4E8F896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07" w:type="dxa"/>
            <w:tcBorders>
              <w:top w:val="single" w:sz="4" w:space="0" w:color="auto"/>
              <w:left w:val="nil"/>
              <w:bottom w:val="single" w:sz="4" w:space="0" w:color="auto"/>
              <w:right w:val="nil"/>
            </w:tcBorders>
            <w:shd w:val="clear" w:color="auto" w:fill="auto"/>
            <w:noWrap/>
            <w:vAlign w:val="bottom"/>
            <w:hideMark/>
          </w:tcPr>
          <w:p w14:paraId="739728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1923" w:type="dxa"/>
            <w:tcBorders>
              <w:top w:val="single" w:sz="4" w:space="0" w:color="auto"/>
              <w:left w:val="nil"/>
              <w:bottom w:val="single" w:sz="4" w:space="0" w:color="auto"/>
              <w:right w:val="nil"/>
            </w:tcBorders>
            <w:shd w:val="clear" w:color="auto" w:fill="auto"/>
            <w:noWrap/>
            <w:vAlign w:val="bottom"/>
            <w:hideMark/>
          </w:tcPr>
          <w:p w14:paraId="09073D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c>
          <w:tcPr>
            <w:tcW w:w="1387" w:type="dxa"/>
            <w:tcBorders>
              <w:top w:val="single" w:sz="4" w:space="0" w:color="auto"/>
              <w:left w:val="nil"/>
              <w:bottom w:val="single" w:sz="4" w:space="0" w:color="auto"/>
              <w:right w:val="nil"/>
            </w:tcBorders>
            <w:shd w:val="clear" w:color="auto" w:fill="auto"/>
            <w:noWrap/>
            <w:vAlign w:val="bottom"/>
            <w:hideMark/>
          </w:tcPr>
          <w:p w14:paraId="75D84F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 </w:t>
            </w:r>
          </w:p>
        </w:tc>
        <w:tc>
          <w:tcPr>
            <w:tcW w:w="1587" w:type="dxa"/>
            <w:tcBorders>
              <w:top w:val="single" w:sz="4" w:space="0" w:color="auto"/>
              <w:left w:val="nil"/>
              <w:bottom w:val="single" w:sz="4" w:space="0" w:color="auto"/>
              <w:right w:val="nil"/>
            </w:tcBorders>
            <w:shd w:val="clear" w:color="auto" w:fill="auto"/>
            <w:noWrap/>
            <w:vAlign w:val="bottom"/>
            <w:hideMark/>
          </w:tcPr>
          <w:p w14:paraId="06802AB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2AA3B819"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 xml:space="preserve">Table 28: Rating of English language training completed in the last 4yrs by island category </w:t>
      </w:r>
    </w:p>
    <w:tbl>
      <w:tblPr>
        <w:tblW w:w="7971" w:type="dxa"/>
        <w:tblInd w:w="93" w:type="dxa"/>
        <w:tblLook w:val="04A0" w:firstRow="1" w:lastRow="0" w:firstColumn="1" w:lastColumn="0" w:noHBand="0" w:noVBand="1"/>
      </w:tblPr>
      <w:tblGrid>
        <w:gridCol w:w="1767"/>
        <w:gridCol w:w="1307"/>
        <w:gridCol w:w="1923"/>
        <w:gridCol w:w="1387"/>
        <w:gridCol w:w="1587"/>
      </w:tblGrid>
      <w:tr w:rsidR="00AC362E" w:rsidRPr="00491EF1" w14:paraId="2B477ECF" w14:textId="77777777" w:rsidTr="00ED0631">
        <w:trPr>
          <w:trHeight w:val="315"/>
        </w:trPr>
        <w:tc>
          <w:tcPr>
            <w:tcW w:w="1767" w:type="dxa"/>
            <w:tcBorders>
              <w:top w:val="single" w:sz="4" w:space="0" w:color="auto"/>
              <w:left w:val="nil"/>
              <w:bottom w:val="single" w:sz="4" w:space="0" w:color="auto"/>
              <w:right w:val="nil"/>
            </w:tcBorders>
            <w:shd w:val="clear" w:color="auto" w:fill="auto"/>
            <w:noWrap/>
            <w:vAlign w:val="bottom"/>
            <w:hideMark/>
          </w:tcPr>
          <w:p w14:paraId="65DA5B0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Rating of training </w:t>
            </w:r>
          </w:p>
        </w:tc>
        <w:tc>
          <w:tcPr>
            <w:tcW w:w="1307" w:type="dxa"/>
            <w:tcBorders>
              <w:top w:val="single" w:sz="4" w:space="0" w:color="auto"/>
              <w:left w:val="nil"/>
              <w:bottom w:val="single" w:sz="4" w:space="0" w:color="auto"/>
              <w:right w:val="nil"/>
            </w:tcBorders>
            <w:shd w:val="clear" w:color="auto" w:fill="auto"/>
            <w:noWrap/>
            <w:vAlign w:val="bottom"/>
            <w:hideMark/>
          </w:tcPr>
          <w:p w14:paraId="04E385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2778AA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5B22550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4F23CB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66BE28D1" w14:textId="77777777" w:rsidTr="00ED0631">
        <w:trPr>
          <w:trHeight w:val="315"/>
        </w:trPr>
        <w:tc>
          <w:tcPr>
            <w:tcW w:w="1767" w:type="dxa"/>
            <w:tcBorders>
              <w:top w:val="nil"/>
              <w:left w:val="nil"/>
              <w:bottom w:val="nil"/>
              <w:right w:val="nil"/>
            </w:tcBorders>
            <w:shd w:val="clear" w:color="auto" w:fill="auto"/>
            <w:noWrap/>
            <w:vAlign w:val="bottom"/>
            <w:hideMark/>
          </w:tcPr>
          <w:p w14:paraId="70D8A2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07" w:type="dxa"/>
            <w:tcBorders>
              <w:top w:val="nil"/>
              <w:left w:val="nil"/>
              <w:bottom w:val="nil"/>
              <w:right w:val="nil"/>
            </w:tcBorders>
            <w:shd w:val="clear" w:color="auto" w:fill="auto"/>
            <w:noWrap/>
            <w:vAlign w:val="bottom"/>
            <w:hideMark/>
          </w:tcPr>
          <w:p w14:paraId="41D307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923" w:type="dxa"/>
            <w:tcBorders>
              <w:top w:val="nil"/>
              <w:left w:val="nil"/>
              <w:bottom w:val="nil"/>
              <w:right w:val="nil"/>
            </w:tcBorders>
            <w:shd w:val="clear" w:color="auto" w:fill="auto"/>
            <w:noWrap/>
            <w:vAlign w:val="bottom"/>
            <w:hideMark/>
          </w:tcPr>
          <w:p w14:paraId="57C8CB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87" w:type="dxa"/>
            <w:tcBorders>
              <w:top w:val="nil"/>
              <w:left w:val="nil"/>
              <w:bottom w:val="nil"/>
              <w:right w:val="nil"/>
            </w:tcBorders>
            <w:shd w:val="clear" w:color="auto" w:fill="auto"/>
            <w:noWrap/>
            <w:vAlign w:val="bottom"/>
            <w:hideMark/>
          </w:tcPr>
          <w:p w14:paraId="4D425D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587" w:type="dxa"/>
            <w:tcBorders>
              <w:top w:val="nil"/>
              <w:left w:val="nil"/>
              <w:bottom w:val="nil"/>
              <w:right w:val="nil"/>
            </w:tcBorders>
            <w:shd w:val="clear" w:color="auto" w:fill="auto"/>
            <w:noWrap/>
            <w:vAlign w:val="bottom"/>
            <w:hideMark/>
          </w:tcPr>
          <w:p w14:paraId="05FA19D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B10A3A2" w14:textId="77777777" w:rsidTr="00ED0631">
        <w:trPr>
          <w:trHeight w:val="315"/>
        </w:trPr>
        <w:tc>
          <w:tcPr>
            <w:tcW w:w="1767" w:type="dxa"/>
            <w:tcBorders>
              <w:top w:val="nil"/>
              <w:left w:val="nil"/>
              <w:bottom w:val="nil"/>
              <w:right w:val="nil"/>
            </w:tcBorders>
            <w:shd w:val="clear" w:color="auto" w:fill="auto"/>
            <w:noWrap/>
            <w:vAlign w:val="bottom"/>
            <w:hideMark/>
          </w:tcPr>
          <w:p w14:paraId="2830C0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07" w:type="dxa"/>
            <w:tcBorders>
              <w:top w:val="nil"/>
              <w:left w:val="nil"/>
              <w:bottom w:val="nil"/>
              <w:right w:val="nil"/>
            </w:tcBorders>
            <w:shd w:val="clear" w:color="auto" w:fill="auto"/>
            <w:noWrap/>
            <w:vAlign w:val="bottom"/>
            <w:hideMark/>
          </w:tcPr>
          <w:p w14:paraId="715022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923" w:type="dxa"/>
            <w:tcBorders>
              <w:top w:val="nil"/>
              <w:left w:val="nil"/>
              <w:bottom w:val="nil"/>
              <w:right w:val="nil"/>
            </w:tcBorders>
            <w:shd w:val="clear" w:color="auto" w:fill="auto"/>
            <w:noWrap/>
            <w:vAlign w:val="bottom"/>
            <w:hideMark/>
          </w:tcPr>
          <w:p w14:paraId="2A3AE3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87" w:type="dxa"/>
            <w:tcBorders>
              <w:top w:val="nil"/>
              <w:left w:val="nil"/>
              <w:bottom w:val="nil"/>
              <w:right w:val="nil"/>
            </w:tcBorders>
            <w:shd w:val="clear" w:color="auto" w:fill="auto"/>
            <w:noWrap/>
            <w:vAlign w:val="bottom"/>
            <w:hideMark/>
          </w:tcPr>
          <w:p w14:paraId="303280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587" w:type="dxa"/>
            <w:tcBorders>
              <w:top w:val="nil"/>
              <w:left w:val="nil"/>
              <w:bottom w:val="nil"/>
              <w:right w:val="nil"/>
            </w:tcBorders>
            <w:shd w:val="clear" w:color="auto" w:fill="auto"/>
            <w:noWrap/>
            <w:vAlign w:val="bottom"/>
            <w:hideMark/>
          </w:tcPr>
          <w:p w14:paraId="1C7B23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00AC5DEF" w14:textId="77777777" w:rsidTr="00ED0631">
        <w:trPr>
          <w:trHeight w:val="315"/>
        </w:trPr>
        <w:tc>
          <w:tcPr>
            <w:tcW w:w="1767" w:type="dxa"/>
            <w:tcBorders>
              <w:top w:val="nil"/>
              <w:left w:val="nil"/>
              <w:bottom w:val="nil"/>
              <w:right w:val="nil"/>
            </w:tcBorders>
            <w:shd w:val="clear" w:color="auto" w:fill="auto"/>
            <w:noWrap/>
            <w:vAlign w:val="bottom"/>
            <w:hideMark/>
          </w:tcPr>
          <w:p w14:paraId="0862408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07" w:type="dxa"/>
            <w:tcBorders>
              <w:top w:val="nil"/>
              <w:left w:val="nil"/>
              <w:bottom w:val="nil"/>
              <w:right w:val="nil"/>
            </w:tcBorders>
            <w:shd w:val="clear" w:color="auto" w:fill="auto"/>
            <w:noWrap/>
            <w:vAlign w:val="bottom"/>
            <w:hideMark/>
          </w:tcPr>
          <w:p w14:paraId="3C52BAE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4CDA43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6C616B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587" w:type="dxa"/>
            <w:tcBorders>
              <w:top w:val="nil"/>
              <w:left w:val="nil"/>
              <w:bottom w:val="nil"/>
              <w:right w:val="nil"/>
            </w:tcBorders>
            <w:shd w:val="clear" w:color="auto" w:fill="auto"/>
            <w:noWrap/>
            <w:vAlign w:val="bottom"/>
            <w:hideMark/>
          </w:tcPr>
          <w:p w14:paraId="7062282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ED22E56" w14:textId="77777777" w:rsidTr="00ED0631">
        <w:trPr>
          <w:trHeight w:val="315"/>
        </w:trPr>
        <w:tc>
          <w:tcPr>
            <w:tcW w:w="1767" w:type="dxa"/>
            <w:tcBorders>
              <w:top w:val="single" w:sz="4" w:space="0" w:color="auto"/>
              <w:left w:val="nil"/>
              <w:bottom w:val="single" w:sz="4" w:space="0" w:color="auto"/>
              <w:right w:val="nil"/>
            </w:tcBorders>
            <w:shd w:val="clear" w:color="auto" w:fill="auto"/>
            <w:noWrap/>
            <w:vAlign w:val="bottom"/>
            <w:hideMark/>
          </w:tcPr>
          <w:p w14:paraId="6F9C38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07" w:type="dxa"/>
            <w:tcBorders>
              <w:top w:val="single" w:sz="4" w:space="0" w:color="auto"/>
              <w:left w:val="nil"/>
              <w:bottom w:val="single" w:sz="4" w:space="0" w:color="auto"/>
              <w:right w:val="nil"/>
            </w:tcBorders>
            <w:shd w:val="clear" w:color="auto" w:fill="auto"/>
            <w:noWrap/>
            <w:vAlign w:val="bottom"/>
            <w:hideMark/>
          </w:tcPr>
          <w:p w14:paraId="5734F8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923" w:type="dxa"/>
            <w:tcBorders>
              <w:top w:val="single" w:sz="4" w:space="0" w:color="auto"/>
              <w:left w:val="nil"/>
              <w:bottom w:val="single" w:sz="4" w:space="0" w:color="auto"/>
              <w:right w:val="nil"/>
            </w:tcBorders>
            <w:shd w:val="clear" w:color="auto" w:fill="auto"/>
            <w:noWrap/>
            <w:vAlign w:val="bottom"/>
            <w:hideMark/>
          </w:tcPr>
          <w:p w14:paraId="2627F9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c>
          <w:tcPr>
            <w:tcW w:w="1387" w:type="dxa"/>
            <w:tcBorders>
              <w:top w:val="single" w:sz="4" w:space="0" w:color="auto"/>
              <w:left w:val="nil"/>
              <w:bottom w:val="single" w:sz="4" w:space="0" w:color="auto"/>
              <w:right w:val="nil"/>
            </w:tcBorders>
            <w:shd w:val="clear" w:color="auto" w:fill="auto"/>
            <w:noWrap/>
            <w:vAlign w:val="bottom"/>
            <w:hideMark/>
          </w:tcPr>
          <w:p w14:paraId="668A1A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587" w:type="dxa"/>
            <w:tcBorders>
              <w:top w:val="single" w:sz="4" w:space="0" w:color="auto"/>
              <w:left w:val="nil"/>
              <w:bottom w:val="single" w:sz="4" w:space="0" w:color="auto"/>
              <w:right w:val="nil"/>
            </w:tcBorders>
            <w:shd w:val="clear" w:color="auto" w:fill="auto"/>
            <w:noWrap/>
            <w:vAlign w:val="bottom"/>
            <w:hideMark/>
          </w:tcPr>
          <w:p w14:paraId="5B1CE6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5D7FF35D" w14:textId="77777777" w:rsidTr="00ED0631">
        <w:trPr>
          <w:trHeight w:val="315"/>
        </w:trPr>
        <w:tc>
          <w:tcPr>
            <w:tcW w:w="1767" w:type="dxa"/>
            <w:tcBorders>
              <w:top w:val="nil"/>
              <w:left w:val="nil"/>
              <w:bottom w:val="nil"/>
              <w:right w:val="nil"/>
            </w:tcBorders>
            <w:shd w:val="clear" w:color="auto" w:fill="auto"/>
            <w:noWrap/>
            <w:vAlign w:val="bottom"/>
            <w:hideMark/>
          </w:tcPr>
          <w:p w14:paraId="604888F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07" w:type="dxa"/>
            <w:tcBorders>
              <w:top w:val="nil"/>
              <w:left w:val="nil"/>
              <w:bottom w:val="nil"/>
              <w:right w:val="nil"/>
            </w:tcBorders>
            <w:shd w:val="clear" w:color="auto" w:fill="auto"/>
            <w:noWrap/>
            <w:vAlign w:val="bottom"/>
            <w:hideMark/>
          </w:tcPr>
          <w:p w14:paraId="59BB18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39 </w:t>
            </w:r>
          </w:p>
        </w:tc>
        <w:tc>
          <w:tcPr>
            <w:tcW w:w="1923" w:type="dxa"/>
            <w:tcBorders>
              <w:top w:val="nil"/>
              <w:left w:val="nil"/>
              <w:bottom w:val="nil"/>
              <w:right w:val="nil"/>
            </w:tcBorders>
            <w:shd w:val="clear" w:color="auto" w:fill="auto"/>
            <w:noWrap/>
            <w:vAlign w:val="bottom"/>
            <w:hideMark/>
          </w:tcPr>
          <w:p w14:paraId="79AC11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22 </w:t>
            </w:r>
          </w:p>
        </w:tc>
        <w:tc>
          <w:tcPr>
            <w:tcW w:w="1387" w:type="dxa"/>
            <w:tcBorders>
              <w:top w:val="nil"/>
              <w:left w:val="nil"/>
              <w:bottom w:val="nil"/>
              <w:right w:val="nil"/>
            </w:tcBorders>
            <w:shd w:val="clear" w:color="auto" w:fill="auto"/>
            <w:noWrap/>
            <w:vAlign w:val="bottom"/>
            <w:hideMark/>
          </w:tcPr>
          <w:p w14:paraId="5920C8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37 </w:t>
            </w:r>
          </w:p>
        </w:tc>
        <w:tc>
          <w:tcPr>
            <w:tcW w:w="1587" w:type="dxa"/>
            <w:tcBorders>
              <w:top w:val="nil"/>
              <w:left w:val="nil"/>
              <w:bottom w:val="nil"/>
              <w:right w:val="nil"/>
            </w:tcBorders>
            <w:shd w:val="clear" w:color="auto" w:fill="auto"/>
            <w:noWrap/>
            <w:vAlign w:val="bottom"/>
            <w:hideMark/>
          </w:tcPr>
          <w:p w14:paraId="59A9AD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r>
    </w:tbl>
    <w:p w14:paraId="10A82F33"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F276709"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29: School leaders rating of the support they give the teachers by island</w:t>
      </w:r>
    </w:p>
    <w:tbl>
      <w:tblPr>
        <w:tblW w:w="7834" w:type="dxa"/>
        <w:tblInd w:w="93" w:type="dxa"/>
        <w:tblLook w:val="04A0" w:firstRow="1" w:lastRow="0" w:firstColumn="1" w:lastColumn="0" w:noHBand="0" w:noVBand="1"/>
      </w:tblPr>
      <w:tblGrid>
        <w:gridCol w:w="1630"/>
        <w:gridCol w:w="1307"/>
        <w:gridCol w:w="1923"/>
        <w:gridCol w:w="1387"/>
        <w:gridCol w:w="1587"/>
      </w:tblGrid>
      <w:tr w:rsidR="00AC362E" w:rsidRPr="00491EF1" w14:paraId="141CED0D"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45A87D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6BF261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4C917FD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04E37B0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25F3C6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3E5ED0C5" w14:textId="77777777" w:rsidTr="00ED0631">
        <w:trPr>
          <w:trHeight w:val="315"/>
        </w:trPr>
        <w:tc>
          <w:tcPr>
            <w:tcW w:w="1630" w:type="dxa"/>
            <w:tcBorders>
              <w:top w:val="nil"/>
              <w:left w:val="nil"/>
              <w:bottom w:val="nil"/>
              <w:right w:val="nil"/>
            </w:tcBorders>
            <w:shd w:val="clear" w:color="auto" w:fill="auto"/>
            <w:noWrap/>
            <w:vAlign w:val="bottom"/>
            <w:hideMark/>
          </w:tcPr>
          <w:p w14:paraId="34BEC6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07" w:type="dxa"/>
            <w:tcBorders>
              <w:top w:val="nil"/>
              <w:left w:val="nil"/>
              <w:bottom w:val="nil"/>
              <w:right w:val="nil"/>
            </w:tcBorders>
            <w:shd w:val="clear" w:color="auto" w:fill="auto"/>
            <w:noWrap/>
            <w:vAlign w:val="bottom"/>
            <w:hideMark/>
          </w:tcPr>
          <w:p w14:paraId="15DC2C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923" w:type="dxa"/>
            <w:tcBorders>
              <w:top w:val="nil"/>
              <w:left w:val="nil"/>
              <w:bottom w:val="nil"/>
              <w:right w:val="nil"/>
            </w:tcBorders>
            <w:shd w:val="clear" w:color="auto" w:fill="auto"/>
            <w:noWrap/>
            <w:vAlign w:val="bottom"/>
            <w:hideMark/>
          </w:tcPr>
          <w:p w14:paraId="3A9619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387" w:type="dxa"/>
            <w:tcBorders>
              <w:top w:val="nil"/>
              <w:left w:val="nil"/>
              <w:bottom w:val="nil"/>
              <w:right w:val="nil"/>
            </w:tcBorders>
            <w:shd w:val="clear" w:color="auto" w:fill="auto"/>
            <w:noWrap/>
            <w:vAlign w:val="bottom"/>
            <w:hideMark/>
          </w:tcPr>
          <w:p w14:paraId="2B6B74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587" w:type="dxa"/>
            <w:tcBorders>
              <w:top w:val="nil"/>
              <w:left w:val="nil"/>
              <w:bottom w:val="nil"/>
              <w:right w:val="nil"/>
            </w:tcBorders>
            <w:shd w:val="clear" w:color="auto" w:fill="auto"/>
            <w:noWrap/>
            <w:vAlign w:val="bottom"/>
            <w:hideMark/>
          </w:tcPr>
          <w:p w14:paraId="5450E49A"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22A63C4" w14:textId="77777777" w:rsidTr="00ED0631">
        <w:trPr>
          <w:trHeight w:val="315"/>
        </w:trPr>
        <w:tc>
          <w:tcPr>
            <w:tcW w:w="1630" w:type="dxa"/>
            <w:tcBorders>
              <w:top w:val="nil"/>
              <w:left w:val="nil"/>
              <w:bottom w:val="nil"/>
              <w:right w:val="nil"/>
            </w:tcBorders>
            <w:shd w:val="clear" w:color="auto" w:fill="auto"/>
            <w:noWrap/>
            <w:vAlign w:val="bottom"/>
            <w:hideMark/>
          </w:tcPr>
          <w:p w14:paraId="567BF3D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07" w:type="dxa"/>
            <w:tcBorders>
              <w:top w:val="nil"/>
              <w:left w:val="nil"/>
              <w:bottom w:val="nil"/>
              <w:right w:val="nil"/>
            </w:tcBorders>
            <w:shd w:val="clear" w:color="auto" w:fill="auto"/>
            <w:noWrap/>
            <w:vAlign w:val="bottom"/>
            <w:hideMark/>
          </w:tcPr>
          <w:p w14:paraId="6C45D2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923" w:type="dxa"/>
            <w:tcBorders>
              <w:top w:val="nil"/>
              <w:left w:val="nil"/>
              <w:bottom w:val="nil"/>
              <w:right w:val="nil"/>
            </w:tcBorders>
            <w:shd w:val="clear" w:color="auto" w:fill="auto"/>
            <w:noWrap/>
            <w:vAlign w:val="bottom"/>
            <w:hideMark/>
          </w:tcPr>
          <w:p w14:paraId="4DB5B5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4EF0A49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00E73D6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6B3DA8F" w14:textId="77777777" w:rsidTr="00ED0631">
        <w:trPr>
          <w:trHeight w:val="315"/>
        </w:trPr>
        <w:tc>
          <w:tcPr>
            <w:tcW w:w="1630" w:type="dxa"/>
            <w:tcBorders>
              <w:top w:val="nil"/>
              <w:left w:val="nil"/>
              <w:bottom w:val="nil"/>
              <w:right w:val="nil"/>
            </w:tcBorders>
            <w:shd w:val="clear" w:color="auto" w:fill="auto"/>
            <w:noWrap/>
            <w:vAlign w:val="bottom"/>
            <w:hideMark/>
          </w:tcPr>
          <w:p w14:paraId="6F4232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07" w:type="dxa"/>
            <w:tcBorders>
              <w:top w:val="nil"/>
              <w:left w:val="nil"/>
              <w:bottom w:val="nil"/>
              <w:right w:val="nil"/>
            </w:tcBorders>
            <w:shd w:val="clear" w:color="auto" w:fill="auto"/>
            <w:noWrap/>
            <w:vAlign w:val="bottom"/>
            <w:hideMark/>
          </w:tcPr>
          <w:p w14:paraId="5998CED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923" w:type="dxa"/>
            <w:tcBorders>
              <w:top w:val="nil"/>
              <w:left w:val="nil"/>
              <w:bottom w:val="nil"/>
              <w:right w:val="nil"/>
            </w:tcBorders>
            <w:shd w:val="clear" w:color="auto" w:fill="auto"/>
            <w:noWrap/>
            <w:vAlign w:val="bottom"/>
            <w:hideMark/>
          </w:tcPr>
          <w:p w14:paraId="5644D7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387" w:type="dxa"/>
            <w:tcBorders>
              <w:top w:val="nil"/>
              <w:left w:val="nil"/>
              <w:bottom w:val="nil"/>
              <w:right w:val="nil"/>
            </w:tcBorders>
            <w:shd w:val="clear" w:color="auto" w:fill="auto"/>
            <w:noWrap/>
            <w:vAlign w:val="bottom"/>
            <w:hideMark/>
          </w:tcPr>
          <w:p w14:paraId="29FD63C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587" w:type="dxa"/>
            <w:tcBorders>
              <w:top w:val="nil"/>
              <w:left w:val="nil"/>
              <w:bottom w:val="nil"/>
              <w:right w:val="nil"/>
            </w:tcBorders>
            <w:shd w:val="clear" w:color="auto" w:fill="auto"/>
            <w:noWrap/>
            <w:vAlign w:val="bottom"/>
            <w:hideMark/>
          </w:tcPr>
          <w:p w14:paraId="78E9A6E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8C83D3D" w14:textId="77777777" w:rsidTr="00ED0631">
        <w:trPr>
          <w:trHeight w:val="315"/>
        </w:trPr>
        <w:tc>
          <w:tcPr>
            <w:tcW w:w="1630" w:type="dxa"/>
            <w:tcBorders>
              <w:top w:val="nil"/>
              <w:left w:val="nil"/>
              <w:bottom w:val="nil"/>
              <w:right w:val="nil"/>
            </w:tcBorders>
            <w:shd w:val="clear" w:color="auto" w:fill="auto"/>
            <w:noWrap/>
            <w:vAlign w:val="bottom"/>
            <w:hideMark/>
          </w:tcPr>
          <w:p w14:paraId="2CD46B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07" w:type="dxa"/>
            <w:tcBorders>
              <w:top w:val="nil"/>
              <w:left w:val="nil"/>
              <w:bottom w:val="nil"/>
              <w:right w:val="nil"/>
            </w:tcBorders>
            <w:shd w:val="clear" w:color="auto" w:fill="auto"/>
            <w:noWrap/>
            <w:vAlign w:val="bottom"/>
            <w:hideMark/>
          </w:tcPr>
          <w:p w14:paraId="6C1DA5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923" w:type="dxa"/>
            <w:tcBorders>
              <w:top w:val="nil"/>
              <w:left w:val="nil"/>
              <w:bottom w:val="nil"/>
              <w:right w:val="nil"/>
            </w:tcBorders>
            <w:shd w:val="clear" w:color="auto" w:fill="auto"/>
            <w:noWrap/>
            <w:vAlign w:val="bottom"/>
            <w:hideMark/>
          </w:tcPr>
          <w:p w14:paraId="485F3BE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088A04E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31E9FE29"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E0D1DE6" w14:textId="77777777" w:rsidTr="00ED0631">
        <w:trPr>
          <w:trHeight w:val="315"/>
        </w:trPr>
        <w:tc>
          <w:tcPr>
            <w:tcW w:w="1630" w:type="dxa"/>
            <w:tcBorders>
              <w:top w:val="nil"/>
              <w:left w:val="nil"/>
              <w:bottom w:val="nil"/>
              <w:right w:val="nil"/>
            </w:tcBorders>
            <w:shd w:val="clear" w:color="auto" w:fill="auto"/>
            <w:noWrap/>
            <w:vAlign w:val="bottom"/>
            <w:hideMark/>
          </w:tcPr>
          <w:p w14:paraId="34E23E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07" w:type="dxa"/>
            <w:tcBorders>
              <w:top w:val="nil"/>
              <w:left w:val="nil"/>
              <w:bottom w:val="nil"/>
              <w:right w:val="nil"/>
            </w:tcBorders>
            <w:shd w:val="clear" w:color="auto" w:fill="auto"/>
            <w:noWrap/>
            <w:vAlign w:val="bottom"/>
            <w:hideMark/>
          </w:tcPr>
          <w:p w14:paraId="6693F3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923" w:type="dxa"/>
            <w:tcBorders>
              <w:top w:val="nil"/>
              <w:left w:val="nil"/>
              <w:bottom w:val="nil"/>
              <w:right w:val="nil"/>
            </w:tcBorders>
            <w:shd w:val="clear" w:color="auto" w:fill="auto"/>
            <w:noWrap/>
            <w:vAlign w:val="bottom"/>
            <w:hideMark/>
          </w:tcPr>
          <w:p w14:paraId="54F3DEBC"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87" w:type="dxa"/>
            <w:tcBorders>
              <w:top w:val="nil"/>
              <w:left w:val="nil"/>
              <w:bottom w:val="nil"/>
              <w:right w:val="nil"/>
            </w:tcBorders>
            <w:shd w:val="clear" w:color="auto" w:fill="auto"/>
            <w:noWrap/>
            <w:vAlign w:val="bottom"/>
            <w:hideMark/>
          </w:tcPr>
          <w:p w14:paraId="2AB4C3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587" w:type="dxa"/>
            <w:tcBorders>
              <w:top w:val="nil"/>
              <w:left w:val="nil"/>
              <w:bottom w:val="nil"/>
              <w:right w:val="nil"/>
            </w:tcBorders>
            <w:shd w:val="clear" w:color="auto" w:fill="auto"/>
            <w:noWrap/>
            <w:vAlign w:val="bottom"/>
            <w:hideMark/>
          </w:tcPr>
          <w:p w14:paraId="73AC24C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5CDC93E" w14:textId="77777777" w:rsidTr="00ED0631">
        <w:trPr>
          <w:trHeight w:val="315"/>
        </w:trPr>
        <w:tc>
          <w:tcPr>
            <w:tcW w:w="1630" w:type="dxa"/>
            <w:tcBorders>
              <w:top w:val="nil"/>
              <w:left w:val="nil"/>
              <w:bottom w:val="nil"/>
              <w:right w:val="nil"/>
            </w:tcBorders>
            <w:shd w:val="clear" w:color="auto" w:fill="auto"/>
            <w:noWrap/>
            <w:vAlign w:val="bottom"/>
            <w:hideMark/>
          </w:tcPr>
          <w:p w14:paraId="4840CE6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07" w:type="dxa"/>
            <w:tcBorders>
              <w:top w:val="nil"/>
              <w:left w:val="nil"/>
              <w:bottom w:val="nil"/>
              <w:right w:val="nil"/>
            </w:tcBorders>
            <w:shd w:val="clear" w:color="auto" w:fill="auto"/>
            <w:noWrap/>
            <w:vAlign w:val="bottom"/>
            <w:hideMark/>
          </w:tcPr>
          <w:p w14:paraId="793B3B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923" w:type="dxa"/>
            <w:tcBorders>
              <w:top w:val="nil"/>
              <w:left w:val="nil"/>
              <w:bottom w:val="nil"/>
              <w:right w:val="nil"/>
            </w:tcBorders>
            <w:shd w:val="clear" w:color="auto" w:fill="auto"/>
            <w:noWrap/>
            <w:vAlign w:val="bottom"/>
            <w:hideMark/>
          </w:tcPr>
          <w:p w14:paraId="705568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387" w:type="dxa"/>
            <w:tcBorders>
              <w:top w:val="nil"/>
              <w:left w:val="nil"/>
              <w:bottom w:val="nil"/>
              <w:right w:val="nil"/>
            </w:tcBorders>
            <w:shd w:val="clear" w:color="auto" w:fill="auto"/>
            <w:noWrap/>
            <w:vAlign w:val="bottom"/>
            <w:hideMark/>
          </w:tcPr>
          <w:p w14:paraId="179D47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07C1831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49552FC" w14:textId="77777777" w:rsidTr="00ED0631">
        <w:trPr>
          <w:trHeight w:val="315"/>
        </w:trPr>
        <w:tc>
          <w:tcPr>
            <w:tcW w:w="1630" w:type="dxa"/>
            <w:tcBorders>
              <w:top w:val="nil"/>
              <w:left w:val="nil"/>
              <w:bottom w:val="nil"/>
              <w:right w:val="nil"/>
            </w:tcBorders>
            <w:shd w:val="clear" w:color="auto" w:fill="auto"/>
            <w:noWrap/>
            <w:vAlign w:val="bottom"/>
            <w:hideMark/>
          </w:tcPr>
          <w:p w14:paraId="62AE0D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07" w:type="dxa"/>
            <w:tcBorders>
              <w:top w:val="nil"/>
              <w:left w:val="nil"/>
              <w:bottom w:val="nil"/>
              <w:right w:val="nil"/>
            </w:tcBorders>
            <w:shd w:val="clear" w:color="auto" w:fill="auto"/>
            <w:noWrap/>
            <w:vAlign w:val="bottom"/>
            <w:hideMark/>
          </w:tcPr>
          <w:p w14:paraId="4A4856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923" w:type="dxa"/>
            <w:tcBorders>
              <w:top w:val="nil"/>
              <w:left w:val="nil"/>
              <w:bottom w:val="nil"/>
              <w:right w:val="nil"/>
            </w:tcBorders>
            <w:shd w:val="clear" w:color="auto" w:fill="auto"/>
            <w:noWrap/>
            <w:vAlign w:val="bottom"/>
            <w:hideMark/>
          </w:tcPr>
          <w:p w14:paraId="542DD0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7CA726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587" w:type="dxa"/>
            <w:tcBorders>
              <w:top w:val="nil"/>
              <w:left w:val="nil"/>
              <w:bottom w:val="nil"/>
              <w:right w:val="nil"/>
            </w:tcBorders>
            <w:shd w:val="clear" w:color="auto" w:fill="auto"/>
            <w:noWrap/>
            <w:vAlign w:val="bottom"/>
            <w:hideMark/>
          </w:tcPr>
          <w:p w14:paraId="338F895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6EA7AED" w14:textId="77777777" w:rsidTr="00ED0631">
        <w:trPr>
          <w:trHeight w:val="315"/>
        </w:trPr>
        <w:tc>
          <w:tcPr>
            <w:tcW w:w="1630" w:type="dxa"/>
            <w:tcBorders>
              <w:top w:val="nil"/>
              <w:left w:val="nil"/>
              <w:bottom w:val="nil"/>
              <w:right w:val="nil"/>
            </w:tcBorders>
            <w:shd w:val="clear" w:color="auto" w:fill="auto"/>
            <w:noWrap/>
            <w:vAlign w:val="bottom"/>
            <w:hideMark/>
          </w:tcPr>
          <w:p w14:paraId="0F9D48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07" w:type="dxa"/>
            <w:tcBorders>
              <w:top w:val="nil"/>
              <w:left w:val="nil"/>
              <w:bottom w:val="nil"/>
              <w:right w:val="nil"/>
            </w:tcBorders>
            <w:shd w:val="clear" w:color="auto" w:fill="auto"/>
            <w:noWrap/>
            <w:vAlign w:val="bottom"/>
            <w:hideMark/>
          </w:tcPr>
          <w:p w14:paraId="1FFC67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923" w:type="dxa"/>
            <w:tcBorders>
              <w:top w:val="nil"/>
              <w:left w:val="nil"/>
              <w:bottom w:val="nil"/>
              <w:right w:val="nil"/>
            </w:tcBorders>
            <w:shd w:val="clear" w:color="auto" w:fill="auto"/>
            <w:noWrap/>
            <w:vAlign w:val="bottom"/>
            <w:hideMark/>
          </w:tcPr>
          <w:p w14:paraId="311CA35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387" w:type="dxa"/>
            <w:tcBorders>
              <w:top w:val="nil"/>
              <w:left w:val="nil"/>
              <w:bottom w:val="nil"/>
              <w:right w:val="nil"/>
            </w:tcBorders>
            <w:shd w:val="clear" w:color="auto" w:fill="auto"/>
            <w:noWrap/>
            <w:vAlign w:val="bottom"/>
            <w:hideMark/>
          </w:tcPr>
          <w:p w14:paraId="32B275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587" w:type="dxa"/>
            <w:tcBorders>
              <w:top w:val="nil"/>
              <w:left w:val="nil"/>
              <w:bottom w:val="nil"/>
              <w:right w:val="nil"/>
            </w:tcBorders>
            <w:shd w:val="clear" w:color="auto" w:fill="auto"/>
            <w:noWrap/>
            <w:vAlign w:val="bottom"/>
            <w:hideMark/>
          </w:tcPr>
          <w:p w14:paraId="0356759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049C2E6" w14:textId="77777777" w:rsidTr="00ED0631">
        <w:trPr>
          <w:trHeight w:val="315"/>
        </w:trPr>
        <w:tc>
          <w:tcPr>
            <w:tcW w:w="1630" w:type="dxa"/>
            <w:tcBorders>
              <w:top w:val="nil"/>
              <w:left w:val="nil"/>
              <w:bottom w:val="nil"/>
              <w:right w:val="nil"/>
            </w:tcBorders>
            <w:shd w:val="clear" w:color="auto" w:fill="auto"/>
            <w:noWrap/>
            <w:vAlign w:val="bottom"/>
            <w:hideMark/>
          </w:tcPr>
          <w:p w14:paraId="0C7A91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07" w:type="dxa"/>
            <w:tcBorders>
              <w:top w:val="nil"/>
              <w:left w:val="nil"/>
              <w:bottom w:val="nil"/>
              <w:right w:val="nil"/>
            </w:tcBorders>
            <w:shd w:val="clear" w:color="auto" w:fill="auto"/>
            <w:noWrap/>
            <w:vAlign w:val="bottom"/>
            <w:hideMark/>
          </w:tcPr>
          <w:p w14:paraId="5535EF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923" w:type="dxa"/>
            <w:tcBorders>
              <w:top w:val="nil"/>
              <w:left w:val="nil"/>
              <w:bottom w:val="nil"/>
              <w:right w:val="nil"/>
            </w:tcBorders>
            <w:shd w:val="clear" w:color="auto" w:fill="auto"/>
            <w:noWrap/>
            <w:vAlign w:val="bottom"/>
            <w:hideMark/>
          </w:tcPr>
          <w:p w14:paraId="11442E6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387" w:type="dxa"/>
            <w:tcBorders>
              <w:top w:val="nil"/>
              <w:left w:val="nil"/>
              <w:bottom w:val="nil"/>
              <w:right w:val="nil"/>
            </w:tcBorders>
            <w:shd w:val="clear" w:color="auto" w:fill="auto"/>
            <w:noWrap/>
            <w:vAlign w:val="bottom"/>
            <w:hideMark/>
          </w:tcPr>
          <w:p w14:paraId="7FB3E9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587" w:type="dxa"/>
            <w:tcBorders>
              <w:top w:val="nil"/>
              <w:left w:val="nil"/>
              <w:bottom w:val="nil"/>
              <w:right w:val="nil"/>
            </w:tcBorders>
            <w:shd w:val="clear" w:color="auto" w:fill="auto"/>
            <w:noWrap/>
            <w:vAlign w:val="bottom"/>
            <w:hideMark/>
          </w:tcPr>
          <w:p w14:paraId="341477E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2ED0845"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78C6B8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07" w:type="dxa"/>
            <w:tcBorders>
              <w:top w:val="single" w:sz="4" w:space="0" w:color="auto"/>
              <w:left w:val="nil"/>
              <w:bottom w:val="single" w:sz="4" w:space="0" w:color="auto"/>
              <w:right w:val="nil"/>
            </w:tcBorders>
            <w:shd w:val="clear" w:color="auto" w:fill="auto"/>
            <w:noWrap/>
            <w:vAlign w:val="bottom"/>
            <w:hideMark/>
          </w:tcPr>
          <w:p w14:paraId="7A9E74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16 </w:t>
            </w:r>
          </w:p>
        </w:tc>
        <w:tc>
          <w:tcPr>
            <w:tcW w:w="1923" w:type="dxa"/>
            <w:tcBorders>
              <w:top w:val="single" w:sz="4" w:space="0" w:color="auto"/>
              <w:left w:val="nil"/>
              <w:bottom w:val="single" w:sz="4" w:space="0" w:color="auto"/>
              <w:right w:val="nil"/>
            </w:tcBorders>
            <w:shd w:val="clear" w:color="auto" w:fill="auto"/>
            <w:noWrap/>
            <w:vAlign w:val="bottom"/>
            <w:hideMark/>
          </w:tcPr>
          <w:p w14:paraId="2BD829E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12 </w:t>
            </w:r>
          </w:p>
        </w:tc>
        <w:tc>
          <w:tcPr>
            <w:tcW w:w="1387" w:type="dxa"/>
            <w:tcBorders>
              <w:top w:val="single" w:sz="4" w:space="0" w:color="auto"/>
              <w:left w:val="nil"/>
              <w:bottom w:val="single" w:sz="4" w:space="0" w:color="auto"/>
              <w:right w:val="nil"/>
            </w:tcBorders>
            <w:shd w:val="clear" w:color="auto" w:fill="auto"/>
            <w:noWrap/>
            <w:vAlign w:val="bottom"/>
            <w:hideMark/>
          </w:tcPr>
          <w:p w14:paraId="1ECCB9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18 </w:t>
            </w:r>
          </w:p>
        </w:tc>
        <w:tc>
          <w:tcPr>
            <w:tcW w:w="1587" w:type="dxa"/>
            <w:tcBorders>
              <w:top w:val="single" w:sz="4" w:space="0" w:color="auto"/>
              <w:left w:val="nil"/>
              <w:bottom w:val="single" w:sz="4" w:space="0" w:color="auto"/>
              <w:right w:val="nil"/>
            </w:tcBorders>
            <w:shd w:val="clear" w:color="auto" w:fill="auto"/>
            <w:noWrap/>
            <w:vAlign w:val="bottom"/>
            <w:hideMark/>
          </w:tcPr>
          <w:p w14:paraId="2EEA70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bl>
    <w:p w14:paraId="0A63359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30: School leaders rating of the support they give the teachers by island category</w:t>
      </w:r>
    </w:p>
    <w:tbl>
      <w:tblPr>
        <w:tblW w:w="7446" w:type="dxa"/>
        <w:tblInd w:w="93" w:type="dxa"/>
        <w:tblLook w:val="04A0" w:firstRow="1" w:lastRow="0" w:firstColumn="1" w:lastColumn="0" w:noHBand="0" w:noVBand="1"/>
      </w:tblPr>
      <w:tblGrid>
        <w:gridCol w:w="1242"/>
        <w:gridCol w:w="1307"/>
        <w:gridCol w:w="1923"/>
        <w:gridCol w:w="1387"/>
        <w:gridCol w:w="1587"/>
      </w:tblGrid>
      <w:tr w:rsidR="00AC362E" w:rsidRPr="00491EF1" w14:paraId="391CF7DF"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1B0C3C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307" w:type="dxa"/>
            <w:tcBorders>
              <w:top w:val="single" w:sz="4" w:space="0" w:color="auto"/>
              <w:left w:val="nil"/>
              <w:bottom w:val="single" w:sz="4" w:space="0" w:color="auto"/>
              <w:right w:val="nil"/>
            </w:tcBorders>
            <w:shd w:val="clear" w:color="auto" w:fill="auto"/>
            <w:noWrap/>
            <w:vAlign w:val="bottom"/>
            <w:hideMark/>
          </w:tcPr>
          <w:p w14:paraId="3F7C8EE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923" w:type="dxa"/>
            <w:tcBorders>
              <w:top w:val="single" w:sz="4" w:space="0" w:color="auto"/>
              <w:left w:val="nil"/>
              <w:bottom w:val="single" w:sz="4" w:space="0" w:color="auto"/>
              <w:right w:val="nil"/>
            </w:tcBorders>
            <w:shd w:val="clear" w:color="auto" w:fill="auto"/>
            <w:noWrap/>
            <w:vAlign w:val="bottom"/>
            <w:hideMark/>
          </w:tcPr>
          <w:p w14:paraId="2882C99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1387" w:type="dxa"/>
            <w:tcBorders>
              <w:top w:val="single" w:sz="4" w:space="0" w:color="auto"/>
              <w:left w:val="nil"/>
              <w:bottom w:val="single" w:sz="4" w:space="0" w:color="auto"/>
              <w:right w:val="nil"/>
            </w:tcBorders>
            <w:shd w:val="clear" w:color="auto" w:fill="auto"/>
            <w:noWrap/>
            <w:vAlign w:val="bottom"/>
            <w:hideMark/>
          </w:tcPr>
          <w:p w14:paraId="3C7BD2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587" w:type="dxa"/>
            <w:tcBorders>
              <w:top w:val="single" w:sz="4" w:space="0" w:color="auto"/>
              <w:left w:val="nil"/>
              <w:bottom w:val="single" w:sz="4" w:space="0" w:color="auto"/>
              <w:right w:val="nil"/>
            </w:tcBorders>
            <w:shd w:val="clear" w:color="auto" w:fill="auto"/>
            <w:noWrap/>
            <w:vAlign w:val="bottom"/>
            <w:hideMark/>
          </w:tcPr>
          <w:p w14:paraId="75542BB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7A98E997" w14:textId="77777777" w:rsidTr="00ED0631">
        <w:trPr>
          <w:trHeight w:val="315"/>
        </w:trPr>
        <w:tc>
          <w:tcPr>
            <w:tcW w:w="1242" w:type="dxa"/>
            <w:tcBorders>
              <w:top w:val="nil"/>
              <w:left w:val="nil"/>
              <w:bottom w:val="nil"/>
              <w:right w:val="nil"/>
            </w:tcBorders>
            <w:shd w:val="clear" w:color="auto" w:fill="auto"/>
            <w:noWrap/>
            <w:vAlign w:val="bottom"/>
            <w:hideMark/>
          </w:tcPr>
          <w:p w14:paraId="275E067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07" w:type="dxa"/>
            <w:tcBorders>
              <w:top w:val="nil"/>
              <w:left w:val="nil"/>
              <w:bottom w:val="nil"/>
              <w:right w:val="nil"/>
            </w:tcBorders>
            <w:shd w:val="clear" w:color="auto" w:fill="auto"/>
            <w:noWrap/>
            <w:vAlign w:val="bottom"/>
            <w:hideMark/>
          </w:tcPr>
          <w:p w14:paraId="5D2A14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923" w:type="dxa"/>
            <w:tcBorders>
              <w:top w:val="nil"/>
              <w:left w:val="nil"/>
              <w:bottom w:val="nil"/>
              <w:right w:val="nil"/>
            </w:tcBorders>
            <w:shd w:val="clear" w:color="auto" w:fill="auto"/>
            <w:noWrap/>
            <w:vAlign w:val="bottom"/>
            <w:hideMark/>
          </w:tcPr>
          <w:p w14:paraId="3260C7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387" w:type="dxa"/>
            <w:tcBorders>
              <w:top w:val="nil"/>
              <w:left w:val="nil"/>
              <w:bottom w:val="nil"/>
              <w:right w:val="nil"/>
            </w:tcBorders>
            <w:shd w:val="clear" w:color="auto" w:fill="auto"/>
            <w:noWrap/>
            <w:vAlign w:val="bottom"/>
            <w:hideMark/>
          </w:tcPr>
          <w:p w14:paraId="45CF1CB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587" w:type="dxa"/>
            <w:tcBorders>
              <w:top w:val="nil"/>
              <w:left w:val="nil"/>
              <w:bottom w:val="nil"/>
              <w:right w:val="nil"/>
            </w:tcBorders>
            <w:shd w:val="clear" w:color="auto" w:fill="auto"/>
            <w:noWrap/>
            <w:vAlign w:val="bottom"/>
            <w:hideMark/>
          </w:tcPr>
          <w:p w14:paraId="358CEE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7E6F2725" w14:textId="77777777" w:rsidTr="00ED0631">
        <w:trPr>
          <w:trHeight w:val="315"/>
        </w:trPr>
        <w:tc>
          <w:tcPr>
            <w:tcW w:w="1242" w:type="dxa"/>
            <w:tcBorders>
              <w:top w:val="nil"/>
              <w:left w:val="nil"/>
              <w:bottom w:val="nil"/>
              <w:right w:val="nil"/>
            </w:tcBorders>
            <w:shd w:val="clear" w:color="auto" w:fill="auto"/>
            <w:noWrap/>
            <w:vAlign w:val="bottom"/>
            <w:hideMark/>
          </w:tcPr>
          <w:p w14:paraId="5746322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07" w:type="dxa"/>
            <w:tcBorders>
              <w:top w:val="nil"/>
              <w:left w:val="nil"/>
              <w:bottom w:val="nil"/>
              <w:right w:val="nil"/>
            </w:tcBorders>
            <w:shd w:val="clear" w:color="auto" w:fill="auto"/>
            <w:noWrap/>
            <w:vAlign w:val="bottom"/>
            <w:hideMark/>
          </w:tcPr>
          <w:p w14:paraId="3AFDE1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38C47A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 </w:t>
            </w:r>
          </w:p>
        </w:tc>
        <w:tc>
          <w:tcPr>
            <w:tcW w:w="1387" w:type="dxa"/>
            <w:tcBorders>
              <w:top w:val="nil"/>
              <w:left w:val="nil"/>
              <w:bottom w:val="nil"/>
              <w:right w:val="nil"/>
            </w:tcBorders>
            <w:shd w:val="clear" w:color="auto" w:fill="auto"/>
            <w:noWrap/>
            <w:vAlign w:val="bottom"/>
            <w:hideMark/>
          </w:tcPr>
          <w:p w14:paraId="64A065D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587" w:type="dxa"/>
            <w:tcBorders>
              <w:top w:val="nil"/>
              <w:left w:val="nil"/>
              <w:bottom w:val="nil"/>
              <w:right w:val="nil"/>
            </w:tcBorders>
            <w:shd w:val="clear" w:color="auto" w:fill="auto"/>
            <w:noWrap/>
            <w:vAlign w:val="bottom"/>
            <w:hideMark/>
          </w:tcPr>
          <w:p w14:paraId="787011FE"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7E49569" w14:textId="77777777" w:rsidTr="00ED0631">
        <w:trPr>
          <w:trHeight w:val="315"/>
        </w:trPr>
        <w:tc>
          <w:tcPr>
            <w:tcW w:w="1242" w:type="dxa"/>
            <w:tcBorders>
              <w:top w:val="nil"/>
              <w:left w:val="nil"/>
              <w:bottom w:val="nil"/>
              <w:right w:val="nil"/>
            </w:tcBorders>
            <w:shd w:val="clear" w:color="auto" w:fill="auto"/>
            <w:noWrap/>
            <w:vAlign w:val="bottom"/>
            <w:hideMark/>
          </w:tcPr>
          <w:p w14:paraId="093DA99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07" w:type="dxa"/>
            <w:tcBorders>
              <w:top w:val="nil"/>
              <w:left w:val="nil"/>
              <w:bottom w:val="nil"/>
              <w:right w:val="nil"/>
            </w:tcBorders>
            <w:shd w:val="clear" w:color="auto" w:fill="auto"/>
            <w:noWrap/>
            <w:vAlign w:val="bottom"/>
            <w:hideMark/>
          </w:tcPr>
          <w:p w14:paraId="1DA080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923" w:type="dxa"/>
            <w:tcBorders>
              <w:top w:val="nil"/>
              <w:left w:val="nil"/>
              <w:bottom w:val="nil"/>
              <w:right w:val="nil"/>
            </w:tcBorders>
            <w:shd w:val="clear" w:color="auto" w:fill="auto"/>
            <w:noWrap/>
            <w:vAlign w:val="bottom"/>
            <w:hideMark/>
          </w:tcPr>
          <w:p w14:paraId="3162AC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87" w:type="dxa"/>
            <w:tcBorders>
              <w:top w:val="nil"/>
              <w:left w:val="nil"/>
              <w:bottom w:val="nil"/>
              <w:right w:val="nil"/>
            </w:tcBorders>
            <w:shd w:val="clear" w:color="auto" w:fill="auto"/>
            <w:noWrap/>
            <w:vAlign w:val="bottom"/>
            <w:hideMark/>
          </w:tcPr>
          <w:p w14:paraId="31799B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587" w:type="dxa"/>
            <w:tcBorders>
              <w:top w:val="nil"/>
              <w:left w:val="nil"/>
              <w:bottom w:val="nil"/>
              <w:right w:val="nil"/>
            </w:tcBorders>
            <w:shd w:val="clear" w:color="auto" w:fill="auto"/>
            <w:noWrap/>
            <w:vAlign w:val="bottom"/>
            <w:hideMark/>
          </w:tcPr>
          <w:p w14:paraId="214CBC6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3DEBC00" w14:textId="77777777" w:rsidTr="00ED0631">
        <w:trPr>
          <w:trHeight w:val="315"/>
        </w:trPr>
        <w:tc>
          <w:tcPr>
            <w:tcW w:w="1242" w:type="dxa"/>
            <w:tcBorders>
              <w:top w:val="single" w:sz="4" w:space="0" w:color="auto"/>
              <w:left w:val="nil"/>
              <w:bottom w:val="single" w:sz="4" w:space="0" w:color="auto"/>
              <w:right w:val="nil"/>
            </w:tcBorders>
            <w:shd w:val="clear" w:color="auto" w:fill="auto"/>
            <w:noWrap/>
            <w:vAlign w:val="bottom"/>
            <w:hideMark/>
          </w:tcPr>
          <w:p w14:paraId="374496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07" w:type="dxa"/>
            <w:tcBorders>
              <w:top w:val="single" w:sz="4" w:space="0" w:color="auto"/>
              <w:left w:val="nil"/>
              <w:bottom w:val="single" w:sz="4" w:space="0" w:color="auto"/>
              <w:right w:val="nil"/>
            </w:tcBorders>
            <w:shd w:val="clear" w:color="auto" w:fill="auto"/>
            <w:noWrap/>
            <w:vAlign w:val="bottom"/>
            <w:hideMark/>
          </w:tcPr>
          <w:p w14:paraId="5D4A4B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16 </w:t>
            </w:r>
          </w:p>
        </w:tc>
        <w:tc>
          <w:tcPr>
            <w:tcW w:w="1923" w:type="dxa"/>
            <w:tcBorders>
              <w:top w:val="single" w:sz="4" w:space="0" w:color="auto"/>
              <w:left w:val="nil"/>
              <w:bottom w:val="single" w:sz="4" w:space="0" w:color="auto"/>
              <w:right w:val="nil"/>
            </w:tcBorders>
            <w:shd w:val="clear" w:color="auto" w:fill="auto"/>
            <w:noWrap/>
            <w:vAlign w:val="bottom"/>
            <w:hideMark/>
          </w:tcPr>
          <w:p w14:paraId="063E56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387" w:type="dxa"/>
            <w:tcBorders>
              <w:top w:val="single" w:sz="4" w:space="0" w:color="auto"/>
              <w:left w:val="nil"/>
              <w:bottom w:val="single" w:sz="4" w:space="0" w:color="auto"/>
              <w:right w:val="nil"/>
            </w:tcBorders>
            <w:shd w:val="clear" w:color="auto" w:fill="auto"/>
            <w:noWrap/>
            <w:vAlign w:val="bottom"/>
            <w:hideMark/>
          </w:tcPr>
          <w:p w14:paraId="2081665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 </w:t>
            </w:r>
          </w:p>
        </w:tc>
        <w:tc>
          <w:tcPr>
            <w:tcW w:w="1587" w:type="dxa"/>
            <w:tcBorders>
              <w:top w:val="single" w:sz="4" w:space="0" w:color="auto"/>
              <w:left w:val="nil"/>
              <w:bottom w:val="single" w:sz="4" w:space="0" w:color="auto"/>
              <w:right w:val="nil"/>
            </w:tcBorders>
            <w:shd w:val="clear" w:color="auto" w:fill="auto"/>
            <w:noWrap/>
            <w:vAlign w:val="bottom"/>
            <w:hideMark/>
          </w:tcPr>
          <w:p w14:paraId="1F3F20E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bl>
    <w:p w14:paraId="22DF23A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31: School leaders' estimate of the number of children out-of-school (average) by island</w:t>
      </w:r>
    </w:p>
    <w:tbl>
      <w:tblPr>
        <w:tblW w:w="3420" w:type="dxa"/>
        <w:tblInd w:w="93" w:type="dxa"/>
        <w:tblLook w:val="04A0" w:firstRow="1" w:lastRow="0" w:firstColumn="1" w:lastColumn="0" w:noHBand="0" w:noVBand="1"/>
      </w:tblPr>
      <w:tblGrid>
        <w:gridCol w:w="2155"/>
        <w:gridCol w:w="1265"/>
      </w:tblGrid>
      <w:tr w:rsidR="00AC362E" w:rsidRPr="00491EF1" w14:paraId="3EA8DAEB" w14:textId="77777777" w:rsidTr="00ED0631">
        <w:trPr>
          <w:trHeight w:val="315"/>
        </w:trPr>
        <w:tc>
          <w:tcPr>
            <w:tcW w:w="2155" w:type="dxa"/>
            <w:tcBorders>
              <w:top w:val="single" w:sz="4" w:space="0" w:color="auto"/>
              <w:left w:val="nil"/>
              <w:bottom w:val="single" w:sz="4" w:space="0" w:color="auto"/>
              <w:right w:val="nil"/>
            </w:tcBorders>
            <w:shd w:val="clear" w:color="auto" w:fill="auto"/>
            <w:noWrap/>
            <w:vAlign w:val="bottom"/>
            <w:hideMark/>
          </w:tcPr>
          <w:p w14:paraId="65681E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265" w:type="dxa"/>
            <w:tcBorders>
              <w:top w:val="single" w:sz="4" w:space="0" w:color="auto"/>
              <w:left w:val="nil"/>
              <w:bottom w:val="single" w:sz="4" w:space="0" w:color="auto"/>
              <w:right w:val="nil"/>
            </w:tcBorders>
            <w:shd w:val="clear" w:color="auto" w:fill="auto"/>
            <w:noWrap/>
            <w:vAlign w:val="bottom"/>
            <w:hideMark/>
          </w:tcPr>
          <w:p w14:paraId="6667FE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Average </w:t>
            </w:r>
          </w:p>
        </w:tc>
      </w:tr>
      <w:tr w:rsidR="00AC362E" w:rsidRPr="00491EF1" w14:paraId="6DB5A5D6" w14:textId="77777777" w:rsidTr="00ED0631">
        <w:trPr>
          <w:trHeight w:val="315"/>
        </w:trPr>
        <w:tc>
          <w:tcPr>
            <w:tcW w:w="2155" w:type="dxa"/>
            <w:tcBorders>
              <w:top w:val="nil"/>
              <w:left w:val="nil"/>
              <w:bottom w:val="nil"/>
              <w:right w:val="nil"/>
            </w:tcBorders>
            <w:shd w:val="clear" w:color="auto" w:fill="auto"/>
            <w:noWrap/>
            <w:vAlign w:val="bottom"/>
            <w:hideMark/>
          </w:tcPr>
          <w:p w14:paraId="6EE34E8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265" w:type="dxa"/>
            <w:tcBorders>
              <w:top w:val="nil"/>
              <w:left w:val="nil"/>
              <w:bottom w:val="nil"/>
              <w:right w:val="nil"/>
            </w:tcBorders>
            <w:shd w:val="clear" w:color="auto" w:fill="auto"/>
            <w:noWrap/>
            <w:vAlign w:val="bottom"/>
            <w:hideMark/>
          </w:tcPr>
          <w:p w14:paraId="21484CC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1.80 </w:t>
            </w:r>
          </w:p>
        </w:tc>
      </w:tr>
      <w:tr w:rsidR="00AC362E" w:rsidRPr="00491EF1" w14:paraId="076E9D27" w14:textId="77777777" w:rsidTr="00ED0631">
        <w:trPr>
          <w:trHeight w:val="315"/>
        </w:trPr>
        <w:tc>
          <w:tcPr>
            <w:tcW w:w="2155" w:type="dxa"/>
            <w:tcBorders>
              <w:top w:val="nil"/>
              <w:left w:val="nil"/>
              <w:bottom w:val="nil"/>
              <w:right w:val="nil"/>
            </w:tcBorders>
            <w:shd w:val="clear" w:color="auto" w:fill="auto"/>
            <w:noWrap/>
            <w:vAlign w:val="bottom"/>
            <w:hideMark/>
          </w:tcPr>
          <w:p w14:paraId="6CA7EA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265" w:type="dxa"/>
            <w:tcBorders>
              <w:top w:val="nil"/>
              <w:left w:val="nil"/>
              <w:bottom w:val="nil"/>
              <w:right w:val="nil"/>
            </w:tcBorders>
            <w:shd w:val="clear" w:color="auto" w:fill="auto"/>
            <w:noWrap/>
            <w:vAlign w:val="bottom"/>
            <w:hideMark/>
          </w:tcPr>
          <w:p w14:paraId="00CE5A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3.00 </w:t>
            </w:r>
          </w:p>
        </w:tc>
      </w:tr>
      <w:tr w:rsidR="00AC362E" w:rsidRPr="00491EF1" w14:paraId="32597167" w14:textId="77777777" w:rsidTr="00ED0631">
        <w:trPr>
          <w:trHeight w:val="315"/>
        </w:trPr>
        <w:tc>
          <w:tcPr>
            <w:tcW w:w="2155" w:type="dxa"/>
            <w:tcBorders>
              <w:top w:val="nil"/>
              <w:left w:val="nil"/>
              <w:bottom w:val="nil"/>
              <w:right w:val="nil"/>
            </w:tcBorders>
            <w:shd w:val="clear" w:color="auto" w:fill="auto"/>
            <w:noWrap/>
            <w:vAlign w:val="bottom"/>
            <w:hideMark/>
          </w:tcPr>
          <w:p w14:paraId="398F87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265" w:type="dxa"/>
            <w:tcBorders>
              <w:top w:val="nil"/>
              <w:left w:val="nil"/>
              <w:bottom w:val="nil"/>
              <w:right w:val="nil"/>
            </w:tcBorders>
            <w:shd w:val="clear" w:color="auto" w:fill="auto"/>
            <w:noWrap/>
            <w:vAlign w:val="bottom"/>
            <w:hideMark/>
          </w:tcPr>
          <w:p w14:paraId="523E128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5.67 </w:t>
            </w:r>
          </w:p>
        </w:tc>
      </w:tr>
      <w:tr w:rsidR="00AC362E" w:rsidRPr="00491EF1" w14:paraId="1061BAF0" w14:textId="77777777" w:rsidTr="00ED0631">
        <w:trPr>
          <w:trHeight w:val="315"/>
        </w:trPr>
        <w:tc>
          <w:tcPr>
            <w:tcW w:w="2155" w:type="dxa"/>
            <w:tcBorders>
              <w:top w:val="nil"/>
              <w:left w:val="nil"/>
              <w:bottom w:val="nil"/>
              <w:right w:val="nil"/>
            </w:tcBorders>
            <w:shd w:val="clear" w:color="auto" w:fill="auto"/>
            <w:noWrap/>
            <w:vAlign w:val="bottom"/>
            <w:hideMark/>
          </w:tcPr>
          <w:p w14:paraId="2C60444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265" w:type="dxa"/>
            <w:tcBorders>
              <w:top w:val="nil"/>
              <w:left w:val="nil"/>
              <w:bottom w:val="nil"/>
              <w:right w:val="nil"/>
            </w:tcBorders>
            <w:shd w:val="clear" w:color="auto" w:fill="auto"/>
            <w:noWrap/>
            <w:vAlign w:val="bottom"/>
            <w:hideMark/>
          </w:tcPr>
          <w:p w14:paraId="042812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5.67 </w:t>
            </w:r>
          </w:p>
        </w:tc>
      </w:tr>
      <w:tr w:rsidR="00AC362E" w:rsidRPr="00491EF1" w14:paraId="34E18E90" w14:textId="77777777" w:rsidTr="00ED0631">
        <w:trPr>
          <w:trHeight w:val="315"/>
        </w:trPr>
        <w:tc>
          <w:tcPr>
            <w:tcW w:w="2155" w:type="dxa"/>
            <w:tcBorders>
              <w:top w:val="nil"/>
              <w:left w:val="nil"/>
              <w:bottom w:val="nil"/>
              <w:right w:val="nil"/>
            </w:tcBorders>
            <w:shd w:val="clear" w:color="auto" w:fill="auto"/>
            <w:noWrap/>
            <w:vAlign w:val="bottom"/>
            <w:hideMark/>
          </w:tcPr>
          <w:p w14:paraId="104D4A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265" w:type="dxa"/>
            <w:tcBorders>
              <w:top w:val="nil"/>
              <w:left w:val="nil"/>
              <w:bottom w:val="nil"/>
              <w:right w:val="nil"/>
            </w:tcBorders>
            <w:shd w:val="clear" w:color="auto" w:fill="auto"/>
            <w:noWrap/>
            <w:vAlign w:val="bottom"/>
            <w:hideMark/>
          </w:tcPr>
          <w:p w14:paraId="0025600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4.57 </w:t>
            </w:r>
          </w:p>
        </w:tc>
      </w:tr>
      <w:tr w:rsidR="00AC362E" w:rsidRPr="00491EF1" w14:paraId="456B2B9F" w14:textId="77777777" w:rsidTr="00ED0631">
        <w:trPr>
          <w:trHeight w:val="315"/>
        </w:trPr>
        <w:tc>
          <w:tcPr>
            <w:tcW w:w="2155" w:type="dxa"/>
            <w:tcBorders>
              <w:top w:val="nil"/>
              <w:left w:val="nil"/>
              <w:bottom w:val="nil"/>
              <w:right w:val="nil"/>
            </w:tcBorders>
            <w:shd w:val="clear" w:color="auto" w:fill="auto"/>
            <w:noWrap/>
            <w:vAlign w:val="bottom"/>
            <w:hideMark/>
          </w:tcPr>
          <w:p w14:paraId="4C26EF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265" w:type="dxa"/>
            <w:tcBorders>
              <w:top w:val="nil"/>
              <w:left w:val="nil"/>
              <w:bottom w:val="nil"/>
              <w:right w:val="nil"/>
            </w:tcBorders>
            <w:shd w:val="clear" w:color="auto" w:fill="auto"/>
            <w:noWrap/>
            <w:vAlign w:val="bottom"/>
            <w:hideMark/>
          </w:tcPr>
          <w:p w14:paraId="0CC38FA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3.00 </w:t>
            </w:r>
          </w:p>
        </w:tc>
      </w:tr>
      <w:tr w:rsidR="00AC362E" w:rsidRPr="00491EF1" w14:paraId="39375B98" w14:textId="77777777" w:rsidTr="00ED0631">
        <w:trPr>
          <w:trHeight w:val="315"/>
        </w:trPr>
        <w:tc>
          <w:tcPr>
            <w:tcW w:w="2155" w:type="dxa"/>
            <w:tcBorders>
              <w:top w:val="nil"/>
              <w:left w:val="nil"/>
              <w:bottom w:val="nil"/>
              <w:right w:val="nil"/>
            </w:tcBorders>
            <w:shd w:val="clear" w:color="auto" w:fill="auto"/>
            <w:noWrap/>
            <w:vAlign w:val="bottom"/>
            <w:hideMark/>
          </w:tcPr>
          <w:p w14:paraId="3B755B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265" w:type="dxa"/>
            <w:tcBorders>
              <w:top w:val="nil"/>
              <w:left w:val="nil"/>
              <w:bottom w:val="nil"/>
              <w:right w:val="nil"/>
            </w:tcBorders>
            <w:shd w:val="clear" w:color="auto" w:fill="auto"/>
            <w:noWrap/>
            <w:vAlign w:val="bottom"/>
            <w:hideMark/>
          </w:tcPr>
          <w:p w14:paraId="2050075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2.83 </w:t>
            </w:r>
          </w:p>
        </w:tc>
      </w:tr>
      <w:tr w:rsidR="00AC362E" w:rsidRPr="00491EF1" w14:paraId="20F80596" w14:textId="77777777" w:rsidTr="00ED0631">
        <w:trPr>
          <w:trHeight w:val="315"/>
        </w:trPr>
        <w:tc>
          <w:tcPr>
            <w:tcW w:w="2155" w:type="dxa"/>
            <w:tcBorders>
              <w:top w:val="nil"/>
              <w:left w:val="nil"/>
              <w:bottom w:val="nil"/>
              <w:right w:val="nil"/>
            </w:tcBorders>
            <w:shd w:val="clear" w:color="auto" w:fill="auto"/>
            <w:noWrap/>
            <w:vAlign w:val="bottom"/>
            <w:hideMark/>
          </w:tcPr>
          <w:p w14:paraId="1BC1A3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265" w:type="dxa"/>
            <w:tcBorders>
              <w:top w:val="nil"/>
              <w:left w:val="nil"/>
              <w:bottom w:val="nil"/>
              <w:right w:val="nil"/>
            </w:tcBorders>
            <w:shd w:val="clear" w:color="auto" w:fill="auto"/>
            <w:noWrap/>
            <w:vAlign w:val="bottom"/>
            <w:hideMark/>
          </w:tcPr>
          <w:p w14:paraId="6EB496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1.75 </w:t>
            </w:r>
          </w:p>
        </w:tc>
      </w:tr>
      <w:tr w:rsidR="00AC362E" w:rsidRPr="00491EF1" w14:paraId="52EC8420" w14:textId="77777777" w:rsidTr="00ED0631">
        <w:trPr>
          <w:trHeight w:val="315"/>
        </w:trPr>
        <w:tc>
          <w:tcPr>
            <w:tcW w:w="2155" w:type="dxa"/>
            <w:tcBorders>
              <w:top w:val="nil"/>
              <w:left w:val="nil"/>
              <w:bottom w:val="nil"/>
              <w:right w:val="nil"/>
            </w:tcBorders>
            <w:shd w:val="clear" w:color="auto" w:fill="auto"/>
            <w:noWrap/>
            <w:vAlign w:val="bottom"/>
            <w:hideMark/>
          </w:tcPr>
          <w:p w14:paraId="65FB02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265" w:type="dxa"/>
            <w:tcBorders>
              <w:top w:val="nil"/>
              <w:left w:val="nil"/>
              <w:bottom w:val="nil"/>
              <w:right w:val="nil"/>
            </w:tcBorders>
            <w:shd w:val="clear" w:color="auto" w:fill="auto"/>
            <w:noWrap/>
            <w:vAlign w:val="bottom"/>
            <w:hideMark/>
          </w:tcPr>
          <w:p w14:paraId="69A3FB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13.80 </w:t>
            </w:r>
          </w:p>
        </w:tc>
      </w:tr>
      <w:tr w:rsidR="00AC362E" w:rsidRPr="00491EF1" w14:paraId="028131ED" w14:textId="77777777" w:rsidTr="00ED0631">
        <w:trPr>
          <w:trHeight w:val="315"/>
        </w:trPr>
        <w:tc>
          <w:tcPr>
            <w:tcW w:w="2155" w:type="dxa"/>
            <w:tcBorders>
              <w:top w:val="single" w:sz="4" w:space="0" w:color="auto"/>
              <w:left w:val="nil"/>
              <w:bottom w:val="single" w:sz="4" w:space="0" w:color="auto"/>
              <w:right w:val="nil"/>
            </w:tcBorders>
            <w:shd w:val="clear" w:color="auto" w:fill="auto"/>
            <w:noWrap/>
            <w:vAlign w:val="bottom"/>
            <w:hideMark/>
          </w:tcPr>
          <w:p w14:paraId="5695A0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265" w:type="dxa"/>
            <w:tcBorders>
              <w:top w:val="single" w:sz="4" w:space="0" w:color="auto"/>
              <w:left w:val="nil"/>
              <w:bottom w:val="single" w:sz="4" w:space="0" w:color="auto"/>
              <w:right w:val="nil"/>
            </w:tcBorders>
            <w:shd w:val="clear" w:color="auto" w:fill="auto"/>
            <w:noWrap/>
            <w:vAlign w:val="bottom"/>
            <w:hideMark/>
          </w:tcPr>
          <w:p w14:paraId="453E4F9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5.56 </w:t>
            </w:r>
          </w:p>
        </w:tc>
      </w:tr>
    </w:tbl>
    <w:p w14:paraId="3164F630"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094565E9"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32: School leaders' estimate of the number of children out-of-school (average) by island category</w:t>
      </w:r>
    </w:p>
    <w:tbl>
      <w:tblPr>
        <w:tblW w:w="3220" w:type="dxa"/>
        <w:tblInd w:w="93" w:type="dxa"/>
        <w:tblLook w:val="04A0" w:firstRow="1" w:lastRow="0" w:firstColumn="1" w:lastColumn="0" w:noHBand="0" w:noVBand="1"/>
      </w:tblPr>
      <w:tblGrid>
        <w:gridCol w:w="1657"/>
        <w:gridCol w:w="1563"/>
      </w:tblGrid>
      <w:tr w:rsidR="00AC362E" w:rsidRPr="00491EF1" w14:paraId="0253A54D" w14:textId="77777777" w:rsidTr="00ED0631">
        <w:trPr>
          <w:trHeight w:val="315"/>
        </w:trPr>
        <w:tc>
          <w:tcPr>
            <w:tcW w:w="1657" w:type="dxa"/>
            <w:tcBorders>
              <w:top w:val="single" w:sz="4" w:space="0" w:color="auto"/>
              <w:left w:val="nil"/>
              <w:bottom w:val="single" w:sz="4" w:space="0" w:color="auto"/>
              <w:right w:val="nil"/>
            </w:tcBorders>
            <w:shd w:val="clear" w:color="auto" w:fill="auto"/>
            <w:noWrap/>
            <w:vAlign w:val="bottom"/>
            <w:hideMark/>
          </w:tcPr>
          <w:p w14:paraId="466357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563" w:type="dxa"/>
            <w:tcBorders>
              <w:top w:val="single" w:sz="4" w:space="0" w:color="auto"/>
              <w:left w:val="nil"/>
              <w:bottom w:val="single" w:sz="4" w:space="0" w:color="auto"/>
              <w:right w:val="nil"/>
            </w:tcBorders>
            <w:shd w:val="clear" w:color="auto" w:fill="auto"/>
            <w:noWrap/>
            <w:vAlign w:val="bottom"/>
            <w:hideMark/>
          </w:tcPr>
          <w:p w14:paraId="6C187B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Average </w:t>
            </w:r>
          </w:p>
        </w:tc>
      </w:tr>
      <w:tr w:rsidR="00AC362E" w:rsidRPr="00491EF1" w14:paraId="4B90604A" w14:textId="77777777" w:rsidTr="00ED0631">
        <w:trPr>
          <w:trHeight w:val="315"/>
        </w:trPr>
        <w:tc>
          <w:tcPr>
            <w:tcW w:w="1657" w:type="dxa"/>
            <w:tcBorders>
              <w:top w:val="nil"/>
              <w:left w:val="nil"/>
              <w:bottom w:val="nil"/>
              <w:right w:val="nil"/>
            </w:tcBorders>
            <w:shd w:val="clear" w:color="auto" w:fill="auto"/>
            <w:noWrap/>
            <w:vAlign w:val="bottom"/>
            <w:hideMark/>
          </w:tcPr>
          <w:p w14:paraId="5DF925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Large island</w:t>
            </w:r>
          </w:p>
        </w:tc>
        <w:tc>
          <w:tcPr>
            <w:tcW w:w="1563" w:type="dxa"/>
            <w:tcBorders>
              <w:top w:val="nil"/>
              <w:left w:val="nil"/>
              <w:bottom w:val="nil"/>
              <w:right w:val="nil"/>
            </w:tcBorders>
            <w:shd w:val="clear" w:color="auto" w:fill="auto"/>
            <w:noWrap/>
            <w:vAlign w:val="bottom"/>
            <w:hideMark/>
          </w:tcPr>
          <w:p w14:paraId="3A1ED2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3.04 </w:t>
            </w:r>
          </w:p>
        </w:tc>
      </w:tr>
      <w:tr w:rsidR="00AC362E" w:rsidRPr="00491EF1" w14:paraId="24E73B19" w14:textId="77777777" w:rsidTr="00ED0631">
        <w:trPr>
          <w:trHeight w:val="315"/>
        </w:trPr>
        <w:tc>
          <w:tcPr>
            <w:tcW w:w="1657" w:type="dxa"/>
            <w:tcBorders>
              <w:top w:val="nil"/>
              <w:left w:val="nil"/>
              <w:bottom w:val="nil"/>
              <w:right w:val="nil"/>
            </w:tcBorders>
            <w:shd w:val="clear" w:color="auto" w:fill="auto"/>
            <w:noWrap/>
            <w:vAlign w:val="bottom"/>
            <w:hideMark/>
          </w:tcPr>
          <w:p w14:paraId="7CCADB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Small island</w:t>
            </w:r>
          </w:p>
        </w:tc>
        <w:tc>
          <w:tcPr>
            <w:tcW w:w="1563" w:type="dxa"/>
            <w:tcBorders>
              <w:top w:val="nil"/>
              <w:left w:val="nil"/>
              <w:bottom w:val="nil"/>
              <w:right w:val="nil"/>
            </w:tcBorders>
            <w:shd w:val="clear" w:color="auto" w:fill="auto"/>
            <w:noWrap/>
            <w:vAlign w:val="bottom"/>
            <w:hideMark/>
          </w:tcPr>
          <w:p w14:paraId="0D5F87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4.00 </w:t>
            </w:r>
          </w:p>
        </w:tc>
      </w:tr>
      <w:tr w:rsidR="00AC362E" w:rsidRPr="00491EF1" w14:paraId="0EDC5AD6" w14:textId="77777777" w:rsidTr="00ED0631">
        <w:trPr>
          <w:trHeight w:val="315"/>
        </w:trPr>
        <w:tc>
          <w:tcPr>
            <w:tcW w:w="1657" w:type="dxa"/>
            <w:tcBorders>
              <w:top w:val="nil"/>
              <w:left w:val="nil"/>
              <w:bottom w:val="nil"/>
              <w:right w:val="nil"/>
            </w:tcBorders>
            <w:shd w:val="clear" w:color="auto" w:fill="auto"/>
            <w:noWrap/>
            <w:vAlign w:val="bottom"/>
            <w:hideMark/>
          </w:tcPr>
          <w:p w14:paraId="55D2F4F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Sth Tarawa</w:t>
            </w:r>
          </w:p>
        </w:tc>
        <w:tc>
          <w:tcPr>
            <w:tcW w:w="1563" w:type="dxa"/>
            <w:tcBorders>
              <w:top w:val="nil"/>
              <w:left w:val="nil"/>
              <w:bottom w:val="nil"/>
              <w:right w:val="nil"/>
            </w:tcBorders>
            <w:shd w:val="clear" w:color="auto" w:fill="auto"/>
            <w:noWrap/>
            <w:vAlign w:val="bottom"/>
            <w:hideMark/>
          </w:tcPr>
          <w:p w14:paraId="190C7B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13.80 </w:t>
            </w:r>
          </w:p>
        </w:tc>
      </w:tr>
      <w:tr w:rsidR="00AC362E" w:rsidRPr="00491EF1" w14:paraId="0CE37B2A" w14:textId="77777777" w:rsidTr="00ED0631">
        <w:trPr>
          <w:trHeight w:val="315"/>
        </w:trPr>
        <w:tc>
          <w:tcPr>
            <w:tcW w:w="1657" w:type="dxa"/>
            <w:tcBorders>
              <w:top w:val="single" w:sz="4" w:space="0" w:color="auto"/>
              <w:left w:val="nil"/>
              <w:bottom w:val="single" w:sz="4" w:space="0" w:color="auto"/>
              <w:right w:val="nil"/>
            </w:tcBorders>
            <w:shd w:val="clear" w:color="auto" w:fill="auto"/>
            <w:noWrap/>
            <w:vAlign w:val="bottom"/>
            <w:hideMark/>
          </w:tcPr>
          <w:p w14:paraId="36957F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563" w:type="dxa"/>
            <w:tcBorders>
              <w:top w:val="single" w:sz="4" w:space="0" w:color="auto"/>
              <w:left w:val="nil"/>
              <w:bottom w:val="single" w:sz="4" w:space="0" w:color="auto"/>
              <w:right w:val="nil"/>
            </w:tcBorders>
            <w:shd w:val="clear" w:color="auto" w:fill="auto"/>
            <w:noWrap/>
            <w:vAlign w:val="bottom"/>
            <w:hideMark/>
          </w:tcPr>
          <w:p w14:paraId="2058E2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5.56 </w:t>
            </w:r>
          </w:p>
        </w:tc>
      </w:tr>
    </w:tbl>
    <w:p w14:paraId="0DF8A73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33: Percent annually of parents attended a parent-teacher meeting/discussion about their child’s progress by island</w:t>
      </w:r>
    </w:p>
    <w:tbl>
      <w:tblPr>
        <w:tblW w:w="7901" w:type="dxa"/>
        <w:tblInd w:w="93" w:type="dxa"/>
        <w:tblLook w:val="04A0" w:firstRow="1" w:lastRow="0" w:firstColumn="1" w:lastColumn="0" w:noHBand="0" w:noVBand="1"/>
      </w:tblPr>
      <w:tblGrid>
        <w:gridCol w:w="2067"/>
        <w:gridCol w:w="1173"/>
        <w:gridCol w:w="1157"/>
        <w:gridCol w:w="1157"/>
        <w:gridCol w:w="1157"/>
        <w:gridCol w:w="1190"/>
      </w:tblGrid>
      <w:tr w:rsidR="00AC362E" w:rsidRPr="00491EF1" w14:paraId="349FAD85" w14:textId="77777777" w:rsidTr="00ED0631">
        <w:trPr>
          <w:trHeight w:val="315"/>
        </w:trPr>
        <w:tc>
          <w:tcPr>
            <w:tcW w:w="2067" w:type="dxa"/>
            <w:tcBorders>
              <w:top w:val="single" w:sz="4" w:space="0" w:color="auto"/>
              <w:left w:val="nil"/>
              <w:bottom w:val="single" w:sz="4" w:space="0" w:color="auto"/>
              <w:right w:val="nil"/>
            </w:tcBorders>
            <w:shd w:val="clear" w:color="auto" w:fill="auto"/>
            <w:noWrap/>
            <w:vAlign w:val="bottom"/>
            <w:hideMark/>
          </w:tcPr>
          <w:p w14:paraId="1733C2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Category</w:t>
            </w:r>
          </w:p>
        </w:tc>
        <w:tc>
          <w:tcPr>
            <w:tcW w:w="1173" w:type="dxa"/>
            <w:tcBorders>
              <w:top w:val="single" w:sz="4" w:space="0" w:color="auto"/>
              <w:left w:val="nil"/>
              <w:bottom w:val="single" w:sz="4" w:space="0" w:color="auto"/>
              <w:right w:val="nil"/>
            </w:tcBorders>
            <w:shd w:val="clear" w:color="auto" w:fill="auto"/>
            <w:noWrap/>
            <w:vAlign w:val="bottom"/>
            <w:hideMark/>
          </w:tcPr>
          <w:p w14:paraId="37AEC4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0-20% </w:t>
            </w:r>
          </w:p>
        </w:tc>
        <w:tc>
          <w:tcPr>
            <w:tcW w:w="1157" w:type="dxa"/>
            <w:tcBorders>
              <w:top w:val="single" w:sz="4" w:space="0" w:color="auto"/>
              <w:left w:val="nil"/>
              <w:bottom w:val="single" w:sz="4" w:space="0" w:color="auto"/>
              <w:right w:val="nil"/>
            </w:tcBorders>
            <w:shd w:val="clear" w:color="auto" w:fill="auto"/>
            <w:noWrap/>
            <w:vAlign w:val="bottom"/>
            <w:hideMark/>
          </w:tcPr>
          <w:p w14:paraId="46C83E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21-40% </w:t>
            </w:r>
          </w:p>
        </w:tc>
        <w:tc>
          <w:tcPr>
            <w:tcW w:w="1157" w:type="dxa"/>
            <w:tcBorders>
              <w:top w:val="single" w:sz="4" w:space="0" w:color="auto"/>
              <w:left w:val="nil"/>
              <w:bottom w:val="single" w:sz="4" w:space="0" w:color="auto"/>
              <w:right w:val="nil"/>
            </w:tcBorders>
            <w:shd w:val="clear" w:color="auto" w:fill="auto"/>
            <w:noWrap/>
            <w:vAlign w:val="bottom"/>
            <w:hideMark/>
          </w:tcPr>
          <w:p w14:paraId="0B1798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41-60% </w:t>
            </w:r>
          </w:p>
        </w:tc>
        <w:tc>
          <w:tcPr>
            <w:tcW w:w="1157" w:type="dxa"/>
            <w:tcBorders>
              <w:top w:val="single" w:sz="4" w:space="0" w:color="auto"/>
              <w:left w:val="nil"/>
              <w:bottom w:val="single" w:sz="4" w:space="0" w:color="auto"/>
              <w:right w:val="nil"/>
            </w:tcBorders>
            <w:shd w:val="clear" w:color="auto" w:fill="auto"/>
            <w:noWrap/>
            <w:vAlign w:val="bottom"/>
            <w:hideMark/>
          </w:tcPr>
          <w:p w14:paraId="23321F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61-80% </w:t>
            </w:r>
          </w:p>
        </w:tc>
        <w:tc>
          <w:tcPr>
            <w:tcW w:w="1190" w:type="dxa"/>
            <w:tcBorders>
              <w:top w:val="single" w:sz="4" w:space="0" w:color="auto"/>
              <w:left w:val="nil"/>
              <w:bottom w:val="single" w:sz="4" w:space="0" w:color="auto"/>
              <w:right w:val="nil"/>
            </w:tcBorders>
            <w:shd w:val="clear" w:color="auto" w:fill="auto"/>
            <w:noWrap/>
            <w:vAlign w:val="bottom"/>
            <w:hideMark/>
          </w:tcPr>
          <w:p w14:paraId="54E372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81-100% </w:t>
            </w:r>
          </w:p>
        </w:tc>
      </w:tr>
      <w:tr w:rsidR="00AC362E" w:rsidRPr="00491EF1" w14:paraId="072CB79C" w14:textId="77777777" w:rsidTr="00ED0631">
        <w:trPr>
          <w:trHeight w:val="315"/>
        </w:trPr>
        <w:tc>
          <w:tcPr>
            <w:tcW w:w="2067" w:type="dxa"/>
            <w:tcBorders>
              <w:top w:val="nil"/>
              <w:left w:val="nil"/>
              <w:bottom w:val="nil"/>
              <w:right w:val="nil"/>
            </w:tcBorders>
            <w:shd w:val="clear" w:color="auto" w:fill="auto"/>
            <w:noWrap/>
            <w:vAlign w:val="bottom"/>
            <w:hideMark/>
          </w:tcPr>
          <w:p w14:paraId="6CD08F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73" w:type="dxa"/>
            <w:tcBorders>
              <w:top w:val="nil"/>
              <w:left w:val="nil"/>
              <w:bottom w:val="nil"/>
              <w:right w:val="nil"/>
            </w:tcBorders>
            <w:shd w:val="clear" w:color="auto" w:fill="auto"/>
            <w:noWrap/>
            <w:vAlign w:val="bottom"/>
            <w:hideMark/>
          </w:tcPr>
          <w:p w14:paraId="18144C1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5DB8C17C"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13E3A0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57" w:type="dxa"/>
            <w:tcBorders>
              <w:top w:val="nil"/>
              <w:left w:val="nil"/>
              <w:bottom w:val="nil"/>
              <w:right w:val="nil"/>
            </w:tcBorders>
            <w:shd w:val="clear" w:color="auto" w:fill="auto"/>
            <w:noWrap/>
            <w:vAlign w:val="bottom"/>
            <w:hideMark/>
          </w:tcPr>
          <w:p w14:paraId="1E9C510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90" w:type="dxa"/>
            <w:tcBorders>
              <w:top w:val="nil"/>
              <w:left w:val="nil"/>
              <w:bottom w:val="nil"/>
              <w:right w:val="nil"/>
            </w:tcBorders>
            <w:shd w:val="clear" w:color="auto" w:fill="auto"/>
            <w:noWrap/>
            <w:vAlign w:val="bottom"/>
            <w:hideMark/>
          </w:tcPr>
          <w:p w14:paraId="6DDE60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29CCD2F7" w14:textId="77777777" w:rsidTr="00ED0631">
        <w:trPr>
          <w:trHeight w:val="315"/>
        </w:trPr>
        <w:tc>
          <w:tcPr>
            <w:tcW w:w="2067" w:type="dxa"/>
            <w:tcBorders>
              <w:top w:val="nil"/>
              <w:left w:val="nil"/>
              <w:bottom w:val="nil"/>
              <w:right w:val="nil"/>
            </w:tcBorders>
            <w:shd w:val="clear" w:color="auto" w:fill="auto"/>
            <w:noWrap/>
            <w:vAlign w:val="bottom"/>
            <w:hideMark/>
          </w:tcPr>
          <w:p w14:paraId="598C90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73" w:type="dxa"/>
            <w:tcBorders>
              <w:top w:val="nil"/>
              <w:left w:val="nil"/>
              <w:bottom w:val="nil"/>
              <w:right w:val="nil"/>
            </w:tcBorders>
            <w:shd w:val="clear" w:color="auto" w:fill="auto"/>
            <w:noWrap/>
            <w:vAlign w:val="bottom"/>
            <w:hideMark/>
          </w:tcPr>
          <w:p w14:paraId="007EF4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2186F6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57" w:type="dxa"/>
            <w:tcBorders>
              <w:top w:val="nil"/>
              <w:left w:val="nil"/>
              <w:bottom w:val="nil"/>
              <w:right w:val="nil"/>
            </w:tcBorders>
            <w:shd w:val="clear" w:color="auto" w:fill="auto"/>
            <w:noWrap/>
            <w:vAlign w:val="bottom"/>
            <w:hideMark/>
          </w:tcPr>
          <w:p w14:paraId="51A779C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20F79A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90" w:type="dxa"/>
            <w:tcBorders>
              <w:top w:val="nil"/>
              <w:left w:val="nil"/>
              <w:bottom w:val="nil"/>
              <w:right w:val="nil"/>
            </w:tcBorders>
            <w:shd w:val="clear" w:color="auto" w:fill="auto"/>
            <w:noWrap/>
            <w:vAlign w:val="bottom"/>
            <w:hideMark/>
          </w:tcPr>
          <w:p w14:paraId="55F4C2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435D57D1" w14:textId="77777777" w:rsidTr="00ED0631">
        <w:trPr>
          <w:trHeight w:val="315"/>
        </w:trPr>
        <w:tc>
          <w:tcPr>
            <w:tcW w:w="2067" w:type="dxa"/>
            <w:tcBorders>
              <w:top w:val="nil"/>
              <w:left w:val="nil"/>
              <w:bottom w:val="nil"/>
              <w:right w:val="nil"/>
            </w:tcBorders>
            <w:shd w:val="clear" w:color="auto" w:fill="auto"/>
            <w:noWrap/>
            <w:vAlign w:val="bottom"/>
            <w:hideMark/>
          </w:tcPr>
          <w:p w14:paraId="31C60C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73" w:type="dxa"/>
            <w:tcBorders>
              <w:top w:val="nil"/>
              <w:left w:val="nil"/>
              <w:bottom w:val="nil"/>
              <w:right w:val="nil"/>
            </w:tcBorders>
            <w:shd w:val="clear" w:color="auto" w:fill="auto"/>
            <w:noWrap/>
            <w:vAlign w:val="bottom"/>
            <w:hideMark/>
          </w:tcPr>
          <w:p w14:paraId="15E0EC2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57" w:type="dxa"/>
            <w:tcBorders>
              <w:top w:val="nil"/>
              <w:left w:val="nil"/>
              <w:bottom w:val="nil"/>
              <w:right w:val="nil"/>
            </w:tcBorders>
            <w:shd w:val="clear" w:color="auto" w:fill="auto"/>
            <w:noWrap/>
            <w:vAlign w:val="bottom"/>
            <w:hideMark/>
          </w:tcPr>
          <w:p w14:paraId="70CFE9C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734798A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1CB8558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0" w:type="dxa"/>
            <w:tcBorders>
              <w:top w:val="nil"/>
              <w:left w:val="nil"/>
              <w:bottom w:val="nil"/>
              <w:right w:val="nil"/>
            </w:tcBorders>
            <w:shd w:val="clear" w:color="auto" w:fill="auto"/>
            <w:noWrap/>
            <w:vAlign w:val="bottom"/>
            <w:hideMark/>
          </w:tcPr>
          <w:p w14:paraId="66B4DBB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E283BAD" w14:textId="77777777" w:rsidTr="00ED0631">
        <w:trPr>
          <w:trHeight w:val="315"/>
        </w:trPr>
        <w:tc>
          <w:tcPr>
            <w:tcW w:w="2067" w:type="dxa"/>
            <w:tcBorders>
              <w:top w:val="nil"/>
              <w:left w:val="nil"/>
              <w:bottom w:val="nil"/>
              <w:right w:val="nil"/>
            </w:tcBorders>
            <w:shd w:val="clear" w:color="auto" w:fill="auto"/>
            <w:noWrap/>
            <w:vAlign w:val="bottom"/>
            <w:hideMark/>
          </w:tcPr>
          <w:p w14:paraId="6EFEB5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73" w:type="dxa"/>
            <w:tcBorders>
              <w:top w:val="nil"/>
              <w:left w:val="nil"/>
              <w:bottom w:val="nil"/>
              <w:right w:val="nil"/>
            </w:tcBorders>
            <w:shd w:val="clear" w:color="auto" w:fill="auto"/>
            <w:noWrap/>
            <w:vAlign w:val="bottom"/>
            <w:hideMark/>
          </w:tcPr>
          <w:p w14:paraId="3C75BD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0BEFB2B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05A80D5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1B13B96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0" w:type="dxa"/>
            <w:tcBorders>
              <w:top w:val="nil"/>
              <w:left w:val="nil"/>
              <w:bottom w:val="nil"/>
              <w:right w:val="nil"/>
            </w:tcBorders>
            <w:shd w:val="clear" w:color="auto" w:fill="auto"/>
            <w:noWrap/>
            <w:vAlign w:val="bottom"/>
            <w:hideMark/>
          </w:tcPr>
          <w:p w14:paraId="5EBCDA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1738A9E4" w14:textId="77777777" w:rsidTr="00ED0631">
        <w:trPr>
          <w:trHeight w:val="315"/>
        </w:trPr>
        <w:tc>
          <w:tcPr>
            <w:tcW w:w="2067" w:type="dxa"/>
            <w:tcBorders>
              <w:top w:val="nil"/>
              <w:left w:val="nil"/>
              <w:bottom w:val="nil"/>
              <w:right w:val="nil"/>
            </w:tcBorders>
            <w:shd w:val="clear" w:color="auto" w:fill="auto"/>
            <w:noWrap/>
            <w:vAlign w:val="bottom"/>
            <w:hideMark/>
          </w:tcPr>
          <w:p w14:paraId="3886137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73" w:type="dxa"/>
            <w:tcBorders>
              <w:top w:val="nil"/>
              <w:left w:val="nil"/>
              <w:bottom w:val="nil"/>
              <w:right w:val="nil"/>
            </w:tcBorders>
            <w:shd w:val="clear" w:color="auto" w:fill="auto"/>
            <w:noWrap/>
            <w:vAlign w:val="bottom"/>
            <w:hideMark/>
          </w:tcPr>
          <w:p w14:paraId="0AA4CD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157" w:type="dxa"/>
            <w:tcBorders>
              <w:top w:val="nil"/>
              <w:left w:val="nil"/>
              <w:bottom w:val="nil"/>
              <w:right w:val="nil"/>
            </w:tcBorders>
            <w:shd w:val="clear" w:color="auto" w:fill="auto"/>
            <w:noWrap/>
            <w:vAlign w:val="bottom"/>
            <w:hideMark/>
          </w:tcPr>
          <w:p w14:paraId="6F749C0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67929B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7E5F7BD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0" w:type="dxa"/>
            <w:tcBorders>
              <w:top w:val="nil"/>
              <w:left w:val="nil"/>
              <w:bottom w:val="nil"/>
              <w:right w:val="nil"/>
            </w:tcBorders>
            <w:shd w:val="clear" w:color="auto" w:fill="auto"/>
            <w:noWrap/>
            <w:vAlign w:val="bottom"/>
            <w:hideMark/>
          </w:tcPr>
          <w:p w14:paraId="301E58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1921176" w14:textId="77777777" w:rsidTr="00ED0631">
        <w:trPr>
          <w:trHeight w:val="315"/>
        </w:trPr>
        <w:tc>
          <w:tcPr>
            <w:tcW w:w="2067" w:type="dxa"/>
            <w:tcBorders>
              <w:top w:val="nil"/>
              <w:left w:val="nil"/>
              <w:bottom w:val="nil"/>
              <w:right w:val="nil"/>
            </w:tcBorders>
            <w:shd w:val="clear" w:color="auto" w:fill="auto"/>
            <w:noWrap/>
            <w:vAlign w:val="bottom"/>
            <w:hideMark/>
          </w:tcPr>
          <w:p w14:paraId="73DA42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73" w:type="dxa"/>
            <w:tcBorders>
              <w:top w:val="nil"/>
              <w:left w:val="nil"/>
              <w:bottom w:val="nil"/>
              <w:right w:val="nil"/>
            </w:tcBorders>
            <w:shd w:val="clear" w:color="auto" w:fill="auto"/>
            <w:noWrap/>
            <w:vAlign w:val="bottom"/>
            <w:hideMark/>
          </w:tcPr>
          <w:p w14:paraId="174679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05B5E9B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2ED4CAF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347BD8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90" w:type="dxa"/>
            <w:tcBorders>
              <w:top w:val="nil"/>
              <w:left w:val="nil"/>
              <w:bottom w:val="nil"/>
              <w:right w:val="nil"/>
            </w:tcBorders>
            <w:shd w:val="clear" w:color="auto" w:fill="auto"/>
            <w:noWrap/>
            <w:vAlign w:val="bottom"/>
            <w:hideMark/>
          </w:tcPr>
          <w:p w14:paraId="0E2A8DE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65678CE" w14:textId="77777777" w:rsidTr="00ED0631">
        <w:trPr>
          <w:trHeight w:val="315"/>
        </w:trPr>
        <w:tc>
          <w:tcPr>
            <w:tcW w:w="2067" w:type="dxa"/>
            <w:tcBorders>
              <w:top w:val="nil"/>
              <w:left w:val="nil"/>
              <w:bottom w:val="nil"/>
              <w:right w:val="nil"/>
            </w:tcBorders>
            <w:shd w:val="clear" w:color="auto" w:fill="auto"/>
            <w:noWrap/>
            <w:vAlign w:val="bottom"/>
            <w:hideMark/>
          </w:tcPr>
          <w:p w14:paraId="2BB4A71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73" w:type="dxa"/>
            <w:tcBorders>
              <w:top w:val="nil"/>
              <w:left w:val="nil"/>
              <w:bottom w:val="nil"/>
              <w:right w:val="nil"/>
            </w:tcBorders>
            <w:shd w:val="clear" w:color="auto" w:fill="auto"/>
            <w:noWrap/>
            <w:vAlign w:val="bottom"/>
            <w:hideMark/>
          </w:tcPr>
          <w:p w14:paraId="4C7B2BA5"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2C4630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57" w:type="dxa"/>
            <w:tcBorders>
              <w:top w:val="nil"/>
              <w:left w:val="nil"/>
              <w:bottom w:val="nil"/>
              <w:right w:val="nil"/>
            </w:tcBorders>
            <w:shd w:val="clear" w:color="auto" w:fill="auto"/>
            <w:noWrap/>
            <w:vAlign w:val="bottom"/>
            <w:hideMark/>
          </w:tcPr>
          <w:p w14:paraId="1BB818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00946D8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90" w:type="dxa"/>
            <w:tcBorders>
              <w:top w:val="nil"/>
              <w:left w:val="nil"/>
              <w:bottom w:val="nil"/>
              <w:right w:val="nil"/>
            </w:tcBorders>
            <w:shd w:val="clear" w:color="auto" w:fill="auto"/>
            <w:noWrap/>
            <w:vAlign w:val="bottom"/>
            <w:hideMark/>
          </w:tcPr>
          <w:p w14:paraId="593A22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4E1F9E6B" w14:textId="77777777" w:rsidTr="00ED0631">
        <w:trPr>
          <w:trHeight w:val="315"/>
        </w:trPr>
        <w:tc>
          <w:tcPr>
            <w:tcW w:w="2067" w:type="dxa"/>
            <w:tcBorders>
              <w:top w:val="nil"/>
              <w:left w:val="nil"/>
              <w:bottom w:val="nil"/>
              <w:right w:val="nil"/>
            </w:tcBorders>
            <w:shd w:val="clear" w:color="auto" w:fill="auto"/>
            <w:noWrap/>
            <w:vAlign w:val="bottom"/>
            <w:hideMark/>
          </w:tcPr>
          <w:p w14:paraId="5E6543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73" w:type="dxa"/>
            <w:tcBorders>
              <w:top w:val="nil"/>
              <w:left w:val="nil"/>
              <w:bottom w:val="nil"/>
              <w:right w:val="nil"/>
            </w:tcBorders>
            <w:shd w:val="clear" w:color="auto" w:fill="auto"/>
            <w:noWrap/>
            <w:vAlign w:val="bottom"/>
            <w:hideMark/>
          </w:tcPr>
          <w:p w14:paraId="6DE384E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4C6E0E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3533C3E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57" w:type="dxa"/>
            <w:tcBorders>
              <w:top w:val="nil"/>
              <w:left w:val="nil"/>
              <w:bottom w:val="nil"/>
              <w:right w:val="nil"/>
            </w:tcBorders>
            <w:shd w:val="clear" w:color="auto" w:fill="auto"/>
            <w:noWrap/>
            <w:vAlign w:val="bottom"/>
            <w:hideMark/>
          </w:tcPr>
          <w:p w14:paraId="1DEF3C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90" w:type="dxa"/>
            <w:tcBorders>
              <w:top w:val="nil"/>
              <w:left w:val="nil"/>
              <w:bottom w:val="nil"/>
              <w:right w:val="nil"/>
            </w:tcBorders>
            <w:shd w:val="clear" w:color="auto" w:fill="auto"/>
            <w:noWrap/>
            <w:vAlign w:val="bottom"/>
            <w:hideMark/>
          </w:tcPr>
          <w:p w14:paraId="7DE17A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27C71707" w14:textId="77777777" w:rsidTr="00ED0631">
        <w:trPr>
          <w:trHeight w:val="315"/>
        </w:trPr>
        <w:tc>
          <w:tcPr>
            <w:tcW w:w="2067" w:type="dxa"/>
            <w:tcBorders>
              <w:top w:val="nil"/>
              <w:left w:val="nil"/>
              <w:bottom w:val="nil"/>
              <w:right w:val="nil"/>
            </w:tcBorders>
            <w:shd w:val="clear" w:color="auto" w:fill="auto"/>
            <w:noWrap/>
            <w:vAlign w:val="bottom"/>
            <w:hideMark/>
          </w:tcPr>
          <w:p w14:paraId="2E0D52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73" w:type="dxa"/>
            <w:tcBorders>
              <w:top w:val="nil"/>
              <w:left w:val="nil"/>
              <w:bottom w:val="nil"/>
              <w:right w:val="nil"/>
            </w:tcBorders>
            <w:shd w:val="clear" w:color="auto" w:fill="auto"/>
            <w:noWrap/>
            <w:vAlign w:val="bottom"/>
            <w:hideMark/>
          </w:tcPr>
          <w:p w14:paraId="50322E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57" w:type="dxa"/>
            <w:tcBorders>
              <w:top w:val="nil"/>
              <w:left w:val="nil"/>
              <w:bottom w:val="nil"/>
              <w:right w:val="nil"/>
            </w:tcBorders>
            <w:shd w:val="clear" w:color="auto" w:fill="auto"/>
            <w:noWrap/>
            <w:vAlign w:val="bottom"/>
            <w:hideMark/>
          </w:tcPr>
          <w:p w14:paraId="302342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57" w:type="dxa"/>
            <w:tcBorders>
              <w:top w:val="nil"/>
              <w:left w:val="nil"/>
              <w:bottom w:val="nil"/>
              <w:right w:val="nil"/>
            </w:tcBorders>
            <w:shd w:val="clear" w:color="auto" w:fill="auto"/>
            <w:noWrap/>
            <w:vAlign w:val="bottom"/>
            <w:hideMark/>
          </w:tcPr>
          <w:p w14:paraId="53CA72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157" w:type="dxa"/>
            <w:tcBorders>
              <w:top w:val="nil"/>
              <w:left w:val="nil"/>
              <w:bottom w:val="nil"/>
              <w:right w:val="nil"/>
            </w:tcBorders>
            <w:shd w:val="clear" w:color="auto" w:fill="auto"/>
            <w:noWrap/>
            <w:vAlign w:val="bottom"/>
            <w:hideMark/>
          </w:tcPr>
          <w:p w14:paraId="18A04F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90" w:type="dxa"/>
            <w:tcBorders>
              <w:top w:val="nil"/>
              <w:left w:val="nil"/>
              <w:bottom w:val="nil"/>
              <w:right w:val="nil"/>
            </w:tcBorders>
            <w:shd w:val="clear" w:color="auto" w:fill="auto"/>
            <w:noWrap/>
            <w:vAlign w:val="bottom"/>
            <w:hideMark/>
          </w:tcPr>
          <w:p w14:paraId="591578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1B729E7D" w14:textId="77777777" w:rsidTr="00ED0631">
        <w:trPr>
          <w:trHeight w:val="315"/>
        </w:trPr>
        <w:tc>
          <w:tcPr>
            <w:tcW w:w="2067" w:type="dxa"/>
            <w:tcBorders>
              <w:top w:val="single" w:sz="4" w:space="0" w:color="auto"/>
              <w:left w:val="nil"/>
              <w:bottom w:val="single" w:sz="4" w:space="0" w:color="auto"/>
              <w:right w:val="nil"/>
            </w:tcBorders>
            <w:shd w:val="clear" w:color="auto" w:fill="auto"/>
            <w:noWrap/>
            <w:vAlign w:val="bottom"/>
            <w:hideMark/>
          </w:tcPr>
          <w:p w14:paraId="1BCB2B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73" w:type="dxa"/>
            <w:tcBorders>
              <w:top w:val="single" w:sz="4" w:space="0" w:color="auto"/>
              <w:left w:val="nil"/>
              <w:bottom w:val="single" w:sz="4" w:space="0" w:color="auto"/>
              <w:right w:val="nil"/>
            </w:tcBorders>
            <w:shd w:val="clear" w:color="auto" w:fill="auto"/>
            <w:noWrap/>
            <w:vAlign w:val="bottom"/>
            <w:hideMark/>
          </w:tcPr>
          <w:p w14:paraId="5C5F23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 </w:t>
            </w:r>
          </w:p>
        </w:tc>
        <w:tc>
          <w:tcPr>
            <w:tcW w:w="1157" w:type="dxa"/>
            <w:tcBorders>
              <w:top w:val="single" w:sz="4" w:space="0" w:color="auto"/>
              <w:left w:val="nil"/>
              <w:bottom w:val="single" w:sz="4" w:space="0" w:color="auto"/>
              <w:right w:val="nil"/>
            </w:tcBorders>
            <w:shd w:val="clear" w:color="auto" w:fill="auto"/>
            <w:noWrap/>
            <w:vAlign w:val="bottom"/>
            <w:hideMark/>
          </w:tcPr>
          <w:p w14:paraId="48DD86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1157" w:type="dxa"/>
            <w:tcBorders>
              <w:top w:val="single" w:sz="4" w:space="0" w:color="auto"/>
              <w:left w:val="nil"/>
              <w:bottom w:val="single" w:sz="4" w:space="0" w:color="auto"/>
              <w:right w:val="nil"/>
            </w:tcBorders>
            <w:shd w:val="clear" w:color="auto" w:fill="auto"/>
            <w:noWrap/>
            <w:vAlign w:val="bottom"/>
            <w:hideMark/>
          </w:tcPr>
          <w:p w14:paraId="7572285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1157" w:type="dxa"/>
            <w:tcBorders>
              <w:top w:val="single" w:sz="4" w:space="0" w:color="auto"/>
              <w:left w:val="nil"/>
              <w:bottom w:val="single" w:sz="4" w:space="0" w:color="auto"/>
              <w:right w:val="nil"/>
            </w:tcBorders>
            <w:shd w:val="clear" w:color="auto" w:fill="auto"/>
            <w:noWrap/>
            <w:vAlign w:val="bottom"/>
            <w:hideMark/>
          </w:tcPr>
          <w:p w14:paraId="3781AA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1190" w:type="dxa"/>
            <w:tcBorders>
              <w:top w:val="single" w:sz="4" w:space="0" w:color="auto"/>
              <w:left w:val="nil"/>
              <w:bottom w:val="single" w:sz="4" w:space="0" w:color="auto"/>
              <w:right w:val="nil"/>
            </w:tcBorders>
            <w:shd w:val="clear" w:color="auto" w:fill="auto"/>
            <w:noWrap/>
            <w:vAlign w:val="bottom"/>
            <w:hideMark/>
          </w:tcPr>
          <w:p w14:paraId="048272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r>
    </w:tbl>
    <w:p w14:paraId="1736EB84"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34: Percent annually of parents attended a parent-teacher meeting/discussion about their child’s progress by island category</w:t>
      </w:r>
    </w:p>
    <w:tbl>
      <w:tblPr>
        <w:tblW w:w="8421" w:type="dxa"/>
        <w:tblInd w:w="93" w:type="dxa"/>
        <w:tblLook w:val="04A0" w:firstRow="1" w:lastRow="0" w:firstColumn="1" w:lastColumn="0" w:noHBand="0" w:noVBand="1"/>
      </w:tblPr>
      <w:tblGrid>
        <w:gridCol w:w="1574"/>
        <w:gridCol w:w="1379"/>
        <w:gridCol w:w="1363"/>
        <w:gridCol w:w="1363"/>
        <w:gridCol w:w="1363"/>
        <w:gridCol w:w="1379"/>
      </w:tblGrid>
      <w:tr w:rsidR="00AC362E" w:rsidRPr="00491EF1" w14:paraId="061FAFCF" w14:textId="77777777" w:rsidTr="00ED0631">
        <w:trPr>
          <w:trHeight w:val="315"/>
        </w:trPr>
        <w:tc>
          <w:tcPr>
            <w:tcW w:w="1574" w:type="dxa"/>
            <w:tcBorders>
              <w:top w:val="single" w:sz="4" w:space="0" w:color="auto"/>
              <w:left w:val="nil"/>
              <w:bottom w:val="single" w:sz="4" w:space="0" w:color="auto"/>
              <w:right w:val="nil"/>
            </w:tcBorders>
            <w:shd w:val="clear" w:color="auto" w:fill="auto"/>
            <w:noWrap/>
            <w:vAlign w:val="bottom"/>
            <w:hideMark/>
          </w:tcPr>
          <w:p w14:paraId="30F5F3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Category</w:t>
            </w:r>
          </w:p>
        </w:tc>
        <w:tc>
          <w:tcPr>
            <w:tcW w:w="1379" w:type="dxa"/>
            <w:tcBorders>
              <w:top w:val="single" w:sz="4" w:space="0" w:color="auto"/>
              <w:left w:val="nil"/>
              <w:bottom w:val="single" w:sz="4" w:space="0" w:color="auto"/>
              <w:right w:val="nil"/>
            </w:tcBorders>
            <w:shd w:val="clear" w:color="auto" w:fill="auto"/>
            <w:noWrap/>
            <w:vAlign w:val="bottom"/>
            <w:hideMark/>
          </w:tcPr>
          <w:p w14:paraId="667B35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0-20% </w:t>
            </w:r>
          </w:p>
        </w:tc>
        <w:tc>
          <w:tcPr>
            <w:tcW w:w="1363" w:type="dxa"/>
            <w:tcBorders>
              <w:top w:val="single" w:sz="4" w:space="0" w:color="auto"/>
              <w:left w:val="nil"/>
              <w:bottom w:val="single" w:sz="4" w:space="0" w:color="auto"/>
              <w:right w:val="nil"/>
            </w:tcBorders>
            <w:shd w:val="clear" w:color="auto" w:fill="auto"/>
            <w:noWrap/>
            <w:vAlign w:val="bottom"/>
            <w:hideMark/>
          </w:tcPr>
          <w:p w14:paraId="1FB0594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21-40% </w:t>
            </w:r>
          </w:p>
        </w:tc>
        <w:tc>
          <w:tcPr>
            <w:tcW w:w="1363" w:type="dxa"/>
            <w:tcBorders>
              <w:top w:val="single" w:sz="4" w:space="0" w:color="auto"/>
              <w:left w:val="nil"/>
              <w:bottom w:val="single" w:sz="4" w:space="0" w:color="auto"/>
              <w:right w:val="nil"/>
            </w:tcBorders>
            <w:shd w:val="clear" w:color="auto" w:fill="auto"/>
            <w:noWrap/>
            <w:vAlign w:val="bottom"/>
            <w:hideMark/>
          </w:tcPr>
          <w:p w14:paraId="4B5D827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41-60% </w:t>
            </w:r>
          </w:p>
        </w:tc>
        <w:tc>
          <w:tcPr>
            <w:tcW w:w="1363" w:type="dxa"/>
            <w:tcBorders>
              <w:top w:val="single" w:sz="4" w:space="0" w:color="auto"/>
              <w:left w:val="nil"/>
              <w:bottom w:val="single" w:sz="4" w:space="0" w:color="auto"/>
              <w:right w:val="nil"/>
            </w:tcBorders>
            <w:shd w:val="clear" w:color="auto" w:fill="auto"/>
            <w:noWrap/>
            <w:vAlign w:val="bottom"/>
            <w:hideMark/>
          </w:tcPr>
          <w:p w14:paraId="5D62AC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61-80% </w:t>
            </w:r>
          </w:p>
        </w:tc>
        <w:tc>
          <w:tcPr>
            <w:tcW w:w="1379" w:type="dxa"/>
            <w:tcBorders>
              <w:top w:val="single" w:sz="4" w:space="0" w:color="auto"/>
              <w:left w:val="nil"/>
              <w:bottom w:val="single" w:sz="4" w:space="0" w:color="auto"/>
              <w:right w:val="nil"/>
            </w:tcBorders>
            <w:shd w:val="clear" w:color="auto" w:fill="auto"/>
            <w:noWrap/>
            <w:vAlign w:val="bottom"/>
            <w:hideMark/>
          </w:tcPr>
          <w:p w14:paraId="2D8FF1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81-100% </w:t>
            </w:r>
          </w:p>
        </w:tc>
      </w:tr>
      <w:tr w:rsidR="00AC362E" w:rsidRPr="00491EF1" w14:paraId="5AA070B6" w14:textId="77777777" w:rsidTr="00ED0631">
        <w:trPr>
          <w:trHeight w:val="315"/>
        </w:trPr>
        <w:tc>
          <w:tcPr>
            <w:tcW w:w="1574" w:type="dxa"/>
            <w:tcBorders>
              <w:top w:val="nil"/>
              <w:left w:val="nil"/>
              <w:bottom w:val="nil"/>
              <w:right w:val="nil"/>
            </w:tcBorders>
            <w:shd w:val="clear" w:color="auto" w:fill="auto"/>
            <w:noWrap/>
            <w:vAlign w:val="bottom"/>
            <w:hideMark/>
          </w:tcPr>
          <w:p w14:paraId="08A8462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79" w:type="dxa"/>
            <w:tcBorders>
              <w:top w:val="nil"/>
              <w:left w:val="nil"/>
              <w:bottom w:val="nil"/>
              <w:right w:val="nil"/>
            </w:tcBorders>
            <w:shd w:val="clear" w:color="auto" w:fill="auto"/>
            <w:noWrap/>
            <w:vAlign w:val="bottom"/>
            <w:hideMark/>
          </w:tcPr>
          <w:p w14:paraId="3A9747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3" w:type="dxa"/>
            <w:tcBorders>
              <w:top w:val="nil"/>
              <w:left w:val="nil"/>
              <w:bottom w:val="nil"/>
              <w:right w:val="nil"/>
            </w:tcBorders>
            <w:shd w:val="clear" w:color="auto" w:fill="auto"/>
            <w:noWrap/>
            <w:vAlign w:val="bottom"/>
            <w:hideMark/>
          </w:tcPr>
          <w:p w14:paraId="588F14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63" w:type="dxa"/>
            <w:tcBorders>
              <w:top w:val="nil"/>
              <w:left w:val="nil"/>
              <w:bottom w:val="nil"/>
              <w:right w:val="nil"/>
            </w:tcBorders>
            <w:shd w:val="clear" w:color="auto" w:fill="auto"/>
            <w:noWrap/>
            <w:vAlign w:val="bottom"/>
            <w:hideMark/>
          </w:tcPr>
          <w:p w14:paraId="041DAE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3" w:type="dxa"/>
            <w:tcBorders>
              <w:top w:val="nil"/>
              <w:left w:val="nil"/>
              <w:bottom w:val="nil"/>
              <w:right w:val="nil"/>
            </w:tcBorders>
            <w:shd w:val="clear" w:color="auto" w:fill="auto"/>
            <w:noWrap/>
            <w:vAlign w:val="bottom"/>
            <w:hideMark/>
          </w:tcPr>
          <w:p w14:paraId="01CE70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379" w:type="dxa"/>
            <w:tcBorders>
              <w:top w:val="nil"/>
              <w:left w:val="nil"/>
              <w:bottom w:val="nil"/>
              <w:right w:val="nil"/>
            </w:tcBorders>
            <w:shd w:val="clear" w:color="auto" w:fill="auto"/>
            <w:noWrap/>
            <w:vAlign w:val="bottom"/>
            <w:hideMark/>
          </w:tcPr>
          <w:p w14:paraId="67C3B9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r>
      <w:tr w:rsidR="00AC362E" w:rsidRPr="00491EF1" w14:paraId="046308D9" w14:textId="77777777" w:rsidTr="00ED0631">
        <w:trPr>
          <w:trHeight w:val="315"/>
        </w:trPr>
        <w:tc>
          <w:tcPr>
            <w:tcW w:w="1574" w:type="dxa"/>
            <w:tcBorders>
              <w:top w:val="nil"/>
              <w:left w:val="nil"/>
              <w:bottom w:val="nil"/>
              <w:right w:val="nil"/>
            </w:tcBorders>
            <w:shd w:val="clear" w:color="auto" w:fill="auto"/>
            <w:noWrap/>
            <w:vAlign w:val="bottom"/>
            <w:hideMark/>
          </w:tcPr>
          <w:p w14:paraId="5810E0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79" w:type="dxa"/>
            <w:tcBorders>
              <w:top w:val="nil"/>
              <w:left w:val="nil"/>
              <w:bottom w:val="nil"/>
              <w:right w:val="nil"/>
            </w:tcBorders>
            <w:shd w:val="clear" w:color="auto" w:fill="auto"/>
            <w:noWrap/>
            <w:vAlign w:val="bottom"/>
            <w:hideMark/>
          </w:tcPr>
          <w:p w14:paraId="1A795F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363" w:type="dxa"/>
            <w:tcBorders>
              <w:top w:val="nil"/>
              <w:left w:val="nil"/>
              <w:bottom w:val="nil"/>
              <w:right w:val="nil"/>
            </w:tcBorders>
            <w:shd w:val="clear" w:color="auto" w:fill="auto"/>
            <w:noWrap/>
            <w:vAlign w:val="bottom"/>
            <w:hideMark/>
          </w:tcPr>
          <w:p w14:paraId="3D50E1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63" w:type="dxa"/>
            <w:tcBorders>
              <w:top w:val="nil"/>
              <w:left w:val="nil"/>
              <w:bottom w:val="nil"/>
              <w:right w:val="nil"/>
            </w:tcBorders>
            <w:shd w:val="clear" w:color="auto" w:fill="auto"/>
            <w:noWrap/>
            <w:vAlign w:val="bottom"/>
            <w:hideMark/>
          </w:tcPr>
          <w:p w14:paraId="62E3FF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63" w:type="dxa"/>
            <w:tcBorders>
              <w:top w:val="nil"/>
              <w:left w:val="nil"/>
              <w:bottom w:val="nil"/>
              <w:right w:val="nil"/>
            </w:tcBorders>
            <w:shd w:val="clear" w:color="auto" w:fill="auto"/>
            <w:noWrap/>
            <w:vAlign w:val="bottom"/>
            <w:hideMark/>
          </w:tcPr>
          <w:p w14:paraId="5FD10F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9" w:type="dxa"/>
            <w:tcBorders>
              <w:top w:val="nil"/>
              <w:left w:val="nil"/>
              <w:bottom w:val="nil"/>
              <w:right w:val="nil"/>
            </w:tcBorders>
            <w:shd w:val="clear" w:color="auto" w:fill="auto"/>
            <w:noWrap/>
            <w:vAlign w:val="bottom"/>
            <w:hideMark/>
          </w:tcPr>
          <w:p w14:paraId="723F60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r>
      <w:tr w:rsidR="00AC362E" w:rsidRPr="00491EF1" w14:paraId="1D883063" w14:textId="77777777" w:rsidTr="00ED0631">
        <w:trPr>
          <w:trHeight w:val="315"/>
        </w:trPr>
        <w:tc>
          <w:tcPr>
            <w:tcW w:w="1574" w:type="dxa"/>
            <w:tcBorders>
              <w:top w:val="nil"/>
              <w:left w:val="nil"/>
              <w:bottom w:val="nil"/>
              <w:right w:val="nil"/>
            </w:tcBorders>
            <w:shd w:val="clear" w:color="auto" w:fill="auto"/>
            <w:noWrap/>
            <w:vAlign w:val="bottom"/>
            <w:hideMark/>
          </w:tcPr>
          <w:p w14:paraId="665718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79" w:type="dxa"/>
            <w:tcBorders>
              <w:top w:val="nil"/>
              <w:left w:val="nil"/>
              <w:bottom w:val="nil"/>
              <w:right w:val="nil"/>
            </w:tcBorders>
            <w:shd w:val="clear" w:color="auto" w:fill="auto"/>
            <w:noWrap/>
            <w:vAlign w:val="bottom"/>
            <w:hideMark/>
          </w:tcPr>
          <w:p w14:paraId="365FD5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63" w:type="dxa"/>
            <w:tcBorders>
              <w:top w:val="nil"/>
              <w:left w:val="nil"/>
              <w:bottom w:val="nil"/>
              <w:right w:val="nil"/>
            </w:tcBorders>
            <w:shd w:val="clear" w:color="auto" w:fill="auto"/>
            <w:noWrap/>
            <w:vAlign w:val="bottom"/>
            <w:hideMark/>
          </w:tcPr>
          <w:p w14:paraId="1586E0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63" w:type="dxa"/>
            <w:tcBorders>
              <w:top w:val="nil"/>
              <w:left w:val="nil"/>
              <w:bottom w:val="nil"/>
              <w:right w:val="nil"/>
            </w:tcBorders>
            <w:shd w:val="clear" w:color="auto" w:fill="auto"/>
            <w:noWrap/>
            <w:vAlign w:val="bottom"/>
            <w:hideMark/>
          </w:tcPr>
          <w:p w14:paraId="726C40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3" w:type="dxa"/>
            <w:tcBorders>
              <w:top w:val="nil"/>
              <w:left w:val="nil"/>
              <w:bottom w:val="nil"/>
              <w:right w:val="nil"/>
            </w:tcBorders>
            <w:shd w:val="clear" w:color="auto" w:fill="auto"/>
            <w:noWrap/>
            <w:vAlign w:val="bottom"/>
            <w:hideMark/>
          </w:tcPr>
          <w:p w14:paraId="3E0157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9" w:type="dxa"/>
            <w:tcBorders>
              <w:top w:val="nil"/>
              <w:left w:val="nil"/>
              <w:bottom w:val="nil"/>
              <w:right w:val="nil"/>
            </w:tcBorders>
            <w:shd w:val="clear" w:color="auto" w:fill="auto"/>
            <w:noWrap/>
            <w:vAlign w:val="bottom"/>
            <w:hideMark/>
          </w:tcPr>
          <w:p w14:paraId="547EBF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2CF2E7DF" w14:textId="77777777" w:rsidTr="00ED0631">
        <w:trPr>
          <w:trHeight w:val="315"/>
        </w:trPr>
        <w:tc>
          <w:tcPr>
            <w:tcW w:w="1574" w:type="dxa"/>
            <w:tcBorders>
              <w:top w:val="single" w:sz="4" w:space="0" w:color="auto"/>
              <w:left w:val="nil"/>
              <w:bottom w:val="single" w:sz="4" w:space="0" w:color="auto"/>
              <w:right w:val="nil"/>
            </w:tcBorders>
            <w:shd w:val="clear" w:color="auto" w:fill="auto"/>
            <w:noWrap/>
            <w:vAlign w:val="bottom"/>
            <w:hideMark/>
          </w:tcPr>
          <w:p w14:paraId="0CB512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79" w:type="dxa"/>
            <w:tcBorders>
              <w:top w:val="single" w:sz="4" w:space="0" w:color="auto"/>
              <w:left w:val="nil"/>
              <w:bottom w:val="single" w:sz="4" w:space="0" w:color="auto"/>
              <w:right w:val="nil"/>
            </w:tcBorders>
            <w:shd w:val="clear" w:color="auto" w:fill="auto"/>
            <w:noWrap/>
            <w:vAlign w:val="bottom"/>
            <w:hideMark/>
          </w:tcPr>
          <w:p w14:paraId="19924A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363" w:type="dxa"/>
            <w:tcBorders>
              <w:top w:val="single" w:sz="4" w:space="0" w:color="auto"/>
              <w:left w:val="nil"/>
              <w:bottom w:val="single" w:sz="4" w:space="0" w:color="auto"/>
              <w:right w:val="nil"/>
            </w:tcBorders>
            <w:shd w:val="clear" w:color="auto" w:fill="auto"/>
            <w:noWrap/>
            <w:vAlign w:val="bottom"/>
            <w:hideMark/>
          </w:tcPr>
          <w:p w14:paraId="1C41FB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363" w:type="dxa"/>
            <w:tcBorders>
              <w:top w:val="single" w:sz="4" w:space="0" w:color="auto"/>
              <w:left w:val="nil"/>
              <w:bottom w:val="single" w:sz="4" w:space="0" w:color="auto"/>
              <w:right w:val="nil"/>
            </w:tcBorders>
            <w:shd w:val="clear" w:color="auto" w:fill="auto"/>
            <w:noWrap/>
            <w:vAlign w:val="bottom"/>
            <w:hideMark/>
          </w:tcPr>
          <w:p w14:paraId="2A4A06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363" w:type="dxa"/>
            <w:tcBorders>
              <w:top w:val="single" w:sz="4" w:space="0" w:color="auto"/>
              <w:left w:val="nil"/>
              <w:bottom w:val="single" w:sz="4" w:space="0" w:color="auto"/>
              <w:right w:val="nil"/>
            </w:tcBorders>
            <w:shd w:val="clear" w:color="auto" w:fill="auto"/>
            <w:noWrap/>
            <w:vAlign w:val="bottom"/>
            <w:hideMark/>
          </w:tcPr>
          <w:p w14:paraId="74E968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379" w:type="dxa"/>
            <w:tcBorders>
              <w:top w:val="single" w:sz="4" w:space="0" w:color="auto"/>
              <w:left w:val="nil"/>
              <w:bottom w:val="single" w:sz="4" w:space="0" w:color="auto"/>
              <w:right w:val="nil"/>
            </w:tcBorders>
            <w:shd w:val="clear" w:color="auto" w:fill="auto"/>
            <w:noWrap/>
            <w:vAlign w:val="bottom"/>
            <w:hideMark/>
          </w:tcPr>
          <w:p w14:paraId="394F29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r>
    </w:tbl>
    <w:p w14:paraId="7DB61EFD"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4ECFCCF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35: Average annually estimate (school leaders) of parents attended a parent-teacher meeting/discussion about their child’s progress by island</w:t>
      </w:r>
    </w:p>
    <w:tbl>
      <w:tblPr>
        <w:tblW w:w="3420" w:type="dxa"/>
        <w:tblInd w:w="93" w:type="dxa"/>
        <w:tblLook w:val="04A0" w:firstRow="1" w:lastRow="0" w:firstColumn="1" w:lastColumn="0" w:noHBand="0" w:noVBand="1"/>
      </w:tblPr>
      <w:tblGrid>
        <w:gridCol w:w="2219"/>
        <w:gridCol w:w="1201"/>
      </w:tblGrid>
      <w:tr w:rsidR="00AC362E" w:rsidRPr="00491EF1" w14:paraId="027B358C" w14:textId="77777777" w:rsidTr="00ED0631">
        <w:trPr>
          <w:trHeight w:val="315"/>
        </w:trPr>
        <w:tc>
          <w:tcPr>
            <w:tcW w:w="2219" w:type="dxa"/>
            <w:tcBorders>
              <w:top w:val="single" w:sz="4" w:space="0" w:color="auto"/>
              <w:left w:val="nil"/>
              <w:bottom w:val="single" w:sz="4" w:space="0" w:color="auto"/>
              <w:right w:val="nil"/>
            </w:tcBorders>
            <w:shd w:val="clear" w:color="auto" w:fill="auto"/>
            <w:noWrap/>
            <w:vAlign w:val="bottom"/>
            <w:hideMark/>
          </w:tcPr>
          <w:p w14:paraId="14F6FF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201" w:type="dxa"/>
            <w:tcBorders>
              <w:top w:val="single" w:sz="4" w:space="0" w:color="auto"/>
              <w:left w:val="nil"/>
              <w:bottom w:val="single" w:sz="4" w:space="0" w:color="auto"/>
              <w:right w:val="nil"/>
            </w:tcBorders>
            <w:shd w:val="clear" w:color="auto" w:fill="auto"/>
            <w:noWrap/>
            <w:vAlign w:val="bottom"/>
            <w:hideMark/>
          </w:tcPr>
          <w:p w14:paraId="62BCDD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Average </w:t>
            </w:r>
          </w:p>
        </w:tc>
      </w:tr>
      <w:tr w:rsidR="00AC362E" w:rsidRPr="00491EF1" w14:paraId="0945BE81" w14:textId="77777777" w:rsidTr="00ED0631">
        <w:trPr>
          <w:trHeight w:val="315"/>
        </w:trPr>
        <w:tc>
          <w:tcPr>
            <w:tcW w:w="2219" w:type="dxa"/>
            <w:tcBorders>
              <w:top w:val="nil"/>
              <w:left w:val="nil"/>
              <w:bottom w:val="nil"/>
              <w:right w:val="nil"/>
            </w:tcBorders>
            <w:shd w:val="clear" w:color="auto" w:fill="auto"/>
            <w:noWrap/>
            <w:vAlign w:val="bottom"/>
            <w:hideMark/>
          </w:tcPr>
          <w:p w14:paraId="4BC1DC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201" w:type="dxa"/>
            <w:tcBorders>
              <w:top w:val="nil"/>
              <w:left w:val="nil"/>
              <w:bottom w:val="nil"/>
              <w:right w:val="nil"/>
            </w:tcBorders>
            <w:shd w:val="clear" w:color="auto" w:fill="auto"/>
            <w:noWrap/>
            <w:vAlign w:val="bottom"/>
            <w:hideMark/>
          </w:tcPr>
          <w:p w14:paraId="6724C927"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64%</w:t>
            </w:r>
          </w:p>
        </w:tc>
      </w:tr>
      <w:tr w:rsidR="00AC362E" w:rsidRPr="00491EF1" w14:paraId="33F8B2EB" w14:textId="77777777" w:rsidTr="00ED0631">
        <w:trPr>
          <w:trHeight w:val="315"/>
        </w:trPr>
        <w:tc>
          <w:tcPr>
            <w:tcW w:w="2219" w:type="dxa"/>
            <w:tcBorders>
              <w:top w:val="nil"/>
              <w:left w:val="nil"/>
              <w:bottom w:val="nil"/>
              <w:right w:val="nil"/>
            </w:tcBorders>
            <w:shd w:val="clear" w:color="auto" w:fill="auto"/>
            <w:noWrap/>
            <w:vAlign w:val="bottom"/>
            <w:hideMark/>
          </w:tcPr>
          <w:p w14:paraId="53AA0C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201" w:type="dxa"/>
            <w:tcBorders>
              <w:top w:val="nil"/>
              <w:left w:val="nil"/>
              <w:bottom w:val="nil"/>
              <w:right w:val="nil"/>
            </w:tcBorders>
            <w:shd w:val="clear" w:color="auto" w:fill="auto"/>
            <w:noWrap/>
            <w:vAlign w:val="bottom"/>
            <w:hideMark/>
          </w:tcPr>
          <w:p w14:paraId="3DAD1483"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57%</w:t>
            </w:r>
          </w:p>
        </w:tc>
      </w:tr>
      <w:tr w:rsidR="00AC362E" w:rsidRPr="00491EF1" w14:paraId="787896E2" w14:textId="77777777" w:rsidTr="00ED0631">
        <w:trPr>
          <w:trHeight w:val="315"/>
        </w:trPr>
        <w:tc>
          <w:tcPr>
            <w:tcW w:w="2219" w:type="dxa"/>
            <w:tcBorders>
              <w:top w:val="nil"/>
              <w:left w:val="nil"/>
              <w:bottom w:val="nil"/>
              <w:right w:val="nil"/>
            </w:tcBorders>
            <w:shd w:val="clear" w:color="auto" w:fill="auto"/>
            <w:noWrap/>
            <w:vAlign w:val="bottom"/>
            <w:hideMark/>
          </w:tcPr>
          <w:p w14:paraId="66F4A6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201" w:type="dxa"/>
            <w:tcBorders>
              <w:top w:val="nil"/>
              <w:left w:val="nil"/>
              <w:bottom w:val="nil"/>
              <w:right w:val="nil"/>
            </w:tcBorders>
            <w:shd w:val="clear" w:color="auto" w:fill="auto"/>
            <w:noWrap/>
            <w:vAlign w:val="bottom"/>
            <w:hideMark/>
          </w:tcPr>
          <w:p w14:paraId="5299FC80"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w:t>
            </w:r>
          </w:p>
        </w:tc>
      </w:tr>
      <w:tr w:rsidR="00AC362E" w:rsidRPr="00491EF1" w14:paraId="2C43C032" w14:textId="77777777" w:rsidTr="00ED0631">
        <w:trPr>
          <w:trHeight w:val="315"/>
        </w:trPr>
        <w:tc>
          <w:tcPr>
            <w:tcW w:w="2219" w:type="dxa"/>
            <w:tcBorders>
              <w:top w:val="nil"/>
              <w:left w:val="nil"/>
              <w:bottom w:val="nil"/>
              <w:right w:val="nil"/>
            </w:tcBorders>
            <w:shd w:val="clear" w:color="auto" w:fill="auto"/>
            <w:noWrap/>
            <w:vAlign w:val="bottom"/>
            <w:hideMark/>
          </w:tcPr>
          <w:p w14:paraId="45415A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201" w:type="dxa"/>
            <w:tcBorders>
              <w:top w:val="nil"/>
              <w:left w:val="nil"/>
              <w:bottom w:val="nil"/>
              <w:right w:val="nil"/>
            </w:tcBorders>
            <w:shd w:val="clear" w:color="auto" w:fill="auto"/>
            <w:noWrap/>
            <w:vAlign w:val="bottom"/>
            <w:hideMark/>
          </w:tcPr>
          <w:p w14:paraId="77485076"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72%</w:t>
            </w:r>
          </w:p>
        </w:tc>
      </w:tr>
      <w:tr w:rsidR="00AC362E" w:rsidRPr="00491EF1" w14:paraId="02A18DC7" w14:textId="77777777" w:rsidTr="00ED0631">
        <w:trPr>
          <w:trHeight w:val="315"/>
        </w:trPr>
        <w:tc>
          <w:tcPr>
            <w:tcW w:w="2219" w:type="dxa"/>
            <w:tcBorders>
              <w:top w:val="nil"/>
              <w:left w:val="nil"/>
              <w:bottom w:val="nil"/>
              <w:right w:val="nil"/>
            </w:tcBorders>
            <w:shd w:val="clear" w:color="auto" w:fill="auto"/>
            <w:noWrap/>
            <w:vAlign w:val="bottom"/>
            <w:hideMark/>
          </w:tcPr>
          <w:p w14:paraId="3E3105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201" w:type="dxa"/>
            <w:tcBorders>
              <w:top w:val="nil"/>
              <w:left w:val="nil"/>
              <w:bottom w:val="nil"/>
              <w:right w:val="nil"/>
            </w:tcBorders>
            <w:shd w:val="clear" w:color="auto" w:fill="auto"/>
            <w:noWrap/>
            <w:vAlign w:val="bottom"/>
            <w:hideMark/>
          </w:tcPr>
          <w:p w14:paraId="79A9D01B"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25%</w:t>
            </w:r>
          </w:p>
        </w:tc>
      </w:tr>
      <w:tr w:rsidR="00AC362E" w:rsidRPr="00491EF1" w14:paraId="5B539A04" w14:textId="77777777" w:rsidTr="00ED0631">
        <w:trPr>
          <w:trHeight w:val="315"/>
        </w:trPr>
        <w:tc>
          <w:tcPr>
            <w:tcW w:w="2219" w:type="dxa"/>
            <w:tcBorders>
              <w:top w:val="nil"/>
              <w:left w:val="nil"/>
              <w:bottom w:val="nil"/>
              <w:right w:val="nil"/>
            </w:tcBorders>
            <w:shd w:val="clear" w:color="auto" w:fill="auto"/>
            <w:noWrap/>
            <w:vAlign w:val="bottom"/>
            <w:hideMark/>
          </w:tcPr>
          <w:p w14:paraId="0AC8C96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201" w:type="dxa"/>
            <w:tcBorders>
              <w:top w:val="nil"/>
              <w:left w:val="nil"/>
              <w:bottom w:val="nil"/>
              <w:right w:val="nil"/>
            </w:tcBorders>
            <w:shd w:val="clear" w:color="auto" w:fill="auto"/>
            <w:noWrap/>
            <w:vAlign w:val="bottom"/>
            <w:hideMark/>
          </w:tcPr>
          <w:p w14:paraId="53E38AE0"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57%</w:t>
            </w:r>
          </w:p>
        </w:tc>
      </w:tr>
      <w:tr w:rsidR="00AC362E" w:rsidRPr="00491EF1" w14:paraId="17AC969E" w14:textId="77777777" w:rsidTr="00ED0631">
        <w:trPr>
          <w:trHeight w:val="315"/>
        </w:trPr>
        <w:tc>
          <w:tcPr>
            <w:tcW w:w="2219" w:type="dxa"/>
            <w:tcBorders>
              <w:top w:val="nil"/>
              <w:left w:val="nil"/>
              <w:bottom w:val="nil"/>
              <w:right w:val="nil"/>
            </w:tcBorders>
            <w:shd w:val="clear" w:color="auto" w:fill="auto"/>
            <w:noWrap/>
            <w:vAlign w:val="bottom"/>
            <w:hideMark/>
          </w:tcPr>
          <w:p w14:paraId="314876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201" w:type="dxa"/>
            <w:tcBorders>
              <w:top w:val="nil"/>
              <w:left w:val="nil"/>
              <w:bottom w:val="nil"/>
              <w:right w:val="nil"/>
            </w:tcBorders>
            <w:shd w:val="clear" w:color="auto" w:fill="auto"/>
            <w:noWrap/>
            <w:vAlign w:val="bottom"/>
            <w:hideMark/>
          </w:tcPr>
          <w:p w14:paraId="43F7E22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65%</w:t>
            </w:r>
          </w:p>
        </w:tc>
      </w:tr>
      <w:tr w:rsidR="00AC362E" w:rsidRPr="00491EF1" w14:paraId="179EEBEC" w14:textId="77777777" w:rsidTr="00ED0631">
        <w:trPr>
          <w:trHeight w:val="315"/>
        </w:trPr>
        <w:tc>
          <w:tcPr>
            <w:tcW w:w="2219" w:type="dxa"/>
            <w:tcBorders>
              <w:top w:val="nil"/>
              <w:left w:val="nil"/>
              <w:bottom w:val="nil"/>
              <w:right w:val="nil"/>
            </w:tcBorders>
            <w:shd w:val="clear" w:color="auto" w:fill="auto"/>
            <w:noWrap/>
            <w:vAlign w:val="bottom"/>
            <w:hideMark/>
          </w:tcPr>
          <w:p w14:paraId="531ADC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201" w:type="dxa"/>
            <w:tcBorders>
              <w:top w:val="nil"/>
              <w:left w:val="nil"/>
              <w:bottom w:val="nil"/>
              <w:right w:val="nil"/>
            </w:tcBorders>
            <w:shd w:val="clear" w:color="auto" w:fill="auto"/>
            <w:noWrap/>
            <w:vAlign w:val="bottom"/>
            <w:hideMark/>
          </w:tcPr>
          <w:p w14:paraId="4891ACC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75%</w:t>
            </w:r>
          </w:p>
        </w:tc>
      </w:tr>
      <w:tr w:rsidR="00AC362E" w:rsidRPr="00491EF1" w14:paraId="31933618" w14:textId="77777777" w:rsidTr="00ED0631">
        <w:trPr>
          <w:trHeight w:val="315"/>
        </w:trPr>
        <w:tc>
          <w:tcPr>
            <w:tcW w:w="2219" w:type="dxa"/>
            <w:tcBorders>
              <w:top w:val="nil"/>
              <w:left w:val="nil"/>
              <w:bottom w:val="nil"/>
              <w:right w:val="nil"/>
            </w:tcBorders>
            <w:shd w:val="clear" w:color="auto" w:fill="auto"/>
            <w:noWrap/>
            <w:vAlign w:val="bottom"/>
            <w:hideMark/>
          </w:tcPr>
          <w:p w14:paraId="46CD80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201" w:type="dxa"/>
            <w:tcBorders>
              <w:top w:val="nil"/>
              <w:left w:val="nil"/>
              <w:bottom w:val="nil"/>
              <w:right w:val="nil"/>
            </w:tcBorders>
            <w:shd w:val="clear" w:color="auto" w:fill="auto"/>
            <w:noWrap/>
            <w:vAlign w:val="bottom"/>
            <w:hideMark/>
          </w:tcPr>
          <w:p w14:paraId="54B7FDD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r>
      <w:tr w:rsidR="00AC362E" w:rsidRPr="00491EF1" w14:paraId="3757E73D" w14:textId="77777777" w:rsidTr="00ED0631">
        <w:trPr>
          <w:trHeight w:val="315"/>
        </w:trPr>
        <w:tc>
          <w:tcPr>
            <w:tcW w:w="2219" w:type="dxa"/>
            <w:tcBorders>
              <w:top w:val="single" w:sz="4" w:space="0" w:color="auto"/>
              <w:left w:val="nil"/>
              <w:bottom w:val="single" w:sz="4" w:space="0" w:color="auto"/>
              <w:right w:val="nil"/>
            </w:tcBorders>
            <w:shd w:val="clear" w:color="auto" w:fill="auto"/>
            <w:noWrap/>
            <w:vAlign w:val="bottom"/>
            <w:hideMark/>
          </w:tcPr>
          <w:p w14:paraId="778F07A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201" w:type="dxa"/>
            <w:tcBorders>
              <w:top w:val="single" w:sz="4" w:space="0" w:color="auto"/>
              <w:left w:val="nil"/>
              <w:bottom w:val="single" w:sz="4" w:space="0" w:color="auto"/>
              <w:right w:val="nil"/>
            </w:tcBorders>
            <w:shd w:val="clear" w:color="auto" w:fill="auto"/>
            <w:noWrap/>
            <w:vAlign w:val="bottom"/>
            <w:hideMark/>
          </w:tcPr>
          <w:p w14:paraId="4524FF03"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r>
    </w:tbl>
    <w:p w14:paraId="424EDE22"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36: Average annually estimate (school leaders) of parent-teacher meeting/discussion about their child’s progress by island category</w:t>
      </w:r>
    </w:p>
    <w:tbl>
      <w:tblPr>
        <w:tblW w:w="3220" w:type="dxa"/>
        <w:tblInd w:w="93" w:type="dxa"/>
        <w:tblLook w:val="04A0" w:firstRow="1" w:lastRow="0" w:firstColumn="1" w:lastColumn="0" w:noHBand="0" w:noVBand="1"/>
      </w:tblPr>
      <w:tblGrid>
        <w:gridCol w:w="1883"/>
        <w:gridCol w:w="1337"/>
      </w:tblGrid>
      <w:tr w:rsidR="00AC362E" w:rsidRPr="00491EF1" w14:paraId="74865B32" w14:textId="77777777" w:rsidTr="00ED0631">
        <w:trPr>
          <w:trHeight w:val="315"/>
        </w:trPr>
        <w:tc>
          <w:tcPr>
            <w:tcW w:w="1883" w:type="dxa"/>
            <w:tcBorders>
              <w:top w:val="single" w:sz="4" w:space="0" w:color="auto"/>
              <w:left w:val="nil"/>
              <w:bottom w:val="single" w:sz="4" w:space="0" w:color="auto"/>
              <w:right w:val="nil"/>
            </w:tcBorders>
            <w:shd w:val="clear" w:color="auto" w:fill="auto"/>
            <w:noWrap/>
            <w:vAlign w:val="bottom"/>
            <w:hideMark/>
          </w:tcPr>
          <w:p w14:paraId="66ACA9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337" w:type="dxa"/>
            <w:tcBorders>
              <w:top w:val="single" w:sz="4" w:space="0" w:color="auto"/>
              <w:left w:val="nil"/>
              <w:bottom w:val="single" w:sz="4" w:space="0" w:color="auto"/>
              <w:right w:val="nil"/>
            </w:tcBorders>
            <w:shd w:val="clear" w:color="auto" w:fill="auto"/>
            <w:noWrap/>
            <w:vAlign w:val="bottom"/>
            <w:hideMark/>
          </w:tcPr>
          <w:p w14:paraId="08EC83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Average </w:t>
            </w:r>
          </w:p>
        </w:tc>
      </w:tr>
      <w:tr w:rsidR="00AC362E" w:rsidRPr="00491EF1" w14:paraId="191CB298" w14:textId="77777777" w:rsidTr="00ED0631">
        <w:trPr>
          <w:trHeight w:val="315"/>
        </w:trPr>
        <w:tc>
          <w:tcPr>
            <w:tcW w:w="1883" w:type="dxa"/>
            <w:tcBorders>
              <w:top w:val="nil"/>
              <w:left w:val="nil"/>
              <w:bottom w:val="nil"/>
              <w:right w:val="nil"/>
            </w:tcBorders>
            <w:shd w:val="clear" w:color="auto" w:fill="auto"/>
            <w:noWrap/>
            <w:vAlign w:val="bottom"/>
            <w:hideMark/>
          </w:tcPr>
          <w:p w14:paraId="61658B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37" w:type="dxa"/>
            <w:tcBorders>
              <w:top w:val="nil"/>
              <w:left w:val="nil"/>
              <w:bottom w:val="nil"/>
              <w:right w:val="nil"/>
            </w:tcBorders>
            <w:shd w:val="clear" w:color="auto" w:fill="auto"/>
            <w:noWrap/>
            <w:vAlign w:val="bottom"/>
            <w:hideMark/>
          </w:tcPr>
          <w:p w14:paraId="0F99C4B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55%</w:t>
            </w:r>
          </w:p>
        </w:tc>
      </w:tr>
      <w:tr w:rsidR="00AC362E" w:rsidRPr="00491EF1" w14:paraId="69C0F77A" w14:textId="77777777" w:rsidTr="00ED0631">
        <w:trPr>
          <w:trHeight w:val="315"/>
        </w:trPr>
        <w:tc>
          <w:tcPr>
            <w:tcW w:w="1883" w:type="dxa"/>
            <w:tcBorders>
              <w:top w:val="nil"/>
              <w:left w:val="nil"/>
              <w:bottom w:val="nil"/>
              <w:right w:val="nil"/>
            </w:tcBorders>
            <w:shd w:val="clear" w:color="auto" w:fill="auto"/>
            <w:noWrap/>
            <w:vAlign w:val="bottom"/>
            <w:hideMark/>
          </w:tcPr>
          <w:p w14:paraId="7CFC2C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37" w:type="dxa"/>
            <w:tcBorders>
              <w:top w:val="nil"/>
              <w:left w:val="nil"/>
              <w:bottom w:val="nil"/>
              <w:right w:val="nil"/>
            </w:tcBorders>
            <w:shd w:val="clear" w:color="auto" w:fill="auto"/>
            <w:noWrap/>
            <w:vAlign w:val="bottom"/>
            <w:hideMark/>
          </w:tcPr>
          <w:p w14:paraId="713DC524"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49%</w:t>
            </w:r>
          </w:p>
        </w:tc>
      </w:tr>
      <w:tr w:rsidR="00AC362E" w:rsidRPr="00491EF1" w14:paraId="27BDB825" w14:textId="77777777" w:rsidTr="00ED0631">
        <w:trPr>
          <w:trHeight w:val="315"/>
        </w:trPr>
        <w:tc>
          <w:tcPr>
            <w:tcW w:w="1883" w:type="dxa"/>
            <w:tcBorders>
              <w:top w:val="nil"/>
              <w:left w:val="nil"/>
              <w:bottom w:val="nil"/>
              <w:right w:val="nil"/>
            </w:tcBorders>
            <w:shd w:val="clear" w:color="auto" w:fill="auto"/>
            <w:noWrap/>
            <w:vAlign w:val="bottom"/>
            <w:hideMark/>
          </w:tcPr>
          <w:p w14:paraId="2AE2F7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37" w:type="dxa"/>
            <w:tcBorders>
              <w:top w:val="nil"/>
              <w:left w:val="nil"/>
              <w:bottom w:val="nil"/>
              <w:right w:val="nil"/>
            </w:tcBorders>
            <w:shd w:val="clear" w:color="auto" w:fill="auto"/>
            <w:noWrap/>
            <w:vAlign w:val="bottom"/>
            <w:hideMark/>
          </w:tcPr>
          <w:p w14:paraId="604A9186"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r>
      <w:tr w:rsidR="00AC362E" w:rsidRPr="00491EF1" w14:paraId="14DFDAA8" w14:textId="77777777" w:rsidTr="00ED0631">
        <w:trPr>
          <w:trHeight w:val="315"/>
        </w:trPr>
        <w:tc>
          <w:tcPr>
            <w:tcW w:w="1883" w:type="dxa"/>
            <w:tcBorders>
              <w:top w:val="single" w:sz="4" w:space="0" w:color="auto"/>
              <w:left w:val="nil"/>
              <w:bottom w:val="single" w:sz="4" w:space="0" w:color="auto"/>
              <w:right w:val="nil"/>
            </w:tcBorders>
            <w:shd w:val="clear" w:color="auto" w:fill="auto"/>
            <w:noWrap/>
            <w:vAlign w:val="bottom"/>
            <w:hideMark/>
          </w:tcPr>
          <w:p w14:paraId="344E1D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37" w:type="dxa"/>
            <w:tcBorders>
              <w:top w:val="single" w:sz="4" w:space="0" w:color="auto"/>
              <w:left w:val="nil"/>
              <w:bottom w:val="single" w:sz="4" w:space="0" w:color="auto"/>
              <w:right w:val="nil"/>
            </w:tcBorders>
            <w:shd w:val="clear" w:color="auto" w:fill="auto"/>
            <w:noWrap/>
            <w:vAlign w:val="bottom"/>
            <w:hideMark/>
          </w:tcPr>
          <w:p w14:paraId="33D1DB8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53%</w:t>
            </w:r>
          </w:p>
        </w:tc>
      </w:tr>
    </w:tbl>
    <w:p w14:paraId="6AD4283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37: Rating of the parent-teacher meeting/discussion about their child’s progress by island</w:t>
      </w:r>
    </w:p>
    <w:tbl>
      <w:tblPr>
        <w:tblW w:w="5927" w:type="dxa"/>
        <w:tblInd w:w="93" w:type="dxa"/>
        <w:tblLook w:val="04A0" w:firstRow="1" w:lastRow="0" w:firstColumn="1" w:lastColumn="0" w:noHBand="0" w:noVBand="1"/>
      </w:tblPr>
      <w:tblGrid>
        <w:gridCol w:w="1630"/>
        <w:gridCol w:w="1353"/>
        <w:gridCol w:w="2021"/>
        <w:gridCol w:w="995"/>
      </w:tblGrid>
      <w:tr w:rsidR="00AC362E" w:rsidRPr="00491EF1" w14:paraId="1B7C5A3A"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6818716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Rating</w:t>
            </w:r>
          </w:p>
        </w:tc>
        <w:tc>
          <w:tcPr>
            <w:tcW w:w="1353" w:type="dxa"/>
            <w:tcBorders>
              <w:top w:val="single" w:sz="4" w:space="0" w:color="auto"/>
              <w:left w:val="nil"/>
              <w:bottom w:val="single" w:sz="4" w:space="0" w:color="auto"/>
              <w:right w:val="nil"/>
            </w:tcBorders>
            <w:shd w:val="clear" w:color="auto" w:fill="auto"/>
            <w:noWrap/>
            <w:vAlign w:val="bottom"/>
            <w:hideMark/>
          </w:tcPr>
          <w:p w14:paraId="0CC303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Very valuable</w:t>
            </w:r>
          </w:p>
        </w:tc>
        <w:tc>
          <w:tcPr>
            <w:tcW w:w="2021" w:type="dxa"/>
            <w:tcBorders>
              <w:top w:val="single" w:sz="4" w:space="0" w:color="auto"/>
              <w:left w:val="nil"/>
              <w:bottom w:val="single" w:sz="4" w:space="0" w:color="auto"/>
              <w:right w:val="nil"/>
            </w:tcBorders>
            <w:shd w:val="clear" w:color="auto" w:fill="auto"/>
            <w:noWrap/>
            <w:vAlign w:val="bottom"/>
            <w:hideMark/>
          </w:tcPr>
          <w:p w14:paraId="306002F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Reasonably valuable</w:t>
            </w:r>
          </w:p>
        </w:tc>
        <w:tc>
          <w:tcPr>
            <w:tcW w:w="923" w:type="dxa"/>
            <w:tcBorders>
              <w:top w:val="single" w:sz="4" w:space="0" w:color="auto"/>
              <w:left w:val="nil"/>
              <w:bottom w:val="single" w:sz="4" w:space="0" w:color="auto"/>
              <w:right w:val="nil"/>
            </w:tcBorders>
            <w:shd w:val="clear" w:color="auto" w:fill="auto"/>
            <w:noWrap/>
            <w:vAlign w:val="bottom"/>
            <w:hideMark/>
          </w:tcPr>
          <w:p w14:paraId="6E5DB1D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Valuable</w:t>
            </w:r>
          </w:p>
        </w:tc>
      </w:tr>
      <w:tr w:rsidR="00AC362E" w:rsidRPr="00491EF1" w14:paraId="4E8B1BF0" w14:textId="77777777" w:rsidTr="00ED0631">
        <w:trPr>
          <w:trHeight w:val="315"/>
        </w:trPr>
        <w:tc>
          <w:tcPr>
            <w:tcW w:w="1630" w:type="dxa"/>
            <w:tcBorders>
              <w:top w:val="nil"/>
              <w:left w:val="nil"/>
              <w:bottom w:val="nil"/>
              <w:right w:val="nil"/>
            </w:tcBorders>
            <w:shd w:val="clear" w:color="auto" w:fill="auto"/>
            <w:noWrap/>
            <w:vAlign w:val="bottom"/>
            <w:hideMark/>
          </w:tcPr>
          <w:p w14:paraId="0C9E23B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353" w:type="dxa"/>
            <w:tcBorders>
              <w:top w:val="nil"/>
              <w:left w:val="nil"/>
              <w:bottom w:val="nil"/>
              <w:right w:val="nil"/>
            </w:tcBorders>
            <w:shd w:val="clear" w:color="auto" w:fill="auto"/>
            <w:noWrap/>
            <w:vAlign w:val="bottom"/>
            <w:hideMark/>
          </w:tcPr>
          <w:p w14:paraId="29CDB3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2021" w:type="dxa"/>
            <w:tcBorders>
              <w:top w:val="nil"/>
              <w:left w:val="nil"/>
              <w:bottom w:val="nil"/>
              <w:right w:val="nil"/>
            </w:tcBorders>
            <w:shd w:val="clear" w:color="auto" w:fill="auto"/>
            <w:noWrap/>
            <w:vAlign w:val="bottom"/>
            <w:hideMark/>
          </w:tcPr>
          <w:p w14:paraId="5376698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923" w:type="dxa"/>
            <w:tcBorders>
              <w:top w:val="nil"/>
              <w:left w:val="nil"/>
              <w:bottom w:val="nil"/>
              <w:right w:val="nil"/>
            </w:tcBorders>
            <w:shd w:val="clear" w:color="auto" w:fill="auto"/>
            <w:noWrap/>
            <w:vAlign w:val="bottom"/>
            <w:hideMark/>
          </w:tcPr>
          <w:p w14:paraId="00BC300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16EF9BB" w14:textId="77777777" w:rsidTr="00ED0631">
        <w:trPr>
          <w:trHeight w:val="315"/>
        </w:trPr>
        <w:tc>
          <w:tcPr>
            <w:tcW w:w="1630" w:type="dxa"/>
            <w:tcBorders>
              <w:top w:val="nil"/>
              <w:left w:val="nil"/>
              <w:bottom w:val="nil"/>
              <w:right w:val="nil"/>
            </w:tcBorders>
            <w:shd w:val="clear" w:color="auto" w:fill="auto"/>
            <w:noWrap/>
            <w:vAlign w:val="bottom"/>
            <w:hideMark/>
          </w:tcPr>
          <w:p w14:paraId="49BBA4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353" w:type="dxa"/>
            <w:tcBorders>
              <w:top w:val="nil"/>
              <w:left w:val="nil"/>
              <w:bottom w:val="nil"/>
              <w:right w:val="nil"/>
            </w:tcBorders>
            <w:shd w:val="clear" w:color="auto" w:fill="auto"/>
            <w:noWrap/>
            <w:vAlign w:val="bottom"/>
            <w:hideMark/>
          </w:tcPr>
          <w:p w14:paraId="3E9522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2021" w:type="dxa"/>
            <w:tcBorders>
              <w:top w:val="nil"/>
              <w:left w:val="nil"/>
              <w:bottom w:val="nil"/>
              <w:right w:val="nil"/>
            </w:tcBorders>
            <w:shd w:val="clear" w:color="auto" w:fill="auto"/>
            <w:noWrap/>
            <w:vAlign w:val="bottom"/>
            <w:hideMark/>
          </w:tcPr>
          <w:p w14:paraId="7A5BE99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23" w:type="dxa"/>
            <w:tcBorders>
              <w:top w:val="nil"/>
              <w:left w:val="nil"/>
              <w:bottom w:val="nil"/>
              <w:right w:val="nil"/>
            </w:tcBorders>
            <w:shd w:val="clear" w:color="auto" w:fill="auto"/>
            <w:noWrap/>
            <w:vAlign w:val="bottom"/>
            <w:hideMark/>
          </w:tcPr>
          <w:p w14:paraId="331C5829"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C514F33" w14:textId="77777777" w:rsidTr="00ED0631">
        <w:trPr>
          <w:trHeight w:val="315"/>
        </w:trPr>
        <w:tc>
          <w:tcPr>
            <w:tcW w:w="1630" w:type="dxa"/>
            <w:tcBorders>
              <w:top w:val="nil"/>
              <w:left w:val="nil"/>
              <w:bottom w:val="nil"/>
              <w:right w:val="nil"/>
            </w:tcBorders>
            <w:shd w:val="clear" w:color="auto" w:fill="auto"/>
            <w:noWrap/>
            <w:vAlign w:val="bottom"/>
            <w:hideMark/>
          </w:tcPr>
          <w:p w14:paraId="796F56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353" w:type="dxa"/>
            <w:tcBorders>
              <w:top w:val="nil"/>
              <w:left w:val="nil"/>
              <w:bottom w:val="nil"/>
              <w:right w:val="nil"/>
            </w:tcBorders>
            <w:shd w:val="clear" w:color="auto" w:fill="auto"/>
            <w:noWrap/>
            <w:vAlign w:val="bottom"/>
            <w:hideMark/>
          </w:tcPr>
          <w:p w14:paraId="3F619E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2021" w:type="dxa"/>
            <w:tcBorders>
              <w:top w:val="nil"/>
              <w:left w:val="nil"/>
              <w:bottom w:val="nil"/>
              <w:right w:val="nil"/>
            </w:tcBorders>
            <w:shd w:val="clear" w:color="auto" w:fill="auto"/>
            <w:noWrap/>
            <w:vAlign w:val="bottom"/>
            <w:hideMark/>
          </w:tcPr>
          <w:p w14:paraId="1EFB757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23" w:type="dxa"/>
            <w:tcBorders>
              <w:top w:val="nil"/>
              <w:left w:val="nil"/>
              <w:bottom w:val="nil"/>
              <w:right w:val="nil"/>
            </w:tcBorders>
            <w:shd w:val="clear" w:color="auto" w:fill="auto"/>
            <w:noWrap/>
            <w:vAlign w:val="bottom"/>
            <w:hideMark/>
          </w:tcPr>
          <w:p w14:paraId="2FD5E8D0"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6108730" w14:textId="77777777" w:rsidTr="00ED0631">
        <w:trPr>
          <w:trHeight w:val="315"/>
        </w:trPr>
        <w:tc>
          <w:tcPr>
            <w:tcW w:w="1630" w:type="dxa"/>
            <w:tcBorders>
              <w:top w:val="nil"/>
              <w:left w:val="nil"/>
              <w:bottom w:val="nil"/>
              <w:right w:val="nil"/>
            </w:tcBorders>
            <w:shd w:val="clear" w:color="auto" w:fill="auto"/>
            <w:noWrap/>
            <w:vAlign w:val="bottom"/>
            <w:hideMark/>
          </w:tcPr>
          <w:p w14:paraId="165836F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353" w:type="dxa"/>
            <w:tcBorders>
              <w:top w:val="nil"/>
              <w:left w:val="nil"/>
              <w:bottom w:val="nil"/>
              <w:right w:val="nil"/>
            </w:tcBorders>
            <w:shd w:val="clear" w:color="auto" w:fill="auto"/>
            <w:noWrap/>
            <w:vAlign w:val="bottom"/>
            <w:hideMark/>
          </w:tcPr>
          <w:p w14:paraId="51424B1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2021" w:type="dxa"/>
            <w:tcBorders>
              <w:top w:val="nil"/>
              <w:left w:val="nil"/>
              <w:bottom w:val="nil"/>
              <w:right w:val="nil"/>
            </w:tcBorders>
            <w:shd w:val="clear" w:color="auto" w:fill="auto"/>
            <w:noWrap/>
            <w:vAlign w:val="bottom"/>
            <w:hideMark/>
          </w:tcPr>
          <w:p w14:paraId="7748BB7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23" w:type="dxa"/>
            <w:tcBorders>
              <w:top w:val="nil"/>
              <w:left w:val="nil"/>
              <w:bottom w:val="nil"/>
              <w:right w:val="nil"/>
            </w:tcBorders>
            <w:shd w:val="clear" w:color="auto" w:fill="auto"/>
            <w:noWrap/>
            <w:vAlign w:val="bottom"/>
            <w:hideMark/>
          </w:tcPr>
          <w:p w14:paraId="3C4D21A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6B2746F" w14:textId="77777777" w:rsidTr="00ED0631">
        <w:trPr>
          <w:trHeight w:val="315"/>
        </w:trPr>
        <w:tc>
          <w:tcPr>
            <w:tcW w:w="1630" w:type="dxa"/>
            <w:tcBorders>
              <w:top w:val="nil"/>
              <w:left w:val="nil"/>
              <w:bottom w:val="nil"/>
              <w:right w:val="nil"/>
            </w:tcBorders>
            <w:shd w:val="clear" w:color="auto" w:fill="auto"/>
            <w:noWrap/>
            <w:vAlign w:val="bottom"/>
            <w:hideMark/>
          </w:tcPr>
          <w:p w14:paraId="731F2A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353" w:type="dxa"/>
            <w:tcBorders>
              <w:top w:val="nil"/>
              <w:left w:val="nil"/>
              <w:bottom w:val="nil"/>
              <w:right w:val="nil"/>
            </w:tcBorders>
            <w:shd w:val="clear" w:color="auto" w:fill="auto"/>
            <w:noWrap/>
            <w:vAlign w:val="bottom"/>
            <w:hideMark/>
          </w:tcPr>
          <w:p w14:paraId="0DBCF0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2021" w:type="dxa"/>
            <w:tcBorders>
              <w:top w:val="nil"/>
              <w:left w:val="nil"/>
              <w:bottom w:val="nil"/>
              <w:right w:val="nil"/>
            </w:tcBorders>
            <w:shd w:val="clear" w:color="auto" w:fill="auto"/>
            <w:noWrap/>
            <w:vAlign w:val="bottom"/>
            <w:hideMark/>
          </w:tcPr>
          <w:p w14:paraId="2451F5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923" w:type="dxa"/>
            <w:tcBorders>
              <w:top w:val="nil"/>
              <w:left w:val="nil"/>
              <w:bottom w:val="nil"/>
              <w:right w:val="nil"/>
            </w:tcBorders>
            <w:shd w:val="clear" w:color="auto" w:fill="auto"/>
            <w:noWrap/>
            <w:vAlign w:val="bottom"/>
            <w:hideMark/>
          </w:tcPr>
          <w:p w14:paraId="773EFE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5A5A53F8" w14:textId="77777777" w:rsidTr="00ED0631">
        <w:trPr>
          <w:trHeight w:val="315"/>
        </w:trPr>
        <w:tc>
          <w:tcPr>
            <w:tcW w:w="1630" w:type="dxa"/>
            <w:tcBorders>
              <w:top w:val="nil"/>
              <w:left w:val="nil"/>
              <w:bottom w:val="nil"/>
              <w:right w:val="nil"/>
            </w:tcBorders>
            <w:shd w:val="clear" w:color="auto" w:fill="auto"/>
            <w:noWrap/>
            <w:vAlign w:val="bottom"/>
            <w:hideMark/>
          </w:tcPr>
          <w:p w14:paraId="472997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353" w:type="dxa"/>
            <w:tcBorders>
              <w:top w:val="nil"/>
              <w:left w:val="nil"/>
              <w:bottom w:val="nil"/>
              <w:right w:val="nil"/>
            </w:tcBorders>
            <w:shd w:val="clear" w:color="auto" w:fill="auto"/>
            <w:noWrap/>
            <w:vAlign w:val="bottom"/>
            <w:hideMark/>
          </w:tcPr>
          <w:p w14:paraId="21938CB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2021" w:type="dxa"/>
            <w:tcBorders>
              <w:top w:val="nil"/>
              <w:left w:val="nil"/>
              <w:bottom w:val="nil"/>
              <w:right w:val="nil"/>
            </w:tcBorders>
            <w:shd w:val="clear" w:color="auto" w:fill="auto"/>
            <w:noWrap/>
            <w:vAlign w:val="bottom"/>
            <w:hideMark/>
          </w:tcPr>
          <w:p w14:paraId="3489D9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923" w:type="dxa"/>
            <w:tcBorders>
              <w:top w:val="nil"/>
              <w:left w:val="nil"/>
              <w:bottom w:val="nil"/>
              <w:right w:val="nil"/>
            </w:tcBorders>
            <w:shd w:val="clear" w:color="auto" w:fill="auto"/>
            <w:noWrap/>
            <w:vAlign w:val="bottom"/>
            <w:hideMark/>
          </w:tcPr>
          <w:p w14:paraId="275DF3A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91EC6EC" w14:textId="77777777" w:rsidTr="00ED0631">
        <w:trPr>
          <w:trHeight w:val="315"/>
        </w:trPr>
        <w:tc>
          <w:tcPr>
            <w:tcW w:w="1630" w:type="dxa"/>
            <w:tcBorders>
              <w:top w:val="nil"/>
              <w:left w:val="nil"/>
              <w:bottom w:val="nil"/>
              <w:right w:val="nil"/>
            </w:tcBorders>
            <w:shd w:val="clear" w:color="auto" w:fill="auto"/>
            <w:noWrap/>
            <w:vAlign w:val="bottom"/>
            <w:hideMark/>
          </w:tcPr>
          <w:p w14:paraId="565431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353" w:type="dxa"/>
            <w:tcBorders>
              <w:top w:val="nil"/>
              <w:left w:val="nil"/>
              <w:bottom w:val="nil"/>
              <w:right w:val="nil"/>
            </w:tcBorders>
            <w:shd w:val="clear" w:color="auto" w:fill="auto"/>
            <w:noWrap/>
            <w:vAlign w:val="bottom"/>
            <w:hideMark/>
          </w:tcPr>
          <w:p w14:paraId="76F439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2021" w:type="dxa"/>
            <w:tcBorders>
              <w:top w:val="nil"/>
              <w:left w:val="nil"/>
              <w:bottom w:val="nil"/>
              <w:right w:val="nil"/>
            </w:tcBorders>
            <w:shd w:val="clear" w:color="auto" w:fill="auto"/>
            <w:noWrap/>
            <w:vAlign w:val="bottom"/>
            <w:hideMark/>
          </w:tcPr>
          <w:p w14:paraId="124EDE3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923" w:type="dxa"/>
            <w:tcBorders>
              <w:top w:val="nil"/>
              <w:left w:val="nil"/>
              <w:bottom w:val="nil"/>
              <w:right w:val="nil"/>
            </w:tcBorders>
            <w:shd w:val="clear" w:color="auto" w:fill="auto"/>
            <w:noWrap/>
            <w:vAlign w:val="bottom"/>
            <w:hideMark/>
          </w:tcPr>
          <w:p w14:paraId="76B06BA6"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CA046D4" w14:textId="77777777" w:rsidTr="00ED0631">
        <w:trPr>
          <w:trHeight w:val="315"/>
        </w:trPr>
        <w:tc>
          <w:tcPr>
            <w:tcW w:w="1630" w:type="dxa"/>
            <w:tcBorders>
              <w:top w:val="nil"/>
              <w:left w:val="nil"/>
              <w:bottom w:val="nil"/>
              <w:right w:val="nil"/>
            </w:tcBorders>
            <w:shd w:val="clear" w:color="auto" w:fill="auto"/>
            <w:noWrap/>
            <w:vAlign w:val="bottom"/>
            <w:hideMark/>
          </w:tcPr>
          <w:p w14:paraId="5CC2433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353" w:type="dxa"/>
            <w:tcBorders>
              <w:top w:val="nil"/>
              <w:left w:val="nil"/>
              <w:bottom w:val="nil"/>
              <w:right w:val="nil"/>
            </w:tcBorders>
            <w:shd w:val="clear" w:color="auto" w:fill="auto"/>
            <w:noWrap/>
            <w:vAlign w:val="bottom"/>
            <w:hideMark/>
          </w:tcPr>
          <w:p w14:paraId="239A96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2021" w:type="dxa"/>
            <w:tcBorders>
              <w:top w:val="nil"/>
              <w:left w:val="nil"/>
              <w:bottom w:val="nil"/>
              <w:right w:val="nil"/>
            </w:tcBorders>
            <w:shd w:val="clear" w:color="auto" w:fill="auto"/>
            <w:noWrap/>
            <w:vAlign w:val="bottom"/>
            <w:hideMark/>
          </w:tcPr>
          <w:p w14:paraId="7C9A60FE"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923" w:type="dxa"/>
            <w:tcBorders>
              <w:top w:val="nil"/>
              <w:left w:val="nil"/>
              <w:bottom w:val="nil"/>
              <w:right w:val="nil"/>
            </w:tcBorders>
            <w:shd w:val="clear" w:color="auto" w:fill="auto"/>
            <w:noWrap/>
            <w:vAlign w:val="bottom"/>
            <w:hideMark/>
          </w:tcPr>
          <w:p w14:paraId="4987DFC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4463E21F" w14:textId="77777777" w:rsidTr="00ED0631">
        <w:trPr>
          <w:trHeight w:val="315"/>
        </w:trPr>
        <w:tc>
          <w:tcPr>
            <w:tcW w:w="1630" w:type="dxa"/>
            <w:tcBorders>
              <w:top w:val="nil"/>
              <w:left w:val="nil"/>
              <w:bottom w:val="nil"/>
              <w:right w:val="nil"/>
            </w:tcBorders>
            <w:shd w:val="clear" w:color="auto" w:fill="auto"/>
            <w:noWrap/>
            <w:vAlign w:val="bottom"/>
            <w:hideMark/>
          </w:tcPr>
          <w:p w14:paraId="2BCA31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353" w:type="dxa"/>
            <w:tcBorders>
              <w:top w:val="nil"/>
              <w:left w:val="nil"/>
              <w:bottom w:val="nil"/>
              <w:right w:val="nil"/>
            </w:tcBorders>
            <w:shd w:val="clear" w:color="auto" w:fill="auto"/>
            <w:noWrap/>
            <w:vAlign w:val="bottom"/>
            <w:hideMark/>
          </w:tcPr>
          <w:p w14:paraId="06C860E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2021" w:type="dxa"/>
            <w:tcBorders>
              <w:top w:val="nil"/>
              <w:left w:val="nil"/>
              <w:bottom w:val="nil"/>
              <w:right w:val="nil"/>
            </w:tcBorders>
            <w:shd w:val="clear" w:color="auto" w:fill="auto"/>
            <w:noWrap/>
            <w:vAlign w:val="bottom"/>
            <w:hideMark/>
          </w:tcPr>
          <w:p w14:paraId="503ADCC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923" w:type="dxa"/>
            <w:tcBorders>
              <w:top w:val="nil"/>
              <w:left w:val="nil"/>
              <w:bottom w:val="nil"/>
              <w:right w:val="nil"/>
            </w:tcBorders>
            <w:shd w:val="clear" w:color="auto" w:fill="auto"/>
            <w:noWrap/>
            <w:vAlign w:val="bottom"/>
            <w:hideMark/>
          </w:tcPr>
          <w:p w14:paraId="7D33B99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47E38D4" w14:textId="77777777" w:rsidTr="00ED0631">
        <w:trPr>
          <w:trHeight w:val="315"/>
        </w:trPr>
        <w:tc>
          <w:tcPr>
            <w:tcW w:w="1630" w:type="dxa"/>
            <w:tcBorders>
              <w:top w:val="single" w:sz="4" w:space="0" w:color="auto"/>
              <w:left w:val="nil"/>
              <w:bottom w:val="single" w:sz="4" w:space="0" w:color="auto"/>
              <w:right w:val="nil"/>
            </w:tcBorders>
            <w:shd w:val="clear" w:color="auto" w:fill="auto"/>
            <w:noWrap/>
            <w:vAlign w:val="bottom"/>
            <w:hideMark/>
          </w:tcPr>
          <w:p w14:paraId="46E69A4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353" w:type="dxa"/>
            <w:tcBorders>
              <w:top w:val="single" w:sz="4" w:space="0" w:color="auto"/>
              <w:left w:val="nil"/>
              <w:bottom w:val="single" w:sz="4" w:space="0" w:color="auto"/>
              <w:right w:val="nil"/>
            </w:tcBorders>
            <w:shd w:val="clear" w:color="auto" w:fill="auto"/>
            <w:noWrap/>
            <w:vAlign w:val="bottom"/>
            <w:hideMark/>
          </w:tcPr>
          <w:p w14:paraId="17BA4A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27 </w:t>
            </w:r>
          </w:p>
        </w:tc>
        <w:tc>
          <w:tcPr>
            <w:tcW w:w="2021" w:type="dxa"/>
            <w:tcBorders>
              <w:top w:val="single" w:sz="4" w:space="0" w:color="auto"/>
              <w:left w:val="nil"/>
              <w:bottom w:val="single" w:sz="4" w:space="0" w:color="auto"/>
              <w:right w:val="nil"/>
            </w:tcBorders>
            <w:shd w:val="clear" w:color="auto" w:fill="auto"/>
            <w:noWrap/>
            <w:vAlign w:val="bottom"/>
            <w:hideMark/>
          </w:tcPr>
          <w:p w14:paraId="60B7928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 </w:t>
            </w:r>
          </w:p>
        </w:tc>
        <w:tc>
          <w:tcPr>
            <w:tcW w:w="923" w:type="dxa"/>
            <w:tcBorders>
              <w:top w:val="single" w:sz="4" w:space="0" w:color="auto"/>
              <w:left w:val="nil"/>
              <w:bottom w:val="single" w:sz="4" w:space="0" w:color="auto"/>
              <w:right w:val="nil"/>
            </w:tcBorders>
            <w:shd w:val="clear" w:color="auto" w:fill="auto"/>
            <w:noWrap/>
            <w:vAlign w:val="bottom"/>
            <w:hideMark/>
          </w:tcPr>
          <w:p w14:paraId="7D7D8C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bl>
    <w:p w14:paraId="0956F8A8"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688DFE20"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38: Rating of the parent-teacher meeting/discussion about their child’s progress by island category</w:t>
      </w:r>
    </w:p>
    <w:tbl>
      <w:tblPr>
        <w:tblW w:w="5820" w:type="dxa"/>
        <w:tblInd w:w="93" w:type="dxa"/>
        <w:tblLook w:val="04A0" w:firstRow="1" w:lastRow="0" w:firstColumn="1" w:lastColumn="0" w:noHBand="0" w:noVBand="1"/>
      </w:tblPr>
      <w:tblGrid>
        <w:gridCol w:w="1270"/>
        <w:gridCol w:w="1384"/>
        <w:gridCol w:w="2067"/>
        <w:gridCol w:w="1099"/>
      </w:tblGrid>
      <w:tr w:rsidR="00AC362E" w:rsidRPr="00491EF1" w14:paraId="0B9EF737" w14:textId="77777777" w:rsidTr="00ED0631">
        <w:trPr>
          <w:trHeight w:val="315"/>
        </w:trPr>
        <w:tc>
          <w:tcPr>
            <w:tcW w:w="1270" w:type="dxa"/>
            <w:tcBorders>
              <w:top w:val="single" w:sz="4" w:space="0" w:color="auto"/>
              <w:left w:val="nil"/>
              <w:bottom w:val="single" w:sz="4" w:space="0" w:color="auto"/>
              <w:right w:val="nil"/>
            </w:tcBorders>
            <w:shd w:val="clear" w:color="auto" w:fill="auto"/>
            <w:noWrap/>
            <w:vAlign w:val="bottom"/>
            <w:hideMark/>
          </w:tcPr>
          <w:p w14:paraId="2A5AFB3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Rating</w:t>
            </w:r>
          </w:p>
        </w:tc>
        <w:tc>
          <w:tcPr>
            <w:tcW w:w="1384" w:type="dxa"/>
            <w:tcBorders>
              <w:top w:val="single" w:sz="4" w:space="0" w:color="auto"/>
              <w:left w:val="nil"/>
              <w:bottom w:val="single" w:sz="4" w:space="0" w:color="auto"/>
              <w:right w:val="nil"/>
            </w:tcBorders>
            <w:shd w:val="clear" w:color="auto" w:fill="auto"/>
            <w:noWrap/>
            <w:vAlign w:val="bottom"/>
            <w:hideMark/>
          </w:tcPr>
          <w:p w14:paraId="7F63AAB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Very valuable</w:t>
            </w:r>
          </w:p>
        </w:tc>
        <w:tc>
          <w:tcPr>
            <w:tcW w:w="2067" w:type="dxa"/>
            <w:tcBorders>
              <w:top w:val="single" w:sz="4" w:space="0" w:color="auto"/>
              <w:left w:val="nil"/>
              <w:bottom w:val="single" w:sz="4" w:space="0" w:color="auto"/>
              <w:right w:val="nil"/>
            </w:tcBorders>
            <w:shd w:val="clear" w:color="auto" w:fill="auto"/>
            <w:noWrap/>
            <w:vAlign w:val="bottom"/>
            <w:hideMark/>
          </w:tcPr>
          <w:p w14:paraId="2D9A25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Reasonably valuable</w:t>
            </w:r>
          </w:p>
        </w:tc>
        <w:tc>
          <w:tcPr>
            <w:tcW w:w="1099" w:type="dxa"/>
            <w:tcBorders>
              <w:top w:val="single" w:sz="4" w:space="0" w:color="auto"/>
              <w:left w:val="nil"/>
              <w:bottom w:val="single" w:sz="4" w:space="0" w:color="auto"/>
              <w:right w:val="nil"/>
            </w:tcBorders>
            <w:shd w:val="clear" w:color="auto" w:fill="auto"/>
            <w:noWrap/>
            <w:vAlign w:val="bottom"/>
            <w:hideMark/>
          </w:tcPr>
          <w:p w14:paraId="0D97979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Valuable</w:t>
            </w:r>
          </w:p>
        </w:tc>
      </w:tr>
      <w:tr w:rsidR="00AC362E" w:rsidRPr="00491EF1" w14:paraId="741171C5" w14:textId="77777777" w:rsidTr="00ED0631">
        <w:trPr>
          <w:trHeight w:val="315"/>
        </w:trPr>
        <w:tc>
          <w:tcPr>
            <w:tcW w:w="1270" w:type="dxa"/>
            <w:tcBorders>
              <w:top w:val="nil"/>
              <w:left w:val="nil"/>
              <w:bottom w:val="nil"/>
              <w:right w:val="nil"/>
            </w:tcBorders>
            <w:shd w:val="clear" w:color="auto" w:fill="auto"/>
            <w:noWrap/>
            <w:vAlign w:val="bottom"/>
            <w:hideMark/>
          </w:tcPr>
          <w:p w14:paraId="6C7EA2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84" w:type="dxa"/>
            <w:tcBorders>
              <w:top w:val="nil"/>
              <w:left w:val="nil"/>
              <w:bottom w:val="nil"/>
              <w:right w:val="nil"/>
            </w:tcBorders>
            <w:shd w:val="clear" w:color="auto" w:fill="auto"/>
            <w:noWrap/>
            <w:vAlign w:val="bottom"/>
            <w:hideMark/>
          </w:tcPr>
          <w:p w14:paraId="5129A7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15 </w:t>
            </w:r>
          </w:p>
        </w:tc>
        <w:tc>
          <w:tcPr>
            <w:tcW w:w="2067" w:type="dxa"/>
            <w:tcBorders>
              <w:top w:val="nil"/>
              <w:left w:val="nil"/>
              <w:bottom w:val="nil"/>
              <w:right w:val="nil"/>
            </w:tcBorders>
            <w:shd w:val="clear" w:color="auto" w:fill="auto"/>
            <w:noWrap/>
            <w:vAlign w:val="bottom"/>
            <w:hideMark/>
          </w:tcPr>
          <w:p w14:paraId="460BE86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099" w:type="dxa"/>
            <w:tcBorders>
              <w:top w:val="nil"/>
              <w:left w:val="nil"/>
              <w:bottom w:val="nil"/>
              <w:right w:val="nil"/>
            </w:tcBorders>
            <w:shd w:val="clear" w:color="auto" w:fill="auto"/>
            <w:noWrap/>
            <w:vAlign w:val="bottom"/>
            <w:hideMark/>
          </w:tcPr>
          <w:p w14:paraId="51DF06B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717FA19" w14:textId="77777777" w:rsidTr="00ED0631">
        <w:trPr>
          <w:trHeight w:val="315"/>
        </w:trPr>
        <w:tc>
          <w:tcPr>
            <w:tcW w:w="1270" w:type="dxa"/>
            <w:tcBorders>
              <w:top w:val="nil"/>
              <w:left w:val="nil"/>
              <w:bottom w:val="nil"/>
              <w:right w:val="nil"/>
            </w:tcBorders>
            <w:shd w:val="clear" w:color="auto" w:fill="auto"/>
            <w:noWrap/>
            <w:vAlign w:val="bottom"/>
            <w:hideMark/>
          </w:tcPr>
          <w:p w14:paraId="5C4683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84" w:type="dxa"/>
            <w:tcBorders>
              <w:top w:val="nil"/>
              <w:left w:val="nil"/>
              <w:bottom w:val="nil"/>
              <w:right w:val="nil"/>
            </w:tcBorders>
            <w:shd w:val="clear" w:color="auto" w:fill="auto"/>
            <w:noWrap/>
            <w:vAlign w:val="bottom"/>
            <w:hideMark/>
          </w:tcPr>
          <w:p w14:paraId="183D5A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2067" w:type="dxa"/>
            <w:tcBorders>
              <w:top w:val="nil"/>
              <w:left w:val="nil"/>
              <w:bottom w:val="nil"/>
              <w:right w:val="nil"/>
            </w:tcBorders>
            <w:shd w:val="clear" w:color="auto" w:fill="auto"/>
            <w:noWrap/>
            <w:vAlign w:val="bottom"/>
            <w:hideMark/>
          </w:tcPr>
          <w:p w14:paraId="04D7EA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099" w:type="dxa"/>
            <w:tcBorders>
              <w:top w:val="nil"/>
              <w:left w:val="nil"/>
              <w:bottom w:val="nil"/>
              <w:right w:val="nil"/>
            </w:tcBorders>
            <w:shd w:val="clear" w:color="auto" w:fill="auto"/>
            <w:noWrap/>
            <w:vAlign w:val="bottom"/>
            <w:hideMark/>
          </w:tcPr>
          <w:p w14:paraId="6A44A91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r w:rsidR="00AC362E" w:rsidRPr="00491EF1" w14:paraId="03140444" w14:textId="77777777" w:rsidTr="00ED0631">
        <w:trPr>
          <w:trHeight w:val="315"/>
        </w:trPr>
        <w:tc>
          <w:tcPr>
            <w:tcW w:w="1270" w:type="dxa"/>
            <w:tcBorders>
              <w:top w:val="nil"/>
              <w:left w:val="nil"/>
              <w:bottom w:val="nil"/>
              <w:right w:val="nil"/>
            </w:tcBorders>
            <w:shd w:val="clear" w:color="auto" w:fill="auto"/>
            <w:noWrap/>
            <w:vAlign w:val="bottom"/>
            <w:hideMark/>
          </w:tcPr>
          <w:p w14:paraId="1DE27F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84" w:type="dxa"/>
            <w:tcBorders>
              <w:top w:val="nil"/>
              <w:left w:val="nil"/>
              <w:bottom w:val="nil"/>
              <w:right w:val="nil"/>
            </w:tcBorders>
            <w:shd w:val="clear" w:color="auto" w:fill="auto"/>
            <w:noWrap/>
            <w:vAlign w:val="bottom"/>
            <w:hideMark/>
          </w:tcPr>
          <w:p w14:paraId="152F0EC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2067" w:type="dxa"/>
            <w:tcBorders>
              <w:top w:val="nil"/>
              <w:left w:val="nil"/>
              <w:bottom w:val="nil"/>
              <w:right w:val="nil"/>
            </w:tcBorders>
            <w:shd w:val="clear" w:color="auto" w:fill="auto"/>
            <w:noWrap/>
            <w:vAlign w:val="bottom"/>
            <w:hideMark/>
          </w:tcPr>
          <w:p w14:paraId="495596D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099" w:type="dxa"/>
            <w:tcBorders>
              <w:top w:val="nil"/>
              <w:left w:val="nil"/>
              <w:bottom w:val="nil"/>
              <w:right w:val="nil"/>
            </w:tcBorders>
            <w:shd w:val="clear" w:color="auto" w:fill="auto"/>
            <w:noWrap/>
            <w:vAlign w:val="bottom"/>
            <w:hideMark/>
          </w:tcPr>
          <w:p w14:paraId="7389A88C"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9788D32" w14:textId="77777777" w:rsidTr="00ED0631">
        <w:trPr>
          <w:trHeight w:val="315"/>
        </w:trPr>
        <w:tc>
          <w:tcPr>
            <w:tcW w:w="1270" w:type="dxa"/>
            <w:tcBorders>
              <w:top w:val="single" w:sz="4" w:space="0" w:color="auto"/>
              <w:left w:val="nil"/>
              <w:bottom w:val="single" w:sz="4" w:space="0" w:color="auto"/>
              <w:right w:val="nil"/>
            </w:tcBorders>
            <w:shd w:val="clear" w:color="auto" w:fill="auto"/>
            <w:noWrap/>
            <w:vAlign w:val="bottom"/>
            <w:hideMark/>
          </w:tcPr>
          <w:p w14:paraId="31F44C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84" w:type="dxa"/>
            <w:tcBorders>
              <w:top w:val="single" w:sz="4" w:space="0" w:color="auto"/>
              <w:left w:val="nil"/>
              <w:bottom w:val="single" w:sz="4" w:space="0" w:color="auto"/>
              <w:right w:val="nil"/>
            </w:tcBorders>
            <w:shd w:val="clear" w:color="auto" w:fill="auto"/>
            <w:noWrap/>
            <w:vAlign w:val="bottom"/>
            <w:hideMark/>
          </w:tcPr>
          <w:p w14:paraId="042742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27 </w:t>
            </w:r>
          </w:p>
        </w:tc>
        <w:tc>
          <w:tcPr>
            <w:tcW w:w="2067" w:type="dxa"/>
            <w:tcBorders>
              <w:top w:val="single" w:sz="4" w:space="0" w:color="auto"/>
              <w:left w:val="nil"/>
              <w:bottom w:val="single" w:sz="4" w:space="0" w:color="auto"/>
              <w:right w:val="nil"/>
            </w:tcBorders>
            <w:shd w:val="clear" w:color="auto" w:fill="auto"/>
            <w:noWrap/>
            <w:vAlign w:val="bottom"/>
            <w:hideMark/>
          </w:tcPr>
          <w:p w14:paraId="71314F0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099" w:type="dxa"/>
            <w:tcBorders>
              <w:top w:val="single" w:sz="4" w:space="0" w:color="auto"/>
              <w:left w:val="nil"/>
              <w:bottom w:val="single" w:sz="4" w:space="0" w:color="auto"/>
              <w:right w:val="nil"/>
            </w:tcBorders>
            <w:shd w:val="clear" w:color="auto" w:fill="auto"/>
            <w:noWrap/>
            <w:vAlign w:val="bottom"/>
            <w:hideMark/>
          </w:tcPr>
          <w:p w14:paraId="0BB27D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r>
    </w:tbl>
    <w:p w14:paraId="00CDA84F"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39: School leaders' estimate of the percent of boys that will meet learning outcomes by island</w:t>
      </w:r>
    </w:p>
    <w:tbl>
      <w:tblPr>
        <w:tblW w:w="6780" w:type="dxa"/>
        <w:tblInd w:w="93" w:type="dxa"/>
        <w:tblLook w:val="04A0" w:firstRow="1" w:lastRow="0" w:firstColumn="1" w:lastColumn="0" w:noHBand="0" w:noVBand="1"/>
      </w:tblPr>
      <w:tblGrid>
        <w:gridCol w:w="2073"/>
        <w:gridCol w:w="1177"/>
        <w:gridCol w:w="1177"/>
        <w:gridCol w:w="1160"/>
        <w:gridCol w:w="1193"/>
      </w:tblGrid>
      <w:tr w:rsidR="00AC362E" w:rsidRPr="00491EF1" w14:paraId="6959B09A" w14:textId="77777777" w:rsidTr="00ED0631">
        <w:trPr>
          <w:trHeight w:val="315"/>
        </w:trPr>
        <w:tc>
          <w:tcPr>
            <w:tcW w:w="2073" w:type="dxa"/>
            <w:tcBorders>
              <w:top w:val="single" w:sz="4" w:space="0" w:color="auto"/>
              <w:left w:val="nil"/>
              <w:bottom w:val="single" w:sz="4" w:space="0" w:color="auto"/>
              <w:right w:val="nil"/>
            </w:tcBorders>
            <w:shd w:val="clear" w:color="auto" w:fill="auto"/>
            <w:noWrap/>
            <w:vAlign w:val="bottom"/>
            <w:hideMark/>
          </w:tcPr>
          <w:p w14:paraId="6CBE9C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77" w:type="dxa"/>
            <w:tcBorders>
              <w:top w:val="single" w:sz="4" w:space="0" w:color="auto"/>
              <w:left w:val="nil"/>
              <w:bottom w:val="single" w:sz="4" w:space="0" w:color="auto"/>
              <w:right w:val="nil"/>
            </w:tcBorders>
            <w:shd w:val="clear" w:color="auto" w:fill="auto"/>
            <w:noWrap/>
            <w:vAlign w:val="bottom"/>
            <w:hideMark/>
          </w:tcPr>
          <w:p w14:paraId="6792C7A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&lt;50% </w:t>
            </w:r>
          </w:p>
        </w:tc>
        <w:tc>
          <w:tcPr>
            <w:tcW w:w="1177" w:type="dxa"/>
            <w:tcBorders>
              <w:top w:val="single" w:sz="4" w:space="0" w:color="auto"/>
              <w:left w:val="nil"/>
              <w:bottom w:val="single" w:sz="4" w:space="0" w:color="auto"/>
              <w:right w:val="nil"/>
            </w:tcBorders>
            <w:shd w:val="clear" w:color="auto" w:fill="auto"/>
            <w:noWrap/>
            <w:vAlign w:val="bottom"/>
            <w:hideMark/>
          </w:tcPr>
          <w:p w14:paraId="050253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51-60% </w:t>
            </w:r>
          </w:p>
        </w:tc>
        <w:tc>
          <w:tcPr>
            <w:tcW w:w="1160" w:type="dxa"/>
            <w:tcBorders>
              <w:top w:val="single" w:sz="4" w:space="0" w:color="auto"/>
              <w:left w:val="nil"/>
              <w:bottom w:val="single" w:sz="4" w:space="0" w:color="auto"/>
              <w:right w:val="nil"/>
            </w:tcBorders>
            <w:shd w:val="clear" w:color="auto" w:fill="auto"/>
            <w:noWrap/>
            <w:vAlign w:val="bottom"/>
            <w:hideMark/>
          </w:tcPr>
          <w:p w14:paraId="453F67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61-80% </w:t>
            </w:r>
          </w:p>
        </w:tc>
        <w:tc>
          <w:tcPr>
            <w:tcW w:w="1193" w:type="dxa"/>
            <w:tcBorders>
              <w:top w:val="single" w:sz="4" w:space="0" w:color="auto"/>
              <w:left w:val="nil"/>
              <w:bottom w:val="single" w:sz="4" w:space="0" w:color="auto"/>
              <w:right w:val="nil"/>
            </w:tcBorders>
            <w:shd w:val="clear" w:color="auto" w:fill="auto"/>
            <w:noWrap/>
            <w:vAlign w:val="bottom"/>
            <w:hideMark/>
          </w:tcPr>
          <w:p w14:paraId="2C6CE9F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81-100% </w:t>
            </w:r>
          </w:p>
        </w:tc>
      </w:tr>
      <w:tr w:rsidR="00AC362E" w:rsidRPr="00491EF1" w14:paraId="192BD6DD" w14:textId="77777777" w:rsidTr="00ED0631">
        <w:trPr>
          <w:trHeight w:val="315"/>
        </w:trPr>
        <w:tc>
          <w:tcPr>
            <w:tcW w:w="2073" w:type="dxa"/>
            <w:tcBorders>
              <w:top w:val="nil"/>
              <w:left w:val="nil"/>
              <w:bottom w:val="nil"/>
              <w:right w:val="nil"/>
            </w:tcBorders>
            <w:shd w:val="clear" w:color="auto" w:fill="auto"/>
            <w:noWrap/>
            <w:vAlign w:val="bottom"/>
            <w:hideMark/>
          </w:tcPr>
          <w:p w14:paraId="30D903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77" w:type="dxa"/>
            <w:tcBorders>
              <w:top w:val="nil"/>
              <w:left w:val="nil"/>
              <w:bottom w:val="nil"/>
              <w:right w:val="nil"/>
            </w:tcBorders>
            <w:shd w:val="clear" w:color="auto" w:fill="auto"/>
            <w:noWrap/>
            <w:vAlign w:val="bottom"/>
            <w:hideMark/>
          </w:tcPr>
          <w:p w14:paraId="106438C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177" w:type="dxa"/>
            <w:tcBorders>
              <w:top w:val="nil"/>
              <w:left w:val="nil"/>
              <w:bottom w:val="nil"/>
              <w:right w:val="nil"/>
            </w:tcBorders>
            <w:shd w:val="clear" w:color="auto" w:fill="auto"/>
            <w:noWrap/>
            <w:vAlign w:val="bottom"/>
            <w:hideMark/>
          </w:tcPr>
          <w:p w14:paraId="6FE2B9C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0" w:type="dxa"/>
            <w:tcBorders>
              <w:top w:val="nil"/>
              <w:left w:val="nil"/>
              <w:bottom w:val="nil"/>
              <w:right w:val="nil"/>
            </w:tcBorders>
            <w:shd w:val="clear" w:color="auto" w:fill="auto"/>
            <w:noWrap/>
            <w:vAlign w:val="bottom"/>
            <w:hideMark/>
          </w:tcPr>
          <w:p w14:paraId="67FEDE5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3" w:type="dxa"/>
            <w:tcBorders>
              <w:top w:val="nil"/>
              <w:left w:val="nil"/>
              <w:bottom w:val="nil"/>
              <w:right w:val="nil"/>
            </w:tcBorders>
            <w:shd w:val="clear" w:color="auto" w:fill="auto"/>
            <w:noWrap/>
            <w:vAlign w:val="bottom"/>
            <w:hideMark/>
          </w:tcPr>
          <w:p w14:paraId="37A3922F"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15C88B85" w14:textId="77777777" w:rsidTr="00ED0631">
        <w:trPr>
          <w:trHeight w:val="315"/>
        </w:trPr>
        <w:tc>
          <w:tcPr>
            <w:tcW w:w="2073" w:type="dxa"/>
            <w:tcBorders>
              <w:top w:val="nil"/>
              <w:left w:val="nil"/>
              <w:bottom w:val="nil"/>
              <w:right w:val="nil"/>
            </w:tcBorders>
            <w:shd w:val="clear" w:color="auto" w:fill="auto"/>
            <w:noWrap/>
            <w:vAlign w:val="bottom"/>
            <w:hideMark/>
          </w:tcPr>
          <w:p w14:paraId="41DEA2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77" w:type="dxa"/>
            <w:tcBorders>
              <w:top w:val="nil"/>
              <w:left w:val="nil"/>
              <w:bottom w:val="nil"/>
              <w:right w:val="nil"/>
            </w:tcBorders>
            <w:shd w:val="clear" w:color="auto" w:fill="auto"/>
            <w:noWrap/>
            <w:vAlign w:val="bottom"/>
            <w:hideMark/>
          </w:tcPr>
          <w:p w14:paraId="15011DB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77" w:type="dxa"/>
            <w:tcBorders>
              <w:top w:val="nil"/>
              <w:left w:val="nil"/>
              <w:bottom w:val="nil"/>
              <w:right w:val="nil"/>
            </w:tcBorders>
            <w:shd w:val="clear" w:color="auto" w:fill="auto"/>
            <w:noWrap/>
            <w:vAlign w:val="bottom"/>
            <w:hideMark/>
          </w:tcPr>
          <w:p w14:paraId="66DD251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60" w:type="dxa"/>
            <w:tcBorders>
              <w:top w:val="nil"/>
              <w:left w:val="nil"/>
              <w:bottom w:val="nil"/>
              <w:right w:val="nil"/>
            </w:tcBorders>
            <w:shd w:val="clear" w:color="auto" w:fill="auto"/>
            <w:noWrap/>
            <w:vAlign w:val="bottom"/>
            <w:hideMark/>
          </w:tcPr>
          <w:p w14:paraId="4CE474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93" w:type="dxa"/>
            <w:tcBorders>
              <w:top w:val="nil"/>
              <w:left w:val="nil"/>
              <w:bottom w:val="nil"/>
              <w:right w:val="nil"/>
            </w:tcBorders>
            <w:shd w:val="clear" w:color="auto" w:fill="auto"/>
            <w:noWrap/>
            <w:vAlign w:val="bottom"/>
            <w:hideMark/>
          </w:tcPr>
          <w:p w14:paraId="734E16A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4D48796" w14:textId="77777777" w:rsidTr="00ED0631">
        <w:trPr>
          <w:trHeight w:val="315"/>
        </w:trPr>
        <w:tc>
          <w:tcPr>
            <w:tcW w:w="2073" w:type="dxa"/>
            <w:tcBorders>
              <w:top w:val="nil"/>
              <w:left w:val="nil"/>
              <w:bottom w:val="nil"/>
              <w:right w:val="nil"/>
            </w:tcBorders>
            <w:shd w:val="clear" w:color="auto" w:fill="auto"/>
            <w:noWrap/>
            <w:vAlign w:val="bottom"/>
            <w:hideMark/>
          </w:tcPr>
          <w:p w14:paraId="499D284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77" w:type="dxa"/>
            <w:tcBorders>
              <w:top w:val="nil"/>
              <w:left w:val="nil"/>
              <w:bottom w:val="nil"/>
              <w:right w:val="nil"/>
            </w:tcBorders>
            <w:shd w:val="clear" w:color="auto" w:fill="auto"/>
            <w:noWrap/>
            <w:vAlign w:val="bottom"/>
            <w:hideMark/>
          </w:tcPr>
          <w:p w14:paraId="2D1F507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77" w:type="dxa"/>
            <w:tcBorders>
              <w:top w:val="nil"/>
              <w:left w:val="nil"/>
              <w:bottom w:val="nil"/>
              <w:right w:val="nil"/>
            </w:tcBorders>
            <w:shd w:val="clear" w:color="auto" w:fill="auto"/>
            <w:noWrap/>
            <w:vAlign w:val="bottom"/>
            <w:hideMark/>
          </w:tcPr>
          <w:p w14:paraId="255F885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0" w:type="dxa"/>
            <w:tcBorders>
              <w:top w:val="nil"/>
              <w:left w:val="nil"/>
              <w:bottom w:val="nil"/>
              <w:right w:val="nil"/>
            </w:tcBorders>
            <w:shd w:val="clear" w:color="auto" w:fill="auto"/>
            <w:noWrap/>
            <w:vAlign w:val="bottom"/>
            <w:hideMark/>
          </w:tcPr>
          <w:p w14:paraId="5CFDCBD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3" w:type="dxa"/>
            <w:tcBorders>
              <w:top w:val="nil"/>
              <w:left w:val="nil"/>
              <w:bottom w:val="nil"/>
              <w:right w:val="nil"/>
            </w:tcBorders>
            <w:shd w:val="clear" w:color="auto" w:fill="auto"/>
            <w:noWrap/>
            <w:vAlign w:val="bottom"/>
            <w:hideMark/>
          </w:tcPr>
          <w:p w14:paraId="0F81E25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045B56A" w14:textId="77777777" w:rsidTr="00ED0631">
        <w:trPr>
          <w:trHeight w:val="315"/>
        </w:trPr>
        <w:tc>
          <w:tcPr>
            <w:tcW w:w="2073" w:type="dxa"/>
            <w:tcBorders>
              <w:top w:val="nil"/>
              <w:left w:val="nil"/>
              <w:bottom w:val="nil"/>
              <w:right w:val="nil"/>
            </w:tcBorders>
            <w:shd w:val="clear" w:color="auto" w:fill="auto"/>
            <w:noWrap/>
            <w:vAlign w:val="bottom"/>
            <w:hideMark/>
          </w:tcPr>
          <w:p w14:paraId="68623B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77" w:type="dxa"/>
            <w:tcBorders>
              <w:top w:val="nil"/>
              <w:left w:val="nil"/>
              <w:bottom w:val="nil"/>
              <w:right w:val="nil"/>
            </w:tcBorders>
            <w:shd w:val="clear" w:color="auto" w:fill="auto"/>
            <w:noWrap/>
            <w:vAlign w:val="bottom"/>
            <w:hideMark/>
          </w:tcPr>
          <w:p w14:paraId="1B920F5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77" w:type="dxa"/>
            <w:tcBorders>
              <w:top w:val="nil"/>
              <w:left w:val="nil"/>
              <w:bottom w:val="nil"/>
              <w:right w:val="nil"/>
            </w:tcBorders>
            <w:shd w:val="clear" w:color="auto" w:fill="auto"/>
            <w:noWrap/>
            <w:vAlign w:val="bottom"/>
            <w:hideMark/>
          </w:tcPr>
          <w:p w14:paraId="4D646F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60" w:type="dxa"/>
            <w:tcBorders>
              <w:top w:val="nil"/>
              <w:left w:val="nil"/>
              <w:bottom w:val="nil"/>
              <w:right w:val="nil"/>
            </w:tcBorders>
            <w:shd w:val="clear" w:color="auto" w:fill="auto"/>
            <w:noWrap/>
            <w:vAlign w:val="bottom"/>
            <w:hideMark/>
          </w:tcPr>
          <w:p w14:paraId="2124BF5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3" w:type="dxa"/>
            <w:tcBorders>
              <w:top w:val="nil"/>
              <w:left w:val="nil"/>
              <w:bottom w:val="nil"/>
              <w:right w:val="nil"/>
            </w:tcBorders>
            <w:shd w:val="clear" w:color="auto" w:fill="auto"/>
            <w:noWrap/>
            <w:vAlign w:val="bottom"/>
            <w:hideMark/>
          </w:tcPr>
          <w:p w14:paraId="19CD33B7"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4D61B5B" w14:textId="77777777" w:rsidTr="00ED0631">
        <w:trPr>
          <w:trHeight w:val="315"/>
        </w:trPr>
        <w:tc>
          <w:tcPr>
            <w:tcW w:w="2073" w:type="dxa"/>
            <w:tcBorders>
              <w:top w:val="nil"/>
              <w:left w:val="nil"/>
              <w:bottom w:val="nil"/>
              <w:right w:val="nil"/>
            </w:tcBorders>
            <w:shd w:val="clear" w:color="auto" w:fill="auto"/>
            <w:noWrap/>
            <w:vAlign w:val="bottom"/>
            <w:hideMark/>
          </w:tcPr>
          <w:p w14:paraId="3D4D9D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77" w:type="dxa"/>
            <w:tcBorders>
              <w:top w:val="nil"/>
              <w:left w:val="nil"/>
              <w:bottom w:val="nil"/>
              <w:right w:val="nil"/>
            </w:tcBorders>
            <w:shd w:val="clear" w:color="auto" w:fill="auto"/>
            <w:noWrap/>
            <w:vAlign w:val="bottom"/>
            <w:hideMark/>
          </w:tcPr>
          <w:p w14:paraId="65A859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77" w:type="dxa"/>
            <w:tcBorders>
              <w:top w:val="nil"/>
              <w:left w:val="nil"/>
              <w:bottom w:val="nil"/>
              <w:right w:val="nil"/>
            </w:tcBorders>
            <w:shd w:val="clear" w:color="auto" w:fill="auto"/>
            <w:noWrap/>
            <w:vAlign w:val="bottom"/>
            <w:hideMark/>
          </w:tcPr>
          <w:p w14:paraId="06733D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60" w:type="dxa"/>
            <w:tcBorders>
              <w:top w:val="nil"/>
              <w:left w:val="nil"/>
              <w:bottom w:val="nil"/>
              <w:right w:val="nil"/>
            </w:tcBorders>
            <w:shd w:val="clear" w:color="auto" w:fill="auto"/>
            <w:noWrap/>
            <w:vAlign w:val="bottom"/>
            <w:hideMark/>
          </w:tcPr>
          <w:p w14:paraId="0E06F7D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3" w:type="dxa"/>
            <w:tcBorders>
              <w:top w:val="nil"/>
              <w:left w:val="nil"/>
              <w:bottom w:val="nil"/>
              <w:right w:val="nil"/>
            </w:tcBorders>
            <w:shd w:val="clear" w:color="auto" w:fill="auto"/>
            <w:noWrap/>
            <w:vAlign w:val="bottom"/>
            <w:hideMark/>
          </w:tcPr>
          <w:p w14:paraId="3C5E32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3F208E6E" w14:textId="77777777" w:rsidTr="00ED0631">
        <w:trPr>
          <w:trHeight w:val="315"/>
        </w:trPr>
        <w:tc>
          <w:tcPr>
            <w:tcW w:w="2073" w:type="dxa"/>
            <w:tcBorders>
              <w:top w:val="nil"/>
              <w:left w:val="nil"/>
              <w:bottom w:val="nil"/>
              <w:right w:val="nil"/>
            </w:tcBorders>
            <w:shd w:val="clear" w:color="auto" w:fill="auto"/>
            <w:noWrap/>
            <w:vAlign w:val="bottom"/>
            <w:hideMark/>
          </w:tcPr>
          <w:p w14:paraId="24E41B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77" w:type="dxa"/>
            <w:tcBorders>
              <w:top w:val="nil"/>
              <w:left w:val="nil"/>
              <w:bottom w:val="nil"/>
              <w:right w:val="nil"/>
            </w:tcBorders>
            <w:shd w:val="clear" w:color="auto" w:fill="auto"/>
            <w:noWrap/>
            <w:vAlign w:val="bottom"/>
            <w:hideMark/>
          </w:tcPr>
          <w:p w14:paraId="5E027B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77" w:type="dxa"/>
            <w:tcBorders>
              <w:top w:val="nil"/>
              <w:left w:val="nil"/>
              <w:bottom w:val="nil"/>
              <w:right w:val="nil"/>
            </w:tcBorders>
            <w:shd w:val="clear" w:color="auto" w:fill="auto"/>
            <w:noWrap/>
            <w:vAlign w:val="bottom"/>
            <w:hideMark/>
          </w:tcPr>
          <w:p w14:paraId="204E26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0" w:type="dxa"/>
            <w:tcBorders>
              <w:top w:val="nil"/>
              <w:left w:val="nil"/>
              <w:bottom w:val="nil"/>
              <w:right w:val="nil"/>
            </w:tcBorders>
            <w:shd w:val="clear" w:color="auto" w:fill="auto"/>
            <w:noWrap/>
            <w:vAlign w:val="bottom"/>
            <w:hideMark/>
          </w:tcPr>
          <w:p w14:paraId="713A54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93" w:type="dxa"/>
            <w:tcBorders>
              <w:top w:val="nil"/>
              <w:left w:val="nil"/>
              <w:bottom w:val="nil"/>
              <w:right w:val="nil"/>
            </w:tcBorders>
            <w:shd w:val="clear" w:color="auto" w:fill="auto"/>
            <w:noWrap/>
            <w:vAlign w:val="bottom"/>
            <w:hideMark/>
          </w:tcPr>
          <w:p w14:paraId="65C12E7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6733DC43" w14:textId="77777777" w:rsidTr="00ED0631">
        <w:trPr>
          <w:trHeight w:val="315"/>
        </w:trPr>
        <w:tc>
          <w:tcPr>
            <w:tcW w:w="2073" w:type="dxa"/>
            <w:tcBorders>
              <w:top w:val="nil"/>
              <w:left w:val="nil"/>
              <w:bottom w:val="nil"/>
              <w:right w:val="nil"/>
            </w:tcBorders>
            <w:shd w:val="clear" w:color="auto" w:fill="auto"/>
            <w:noWrap/>
            <w:vAlign w:val="bottom"/>
            <w:hideMark/>
          </w:tcPr>
          <w:p w14:paraId="5F04EDD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77" w:type="dxa"/>
            <w:tcBorders>
              <w:top w:val="nil"/>
              <w:left w:val="nil"/>
              <w:bottom w:val="nil"/>
              <w:right w:val="nil"/>
            </w:tcBorders>
            <w:shd w:val="clear" w:color="auto" w:fill="auto"/>
            <w:noWrap/>
            <w:vAlign w:val="bottom"/>
            <w:hideMark/>
          </w:tcPr>
          <w:p w14:paraId="5B2485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77" w:type="dxa"/>
            <w:tcBorders>
              <w:top w:val="nil"/>
              <w:left w:val="nil"/>
              <w:bottom w:val="nil"/>
              <w:right w:val="nil"/>
            </w:tcBorders>
            <w:shd w:val="clear" w:color="auto" w:fill="auto"/>
            <w:noWrap/>
            <w:vAlign w:val="bottom"/>
            <w:hideMark/>
          </w:tcPr>
          <w:p w14:paraId="232834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60" w:type="dxa"/>
            <w:tcBorders>
              <w:top w:val="nil"/>
              <w:left w:val="nil"/>
              <w:bottom w:val="nil"/>
              <w:right w:val="nil"/>
            </w:tcBorders>
            <w:shd w:val="clear" w:color="auto" w:fill="auto"/>
            <w:noWrap/>
            <w:vAlign w:val="bottom"/>
            <w:hideMark/>
          </w:tcPr>
          <w:p w14:paraId="588174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93" w:type="dxa"/>
            <w:tcBorders>
              <w:top w:val="nil"/>
              <w:left w:val="nil"/>
              <w:bottom w:val="nil"/>
              <w:right w:val="nil"/>
            </w:tcBorders>
            <w:shd w:val="clear" w:color="auto" w:fill="auto"/>
            <w:noWrap/>
            <w:vAlign w:val="bottom"/>
            <w:hideMark/>
          </w:tcPr>
          <w:p w14:paraId="794F030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0042E588" w14:textId="77777777" w:rsidTr="00ED0631">
        <w:trPr>
          <w:trHeight w:val="315"/>
        </w:trPr>
        <w:tc>
          <w:tcPr>
            <w:tcW w:w="2073" w:type="dxa"/>
            <w:tcBorders>
              <w:top w:val="nil"/>
              <w:left w:val="nil"/>
              <w:bottom w:val="nil"/>
              <w:right w:val="nil"/>
            </w:tcBorders>
            <w:shd w:val="clear" w:color="auto" w:fill="auto"/>
            <w:noWrap/>
            <w:vAlign w:val="bottom"/>
            <w:hideMark/>
          </w:tcPr>
          <w:p w14:paraId="4B95E3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77" w:type="dxa"/>
            <w:tcBorders>
              <w:top w:val="nil"/>
              <w:left w:val="nil"/>
              <w:bottom w:val="nil"/>
              <w:right w:val="nil"/>
            </w:tcBorders>
            <w:shd w:val="clear" w:color="auto" w:fill="auto"/>
            <w:noWrap/>
            <w:vAlign w:val="bottom"/>
            <w:hideMark/>
          </w:tcPr>
          <w:p w14:paraId="5045E5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77" w:type="dxa"/>
            <w:tcBorders>
              <w:top w:val="nil"/>
              <w:left w:val="nil"/>
              <w:bottom w:val="nil"/>
              <w:right w:val="nil"/>
            </w:tcBorders>
            <w:shd w:val="clear" w:color="auto" w:fill="auto"/>
            <w:noWrap/>
            <w:vAlign w:val="bottom"/>
            <w:hideMark/>
          </w:tcPr>
          <w:p w14:paraId="246FAE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0" w:type="dxa"/>
            <w:tcBorders>
              <w:top w:val="nil"/>
              <w:left w:val="nil"/>
              <w:bottom w:val="nil"/>
              <w:right w:val="nil"/>
            </w:tcBorders>
            <w:shd w:val="clear" w:color="auto" w:fill="auto"/>
            <w:noWrap/>
            <w:vAlign w:val="bottom"/>
            <w:hideMark/>
          </w:tcPr>
          <w:p w14:paraId="6B9110C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93" w:type="dxa"/>
            <w:tcBorders>
              <w:top w:val="nil"/>
              <w:left w:val="nil"/>
              <w:bottom w:val="nil"/>
              <w:right w:val="nil"/>
            </w:tcBorders>
            <w:shd w:val="clear" w:color="auto" w:fill="auto"/>
            <w:noWrap/>
            <w:vAlign w:val="bottom"/>
            <w:hideMark/>
          </w:tcPr>
          <w:p w14:paraId="373ED3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r w:rsidR="00AC362E" w:rsidRPr="00491EF1" w14:paraId="4D2BCEF1" w14:textId="77777777" w:rsidTr="00ED0631">
        <w:trPr>
          <w:trHeight w:val="315"/>
        </w:trPr>
        <w:tc>
          <w:tcPr>
            <w:tcW w:w="2073" w:type="dxa"/>
            <w:tcBorders>
              <w:top w:val="nil"/>
              <w:left w:val="nil"/>
              <w:bottom w:val="nil"/>
              <w:right w:val="nil"/>
            </w:tcBorders>
            <w:shd w:val="clear" w:color="auto" w:fill="auto"/>
            <w:noWrap/>
            <w:vAlign w:val="bottom"/>
            <w:hideMark/>
          </w:tcPr>
          <w:p w14:paraId="216C447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77" w:type="dxa"/>
            <w:tcBorders>
              <w:top w:val="nil"/>
              <w:left w:val="nil"/>
              <w:bottom w:val="nil"/>
              <w:right w:val="nil"/>
            </w:tcBorders>
            <w:shd w:val="clear" w:color="auto" w:fill="auto"/>
            <w:noWrap/>
            <w:vAlign w:val="bottom"/>
            <w:hideMark/>
          </w:tcPr>
          <w:p w14:paraId="518B23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1177" w:type="dxa"/>
            <w:tcBorders>
              <w:top w:val="nil"/>
              <w:left w:val="nil"/>
              <w:bottom w:val="nil"/>
              <w:right w:val="nil"/>
            </w:tcBorders>
            <w:shd w:val="clear" w:color="auto" w:fill="auto"/>
            <w:noWrap/>
            <w:vAlign w:val="bottom"/>
            <w:hideMark/>
          </w:tcPr>
          <w:p w14:paraId="61D377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0" w:type="dxa"/>
            <w:tcBorders>
              <w:top w:val="nil"/>
              <w:left w:val="nil"/>
              <w:bottom w:val="nil"/>
              <w:right w:val="nil"/>
            </w:tcBorders>
            <w:shd w:val="clear" w:color="auto" w:fill="auto"/>
            <w:noWrap/>
            <w:vAlign w:val="bottom"/>
            <w:hideMark/>
          </w:tcPr>
          <w:p w14:paraId="08A71C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93" w:type="dxa"/>
            <w:tcBorders>
              <w:top w:val="nil"/>
              <w:left w:val="nil"/>
              <w:bottom w:val="nil"/>
              <w:right w:val="nil"/>
            </w:tcBorders>
            <w:shd w:val="clear" w:color="auto" w:fill="auto"/>
            <w:noWrap/>
            <w:vAlign w:val="bottom"/>
            <w:hideMark/>
          </w:tcPr>
          <w:p w14:paraId="0DF6B93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3C810523" w14:textId="77777777" w:rsidTr="00ED0631">
        <w:trPr>
          <w:trHeight w:val="315"/>
        </w:trPr>
        <w:tc>
          <w:tcPr>
            <w:tcW w:w="2073" w:type="dxa"/>
            <w:tcBorders>
              <w:top w:val="single" w:sz="4" w:space="0" w:color="auto"/>
              <w:left w:val="nil"/>
              <w:bottom w:val="single" w:sz="4" w:space="0" w:color="auto"/>
              <w:right w:val="nil"/>
            </w:tcBorders>
            <w:shd w:val="clear" w:color="auto" w:fill="auto"/>
            <w:noWrap/>
            <w:vAlign w:val="bottom"/>
            <w:hideMark/>
          </w:tcPr>
          <w:p w14:paraId="24AEBF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77" w:type="dxa"/>
            <w:tcBorders>
              <w:top w:val="single" w:sz="4" w:space="0" w:color="auto"/>
              <w:left w:val="nil"/>
              <w:bottom w:val="single" w:sz="4" w:space="0" w:color="auto"/>
              <w:right w:val="nil"/>
            </w:tcBorders>
            <w:shd w:val="clear" w:color="auto" w:fill="auto"/>
            <w:noWrap/>
            <w:vAlign w:val="bottom"/>
            <w:hideMark/>
          </w:tcPr>
          <w:p w14:paraId="5EEAFF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 </w:t>
            </w:r>
          </w:p>
        </w:tc>
        <w:tc>
          <w:tcPr>
            <w:tcW w:w="1177" w:type="dxa"/>
            <w:tcBorders>
              <w:top w:val="single" w:sz="4" w:space="0" w:color="auto"/>
              <w:left w:val="nil"/>
              <w:bottom w:val="single" w:sz="4" w:space="0" w:color="auto"/>
              <w:right w:val="nil"/>
            </w:tcBorders>
            <w:shd w:val="clear" w:color="auto" w:fill="auto"/>
            <w:noWrap/>
            <w:vAlign w:val="bottom"/>
            <w:hideMark/>
          </w:tcPr>
          <w:p w14:paraId="785677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14 </w:t>
            </w:r>
          </w:p>
        </w:tc>
        <w:tc>
          <w:tcPr>
            <w:tcW w:w="1160" w:type="dxa"/>
            <w:tcBorders>
              <w:top w:val="single" w:sz="4" w:space="0" w:color="auto"/>
              <w:left w:val="nil"/>
              <w:bottom w:val="single" w:sz="4" w:space="0" w:color="auto"/>
              <w:right w:val="nil"/>
            </w:tcBorders>
            <w:shd w:val="clear" w:color="auto" w:fill="auto"/>
            <w:noWrap/>
            <w:vAlign w:val="bottom"/>
            <w:hideMark/>
          </w:tcPr>
          <w:p w14:paraId="282228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c>
          <w:tcPr>
            <w:tcW w:w="1193" w:type="dxa"/>
            <w:tcBorders>
              <w:top w:val="single" w:sz="4" w:space="0" w:color="auto"/>
              <w:left w:val="nil"/>
              <w:bottom w:val="single" w:sz="4" w:space="0" w:color="auto"/>
              <w:right w:val="nil"/>
            </w:tcBorders>
            <w:shd w:val="clear" w:color="auto" w:fill="auto"/>
            <w:noWrap/>
            <w:vAlign w:val="bottom"/>
            <w:hideMark/>
          </w:tcPr>
          <w:p w14:paraId="416E38A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r>
    </w:tbl>
    <w:p w14:paraId="3CAEE3B6"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40: School leaders' estimate of the percent of boys that will meet learning outcomes by island category</w:t>
      </w:r>
    </w:p>
    <w:tbl>
      <w:tblPr>
        <w:tblW w:w="7120" w:type="dxa"/>
        <w:tblInd w:w="93" w:type="dxa"/>
        <w:tblLook w:val="04A0" w:firstRow="1" w:lastRow="0" w:firstColumn="1" w:lastColumn="0" w:noHBand="0" w:noVBand="1"/>
      </w:tblPr>
      <w:tblGrid>
        <w:gridCol w:w="1588"/>
        <w:gridCol w:w="1391"/>
        <w:gridCol w:w="1391"/>
        <w:gridCol w:w="1375"/>
        <w:gridCol w:w="1375"/>
      </w:tblGrid>
      <w:tr w:rsidR="00AC362E" w:rsidRPr="00491EF1" w14:paraId="351EAB11" w14:textId="77777777" w:rsidTr="00ED0631">
        <w:trPr>
          <w:trHeight w:val="315"/>
        </w:trPr>
        <w:tc>
          <w:tcPr>
            <w:tcW w:w="1588" w:type="dxa"/>
            <w:tcBorders>
              <w:top w:val="single" w:sz="4" w:space="0" w:color="auto"/>
              <w:left w:val="nil"/>
              <w:bottom w:val="single" w:sz="4" w:space="0" w:color="auto"/>
              <w:right w:val="nil"/>
            </w:tcBorders>
            <w:shd w:val="clear" w:color="auto" w:fill="auto"/>
            <w:noWrap/>
            <w:vAlign w:val="bottom"/>
            <w:hideMark/>
          </w:tcPr>
          <w:p w14:paraId="1C6288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391" w:type="dxa"/>
            <w:tcBorders>
              <w:top w:val="single" w:sz="4" w:space="0" w:color="auto"/>
              <w:left w:val="nil"/>
              <w:bottom w:val="single" w:sz="4" w:space="0" w:color="auto"/>
              <w:right w:val="nil"/>
            </w:tcBorders>
            <w:shd w:val="clear" w:color="auto" w:fill="auto"/>
            <w:noWrap/>
            <w:vAlign w:val="bottom"/>
            <w:hideMark/>
          </w:tcPr>
          <w:p w14:paraId="0B157F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&lt;50% </w:t>
            </w:r>
          </w:p>
        </w:tc>
        <w:tc>
          <w:tcPr>
            <w:tcW w:w="1391" w:type="dxa"/>
            <w:tcBorders>
              <w:top w:val="single" w:sz="4" w:space="0" w:color="auto"/>
              <w:left w:val="nil"/>
              <w:bottom w:val="single" w:sz="4" w:space="0" w:color="auto"/>
              <w:right w:val="nil"/>
            </w:tcBorders>
            <w:shd w:val="clear" w:color="auto" w:fill="auto"/>
            <w:noWrap/>
            <w:vAlign w:val="bottom"/>
            <w:hideMark/>
          </w:tcPr>
          <w:p w14:paraId="52D84B8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51-60% </w:t>
            </w:r>
          </w:p>
        </w:tc>
        <w:tc>
          <w:tcPr>
            <w:tcW w:w="1375" w:type="dxa"/>
            <w:tcBorders>
              <w:top w:val="single" w:sz="4" w:space="0" w:color="auto"/>
              <w:left w:val="nil"/>
              <w:bottom w:val="single" w:sz="4" w:space="0" w:color="auto"/>
              <w:right w:val="nil"/>
            </w:tcBorders>
            <w:shd w:val="clear" w:color="auto" w:fill="auto"/>
            <w:noWrap/>
            <w:vAlign w:val="bottom"/>
            <w:hideMark/>
          </w:tcPr>
          <w:p w14:paraId="4ED77ED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61-80% </w:t>
            </w:r>
          </w:p>
        </w:tc>
        <w:tc>
          <w:tcPr>
            <w:tcW w:w="1375" w:type="dxa"/>
            <w:tcBorders>
              <w:top w:val="single" w:sz="4" w:space="0" w:color="auto"/>
              <w:left w:val="nil"/>
              <w:bottom w:val="single" w:sz="4" w:space="0" w:color="auto"/>
              <w:right w:val="nil"/>
            </w:tcBorders>
            <w:shd w:val="clear" w:color="auto" w:fill="auto"/>
            <w:noWrap/>
            <w:vAlign w:val="bottom"/>
            <w:hideMark/>
          </w:tcPr>
          <w:p w14:paraId="3C2A12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81-100% </w:t>
            </w:r>
          </w:p>
        </w:tc>
      </w:tr>
      <w:tr w:rsidR="00AC362E" w:rsidRPr="00491EF1" w14:paraId="1C602319" w14:textId="77777777" w:rsidTr="00ED0631">
        <w:trPr>
          <w:trHeight w:val="315"/>
        </w:trPr>
        <w:tc>
          <w:tcPr>
            <w:tcW w:w="1588" w:type="dxa"/>
            <w:tcBorders>
              <w:top w:val="nil"/>
              <w:left w:val="nil"/>
              <w:bottom w:val="nil"/>
              <w:right w:val="nil"/>
            </w:tcBorders>
            <w:shd w:val="clear" w:color="auto" w:fill="auto"/>
            <w:noWrap/>
            <w:vAlign w:val="bottom"/>
            <w:hideMark/>
          </w:tcPr>
          <w:p w14:paraId="7495780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91" w:type="dxa"/>
            <w:tcBorders>
              <w:top w:val="nil"/>
              <w:left w:val="nil"/>
              <w:bottom w:val="nil"/>
              <w:right w:val="nil"/>
            </w:tcBorders>
            <w:shd w:val="clear" w:color="auto" w:fill="auto"/>
            <w:noWrap/>
            <w:vAlign w:val="bottom"/>
            <w:hideMark/>
          </w:tcPr>
          <w:p w14:paraId="252B72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11 </w:t>
            </w:r>
          </w:p>
        </w:tc>
        <w:tc>
          <w:tcPr>
            <w:tcW w:w="1391" w:type="dxa"/>
            <w:tcBorders>
              <w:top w:val="nil"/>
              <w:left w:val="nil"/>
              <w:bottom w:val="nil"/>
              <w:right w:val="nil"/>
            </w:tcBorders>
            <w:shd w:val="clear" w:color="auto" w:fill="auto"/>
            <w:noWrap/>
            <w:vAlign w:val="bottom"/>
            <w:hideMark/>
          </w:tcPr>
          <w:p w14:paraId="0ED4620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 </w:t>
            </w:r>
          </w:p>
        </w:tc>
        <w:tc>
          <w:tcPr>
            <w:tcW w:w="1375" w:type="dxa"/>
            <w:tcBorders>
              <w:top w:val="nil"/>
              <w:left w:val="nil"/>
              <w:bottom w:val="nil"/>
              <w:right w:val="nil"/>
            </w:tcBorders>
            <w:shd w:val="clear" w:color="auto" w:fill="auto"/>
            <w:noWrap/>
            <w:vAlign w:val="bottom"/>
            <w:hideMark/>
          </w:tcPr>
          <w:p w14:paraId="04C0A1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75" w:type="dxa"/>
            <w:tcBorders>
              <w:top w:val="nil"/>
              <w:left w:val="nil"/>
              <w:bottom w:val="nil"/>
              <w:right w:val="nil"/>
            </w:tcBorders>
            <w:shd w:val="clear" w:color="auto" w:fill="auto"/>
            <w:noWrap/>
            <w:vAlign w:val="bottom"/>
            <w:hideMark/>
          </w:tcPr>
          <w:p w14:paraId="6CFF6204"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15B3755" w14:textId="77777777" w:rsidTr="00ED0631">
        <w:trPr>
          <w:trHeight w:val="315"/>
        </w:trPr>
        <w:tc>
          <w:tcPr>
            <w:tcW w:w="1588" w:type="dxa"/>
            <w:tcBorders>
              <w:top w:val="nil"/>
              <w:left w:val="nil"/>
              <w:bottom w:val="nil"/>
              <w:right w:val="nil"/>
            </w:tcBorders>
            <w:shd w:val="clear" w:color="auto" w:fill="auto"/>
            <w:noWrap/>
            <w:vAlign w:val="bottom"/>
            <w:hideMark/>
          </w:tcPr>
          <w:p w14:paraId="2F2F426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91" w:type="dxa"/>
            <w:tcBorders>
              <w:top w:val="nil"/>
              <w:left w:val="nil"/>
              <w:bottom w:val="nil"/>
              <w:right w:val="nil"/>
            </w:tcBorders>
            <w:shd w:val="clear" w:color="auto" w:fill="auto"/>
            <w:noWrap/>
            <w:vAlign w:val="bottom"/>
            <w:hideMark/>
          </w:tcPr>
          <w:p w14:paraId="431479A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91" w:type="dxa"/>
            <w:tcBorders>
              <w:top w:val="nil"/>
              <w:left w:val="nil"/>
              <w:bottom w:val="nil"/>
              <w:right w:val="nil"/>
            </w:tcBorders>
            <w:shd w:val="clear" w:color="auto" w:fill="auto"/>
            <w:noWrap/>
            <w:vAlign w:val="bottom"/>
            <w:hideMark/>
          </w:tcPr>
          <w:p w14:paraId="038D14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75" w:type="dxa"/>
            <w:tcBorders>
              <w:top w:val="nil"/>
              <w:left w:val="nil"/>
              <w:bottom w:val="nil"/>
              <w:right w:val="nil"/>
            </w:tcBorders>
            <w:shd w:val="clear" w:color="auto" w:fill="auto"/>
            <w:noWrap/>
            <w:vAlign w:val="bottom"/>
            <w:hideMark/>
          </w:tcPr>
          <w:p w14:paraId="5665C6B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75" w:type="dxa"/>
            <w:tcBorders>
              <w:top w:val="nil"/>
              <w:left w:val="nil"/>
              <w:bottom w:val="nil"/>
              <w:right w:val="nil"/>
            </w:tcBorders>
            <w:shd w:val="clear" w:color="auto" w:fill="auto"/>
            <w:noWrap/>
            <w:vAlign w:val="bottom"/>
            <w:hideMark/>
          </w:tcPr>
          <w:p w14:paraId="198513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r>
      <w:tr w:rsidR="00AC362E" w:rsidRPr="00491EF1" w14:paraId="2D8EF75A" w14:textId="77777777" w:rsidTr="00ED0631">
        <w:trPr>
          <w:trHeight w:val="315"/>
        </w:trPr>
        <w:tc>
          <w:tcPr>
            <w:tcW w:w="1588" w:type="dxa"/>
            <w:tcBorders>
              <w:top w:val="nil"/>
              <w:left w:val="nil"/>
              <w:bottom w:val="nil"/>
              <w:right w:val="nil"/>
            </w:tcBorders>
            <w:shd w:val="clear" w:color="auto" w:fill="auto"/>
            <w:noWrap/>
            <w:vAlign w:val="bottom"/>
            <w:hideMark/>
          </w:tcPr>
          <w:p w14:paraId="43667A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91" w:type="dxa"/>
            <w:tcBorders>
              <w:top w:val="nil"/>
              <w:left w:val="nil"/>
              <w:bottom w:val="nil"/>
              <w:right w:val="nil"/>
            </w:tcBorders>
            <w:shd w:val="clear" w:color="auto" w:fill="auto"/>
            <w:noWrap/>
            <w:vAlign w:val="bottom"/>
            <w:hideMark/>
          </w:tcPr>
          <w:p w14:paraId="4D75F9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391" w:type="dxa"/>
            <w:tcBorders>
              <w:top w:val="nil"/>
              <w:left w:val="nil"/>
              <w:bottom w:val="nil"/>
              <w:right w:val="nil"/>
            </w:tcBorders>
            <w:shd w:val="clear" w:color="auto" w:fill="auto"/>
            <w:noWrap/>
            <w:vAlign w:val="bottom"/>
            <w:hideMark/>
          </w:tcPr>
          <w:p w14:paraId="41F5943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5" w:type="dxa"/>
            <w:tcBorders>
              <w:top w:val="nil"/>
              <w:left w:val="nil"/>
              <w:bottom w:val="nil"/>
              <w:right w:val="nil"/>
            </w:tcBorders>
            <w:shd w:val="clear" w:color="auto" w:fill="auto"/>
            <w:noWrap/>
            <w:vAlign w:val="bottom"/>
            <w:hideMark/>
          </w:tcPr>
          <w:p w14:paraId="0544B5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5" w:type="dxa"/>
            <w:tcBorders>
              <w:top w:val="nil"/>
              <w:left w:val="nil"/>
              <w:bottom w:val="nil"/>
              <w:right w:val="nil"/>
            </w:tcBorders>
            <w:shd w:val="clear" w:color="auto" w:fill="auto"/>
            <w:noWrap/>
            <w:vAlign w:val="bottom"/>
            <w:hideMark/>
          </w:tcPr>
          <w:p w14:paraId="37ED81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r>
      <w:tr w:rsidR="00AC362E" w:rsidRPr="00491EF1" w14:paraId="0CEB7C7C" w14:textId="77777777" w:rsidTr="00ED0631">
        <w:trPr>
          <w:trHeight w:val="315"/>
        </w:trPr>
        <w:tc>
          <w:tcPr>
            <w:tcW w:w="1588" w:type="dxa"/>
            <w:tcBorders>
              <w:top w:val="single" w:sz="4" w:space="0" w:color="auto"/>
              <w:left w:val="nil"/>
              <w:bottom w:val="single" w:sz="4" w:space="0" w:color="auto"/>
              <w:right w:val="nil"/>
            </w:tcBorders>
            <w:shd w:val="clear" w:color="auto" w:fill="auto"/>
            <w:noWrap/>
            <w:vAlign w:val="bottom"/>
            <w:hideMark/>
          </w:tcPr>
          <w:p w14:paraId="60B413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91" w:type="dxa"/>
            <w:tcBorders>
              <w:top w:val="single" w:sz="4" w:space="0" w:color="auto"/>
              <w:left w:val="nil"/>
              <w:bottom w:val="single" w:sz="4" w:space="0" w:color="auto"/>
              <w:right w:val="nil"/>
            </w:tcBorders>
            <w:shd w:val="clear" w:color="auto" w:fill="auto"/>
            <w:noWrap/>
            <w:vAlign w:val="bottom"/>
            <w:hideMark/>
          </w:tcPr>
          <w:p w14:paraId="7756835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21 </w:t>
            </w:r>
          </w:p>
        </w:tc>
        <w:tc>
          <w:tcPr>
            <w:tcW w:w="1391" w:type="dxa"/>
            <w:tcBorders>
              <w:top w:val="single" w:sz="4" w:space="0" w:color="auto"/>
              <w:left w:val="nil"/>
              <w:bottom w:val="single" w:sz="4" w:space="0" w:color="auto"/>
              <w:right w:val="nil"/>
            </w:tcBorders>
            <w:shd w:val="clear" w:color="auto" w:fill="auto"/>
            <w:noWrap/>
            <w:vAlign w:val="bottom"/>
            <w:hideMark/>
          </w:tcPr>
          <w:p w14:paraId="4CF963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c>
          <w:tcPr>
            <w:tcW w:w="1375" w:type="dxa"/>
            <w:tcBorders>
              <w:top w:val="single" w:sz="4" w:space="0" w:color="auto"/>
              <w:left w:val="nil"/>
              <w:bottom w:val="single" w:sz="4" w:space="0" w:color="auto"/>
              <w:right w:val="nil"/>
            </w:tcBorders>
            <w:shd w:val="clear" w:color="auto" w:fill="auto"/>
            <w:noWrap/>
            <w:vAlign w:val="bottom"/>
            <w:hideMark/>
          </w:tcPr>
          <w:p w14:paraId="1677203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 </w:t>
            </w:r>
          </w:p>
        </w:tc>
        <w:tc>
          <w:tcPr>
            <w:tcW w:w="1375" w:type="dxa"/>
            <w:tcBorders>
              <w:top w:val="single" w:sz="4" w:space="0" w:color="auto"/>
              <w:left w:val="nil"/>
              <w:bottom w:val="single" w:sz="4" w:space="0" w:color="auto"/>
              <w:right w:val="nil"/>
            </w:tcBorders>
            <w:shd w:val="clear" w:color="auto" w:fill="auto"/>
            <w:noWrap/>
            <w:vAlign w:val="bottom"/>
            <w:hideMark/>
          </w:tcPr>
          <w:p w14:paraId="731BCF4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r>
    </w:tbl>
    <w:p w14:paraId="4113629C"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FBAD20A"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41: School leaders' estimate (average) of the percent of boys that will meet learning outcomes by island</w:t>
      </w:r>
    </w:p>
    <w:tbl>
      <w:tblPr>
        <w:tblW w:w="3420" w:type="dxa"/>
        <w:tblInd w:w="93" w:type="dxa"/>
        <w:tblLook w:val="04A0" w:firstRow="1" w:lastRow="0" w:firstColumn="1" w:lastColumn="0" w:noHBand="0" w:noVBand="1"/>
      </w:tblPr>
      <w:tblGrid>
        <w:gridCol w:w="2268"/>
        <w:gridCol w:w="1152"/>
      </w:tblGrid>
      <w:tr w:rsidR="00AC362E" w:rsidRPr="00491EF1" w14:paraId="49FC6378" w14:textId="77777777" w:rsidTr="00ED0631">
        <w:trPr>
          <w:trHeight w:val="315"/>
        </w:trPr>
        <w:tc>
          <w:tcPr>
            <w:tcW w:w="2268" w:type="dxa"/>
            <w:tcBorders>
              <w:top w:val="single" w:sz="4" w:space="0" w:color="auto"/>
              <w:left w:val="nil"/>
              <w:bottom w:val="single" w:sz="4" w:space="0" w:color="auto"/>
              <w:right w:val="nil"/>
            </w:tcBorders>
            <w:shd w:val="clear" w:color="auto" w:fill="auto"/>
            <w:noWrap/>
            <w:vAlign w:val="bottom"/>
            <w:hideMark/>
          </w:tcPr>
          <w:p w14:paraId="5D189B8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52" w:type="dxa"/>
            <w:tcBorders>
              <w:top w:val="single" w:sz="4" w:space="0" w:color="auto"/>
              <w:left w:val="nil"/>
              <w:bottom w:val="single" w:sz="4" w:space="0" w:color="auto"/>
              <w:right w:val="nil"/>
            </w:tcBorders>
            <w:shd w:val="clear" w:color="auto" w:fill="auto"/>
            <w:noWrap/>
            <w:vAlign w:val="bottom"/>
            <w:hideMark/>
          </w:tcPr>
          <w:p w14:paraId="141378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Average</w:t>
            </w:r>
          </w:p>
        </w:tc>
      </w:tr>
      <w:tr w:rsidR="00AC362E" w:rsidRPr="00491EF1" w14:paraId="001E7405" w14:textId="77777777" w:rsidTr="00ED0631">
        <w:trPr>
          <w:trHeight w:val="315"/>
        </w:trPr>
        <w:tc>
          <w:tcPr>
            <w:tcW w:w="2268" w:type="dxa"/>
            <w:tcBorders>
              <w:top w:val="nil"/>
              <w:left w:val="nil"/>
              <w:bottom w:val="nil"/>
              <w:right w:val="nil"/>
            </w:tcBorders>
            <w:shd w:val="clear" w:color="auto" w:fill="auto"/>
            <w:noWrap/>
            <w:vAlign w:val="bottom"/>
            <w:hideMark/>
          </w:tcPr>
          <w:p w14:paraId="7280BF7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52" w:type="dxa"/>
            <w:tcBorders>
              <w:top w:val="nil"/>
              <w:left w:val="nil"/>
              <w:bottom w:val="nil"/>
              <w:right w:val="nil"/>
            </w:tcBorders>
            <w:shd w:val="clear" w:color="auto" w:fill="auto"/>
            <w:noWrap/>
            <w:vAlign w:val="bottom"/>
            <w:hideMark/>
          </w:tcPr>
          <w:p w14:paraId="503E465E"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40%</w:t>
            </w:r>
          </w:p>
        </w:tc>
      </w:tr>
      <w:tr w:rsidR="00AC362E" w:rsidRPr="00491EF1" w14:paraId="2D5DE38B" w14:textId="77777777" w:rsidTr="00ED0631">
        <w:trPr>
          <w:trHeight w:val="315"/>
        </w:trPr>
        <w:tc>
          <w:tcPr>
            <w:tcW w:w="2268" w:type="dxa"/>
            <w:tcBorders>
              <w:top w:val="nil"/>
              <w:left w:val="nil"/>
              <w:bottom w:val="nil"/>
              <w:right w:val="nil"/>
            </w:tcBorders>
            <w:shd w:val="clear" w:color="auto" w:fill="auto"/>
            <w:noWrap/>
            <w:vAlign w:val="bottom"/>
            <w:hideMark/>
          </w:tcPr>
          <w:p w14:paraId="2B559E9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52" w:type="dxa"/>
            <w:tcBorders>
              <w:top w:val="nil"/>
              <w:left w:val="nil"/>
              <w:bottom w:val="nil"/>
              <w:right w:val="nil"/>
            </w:tcBorders>
            <w:shd w:val="clear" w:color="auto" w:fill="auto"/>
            <w:noWrap/>
            <w:vAlign w:val="bottom"/>
            <w:hideMark/>
          </w:tcPr>
          <w:p w14:paraId="0EB0BD61"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r>
      <w:tr w:rsidR="00AC362E" w:rsidRPr="00491EF1" w14:paraId="1EA99A4C" w14:textId="77777777" w:rsidTr="00ED0631">
        <w:trPr>
          <w:trHeight w:val="315"/>
        </w:trPr>
        <w:tc>
          <w:tcPr>
            <w:tcW w:w="2268" w:type="dxa"/>
            <w:tcBorders>
              <w:top w:val="nil"/>
              <w:left w:val="nil"/>
              <w:bottom w:val="nil"/>
              <w:right w:val="nil"/>
            </w:tcBorders>
            <w:shd w:val="clear" w:color="auto" w:fill="auto"/>
            <w:noWrap/>
            <w:vAlign w:val="bottom"/>
            <w:hideMark/>
          </w:tcPr>
          <w:p w14:paraId="05EF12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52" w:type="dxa"/>
            <w:tcBorders>
              <w:top w:val="nil"/>
              <w:left w:val="nil"/>
              <w:bottom w:val="nil"/>
              <w:right w:val="nil"/>
            </w:tcBorders>
            <w:shd w:val="clear" w:color="auto" w:fill="auto"/>
            <w:noWrap/>
            <w:vAlign w:val="bottom"/>
            <w:hideMark/>
          </w:tcPr>
          <w:p w14:paraId="3FB505BB"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45%</w:t>
            </w:r>
          </w:p>
        </w:tc>
      </w:tr>
      <w:tr w:rsidR="00AC362E" w:rsidRPr="00491EF1" w14:paraId="1F5C62B7" w14:textId="77777777" w:rsidTr="00ED0631">
        <w:trPr>
          <w:trHeight w:val="315"/>
        </w:trPr>
        <w:tc>
          <w:tcPr>
            <w:tcW w:w="2268" w:type="dxa"/>
            <w:tcBorders>
              <w:top w:val="nil"/>
              <w:left w:val="nil"/>
              <w:bottom w:val="nil"/>
              <w:right w:val="nil"/>
            </w:tcBorders>
            <w:shd w:val="clear" w:color="auto" w:fill="auto"/>
            <w:noWrap/>
            <w:vAlign w:val="bottom"/>
            <w:hideMark/>
          </w:tcPr>
          <w:p w14:paraId="6B91146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52" w:type="dxa"/>
            <w:tcBorders>
              <w:top w:val="nil"/>
              <w:left w:val="nil"/>
              <w:bottom w:val="nil"/>
              <w:right w:val="nil"/>
            </w:tcBorders>
            <w:shd w:val="clear" w:color="auto" w:fill="auto"/>
            <w:noWrap/>
            <w:vAlign w:val="bottom"/>
            <w:hideMark/>
          </w:tcPr>
          <w:p w14:paraId="37C86F23"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48%</w:t>
            </w:r>
          </w:p>
        </w:tc>
      </w:tr>
      <w:tr w:rsidR="00AC362E" w:rsidRPr="00491EF1" w14:paraId="6FDF4D72" w14:textId="77777777" w:rsidTr="00ED0631">
        <w:trPr>
          <w:trHeight w:val="315"/>
        </w:trPr>
        <w:tc>
          <w:tcPr>
            <w:tcW w:w="2268" w:type="dxa"/>
            <w:tcBorders>
              <w:top w:val="nil"/>
              <w:left w:val="nil"/>
              <w:bottom w:val="nil"/>
              <w:right w:val="nil"/>
            </w:tcBorders>
            <w:shd w:val="clear" w:color="auto" w:fill="auto"/>
            <w:noWrap/>
            <w:vAlign w:val="bottom"/>
            <w:hideMark/>
          </w:tcPr>
          <w:p w14:paraId="3643C7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52" w:type="dxa"/>
            <w:tcBorders>
              <w:top w:val="nil"/>
              <w:left w:val="nil"/>
              <w:bottom w:val="nil"/>
              <w:right w:val="nil"/>
            </w:tcBorders>
            <w:shd w:val="clear" w:color="auto" w:fill="auto"/>
            <w:noWrap/>
            <w:vAlign w:val="bottom"/>
            <w:hideMark/>
          </w:tcPr>
          <w:p w14:paraId="614A0644"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78%</w:t>
            </w:r>
          </w:p>
        </w:tc>
      </w:tr>
      <w:tr w:rsidR="00AC362E" w:rsidRPr="00491EF1" w14:paraId="207536C2" w14:textId="77777777" w:rsidTr="00ED0631">
        <w:trPr>
          <w:trHeight w:val="315"/>
        </w:trPr>
        <w:tc>
          <w:tcPr>
            <w:tcW w:w="2268" w:type="dxa"/>
            <w:tcBorders>
              <w:top w:val="nil"/>
              <w:left w:val="nil"/>
              <w:bottom w:val="nil"/>
              <w:right w:val="nil"/>
            </w:tcBorders>
            <w:shd w:val="clear" w:color="auto" w:fill="auto"/>
            <w:noWrap/>
            <w:vAlign w:val="bottom"/>
            <w:hideMark/>
          </w:tcPr>
          <w:p w14:paraId="64AAFA1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52" w:type="dxa"/>
            <w:tcBorders>
              <w:top w:val="nil"/>
              <w:left w:val="nil"/>
              <w:bottom w:val="nil"/>
              <w:right w:val="nil"/>
            </w:tcBorders>
            <w:shd w:val="clear" w:color="auto" w:fill="auto"/>
            <w:noWrap/>
            <w:vAlign w:val="bottom"/>
            <w:hideMark/>
          </w:tcPr>
          <w:p w14:paraId="0E48F89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58%</w:t>
            </w:r>
          </w:p>
        </w:tc>
      </w:tr>
      <w:tr w:rsidR="00AC362E" w:rsidRPr="00491EF1" w14:paraId="4505C048" w14:textId="77777777" w:rsidTr="00ED0631">
        <w:trPr>
          <w:trHeight w:val="315"/>
        </w:trPr>
        <w:tc>
          <w:tcPr>
            <w:tcW w:w="2268" w:type="dxa"/>
            <w:tcBorders>
              <w:top w:val="nil"/>
              <w:left w:val="nil"/>
              <w:bottom w:val="nil"/>
              <w:right w:val="nil"/>
            </w:tcBorders>
            <w:shd w:val="clear" w:color="auto" w:fill="auto"/>
            <w:noWrap/>
            <w:vAlign w:val="bottom"/>
            <w:hideMark/>
          </w:tcPr>
          <w:p w14:paraId="4BC2870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52" w:type="dxa"/>
            <w:tcBorders>
              <w:top w:val="nil"/>
              <w:left w:val="nil"/>
              <w:bottom w:val="nil"/>
              <w:right w:val="nil"/>
            </w:tcBorders>
            <w:shd w:val="clear" w:color="auto" w:fill="auto"/>
            <w:noWrap/>
            <w:vAlign w:val="bottom"/>
            <w:hideMark/>
          </w:tcPr>
          <w:p w14:paraId="00C29CCB"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52%</w:t>
            </w:r>
          </w:p>
        </w:tc>
      </w:tr>
      <w:tr w:rsidR="00AC362E" w:rsidRPr="00491EF1" w14:paraId="023BCA54" w14:textId="77777777" w:rsidTr="00ED0631">
        <w:trPr>
          <w:trHeight w:val="315"/>
        </w:trPr>
        <w:tc>
          <w:tcPr>
            <w:tcW w:w="2268" w:type="dxa"/>
            <w:tcBorders>
              <w:top w:val="nil"/>
              <w:left w:val="nil"/>
              <w:bottom w:val="nil"/>
              <w:right w:val="nil"/>
            </w:tcBorders>
            <w:shd w:val="clear" w:color="auto" w:fill="auto"/>
            <w:noWrap/>
            <w:vAlign w:val="bottom"/>
            <w:hideMark/>
          </w:tcPr>
          <w:p w14:paraId="08AE6E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52" w:type="dxa"/>
            <w:tcBorders>
              <w:top w:val="nil"/>
              <w:left w:val="nil"/>
              <w:bottom w:val="nil"/>
              <w:right w:val="nil"/>
            </w:tcBorders>
            <w:shd w:val="clear" w:color="auto" w:fill="auto"/>
            <w:noWrap/>
            <w:vAlign w:val="bottom"/>
            <w:hideMark/>
          </w:tcPr>
          <w:p w14:paraId="26C8D90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69%</w:t>
            </w:r>
          </w:p>
        </w:tc>
      </w:tr>
      <w:tr w:rsidR="00AC362E" w:rsidRPr="00491EF1" w14:paraId="636A68B8" w14:textId="77777777" w:rsidTr="00ED0631">
        <w:trPr>
          <w:trHeight w:val="315"/>
        </w:trPr>
        <w:tc>
          <w:tcPr>
            <w:tcW w:w="2268" w:type="dxa"/>
            <w:tcBorders>
              <w:top w:val="nil"/>
              <w:left w:val="nil"/>
              <w:bottom w:val="nil"/>
              <w:right w:val="nil"/>
            </w:tcBorders>
            <w:shd w:val="clear" w:color="auto" w:fill="auto"/>
            <w:noWrap/>
            <w:vAlign w:val="bottom"/>
            <w:hideMark/>
          </w:tcPr>
          <w:p w14:paraId="4ACD9C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52" w:type="dxa"/>
            <w:tcBorders>
              <w:top w:val="nil"/>
              <w:left w:val="nil"/>
              <w:bottom w:val="nil"/>
              <w:right w:val="nil"/>
            </w:tcBorders>
            <w:shd w:val="clear" w:color="auto" w:fill="auto"/>
            <w:noWrap/>
            <w:vAlign w:val="bottom"/>
            <w:hideMark/>
          </w:tcPr>
          <w:p w14:paraId="4CFEBB7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50%</w:t>
            </w:r>
          </w:p>
        </w:tc>
      </w:tr>
      <w:tr w:rsidR="00AC362E" w:rsidRPr="00491EF1" w14:paraId="07575196" w14:textId="77777777" w:rsidTr="00ED0631">
        <w:trPr>
          <w:trHeight w:val="315"/>
        </w:trPr>
        <w:tc>
          <w:tcPr>
            <w:tcW w:w="2268" w:type="dxa"/>
            <w:tcBorders>
              <w:top w:val="single" w:sz="4" w:space="0" w:color="auto"/>
              <w:left w:val="nil"/>
              <w:bottom w:val="single" w:sz="4" w:space="0" w:color="auto"/>
              <w:right w:val="nil"/>
            </w:tcBorders>
            <w:shd w:val="clear" w:color="auto" w:fill="auto"/>
            <w:noWrap/>
            <w:vAlign w:val="bottom"/>
            <w:hideMark/>
          </w:tcPr>
          <w:p w14:paraId="044046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52" w:type="dxa"/>
            <w:tcBorders>
              <w:top w:val="single" w:sz="4" w:space="0" w:color="auto"/>
              <w:left w:val="nil"/>
              <w:bottom w:val="single" w:sz="4" w:space="0" w:color="auto"/>
              <w:right w:val="nil"/>
            </w:tcBorders>
            <w:shd w:val="clear" w:color="auto" w:fill="auto"/>
            <w:noWrap/>
            <w:vAlign w:val="bottom"/>
            <w:hideMark/>
          </w:tcPr>
          <w:p w14:paraId="30D570DB"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56%</w:t>
            </w:r>
          </w:p>
        </w:tc>
      </w:tr>
    </w:tbl>
    <w:p w14:paraId="3BE19AAB"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42: School leaders' estimate (average) of the percent of boys that will meet learning outcomes by island category</w:t>
      </w:r>
    </w:p>
    <w:tbl>
      <w:tblPr>
        <w:tblW w:w="3220" w:type="dxa"/>
        <w:tblInd w:w="93" w:type="dxa"/>
        <w:tblLook w:val="04A0" w:firstRow="1" w:lastRow="0" w:firstColumn="1" w:lastColumn="0" w:noHBand="0" w:noVBand="1"/>
      </w:tblPr>
      <w:tblGrid>
        <w:gridCol w:w="1932"/>
        <w:gridCol w:w="1288"/>
      </w:tblGrid>
      <w:tr w:rsidR="00AC362E" w:rsidRPr="00491EF1" w14:paraId="0FDDC1A3" w14:textId="77777777" w:rsidTr="00ED0631">
        <w:trPr>
          <w:trHeight w:val="315"/>
        </w:trPr>
        <w:tc>
          <w:tcPr>
            <w:tcW w:w="1932" w:type="dxa"/>
            <w:tcBorders>
              <w:top w:val="single" w:sz="4" w:space="0" w:color="auto"/>
              <w:left w:val="nil"/>
              <w:bottom w:val="single" w:sz="4" w:space="0" w:color="auto"/>
              <w:right w:val="nil"/>
            </w:tcBorders>
            <w:shd w:val="clear" w:color="auto" w:fill="auto"/>
            <w:noWrap/>
            <w:vAlign w:val="bottom"/>
            <w:hideMark/>
          </w:tcPr>
          <w:p w14:paraId="58F76E4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288" w:type="dxa"/>
            <w:tcBorders>
              <w:top w:val="single" w:sz="4" w:space="0" w:color="auto"/>
              <w:left w:val="nil"/>
              <w:bottom w:val="single" w:sz="4" w:space="0" w:color="auto"/>
              <w:right w:val="nil"/>
            </w:tcBorders>
            <w:shd w:val="clear" w:color="auto" w:fill="auto"/>
            <w:noWrap/>
            <w:vAlign w:val="bottom"/>
            <w:hideMark/>
          </w:tcPr>
          <w:p w14:paraId="274EAA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Average</w:t>
            </w:r>
          </w:p>
        </w:tc>
      </w:tr>
      <w:tr w:rsidR="00AC362E" w:rsidRPr="00491EF1" w14:paraId="0949A9DA" w14:textId="77777777" w:rsidTr="00ED0631">
        <w:trPr>
          <w:trHeight w:val="315"/>
        </w:trPr>
        <w:tc>
          <w:tcPr>
            <w:tcW w:w="1932" w:type="dxa"/>
            <w:tcBorders>
              <w:top w:val="nil"/>
              <w:left w:val="nil"/>
              <w:bottom w:val="nil"/>
              <w:right w:val="nil"/>
            </w:tcBorders>
            <w:shd w:val="clear" w:color="auto" w:fill="auto"/>
            <w:noWrap/>
            <w:vAlign w:val="bottom"/>
            <w:hideMark/>
          </w:tcPr>
          <w:p w14:paraId="495A3D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88" w:type="dxa"/>
            <w:tcBorders>
              <w:top w:val="nil"/>
              <w:left w:val="nil"/>
              <w:bottom w:val="nil"/>
              <w:right w:val="nil"/>
            </w:tcBorders>
            <w:shd w:val="clear" w:color="auto" w:fill="auto"/>
            <w:noWrap/>
            <w:vAlign w:val="bottom"/>
            <w:hideMark/>
          </w:tcPr>
          <w:p w14:paraId="25FD80F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51%</w:t>
            </w:r>
          </w:p>
        </w:tc>
      </w:tr>
      <w:tr w:rsidR="00AC362E" w:rsidRPr="00491EF1" w14:paraId="6A830DDE" w14:textId="77777777" w:rsidTr="00ED0631">
        <w:trPr>
          <w:trHeight w:val="315"/>
        </w:trPr>
        <w:tc>
          <w:tcPr>
            <w:tcW w:w="1932" w:type="dxa"/>
            <w:tcBorders>
              <w:top w:val="nil"/>
              <w:left w:val="nil"/>
              <w:bottom w:val="nil"/>
              <w:right w:val="nil"/>
            </w:tcBorders>
            <w:shd w:val="clear" w:color="auto" w:fill="auto"/>
            <w:noWrap/>
            <w:vAlign w:val="bottom"/>
            <w:hideMark/>
          </w:tcPr>
          <w:p w14:paraId="6A05B80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88" w:type="dxa"/>
            <w:tcBorders>
              <w:top w:val="nil"/>
              <w:left w:val="nil"/>
              <w:bottom w:val="nil"/>
              <w:right w:val="nil"/>
            </w:tcBorders>
            <w:shd w:val="clear" w:color="auto" w:fill="auto"/>
            <w:noWrap/>
            <w:vAlign w:val="bottom"/>
            <w:hideMark/>
          </w:tcPr>
          <w:p w14:paraId="7872E333"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69%</w:t>
            </w:r>
          </w:p>
        </w:tc>
      </w:tr>
      <w:tr w:rsidR="00AC362E" w:rsidRPr="00491EF1" w14:paraId="71EEBC85" w14:textId="77777777" w:rsidTr="00ED0631">
        <w:trPr>
          <w:trHeight w:val="315"/>
        </w:trPr>
        <w:tc>
          <w:tcPr>
            <w:tcW w:w="1932" w:type="dxa"/>
            <w:tcBorders>
              <w:top w:val="nil"/>
              <w:left w:val="nil"/>
              <w:bottom w:val="nil"/>
              <w:right w:val="nil"/>
            </w:tcBorders>
            <w:shd w:val="clear" w:color="auto" w:fill="auto"/>
            <w:noWrap/>
            <w:vAlign w:val="bottom"/>
            <w:hideMark/>
          </w:tcPr>
          <w:p w14:paraId="40B7DE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88" w:type="dxa"/>
            <w:tcBorders>
              <w:top w:val="nil"/>
              <w:left w:val="nil"/>
              <w:bottom w:val="nil"/>
              <w:right w:val="nil"/>
            </w:tcBorders>
            <w:shd w:val="clear" w:color="auto" w:fill="auto"/>
            <w:noWrap/>
            <w:vAlign w:val="bottom"/>
            <w:hideMark/>
          </w:tcPr>
          <w:p w14:paraId="68E69BAA"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50%</w:t>
            </w:r>
          </w:p>
        </w:tc>
      </w:tr>
      <w:tr w:rsidR="00AC362E" w:rsidRPr="00491EF1" w14:paraId="241D56D3" w14:textId="77777777" w:rsidTr="00ED0631">
        <w:trPr>
          <w:trHeight w:val="315"/>
        </w:trPr>
        <w:tc>
          <w:tcPr>
            <w:tcW w:w="1932" w:type="dxa"/>
            <w:tcBorders>
              <w:top w:val="single" w:sz="4" w:space="0" w:color="auto"/>
              <w:left w:val="nil"/>
              <w:bottom w:val="single" w:sz="4" w:space="0" w:color="auto"/>
              <w:right w:val="nil"/>
            </w:tcBorders>
            <w:shd w:val="clear" w:color="auto" w:fill="auto"/>
            <w:noWrap/>
            <w:vAlign w:val="bottom"/>
            <w:hideMark/>
          </w:tcPr>
          <w:p w14:paraId="6EC32C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88" w:type="dxa"/>
            <w:tcBorders>
              <w:top w:val="single" w:sz="4" w:space="0" w:color="auto"/>
              <w:left w:val="nil"/>
              <w:bottom w:val="single" w:sz="4" w:space="0" w:color="auto"/>
              <w:right w:val="nil"/>
            </w:tcBorders>
            <w:shd w:val="clear" w:color="auto" w:fill="auto"/>
            <w:noWrap/>
            <w:vAlign w:val="bottom"/>
            <w:hideMark/>
          </w:tcPr>
          <w:p w14:paraId="508F4A2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56%</w:t>
            </w:r>
          </w:p>
        </w:tc>
      </w:tr>
    </w:tbl>
    <w:p w14:paraId="1498922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43: School leaders' estimate of the percent of girls that will meet learning outcomes by island</w:t>
      </w:r>
    </w:p>
    <w:tbl>
      <w:tblPr>
        <w:tblW w:w="7900" w:type="dxa"/>
        <w:tblInd w:w="93" w:type="dxa"/>
        <w:tblLook w:val="04A0" w:firstRow="1" w:lastRow="0" w:firstColumn="1" w:lastColumn="0" w:noHBand="0" w:noVBand="1"/>
      </w:tblPr>
      <w:tblGrid>
        <w:gridCol w:w="2059"/>
        <w:gridCol w:w="1152"/>
        <w:gridCol w:w="1168"/>
        <w:gridCol w:w="1168"/>
        <w:gridCol w:w="1185"/>
        <w:gridCol w:w="1168"/>
      </w:tblGrid>
      <w:tr w:rsidR="00AC362E" w:rsidRPr="00491EF1" w14:paraId="6661BC50" w14:textId="77777777" w:rsidTr="00ED0631">
        <w:trPr>
          <w:trHeight w:val="315"/>
        </w:trPr>
        <w:tc>
          <w:tcPr>
            <w:tcW w:w="2059" w:type="dxa"/>
            <w:tcBorders>
              <w:top w:val="single" w:sz="4" w:space="0" w:color="auto"/>
              <w:left w:val="nil"/>
              <w:bottom w:val="single" w:sz="4" w:space="0" w:color="auto"/>
              <w:right w:val="nil"/>
            </w:tcBorders>
            <w:shd w:val="clear" w:color="auto" w:fill="auto"/>
            <w:noWrap/>
            <w:vAlign w:val="bottom"/>
            <w:hideMark/>
          </w:tcPr>
          <w:p w14:paraId="3C2BB0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52" w:type="dxa"/>
            <w:tcBorders>
              <w:top w:val="single" w:sz="4" w:space="0" w:color="auto"/>
              <w:left w:val="nil"/>
              <w:bottom w:val="single" w:sz="4" w:space="0" w:color="auto"/>
              <w:right w:val="nil"/>
            </w:tcBorders>
            <w:shd w:val="clear" w:color="auto" w:fill="auto"/>
            <w:noWrap/>
            <w:vAlign w:val="bottom"/>
            <w:hideMark/>
          </w:tcPr>
          <w:p w14:paraId="73123ED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&lt;50% </w:t>
            </w:r>
          </w:p>
        </w:tc>
        <w:tc>
          <w:tcPr>
            <w:tcW w:w="1168" w:type="dxa"/>
            <w:tcBorders>
              <w:top w:val="single" w:sz="4" w:space="0" w:color="auto"/>
              <w:left w:val="nil"/>
              <w:bottom w:val="single" w:sz="4" w:space="0" w:color="auto"/>
              <w:right w:val="nil"/>
            </w:tcBorders>
            <w:shd w:val="clear" w:color="auto" w:fill="auto"/>
            <w:noWrap/>
            <w:vAlign w:val="bottom"/>
            <w:hideMark/>
          </w:tcPr>
          <w:p w14:paraId="1E0149B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51-60% </w:t>
            </w:r>
          </w:p>
        </w:tc>
        <w:tc>
          <w:tcPr>
            <w:tcW w:w="1168" w:type="dxa"/>
            <w:tcBorders>
              <w:top w:val="single" w:sz="4" w:space="0" w:color="auto"/>
              <w:left w:val="nil"/>
              <w:bottom w:val="single" w:sz="4" w:space="0" w:color="auto"/>
              <w:right w:val="nil"/>
            </w:tcBorders>
            <w:shd w:val="clear" w:color="auto" w:fill="auto"/>
            <w:noWrap/>
            <w:vAlign w:val="bottom"/>
            <w:hideMark/>
          </w:tcPr>
          <w:p w14:paraId="3275F7A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61-80% </w:t>
            </w:r>
          </w:p>
        </w:tc>
        <w:tc>
          <w:tcPr>
            <w:tcW w:w="1185" w:type="dxa"/>
            <w:tcBorders>
              <w:top w:val="single" w:sz="4" w:space="0" w:color="auto"/>
              <w:left w:val="nil"/>
              <w:bottom w:val="single" w:sz="4" w:space="0" w:color="auto"/>
              <w:right w:val="nil"/>
            </w:tcBorders>
            <w:shd w:val="clear" w:color="auto" w:fill="auto"/>
            <w:noWrap/>
            <w:vAlign w:val="bottom"/>
            <w:hideMark/>
          </w:tcPr>
          <w:p w14:paraId="72AB8D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81-100% </w:t>
            </w:r>
          </w:p>
        </w:tc>
        <w:tc>
          <w:tcPr>
            <w:tcW w:w="1168" w:type="dxa"/>
            <w:tcBorders>
              <w:top w:val="single" w:sz="4" w:space="0" w:color="auto"/>
              <w:left w:val="nil"/>
              <w:bottom w:val="single" w:sz="4" w:space="0" w:color="auto"/>
              <w:right w:val="nil"/>
            </w:tcBorders>
            <w:shd w:val="clear" w:color="auto" w:fill="auto"/>
            <w:noWrap/>
            <w:vAlign w:val="bottom"/>
            <w:hideMark/>
          </w:tcPr>
          <w:p w14:paraId="3A6F998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r>
      <w:tr w:rsidR="00AC362E" w:rsidRPr="00491EF1" w14:paraId="1C4F1054" w14:textId="77777777" w:rsidTr="00ED0631">
        <w:trPr>
          <w:trHeight w:val="315"/>
        </w:trPr>
        <w:tc>
          <w:tcPr>
            <w:tcW w:w="2059" w:type="dxa"/>
            <w:tcBorders>
              <w:top w:val="nil"/>
              <w:left w:val="nil"/>
              <w:bottom w:val="nil"/>
              <w:right w:val="nil"/>
            </w:tcBorders>
            <w:shd w:val="clear" w:color="auto" w:fill="auto"/>
            <w:noWrap/>
            <w:vAlign w:val="bottom"/>
            <w:hideMark/>
          </w:tcPr>
          <w:p w14:paraId="4E8234F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52" w:type="dxa"/>
            <w:tcBorders>
              <w:top w:val="nil"/>
              <w:left w:val="nil"/>
              <w:bottom w:val="nil"/>
              <w:right w:val="nil"/>
            </w:tcBorders>
            <w:shd w:val="clear" w:color="auto" w:fill="auto"/>
            <w:noWrap/>
            <w:vAlign w:val="bottom"/>
            <w:hideMark/>
          </w:tcPr>
          <w:p w14:paraId="74368A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6B692E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68" w:type="dxa"/>
            <w:tcBorders>
              <w:top w:val="nil"/>
              <w:left w:val="nil"/>
              <w:bottom w:val="nil"/>
              <w:right w:val="nil"/>
            </w:tcBorders>
            <w:shd w:val="clear" w:color="auto" w:fill="auto"/>
            <w:noWrap/>
            <w:vAlign w:val="bottom"/>
            <w:hideMark/>
          </w:tcPr>
          <w:p w14:paraId="3D38E3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85" w:type="dxa"/>
            <w:tcBorders>
              <w:top w:val="nil"/>
              <w:left w:val="nil"/>
              <w:bottom w:val="nil"/>
              <w:right w:val="nil"/>
            </w:tcBorders>
            <w:shd w:val="clear" w:color="auto" w:fill="auto"/>
            <w:noWrap/>
            <w:vAlign w:val="bottom"/>
            <w:hideMark/>
          </w:tcPr>
          <w:p w14:paraId="4A6E3E08"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024E98F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r>
      <w:tr w:rsidR="00AC362E" w:rsidRPr="00491EF1" w14:paraId="0B6DF40C" w14:textId="77777777" w:rsidTr="00ED0631">
        <w:trPr>
          <w:trHeight w:val="315"/>
        </w:trPr>
        <w:tc>
          <w:tcPr>
            <w:tcW w:w="2059" w:type="dxa"/>
            <w:tcBorders>
              <w:top w:val="nil"/>
              <w:left w:val="nil"/>
              <w:bottom w:val="nil"/>
              <w:right w:val="nil"/>
            </w:tcBorders>
            <w:shd w:val="clear" w:color="auto" w:fill="auto"/>
            <w:noWrap/>
            <w:vAlign w:val="bottom"/>
            <w:hideMark/>
          </w:tcPr>
          <w:p w14:paraId="20321C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52" w:type="dxa"/>
            <w:tcBorders>
              <w:top w:val="nil"/>
              <w:left w:val="nil"/>
              <w:bottom w:val="nil"/>
              <w:right w:val="nil"/>
            </w:tcBorders>
            <w:shd w:val="clear" w:color="auto" w:fill="auto"/>
            <w:noWrap/>
            <w:vAlign w:val="bottom"/>
            <w:hideMark/>
          </w:tcPr>
          <w:p w14:paraId="3D86692A"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687D41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68" w:type="dxa"/>
            <w:tcBorders>
              <w:top w:val="nil"/>
              <w:left w:val="nil"/>
              <w:bottom w:val="nil"/>
              <w:right w:val="nil"/>
            </w:tcBorders>
            <w:shd w:val="clear" w:color="auto" w:fill="auto"/>
            <w:noWrap/>
            <w:vAlign w:val="bottom"/>
            <w:hideMark/>
          </w:tcPr>
          <w:p w14:paraId="2848C18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185" w:type="dxa"/>
            <w:tcBorders>
              <w:top w:val="nil"/>
              <w:left w:val="nil"/>
              <w:bottom w:val="nil"/>
              <w:right w:val="nil"/>
            </w:tcBorders>
            <w:shd w:val="clear" w:color="auto" w:fill="auto"/>
            <w:noWrap/>
            <w:vAlign w:val="bottom"/>
            <w:hideMark/>
          </w:tcPr>
          <w:p w14:paraId="0A3407F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09227E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r>
      <w:tr w:rsidR="00AC362E" w:rsidRPr="00491EF1" w14:paraId="322C1DDF" w14:textId="77777777" w:rsidTr="00ED0631">
        <w:trPr>
          <w:trHeight w:val="315"/>
        </w:trPr>
        <w:tc>
          <w:tcPr>
            <w:tcW w:w="2059" w:type="dxa"/>
            <w:tcBorders>
              <w:top w:val="nil"/>
              <w:left w:val="nil"/>
              <w:bottom w:val="nil"/>
              <w:right w:val="nil"/>
            </w:tcBorders>
            <w:shd w:val="clear" w:color="auto" w:fill="auto"/>
            <w:noWrap/>
            <w:vAlign w:val="bottom"/>
            <w:hideMark/>
          </w:tcPr>
          <w:p w14:paraId="14381E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52" w:type="dxa"/>
            <w:tcBorders>
              <w:top w:val="nil"/>
              <w:left w:val="nil"/>
              <w:bottom w:val="nil"/>
              <w:right w:val="nil"/>
            </w:tcBorders>
            <w:shd w:val="clear" w:color="auto" w:fill="auto"/>
            <w:noWrap/>
            <w:vAlign w:val="bottom"/>
            <w:hideMark/>
          </w:tcPr>
          <w:p w14:paraId="480303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3699F73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4BAE21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85" w:type="dxa"/>
            <w:tcBorders>
              <w:top w:val="nil"/>
              <w:left w:val="nil"/>
              <w:bottom w:val="nil"/>
              <w:right w:val="nil"/>
            </w:tcBorders>
            <w:shd w:val="clear" w:color="auto" w:fill="auto"/>
            <w:noWrap/>
            <w:vAlign w:val="bottom"/>
            <w:hideMark/>
          </w:tcPr>
          <w:p w14:paraId="723C4CAF"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0E56C76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279F320F" w14:textId="77777777" w:rsidTr="00ED0631">
        <w:trPr>
          <w:trHeight w:val="315"/>
        </w:trPr>
        <w:tc>
          <w:tcPr>
            <w:tcW w:w="2059" w:type="dxa"/>
            <w:tcBorders>
              <w:top w:val="nil"/>
              <w:left w:val="nil"/>
              <w:bottom w:val="nil"/>
              <w:right w:val="nil"/>
            </w:tcBorders>
            <w:shd w:val="clear" w:color="auto" w:fill="auto"/>
            <w:noWrap/>
            <w:vAlign w:val="bottom"/>
            <w:hideMark/>
          </w:tcPr>
          <w:p w14:paraId="6182C5F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52" w:type="dxa"/>
            <w:tcBorders>
              <w:top w:val="nil"/>
              <w:left w:val="nil"/>
              <w:bottom w:val="nil"/>
              <w:right w:val="nil"/>
            </w:tcBorders>
            <w:shd w:val="clear" w:color="auto" w:fill="auto"/>
            <w:noWrap/>
            <w:vAlign w:val="bottom"/>
            <w:hideMark/>
          </w:tcPr>
          <w:p w14:paraId="70F2237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1446B08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76EEAB90"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85" w:type="dxa"/>
            <w:tcBorders>
              <w:top w:val="nil"/>
              <w:left w:val="nil"/>
              <w:bottom w:val="nil"/>
              <w:right w:val="nil"/>
            </w:tcBorders>
            <w:shd w:val="clear" w:color="auto" w:fill="auto"/>
            <w:noWrap/>
            <w:vAlign w:val="bottom"/>
            <w:hideMark/>
          </w:tcPr>
          <w:p w14:paraId="3D38BDE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68" w:type="dxa"/>
            <w:tcBorders>
              <w:top w:val="nil"/>
              <w:left w:val="nil"/>
              <w:bottom w:val="nil"/>
              <w:right w:val="nil"/>
            </w:tcBorders>
            <w:shd w:val="clear" w:color="auto" w:fill="auto"/>
            <w:noWrap/>
            <w:vAlign w:val="bottom"/>
            <w:hideMark/>
          </w:tcPr>
          <w:p w14:paraId="44DB2EC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r>
      <w:tr w:rsidR="00AC362E" w:rsidRPr="00491EF1" w14:paraId="24222DCF" w14:textId="77777777" w:rsidTr="00ED0631">
        <w:trPr>
          <w:trHeight w:val="315"/>
        </w:trPr>
        <w:tc>
          <w:tcPr>
            <w:tcW w:w="2059" w:type="dxa"/>
            <w:tcBorders>
              <w:top w:val="nil"/>
              <w:left w:val="nil"/>
              <w:bottom w:val="nil"/>
              <w:right w:val="nil"/>
            </w:tcBorders>
            <w:shd w:val="clear" w:color="auto" w:fill="auto"/>
            <w:noWrap/>
            <w:vAlign w:val="bottom"/>
            <w:hideMark/>
          </w:tcPr>
          <w:p w14:paraId="21503D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52" w:type="dxa"/>
            <w:tcBorders>
              <w:top w:val="nil"/>
              <w:left w:val="nil"/>
              <w:bottom w:val="nil"/>
              <w:right w:val="nil"/>
            </w:tcBorders>
            <w:shd w:val="clear" w:color="auto" w:fill="auto"/>
            <w:noWrap/>
            <w:vAlign w:val="bottom"/>
            <w:hideMark/>
          </w:tcPr>
          <w:p w14:paraId="1E468A29"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132F18F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10DCAB6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85" w:type="dxa"/>
            <w:tcBorders>
              <w:top w:val="nil"/>
              <w:left w:val="nil"/>
              <w:bottom w:val="nil"/>
              <w:right w:val="nil"/>
            </w:tcBorders>
            <w:shd w:val="clear" w:color="auto" w:fill="auto"/>
            <w:noWrap/>
            <w:vAlign w:val="bottom"/>
            <w:hideMark/>
          </w:tcPr>
          <w:p w14:paraId="7CA907D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168" w:type="dxa"/>
            <w:tcBorders>
              <w:top w:val="nil"/>
              <w:left w:val="nil"/>
              <w:bottom w:val="nil"/>
              <w:right w:val="nil"/>
            </w:tcBorders>
            <w:shd w:val="clear" w:color="auto" w:fill="auto"/>
            <w:noWrap/>
            <w:vAlign w:val="bottom"/>
            <w:hideMark/>
          </w:tcPr>
          <w:p w14:paraId="7B9F2A2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r>
      <w:tr w:rsidR="00AC362E" w:rsidRPr="00491EF1" w14:paraId="3E7679AE" w14:textId="77777777" w:rsidTr="00ED0631">
        <w:trPr>
          <w:trHeight w:val="315"/>
        </w:trPr>
        <w:tc>
          <w:tcPr>
            <w:tcW w:w="2059" w:type="dxa"/>
            <w:tcBorders>
              <w:top w:val="nil"/>
              <w:left w:val="nil"/>
              <w:bottom w:val="nil"/>
              <w:right w:val="nil"/>
            </w:tcBorders>
            <w:shd w:val="clear" w:color="auto" w:fill="auto"/>
            <w:noWrap/>
            <w:vAlign w:val="bottom"/>
            <w:hideMark/>
          </w:tcPr>
          <w:p w14:paraId="4E4424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52" w:type="dxa"/>
            <w:tcBorders>
              <w:top w:val="nil"/>
              <w:left w:val="nil"/>
              <w:bottom w:val="nil"/>
              <w:right w:val="nil"/>
            </w:tcBorders>
            <w:shd w:val="clear" w:color="auto" w:fill="auto"/>
            <w:noWrap/>
            <w:vAlign w:val="bottom"/>
            <w:hideMark/>
          </w:tcPr>
          <w:p w14:paraId="2746CA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61D00AB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0537EFE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85" w:type="dxa"/>
            <w:tcBorders>
              <w:top w:val="nil"/>
              <w:left w:val="nil"/>
              <w:bottom w:val="nil"/>
              <w:right w:val="nil"/>
            </w:tcBorders>
            <w:shd w:val="clear" w:color="auto" w:fill="auto"/>
            <w:noWrap/>
            <w:vAlign w:val="bottom"/>
            <w:hideMark/>
          </w:tcPr>
          <w:p w14:paraId="4DFAB666"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2634463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18098818" w14:textId="77777777" w:rsidTr="00ED0631">
        <w:trPr>
          <w:trHeight w:val="315"/>
        </w:trPr>
        <w:tc>
          <w:tcPr>
            <w:tcW w:w="2059" w:type="dxa"/>
            <w:tcBorders>
              <w:top w:val="nil"/>
              <w:left w:val="nil"/>
              <w:bottom w:val="nil"/>
              <w:right w:val="nil"/>
            </w:tcBorders>
            <w:shd w:val="clear" w:color="auto" w:fill="auto"/>
            <w:noWrap/>
            <w:vAlign w:val="bottom"/>
            <w:hideMark/>
          </w:tcPr>
          <w:p w14:paraId="6226EF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52" w:type="dxa"/>
            <w:tcBorders>
              <w:top w:val="nil"/>
              <w:left w:val="nil"/>
              <w:bottom w:val="nil"/>
              <w:right w:val="nil"/>
            </w:tcBorders>
            <w:shd w:val="clear" w:color="auto" w:fill="auto"/>
            <w:noWrap/>
            <w:vAlign w:val="bottom"/>
            <w:hideMark/>
          </w:tcPr>
          <w:p w14:paraId="0ACEA67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34D527D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7066C35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185" w:type="dxa"/>
            <w:tcBorders>
              <w:top w:val="nil"/>
              <w:left w:val="nil"/>
              <w:bottom w:val="nil"/>
              <w:right w:val="nil"/>
            </w:tcBorders>
            <w:shd w:val="clear" w:color="auto" w:fill="auto"/>
            <w:noWrap/>
            <w:vAlign w:val="bottom"/>
            <w:hideMark/>
          </w:tcPr>
          <w:p w14:paraId="3161B9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0D1920B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6 </w:t>
            </w:r>
          </w:p>
        </w:tc>
      </w:tr>
      <w:tr w:rsidR="00AC362E" w:rsidRPr="00491EF1" w14:paraId="65F1BD1C" w14:textId="77777777" w:rsidTr="00ED0631">
        <w:trPr>
          <w:trHeight w:val="315"/>
        </w:trPr>
        <w:tc>
          <w:tcPr>
            <w:tcW w:w="2059" w:type="dxa"/>
            <w:tcBorders>
              <w:top w:val="nil"/>
              <w:left w:val="nil"/>
              <w:bottom w:val="nil"/>
              <w:right w:val="nil"/>
            </w:tcBorders>
            <w:shd w:val="clear" w:color="auto" w:fill="auto"/>
            <w:noWrap/>
            <w:vAlign w:val="bottom"/>
            <w:hideMark/>
          </w:tcPr>
          <w:p w14:paraId="40B6B23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52" w:type="dxa"/>
            <w:tcBorders>
              <w:top w:val="nil"/>
              <w:left w:val="nil"/>
              <w:bottom w:val="nil"/>
              <w:right w:val="nil"/>
            </w:tcBorders>
            <w:shd w:val="clear" w:color="auto" w:fill="auto"/>
            <w:noWrap/>
            <w:vAlign w:val="bottom"/>
            <w:hideMark/>
          </w:tcPr>
          <w:p w14:paraId="3BE0F73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168" w:type="dxa"/>
            <w:tcBorders>
              <w:top w:val="nil"/>
              <w:left w:val="nil"/>
              <w:bottom w:val="nil"/>
              <w:right w:val="nil"/>
            </w:tcBorders>
            <w:shd w:val="clear" w:color="auto" w:fill="auto"/>
            <w:noWrap/>
            <w:vAlign w:val="bottom"/>
            <w:hideMark/>
          </w:tcPr>
          <w:p w14:paraId="407830F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5DFBAB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185" w:type="dxa"/>
            <w:tcBorders>
              <w:top w:val="nil"/>
              <w:left w:val="nil"/>
              <w:bottom w:val="nil"/>
              <w:right w:val="nil"/>
            </w:tcBorders>
            <w:shd w:val="clear" w:color="auto" w:fill="auto"/>
            <w:noWrap/>
            <w:vAlign w:val="bottom"/>
            <w:hideMark/>
          </w:tcPr>
          <w:p w14:paraId="1AE7A9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446EB3B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r>
      <w:tr w:rsidR="00AC362E" w:rsidRPr="00491EF1" w14:paraId="2E64A0D6" w14:textId="77777777" w:rsidTr="00ED0631">
        <w:trPr>
          <w:trHeight w:val="315"/>
        </w:trPr>
        <w:tc>
          <w:tcPr>
            <w:tcW w:w="2059" w:type="dxa"/>
            <w:tcBorders>
              <w:top w:val="nil"/>
              <w:left w:val="nil"/>
              <w:bottom w:val="nil"/>
              <w:right w:val="nil"/>
            </w:tcBorders>
            <w:shd w:val="clear" w:color="auto" w:fill="auto"/>
            <w:noWrap/>
            <w:vAlign w:val="bottom"/>
            <w:hideMark/>
          </w:tcPr>
          <w:p w14:paraId="05F0D38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52" w:type="dxa"/>
            <w:tcBorders>
              <w:top w:val="nil"/>
              <w:left w:val="nil"/>
              <w:bottom w:val="nil"/>
              <w:right w:val="nil"/>
            </w:tcBorders>
            <w:shd w:val="clear" w:color="auto" w:fill="auto"/>
            <w:noWrap/>
            <w:vAlign w:val="bottom"/>
            <w:hideMark/>
          </w:tcPr>
          <w:p w14:paraId="02EEF12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23A53C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7 </w:t>
            </w:r>
          </w:p>
        </w:tc>
        <w:tc>
          <w:tcPr>
            <w:tcW w:w="1168" w:type="dxa"/>
            <w:tcBorders>
              <w:top w:val="nil"/>
              <w:left w:val="nil"/>
              <w:bottom w:val="nil"/>
              <w:right w:val="nil"/>
            </w:tcBorders>
            <w:shd w:val="clear" w:color="auto" w:fill="auto"/>
            <w:noWrap/>
            <w:vAlign w:val="bottom"/>
            <w:hideMark/>
          </w:tcPr>
          <w:p w14:paraId="15179F3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85" w:type="dxa"/>
            <w:tcBorders>
              <w:top w:val="nil"/>
              <w:left w:val="nil"/>
              <w:bottom w:val="nil"/>
              <w:right w:val="nil"/>
            </w:tcBorders>
            <w:shd w:val="clear" w:color="auto" w:fill="auto"/>
            <w:noWrap/>
            <w:vAlign w:val="bottom"/>
            <w:hideMark/>
          </w:tcPr>
          <w:p w14:paraId="4642C95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168" w:type="dxa"/>
            <w:tcBorders>
              <w:top w:val="nil"/>
              <w:left w:val="nil"/>
              <w:bottom w:val="nil"/>
              <w:right w:val="nil"/>
            </w:tcBorders>
            <w:shd w:val="clear" w:color="auto" w:fill="auto"/>
            <w:noWrap/>
            <w:vAlign w:val="bottom"/>
            <w:hideMark/>
          </w:tcPr>
          <w:p w14:paraId="0B32940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10 </w:t>
            </w:r>
          </w:p>
        </w:tc>
      </w:tr>
      <w:tr w:rsidR="00AC362E" w:rsidRPr="00491EF1" w14:paraId="49D97DF7" w14:textId="77777777" w:rsidTr="00ED0631">
        <w:trPr>
          <w:trHeight w:val="315"/>
        </w:trPr>
        <w:tc>
          <w:tcPr>
            <w:tcW w:w="2059" w:type="dxa"/>
            <w:tcBorders>
              <w:top w:val="single" w:sz="4" w:space="0" w:color="auto"/>
              <w:left w:val="nil"/>
              <w:bottom w:val="single" w:sz="4" w:space="0" w:color="auto"/>
              <w:right w:val="nil"/>
            </w:tcBorders>
            <w:shd w:val="clear" w:color="auto" w:fill="auto"/>
            <w:noWrap/>
            <w:vAlign w:val="bottom"/>
            <w:hideMark/>
          </w:tcPr>
          <w:p w14:paraId="657B0D9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52" w:type="dxa"/>
            <w:tcBorders>
              <w:top w:val="single" w:sz="4" w:space="0" w:color="auto"/>
              <w:left w:val="nil"/>
              <w:bottom w:val="single" w:sz="4" w:space="0" w:color="auto"/>
              <w:right w:val="nil"/>
            </w:tcBorders>
            <w:shd w:val="clear" w:color="auto" w:fill="auto"/>
            <w:noWrap/>
            <w:vAlign w:val="bottom"/>
            <w:hideMark/>
          </w:tcPr>
          <w:p w14:paraId="3CC5C1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168" w:type="dxa"/>
            <w:tcBorders>
              <w:top w:val="single" w:sz="4" w:space="0" w:color="auto"/>
              <w:left w:val="nil"/>
              <w:bottom w:val="single" w:sz="4" w:space="0" w:color="auto"/>
              <w:right w:val="nil"/>
            </w:tcBorders>
            <w:shd w:val="clear" w:color="auto" w:fill="auto"/>
            <w:noWrap/>
            <w:vAlign w:val="bottom"/>
            <w:hideMark/>
          </w:tcPr>
          <w:p w14:paraId="0995D0E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 </w:t>
            </w:r>
          </w:p>
        </w:tc>
        <w:tc>
          <w:tcPr>
            <w:tcW w:w="1168" w:type="dxa"/>
            <w:tcBorders>
              <w:top w:val="single" w:sz="4" w:space="0" w:color="auto"/>
              <w:left w:val="nil"/>
              <w:bottom w:val="single" w:sz="4" w:space="0" w:color="auto"/>
              <w:right w:val="nil"/>
            </w:tcBorders>
            <w:shd w:val="clear" w:color="auto" w:fill="auto"/>
            <w:noWrap/>
            <w:vAlign w:val="bottom"/>
            <w:hideMark/>
          </w:tcPr>
          <w:p w14:paraId="537C52F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17 </w:t>
            </w:r>
          </w:p>
        </w:tc>
        <w:tc>
          <w:tcPr>
            <w:tcW w:w="1185" w:type="dxa"/>
            <w:tcBorders>
              <w:top w:val="single" w:sz="4" w:space="0" w:color="auto"/>
              <w:left w:val="nil"/>
              <w:bottom w:val="single" w:sz="4" w:space="0" w:color="auto"/>
              <w:right w:val="nil"/>
            </w:tcBorders>
            <w:shd w:val="clear" w:color="auto" w:fill="auto"/>
            <w:noWrap/>
            <w:vAlign w:val="bottom"/>
            <w:hideMark/>
          </w:tcPr>
          <w:p w14:paraId="63886D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9 </w:t>
            </w:r>
          </w:p>
        </w:tc>
        <w:tc>
          <w:tcPr>
            <w:tcW w:w="1168" w:type="dxa"/>
            <w:tcBorders>
              <w:top w:val="single" w:sz="4" w:space="0" w:color="auto"/>
              <w:left w:val="nil"/>
              <w:bottom w:val="single" w:sz="4" w:space="0" w:color="auto"/>
              <w:right w:val="nil"/>
            </w:tcBorders>
            <w:shd w:val="clear" w:color="auto" w:fill="auto"/>
            <w:noWrap/>
            <w:vAlign w:val="bottom"/>
            <w:hideMark/>
          </w:tcPr>
          <w:p w14:paraId="03D6286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48 </w:t>
            </w:r>
          </w:p>
        </w:tc>
      </w:tr>
    </w:tbl>
    <w:p w14:paraId="37C2588E"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35CC01A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44: School leaders' estimate of the percent of girls that will meet learning outcomes by island category</w:t>
      </w:r>
    </w:p>
    <w:tbl>
      <w:tblPr>
        <w:tblW w:w="8420" w:type="dxa"/>
        <w:tblInd w:w="93" w:type="dxa"/>
        <w:tblLook w:val="04A0" w:firstRow="1" w:lastRow="0" w:firstColumn="1" w:lastColumn="0" w:noHBand="0" w:noVBand="1"/>
      </w:tblPr>
      <w:tblGrid>
        <w:gridCol w:w="1572"/>
        <w:gridCol w:w="1360"/>
        <w:gridCol w:w="1376"/>
        <w:gridCol w:w="1376"/>
        <w:gridCol w:w="1360"/>
        <w:gridCol w:w="1376"/>
      </w:tblGrid>
      <w:tr w:rsidR="00AC362E" w:rsidRPr="00491EF1" w14:paraId="789DC5B8" w14:textId="77777777" w:rsidTr="00ED0631">
        <w:trPr>
          <w:trHeight w:val="315"/>
        </w:trPr>
        <w:tc>
          <w:tcPr>
            <w:tcW w:w="1572" w:type="dxa"/>
            <w:tcBorders>
              <w:top w:val="single" w:sz="4" w:space="0" w:color="auto"/>
              <w:left w:val="nil"/>
              <w:bottom w:val="single" w:sz="4" w:space="0" w:color="auto"/>
              <w:right w:val="nil"/>
            </w:tcBorders>
            <w:shd w:val="clear" w:color="auto" w:fill="auto"/>
            <w:noWrap/>
            <w:vAlign w:val="bottom"/>
            <w:hideMark/>
          </w:tcPr>
          <w:p w14:paraId="6E69054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360" w:type="dxa"/>
            <w:tcBorders>
              <w:top w:val="single" w:sz="4" w:space="0" w:color="auto"/>
              <w:left w:val="nil"/>
              <w:bottom w:val="single" w:sz="4" w:space="0" w:color="auto"/>
              <w:right w:val="nil"/>
            </w:tcBorders>
            <w:shd w:val="clear" w:color="auto" w:fill="auto"/>
            <w:noWrap/>
            <w:vAlign w:val="bottom"/>
            <w:hideMark/>
          </w:tcPr>
          <w:p w14:paraId="4DFBDD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&lt;50% </w:t>
            </w:r>
          </w:p>
        </w:tc>
        <w:tc>
          <w:tcPr>
            <w:tcW w:w="1376" w:type="dxa"/>
            <w:tcBorders>
              <w:top w:val="single" w:sz="4" w:space="0" w:color="auto"/>
              <w:left w:val="nil"/>
              <w:bottom w:val="single" w:sz="4" w:space="0" w:color="auto"/>
              <w:right w:val="nil"/>
            </w:tcBorders>
            <w:shd w:val="clear" w:color="auto" w:fill="auto"/>
            <w:noWrap/>
            <w:vAlign w:val="bottom"/>
            <w:hideMark/>
          </w:tcPr>
          <w:p w14:paraId="525E927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51-60% </w:t>
            </w:r>
          </w:p>
        </w:tc>
        <w:tc>
          <w:tcPr>
            <w:tcW w:w="1376" w:type="dxa"/>
            <w:tcBorders>
              <w:top w:val="single" w:sz="4" w:space="0" w:color="auto"/>
              <w:left w:val="nil"/>
              <w:bottom w:val="single" w:sz="4" w:space="0" w:color="auto"/>
              <w:right w:val="nil"/>
            </w:tcBorders>
            <w:shd w:val="clear" w:color="auto" w:fill="auto"/>
            <w:noWrap/>
            <w:vAlign w:val="bottom"/>
            <w:hideMark/>
          </w:tcPr>
          <w:p w14:paraId="11253B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61-80% </w:t>
            </w:r>
          </w:p>
        </w:tc>
        <w:tc>
          <w:tcPr>
            <w:tcW w:w="1360" w:type="dxa"/>
            <w:tcBorders>
              <w:top w:val="single" w:sz="4" w:space="0" w:color="auto"/>
              <w:left w:val="nil"/>
              <w:bottom w:val="single" w:sz="4" w:space="0" w:color="auto"/>
              <w:right w:val="nil"/>
            </w:tcBorders>
            <w:shd w:val="clear" w:color="auto" w:fill="auto"/>
            <w:noWrap/>
            <w:vAlign w:val="bottom"/>
            <w:hideMark/>
          </w:tcPr>
          <w:p w14:paraId="5C70B19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81-100% </w:t>
            </w:r>
          </w:p>
        </w:tc>
        <w:tc>
          <w:tcPr>
            <w:tcW w:w="1376" w:type="dxa"/>
            <w:tcBorders>
              <w:top w:val="single" w:sz="4" w:space="0" w:color="auto"/>
              <w:left w:val="nil"/>
              <w:bottom w:val="single" w:sz="4" w:space="0" w:color="auto"/>
              <w:right w:val="nil"/>
            </w:tcBorders>
            <w:shd w:val="clear" w:color="auto" w:fill="auto"/>
            <w:noWrap/>
            <w:vAlign w:val="bottom"/>
            <w:hideMark/>
          </w:tcPr>
          <w:p w14:paraId="6A5922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Total</w:t>
            </w:r>
          </w:p>
        </w:tc>
      </w:tr>
      <w:tr w:rsidR="00AC362E" w:rsidRPr="00491EF1" w14:paraId="56B423C2" w14:textId="77777777" w:rsidTr="00ED0631">
        <w:trPr>
          <w:trHeight w:val="315"/>
        </w:trPr>
        <w:tc>
          <w:tcPr>
            <w:tcW w:w="1572" w:type="dxa"/>
            <w:tcBorders>
              <w:top w:val="nil"/>
              <w:left w:val="nil"/>
              <w:bottom w:val="nil"/>
              <w:right w:val="nil"/>
            </w:tcBorders>
            <w:shd w:val="clear" w:color="auto" w:fill="auto"/>
            <w:noWrap/>
            <w:vAlign w:val="bottom"/>
            <w:hideMark/>
          </w:tcPr>
          <w:p w14:paraId="57B72C1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360" w:type="dxa"/>
            <w:tcBorders>
              <w:top w:val="nil"/>
              <w:left w:val="nil"/>
              <w:bottom w:val="nil"/>
              <w:right w:val="nil"/>
            </w:tcBorders>
            <w:shd w:val="clear" w:color="auto" w:fill="auto"/>
            <w:noWrap/>
            <w:vAlign w:val="bottom"/>
            <w:hideMark/>
          </w:tcPr>
          <w:p w14:paraId="292244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76" w:type="dxa"/>
            <w:tcBorders>
              <w:top w:val="nil"/>
              <w:left w:val="nil"/>
              <w:bottom w:val="nil"/>
              <w:right w:val="nil"/>
            </w:tcBorders>
            <w:shd w:val="clear" w:color="auto" w:fill="auto"/>
            <w:noWrap/>
            <w:vAlign w:val="bottom"/>
            <w:hideMark/>
          </w:tcPr>
          <w:p w14:paraId="22A4B8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376" w:type="dxa"/>
            <w:tcBorders>
              <w:top w:val="nil"/>
              <w:left w:val="nil"/>
              <w:bottom w:val="nil"/>
              <w:right w:val="nil"/>
            </w:tcBorders>
            <w:shd w:val="clear" w:color="auto" w:fill="auto"/>
            <w:noWrap/>
            <w:vAlign w:val="bottom"/>
            <w:hideMark/>
          </w:tcPr>
          <w:p w14:paraId="2440A95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12 </w:t>
            </w:r>
          </w:p>
        </w:tc>
        <w:tc>
          <w:tcPr>
            <w:tcW w:w="1360" w:type="dxa"/>
            <w:tcBorders>
              <w:top w:val="nil"/>
              <w:left w:val="nil"/>
              <w:bottom w:val="nil"/>
              <w:right w:val="nil"/>
            </w:tcBorders>
            <w:shd w:val="clear" w:color="auto" w:fill="auto"/>
            <w:noWrap/>
            <w:vAlign w:val="bottom"/>
            <w:hideMark/>
          </w:tcPr>
          <w:p w14:paraId="5FAC35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6" w:type="dxa"/>
            <w:tcBorders>
              <w:top w:val="nil"/>
              <w:left w:val="nil"/>
              <w:bottom w:val="nil"/>
              <w:right w:val="nil"/>
            </w:tcBorders>
            <w:shd w:val="clear" w:color="auto" w:fill="auto"/>
            <w:noWrap/>
            <w:vAlign w:val="bottom"/>
            <w:hideMark/>
          </w:tcPr>
          <w:p w14:paraId="6C88C9D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24 </w:t>
            </w:r>
          </w:p>
        </w:tc>
      </w:tr>
      <w:tr w:rsidR="00AC362E" w:rsidRPr="00491EF1" w14:paraId="5E6CBF6A" w14:textId="77777777" w:rsidTr="00ED0631">
        <w:trPr>
          <w:trHeight w:val="315"/>
        </w:trPr>
        <w:tc>
          <w:tcPr>
            <w:tcW w:w="1572" w:type="dxa"/>
            <w:tcBorders>
              <w:top w:val="nil"/>
              <w:left w:val="nil"/>
              <w:bottom w:val="nil"/>
              <w:right w:val="nil"/>
            </w:tcBorders>
            <w:shd w:val="clear" w:color="auto" w:fill="auto"/>
            <w:noWrap/>
            <w:vAlign w:val="bottom"/>
            <w:hideMark/>
          </w:tcPr>
          <w:p w14:paraId="57CC9D9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360" w:type="dxa"/>
            <w:tcBorders>
              <w:top w:val="nil"/>
              <w:left w:val="nil"/>
              <w:bottom w:val="nil"/>
              <w:right w:val="nil"/>
            </w:tcBorders>
            <w:shd w:val="clear" w:color="auto" w:fill="auto"/>
            <w:noWrap/>
            <w:vAlign w:val="bottom"/>
            <w:hideMark/>
          </w:tcPr>
          <w:p w14:paraId="5FC7B5ED"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376" w:type="dxa"/>
            <w:tcBorders>
              <w:top w:val="nil"/>
              <w:left w:val="nil"/>
              <w:bottom w:val="nil"/>
              <w:right w:val="nil"/>
            </w:tcBorders>
            <w:shd w:val="clear" w:color="auto" w:fill="auto"/>
            <w:noWrap/>
            <w:vAlign w:val="bottom"/>
            <w:hideMark/>
          </w:tcPr>
          <w:p w14:paraId="0B9B24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3 </w:t>
            </w:r>
          </w:p>
        </w:tc>
        <w:tc>
          <w:tcPr>
            <w:tcW w:w="1376" w:type="dxa"/>
            <w:tcBorders>
              <w:top w:val="nil"/>
              <w:left w:val="nil"/>
              <w:bottom w:val="nil"/>
              <w:right w:val="nil"/>
            </w:tcBorders>
            <w:shd w:val="clear" w:color="auto" w:fill="auto"/>
            <w:noWrap/>
            <w:vAlign w:val="bottom"/>
            <w:hideMark/>
          </w:tcPr>
          <w:p w14:paraId="59DEE4C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 </w:t>
            </w:r>
          </w:p>
        </w:tc>
        <w:tc>
          <w:tcPr>
            <w:tcW w:w="1360" w:type="dxa"/>
            <w:tcBorders>
              <w:top w:val="nil"/>
              <w:left w:val="nil"/>
              <w:bottom w:val="nil"/>
              <w:right w:val="nil"/>
            </w:tcBorders>
            <w:shd w:val="clear" w:color="auto" w:fill="auto"/>
            <w:noWrap/>
            <w:vAlign w:val="bottom"/>
            <w:hideMark/>
          </w:tcPr>
          <w:p w14:paraId="56FB4AC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376" w:type="dxa"/>
            <w:tcBorders>
              <w:top w:val="nil"/>
              <w:left w:val="nil"/>
              <w:bottom w:val="nil"/>
              <w:right w:val="nil"/>
            </w:tcBorders>
            <w:shd w:val="clear" w:color="auto" w:fill="auto"/>
            <w:noWrap/>
            <w:vAlign w:val="bottom"/>
            <w:hideMark/>
          </w:tcPr>
          <w:p w14:paraId="0170C61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14 </w:t>
            </w:r>
          </w:p>
        </w:tc>
      </w:tr>
      <w:tr w:rsidR="00AC362E" w:rsidRPr="00491EF1" w14:paraId="0E503341" w14:textId="77777777" w:rsidTr="00ED0631">
        <w:trPr>
          <w:trHeight w:val="315"/>
        </w:trPr>
        <w:tc>
          <w:tcPr>
            <w:tcW w:w="1572" w:type="dxa"/>
            <w:tcBorders>
              <w:top w:val="nil"/>
              <w:left w:val="nil"/>
              <w:bottom w:val="nil"/>
              <w:right w:val="nil"/>
            </w:tcBorders>
            <w:shd w:val="clear" w:color="auto" w:fill="auto"/>
            <w:noWrap/>
            <w:vAlign w:val="bottom"/>
            <w:hideMark/>
          </w:tcPr>
          <w:p w14:paraId="0CF83BE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360" w:type="dxa"/>
            <w:tcBorders>
              <w:top w:val="nil"/>
              <w:left w:val="nil"/>
              <w:bottom w:val="nil"/>
              <w:right w:val="nil"/>
            </w:tcBorders>
            <w:shd w:val="clear" w:color="auto" w:fill="auto"/>
            <w:noWrap/>
            <w:vAlign w:val="bottom"/>
            <w:hideMark/>
          </w:tcPr>
          <w:p w14:paraId="2A1EA53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6" w:type="dxa"/>
            <w:tcBorders>
              <w:top w:val="nil"/>
              <w:left w:val="nil"/>
              <w:bottom w:val="nil"/>
              <w:right w:val="nil"/>
            </w:tcBorders>
            <w:shd w:val="clear" w:color="auto" w:fill="auto"/>
            <w:noWrap/>
            <w:vAlign w:val="bottom"/>
            <w:hideMark/>
          </w:tcPr>
          <w:p w14:paraId="74B4434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7 </w:t>
            </w:r>
          </w:p>
        </w:tc>
        <w:tc>
          <w:tcPr>
            <w:tcW w:w="1376" w:type="dxa"/>
            <w:tcBorders>
              <w:top w:val="nil"/>
              <w:left w:val="nil"/>
              <w:bottom w:val="nil"/>
              <w:right w:val="nil"/>
            </w:tcBorders>
            <w:shd w:val="clear" w:color="auto" w:fill="auto"/>
            <w:noWrap/>
            <w:vAlign w:val="bottom"/>
            <w:hideMark/>
          </w:tcPr>
          <w:p w14:paraId="428706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60" w:type="dxa"/>
            <w:tcBorders>
              <w:top w:val="nil"/>
              <w:left w:val="nil"/>
              <w:bottom w:val="nil"/>
              <w:right w:val="nil"/>
            </w:tcBorders>
            <w:shd w:val="clear" w:color="auto" w:fill="auto"/>
            <w:noWrap/>
            <w:vAlign w:val="bottom"/>
            <w:hideMark/>
          </w:tcPr>
          <w:p w14:paraId="511F2C1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 </w:t>
            </w:r>
          </w:p>
        </w:tc>
        <w:tc>
          <w:tcPr>
            <w:tcW w:w="1376" w:type="dxa"/>
            <w:tcBorders>
              <w:top w:val="nil"/>
              <w:left w:val="nil"/>
              <w:bottom w:val="nil"/>
              <w:right w:val="nil"/>
            </w:tcBorders>
            <w:shd w:val="clear" w:color="auto" w:fill="auto"/>
            <w:noWrap/>
            <w:vAlign w:val="bottom"/>
            <w:hideMark/>
          </w:tcPr>
          <w:p w14:paraId="33EC60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10 </w:t>
            </w:r>
          </w:p>
        </w:tc>
      </w:tr>
      <w:tr w:rsidR="00AC362E" w:rsidRPr="00491EF1" w14:paraId="5AC01485" w14:textId="77777777" w:rsidTr="00ED0631">
        <w:trPr>
          <w:trHeight w:val="315"/>
        </w:trPr>
        <w:tc>
          <w:tcPr>
            <w:tcW w:w="1572" w:type="dxa"/>
            <w:tcBorders>
              <w:top w:val="single" w:sz="4" w:space="0" w:color="auto"/>
              <w:left w:val="nil"/>
              <w:bottom w:val="single" w:sz="4" w:space="0" w:color="auto"/>
              <w:right w:val="nil"/>
            </w:tcBorders>
            <w:shd w:val="clear" w:color="auto" w:fill="auto"/>
            <w:noWrap/>
            <w:vAlign w:val="bottom"/>
            <w:hideMark/>
          </w:tcPr>
          <w:p w14:paraId="35CB0A7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360" w:type="dxa"/>
            <w:tcBorders>
              <w:top w:val="single" w:sz="4" w:space="0" w:color="auto"/>
              <w:left w:val="nil"/>
              <w:bottom w:val="single" w:sz="4" w:space="0" w:color="auto"/>
              <w:right w:val="nil"/>
            </w:tcBorders>
            <w:shd w:val="clear" w:color="auto" w:fill="auto"/>
            <w:noWrap/>
            <w:vAlign w:val="bottom"/>
            <w:hideMark/>
          </w:tcPr>
          <w:p w14:paraId="495C9C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5 </w:t>
            </w:r>
          </w:p>
        </w:tc>
        <w:tc>
          <w:tcPr>
            <w:tcW w:w="1376" w:type="dxa"/>
            <w:tcBorders>
              <w:top w:val="single" w:sz="4" w:space="0" w:color="auto"/>
              <w:left w:val="nil"/>
              <w:bottom w:val="single" w:sz="4" w:space="0" w:color="auto"/>
              <w:right w:val="nil"/>
            </w:tcBorders>
            <w:shd w:val="clear" w:color="auto" w:fill="auto"/>
            <w:noWrap/>
            <w:vAlign w:val="bottom"/>
            <w:hideMark/>
          </w:tcPr>
          <w:p w14:paraId="00E6A92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376" w:type="dxa"/>
            <w:tcBorders>
              <w:top w:val="single" w:sz="4" w:space="0" w:color="auto"/>
              <w:left w:val="nil"/>
              <w:bottom w:val="single" w:sz="4" w:space="0" w:color="auto"/>
              <w:right w:val="nil"/>
            </w:tcBorders>
            <w:shd w:val="clear" w:color="auto" w:fill="auto"/>
            <w:noWrap/>
            <w:vAlign w:val="bottom"/>
            <w:hideMark/>
          </w:tcPr>
          <w:p w14:paraId="2BF3CD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17 </w:t>
            </w:r>
          </w:p>
        </w:tc>
        <w:tc>
          <w:tcPr>
            <w:tcW w:w="1360" w:type="dxa"/>
            <w:tcBorders>
              <w:top w:val="single" w:sz="4" w:space="0" w:color="auto"/>
              <w:left w:val="nil"/>
              <w:bottom w:val="single" w:sz="4" w:space="0" w:color="auto"/>
              <w:right w:val="nil"/>
            </w:tcBorders>
            <w:shd w:val="clear" w:color="auto" w:fill="auto"/>
            <w:noWrap/>
            <w:vAlign w:val="bottom"/>
            <w:hideMark/>
          </w:tcPr>
          <w:p w14:paraId="432837E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9 </w:t>
            </w:r>
          </w:p>
        </w:tc>
        <w:tc>
          <w:tcPr>
            <w:tcW w:w="1376" w:type="dxa"/>
            <w:tcBorders>
              <w:top w:val="single" w:sz="4" w:space="0" w:color="auto"/>
              <w:left w:val="nil"/>
              <w:bottom w:val="single" w:sz="4" w:space="0" w:color="auto"/>
              <w:right w:val="nil"/>
            </w:tcBorders>
            <w:shd w:val="clear" w:color="auto" w:fill="auto"/>
            <w:noWrap/>
            <w:vAlign w:val="bottom"/>
            <w:hideMark/>
          </w:tcPr>
          <w:p w14:paraId="78F499E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48 </w:t>
            </w:r>
          </w:p>
        </w:tc>
      </w:tr>
    </w:tbl>
    <w:p w14:paraId="15E00CC2"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45: School leaders' estimate (average) of the percent of girls that will meet learning outcomes by island</w:t>
      </w:r>
    </w:p>
    <w:tbl>
      <w:tblPr>
        <w:tblW w:w="3420" w:type="dxa"/>
        <w:tblInd w:w="93" w:type="dxa"/>
        <w:tblLook w:val="04A0" w:firstRow="1" w:lastRow="0" w:firstColumn="1" w:lastColumn="0" w:noHBand="0" w:noVBand="1"/>
      </w:tblPr>
      <w:tblGrid>
        <w:gridCol w:w="2268"/>
        <w:gridCol w:w="1152"/>
      </w:tblGrid>
      <w:tr w:rsidR="00AC362E" w:rsidRPr="00491EF1" w14:paraId="4C673A01" w14:textId="77777777" w:rsidTr="00ED0631">
        <w:trPr>
          <w:trHeight w:val="315"/>
        </w:trPr>
        <w:tc>
          <w:tcPr>
            <w:tcW w:w="2268" w:type="dxa"/>
            <w:tcBorders>
              <w:top w:val="single" w:sz="4" w:space="0" w:color="auto"/>
              <w:left w:val="nil"/>
              <w:bottom w:val="single" w:sz="4" w:space="0" w:color="auto"/>
              <w:right w:val="nil"/>
            </w:tcBorders>
            <w:shd w:val="clear" w:color="auto" w:fill="auto"/>
            <w:noWrap/>
            <w:vAlign w:val="bottom"/>
            <w:hideMark/>
          </w:tcPr>
          <w:p w14:paraId="4F562B2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152" w:type="dxa"/>
            <w:tcBorders>
              <w:top w:val="single" w:sz="4" w:space="0" w:color="auto"/>
              <w:left w:val="nil"/>
              <w:bottom w:val="single" w:sz="4" w:space="0" w:color="auto"/>
              <w:right w:val="nil"/>
            </w:tcBorders>
            <w:shd w:val="clear" w:color="auto" w:fill="auto"/>
            <w:noWrap/>
            <w:vAlign w:val="bottom"/>
            <w:hideMark/>
          </w:tcPr>
          <w:p w14:paraId="37C2EF6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Average</w:t>
            </w:r>
          </w:p>
        </w:tc>
      </w:tr>
      <w:tr w:rsidR="00AC362E" w:rsidRPr="00491EF1" w14:paraId="6202B963" w14:textId="77777777" w:rsidTr="00ED0631">
        <w:trPr>
          <w:trHeight w:val="315"/>
        </w:trPr>
        <w:tc>
          <w:tcPr>
            <w:tcW w:w="2268" w:type="dxa"/>
            <w:tcBorders>
              <w:top w:val="nil"/>
              <w:left w:val="nil"/>
              <w:bottom w:val="nil"/>
              <w:right w:val="nil"/>
            </w:tcBorders>
            <w:shd w:val="clear" w:color="auto" w:fill="auto"/>
            <w:noWrap/>
            <w:vAlign w:val="bottom"/>
            <w:hideMark/>
          </w:tcPr>
          <w:p w14:paraId="2F290E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Abaiang</w:t>
            </w:r>
          </w:p>
        </w:tc>
        <w:tc>
          <w:tcPr>
            <w:tcW w:w="1152" w:type="dxa"/>
            <w:tcBorders>
              <w:top w:val="nil"/>
              <w:left w:val="nil"/>
              <w:bottom w:val="nil"/>
              <w:right w:val="nil"/>
            </w:tcBorders>
            <w:shd w:val="clear" w:color="auto" w:fill="auto"/>
            <w:noWrap/>
            <w:vAlign w:val="bottom"/>
            <w:hideMark/>
          </w:tcPr>
          <w:p w14:paraId="5516AD4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62%</w:t>
            </w:r>
          </w:p>
        </w:tc>
      </w:tr>
      <w:tr w:rsidR="00AC362E" w:rsidRPr="00491EF1" w14:paraId="0E526804" w14:textId="77777777" w:rsidTr="00ED0631">
        <w:trPr>
          <w:trHeight w:val="315"/>
        </w:trPr>
        <w:tc>
          <w:tcPr>
            <w:tcW w:w="2268" w:type="dxa"/>
            <w:tcBorders>
              <w:top w:val="nil"/>
              <w:left w:val="nil"/>
              <w:bottom w:val="nil"/>
              <w:right w:val="nil"/>
            </w:tcBorders>
            <w:shd w:val="clear" w:color="auto" w:fill="auto"/>
            <w:noWrap/>
            <w:vAlign w:val="bottom"/>
            <w:hideMark/>
          </w:tcPr>
          <w:p w14:paraId="1D8EEC13"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Butaritari</w:t>
            </w:r>
          </w:p>
        </w:tc>
        <w:tc>
          <w:tcPr>
            <w:tcW w:w="1152" w:type="dxa"/>
            <w:tcBorders>
              <w:top w:val="nil"/>
              <w:left w:val="nil"/>
              <w:bottom w:val="nil"/>
              <w:right w:val="nil"/>
            </w:tcBorders>
            <w:shd w:val="clear" w:color="auto" w:fill="auto"/>
            <w:noWrap/>
            <w:vAlign w:val="bottom"/>
            <w:hideMark/>
          </w:tcPr>
          <w:p w14:paraId="0F0357F7"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72%</w:t>
            </w:r>
          </w:p>
        </w:tc>
      </w:tr>
      <w:tr w:rsidR="00AC362E" w:rsidRPr="00491EF1" w14:paraId="6B7069A3" w14:textId="77777777" w:rsidTr="00ED0631">
        <w:trPr>
          <w:trHeight w:val="315"/>
        </w:trPr>
        <w:tc>
          <w:tcPr>
            <w:tcW w:w="2268" w:type="dxa"/>
            <w:tcBorders>
              <w:top w:val="nil"/>
              <w:left w:val="nil"/>
              <w:bottom w:val="nil"/>
              <w:right w:val="nil"/>
            </w:tcBorders>
            <w:shd w:val="clear" w:color="auto" w:fill="auto"/>
            <w:noWrap/>
            <w:vAlign w:val="bottom"/>
            <w:hideMark/>
          </w:tcPr>
          <w:p w14:paraId="0A6D074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Kiritimati</w:t>
            </w:r>
          </w:p>
        </w:tc>
        <w:tc>
          <w:tcPr>
            <w:tcW w:w="1152" w:type="dxa"/>
            <w:tcBorders>
              <w:top w:val="nil"/>
              <w:left w:val="nil"/>
              <w:bottom w:val="nil"/>
              <w:right w:val="nil"/>
            </w:tcBorders>
            <w:shd w:val="clear" w:color="auto" w:fill="auto"/>
            <w:noWrap/>
            <w:vAlign w:val="bottom"/>
            <w:hideMark/>
          </w:tcPr>
          <w:p w14:paraId="13BD97A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62%</w:t>
            </w:r>
          </w:p>
        </w:tc>
      </w:tr>
      <w:tr w:rsidR="00AC362E" w:rsidRPr="00491EF1" w14:paraId="4ECD4C1C" w14:textId="77777777" w:rsidTr="00ED0631">
        <w:trPr>
          <w:trHeight w:val="315"/>
        </w:trPr>
        <w:tc>
          <w:tcPr>
            <w:tcW w:w="2268" w:type="dxa"/>
            <w:tcBorders>
              <w:top w:val="nil"/>
              <w:left w:val="nil"/>
              <w:bottom w:val="nil"/>
              <w:right w:val="nil"/>
            </w:tcBorders>
            <w:shd w:val="clear" w:color="auto" w:fill="auto"/>
            <w:noWrap/>
            <w:vAlign w:val="bottom"/>
            <w:hideMark/>
          </w:tcPr>
          <w:p w14:paraId="52918F5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Maiana</w:t>
            </w:r>
          </w:p>
        </w:tc>
        <w:tc>
          <w:tcPr>
            <w:tcW w:w="1152" w:type="dxa"/>
            <w:tcBorders>
              <w:top w:val="nil"/>
              <w:left w:val="nil"/>
              <w:bottom w:val="nil"/>
              <w:right w:val="nil"/>
            </w:tcBorders>
            <w:shd w:val="clear" w:color="auto" w:fill="auto"/>
            <w:noWrap/>
            <w:vAlign w:val="bottom"/>
            <w:hideMark/>
          </w:tcPr>
          <w:p w14:paraId="353509F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78%</w:t>
            </w:r>
          </w:p>
        </w:tc>
      </w:tr>
      <w:tr w:rsidR="00AC362E" w:rsidRPr="00491EF1" w14:paraId="5A420DA3" w14:textId="77777777" w:rsidTr="00ED0631">
        <w:trPr>
          <w:trHeight w:val="315"/>
        </w:trPr>
        <w:tc>
          <w:tcPr>
            <w:tcW w:w="2268" w:type="dxa"/>
            <w:tcBorders>
              <w:top w:val="nil"/>
              <w:left w:val="nil"/>
              <w:bottom w:val="nil"/>
              <w:right w:val="nil"/>
            </w:tcBorders>
            <w:shd w:val="clear" w:color="auto" w:fill="auto"/>
            <w:noWrap/>
            <w:vAlign w:val="bottom"/>
            <w:hideMark/>
          </w:tcPr>
          <w:p w14:paraId="34EDAB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Nonouti</w:t>
            </w:r>
          </w:p>
        </w:tc>
        <w:tc>
          <w:tcPr>
            <w:tcW w:w="1152" w:type="dxa"/>
            <w:tcBorders>
              <w:top w:val="nil"/>
              <w:left w:val="nil"/>
              <w:bottom w:val="nil"/>
              <w:right w:val="nil"/>
            </w:tcBorders>
            <w:shd w:val="clear" w:color="auto" w:fill="auto"/>
            <w:noWrap/>
            <w:vAlign w:val="bottom"/>
            <w:hideMark/>
          </w:tcPr>
          <w:p w14:paraId="1CCC075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86%</w:t>
            </w:r>
          </w:p>
        </w:tc>
      </w:tr>
      <w:tr w:rsidR="00AC362E" w:rsidRPr="00491EF1" w14:paraId="3A93ADDA" w14:textId="77777777" w:rsidTr="00ED0631">
        <w:trPr>
          <w:trHeight w:val="315"/>
        </w:trPr>
        <w:tc>
          <w:tcPr>
            <w:tcW w:w="2268" w:type="dxa"/>
            <w:tcBorders>
              <w:top w:val="nil"/>
              <w:left w:val="nil"/>
              <w:bottom w:val="nil"/>
              <w:right w:val="nil"/>
            </w:tcBorders>
            <w:shd w:val="clear" w:color="auto" w:fill="auto"/>
            <w:noWrap/>
            <w:vAlign w:val="bottom"/>
            <w:hideMark/>
          </w:tcPr>
          <w:p w14:paraId="3312042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Tabiteuea</w:t>
            </w:r>
          </w:p>
        </w:tc>
        <w:tc>
          <w:tcPr>
            <w:tcW w:w="1152" w:type="dxa"/>
            <w:tcBorders>
              <w:top w:val="nil"/>
              <w:left w:val="nil"/>
              <w:bottom w:val="nil"/>
              <w:right w:val="nil"/>
            </w:tcBorders>
            <w:shd w:val="clear" w:color="auto" w:fill="auto"/>
            <w:noWrap/>
            <w:vAlign w:val="bottom"/>
            <w:hideMark/>
          </w:tcPr>
          <w:p w14:paraId="553703A5"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66%</w:t>
            </w:r>
          </w:p>
        </w:tc>
      </w:tr>
      <w:tr w:rsidR="00AC362E" w:rsidRPr="00491EF1" w14:paraId="028CA9D3" w14:textId="77777777" w:rsidTr="00ED0631">
        <w:trPr>
          <w:trHeight w:val="315"/>
        </w:trPr>
        <w:tc>
          <w:tcPr>
            <w:tcW w:w="2268" w:type="dxa"/>
            <w:tcBorders>
              <w:top w:val="nil"/>
              <w:left w:val="nil"/>
              <w:bottom w:val="nil"/>
              <w:right w:val="nil"/>
            </w:tcBorders>
            <w:shd w:val="clear" w:color="auto" w:fill="auto"/>
            <w:noWrap/>
            <w:vAlign w:val="bottom"/>
            <w:hideMark/>
          </w:tcPr>
          <w:p w14:paraId="4E81670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North Tarawa</w:t>
            </w:r>
          </w:p>
        </w:tc>
        <w:tc>
          <w:tcPr>
            <w:tcW w:w="1152" w:type="dxa"/>
            <w:tcBorders>
              <w:top w:val="nil"/>
              <w:left w:val="nil"/>
              <w:bottom w:val="nil"/>
              <w:right w:val="nil"/>
            </w:tcBorders>
            <w:shd w:val="clear" w:color="auto" w:fill="auto"/>
            <w:noWrap/>
            <w:vAlign w:val="bottom"/>
            <w:hideMark/>
          </w:tcPr>
          <w:p w14:paraId="555A416C"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68%</w:t>
            </w:r>
          </w:p>
        </w:tc>
      </w:tr>
      <w:tr w:rsidR="00AC362E" w:rsidRPr="00491EF1" w14:paraId="2F3C131D" w14:textId="77777777" w:rsidTr="00ED0631">
        <w:trPr>
          <w:trHeight w:val="315"/>
        </w:trPr>
        <w:tc>
          <w:tcPr>
            <w:tcW w:w="2268" w:type="dxa"/>
            <w:tcBorders>
              <w:top w:val="nil"/>
              <w:left w:val="nil"/>
              <w:bottom w:val="nil"/>
              <w:right w:val="nil"/>
            </w:tcBorders>
            <w:shd w:val="clear" w:color="auto" w:fill="auto"/>
            <w:noWrap/>
            <w:vAlign w:val="bottom"/>
            <w:hideMark/>
          </w:tcPr>
          <w:p w14:paraId="695BB21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Tabiteuea</w:t>
            </w:r>
          </w:p>
        </w:tc>
        <w:tc>
          <w:tcPr>
            <w:tcW w:w="1152" w:type="dxa"/>
            <w:tcBorders>
              <w:top w:val="nil"/>
              <w:left w:val="nil"/>
              <w:bottom w:val="nil"/>
              <w:right w:val="nil"/>
            </w:tcBorders>
            <w:shd w:val="clear" w:color="auto" w:fill="auto"/>
            <w:noWrap/>
            <w:vAlign w:val="bottom"/>
            <w:hideMark/>
          </w:tcPr>
          <w:p w14:paraId="7DCCA753"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76%</w:t>
            </w:r>
          </w:p>
        </w:tc>
      </w:tr>
      <w:tr w:rsidR="00AC362E" w:rsidRPr="00491EF1" w14:paraId="0B35CFF8" w14:textId="77777777" w:rsidTr="00ED0631">
        <w:trPr>
          <w:trHeight w:val="315"/>
        </w:trPr>
        <w:tc>
          <w:tcPr>
            <w:tcW w:w="2268" w:type="dxa"/>
            <w:tcBorders>
              <w:top w:val="nil"/>
              <w:left w:val="nil"/>
              <w:bottom w:val="nil"/>
              <w:right w:val="nil"/>
            </w:tcBorders>
            <w:shd w:val="clear" w:color="auto" w:fill="auto"/>
            <w:noWrap/>
            <w:vAlign w:val="bottom"/>
            <w:hideMark/>
          </w:tcPr>
          <w:p w14:paraId="2EB612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South Tarawa</w:t>
            </w:r>
          </w:p>
        </w:tc>
        <w:tc>
          <w:tcPr>
            <w:tcW w:w="1152" w:type="dxa"/>
            <w:tcBorders>
              <w:top w:val="nil"/>
              <w:left w:val="nil"/>
              <w:bottom w:val="nil"/>
              <w:right w:val="nil"/>
            </w:tcBorders>
            <w:shd w:val="clear" w:color="auto" w:fill="auto"/>
            <w:noWrap/>
            <w:vAlign w:val="bottom"/>
            <w:hideMark/>
          </w:tcPr>
          <w:p w14:paraId="19DE963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64%</w:t>
            </w:r>
          </w:p>
        </w:tc>
      </w:tr>
      <w:tr w:rsidR="00AC362E" w:rsidRPr="00491EF1" w14:paraId="3EAE560D" w14:textId="77777777" w:rsidTr="00ED0631">
        <w:trPr>
          <w:trHeight w:val="315"/>
        </w:trPr>
        <w:tc>
          <w:tcPr>
            <w:tcW w:w="2268" w:type="dxa"/>
            <w:tcBorders>
              <w:top w:val="single" w:sz="4" w:space="0" w:color="auto"/>
              <w:left w:val="nil"/>
              <w:bottom w:val="single" w:sz="4" w:space="0" w:color="auto"/>
              <w:right w:val="nil"/>
            </w:tcBorders>
            <w:shd w:val="clear" w:color="auto" w:fill="auto"/>
            <w:noWrap/>
            <w:vAlign w:val="bottom"/>
            <w:hideMark/>
          </w:tcPr>
          <w:p w14:paraId="2A78069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Total</w:t>
            </w:r>
          </w:p>
        </w:tc>
        <w:tc>
          <w:tcPr>
            <w:tcW w:w="1152" w:type="dxa"/>
            <w:tcBorders>
              <w:top w:val="single" w:sz="4" w:space="0" w:color="auto"/>
              <w:left w:val="nil"/>
              <w:bottom w:val="single" w:sz="4" w:space="0" w:color="auto"/>
              <w:right w:val="nil"/>
            </w:tcBorders>
            <w:shd w:val="clear" w:color="auto" w:fill="auto"/>
            <w:noWrap/>
            <w:vAlign w:val="bottom"/>
            <w:hideMark/>
          </w:tcPr>
          <w:p w14:paraId="59A233E9"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70%</w:t>
            </w:r>
          </w:p>
        </w:tc>
      </w:tr>
    </w:tbl>
    <w:p w14:paraId="4127F37C"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46: School leaders' estimate (average) of the percent of girls that will meet learning outcomes by island category</w:t>
      </w:r>
    </w:p>
    <w:tbl>
      <w:tblPr>
        <w:tblW w:w="3220" w:type="dxa"/>
        <w:tblInd w:w="93" w:type="dxa"/>
        <w:tblLook w:val="04A0" w:firstRow="1" w:lastRow="0" w:firstColumn="1" w:lastColumn="0" w:noHBand="0" w:noVBand="1"/>
      </w:tblPr>
      <w:tblGrid>
        <w:gridCol w:w="1932"/>
        <w:gridCol w:w="1288"/>
      </w:tblGrid>
      <w:tr w:rsidR="00AC362E" w:rsidRPr="00491EF1" w14:paraId="611571F5" w14:textId="77777777" w:rsidTr="00ED0631">
        <w:trPr>
          <w:trHeight w:val="315"/>
        </w:trPr>
        <w:tc>
          <w:tcPr>
            <w:tcW w:w="1932" w:type="dxa"/>
            <w:tcBorders>
              <w:top w:val="single" w:sz="4" w:space="0" w:color="auto"/>
              <w:left w:val="nil"/>
              <w:bottom w:val="single" w:sz="4" w:space="0" w:color="auto"/>
              <w:right w:val="nil"/>
            </w:tcBorders>
            <w:shd w:val="clear" w:color="auto" w:fill="auto"/>
            <w:noWrap/>
            <w:vAlign w:val="bottom"/>
            <w:hideMark/>
          </w:tcPr>
          <w:p w14:paraId="34B4AF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288" w:type="dxa"/>
            <w:tcBorders>
              <w:top w:val="single" w:sz="4" w:space="0" w:color="auto"/>
              <w:left w:val="nil"/>
              <w:bottom w:val="single" w:sz="4" w:space="0" w:color="auto"/>
              <w:right w:val="nil"/>
            </w:tcBorders>
            <w:shd w:val="clear" w:color="auto" w:fill="auto"/>
            <w:noWrap/>
            <w:vAlign w:val="bottom"/>
            <w:hideMark/>
          </w:tcPr>
          <w:p w14:paraId="12C9C1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Average</w:t>
            </w:r>
          </w:p>
        </w:tc>
      </w:tr>
      <w:tr w:rsidR="00AC362E" w:rsidRPr="00491EF1" w14:paraId="3929E0BC" w14:textId="77777777" w:rsidTr="00ED0631">
        <w:trPr>
          <w:trHeight w:val="315"/>
        </w:trPr>
        <w:tc>
          <w:tcPr>
            <w:tcW w:w="1932" w:type="dxa"/>
            <w:tcBorders>
              <w:top w:val="nil"/>
              <w:left w:val="nil"/>
              <w:bottom w:val="nil"/>
              <w:right w:val="nil"/>
            </w:tcBorders>
            <w:shd w:val="clear" w:color="auto" w:fill="auto"/>
            <w:noWrap/>
            <w:vAlign w:val="bottom"/>
            <w:hideMark/>
          </w:tcPr>
          <w:p w14:paraId="0EC1C09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88" w:type="dxa"/>
            <w:tcBorders>
              <w:top w:val="nil"/>
              <w:left w:val="nil"/>
              <w:bottom w:val="nil"/>
              <w:right w:val="nil"/>
            </w:tcBorders>
            <w:shd w:val="clear" w:color="auto" w:fill="auto"/>
            <w:noWrap/>
            <w:vAlign w:val="bottom"/>
            <w:hideMark/>
          </w:tcPr>
          <w:p w14:paraId="3A06FD22"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66%</w:t>
            </w:r>
          </w:p>
        </w:tc>
      </w:tr>
      <w:tr w:rsidR="00AC362E" w:rsidRPr="00491EF1" w14:paraId="10AEFA91" w14:textId="77777777" w:rsidTr="00ED0631">
        <w:trPr>
          <w:trHeight w:val="315"/>
        </w:trPr>
        <w:tc>
          <w:tcPr>
            <w:tcW w:w="1932" w:type="dxa"/>
            <w:tcBorders>
              <w:top w:val="nil"/>
              <w:left w:val="nil"/>
              <w:bottom w:val="nil"/>
              <w:right w:val="nil"/>
            </w:tcBorders>
            <w:shd w:val="clear" w:color="auto" w:fill="auto"/>
            <w:noWrap/>
            <w:vAlign w:val="bottom"/>
            <w:hideMark/>
          </w:tcPr>
          <w:p w14:paraId="169F6E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88" w:type="dxa"/>
            <w:tcBorders>
              <w:top w:val="nil"/>
              <w:left w:val="nil"/>
              <w:bottom w:val="nil"/>
              <w:right w:val="nil"/>
            </w:tcBorders>
            <w:shd w:val="clear" w:color="auto" w:fill="auto"/>
            <w:noWrap/>
            <w:vAlign w:val="bottom"/>
            <w:hideMark/>
          </w:tcPr>
          <w:p w14:paraId="7D6E6F41"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81%</w:t>
            </w:r>
          </w:p>
        </w:tc>
      </w:tr>
      <w:tr w:rsidR="00AC362E" w:rsidRPr="00491EF1" w14:paraId="20029F3F" w14:textId="77777777" w:rsidTr="00ED0631">
        <w:trPr>
          <w:trHeight w:val="315"/>
        </w:trPr>
        <w:tc>
          <w:tcPr>
            <w:tcW w:w="1932" w:type="dxa"/>
            <w:tcBorders>
              <w:top w:val="nil"/>
              <w:left w:val="nil"/>
              <w:bottom w:val="nil"/>
              <w:right w:val="nil"/>
            </w:tcBorders>
            <w:shd w:val="clear" w:color="auto" w:fill="auto"/>
            <w:noWrap/>
            <w:vAlign w:val="bottom"/>
            <w:hideMark/>
          </w:tcPr>
          <w:p w14:paraId="23CF3A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88" w:type="dxa"/>
            <w:tcBorders>
              <w:top w:val="nil"/>
              <w:left w:val="nil"/>
              <w:bottom w:val="nil"/>
              <w:right w:val="nil"/>
            </w:tcBorders>
            <w:shd w:val="clear" w:color="auto" w:fill="auto"/>
            <w:noWrap/>
            <w:vAlign w:val="bottom"/>
            <w:hideMark/>
          </w:tcPr>
          <w:p w14:paraId="5FF6F42F"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64%</w:t>
            </w:r>
          </w:p>
        </w:tc>
      </w:tr>
      <w:tr w:rsidR="00AC362E" w:rsidRPr="00491EF1" w14:paraId="18E41499" w14:textId="77777777" w:rsidTr="00ED0631">
        <w:trPr>
          <w:trHeight w:val="315"/>
        </w:trPr>
        <w:tc>
          <w:tcPr>
            <w:tcW w:w="1932" w:type="dxa"/>
            <w:tcBorders>
              <w:top w:val="single" w:sz="4" w:space="0" w:color="auto"/>
              <w:left w:val="nil"/>
              <w:bottom w:val="single" w:sz="4" w:space="0" w:color="auto"/>
              <w:right w:val="nil"/>
            </w:tcBorders>
            <w:shd w:val="clear" w:color="auto" w:fill="auto"/>
            <w:noWrap/>
            <w:vAlign w:val="bottom"/>
            <w:hideMark/>
          </w:tcPr>
          <w:p w14:paraId="1FA3E425"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88" w:type="dxa"/>
            <w:tcBorders>
              <w:top w:val="single" w:sz="4" w:space="0" w:color="auto"/>
              <w:left w:val="nil"/>
              <w:bottom w:val="single" w:sz="4" w:space="0" w:color="auto"/>
              <w:right w:val="nil"/>
            </w:tcBorders>
            <w:shd w:val="clear" w:color="auto" w:fill="auto"/>
            <w:noWrap/>
            <w:vAlign w:val="bottom"/>
            <w:hideMark/>
          </w:tcPr>
          <w:p w14:paraId="6D741204" w14:textId="77777777" w:rsidR="00AC362E" w:rsidRPr="00491EF1" w:rsidRDefault="00AC362E" w:rsidP="00ED0631">
            <w:pPr>
              <w:spacing w:after="0"/>
              <w:jc w:val="right"/>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70%</w:t>
            </w:r>
          </w:p>
        </w:tc>
      </w:tr>
    </w:tbl>
    <w:p w14:paraId="00F6EFDA"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1C5C2F80"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47: School leaders' rating of whether students are doing better by island</w:t>
      </w:r>
    </w:p>
    <w:tbl>
      <w:tblPr>
        <w:tblW w:w="5000" w:type="pct"/>
        <w:tblLook w:val="04A0" w:firstRow="1" w:lastRow="0" w:firstColumn="1" w:lastColumn="0" w:noHBand="0" w:noVBand="1"/>
        <w:tblCaption w:val="Table 47"/>
        <w:tblDescription w:val="School leaders' rating of whether students are doing better by island"/>
      </w:tblPr>
      <w:tblGrid>
        <w:gridCol w:w="1973"/>
        <w:gridCol w:w="1531"/>
        <w:gridCol w:w="2254"/>
        <w:gridCol w:w="1625"/>
        <w:gridCol w:w="1859"/>
      </w:tblGrid>
      <w:tr w:rsidR="00AC362E" w:rsidRPr="00491EF1" w14:paraId="3FA300BE" w14:textId="77777777" w:rsidTr="00510F8B">
        <w:trPr>
          <w:trHeight w:val="315"/>
        </w:trPr>
        <w:tc>
          <w:tcPr>
            <w:tcW w:w="1067" w:type="pct"/>
            <w:tcBorders>
              <w:top w:val="single" w:sz="4" w:space="0" w:color="auto"/>
              <w:left w:val="nil"/>
              <w:bottom w:val="single" w:sz="4" w:space="0" w:color="auto"/>
              <w:right w:val="nil"/>
            </w:tcBorders>
            <w:shd w:val="clear" w:color="auto" w:fill="auto"/>
            <w:noWrap/>
            <w:vAlign w:val="bottom"/>
            <w:hideMark/>
          </w:tcPr>
          <w:p w14:paraId="179708E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828" w:type="pct"/>
            <w:tcBorders>
              <w:top w:val="single" w:sz="4" w:space="0" w:color="auto"/>
              <w:left w:val="nil"/>
              <w:bottom w:val="single" w:sz="4" w:space="0" w:color="auto"/>
              <w:right w:val="nil"/>
            </w:tcBorders>
            <w:shd w:val="clear" w:color="auto" w:fill="auto"/>
            <w:noWrap/>
            <w:vAlign w:val="bottom"/>
            <w:hideMark/>
          </w:tcPr>
          <w:p w14:paraId="183D959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Much better </w:t>
            </w:r>
          </w:p>
        </w:tc>
        <w:tc>
          <w:tcPr>
            <w:tcW w:w="1219" w:type="pct"/>
            <w:tcBorders>
              <w:top w:val="single" w:sz="4" w:space="0" w:color="auto"/>
              <w:left w:val="nil"/>
              <w:bottom w:val="single" w:sz="4" w:space="0" w:color="auto"/>
              <w:right w:val="nil"/>
            </w:tcBorders>
            <w:shd w:val="clear" w:color="auto" w:fill="auto"/>
            <w:noWrap/>
            <w:vAlign w:val="bottom"/>
            <w:hideMark/>
          </w:tcPr>
          <w:p w14:paraId="0DA0BA3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Significantly better </w:t>
            </w:r>
          </w:p>
        </w:tc>
        <w:tc>
          <w:tcPr>
            <w:tcW w:w="879" w:type="pct"/>
            <w:tcBorders>
              <w:top w:val="single" w:sz="4" w:space="0" w:color="auto"/>
              <w:left w:val="nil"/>
              <w:bottom w:val="single" w:sz="4" w:space="0" w:color="auto"/>
              <w:right w:val="nil"/>
            </w:tcBorders>
            <w:shd w:val="clear" w:color="auto" w:fill="auto"/>
            <w:noWrap/>
            <w:vAlign w:val="bottom"/>
            <w:hideMark/>
          </w:tcPr>
          <w:p w14:paraId="6A1528A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 little better </w:t>
            </w:r>
          </w:p>
        </w:tc>
        <w:tc>
          <w:tcPr>
            <w:tcW w:w="1006" w:type="pct"/>
            <w:tcBorders>
              <w:top w:val="single" w:sz="4" w:space="0" w:color="auto"/>
              <w:left w:val="nil"/>
              <w:bottom w:val="single" w:sz="4" w:space="0" w:color="auto"/>
              <w:right w:val="nil"/>
            </w:tcBorders>
            <w:shd w:val="clear" w:color="auto" w:fill="auto"/>
            <w:noWrap/>
            <w:vAlign w:val="bottom"/>
            <w:hideMark/>
          </w:tcPr>
          <w:p w14:paraId="48C4C41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Same as before </w:t>
            </w:r>
          </w:p>
        </w:tc>
      </w:tr>
      <w:tr w:rsidR="00AC362E" w:rsidRPr="00491EF1" w14:paraId="5C0C6665" w14:textId="77777777" w:rsidTr="00510F8B">
        <w:trPr>
          <w:trHeight w:val="315"/>
        </w:trPr>
        <w:tc>
          <w:tcPr>
            <w:tcW w:w="1067" w:type="pct"/>
            <w:tcBorders>
              <w:top w:val="nil"/>
              <w:left w:val="nil"/>
              <w:bottom w:val="nil"/>
              <w:right w:val="nil"/>
            </w:tcBorders>
            <w:shd w:val="clear" w:color="auto" w:fill="auto"/>
            <w:noWrap/>
            <w:vAlign w:val="bottom"/>
            <w:hideMark/>
          </w:tcPr>
          <w:p w14:paraId="6B604BD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Abaiang </w:t>
            </w:r>
          </w:p>
        </w:tc>
        <w:tc>
          <w:tcPr>
            <w:tcW w:w="828" w:type="pct"/>
            <w:tcBorders>
              <w:top w:val="nil"/>
              <w:left w:val="nil"/>
              <w:bottom w:val="nil"/>
              <w:right w:val="nil"/>
            </w:tcBorders>
            <w:shd w:val="clear" w:color="auto" w:fill="auto"/>
            <w:noWrap/>
            <w:vAlign w:val="bottom"/>
            <w:hideMark/>
          </w:tcPr>
          <w:p w14:paraId="6849861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219" w:type="pct"/>
            <w:tcBorders>
              <w:top w:val="nil"/>
              <w:left w:val="nil"/>
              <w:bottom w:val="nil"/>
              <w:right w:val="nil"/>
            </w:tcBorders>
            <w:shd w:val="clear" w:color="auto" w:fill="auto"/>
            <w:noWrap/>
            <w:vAlign w:val="bottom"/>
            <w:hideMark/>
          </w:tcPr>
          <w:p w14:paraId="67AAE3A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79" w:type="pct"/>
            <w:tcBorders>
              <w:top w:val="nil"/>
              <w:left w:val="nil"/>
              <w:bottom w:val="nil"/>
              <w:right w:val="nil"/>
            </w:tcBorders>
            <w:shd w:val="clear" w:color="auto" w:fill="auto"/>
            <w:noWrap/>
            <w:vAlign w:val="bottom"/>
            <w:hideMark/>
          </w:tcPr>
          <w:p w14:paraId="21ED0ED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4 </w:t>
            </w:r>
          </w:p>
        </w:tc>
        <w:tc>
          <w:tcPr>
            <w:tcW w:w="1006" w:type="pct"/>
            <w:tcBorders>
              <w:top w:val="nil"/>
              <w:left w:val="nil"/>
              <w:bottom w:val="nil"/>
              <w:right w:val="nil"/>
            </w:tcBorders>
            <w:shd w:val="clear" w:color="auto" w:fill="auto"/>
            <w:noWrap/>
            <w:vAlign w:val="bottom"/>
            <w:hideMark/>
          </w:tcPr>
          <w:p w14:paraId="1E5FCB7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37AE0878" w14:textId="77777777" w:rsidTr="00510F8B">
        <w:trPr>
          <w:trHeight w:val="315"/>
        </w:trPr>
        <w:tc>
          <w:tcPr>
            <w:tcW w:w="1067" w:type="pct"/>
            <w:tcBorders>
              <w:top w:val="nil"/>
              <w:left w:val="nil"/>
              <w:bottom w:val="nil"/>
              <w:right w:val="nil"/>
            </w:tcBorders>
            <w:shd w:val="clear" w:color="auto" w:fill="auto"/>
            <w:noWrap/>
            <w:vAlign w:val="bottom"/>
            <w:hideMark/>
          </w:tcPr>
          <w:p w14:paraId="62C1214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Butaritari </w:t>
            </w:r>
          </w:p>
        </w:tc>
        <w:tc>
          <w:tcPr>
            <w:tcW w:w="828" w:type="pct"/>
            <w:tcBorders>
              <w:top w:val="nil"/>
              <w:left w:val="nil"/>
              <w:bottom w:val="nil"/>
              <w:right w:val="nil"/>
            </w:tcBorders>
            <w:shd w:val="clear" w:color="auto" w:fill="auto"/>
            <w:noWrap/>
            <w:vAlign w:val="bottom"/>
            <w:hideMark/>
          </w:tcPr>
          <w:p w14:paraId="2627ADC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219" w:type="pct"/>
            <w:tcBorders>
              <w:top w:val="nil"/>
              <w:left w:val="nil"/>
              <w:bottom w:val="nil"/>
              <w:right w:val="nil"/>
            </w:tcBorders>
            <w:shd w:val="clear" w:color="auto" w:fill="auto"/>
            <w:noWrap/>
            <w:vAlign w:val="bottom"/>
            <w:hideMark/>
          </w:tcPr>
          <w:p w14:paraId="5B41F86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879" w:type="pct"/>
            <w:tcBorders>
              <w:top w:val="nil"/>
              <w:left w:val="nil"/>
              <w:bottom w:val="nil"/>
              <w:right w:val="nil"/>
            </w:tcBorders>
            <w:shd w:val="clear" w:color="auto" w:fill="auto"/>
            <w:noWrap/>
            <w:vAlign w:val="bottom"/>
            <w:hideMark/>
          </w:tcPr>
          <w:p w14:paraId="0CE3ED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006" w:type="pct"/>
            <w:tcBorders>
              <w:top w:val="nil"/>
              <w:left w:val="nil"/>
              <w:bottom w:val="nil"/>
              <w:right w:val="nil"/>
            </w:tcBorders>
            <w:shd w:val="clear" w:color="auto" w:fill="auto"/>
            <w:noWrap/>
            <w:vAlign w:val="bottom"/>
            <w:hideMark/>
          </w:tcPr>
          <w:p w14:paraId="1F2A5FE8"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2334132" w14:textId="77777777" w:rsidTr="00510F8B">
        <w:trPr>
          <w:trHeight w:val="315"/>
        </w:trPr>
        <w:tc>
          <w:tcPr>
            <w:tcW w:w="1067" w:type="pct"/>
            <w:tcBorders>
              <w:top w:val="nil"/>
              <w:left w:val="nil"/>
              <w:bottom w:val="nil"/>
              <w:right w:val="nil"/>
            </w:tcBorders>
            <w:shd w:val="clear" w:color="auto" w:fill="auto"/>
            <w:noWrap/>
            <w:vAlign w:val="bottom"/>
            <w:hideMark/>
          </w:tcPr>
          <w:p w14:paraId="2A87BE7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Kiritimati </w:t>
            </w:r>
          </w:p>
        </w:tc>
        <w:tc>
          <w:tcPr>
            <w:tcW w:w="828" w:type="pct"/>
            <w:tcBorders>
              <w:top w:val="nil"/>
              <w:left w:val="nil"/>
              <w:bottom w:val="nil"/>
              <w:right w:val="nil"/>
            </w:tcBorders>
            <w:shd w:val="clear" w:color="auto" w:fill="auto"/>
            <w:noWrap/>
            <w:vAlign w:val="bottom"/>
            <w:hideMark/>
          </w:tcPr>
          <w:p w14:paraId="34A35B3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219" w:type="pct"/>
            <w:tcBorders>
              <w:top w:val="nil"/>
              <w:left w:val="nil"/>
              <w:bottom w:val="nil"/>
              <w:right w:val="nil"/>
            </w:tcBorders>
            <w:shd w:val="clear" w:color="auto" w:fill="auto"/>
            <w:noWrap/>
            <w:vAlign w:val="bottom"/>
            <w:hideMark/>
          </w:tcPr>
          <w:p w14:paraId="79EE067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879" w:type="pct"/>
            <w:tcBorders>
              <w:top w:val="nil"/>
              <w:left w:val="nil"/>
              <w:bottom w:val="nil"/>
              <w:right w:val="nil"/>
            </w:tcBorders>
            <w:shd w:val="clear" w:color="auto" w:fill="auto"/>
            <w:noWrap/>
            <w:vAlign w:val="bottom"/>
            <w:hideMark/>
          </w:tcPr>
          <w:p w14:paraId="3B7C099C"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06" w:type="pct"/>
            <w:tcBorders>
              <w:top w:val="nil"/>
              <w:left w:val="nil"/>
              <w:bottom w:val="nil"/>
              <w:right w:val="nil"/>
            </w:tcBorders>
            <w:shd w:val="clear" w:color="auto" w:fill="auto"/>
            <w:noWrap/>
            <w:vAlign w:val="bottom"/>
            <w:hideMark/>
          </w:tcPr>
          <w:p w14:paraId="208966A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57BCCDC1" w14:textId="77777777" w:rsidTr="00510F8B">
        <w:trPr>
          <w:trHeight w:val="315"/>
        </w:trPr>
        <w:tc>
          <w:tcPr>
            <w:tcW w:w="1067" w:type="pct"/>
            <w:tcBorders>
              <w:top w:val="nil"/>
              <w:left w:val="nil"/>
              <w:bottom w:val="nil"/>
              <w:right w:val="nil"/>
            </w:tcBorders>
            <w:shd w:val="clear" w:color="auto" w:fill="auto"/>
            <w:noWrap/>
            <w:vAlign w:val="bottom"/>
            <w:hideMark/>
          </w:tcPr>
          <w:p w14:paraId="13590E0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Maiana </w:t>
            </w:r>
          </w:p>
        </w:tc>
        <w:tc>
          <w:tcPr>
            <w:tcW w:w="828" w:type="pct"/>
            <w:tcBorders>
              <w:top w:val="nil"/>
              <w:left w:val="nil"/>
              <w:bottom w:val="nil"/>
              <w:right w:val="nil"/>
            </w:tcBorders>
            <w:shd w:val="clear" w:color="auto" w:fill="auto"/>
            <w:noWrap/>
            <w:vAlign w:val="bottom"/>
            <w:hideMark/>
          </w:tcPr>
          <w:p w14:paraId="5A7C0DD7"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19" w:type="pct"/>
            <w:tcBorders>
              <w:top w:val="nil"/>
              <w:left w:val="nil"/>
              <w:bottom w:val="nil"/>
              <w:right w:val="nil"/>
            </w:tcBorders>
            <w:shd w:val="clear" w:color="auto" w:fill="auto"/>
            <w:noWrap/>
            <w:vAlign w:val="bottom"/>
            <w:hideMark/>
          </w:tcPr>
          <w:p w14:paraId="642BCF23"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79" w:type="pct"/>
            <w:tcBorders>
              <w:top w:val="nil"/>
              <w:left w:val="nil"/>
              <w:bottom w:val="nil"/>
              <w:right w:val="nil"/>
            </w:tcBorders>
            <w:shd w:val="clear" w:color="auto" w:fill="auto"/>
            <w:noWrap/>
            <w:vAlign w:val="bottom"/>
            <w:hideMark/>
          </w:tcPr>
          <w:p w14:paraId="7FB670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06" w:type="pct"/>
            <w:tcBorders>
              <w:top w:val="nil"/>
              <w:left w:val="nil"/>
              <w:bottom w:val="nil"/>
              <w:right w:val="nil"/>
            </w:tcBorders>
            <w:shd w:val="clear" w:color="auto" w:fill="auto"/>
            <w:noWrap/>
            <w:vAlign w:val="bottom"/>
            <w:hideMark/>
          </w:tcPr>
          <w:p w14:paraId="1500B8C3"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2324E0E4" w14:textId="77777777" w:rsidTr="00510F8B">
        <w:trPr>
          <w:trHeight w:val="315"/>
        </w:trPr>
        <w:tc>
          <w:tcPr>
            <w:tcW w:w="1067" w:type="pct"/>
            <w:tcBorders>
              <w:top w:val="nil"/>
              <w:left w:val="nil"/>
              <w:bottom w:val="nil"/>
              <w:right w:val="nil"/>
            </w:tcBorders>
            <w:shd w:val="clear" w:color="auto" w:fill="auto"/>
            <w:noWrap/>
            <w:vAlign w:val="bottom"/>
            <w:hideMark/>
          </w:tcPr>
          <w:p w14:paraId="012E58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Nonouti </w:t>
            </w:r>
          </w:p>
        </w:tc>
        <w:tc>
          <w:tcPr>
            <w:tcW w:w="828" w:type="pct"/>
            <w:tcBorders>
              <w:top w:val="nil"/>
              <w:left w:val="nil"/>
              <w:bottom w:val="nil"/>
              <w:right w:val="nil"/>
            </w:tcBorders>
            <w:shd w:val="clear" w:color="auto" w:fill="auto"/>
            <w:noWrap/>
            <w:vAlign w:val="bottom"/>
            <w:hideMark/>
          </w:tcPr>
          <w:p w14:paraId="6A119BB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219" w:type="pct"/>
            <w:tcBorders>
              <w:top w:val="nil"/>
              <w:left w:val="nil"/>
              <w:bottom w:val="nil"/>
              <w:right w:val="nil"/>
            </w:tcBorders>
            <w:shd w:val="clear" w:color="auto" w:fill="auto"/>
            <w:noWrap/>
            <w:vAlign w:val="bottom"/>
            <w:hideMark/>
          </w:tcPr>
          <w:p w14:paraId="408ED2B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879" w:type="pct"/>
            <w:tcBorders>
              <w:top w:val="nil"/>
              <w:left w:val="nil"/>
              <w:bottom w:val="nil"/>
              <w:right w:val="nil"/>
            </w:tcBorders>
            <w:shd w:val="clear" w:color="auto" w:fill="auto"/>
            <w:noWrap/>
            <w:vAlign w:val="bottom"/>
            <w:hideMark/>
          </w:tcPr>
          <w:p w14:paraId="423737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06" w:type="pct"/>
            <w:tcBorders>
              <w:top w:val="nil"/>
              <w:left w:val="nil"/>
              <w:bottom w:val="nil"/>
              <w:right w:val="nil"/>
            </w:tcBorders>
            <w:shd w:val="clear" w:color="auto" w:fill="auto"/>
            <w:noWrap/>
            <w:vAlign w:val="bottom"/>
            <w:hideMark/>
          </w:tcPr>
          <w:p w14:paraId="5B63EA6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69ACF624" w14:textId="77777777" w:rsidTr="00510F8B">
        <w:trPr>
          <w:trHeight w:val="315"/>
        </w:trPr>
        <w:tc>
          <w:tcPr>
            <w:tcW w:w="1067" w:type="pct"/>
            <w:tcBorders>
              <w:top w:val="nil"/>
              <w:left w:val="nil"/>
              <w:bottom w:val="nil"/>
              <w:right w:val="nil"/>
            </w:tcBorders>
            <w:shd w:val="clear" w:color="auto" w:fill="auto"/>
            <w:noWrap/>
            <w:vAlign w:val="bottom"/>
            <w:hideMark/>
          </w:tcPr>
          <w:p w14:paraId="58D4526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Tabiteuea </w:t>
            </w:r>
          </w:p>
        </w:tc>
        <w:tc>
          <w:tcPr>
            <w:tcW w:w="828" w:type="pct"/>
            <w:tcBorders>
              <w:top w:val="nil"/>
              <w:left w:val="nil"/>
              <w:bottom w:val="nil"/>
              <w:right w:val="nil"/>
            </w:tcBorders>
            <w:shd w:val="clear" w:color="auto" w:fill="auto"/>
            <w:noWrap/>
            <w:vAlign w:val="bottom"/>
            <w:hideMark/>
          </w:tcPr>
          <w:p w14:paraId="6469655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219" w:type="pct"/>
            <w:tcBorders>
              <w:top w:val="nil"/>
              <w:left w:val="nil"/>
              <w:bottom w:val="nil"/>
              <w:right w:val="nil"/>
            </w:tcBorders>
            <w:shd w:val="clear" w:color="auto" w:fill="auto"/>
            <w:noWrap/>
            <w:vAlign w:val="bottom"/>
            <w:hideMark/>
          </w:tcPr>
          <w:p w14:paraId="3A61E8D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879" w:type="pct"/>
            <w:tcBorders>
              <w:top w:val="nil"/>
              <w:left w:val="nil"/>
              <w:bottom w:val="nil"/>
              <w:right w:val="nil"/>
            </w:tcBorders>
            <w:shd w:val="clear" w:color="auto" w:fill="auto"/>
            <w:noWrap/>
            <w:vAlign w:val="bottom"/>
            <w:hideMark/>
          </w:tcPr>
          <w:p w14:paraId="592D59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1006" w:type="pct"/>
            <w:tcBorders>
              <w:top w:val="nil"/>
              <w:left w:val="nil"/>
              <w:bottom w:val="nil"/>
              <w:right w:val="nil"/>
            </w:tcBorders>
            <w:shd w:val="clear" w:color="auto" w:fill="auto"/>
            <w:noWrap/>
            <w:vAlign w:val="bottom"/>
            <w:hideMark/>
          </w:tcPr>
          <w:p w14:paraId="3BCE0545"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1189F64" w14:textId="77777777" w:rsidTr="00510F8B">
        <w:trPr>
          <w:trHeight w:val="315"/>
        </w:trPr>
        <w:tc>
          <w:tcPr>
            <w:tcW w:w="1067" w:type="pct"/>
            <w:tcBorders>
              <w:top w:val="nil"/>
              <w:left w:val="nil"/>
              <w:bottom w:val="nil"/>
              <w:right w:val="nil"/>
            </w:tcBorders>
            <w:shd w:val="clear" w:color="auto" w:fill="auto"/>
            <w:noWrap/>
            <w:vAlign w:val="bottom"/>
            <w:hideMark/>
          </w:tcPr>
          <w:p w14:paraId="2B6BA7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Tarawa </w:t>
            </w:r>
          </w:p>
        </w:tc>
        <w:tc>
          <w:tcPr>
            <w:tcW w:w="828" w:type="pct"/>
            <w:tcBorders>
              <w:top w:val="nil"/>
              <w:left w:val="nil"/>
              <w:bottom w:val="nil"/>
              <w:right w:val="nil"/>
            </w:tcBorders>
            <w:shd w:val="clear" w:color="auto" w:fill="auto"/>
            <w:noWrap/>
            <w:vAlign w:val="bottom"/>
            <w:hideMark/>
          </w:tcPr>
          <w:p w14:paraId="5BFC6332"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219" w:type="pct"/>
            <w:tcBorders>
              <w:top w:val="nil"/>
              <w:left w:val="nil"/>
              <w:bottom w:val="nil"/>
              <w:right w:val="nil"/>
            </w:tcBorders>
            <w:shd w:val="clear" w:color="auto" w:fill="auto"/>
            <w:noWrap/>
            <w:vAlign w:val="bottom"/>
            <w:hideMark/>
          </w:tcPr>
          <w:p w14:paraId="7C76554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879" w:type="pct"/>
            <w:tcBorders>
              <w:top w:val="nil"/>
              <w:left w:val="nil"/>
              <w:bottom w:val="nil"/>
              <w:right w:val="nil"/>
            </w:tcBorders>
            <w:shd w:val="clear" w:color="auto" w:fill="auto"/>
            <w:noWrap/>
            <w:vAlign w:val="bottom"/>
            <w:hideMark/>
          </w:tcPr>
          <w:p w14:paraId="62B3202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3 </w:t>
            </w:r>
          </w:p>
        </w:tc>
        <w:tc>
          <w:tcPr>
            <w:tcW w:w="1006" w:type="pct"/>
            <w:tcBorders>
              <w:top w:val="nil"/>
              <w:left w:val="nil"/>
              <w:bottom w:val="nil"/>
              <w:right w:val="nil"/>
            </w:tcBorders>
            <w:shd w:val="clear" w:color="auto" w:fill="auto"/>
            <w:noWrap/>
            <w:vAlign w:val="bottom"/>
            <w:hideMark/>
          </w:tcPr>
          <w:p w14:paraId="0CE610A1"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275C950" w14:textId="77777777" w:rsidTr="00510F8B">
        <w:trPr>
          <w:trHeight w:val="315"/>
        </w:trPr>
        <w:tc>
          <w:tcPr>
            <w:tcW w:w="1067" w:type="pct"/>
            <w:tcBorders>
              <w:top w:val="nil"/>
              <w:left w:val="nil"/>
              <w:bottom w:val="nil"/>
              <w:right w:val="nil"/>
            </w:tcBorders>
            <w:shd w:val="clear" w:color="auto" w:fill="auto"/>
            <w:noWrap/>
            <w:vAlign w:val="bottom"/>
            <w:hideMark/>
          </w:tcPr>
          <w:p w14:paraId="58A7B44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Tabiteuea </w:t>
            </w:r>
          </w:p>
        </w:tc>
        <w:tc>
          <w:tcPr>
            <w:tcW w:w="828" w:type="pct"/>
            <w:tcBorders>
              <w:top w:val="nil"/>
              <w:left w:val="nil"/>
              <w:bottom w:val="nil"/>
              <w:right w:val="nil"/>
            </w:tcBorders>
            <w:shd w:val="clear" w:color="auto" w:fill="auto"/>
            <w:noWrap/>
            <w:vAlign w:val="bottom"/>
            <w:hideMark/>
          </w:tcPr>
          <w:p w14:paraId="34BC698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c>
          <w:tcPr>
            <w:tcW w:w="1219" w:type="pct"/>
            <w:tcBorders>
              <w:top w:val="nil"/>
              <w:left w:val="nil"/>
              <w:bottom w:val="nil"/>
              <w:right w:val="nil"/>
            </w:tcBorders>
            <w:shd w:val="clear" w:color="auto" w:fill="auto"/>
            <w:noWrap/>
            <w:vAlign w:val="bottom"/>
            <w:hideMark/>
          </w:tcPr>
          <w:p w14:paraId="3B2A2AE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c>
          <w:tcPr>
            <w:tcW w:w="879" w:type="pct"/>
            <w:tcBorders>
              <w:top w:val="nil"/>
              <w:left w:val="nil"/>
              <w:bottom w:val="nil"/>
              <w:right w:val="nil"/>
            </w:tcBorders>
            <w:shd w:val="clear" w:color="auto" w:fill="auto"/>
            <w:noWrap/>
            <w:vAlign w:val="bottom"/>
            <w:hideMark/>
          </w:tcPr>
          <w:p w14:paraId="5BBDA4BB"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1006" w:type="pct"/>
            <w:tcBorders>
              <w:top w:val="nil"/>
              <w:left w:val="nil"/>
              <w:bottom w:val="nil"/>
              <w:right w:val="nil"/>
            </w:tcBorders>
            <w:shd w:val="clear" w:color="auto" w:fill="auto"/>
            <w:noWrap/>
            <w:vAlign w:val="bottom"/>
            <w:hideMark/>
          </w:tcPr>
          <w:p w14:paraId="1565839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 </w:t>
            </w:r>
          </w:p>
        </w:tc>
      </w:tr>
      <w:tr w:rsidR="00AC362E" w:rsidRPr="00491EF1" w14:paraId="3D752134" w14:textId="77777777" w:rsidTr="00510F8B">
        <w:trPr>
          <w:trHeight w:val="315"/>
        </w:trPr>
        <w:tc>
          <w:tcPr>
            <w:tcW w:w="1067" w:type="pct"/>
            <w:tcBorders>
              <w:top w:val="nil"/>
              <w:left w:val="nil"/>
              <w:bottom w:val="nil"/>
              <w:right w:val="nil"/>
            </w:tcBorders>
            <w:shd w:val="clear" w:color="auto" w:fill="auto"/>
            <w:noWrap/>
            <w:vAlign w:val="bottom"/>
            <w:hideMark/>
          </w:tcPr>
          <w:p w14:paraId="2BB8E84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Tarawa </w:t>
            </w:r>
          </w:p>
        </w:tc>
        <w:tc>
          <w:tcPr>
            <w:tcW w:w="828" w:type="pct"/>
            <w:tcBorders>
              <w:top w:val="nil"/>
              <w:left w:val="nil"/>
              <w:bottom w:val="nil"/>
              <w:right w:val="nil"/>
            </w:tcBorders>
            <w:shd w:val="clear" w:color="auto" w:fill="auto"/>
            <w:noWrap/>
            <w:vAlign w:val="bottom"/>
            <w:hideMark/>
          </w:tcPr>
          <w:p w14:paraId="6FB3494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219" w:type="pct"/>
            <w:tcBorders>
              <w:top w:val="nil"/>
              <w:left w:val="nil"/>
              <w:bottom w:val="nil"/>
              <w:right w:val="nil"/>
            </w:tcBorders>
            <w:shd w:val="clear" w:color="auto" w:fill="auto"/>
            <w:noWrap/>
            <w:vAlign w:val="bottom"/>
            <w:hideMark/>
          </w:tcPr>
          <w:p w14:paraId="4C0E0034" w14:textId="77777777" w:rsidR="00AC362E" w:rsidRPr="00491EF1" w:rsidRDefault="00AC362E" w:rsidP="00ED0631">
            <w:pPr>
              <w:spacing w:after="0"/>
              <w:rPr>
                <w:rFonts w:asciiTheme="majorHAnsi" w:eastAsia="Times New Roman" w:hAnsiTheme="majorHAnsi" w:cstheme="majorHAnsi"/>
                <w:color w:val="000000"/>
                <w:lang w:eastAsia="en-AU"/>
              </w:rPr>
            </w:pPr>
          </w:p>
        </w:tc>
        <w:tc>
          <w:tcPr>
            <w:tcW w:w="879" w:type="pct"/>
            <w:tcBorders>
              <w:top w:val="nil"/>
              <w:left w:val="nil"/>
              <w:bottom w:val="nil"/>
              <w:right w:val="nil"/>
            </w:tcBorders>
            <w:shd w:val="clear" w:color="auto" w:fill="auto"/>
            <w:noWrap/>
            <w:vAlign w:val="bottom"/>
            <w:hideMark/>
          </w:tcPr>
          <w:p w14:paraId="502AB0B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5 </w:t>
            </w:r>
          </w:p>
        </w:tc>
        <w:tc>
          <w:tcPr>
            <w:tcW w:w="1006" w:type="pct"/>
            <w:tcBorders>
              <w:top w:val="nil"/>
              <w:left w:val="nil"/>
              <w:bottom w:val="nil"/>
              <w:right w:val="nil"/>
            </w:tcBorders>
            <w:shd w:val="clear" w:color="auto" w:fill="auto"/>
            <w:noWrap/>
            <w:vAlign w:val="bottom"/>
            <w:hideMark/>
          </w:tcPr>
          <w:p w14:paraId="10CA56EB" w14:textId="77777777" w:rsidR="00AC362E" w:rsidRPr="00491EF1" w:rsidRDefault="00AC362E" w:rsidP="00ED0631">
            <w:pPr>
              <w:spacing w:after="0"/>
              <w:rPr>
                <w:rFonts w:asciiTheme="majorHAnsi" w:eastAsia="Times New Roman" w:hAnsiTheme="majorHAnsi" w:cstheme="majorHAnsi"/>
                <w:color w:val="000000"/>
                <w:lang w:eastAsia="en-AU"/>
              </w:rPr>
            </w:pPr>
          </w:p>
        </w:tc>
      </w:tr>
      <w:tr w:rsidR="00AC362E" w:rsidRPr="00491EF1" w14:paraId="77ECC5AE" w14:textId="77777777" w:rsidTr="00510F8B">
        <w:trPr>
          <w:trHeight w:val="315"/>
        </w:trPr>
        <w:tc>
          <w:tcPr>
            <w:tcW w:w="1067" w:type="pct"/>
            <w:tcBorders>
              <w:top w:val="single" w:sz="4" w:space="0" w:color="auto"/>
              <w:left w:val="nil"/>
              <w:bottom w:val="single" w:sz="4" w:space="0" w:color="auto"/>
              <w:right w:val="nil"/>
            </w:tcBorders>
            <w:shd w:val="clear" w:color="auto" w:fill="auto"/>
            <w:noWrap/>
            <w:vAlign w:val="bottom"/>
            <w:hideMark/>
          </w:tcPr>
          <w:p w14:paraId="5187ABB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828" w:type="pct"/>
            <w:tcBorders>
              <w:top w:val="single" w:sz="4" w:space="0" w:color="auto"/>
              <w:left w:val="nil"/>
              <w:bottom w:val="single" w:sz="4" w:space="0" w:color="auto"/>
              <w:right w:val="nil"/>
            </w:tcBorders>
            <w:shd w:val="clear" w:color="auto" w:fill="auto"/>
            <w:noWrap/>
            <w:vAlign w:val="bottom"/>
            <w:hideMark/>
          </w:tcPr>
          <w:p w14:paraId="5CD2A3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13 </w:t>
            </w:r>
          </w:p>
        </w:tc>
        <w:tc>
          <w:tcPr>
            <w:tcW w:w="1219" w:type="pct"/>
            <w:tcBorders>
              <w:top w:val="single" w:sz="4" w:space="0" w:color="auto"/>
              <w:left w:val="nil"/>
              <w:bottom w:val="single" w:sz="4" w:space="0" w:color="auto"/>
              <w:right w:val="nil"/>
            </w:tcBorders>
            <w:shd w:val="clear" w:color="auto" w:fill="auto"/>
            <w:noWrap/>
            <w:vAlign w:val="bottom"/>
            <w:hideMark/>
          </w:tcPr>
          <w:p w14:paraId="17D39B2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11 </w:t>
            </w:r>
          </w:p>
        </w:tc>
        <w:tc>
          <w:tcPr>
            <w:tcW w:w="879" w:type="pct"/>
            <w:tcBorders>
              <w:top w:val="single" w:sz="4" w:space="0" w:color="auto"/>
              <w:left w:val="nil"/>
              <w:bottom w:val="single" w:sz="4" w:space="0" w:color="auto"/>
              <w:right w:val="nil"/>
            </w:tcBorders>
            <w:shd w:val="clear" w:color="auto" w:fill="auto"/>
            <w:noWrap/>
            <w:vAlign w:val="bottom"/>
            <w:hideMark/>
          </w:tcPr>
          <w:p w14:paraId="2BF4273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21 </w:t>
            </w:r>
          </w:p>
        </w:tc>
        <w:tc>
          <w:tcPr>
            <w:tcW w:w="1006" w:type="pct"/>
            <w:tcBorders>
              <w:top w:val="single" w:sz="4" w:space="0" w:color="auto"/>
              <w:left w:val="nil"/>
              <w:bottom w:val="single" w:sz="4" w:space="0" w:color="auto"/>
              <w:right w:val="nil"/>
            </w:tcBorders>
            <w:shd w:val="clear" w:color="auto" w:fill="auto"/>
            <w:noWrap/>
            <w:vAlign w:val="bottom"/>
            <w:hideMark/>
          </w:tcPr>
          <w:p w14:paraId="5091797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2 </w:t>
            </w:r>
          </w:p>
        </w:tc>
      </w:tr>
    </w:tbl>
    <w:p w14:paraId="5168980D"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48: School leaders' rating of whether students are doing better by island category</w:t>
      </w:r>
    </w:p>
    <w:tbl>
      <w:tblPr>
        <w:tblW w:w="5000" w:type="pct"/>
        <w:tblLayout w:type="fixed"/>
        <w:tblLook w:val="04A0" w:firstRow="1" w:lastRow="0" w:firstColumn="1" w:lastColumn="0" w:noHBand="0" w:noVBand="1"/>
        <w:tblCaption w:val="Table 48"/>
        <w:tblDescription w:val="School leaders' rating of whether students are doing better by island category"/>
      </w:tblPr>
      <w:tblGrid>
        <w:gridCol w:w="2178"/>
        <w:gridCol w:w="1765"/>
        <w:gridCol w:w="2009"/>
        <w:gridCol w:w="1525"/>
        <w:gridCol w:w="1765"/>
      </w:tblGrid>
      <w:tr w:rsidR="00AC362E" w:rsidRPr="00491EF1" w14:paraId="441FE2ED" w14:textId="77777777" w:rsidTr="00510F8B">
        <w:trPr>
          <w:trHeight w:val="315"/>
        </w:trPr>
        <w:tc>
          <w:tcPr>
            <w:tcW w:w="1178" w:type="pct"/>
            <w:tcBorders>
              <w:top w:val="single" w:sz="4" w:space="0" w:color="auto"/>
              <w:left w:val="nil"/>
              <w:bottom w:val="single" w:sz="4" w:space="0" w:color="auto"/>
              <w:right w:val="nil"/>
            </w:tcBorders>
            <w:shd w:val="clear" w:color="auto" w:fill="auto"/>
            <w:noWrap/>
            <w:vAlign w:val="bottom"/>
            <w:hideMark/>
          </w:tcPr>
          <w:p w14:paraId="349DFDA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55" w:type="pct"/>
            <w:tcBorders>
              <w:top w:val="single" w:sz="4" w:space="0" w:color="auto"/>
              <w:left w:val="nil"/>
              <w:bottom w:val="single" w:sz="4" w:space="0" w:color="auto"/>
              <w:right w:val="nil"/>
            </w:tcBorders>
            <w:shd w:val="clear" w:color="auto" w:fill="auto"/>
            <w:noWrap/>
            <w:vAlign w:val="bottom"/>
            <w:hideMark/>
          </w:tcPr>
          <w:p w14:paraId="2C1965E2" w14:textId="3FB3C8A1"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Much better</w:t>
            </w:r>
          </w:p>
        </w:tc>
        <w:tc>
          <w:tcPr>
            <w:tcW w:w="1087" w:type="pct"/>
            <w:tcBorders>
              <w:top w:val="single" w:sz="4" w:space="0" w:color="auto"/>
              <w:left w:val="nil"/>
              <w:bottom w:val="single" w:sz="4" w:space="0" w:color="auto"/>
              <w:right w:val="nil"/>
            </w:tcBorders>
            <w:shd w:val="clear" w:color="auto" w:fill="auto"/>
            <w:noWrap/>
            <w:vAlign w:val="bottom"/>
            <w:hideMark/>
          </w:tcPr>
          <w:p w14:paraId="656663FE" w14:textId="6957DA8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Significantly better</w:t>
            </w:r>
          </w:p>
        </w:tc>
        <w:tc>
          <w:tcPr>
            <w:tcW w:w="825" w:type="pct"/>
            <w:tcBorders>
              <w:top w:val="single" w:sz="4" w:space="0" w:color="auto"/>
              <w:left w:val="nil"/>
              <w:bottom w:val="single" w:sz="4" w:space="0" w:color="auto"/>
              <w:right w:val="nil"/>
            </w:tcBorders>
            <w:shd w:val="clear" w:color="auto" w:fill="auto"/>
            <w:noWrap/>
            <w:vAlign w:val="bottom"/>
            <w:hideMark/>
          </w:tcPr>
          <w:p w14:paraId="2416FFC3" w14:textId="6FECE0D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A little better</w:t>
            </w:r>
          </w:p>
        </w:tc>
        <w:tc>
          <w:tcPr>
            <w:tcW w:w="955" w:type="pct"/>
            <w:tcBorders>
              <w:top w:val="single" w:sz="4" w:space="0" w:color="auto"/>
              <w:left w:val="nil"/>
              <w:bottom w:val="single" w:sz="4" w:space="0" w:color="auto"/>
              <w:right w:val="nil"/>
            </w:tcBorders>
            <w:shd w:val="clear" w:color="auto" w:fill="auto"/>
            <w:noWrap/>
            <w:vAlign w:val="bottom"/>
            <w:hideMark/>
          </w:tcPr>
          <w:p w14:paraId="215E9251" w14:textId="2E136AD7"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Same as before</w:t>
            </w:r>
          </w:p>
        </w:tc>
      </w:tr>
      <w:tr w:rsidR="00AC362E" w:rsidRPr="00491EF1" w14:paraId="20DEF30D" w14:textId="77777777" w:rsidTr="00510F8B">
        <w:trPr>
          <w:trHeight w:val="315"/>
        </w:trPr>
        <w:tc>
          <w:tcPr>
            <w:tcW w:w="1178" w:type="pct"/>
            <w:tcBorders>
              <w:top w:val="nil"/>
              <w:left w:val="nil"/>
              <w:bottom w:val="nil"/>
              <w:right w:val="nil"/>
            </w:tcBorders>
            <w:shd w:val="clear" w:color="auto" w:fill="auto"/>
            <w:noWrap/>
            <w:vAlign w:val="bottom"/>
            <w:hideMark/>
          </w:tcPr>
          <w:p w14:paraId="16516C1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955" w:type="pct"/>
            <w:tcBorders>
              <w:top w:val="nil"/>
              <w:left w:val="nil"/>
              <w:bottom w:val="nil"/>
              <w:right w:val="nil"/>
            </w:tcBorders>
            <w:shd w:val="clear" w:color="auto" w:fill="auto"/>
            <w:noWrap/>
            <w:vAlign w:val="bottom"/>
            <w:hideMark/>
          </w:tcPr>
          <w:p w14:paraId="4CACD84B" w14:textId="439C3C5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087" w:type="pct"/>
            <w:tcBorders>
              <w:top w:val="nil"/>
              <w:left w:val="nil"/>
              <w:bottom w:val="nil"/>
              <w:right w:val="nil"/>
            </w:tcBorders>
            <w:shd w:val="clear" w:color="auto" w:fill="auto"/>
            <w:noWrap/>
            <w:vAlign w:val="bottom"/>
            <w:hideMark/>
          </w:tcPr>
          <w:p w14:paraId="1DF28D97" w14:textId="6AA1CFBB"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c>
          <w:tcPr>
            <w:tcW w:w="825" w:type="pct"/>
            <w:tcBorders>
              <w:top w:val="nil"/>
              <w:left w:val="nil"/>
              <w:bottom w:val="nil"/>
              <w:right w:val="nil"/>
            </w:tcBorders>
            <w:shd w:val="clear" w:color="auto" w:fill="auto"/>
            <w:noWrap/>
            <w:vAlign w:val="bottom"/>
            <w:hideMark/>
          </w:tcPr>
          <w:p w14:paraId="7D2E933F" w14:textId="2C9129D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w:t>
            </w:r>
          </w:p>
        </w:tc>
        <w:tc>
          <w:tcPr>
            <w:tcW w:w="955" w:type="pct"/>
            <w:tcBorders>
              <w:top w:val="nil"/>
              <w:left w:val="nil"/>
              <w:bottom w:val="nil"/>
              <w:right w:val="nil"/>
            </w:tcBorders>
            <w:shd w:val="clear" w:color="auto" w:fill="auto"/>
            <w:noWrap/>
            <w:vAlign w:val="bottom"/>
            <w:hideMark/>
          </w:tcPr>
          <w:p w14:paraId="7ED3DD55"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25444BF9" w14:textId="77777777" w:rsidTr="00510F8B">
        <w:trPr>
          <w:trHeight w:val="315"/>
        </w:trPr>
        <w:tc>
          <w:tcPr>
            <w:tcW w:w="1178" w:type="pct"/>
            <w:tcBorders>
              <w:top w:val="nil"/>
              <w:left w:val="nil"/>
              <w:bottom w:val="nil"/>
              <w:right w:val="nil"/>
            </w:tcBorders>
            <w:shd w:val="clear" w:color="auto" w:fill="auto"/>
            <w:noWrap/>
            <w:vAlign w:val="bottom"/>
            <w:hideMark/>
          </w:tcPr>
          <w:p w14:paraId="241F063A"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955" w:type="pct"/>
            <w:tcBorders>
              <w:top w:val="nil"/>
              <w:left w:val="nil"/>
              <w:bottom w:val="nil"/>
              <w:right w:val="nil"/>
            </w:tcBorders>
            <w:shd w:val="clear" w:color="auto" w:fill="auto"/>
            <w:noWrap/>
            <w:vAlign w:val="bottom"/>
            <w:hideMark/>
          </w:tcPr>
          <w:p w14:paraId="553EA401" w14:textId="03F1581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1087" w:type="pct"/>
            <w:tcBorders>
              <w:top w:val="nil"/>
              <w:left w:val="nil"/>
              <w:bottom w:val="nil"/>
              <w:right w:val="nil"/>
            </w:tcBorders>
            <w:shd w:val="clear" w:color="auto" w:fill="auto"/>
            <w:noWrap/>
            <w:vAlign w:val="bottom"/>
            <w:hideMark/>
          </w:tcPr>
          <w:p w14:paraId="5F269866" w14:textId="5DF9DACA"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825" w:type="pct"/>
            <w:tcBorders>
              <w:top w:val="nil"/>
              <w:left w:val="nil"/>
              <w:bottom w:val="nil"/>
              <w:right w:val="nil"/>
            </w:tcBorders>
            <w:shd w:val="clear" w:color="auto" w:fill="auto"/>
            <w:noWrap/>
            <w:vAlign w:val="bottom"/>
            <w:hideMark/>
          </w:tcPr>
          <w:p w14:paraId="66B15951" w14:textId="47D92DF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c>
          <w:tcPr>
            <w:tcW w:w="955" w:type="pct"/>
            <w:tcBorders>
              <w:top w:val="nil"/>
              <w:left w:val="nil"/>
              <w:bottom w:val="nil"/>
              <w:right w:val="nil"/>
            </w:tcBorders>
            <w:shd w:val="clear" w:color="auto" w:fill="auto"/>
            <w:noWrap/>
            <w:vAlign w:val="bottom"/>
            <w:hideMark/>
          </w:tcPr>
          <w:p w14:paraId="3CBC7794" w14:textId="3147C4B3"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7D444CB0" w14:textId="77777777" w:rsidTr="00510F8B">
        <w:trPr>
          <w:trHeight w:val="315"/>
        </w:trPr>
        <w:tc>
          <w:tcPr>
            <w:tcW w:w="1178" w:type="pct"/>
            <w:tcBorders>
              <w:top w:val="nil"/>
              <w:left w:val="nil"/>
              <w:bottom w:val="nil"/>
              <w:right w:val="nil"/>
            </w:tcBorders>
            <w:shd w:val="clear" w:color="auto" w:fill="auto"/>
            <w:noWrap/>
            <w:vAlign w:val="bottom"/>
            <w:hideMark/>
          </w:tcPr>
          <w:p w14:paraId="482355D1" w14:textId="0A3B119D"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w:t>
            </w:r>
            <w:r w:rsidR="00510F8B">
              <w:rPr>
                <w:rFonts w:asciiTheme="majorHAnsi" w:eastAsia="Times New Roman" w:hAnsiTheme="majorHAnsi" w:cstheme="majorHAnsi"/>
                <w:color w:val="000000"/>
                <w:lang w:eastAsia="en-AU"/>
              </w:rPr>
              <w:t>ou</w:t>
            </w:r>
            <w:r w:rsidRPr="00491EF1">
              <w:rPr>
                <w:rFonts w:asciiTheme="majorHAnsi" w:eastAsia="Times New Roman" w:hAnsiTheme="majorHAnsi" w:cstheme="majorHAnsi"/>
                <w:color w:val="000000"/>
                <w:lang w:eastAsia="en-AU"/>
              </w:rPr>
              <w:t xml:space="preserve">th Tarawa </w:t>
            </w:r>
          </w:p>
        </w:tc>
        <w:tc>
          <w:tcPr>
            <w:tcW w:w="955" w:type="pct"/>
            <w:tcBorders>
              <w:top w:val="nil"/>
              <w:left w:val="nil"/>
              <w:bottom w:val="nil"/>
              <w:right w:val="nil"/>
            </w:tcBorders>
            <w:shd w:val="clear" w:color="auto" w:fill="auto"/>
            <w:noWrap/>
            <w:vAlign w:val="bottom"/>
            <w:hideMark/>
          </w:tcPr>
          <w:p w14:paraId="0E9FFBE9" w14:textId="46296AF1"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087" w:type="pct"/>
            <w:tcBorders>
              <w:top w:val="nil"/>
              <w:left w:val="nil"/>
              <w:bottom w:val="nil"/>
              <w:right w:val="nil"/>
            </w:tcBorders>
            <w:shd w:val="clear" w:color="auto" w:fill="auto"/>
            <w:noWrap/>
            <w:vAlign w:val="bottom"/>
            <w:hideMark/>
          </w:tcPr>
          <w:p w14:paraId="2A8FC9FA"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825" w:type="pct"/>
            <w:tcBorders>
              <w:top w:val="nil"/>
              <w:left w:val="nil"/>
              <w:bottom w:val="nil"/>
              <w:right w:val="nil"/>
            </w:tcBorders>
            <w:shd w:val="clear" w:color="auto" w:fill="auto"/>
            <w:noWrap/>
            <w:vAlign w:val="bottom"/>
            <w:hideMark/>
          </w:tcPr>
          <w:p w14:paraId="6944355D" w14:textId="7DA9A1C7"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955" w:type="pct"/>
            <w:tcBorders>
              <w:top w:val="nil"/>
              <w:left w:val="nil"/>
              <w:bottom w:val="nil"/>
              <w:right w:val="nil"/>
            </w:tcBorders>
            <w:shd w:val="clear" w:color="auto" w:fill="auto"/>
            <w:noWrap/>
            <w:vAlign w:val="bottom"/>
            <w:hideMark/>
          </w:tcPr>
          <w:p w14:paraId="78C01DCD"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1C12B608" w14:textId="77777777" w:rsidTr="00510F8B">
        <w:trPr>
          <w:trHeight w:val="315"/>
        </w:trPr>
        <w:tc>
          <w:tcPr>
            <w:tcW w:w="1178" w:type="pct"/>
            <w:tcBorders>
              <w:top w:val="single" w:sz="4" w:space="0" w:color="auto"/>
              <w:left w:val="nil"/>
              <w:bottom w:val="single" w:sz="4" w:space="0" w:color="auto"/>
              <w:right w:val="nil"/>
            </w:tcBorders>
            <w:shd w:val="clear" w:color="auto" w:fill="auto"/>
            <w:noWrap/>
            <w:vAlign w:val="bottom"/>
            <w:hideMark/>
          </w:tcPr>
          <w:p w14:paraId="403EE8A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955" w:type="pct"/>
            <w:tcBorders>
              <w:top w:val="single" w:sz="4" w:space="0" w:color="auto"/>
              <w:left w:val="nil"/>
              <w:bottom w:val="single" w:sz="4" w:space="0" w:color="auto"/>
              <w:right w:val="nil"/>
            </w:tcBorders>
            <w:shd w:val="clear" w:color="auto" w:fill="auto"/>
            <w:noWrap/>
            <w:vAlign w:val="bottom"/>
            <w:hideMark/>
          </w:tcPr>
          <w:p w14:paraId="48706473" w14:textId="57572A5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13</w:t>
            </w:r>
          </w:p>
        </w:tc>
        <w:tc>
          <w:tcPr>
            <w:tcW w:w="1087" w:type="pct"/>
            <w:tcBorders>
              <w:top w:val="single" w:sz="4" w:space="0" w:color="auto"/>
              <w:left w:val="nil"/>
              <w:bottom w:val="single" w:sz="4" w:space="0" w:color="auto"/>
              <w:right w:val="nil"/>
            </w:tcBorders>
            <w:shd w:val="clear" w:color="auto" w:fill="auto"/>
            <w:noWrap/>
            <w:vAlign w:val="bottom"/>
            <w:hideMark/>
          </w:tcPr>
          <w:p w14:paraId="1ACA6D71" w14:textId="3AB8DC9D"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11</w:t>
            </w:r>
          </w:p>
        </w:tc>
        <w:tc>
          <w:tcPr>
            <w:tcW w:w="825" w:type="pct"/>
            <w:tcBorders>
              <w:top w:val="single" w:sz="4" w:space="0" w:color="auto"/>
              <w:left w:val="nil"/>
              <w:bottom w:val="single" w:sz="4" w:space="0" w:color="auto"/>
              <w:right w:val="nil"/>
            </w:tcBorders>
            <w:shd w:val="clear" w:color="auto" w:fill="auto"/>
            <w:noWrap/>
            <w:vAlign w:val="bottom"/>
            <w:hideMark/>
          </w:tcPr>
          <w:p w14:paraId="62D53D79" w14:textId="1422627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21</w:t>
            </w:r>
          </w:p>
        </w:tc>
        <w:tc>
          <w:tcPr>
            <w:tcW w:w="955" w:type="pct"/>
            <w:tcBorders>
              <w:top w:val="single" w:sz="4" w:space="0" w:color="auto"/>
              <w:left w:val="nil"/>
              <w:bottom w:val="single" w:sz="4" w:space="0" w:color="auto"/>
              <w:right w:val="nil"/>
            </w:tcBorders>
            <w:shd w:val="clear" w:color="auto" w:fill="auto"/>
            <w:noWrap/>
            <w:vAlign w:val="bottom"/>
            <w:hideMark/>
          </w:tcPr>
          <w:p w14:paraId="29A4385B" w14:textId="6BF3E46A"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bl>
    <w:p w14:paraId="14DE0283"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49: School leaders' response to when a new SIP should be developed (Term 3 is the only correct answer) by island</w:t>
      </w:r>
    </w:p>
    <w:tbl>
      <w:tblPr>
        <w:tblW w:w="5000" w:type="pct"/>
        <w:tblLook w:val="04A0" w:firstRow="1" w:lastRow="0" w:firstColumn="1" w:lastColumn="0" w:noHBand="0" w:noVBand="1"/>
        <w:tblCaption w:val="Table 49"/>
        <w:tblDescription w:val="School leaders' response to when a new SIP should be developed (Term 3 is the only correct answer) by island"/>
      </w:tblPr>
      <w:tblGrid>
        <w:gridCol w:w="2927"/>
        <w:gridCol w:w="2105"/>
        <w:gridCol w:w="2105"/>
        <w:gridCol w:w="2105"/>
      </w:tblGrid>
      <w:tr w:rsidR="00AC362E" w:rsidRPr="00491EF1" w14:paraId="04BD7313" w14:textId="77777777" w:rsidTr="00510F8B">
        <w:trPr>
          <w:trHeight w:val="315"/>
        </w:trPr>
        <w:tc>
          <w:tcPr>
            <w:tcW w:w="1583" w:type="pct"/>
            <w:tcBorders>
              <w:top w:val="single" w:sz="4" w:space="0" w:color="auto"/>
              <w:left w:val="nil"/>
              <w:bottom w:val="single" w:sz="4" w:space="0" w:color="auto"/>
              <w:right w:val="nil"/>
            </w:tcBorders>
            <w:shd w:val="clear" w:color="auto" w:fill="auto"/>
            <w:noWrap/>
            <w:vAlign w:val="bottom"/>
            <w:hideMark/>
          </w:tcPr>
          <w:p w14:paraId="2413188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Category </w:t>
            </w:r>
          </w:p>
        </w:tc>
        <w:tc>
          <w:tcPr>
            <w:tcW w:w="1139" w:type="pct"/>
            <w:tcBorders>
              <w:top w:val="single" w:sz="4" w:space="0" w:color="auto"/>
              <w:left w:val="nil"/>
              <w:bottom w:val="single" w:sz="4" w:space="0" w:color="auto"/>
              <w:right w:val="nil"/>
            </w:tcBorders>
            <w:shd w:val="clear" w:color="auto" w:fill="auto"/>
            <w:noWrap/>
            <w:vAlign w:val="bottom"/>
            <w:hideMark/>
          </w:tcPr>
          <w:p w14:paraId="0BA0008E" w14:textId="2AC80417"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Term 3</w:t>
            </w:r>
          </w:p>
        </w:tc>
        <w:tc>
          <w:tcPr>
            <w:tcW w:w="1139" w:type="pct"/>
            <w:tcBorders>
              <w:top w:val="single" w:sz="4" w:space="0" w:color="auto"/>
              <w:left w:val="nil"/>
              <w:bottom w:val="single" w:sz="4" w:space="0" w:color="auto"/>
              <w:right w:val="nil"/>
            </w:tcBorders>
            <w:shd w:val="clear" w:color="auto" w:fill="auto"/>
            <w:noWrap/>
            <w:vAlign w:val="bottom"/>
            <w:hideMark/>
          </w:tcPr>
          <w:p w14:paraId="14420C73" w14:textId="1932F0B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When Completed</w:t>
            </w:r>
          </w:p>
        </w:tc>
        <w:tc>
          <w:tcPr>
            <w:tcW w:w="1139" w:type="pct"/>
            <w:tcBorders>
              <w:top w:val="single" w:sz="4" w:space="0" w:color="auto"/>
              <w:left w:val="nil"/>
              <w:bottom w:val="single" w:sz="4" w:space="0" w:color="auto"/>
              <w:right w:val="nil"/>
            </w:tcBorders>
            <w:shd w:val="clear" w:color="auto" w:fill="auto"/>
            <w:noWrap/>
            <w:vAlign w:val="bottom"/>
            <w:hideMark/>
          </w:tcPr>
          <w:p w14:paraId="44E4487B" w14:textId="0E0CDB2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Other</w:t>
            </w:r>
          </w:p>
        </w:tc>
      </w:tr>
      <w:tr w:rsidR="00AC362E" w:rsidRPr="00491EF1" w14:paraId="6C4ED5C4" w14:textId="77777777" w:rsidTr="00510F8B">
        <w:trPr>
          <w:trHeight w:val="315"/>
        </w:trPr>
        <w:tc>
          <w:tcPr>
            <w:tcW w:w="1583" w:type="pct"/>
            <w:tcBorders>
              <w:top w:val="nil"/>
              <w:left w:val="nil"/>
              <w:bottom w:val="nil"/>
              <w:right w:val="nil"/>
            </w:tcBorders>
            <w:shd w:val="clear" w:color="auto" w:fill="auto"/>
            <w:noWrap/>
            <w:vAlign w:val="bottom"/>
            <w:hideMark/>
          </w:tcPr>
          <w:p w14:paraId="72F451F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Abaiang </w:t>
            </w:r>
          </w:p>
        </w:tc>
        <w:tc>
          <w:tcPr>
            <w:tcW w:w="1139" w:type="pct"/>
            <w:tcBorders>
              <w:top w:val="nil"/>
              <w:left w:val="nil"/>
              <w:bottom w:val="nil"/>
              <w:right w:val="nil"/>
            </w:tcBorders>
            <w:shd w:val="clear" w:color="auto" w:fill="auto"/>
            <w:noWrap/>
            <w:vAlign w:val="bottom"/>
            <w:hideMark/>
          </w:tcPr>
          <w:p w14:paraId="21F8E45F"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645DC52F"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7C629082" w14:textId="1E4071F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43844A80" w14:textId="77777777" w:rsidTr="00510F8B">
        <w:trPr>
          <w:trHeight w:val="315"/>
        </w:trPr>
        <w:tc>
          <w:tcPr>
            <w:tcW w:w="1583" w:type="pct"/>
            <w:tcBorders>
              <w:top w:val="nil"/>
              <w:left w:val="nil"/>
              <w:bottom w:val="nil"/>
              <w:right w:val="nil"/>
            </w:tcBorders>
            <w:shd w:val="clear" w:color="auto" w:fill="auto"/>
            <w:noWrap/>
            <w:vAlign w:val="bottom"/>
            <w:hideMark/>
          </w:tcPr>
          <w:p w14:paraId="276BBADD"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Butaritari </w:t>
            </w:r>
          </w:p>
        </w:tc>
        <w:tc>
          <w:tcPr>
            <w:tcW w:w="1139" w:type="pct"/>
            <w:tcBorders>
              <w:top w:val="nil"/>
              <w:left w:val="nil"/>
              <w:bottom w:val="nil"/>
              <w:right w:val="nil"/>
            </w:tcBorders>
            <w:shd w:val="clear" w:color="auto" w:fill="auto"/>
            <w:noWrap/>
            <w:vAlign w:val="bottom"/>
            <w:hideMark/>
          </w:tcPr>
          <w:p w14:paraId="6AEC7119" w14:textId="295FC6F3"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0BBBAA7F"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39887885" w14:textId="5A602C0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5D44D239" w14:textId="77777777" w:rsidTr="00510F8B">
        <w:trPr>
          <w:trHeight w:val="315"/>
        </w:trPr>
        <w:tc>
          <w:tcPr>
            <w:tcW w:w="1583" w:type="pct"/>
            <w:tcBorders>
              <w:top w:val="nil"/>
              <w:left w:val="nil"/>
              <w:bottom w:val="nil"/>
              <w:right w:val="nil"/>
            </w:tcBorders>
            <w:shd w:val="clear" w:color="auto" w:fill="auto"/>
            <w:noWrap/>
            <w:vAlign w:val="bottom"/>
            <w:hideMark/>
          </w:tcPr>
          <w:p w14:paraId="452AF59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Kiritimati </w:t>
            </w:r>
          </w:p>
        </w:tc>
        <w:tc>
          <w:tcPr>
            <w:tcW w:w="1139" w:type="pct"/>
            <w:tcBorders>
              <w:top w:val="nil"/>
              <w:left w:val="nil"/>
              <w:bottom w:val="nil"/>
              <w:right w:val="nil"/>
            </w:tcBorders>
            <w:shd w:val="clear" w:color="auto" w:fill="auto"/>
            <w:noWrap/>
            <w:vAlign w:val="bottom"/>
            <w:hideMark/>
          </w:tcPr>
          <w:p w14:paraId="1C1C09E2" w14:textId="3686A50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7AB3D1C7" w14:textId="66768B48"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5F83C5B6" w14:textId="6CCA45C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34C9BE48" w14:textId="77777777" w:rsidTr="00510F8B">
        <w:trPr>
          <w:trHeight w:val="315"/>
        </w:trPr>
        <w:tc>
          <w:tcPr>
            <w:tcW w:w="1583" w:type="pct"/>
            <w:tcBorders>
              <w:top w:val="nil"/>
              <w:left w:val="nil"/>
              <w:bottom w:val="nil"/>
              <w:right w:val="nil"/>
            </w:tcBorders>
            <w:shd w:val="clear" w:color="auto" w:fill="auto"/>
            <w:noWrap/>
            <w:vAlign w:val="bottom"/>
            <w:hideMark/>
          </w:tcPr>
          <w:p w14:paraId="3441BF4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Maiana </w:t>
            </w:r>
          </w:p>
        </w:tc>
        <w:tc>
          <w:tcPr>
            <w:tcW w:w="1139" w:type="pct"/>
            <w:tcBorders>
              <w:top w:val="nil"/>
              <w:left w:val="nil"/>
              <w:bottom w:val="nil"/>
              <w:right w:val="nil"/>
            </w:tcBorders>
            <w:shd w:val="clear" w:color="auto" w:fill="auto"/>
            <w:noWrap/>
            <w:vAlign w:val="bottom"/>
            <w:hideMark/>
          </w:tcPr>
          <w:p w14:paraId="595305B1"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610E3269"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78B0E18C" w14:textId="26E3264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10907BCB" w14:textId="77777777" w:rsidTr="00510F8B">
        <w:trPr>
          <w:trHeight w:val="315"/>
        </w:trPr>
        <w:tc>
          <w:tcPr>
            <w:tcW w:w="1583" w:type="pct"/>
            <w:tcBorders>
              <w:top w:val="nil"/>
              <w:left w:val="nil"/>
              <w:bottom w:val="nil"/>
              <w:right w:val="nil"/>
            </w:tcBorders>
            <w:shd w:val="clear" w:color="auto" w:fill="auto"/>
            <w:noWrap/>
            <w:vAlign w:val="bottom"/>
            <w:hideMark/>
          </w:tcPr>
          <w:p w14:paraId="3A95A4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Nonouti </w:t>
            </w:r>
          </w:p>
        </w:tc>
        <w:tc>
          <w:tcPr>
            <w:tcW w:w="1139" w:type="pct"/>
            <w:tcBorders>
              <w:top w:val="nil"/>
              <w:left w:val="nil"/>
              <w:bottom w:val="nil"/>
              <w:right w:val="nil"/>
            </w:tcBorders>
            <w:shd w:val="clear" w:color="auto" w:fill="auto"/>
            <w:noWrap/>
            <w:vAlign w:val="bottom"/>
            <w:hideMark/>
          </w:tcPr>
          <w:p w14:paraId="19E3F61B" w14:textId="73413781"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59652886" w14:textId="27FB4068"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1139" w:type="pct"/>
            <w:tcBorders>
              <w:top w:val="nil"/>
              <w:left w:val="nil"/>
              <w:bottom w:val="nil"/>
              <w:right w:val="nil"/>
            </w:tcBorders>
            <w:shd w:val="clear" w:color="auto" w:fill="auto"/>
            <w:noWrap/>
            <w:vAlign w:val="bottom"/>
            <w:hideMark/>
          </w:tcPr>
          <w:p w14:paraId="18D077CC" w14:textId="6CE2A90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r>
      <w:tr w:rsidR="00AC362E" w:rsidRPr="00491EF1" w14:paraId="33F46DDC" w14:textId="77777777" w:rsidTr="00510F8B">
        <w:trPr>
          <w:trHeight w:val="315"/>
        </w:trPr>
        <w:tc>
          <w:tcPr>
            <w:tcW w:w="1583" w:type="pct"/>
            <w:tcBorders>
              <w:top w:val="nil"/>
              <w:left w:val="nil"/>
              <w:bottom w:val="nil"/>
              <w:right w:val="nil"/>
            </w:tcBorders>
            <w:shd w:val="clear" w:color="auto" w:fill="auto"/>
            <w:noWrap/>
            <w:vAlign w:val="bottom"/>
            <w:hideMark/>
          </w:tcPr>
          <w:p w14:paraId="11E9D47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Tabiteuea </w:t>
            </w:r>
          </w:p>
        </w:tc>
        <w:tc>
          <w:tcPr>
            <w:tcW w:w="1139" w:type="pct"/>
            <w:tcBorders>
              <w:top w:val="nil"/>
              <w:left w:val="nil"/>
              <w:bottom w:val="nil"/>
              <w:right w:val="nil"/>
            </w:tcBorders>
            <w:shd w:val="clear" w:color="auto" w:fill="auto"/>
            <w:noWrap/>
            <w:vAlign w:val="bottom"/>
            <w:hideMark/>
          </w:tcPr>
          <w:p w14:paraId="5287C7A5" w14:textId="4E7B43D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3E02E18E" w14:textId="69E56D7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0F93CB8C" w14:textId="21A60F9B"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183029F8" w14:textId="77777777" w:rsidTr="00510F8B">
        <w:trPr>
          <w:trHeight w:val="315"/>
        </w:trPr>
        <w:tc>
          <w:tcPr>
            <w:tcW w:w="1583" w:type="pct"/>
            <w:tcBorders>
              <w:top w:val="nil"/>
              <w:left w:val="nil"/>
              <w:bottom w:val="nil"/>
              <w:right w:val="nil"/>
            </w:tcBorders>
            <w:shd w:val="clear" w:color="auto" w:fill="auto"/>
            <w:noWrap/>
            <w:vAlign w:val="bottom"/>
            <w:hideMark/>
          </w:tcPr>
          <w:p w14:paraId="43276D02"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Tarawa </w:t>
            </w:r>
          </w:p>
        </w:tc>
        <w:tc>
          <w:tcPr>
            <w:tcW w:w="1139" w:type="pct"/>
            <w:tcBorders>
              <w:top w:val="nil"/>
              <w:left w:val="nil"/>
              <w:bottom w:val="nil"/>
              <w:right w:val="nil"/>
            </w:tcBorders>
            <w:shd w:val="clear" w:color="auto" w:fill="auto"/>
            <w:noWrap/>
            <w:vAlign w:val="bottom"/>
            <w:hideMark/>
          </w:tcPr>
          <w:p w14:paraId="5A8DC8A1"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0C56BFB4" w14:textId="7AB173D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1139" w:type="pct"/>
            <w:tcBorders>
              <w:top w:val="nil"/>
              <w:left w:val="nil"/>
              <w:bottom w:val="nil"/>
              <w:right w:val="nil"/>
            </w:tcBorders>
            <w:shd w:val="clear" w:color="auto" w:fill="auto"/>
            <w:noWrap/>
            <w:vAlign w:val="bottom"/>
            <w:hideMark/>
          </w:tcPr>
          <w:p w14:paraId="77050F7D" w14:textId="04B4EFD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r>
      <w:tr w:rsidR="00AC362E" w:rsidRPr="00491EF1" w14:paraId="2DC50B86" w14:textId="77777777" w:rsidTr="00510F8B">
        <w:trPr>
          <w:trHeight w:val="315"/>
        </w:trPr>
        <w:tc>
          <w:tcPr>
            <w:tcW w:w="1583" w:type="pct"/>
            <w:tcBorders>
              <w:top w:val="nil"/>
              <w:left w:val="nil"/>
              <w:bottom w:val="nil"/>
              <w:right w:val="nil"/>
            </w:tcBorders>
            <w:shd w:val="clear" w:color="auto" w:fill="auto"/>
            <w:noWrap/>
            <w:vAlign w:val="bottom"/>
            <w:hideMark/>
          </w:tcPr>
          <w:p w14:paraId="0AC6D6CE"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Tabiteuea </w:t>
            </w:r>
          </w:p>
        </w:tc>
        <w:tc>
          <w:tcPr>
            <w:tcW w:w="1139" w:type="pct"/>
            <w:tcBorders>
              <w:top w:val="nil"/>
              <w:left w:val="nil"/>
              <w:bottom w:val="nil"/>
              <w:right w:val="nil"/>
            </w:tcBorders>
            <w:shd w:val="clear" w:color="auto" w:fill="auto"/>
            <w:noWrap/>
            <w:vAlign w:val="bottom"/>
            <w:hideMark/>
          </w:tcPr>
          <w:p w14:paraId="092B49CC" w14:textId="2C61FFE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1139" w:type="pct"/>
            <w:tcBorders>
              <w:top w:val="nil"/>
              <w:left w:val="nil"/>
              <w:bottom w:val="nil"/>
              <w:right w:val="nil"/>
            </w:tcBorders>
            <w:shd w:val="clear" w:color="auto" w:fill="auto"/>
            <w:noWrap/>
            <w:vAlign w:val="bottom"/>
            <w:hideMark/>
          </w:tcPr>
          <w:p w14:paraId="5CBAC9FC"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04E3AF34" w14:textId="46A3BB07"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0092F817" w14:textId="77777777" w:rsidTr="00510F8B">
        <w:trPr>
          <w:trHeight w:val="315"/>
        </w:trPr>
        <w:tc>
          <w:tcPr>
            <w:tcW w:w="1583" w:type="pct"/>
            <w:tcBorders>
              <w:top w:val="nil"/>
              <w:left w:val="nil"/>
              <w:bottom w:val="nil"/>
              <w:right w:val="nil"/>
            </w:tcBorders>
            <w:shd w:val="clear" w:color="auto" w:fill="auto"/>
            <w:noWrap/>
            <w:vAlign w:val="bottom"/>
            <w:hideMark/>
          </w:tcPr>
          <w:p w14:paraId="7B57DEE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Tarawa </w:t>
            </w:r>
          </w:p>
        </w:tc>
        <w:tc>
          <w:tcPr>
            <w:tcW w:w="1139" w:type="pct"/>
            <w:tcBorders>
              <w:top w:val="nil"/>
              <w:left w:val="nil"/>
              <w:bottom w:val="nil"/>
              <w:right w:val="nil"/>
            </w:tcBorders>
            <w:shd w:val="clear" w:color="auto" w:fill="auto"/>
            <w:noWrap/>
            <w:vAlign w:val="bottom"/>
            <w:hideMark/>
          </w:tcPr>
          <w:p w14:paraId="750F5234"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67D192B1"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139" w:type="pct"/>
            <w:tcBorders>
              <w:top w:val="nil"/>
              <w:left w:val="nil"/>
              <w:bottom w:val="nil"/>
              <w:right w:val="nil"/>
            </w:tcBorders>
            <w:shd w:val="clear" w:color="auto" w:fill="auto"/>
            <w:noWrap/>
            <w:vAlign w:val="bottom"/>
            <w:hideMark/>
          </w:tcPr>
          <w:p w14:paraId="6DF58F9A" w14:textId="124AE18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34BE8FE2" w14:textId="77777777" w:rsidTr="00510F8B">
        <w:trPr>
          <w:trHeight w:val="315"/>
        </w:trPr>
        <w:tc>
          <w:tcPr>
            <w:tcW w:w="1583" w:type="pct"/>
            <w:tcBorders>
              <w:top w:val="single" w:sz="4" w:space="0" w:color="auto"/>
              <w:left w:val="nil"/>
              <w:bottom w:val="single" w:sz="4" w:space="0" w:color="auto"/>
              <w:right w:val="nil"/>
            </w:tcBorders>
            <w:shd w:val="clear" w:color="auto" w:fill="auto"/>
            <w:noWrap/>
            <w:vAlign w:val="bottom"/>
            <w:hideMark/>
          </w:tcPr>
          <w:p w14:paraId="214448A0"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139" w:type="pct"/>
            <w:tcBorders>
              <w:top w:val="single" w:sz="4" w:space="0" w:color="auto"/>
              <w:left w:val="nil"/>
              <w:bottom w:val="single" w:sz="4" w:space="0" w:color="auto"/>
              <w:right w:val="nil"/>
            </w:tcBorders>
            <w:shd w:val="clear" w:color="auto" w:fill="auto"/>
            <w:noWrap/>
            <w:vAlign w:val="bottom"/>
            <w:hideMark/>
          </w:tcPr>
          <w:p w14:paraId="53A2D36E" w14:textId="5DBA8D5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c>
          <w:tcPr>
            <w:tcW w:w="1139" w:type="pct"/>
            <w:tcBorders>
              <w:top w:val="single" w:sz="4" w:space="0" w:color="auto"/>
              <w:left w:val="nil"/>
              <w:bottom w:val="single" w:sz="4" w:space="0" w:color="auto"/>
              <w:right w:val="nil"/>
            </w:tcBorders>
            <w:shd w:val="clear" w:color="auto" w:fill="auto"/>
            <w:noWrap/>
            <w:vAlign w:val="bottom"/>
            <w:hideMark/>
          </w:tcPr>
          <w:p w14:paraId="2895F5DF" w14:textId="58CC731B"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139" w:type="pct"/>
            <w:tcBorders>
              <w:top w:val="single" w:sz="4" w:space="0" w:color="auto"/>
              <w:left w:val="nil"/>
              <w:bottom w:val="single" w:sz="4" w:space="0" w:color="auto"/>
              <w:right w:val="nil"/>
            </w:tcBorders>
            <w:shd w:val="clear" w:color="auto" w:fill="auto"/>
            <w:noWrap/>
            <w:vAlign w:val="bottom"/>
            <w:hideMark/>
          </w:tcPr>
          <w:p w14:paraId="1C063226" w14:textId="3668B75D"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18</w:t>
            </w:r>
          </w:p>
        </w:tc>
      </w:tr>
    </w:tbl>
    <w:p w14:paraId="0DA28DCC" w14:textId="77777777" w:rsidR="00AC362E" w:rsidRPr="00491EF1" w:rsidRDefault="00AC362E" w:rsidP="00ED0631">
      <w:pPr>
        <w:rPr>
          <w:rFonts w:asciiTheme="majorHAnsi" w:hAnsiTheme="majorHAnsi" w:cstheme="majorHAnsi"/>
        </w:rPr>
      </w:pPr>
      <w:r w:rsidRPr="00491EF1">
        <w:rPr>
          <w:rFonts w:asciiTheme="majorHAnsi" w:hAnsiTheme="majorHAnsi" w:cstheme="majorHAnsi"/>
        </w:rPr>
        <w:br w:type="page"/>
      </w:r>
    </w:p>
    <w:p w14:paraId="3026838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lastRenderedPageBreak/>
        <w:t>Table 50: School leaders' response to when a new SIP should be developed (Term 3 is the only correct answer) by island category</w:t>
      </w:r>
    </w:p>
    <w:tbl>
      <w:tblPr>
        <w:tblW w:w="5000" w:type="pct"/>
        <w:tblLook w:val="04A0" w:firstRow="1" w:lastRow="0" w:firstColumn="1" w:lastColumn="0" w:noHBand="0" w:noVBand="1"/>
        <w:tblCaption w:val="Table 50"/>
        <w:tblDescription w:val="School leaders' response to when a new SIP should be developed (Term 3 is the only correct answer) by island category"/>
      </w:tblPr>
      <w:tblGrid>
        <w:gridCol w:w="2206"/>
        <w:gridCol w:w="2346"/>
        <w:gridCol w:w="2346"/>
        <w:gridCol w:w="2344"/>
      </w:tblGrid>
      <w:tr w:rsidR="00AC362E" w:rsidRPr="00491EF1" w14:paraId="00468DB3" w14:textId="77777777" w:rsidTr="00510F8B">
        <w:trPr>
          <w:trHeight w:val="315"/>
        </w:trPr>
        <w:tc>
          <w:tcPr>
            <w:tcW w:w="1194" w:type="pct"/>
            <w:tcBorders>
              <w:top w:val="single" w:sz="4" w:space="0" w:color="auto"/>
              <w:left w:val="nil"/>
              <w:bottom w:val="single" w:sz="4" w:space="0" w:color="auto"/>
              <w:right w:val="nil"/>
            </w:tcBorders>
            <w:shd w:val="clear" w:color="auto" w:fill="auto"/>
            <w:noWrap/>
            <w:vAlign w:val="bottom"/>
            <w:hideMark/>
          </w:tcPr>
          <w:p w14:paraId="5090C9A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Category </w:t>
            </w:r>
          </w:p>
        </w:tc>
        <w:tc>
          <w:tcPr>
            <w:tcW w:w="1269" w:type="pct"/>
            <w:tcBorders>
              <w:top w:val="single" w:sz="4" w:space="0" w:color="auto"/>
              <w:left w:val="nil"/>
              <w:bottom w:val="single" w:sz="4" w:space="0" w:color="auto"/>
              <w:right w:val="nil"/>
            </w:tcBorders>
            <w:shd w:val="clear" w:color="auto" w:fill="auto"/>
            <w:noWrap/>
            <w:vAlign w:val="bottom"/>
            <w:hideMark/>
          </w:tcPr>
          <w:p w14:paraId="5D93FB6E" w14:textId="38940A3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Term 3</w:t>
            </w:r>
          </w:p>
        </w:tc>
        <w:tc>
          <w:tcPr>
            <w:tcW w:w="1269" w:type="pct"/>
            <w:tcBorders>
              <w:top w:val="single" w:sz="4" w:space="0" w:color="auto"/>
              <w:left w:val="nil"/>
              <w:bottom w:val="single" w:sz="4" w:space="0" w:color="auto"/>
              <w:right w:val="nil"/>
            </w:tcBorders>
            <w:shd w:val="clear" w:color="auto" w:fill="auto"/>
            <w:noWrap/>
            <w:vAlign w:val="bottom"/>
            <w:hideMark/>
          </w:tcPr>
          <w:p w14:paraId="112191EA" w14:textId="30AF595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When Completed</w:t>
            </w:r>
          </w:p>
        </w:tc>
        <w:tc>
          <w:tcPr>
            <w:tcW w:w="1269" w:type="pct"/>
            <w:tcBorders>
              <w:top w:val="single" w:sz="4" w:space="0" w:color="auto"/>
              <w:left w:val="nil"/>
              <w:bottom w:val="single" w:sz="4" w:space="0" w:color="auto"/>
              <w:right w:val="nil"/>
            </w:tcBorders>
            <w:shd w:val="clear" w:color="auto" w:fill="auto"/>
            <w:noWrap/>
            <w:vAlign w:val="bottom"/>
            <w:hideMark/>
          </w:tcPr>
          <w:p w14:paraId="4FE78783" w14:textId="429B788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Other</w:t>
            </w:r>
          </w:p>
        </w:tc>
      </w:tr>
      <w:tr w:rsidR="00AC362E" w:rsidRPr="00491EF1" w14:paraId="59B1F5C5" w14:textId="77777777" w:rsidTr="00510F8B">
        <w:trPr>
          <w:trHeight w:val="315"/>
        </w:trPr>
        <w:tc>
          <w:tcPr>
            <w:tcW w:w="1194" w:type="pct"/>
            <w:tcBorders>
              <w:top w:val="nil"/>
              <w:left w:val="nil"/>
              <w:bottom w:val="nil"/>
              <w:right w:val="nil"/>
            </w:tcBorders>
            <w:shd w:val="clear" w:color="auto" w:fill="auto"/>
            <w:noWrap/>
            <w:vAlign w:val="bottom"/>
            <w:hideMark/>
          </w:tcPr>
          <w:p w14:paraId="2DB6CF1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269" w:type="pct"/>
            <w:tcBorders>
              <w:top w:val="nil"/>
              <w:left w:val="nil"/>
              <w:bottom w:val="nil"/>
              <w:right w:val="nil"/>
            </w:tcBorders>
            <w:shd w:val="clear" w:color="auto" w:fill="auto"/>
            <w:noWrap/>
            <w:vAlign w:val="bottom"/>
            <w:hideMark/>
          </w:tcPr>
          <w:p w14:paraId="59336EA3" w14:textId="6913983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1269" w:type="pct"/>
            <w:tcBorders>
              <w:top w:val="nil"/>
              <w:left w:val="nil"/>
              <w:bottom w:val="nil"/>
              <w:right w:val="nil"/>
            </w:tcBorders>
            <w:shd w:val="clear" w:color="auto" w:fill="auto"/>
            <w:noWrap/>
            <w:vAlign w:val="bottom"/>
            <w:hideMark/>
          </w:tcPr>
          <w:p w14:paraId="25283DCE" w14:textId="1452DB7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1269" w:type="pct"/>
            <w:tcBorders>
              <w:top w:val="nil"/>
              <w:left w:val="nil"/>
              <w:bottom w:val="nil"/>
              <w:right w:val="nil"/>
            </w:tcBorders>
            <w:shd w:val="clear" w:color="auto" w:fill="auto"/>
            <w:noWrap/>
            <w:vAlign w:val="bottom"/>
            <w:hideMark/>
          </w:tcPr>
          <w:p w14:paraId="13D7D278" w14:textId="6511C72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r>
      <w:tr w:rsidR="00AC362E" w:rsidRPr="00491EF1" w14:paraId="04B142CA" w14:textId="77777777" w:rsidTr="00510F8B">
        <w:trPr>
          <w:trHeight w:val="315"/>
        </w:trPr>
        <w:tc>
          <w:tcPr>
            <w:tcW w:w="1194" w:type="pct"/>
            <w:tcBorders>
              <w:top w:val="nil"/>
              <w:left w:val="nil"/>
              <w:bottom w:val="nil"/>
              <w:right w:val="nil"/>
            </w:tcBorders>
            <w:shd w:val="clear" w:color="auto" w:fill="auto"/>
            <w:noWrap/>
            <w:vAlign w:val="bottom"/>
            <w:hideMark/>
          </w:tcPr>
          <w:p w14:paraId="1B2E7EE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269" w:type="pct"/>
            <w:tcBorders>
              <w:top w:val="nil"/>
              <w:left w:val="nil"/>
              <w:bottom w:val="nil"/>
              <w:right w:val="nil"/>
            </w:tcBorders>
            <w:shd w:val="clear" w:color="auto" w:fill="auto"/>
            <w:noWrap/>
            <w:vAlign w:val="bottom"/>
            <w:hideMark/>
          </w:tcPr>
          <w:p w14:paraId="61C732D1" w14:textId="25502A8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1269" w:type="pct"/>
            <w:tcBorders>
              <w:top w:val="nil"/>
              <w:left w:val="nil"/>
              <w:bottom w:val="nil"/>
              <w:right w:val="nil"/>
            </w:tcBorders>
            <w:shd w:val="clear" w:color="auto" w:fill="auto"/>
            <w:noWrap/>
            <w:vAlign w:val="bottom"/>
            <w:hideMark/>
          </w:tcPr>
          <w:p w14:paraId="31F56008" w14:textId="23230347"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1269" w:type="pct"/>
            <w:tcBorders>
              <w:top w:val="nil"/>
              <w:left w:val="nil"/>
              <w:bottom w:val="nil"/>
              <w:right w:val="nil"/>
            </w:tcBorders>
            <w:shd w:val="clear" w:color="auto" w:fill="auto"/>
            <w:noWrap/>
            <w:vAlign w:val="bottom"/>
            <w:hideMark/>
          </w:tcPr>
          <w:p w14:paraId="2D71E029" w14:textId="1727539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7</w:t>
            </w:r>
          </w:p>
        </w:tc>
      </w:tr>
      <w:tr w:rsidR="00AC362E" w:rsidRPr="00491EF1" w14:paraId="19EB3CF4" w14:textId="77777777" w:rsidTr="00510F8B">
        <w:trPr>
          <w:trHeight w:val="315"/>
        </w:trPr>
        <w:tc>
          <w:tcPr>
            <w:tcW w:w="1194" w:type="pct"/>
            <w:tcBorders>
              <w:top w:val="nil"/>
              <w:left w:val="nil"/>
              <w:bottom w:val="nil"/>
              <w:right w:val="nil"/>
            </w:tcBorders>
            <w:shd w:val="clear" w:color="auto" w:fill="auto"/>
            <w:noWrap/>
            <w:vAlign w:val="bottom"/>
            <w:hideMark/>
          </w:tcPr>
          <w:p w14:paraId="1F5BF436"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Sth Tarawa </w:t>
            </w:r>
          </w:p>
        </w:tc>
        <w:tc>
          <w:tcPr>
            <w:tcW w:w="1269" w:type="pct"/>
            <w:tcBorders>
              <w:top w:val="nil"/>
              <w:left w:val="nil"/>
              <w:bottom w:val="nil"/>
              <w:right w:val="nil"/>
            </w:tcBorders>
            <w:shd w:val="clear" w:color="auto" w:fill="auto"/>
            <w:noWrap/>
            <w:vAlign w:val="bottom"/>
            <w:hideMark/>
          </w:tcPr>
          <w:p w14:paraId="25B47145"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269" w:type="pct"/>
            <w:tcBorders>
              <w:top w:val="nil"/>
              <w:left w:val="nil"/>
              <w:bottom w:val="nil"/>
              <w:right w:val="nil"/>
            </w:tcBorders>
            <w:shd w:val="clear" w:color="auto" w:fill="auto"/>
            <w:noWrap/>
            <w:vAlign w:val="bottom"/>
            <w:hideMark/>
          </w:tcPr>
          <w:p w14:paraId="166A19A5"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1269" w:type="pct"/>
            <w:tcBorders>
              <w:top w:val="nil"/>
              <w:left w:val="nil"/>
              <w:bottom w:val="nil"/>
              <w:right w:val="nil"/>
            </w:tcBorders>
            <w:shd w:val="clear" w:color="auto" w:fill="auto"/>
            <w:noWrap/>
            <w:vAlign w:val="bottom"/>
            <w:hideMark/>
          </w:tcPr>
          <w:p w14:paraId="7F667D8B" w14:textId="051C3C6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r w:rsidR="00AC362E" w:rsidRPr="00491EF1" w14:paraId="32BFC206" w14:textId="77777777" w:rsidTr="00510F8B">
        <w:trPr>
          <w:trHeight w:val="315"/>
        </w:trPr>
        <w:tc>
          <w:tcPr>
            <w:tcW w:w="1194" w:type="pct"/>
            <w:tcBorders>
              <w:top w:val="single" w:sz="4" w:space="0" w:color="auto"/>
              <w:left w:val="nil"/>
              <w:bottom w:val="single" w:sz="4" w:space="0" w:color="auto"/>
              <w:right w:val="nil"/>
            </w:tcBorders>
            <w:shd w:val="clear" w:color="auto" w:fill="auto"/>
            <w:noWrap/>
            <w:vAlign w:val="bottom"/>
            <w:hideMark/>
          </w:tcPr>
          <w:p w14:paraId="708E0F1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269" w:type="pct"/>
            <w:tcBorders>
              <w:top w:val="single" w:sz="4" w:space="0" w:color="auto"/>
              <w:left w:val="nil"/>
              <w:bottom w:val="single" w:sz="4" w:space="0" w:color="auto"/>
              <w:right w:val="nil"/>
            </w:tcBorders>
            <w:shd w:val="clear" w:color="auto" w:fill="auto"/>
            <w:noWrap/>
            <w:vAlign w:val="bottom"/>
            <w:hideMark/>
          </w:tcPr>
          <w:p w14:paraId="14E4E262" w14:textId="2E2A30D7"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6</w:t>
            </w:r>
          </w:p>
        </w:tc>
        <w:tc>
          <w:tcPr>
            <w:tcW w:w="1269" w:type="pct"/>
            <w:tcBorders>
              <w:top w:val="single" w:sz="4" w:space="0" w:color="auto"/>
              <w:left w:val="nil"/>
              <w:bottom w:val="single" w:sz="4" w:space="0" w:color="auto"/>
              <w:right w:val="nil"/>
            </w:tcBorders>
            <w:shd w:val="clear" w:color="auto" w:fill="auto"/>
            <w:noWrap/>
            <w:vAlign w:val="bottom"/>
            <w:hideMark/>
          </w:tcPr>
          <w:p w14:paraId="2BCD8FF6" w14:textId="5C199B7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5</w:t>
            </w:r>
          </w:p>
        </w:tc>
        <w:tc>
          <w:tcPr>
            <w:tcW w:w="1269" w:type="pct"/>
            <w:tcBorders>
              <w:top w:val="single" w:sz="4" w:space="0" w:color="auto"/>
              <w:left w:val="nil"/>
              <w:bottom w:val="single" w:sz="4" w:space="0" w:color="auto"/>
              <w:right w:val="nil"/>
            </w:tcBorders>
            <w:shd w:val="clear" w:color="auto" w:fill="auto"/>
            <w:noWrap/>
            <w:vAlign w:val="bottom"/>
            <w:hideMark/>
          </w:tcPr>
          <w:p w14:paraId="0818995A" w14:textId="4E17D541"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18</w:t>
            </w:r>
          </w:p>
        </w:tc>
      </w:tr>
    </w:tbl>
    <w:p w14:paraId="01834018"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51: School leaders' rating of whether the community is better informed about the value of education and improvements you and the Ministry are making by island</w:t>
      </w:r>
    </w:p>
    <w:tbl>
      <w:tblPr>
        <w:tblW w:w="5000" w:type="pct"/>
        <w:tblLook w:val="04A0" w:firstRow="1" w:lastRow="0" w:firstColumn="1" w:lastColumn="0" w:noHBand="0" w:noVBand="1"/>
        <w:tblCaption w:val="Table 51"/>
        <w:tblDescription w:val="School leaders' rating of whether the community is better informed about the value of education and improvements you and the Ministry are making by island"/>
      </w:tblPr>
      <w:tblGrid>
        <w:gridCol w:w="2480"/>
        <w:gridCol w:w="1691"/>
        <w:gridCol w:w="1691"/>
        <w:gridCol w:w="1691"/>
        <w:gridCol w:w="1689"/>
      </w:tblGrid>
      <w:tr w:rsidR="00AC362E" w:rsidRPr="00491EF1" w14:paraId="3D351661" w14:textId="77777777" w:rsidTr="00510F8B">
        <w:trPr>
          <w:trHeight w:val="315"/>
        </w:trPr>
        <w:tc>
          <w:tcPr>
            <w:tcW w:w="1341" w:type="pct"/>
            <w:tcBorders>
              <w:top w:val="single" w:sz="4" w:space="0" w:color="auto"/>
              <w:left w:val="nil"/>
              <w:bottom w:val="single" w:sz="4" w:space="0" w:color="auto"/>
              <w:right w:val="nil"/>
            </w:tcBorders>
            <w:shd w:val="clear" w:color="auto" w:fill="auto"/>
            <w:noWrap/>
            <w:vAlign w:val="bottom"/>
            <w:hideMark/>
          </w:tcPr>
          <w:p w14:paraId="233E790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915" w:type="pct"/>
            <w:tcBorders>
              <w:top w:val="single" w:sz="4" w:space="0" w:color="auto"/>
              <w:left w:val="nil"/>
              <w:bottom w:val="single" w:sz="4" w:space="0" w:color="auto"/>
              <w:right w:val="nil"/>
            </w:tcBorders>
            <w:shd w:val="clear" w:color="auto" w:fill="auto"/>
            <w:noWrap/>
            <w:vAlign w:val="bottom"/>
            <w:hideMark/>
          </w:tcPr>
          <w:p w14:paraId="2EB54CF2" w14:textId="1C6BE5C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Much better</w:t>
            </w:r>
          </w:p>
        </w:tc>
        <w:tc>
          <w:tcPr>
            <w:tcW w:w="915" w:type="pct"/>
            <w:tcBorders>
              <w:top w:val="single" w:sz="4" w:space="0" w:color="auto"/>
              <w:left w:val="nil"/>
              <w:bottom w:val="single" w:sz="4" w:space="0" w:color="auto"/>
              <w:right w:val="nil"/>
            </w:tcBorders>
            <w:shd w:val="clear" w:color="auto" w:fill="auto"/>
            <w:noWrap/>
            <w:vAlign w:val="bottom"/>
            <w:hideMark/>
          </w:tcPr>
          <w:p w14:paraId="7C55B19F" w14:textId="397F6E9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Better</w:t>
            </w:r>
          </w:p>
        </w:tc>
        <w:tc>
          <w:tcPr>
            <w:tcW w:w="915" w:type="pct"/>
            <w:tcBorders>
              <w:top w:val="single" w:sz="4" w:space="0" w:color="auto"/>
              <w:left w:val="nil"/>
              <w:bottom w:val="single" w:sz="4" w:space="0" w:color="auto"/>
              <w:right w:val="nil"/>
            </w:tcBorders>
            <w:shd w:val="clear" w:color="auto" w:fill="auto"/>
            <w:noWrap/>
            <w:vAlign w:val="bottom"/>
            <w:hideMark/>
          </w:tcPr>
          <w:p w14:paraId="7E8C10D0" w14:textId="5C1B15A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Slightly better</w:t>
            </w:r>
          </w:p>
        </w:tc>
        <w:tc>
          <w:tcPr>
            <w:tcW w:w="915" w:type="pct"/>
            <w:tcBorders>
              <w:top w:val="single" w:sz="4" w:space="0" w:color="auto"/>
              <w:left w:val="nil"/>
              <w:bottom w:val="single" w:sz="4" w:space="0" w:color="auto"/>
              <w:right w:val="nil"/>
            </w:tcBorders>
            <w:shd w:val="clear" w:color="auto" w:fill="auto"/>
            <w:noWrap/>
            <w:vAlign w:val="bottom"/>
            <w:hideMark/>
          </w:tcPr>
          <w:p w14:paraId="5E6E014F" w14:textId="1619DE9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Same</w:t>
            </w:r>
          </w:p>
        </w:tc>
      </w:tr>
      <w:tr w:rsidR="00AC362E" w:rsidRPr="00491EF1" w14:paraId="7D440CF2" w14:textId="77777777" w:rsidTr="00510F8B">
        <w:trPr>
          <w:trHeight w:val="315"/>
        </w:trPr>
        <w:tc>
          <w:tcPr>
            <w:tcW w:w="1341" w:type="pct"/>
            <w:tcBorders>
              <w:top w:val="nil"/>
              <w:left w:val="nil"/>
              <w:bottom w:val="nil"/>
              <w:right w:val="nil"/>
            </w:tcBorders>
            <w:shd w:val="clear" w:color="auto" w:fill="auto"/>
            <w:noWrap/>
            <w:vAlign w:val="bottom"/>
            <w:hideMark/>
          </w:tcPr>
          <w:p w14:paraId="38A8698C"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Abaiang </w:t>
            </w:r>
          </w:p>
        </w:tc>
        <w:tc>
          <w:tcPr>
            <w:tcW w:w="915" w:type="pct"/>
            <w:tcBorders>
              <w:top w:val="nil"/>
              <w:left w:val="nil"/>
              <w:bottom w:val="nil"/>
              <w:right w:val="nil"/>
            </w:tcBorders>
            <w:shd w:val="clear" w:color="auto" w:fill="auto"/>
            <w:noWrap/>
            <w:vAlign w:val="bottom"/>
            <w:hideMark/>
          </w:tcPr>
          <w:p w14:paraId="2FE5DF53" w14:textId="797E030D"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15" w:type="pct"/>
            <w:tcBorders>
              <w:top w:val="nil"/>
              <w:left w:val="nil"/>
              <w:bottom w:val="nil"/>
              <w:right w:val="nil"/>
            </w:tcBorders>
            <w:shd w:val="clear" w:color="auto" w:fill="auto"/>
            <w:noWrap/>
            <w:vAlign w:val="bottom"/>
            <w:hideMark/>
          </w:tcPr>
          <w:p w14:paraId="20B54739" w14:textId="7247F7A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915" w:type="pct"/>
            <w:tcBorders>
              <w:top w:val="nil"/>
              <w:left w:val="nil"/>
              <w:bottom w:val="nil"/>
              <w:right w:val="nil"/>
            </w:tcBorders>
            <w:shd w:val="clear" w:color="auto" w:fill="auto"/>
            <w:noWrap/>
            <w:vAlign w:val="bottom"/>
            <w:hideMark/>
          </w:tcPr>
          <w:p w14:paraId="657A27E7"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1A59ACBA"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2BEAEAD5" w14:textId="77777777" w:rsidTr="00510F8B">
        <w:trPr>
          <w:trHeight w:val="315"/>
        </w:trPr>
        <w:tc>
          <w:tcPr>
            <w:tcW w:w="1341" w:type="pct"/>
            <w:tcBorders>
              <w:top w:val="nil"/>
              <w:left w:val="nil"/>
              <w:bottom w:val="nil"/>
              <w:right w:val="nil"/>
            </w:tcBorders>
            <w:shd w:val="clear" w:color="auto" w:fill="auto"/>
            <w:noWrap/>
            <w:vAlign w:val="bottom"/>
            <w:hideMark/>
          </w:tcPr>
          <w:p w14:paraId="36B194A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Butaritari </w:t>
            </w:r>
          </w:p>
        </w:tc>
        <w:tc>
          <w:tcPr>
            <w:tcW w:w="915" w:type="pct"/>
            <w:tcBorders>
              <w:top w:val="nil"/>
              <w:left w:val="nil"/>
              <w:bottom w:val="nil"/>
              <w:right w:val="nil"/>
            </w:tcBorders>
            <w:shd w:val="clear" w:color="auto" w:fill="auto"/>
            <w:noWrap/>
            <w:vAlign w:val="bottom"/>
            <w:hideMark/>
          </w:tcPr>
          <w:p w14:paraId="55A0A482" w14:textId="4DF43A6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915" w:type="pct"/>
            <w:tcBorders>
              <w:top w:val="nil"/>
              <w:left w:val="nil"/>
              <w:bottom w:val="nil"/>
              <w:right w:val="nil"/>
            </w:tcBorders>
            <w:shd w:val="clear" w:color="auto" w:fill="auto"/>
            <w:noWrap/>
            <w:vAlign w:val="bottom"/>
            <w:hideMark/>
          </w:tcPr>
          <w:p w14:paraId="0ED3E0E7" w14:textId="2D71439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15" w:type="pct"/>
            <w:tcBorders>
              <w:top w:val="nil"/>
              <w:left w:val="nil"/>
              <w:bottom w:val="nil"/>
              <w:right w:val="nil"/>
            </w:tcBorders>
            <w:shd w:val="clear" w:color="auto" w:fill="auto"/>
            <w:noWrap/>
            <w:vAlign w:val="bottom"/>
            <w:hideMark/>
          </w:tcPr>
          <w:p w14:paraId="7167B0F1"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31FC0224"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162A7A5D" w14:textId="77777777" w:rsidTr="00510F8B">
        <w:trPr>
          <w:trHeight w:val="315"/>
        </w:trPr>
        <w:tc>
          <w:tcPr>
            <w:tcW w:w="1341" w:type="pct"/>
            <w:tcBorders>
              <w:top w:val="nil"/>
              <w:left w:val="nil"/>
              <w:bottom w:val="nil"/>
              <w:right w:val="nil"/>
            </w:tcBorders>
            <w:shd w:val="clear" w:color="auto" w:fill="auto"/>
            <w:noWrap/>
            <w:vAlign w:val="bottom"/>
            <w:hideMark/>
          </w:tcPr>
          <w:p w14:paraId="6E3FB95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Kiritimati </w:t>
            </w:r>
          </w:p>
        </w:tc>
        <w:tc>
          <w:tcPr>
            <w:tcW w:w="915" w:type="pct"/>
            <w:tcBorders>
              <w:top w:val="nil"/>
              <w:left w:val="nil"/>
              <w:bottom w:val="nil"/>
              <w:right w:val="nil"/>
            </w:tcBorders>
            <w:shd w:val="clear" w:color="auto" w:fill="auto"/>
            <w:noWrap/>
            <w:vAlign w:val="bottom"/>
            <w:hideMark/>
          </w:tcPr>
          <w:p w14:paraId="1DB6B8F1" w14:textId="6D3A6D83"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15" w:type="pct"/>
            <w:tcBorders>
              <w:top w:val="nil"/>
              <w:left w:val="nil"/>
              <w:bottom w:val="nil"/>
              <w:right w:val="nil"/>
            </w:tcBorders>
            <w:shd w:val="clear" w:color="auto" w:fill="auto"/>
            <w:noWrap/>
            <w:vAlign w:val="bottom"/>
            <w:hideMark/>
          </w:tcPr>
          <w:p w14:paraId="05E1CA26" w14:textId="7588383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15" w:type="pct"/>
            <w:tcBorders>
              <w:top w:val="nil"/>
              <w:left w:val="nil"/>
              <w:bottom w:val="nil"/>
              <w:right w:val="nil"/>
            </w:tcBorders>
            <w:shd w:val="clear" w:color="auto" w:fill="auto"/>
            <w:noWrap/>
            <w:vAlign w:val="bottom"/>
            <w:hideMark/>
          </w:tcPr>
          <w:p w14:paraId="4214CA0E"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3298420B"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0ABBCEF8" w14:textId="77777777" w:rsidTr="00510F8B">
        <w:trPr>
          <w:trHeight w:val="315"/>
        </w:trPr>
        <w:tc>
          <w:tcPr>
            <w:tcW w:w="1341" w:type="pct"/>
            <w:tcBorders>
              <w:top w:val="nil"/>
              <w:left w:val="nil"/>
              <w:bottom w:val="nil"/>
              <w:right w:val="nil"/>
            </w:tcBorders>
            <w:shd w:val="clear" w:color="auto" w:fill="auto"/>
            <w:noWrap/>
            <w:vAlign w:val="bottom"/>
            <w:hideMark/>
          </w:tcPr>
          <w:p w14:paraId="76A4F781"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Maiana </w:t>
            </w:r>
          </w:p>
        </w:tc>
        <w:tc>
          <w:tcPr>
            <w:tcW w:w="915" w:type="pct"/>
            <w:tcBorders>
              <w:top w:val="nil"/>
              <w:left w:val="nil"/>
              <w:bottom w:val="nil"/>
              <w:right w:val="nil"/>
            </w:tcBorders>
            <w:shd w:val="clear" w:color="auto" w:fill="auto"/>
            <w:noWrap/>
            <w:vAlign w:val="bottom"/>
            <w:hideMark/>
          </w:tcPr>
          <w:p w14:paraId="31B81922"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7EA8FE32" w14:textId="05E293E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915" w:type="pct"/>
            <w:tcBorders>
              <w:top w:val="nil"/>
              <w:left w:val="nil"/>
              <w:bottom w:val="nil"/>
              <w:right w:val="nil"/>
            </w:tcBorders>
            <w:shd w:val="clear" w:color="auto" w:fill="auto"/>
            <w:noWrap/>
            <w:vAlign w:val="bottom"/>
            <w:hideMark/>
          </w:tcPr>
          <w:p w14:paraId="342CC3FE"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3467BC9E"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46DE7066" w14:textId="77777777" w:rsidTr="00510F8B">
        <w:trPr>
          <w:trHeight w:val="315"/>
        </w:trPr>
        <w:tc>
          <w:tcPr>
            <w:tcW w:w="1341" w:type="pct"/>
            <w:tcBorders>
              <w:top w:val="nil"/>
              <w:left w:val="nil"/>
              <w:bottom w:val="nil"/>
              <w:right w:val="nil"/>
            </w:tcBorders>
            <w:shd w:val="clear" w:color="auto" w:fill="auto"/>
            <w:noWrap/>
            <w:vAlign w:val="bottom"/>
            <w:hideMark/>
          </w:tcPr>
          <w:p w14:paraId="61FFC43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Nonouti </w:t>
            </w:r>
          </w:p>
        </w:tc>
        <w:tc>
          <w:tcPr>
            <w:tcW w:w="915" w:type="pct"/>
            <w:tcBorders>
              <w:top w:val="nil"/>
              <w:left w:val="nil"/>
              <w:bottom w:val="nil"/>
              <w:right w:val="nil"/>
            </w:tcBorders>
            <w:shd w:val="clear" w:color="auto" w:fill="auto"/>
            <w:noWrap/>
            <w:vAlign w:val="bottom"/>
            <w:hideMark/>
          </w:tcPr>
          <w:p w14:paraId="2C16DD01" w14:textId="605064E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15" w:type="pct"/>
            <w:tcBorders>
              <w:top w:val="nil"/>
              <w:left w:val="nil"/>
              <w:bottom w:val="nil"/>
              <w:right w:val="nil"/>
            </w:tcBorders>
            <w:shd w:val="clear" w:color="auto" w:fill="auto"/>
            <w:noWrap/>
            <w:vAlign w:val="bottom"/>
            <w:hideMark/>
          </w:tcPr>
          <w:p w14:paraId="0429283D" w14:textId="073C9C7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915" w:type="pct"/>
            <w:tcBorders>
              <w:top w:val="nil"/>
              <w:left w:val="nil"/>
              <w:bottom w:val="nil"/>
              <w:right w:val="nil"/>
            </w:tcBorders>
            <w:shd w:val="clear" w:color="auto" w:fill="auto"/>
            <w:noWrap/>
            <w:vAlign w:val="bottom"/>
            <w:hideMark/>
          </w:tcPr>
          <w:p w14:paraId="39F95A77"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2E106AD0" w14:textId="3B4A1AFA"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383281E3" w14:textId="77777777" w:rsidTr="00510F8B">
        <w:trPr>
          <w:trHeight w:val="315"/>
        </w:trPr>
        <w:tc>
          <w:tcPr>
            <w:tcW w:w="1341" w:type="pct"/>
            <w:tcBorders>
              <w:top w:val="nil"/>
              <w:left w:val="nil"/>
              <w:bottom w:val="nil"/>
              <w:right w:val="nil"/>
            </w:tcBorders>
            <w:shd w:val="clear" w:color="auto" w:fill="auto"/>
            <w:noWrap/>
            <w:vAlign w:val="bottom"/>
            <w:hideMark/>
          </w:tcPr>
          <w:p w14:paraId="5E8AD3CB"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Tabiteuea </w:t>
            </w:r>
          </w:p>
        </w:tc>
        <w:tc>
          <w:tcPr>
            <w:tcW w:w="915" w:type="pct"/>
            <w:tcBorders>
              <w:top w:val="nil"/>
              <w:left w:val="nil"/>
              <w:bottom w:val="nil"/>
              <w:right w:val="nil"/>
            </w:tcBorders>
            <w:shd w:val="clear" w:color="auto" w:fill="auto"/>
            <w:noWrap/>
            <w:vAlign w:val="bottom"/>
            <w:hideMark/>
          </w:tcPr>
          <w:p w14:paraId="0EEBEB51"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0BAF2A5E" w14:textId="24F9BBB1"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915" w:type="pct"/>
            <w:tcBorders>
              <w:top w:val="nil"/>
              <w:left w:val="nil"/>
              <w:bottom w:val="nil"/>
              <w:right w:val="nil"/>
            </w:tcBorders>
            <w:shd w:val="clear" w:color="auto" w:fill="auto"/>
            <w:noWrap/>
            <w:vAlign w:val="bottom"/>
            <w:hideMark/>
          </w:tcPr>
          <w:p w14:paraId="59F90481"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c>
          <w:tcPr>
            <w:tcW w:w="915" w:type="pct"/>
            <w:tcBorders>
              <w:top w:val="nil"/>
              <w:left w:val="nil"/>
              <w:bottom w:val="nil"/>
              <w:right w:val="nil"/>
            </w:tcBorders>
            <w:shd w:val="clear" w:color="auto" w:fill="auto"/>
            <w:noWrap/>
            <w:vAlign w:val="bottom"/>
            <w:hideMark/>
          </w:tcPr>
          <w:p w14:paraId="412EB715"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05A0CD42" w14:textId="77777777" w:rsidTr="00510F8B">
        <w:trPr>
          <w:trHeight w:val="315"/>
        </w:trPr>
        <w:tc>
          <w:tcPr>
            <w:tcW w:w="1341" w:type="pct"/>
            <w:tcBorders>
              <w:top w:val="nil"/>
              <w:left w:val="nil"/>
              <w:bottom w:val="nil"/>
              <w:right w:val="nil"/>
            </w:tcBorders>
            <w:shd w:val="clear" w:color="auto" w:fill="auto"/>
            <w:noWrap/>
            <w:vAlign w:val="bottom"/>
            <w:hideMark/>
          </w:tcPr>
          <w:p w14:paraId="04ADB27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North Tarawa </w:t>
            </w:r>
          </w:p>
        </w:tc>
        <w:tc>
          <w:tcPr>
            <w:tcW w:w="915" w:type="pct"/>
            <w:tcBorders>
              <w:top w:val="nil"/>
              <w:left w:val="nil"/>
              <w:bottom w:val="nil"/>
              <w:right w:val="nil"/>
            </w:tcBorders>
            <w:shd w:val="clear" w:color="auto" w:fill="auto"/>
            <w:noWrap/>
            <w:vAlign w:val="bottom"/>
            <w:hideMark/>
          </w:tcPr>
          <w:p w14:paraId="16A44045" w14:textId="1BA24B1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915" w:type="pct"/>
            <w:tcBorders>
              <w:top w:val="nil"/>
              <w:left w:val="nil"/>
              <w:bottom w:val="nil"/>
              <w:right w:val="nil"/>
            </w:tcBorders>
            <w:shd w:val="clear" w:color="auto" w:fill="auto"/>
            <w:noWrap/>
            <w:vAlign w:val="bottom"/>
            <w:hideMark/>
          </w:tcPr>
          <w:p w14:paraId="36426405" w14:textId="3C27B0B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15" w:type="pct"/>
            <w:tcBorders>
              <w:top w:val="nil"/>
              <w:left w:val="nil"/>
              <w:bottom w:val="nil"/>
              <w:right w:val="nil"/>
            </w:tcBorders>
            <w:shd w:val="clear" w:color="auto" w:fill="auto"/>
            <w:noWrap/>
            <w:vAlign w:val="bottom"/>
            <w:hideMark/>
          </w:tcPr>
          <w:p w14:paraId="2C03DC33" w14:textId="59B3EE0B"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15" w:type="pct"/>
            <w:tcBorders>
              <w:top w:val="nil"/>
              <w:left w:val="nil"/>
              <w:bottom w:val="nil"/>
              <w:right w:val="nil"/>
            </w:tcBorders>
            <w:shd w:val="clear" w:color="auto" w:fill="auto"/>
            <w:noWrap/>
            <w:vAlign w:val="bottom"/>
            <w:hideMark/>
          </w:tcPr>
          <w:p w14:paraId="2B2355D6" w14:textId="66BFFC5A"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37E3D443" w14:textId="77777777" w:rsidTr="00510F8B">
        <w:trPr>
          <w:trHeight w:val="315"/>
        </w:trPr>
        <w:tc>
          <w:tcPr>
            <w:tcW w:w="1341" w:type="pct"/>
            <w:tcBorders>
              <w:top w:val="nil"/>
              <w:left w:val="nil"/>
              <w:bottom w:val="nil"/>
              <w:right w:val="nil"/>
            </w:tcBorders>
            <w:shd w:val="clear" w:color="auto" w:fill="auto"/>
            <w:noWrap/>
            <w:vAlign w:val="bottom"/>
            <w:hideMark/>
          </w:tcPr>
          <w:p w14:paraId="04EF20A4"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Tabiteuea </w:t>
            </w:r>
          </w:p>
        </w:tc>
        <w:tc>
          <w:tcPr>
            <w:tcW w:w="915" w:type="pct"/>
            <w:tcBorders>
              <w:top w:val="nil"/>
              <w:left w:val="nil"/>
              <w:bottom w:val="nil"/>
              <w:right w:val="nil"/>
            </w:tcBorders>
            <w:shd w:val="clear" w:color="auto" w:fill="auto"/>
            <w:noWrap/>
            <w:vAlign w:val="bottom"/>
            <w:hideMark/>
          </w:tcPr>
          <w:p w14:paraId="64C3E7E0" w14:textId="6E40F92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15" w:type="pct"/>
            <w:tcBorders>
              <w:top w:val="nil"/>
              <w:left w:val="nil"/>
              <w:bottom w:val="nil"/>
              <w:right w:val="nil"/>
            </w:tcBorders>
            <w:shd w:val="clear" w:color="auto" w:fill="auto"/>
            <w:noWrap/>
            <w:vAlign w:val="bottom"/>
            <w:hideMark/>
          </w:tcPr>
          <w:p w14:paraId="4AA37456" w14:textId="4DA38C6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15" w:type="pct"/>
            <w:tcBorders>
              <w:top w:val="nil"/>
              <w:left w:val="nil"/>
              <w:bottom w:val="nil"/>
              <w:right w:val="nil"/>
            </w:tcBorders>
            <w:shd w:val="clear" w:color="auto" w:fill="auto"/>
            <w:noWrap/>
            <w:vAlign w:val="bottom"/>
            <w:hideMark/>
          </w:tcPr>
          <w:p w14:paraId="7BB2D9A9" w14:textId="164D7A6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915" w:type="pct"/>
            <w:tcBorders>
              <w:top w:val="nil"/>
              <w:left w:val="nil"/>
              <w:bottom w:val="nil"/>
              <w:right w:val="nil"/>
            </w:tcBorders>
            <w:shd w:val="clear" w:color="auto" w:fill="auto"/>
            <w:noWrap/>
            <w:vAlign w:val="bottom"/>
            <w:hideMark/>
          </w:tcPr>
          <w:p w14:paraId="1755211B"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01E8ECCE" w14:textId="77777777" w:rsidTr="00510F8B">
        <w:trPr>
          <w:trHeight w:val="315"/>
        </w:trPr>
        <w:tc>
          <w:tcPr>
            <w:tcW w:w="1341" w:type="pct"/>
            <w:tcBorders>
              <w:top w:val="nil"/>
              <w:left w:val="nil"/>
              <w:bottom w:val="nil"/>
              <w:right w:val="nil"/>
            </w:tcBorders>
            <w:shd w:val="clear" w:color="auto" w:fill="auto"/>
            <w:noWrap/>
            <w:vAlign w:val="bottom"/>
            <w:hideMark/>
          </w:tcPr>
          <w:p w14:paraId="3A52E4CF"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South Tarawa </w:t>
            </w:r>
          </w:p>
        </w:tc>
        <w:tc>
          <w:tcPr>
            <w:tcW w:w="915" w:type="pct"/>
            <w:tcBorders>
              <w:top w:val="nil"/>
              <w:left w:val="nil"/>
              <w:bottom w:val="nil"/>
              <w:right w:val="nil"/>
            </w:tcBorders>
            <w:shd w:val="clear" w:color="auto" w:fill="auto"/>
            <w:noWrap/>
            <w:vAlign w:val="bottom"/>
            <w:hideMark/>
          </w:tcPr>
          <w:p w14:paraId="1920A435" w14:textId="355E4D83"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915" w:type="pct"/>
            <w:tcBorders>
              <w:top w:val="nil"/>
              <w:left w:val="nil"/>
              <w:bottom w:val="nil"/>
              <w:right w:val="nil"/>
            </w:tcBorders>
            <w:shd w:val="clear" w:color="auto" w:fill="auto"/>
            <w:noWrap/>
            <w:vAlign w:val="bottom"/>
            <w:hideMark/>
          </w:tcPr>
          <w:p w14:paraId="144831EA" w14:textId="7DD070FB"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915" w:type="pct"/>
            <w:tcBorders>
              <w:top w:val="nil"/>
              <w:left w:val="nil"/>
              <w:bottom w:val="nil"/>
              <w:right w:val="nil"/>
            </w:tcBorders>
            <w:shd w:val="clear" w:color="auto" w:fill="auto"/>
            <w:noWrap/>
            <w:vAlign w:val="bottom"/>
            <w:hideMark/>
          </w:tcPr>
          <w:p w14:paraId="30AF9B60" w14:textId="408B379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915" w:type="pct"/>
            <w:tcBorders>
              <w:top w:val="nil"/>
              <w:left w:val="nil"/>
              <w:bottom w:val="nil"/>
              <w:right w:val="nil"/>
            </w:tcBorders>
            <w:shd w:val="clear" w:color="auto" w:fill="auto"/>
            <w:noWrap/>
            <w:vAlign w:val="bottom"/>
            <w:hideMark/>
          </w:tcPr>
          <w:p w14:paraId="5BE882A5"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3A02F8DD" w14:textId="77777777" w:rsidTr="00510F8B">
        <w:trPr>
          <w:trHeight w:val="315"/>
        </w:trPr>
        <w:tc>
          <w:tcPr>
            <w:tcW w:w="1341" w:type="pct"/>
            <w:tcBorders>
              <w:top w:val="single" w:sz="4" w:space="0" w:color="auto"/>
              <w:left w:val="nil"/>
              <w:bottom w:val="single" w:sz="4" w:space="0" w:color="auto"/>
              <w:right w:val="nil"/>
            </w:tcBorders>
            <w:shd w:val="clear" w:color="auto" w:fill="auto"/>
            <w:noWrap/>
            <w:vAlign w:val="bottom"/>
            <w:hideMark/>
          </w:tcPr>
          <w:p w14:paraId="5FD14DC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915" w:type="pct"/>
            <w:tcBorders>
              <w:top w:val="single" w:sz="4" w:space="0" w:color="auto"/>
              <w:left w:val="nil"/>
              <w:bottom w:val="single" w:sz="4" w:space="0" w:color="auto"/>
              <w:right w:val="nil"/>
            </w:tcBorders>
            <w:shd w:val="clear" w:color="auto" w:fill="auto"/>
            <w:noWrap/>
            <w:vAlign w:val="bottom"/>
            <w:hideMark/>
          </w:tcPr>
          <w:p w14:paraId="7BA205A3" w14:textId="37E0264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17</w:t>
            </w:r>
          </w:p>
        </w:tc>
        <w:tc>
          <w:tcPr>
            <w:tcW w:w="915" w:type="pct"/>
            <w:tcBorders>
              <w:top w:val="single" w:sz="4" w:space="0" w:color="auto"/>
              <w:left w:val="nil"/>
              <w:bottom w:val="single" w:sz="4" w:space="0" w:color="auto"/>
              <w:right w:val="nil"/>
            </w:tcBorders>
            <w:shd w:val="clear" w:color="auto" w:fill="auto"/>
            <w:noWrap/>
            <w:vAlign w:val="bottom"/>
            <w:hideMark/>
          </w:tcPr>
          <w:p w14:paraId="11BF4B75" w14:textId="2D29086C"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25</w:t>
            </w:r>
          </w:p>
        </w:tc>
        <w:tc>
          <w:tcPr>
            <w:tcW w:w="915" w:type="pct"/>
            <w:tcBorders>
              <w:top w:val="single" w:sz="4" w:space="0" w:color="auto"/>
              <w:left w:val="nil"/>
              <w:bottom w:val="single" w:sz="4" w:space="0" w:color="auto"/>
              <w:right w:val="nil"/>
            </w:tcBorders>
            <w:shd w:val="clear" w:color="auto" w:fill="auto"/>
            <w:noWrap/>
            <w:vAlign w:val="bottom"/>
            <w:hideMark/>
          </w:tcPr>
          <w:p w14:paraId="72BE8A1D" w14:textId="1A34EB88"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915" w:type="pct"/>
            <w:tcBorders>
              <w:top w:val="single" w:sz="4" w:space="0" w:color="auto"/>
              <w:left w:val="nil"/>
              <w:bottom w:val="single" w:sz="4" w:space="0" w:color="auto"/>
              <w:right w:val="nil"/>
            </w:tcBorders>
            <w:shd w:val="clear" w:color="auto" w:fill="auto"/>
            <w:noWrap/>
            <w:vAlign w:val="bottom"/>
            <w:hideMark/>
          </w:tcPr>
          <w:p w14:paraId="12C566BC" w14:textId="7B3C8124"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bl>
    <w:p w14:paraId="1F120377" w14:textId="77777777" w:rsidR="00AC362E" w:rsidRPr="00491EF1" w:rsidRDefault="00AC362E" w:rsidP="00ED0631">
      <w:pPr>
        <w:tabs>
          <w:tab w:val="left" w:pos="1573"/>
          <w:tab w:val="left" w:pos="3053"/>
          <w:tab w:val="left" w:pos="4533"/>
          <w:tab w:val="left" w:pos="6013"/>
          <w:tab w:val="left" w:pos="7493"/>
          <w:tab w:val="left" w:pos="8973"/>
          <w:tab w:val="left" w:pos="10453"/>
          <w:tab w:val="left" w:pos="11933"/>
          <w:tab w:val="left" w:pos="13413"/>
        </w:tabs>
        <w:spacing w:before="200" w:after="100"/>
        <w:ind w:left="91"/>
        <w:rPr>
          <w:rFonts w:asciiTheme="majorHAnsi" w:eastAsia="Times New Roman" w:hAnsiTheme="majorHAnsi" w:cstheme="majorHAnsi"/>
          <w:b/>
          <w:color w:val="000000"/>
          <w:lang w:eastAsia="en-AU"/>
        </w:rPr>
      </w:pPr>
      <w:r w:rsidRPr="00491EF1">
        <w:rPr>
          <w:rFonts w:asciiTheme="majorHAnsi" w:eastAsia="Times New Roman" w:hAnsiTheme="majorHAnsi" w:cstheme="majorHAnsi"/>
          <w:b/>
          <w:color w:val="000000"/>
          <w:lang w:eastAsia="en-AU"/>
        </w:rPr>
        <w:t>Table 52: School leaders' rating of whether the community is better informed about the value of education and improvements you and the Ministry are making by island category</w:t>
      </w:r>
    </w:p>
    <w:tbl>
      <w:tblPr>
        <w:tblW w:w="5000" w:type="pct"/>
        <w:tblLook w:val="04A0" w:firstRow="1" w:lastRow="0" w:firstColumn="1" w:lastColumn="0" w:noHBand="0" w:noVBand="1"/>
        <w:tblCaption w:val="Table 52 "/>
        <w:tblDescription w:val="Table 52: School leaders' rating of whether the community is better informed about the value of education and improvements you and the Ministry are making by island category"/>
      </w:tblPr>
      <w:tblGrid>
        <w:gridCol w:w="1864"/>
        <w:gridCol w:w="1959"/>
        <w:gridCol w:w="1632"/>
        <w:gridCol w:w="2177"/>
        <w:gridCol w:w="1610"/>
      </w:tblGrid>
      <w:tr w:rsidR="00AC362E" w:rsidRPr="00491EF1" w14:paraId="6FE42B4E" w14:textId="77777777" w:rsidTr="00510F8B">
        <w:trPr>
          <w:trHeight w:val="315"/>
        </w:trPr>
        <w:tc>
          <w:tcPr>
            <w:tcW w:w="1008" w:type="pct"/>
            <w:tcBorders>
              <w:top w:val="single" w:sz="4" w:space="0" w:color="auto"/>
              <w:left w:val="nil"/>
              <w:bottom w:val="single" w:sz="4" w:space="0" w:color="auto"/>
              <w:right w:val="nil"/>
            </w:tcBorders>
            <w:shd w:val="clear" w:color="auto" w:fill="auto"/>
            <w:noWrap/>
            <w:vAlign w:val="bottom"/>
            <w:hideMark/>
          </w:tcPr>
          <w:p w14:paraId="111BA328"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w:t>
            </w:r>
          </w:p>
        </w:tc>
        <w:tc>
          <w:tcPr>
            <w:tcW w:w="1060" w:type="pct"/>
            <w:tcBorders>
              <w:top w:val="single" w:sz="4" w:space="0" w:color="auto"/>
              <w:left w:val="nil"/>
              <w:bottom w:val="single" w:sz="4" w:space="0" w:color="auto"/>
              <w:right w:val="nil"/>
            </w:tcBorders>
            <w:shd w:val="clear" w:color="auto" w:fill="auto"/>
            <w:noWrap/>
            <w:vAlign w:val="bottom"/>
            <w:hideMark/>
          </w:tcPr>
          <w:p w14:paraId="6C4EEE79" w14:textId="58269A0A"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Much better</w:t>
            </w:r>
          </w:p>
        </w:tc>
        <w:tc>
          <w:tcPr>
            <w:tcW w:w="883" w:type="pct"/>
            <w:tcBorders>
              <w:top w:val="single" w:sz="4" w:space="0" w:color="auto"/>
              <w:left w:val="nil"/>
              <w:bottom w:val="single" w:sz="4" w:space="0" w:color="auto"/>
              <w:right w:val="nil"/>
            </w:tcBorders>
            <w:shd w:val="clear" w:color="auto" w:fill="auto"/>
            <w:noWrap/>
            <w:vAlign w:val="bottom"/>
            <w:hideMark/>
          </w:tcPr>
          <w:p w14:paraId="2B1F99F6" w14:textId="300A2A6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Better</w:t>
            </w:r>
          </w:p>
        </w:tc>
        <w:tc>
          <w:tcPr>
            <w:tcW w:w="1178" w:type="pct"/>
            <w:tcBorders>
              <w:top w:val="single" w:sz="4" w:space="0" w:color="auto"/>
              <w:left w:val="nil"/>
              <w:bottom w:val="single" w:sz="4" w:space="0" w:color="auto"/>
              <w:right w:val="nil"/>
            </w:tcBorders>
            <w:shd w:val="clear" w:color="auto" w:fill="auto"/>
            <w:noWrap/>
            <w:vAlign w:val="bottom"/>
            <w:hideMark/>
          </w:tcPr>
          <w:p w14:paraId="76622B89" w14:textId="3F45AC0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Slightly better</w:t>
            </w:r>
          </w:p>
        </w:tc>
        <w:tc>
          <w:tcPr>
            <w:tcW w:w="872" w:type="pct"/>
            <w:tcBorders>
              <w:top w:val="single" w:sz="4" w:space="0" w:color="auto"/>
              <w:left w:val="nil"/>
              <w:bottom w:val="single" w:sz="4" w:space="0" w:color="auto"/>
              <w:right w:val="nil"/>
            </w:tcBorders>
            <w:shd w:val="clear" w:color="auto" w:fill="auto"/>
            <w:noWrap/>
            <w:vAlign w:val="bottom"/>
            <w:hideMark/>
          </w:tcPr>
          <w:p w14:paraId="2F2D1750" w14:textId="6EE53F3D"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Same</w:t>
            </w:r>
          </w:p>
        </w:tc>
      </w:tr>
      <w:tr w:rsidR="00AC362E" w:rsidRPr="00491EF1" w14:paraId="1D570CBC" w14:textId="77777777" w:rsidTr="00510F8B">
        <w:trPr>
          <w:trHeight w:val="315"/>
        </w:trPr>
        <w:tc>
          <w:tcPr>
            <w:tcW w:w="1008" w:type="pct"/>
            <w:tcBorders>
              <w:top w:val="nil"/>
              <w:left w:val="nil"/>
              <w:bottom w:val="nil"/>
              <w:right w:val="nil"/>
            </w:tcBorders>
            <w:shd w:val="clear" w:color="auto" w:fill="auto"/>
            <w:noWrap/>
            <w:vAlign w:val="bottom"/>
            <w:hideMark/>
          </w:tcPr>
          <w:p w14:paraId="1F5E47F9"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Large island </w:t>
            </w:r>
          </w:p>
        </w:tc>
        <w:tc>
          <w:tcPr>
            <w:tcW w:w="1060" w:type="pct"/>
            <w:tcBorders>
              <w:top w:val="nil"/>
              <w:left w:val="nil"/>
              <w:bottom w:val="nil"/>
              <w:right w:val="nil"/>
            </w:tcBorders>
            <w:shd w:val="clear" w:color="auto" w:fill="auto"/>
            <w:noWrap/>
            <w:vAlign w:val="bottom"/>
            <w:hideMark/>
          </w:tcPr>
          <w:p w14:paraId="7EFBE003" w14:textId="0BAF272D"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10</w:t>
            </w:r>
          </w:p>
        </w:tc>
        <w:tc>
          <w:tcPr>
            <w:tcW w:w="883" w:type="pct"/>
            <w:tcBorders>
              <w:top w:val="nil"/>
              <w:left w:val="nil"/>
              <w:bottom w:val="nil"/>
              <w:right w:val="nil"/>
            </w:tcBorders>
            <w:shd w:val="clear" w:color="auto" w:fill="auto"/>
            <w:noWrap/>
            <w:vAlign w:val="bottom"/>
            <w:hideMark/>
          </w:tcPr>
          <w:p w14:paraId="1FCDDB03" w14:textId="6B0DC868"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12</w:t>
            </w:r>
          </w:p>
        </w:tc>
        <w:tc>
          <w:tcPr>
            <w:tcW w:w="1178" w:type="pct"/>
            <w:tcBorders>
              <w:top w:val="nil"/>
              <w:left w:val="nil"/>
              <w:bottom w:val="nil"/>
              <w:right w:val="nil"/>
            </w:tcBorders>
            <w:shd w:val="clear" w:color="auto" w:fill="auto"/>
            <w:noWrap/>
            <w:vAlign w:val="bottom"/>
            <w:hideMark/>
          </w:tcPr>
          <w:p w14:paraId="3757C8C0" w14:textId="21FC630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872" w:type="pct"/>
            <w:tcBorders>
              <w:top w:val="nil"/>
              <w:left w:val="nil"/>
              <w:bottom w:val="nil"/>
              <w:right w:val="nil"/>
            </w:tcBorders>
            <w:shd w:val="clear" w:color="auto" w:fill="auto"/>
            <w:noWrap/>
            <w:vAlign w:val="bottom"/>
            <w:hideMark/>
          </w:tcPr>
          <w:p w14:paraId="3DBD2C3E" w14:textId="58F2C1D3"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48B518DC" w14:textId="77777777" w:rsidTr="00510F8B">
        <w:trPr>
          <w:trHeight w:val="315"/>
        </w:trPr>
        <w:tc>
          <w:tcPr>
            <w:tcW w:w="1008" w:type="pct"/>
            <w:tcBorders>
              <w:top w:val="nil"/>
              <w:left w:val="nil"/>
              <w:bottom w:val="nil"/>
              <w:right w:val="nil"/>
            </w:tcBorders>
            <w:shd w:val="clear" w:color="auto" w:fill="auto"/>
            <w:noWrap/>
            <w:vAlign w:val="bottom"/>
            <w:hideMark/>
          </w:tcPr>
          <w:p w14:paraId="2F90435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Small island </w:t>
            </w:r>
          </w:p>
        </w:tc>
        <w:tc>
          <w:tcPr>
            <w:tcW w:w="1060" w:type="pct"/>
            <w:tcBorders>
              <w:top w:val="nil"/>
              <w:left w:val="nil"/>
              <w:bottom w:val="nil"/>
              <w:right w:val="nil"/>
            </w:tcBorders>
            <w:shd w:val="clear" w:color="auto" w:fill="auto"/>
            <w:noWrap/>
            <w:vAlign w:val="bottom"/>
            <w:hideMark/>
          </w:tcPr>
          <w:p w14:paraId="4C743F8A" w14:textId="2647053E"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3</w:t>
            </w:r>
          </w:p>
        </w:tc>
        <w:tc>
          <w:tcPr>
            <w:tcW w:w="883" w:type="pct"/>
            <w:tcBorders>
              <w:top w:val="nil"/>
              <w:left w:val="nil"/>
              <w:bottom w:val="nil"/>
              <w:right w:val="nil"/>
            </w:tcBorders>
            <w:shd w:val="clear" w:color="auto" w:fill="auto"/>
            <w:noWrap/>
            <w:vAlign w:val="bottom"/>
            <w:hideMark/>
          </w:tcPr>
          <w:p w14:paraId="22B6704B" w14:textId="71AFD0F0"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9</w:t>
            </w:r>
          </w:p>
        </w:tc>
        <w:tc>
          <w:tcPr>
            <w:tcW w:w="1178" w:type="pct"/>
            <w:tcBorders>
              <w:top w:val="nil"/>
              <w:left w:val="nil"/>
              <w:bottom w:val="nil"/>
              <w:right w:val="nil"/>
            </w:tcBorders>
            <w:shd w:val="clear" w:color="auto" w:fill="auto"/>
            <w:noWrap/>
            <w:vAlign w:val="bottom"/>
            <w:hideMark/>
          </w:tcPr>
          <w:p w14:paraId="4BFEBAF2" w14:textId="004697C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c>
          <w:tcPr>
            <w:tcW w:w="872" w:type="pct"/>
            <w:tcBorders>
              <w:top w:val="nil"/>
              <w:left w:val="nil"/>
              <w:bottom w:val="nil"/>
              <w:right w:val="nil"/>
            </w:tcBorders>
            <w:shd w:val="clear" w:color="auto" w:fill="auto"/>
            <w:noWrap/>
            <w:vAlign w:val="bottom"/>
            <w:hideMark/>
          </w:tcPr>
          <w:p w14:paraId="0656BD9E" w14:textId="534E97F8"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w:t>
            </w:r>
          </w:p>
        </w:tc>
      </w:tr>
      <w:tr w:rsidR="00AC362E" w:rsidRPr="00491EF1" w14:paraId="271D1E04" w14:textId="77777777" w:rsidTr="00510F8B">
        <w:trPr>
          <w:trHeight w:val="315"/>
        </w:trPr>
        <w:tc>
          <w:tcPr>
            <w:tcW w:w="1008" w:type="pct"/>
            <w:tcBorders>
              <w:top w:val="nil"/>
              <w:left w:val="nil"/>
              <w:bottom w:val="nil"/>
              <w:right w:val="nil"/>
            </w:tcBorders>
            <w:shd w:val="clear" w:color="auto" w:fill="auto"/>
            <w:noWrap/>
            <w:vAlign w:val="bottom"/>
            <w:hideMark/>
          </w:tcPr>
          <w:p w14:paraId="66878E2E" w14:textId="7D312811"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S</w:t>
            </w:r>
            <w:r w:rsidR="00510F8B">
              <w:rPr>
                <w:rFonts w:asciiTheme="majorHAnsi" w:eastAsia="Times New Roman" w:hAnsiTheme="majorHAnsi" w:cstheme="majorHAnsi"/>
                <w:color w:val="000000"/>
                <w:lang w:eastAsia="en-AU"/>
              </w:rPr>
              <w:t>ou</w:t>
            </w:r>
            <w:r w:rsidRPr="00491EF1">
              <w:rPr>
                <w:rFonts w:asciiTheme="majorHAnsi" w:eastAsia="Times New Roman" w:hAnsiTheme="majorHAnsi" w:cstheme="majorHAnsi"/>
                <w:color w:val="000000"/>
                <w:lang w:eastAsia="en-AU"/>
              </w:rPr>
              <w:t xml:space="preserve">th Tarawa </w:t>
            </w:r>
          </w:p>
        </w:tc>
        <w:tc>
          <w:tcPr>
            <w:tcW w:w="1060" w:type="pct"/>
            <w:tcBorders>
              <w:top w:val="nil"/>
              <w:left w:val="nil"/>
              <w:bottom w:val="nil"/>
              <w:right w:val="nil"/>
            </w:tcBorders>
            <w:shd w:val="clear" w:color="auto" w:fill="auto"/>
            <w:noWrap/>
            <w:vAlign w:val="bottom"/>
            <w:hideMark/>
          </w:tcPr>
          <w:p w14:paraId="796667E1" w14:textId="0355E1F6"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883" w:type="pct"/>
            <w:tcBorders>
              <w:top w:val="nil"/>
              <w:left w:val="nil"/>
              <w:bottom w:val="nil"/>
              <w:right w:val="nil"/>
            </w:tcBorders>
            <w:shd w:val="clear" w:color="auto" w:fill="auto"/>
            <w:noWrap/>
            <w:vAlign w:val="bottom"/>
            <w:hideMark/>
          </w:tcPr>
          <w:p w14:paraId="68AC1587" w14:textId="3BF6AAB1"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1178" w:type="pct"/>
            <w:tcBorders>
              <w:top w:val="nil"/>
              <w:left w:val="nil"/>
              <w:bottom w:val="nil"/>
              <w:right w:val="nil"/>
            </w:tcBorders>
            <w:shd w:val="clear" w:color="auto" w:fill="auto"/>
            <w:noWrap/>
            <w:vAlign w:val="bottom"/>
            <w:hideMark/>
          </w:tcPr>
          <w:p w14:paraId="2CC2C060" w14:textId="5865BE6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c>
          <w:tcPr>
            <w:tcW w:w="872" w:type="pct"/>
            <w:tcBorders>
              <w:top w:val="nil"/>
              <w:left w:val="nil"/>
              <w:bottom w:val="nil"/>
              <w:right w:val="nil"/>
            </w:tcBorders>
            <w:shd w:val="clear" w:color="auto" w:fill="auto"/>
            <w:noWrap/>
            <w:vAlign w:val="bottom"/>
            <w:hideMark/>
          </w:tcPr>
          <w:p w14:paraId="465ADEAB" w14:textId="77777777" w:rsidR="00AC362E" w:rsidRPr="00491EF1" w:rsidRDefault="00AC362E" w:rsidP="00510F8B">
            <w:pPr>
              <w:spacing w:after="0"/>
              <w:jc w:val="center"/>
              <w:rPr>
                <w:rFonts w:asciiTheme="majorHAnsi" w:eastAsia="Times New Roman" w:hAnsiTheme="majorHAnsi" w:cstheme="majorHAnsi"/>
                <w:color w:val="000000"/>
                <w:lang w:eastAsia="en-AU"/>
              </w:rPr>
            </w:pPr>
          </w:p>
        </w:tc>
      </w:tr>
      <w:tr w:rsidR="00AC362E" w:rsidRPr="00491EF1" w14:paraId="26E25709" w14:textId="77777777" w:rsidTr="00510F8B">
        <w:trPr>
          <w:trHeight w:val="315"/>
        </w:trPr>
        <w:tc>
          <w:tcPr>
            <w:tcW w:w="1008" w:type="pct"/>
            <w:tcBorders>
              <w:top w:val="single" w:sz="4" w:space="0" w:color="auto"/>
              <w:left w:val="nil"/>
              <w:bottom w:val="single" w:sz="4" w:space="0" w:color="auto"/>
              <w:right w:val="nil"/>
            </w:tcBorders>
            <w:shd w:val="clear" w:color="auto" w:fill="auto"/>
            <w:noWrap/>
            <w:vAlign w:val="bottom"/>
            <w:hideMark/>
          </w:tcPr>
          <w:p w14:paraId="23153567" w14:textId="77777777" w:rsidR="00AC362E" w:rsidRPr="00491EF1" w:rsidRDefault="00AC362E" w:rsidP="00ED0631">
            <w:pPr>
              <w:spacing w:after="0"/>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 xml:space="preserve"> Total</w:t>
            </w:r>
          </w:p>
        </w:tc>
        <w:tc>
          <w:tcPr>
            <w:tcW w:w="1060" w:type="pct"/>
            <w:tcBorders>
              <w:top w:val="single" w:sz="4" w:space="0" w:color="auto"/>
              <w:left w:val="nil"/>
              <w:bottom w:val="single" w:sz="4" w:space="0" w:color="auto"/>
              <w:right w:val="nil"/>
            </w:tcBorders>
            <w:shd w:val="clear" w:color="auto" w:fill="auto"/>
            <w:noWrap/>
            <w:vAlign w:val="bottom"/>
            <w:hideMark/>
          </w:tcPr>
          <w:p w14:paraId="7FAE81DD" w14:textId="55D58E8F"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17</w:t>
            </w:r>
          </w:p>
        </w:tc>
        <w:tc>
          <w:tcPr>
            <w:tcW w:w="883" w:type="pct"/>
            <w:tcBorders>
              <w:top w:val="single" w:sz="4" w:space="0" w:color="auto"/>
              <w:left w:val="nil"/>
              <w:bottom w:val="single" w:sz="4" w:space="0" w:color="auto"/>
              <w:right w:val="nil"/>
            </w:tcBorders>
            <w:shd w:val="clear" w:color="auto" w:fill="auto"/>
            <w:noWrap/>
            <w:vAlign w:val="bottom"/>
            <w:hideMark/>
          </w:tcPr>
          <w:p w14:paraId="64B8E622" w14:textId="0FE76652"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25</w:t>
            </w:r>
          </w:p>
        </w:tc>
        <w:tc>
          <w:tcPr>
            <w:tcW w:w="1178" w:type="pct"/>
            <w:tcBorders>
              <w:top w:val="single" w:sz="4" w:space="0" w:color="auto"/>
              <w:left w:val="nil"/>
              <w:bottom w:val="single" w:sz="4" w:space="0" w:color="auto"/>
              <w:right w:val="nil"/>
            </w:tcBorders>
            <w:shd w:val="clear" w:color="auto" w:fill="auto"/>
            <w:noWrap/>
            <w:vAlign w:val="bottom"/>
            <w:hideMark/>
          </w:tcPr>
          <w:p w14:paraId="24618117" w14:textId="193C98C5"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4</w:t>
            </w:r>
          </w:p>
        </w:tc>
        <w:tc>
          <w:tcPr>
            <w:tcW w:w="872" w:type="pct"/>
            <w:tcBorders>
              <w:top w:val="single" w:sz="4" w:space="0" w:color="auto"/>
              <w:left w:val="nil"/>
              <w:bottom w:val="single" w:sz="4" w:space="0" w:color="auto"/>
              <w:right w:val="nil"/>
            </w:tcBorders>
            <w:shd w:val="clear" w:color="auto" w:fill="auto"/>
            <w:noWrap/>
            <w:vAlign w:val="bottom"/>
            <w:hideMark/>
          </w:tcPr>
          <w:p w14:paraId="4BA227EC" w14:textId="3421F399" w:rsidR="00AC362E" w:rsidRPr="00491EF1" w:rsidRDefault="00AC362E" w:rsidP="00510F8B">
            <w:pPr>
              <w:spacing w:after="0"/>
              <w:jc w:val="center"/>
              <w:rPr>
                <w:rFonts w:asciiTheme="majorHAnsi" w:eastAsia="Times New Roman" w:hAnsiTheme="majorHAnsi" w:cstheme="majorHAnsi"/>
                <w:color w:val="000000"/>
                <w:lang w:eastAsia="en-AU"/>
              </w:rPr>
            </w:pPr>
            <w:r w:rsidRPr="00491EF1">
              <w:rPr>
                <w:rFonts w:asciiTheme="majorHAnsi" w:eastAsia="Times New Roman" w:hAnsiTheme="majorHAnsi" w:cstheme="majorHAnsi"/>
                <w:color w:val="000000"/>
                <w:lang w:eastAsia="en-AU"/>
              </w:rPr>
              <w:t>2</w:t>
            </w:r>
          </w:p>
        </w:tc>
      </w:tr>
    </w:tbl>
    <w:p w14:paraId="5431C6FD" w14:textId="77777777" w:rsidR="00AC362E" w:rsidRPr="00491EF1" w:rsidRDefault="00AC362E">
      <w:pPr>
        <w:rPr>
          <w:rFonts w:asciiTheme="majorHAnsi" w:hAnsiTheme="majorHAnsi" w:cstheme="majorHAnsi"/>
        </w:rPr>
        <w:sectPr w:rsidR="00AC362E" w:rsidRPr="00491EF1" w:rsidSect="00ED0631">
          <w:pgSz w:w="11906" w:h="16838"/>
          <w:pgMar w:top="1440" w:right="1440" w:bottom="1440" w:left="1440" w:header="708" w:footer="708" w:gutter="0"/>
          <w:cols w:space="708"/>
          <w:docGrid w:linePitch="360"/>
        </w:sectPr>
      </w:pPr>
    </w:p>
    <w:p w14:paraId="14ABC622" w14:textId="77777777" w:rsidR="00AC362E" w:rsidRPr="00184429" w:rsidRDefault="00AC362E" w:rsidP="00470803">
      <w:pPr>
        <w:pStyle w:val="Annexheading"/>
      </w:pPr>
      <w:r w:rsidRPr="00184429">
        <w:lastRenderedPageBreak/>
        <w:t>Annex 4</w:t>
      </w:r>
    </w:p>
    <w:p w14:paraId="1CDCC13F" w14:textId="77777777" w:rsidR="00AC362E" w:rsidRPr="00184429" w:rsidRDefault="00AC362E" w:rsidP="00470803">
      <w:pPr>
        <w:pStyle w:val="Annexheading"/>
      </w:pPr>
      <w:r w:rsidRPr="00184429">
        <w:t xml:space="preserve">Case Studies of Eight Kiribati Schools </w:t>
      </w:r>
    </w:p>
    <w:p w14:paraId="5BEE5EE2" w14:textId="77777777" w:rsidR="00AC362E" w:rsidRPr="00184429" w:rsidRDefault="00AC362E" w:rsidP="00470803">
      <w:pPr>
        <w:pStyle w:val="AppendixHeading"/>
      </w:pPr>
      <w:r w:rsidRPr="00184429">
        <w:t>Abaunamou Primary School</w:t>
      </w:r>
    </w:p>
    <w:p w14:paraId="62BAEB80" w14:textId="77777777" w:rsidR="00AC362E" w:rsidRPr="00184429" w:rsidRDefault="00AC362E" w:rsidP="00470803">
      <w:pPr>
        <w:pStyle w:val="AppendixHeading"/>
      </w:pPr>
      <w:r w:rsidRPr="00184429">
        <w:t>Nauranke Ranga (Taboneau) Primary School</w:t>
      </w:r>
    </w:p>
    <w:p w14:paraId="37E980D1" w14:textId="77777777" w:rsidR="00AC362E" w:rsidRPr="00184429" w:rsidRDefault="00AC362E" w:rsidP="00470803">
      <w:pPr>
        <w:pStyle w:val="AppendixHeading"/>
      </w:pPr>
      <w:r w:rsidRPr="00184429">
        <w:t>Anderson Primary School</w:t>
      </w:r>
    </w:p>
    <w:p w14:paraId="13FF9A4F" w14:textId="77777777" w:rsidR="00AC362E" w:rsidRPr="00184429" w:rsidRDefault="00AC362E" w:rsidP="00470803">
      <w:pPr>
        <w:pStyle w:val="AppendixHeading"/>
      </w:pPr>
      <w:r w:rsidRPr="00184429">
        <w:t>Routa Primary School</w:t>
      </w:r>
    </w:p>
    <w:p w14:paraId="4FCF8E02" w14:textId="77777777" w:rsidR="00AC362E" w:rsidRPr="00184429" w:rsidRDefault="00AC362E" w:rsidP="00470803">
      <w:pPr>
        <w:pStyle w:val="AppendixHeading"/>
      </w:pPr>
      <w:r w:rsidRPr="00184429">
        <w:t>Kabeni Primary School</w:t>
      </w:r>
    </w:p>
    <w:p w14:paraId="6887BD3D" w14:textId="77777777" w:rsidR="00AC362E" w:rsidRPr="00184429" w:rsidRDefault="00AC362E" w:rsidP="00470803">
      <w:pPr>
        <w:pStyle w:val="AppendixHeading"/>
      </w:pPr>
      <w:r w:rsidRPr="00184429">
        <w:t>Bareaumai Primary School</w:t>
      </w:r>
    </w:p>
    <w:p w14:paraId="3A73B72F" w14:textId="77777777" w:rsidR="00AC362E" w:rsidRPr="00184429" w:rsidRDefault="00AC362E" w:rsidP="00470803">
      <w:pPr>
        <w:pStyle w:val="AppendixHeading"/>
      </w:pPr>
      <w:r w:rsidRPr="00184429">
        <w:t>Ainen Karawa Primary School</w:t>
      </w:r>
    </w:p>
    <w:p w14:paraId="044760BE" w14:textId="77777777" w:rsidR="00AC362E" w:rsidRPr="00184429" w:rsidRDefault="00AC362E" w:rsidP="00470803">
      <w:pPr>
        <w:pStyle w:val="AppendixHeading"/>
      </w:pPr>
      <w:r w:rsidRPr="00184429">
        <w:t>Tauraoi Primary School</w:t>
      </w:r>
    </w:p>
    <w:p w14:paraId="41570442" w14:textId="77777777" w:rsidR="00AC362E" w:rsidRDefault="00AC362E" w:rsidP="00470803">
      <w:pPr>
        <w:pStyle w:val="AppendixHeading"/>
        <w:rPr>
          <w:color w:val="EB6E08" w:themeColor="text2"/>
        </w:rPr>
        <w:sectPr w:rsidR="00AC362E" w:rsidSect="00ED0631">
          <w:footerReference w:type="default" r:id="rId76"/>
          <w:pgSz w:w="11906" w:h="16838"/>
          <w:pgMar w:top="1440" w:right="1440" w:bottom="1440" w:left="1440" w:header="708" w:footer="708" w:gutter="0"/>
          <w:cols w:space="708"/>
          <w:docGrid w:linePitch="360"/>
        </w:sectPr>
      </w:pPr>
    </w:p>
    <w:p w14:paraId="424B2A66" w14:textId="77777777" w:rsidR="00AC362E" w:rsidRPr="00470803" w:rsidRDefault="00AC362E" w:rsidP="00470803">
      <w:pPr>
        <w:pStyle w:val="Heading1"/>
      </w:pPr>
      <w:bookmarkStart w:id="237" w:name="_Toc461615822"/>
      <w:r w:rsidRPr="00470803">
        <w:lastRenderedPageBreak/>
        <w:t>Abaunamou Primary School</w:t>
      </w:r>
      <w:bookmarkEnd w:id="237"/>
    </w:p>
    <w:p w14:paraId="58A65D66" w14:textId="6D88EE76" w:rsidR="00AC362E" w:rsidRPr="009553E4" w:rsidRDefault="00AC362E" w:rsidP="00ED0631">
      <w:r w:rsidRPr="009553E4">
        <w:t>Abaunamou Primary School is a substantially refurbished school in South Tarawa.  Located close to the beach it has spacious brick classrooms, iron roofs, well positioned water tanks and large toilet blocks.  A small maneaba sits at one end of a central quadrangle. Generally the impression is of a well ordered school.</w:t>
      </w:r>
    </w:p>
    <w:p w14:paraId="015A03CD" w14:textId="77777777" w:rsidR="00AC362E" w:rsidRPr="009553E4" w:rsidRDefault="00AC362E" w:rsidP="00ED0631">
      <w:r w:rsidRPr="009553E4">
        <w:t>Classrooms are attractively decorated with posters and students work.  Some teachers have made posters out of used rice bags and these promote good health practice and community spirit.  Most classrooms have student desks and benches so students do not sit on the floor.  They can store their workbooks under the benches.</w:t>
      </w:r>
    </w:p>
    <w:p w14:paraId="7550789B" w14:textId="77777777" w:rsidR="00AC362E" w:rsidRPr="009553E4" w:rsidRDefault="00AC362E" w:rsidP="00ED0631">
      <w:r w:rsidRPr="009553E4">
        <w:t xml:space="preserve">There is a library with copious shelving and a large range of texts arranged in year order.  The library also has desks of the same type found in classrooms. MoE blue boxes of resource material are arranged around the walls.  </w:t>
      </w:r>
    </w:p>
    <w:p w14:paraId="2B2FC7CD" w14:textId="3931225F" w:rsidR="00AC362E" w:rsidRPr="009553E4" w:rsidRDefault="00AC362E" w:rsidP="00ED0631">
      <w:r w:rsidRPr="009553E4">
        <w:t xml:space="preserve">All of the buildings and classrooms are painted white, blue and green. They appear to be in good order and well maintained, however, since the refurbishment had been completed the front fence facing the beach had completely collapsed.  It seems to have rusted through from exposure to salt water.  The sea wall which is close to the toilet blocks is being undermined by waves coming over the top.  The school committee has made a rough attempt to fix this by backfilling with sand and rubbish but the waves have taken this fill out as well.  It is clear that if the seawall is not stabilised soon in a more permanent manner it will collapse and then the toilet blocks and potentially classrooms closest the beach could also be damaged. </w:t>
      </w:r>
    </w:p>
    <w:p w14:paraId="6310BB4B" w14:textId="77777777" w:rsidR="00AC362E" w:rsidRPr="009553E4" w:rsidRDefault="00AC362E" w:rsidP="00ED0631">
      <w:r w:rsidRPr="009553E4">
        <w:t xml:space="preserve">The school has about 620 students making it the largest school considered in these case studies by a considerable margin. Class sizes are large and as a consequence there are at least two classes for every year and most of these are taught by contract teachers.  There are only a few permanent teachers at the school. </w:t>
      </w:r>
    </w:p>
    <w:p w14:paraId="13EE1274" w14:textId="77777777" w:rsidR="00AC362E" w:rsidRPr="009553E4" w:rsidRDefault="00AC362E" w:rsidP="00ED0631">
      <w:r w:rsidRPr="009553E4">
        <w:t xml:space="preserve">The previous Head Teacher had recently retired and there was an acting Head Teacher in her place who had been in the position for only one term. </w:t>
      </w:r>
    </w:p>
    <w:p w14:paraId="2F469654" w14:textId="77777777" w:rsidR="00AC362E" w:rsidRPr="00470803" w:rsidRDefault="00AC362E" w:rsidP="00470803">
      <w:pPr>
        <w:pStyle w:val="Heading2"/>
      </w:pPr>
      <w:bookmarkStart w:id="238" w:name="_Toc461615823"/>
      <w:r w:rsidRPr="00470803">
        <w:t>New Curriculum</w:t>
      </w:r>
      <w:bookmarkEnd w:id="238"/>
    </w:p>
    <w:p w14:paraId="4201D21B" w14:textId="77777777" w:rsidR="00AC362E" w:rsidRPr="009553E4" w:rsidRDefault="00AC362E" w:rsidP="00ED0631">
      <w:r w:rsidRPr="009553E4">
        <w:t xml:space="preserve">Although the new Head Teacher does not currently teach any classes she did teach the new curriculum for two terms before become the Head Teacher.  She thinks that students are much more engaged in the classroom under the new curriculum. “They are not shy”, she said.  “They participate much more.  They can discuss much more and overtime they lose their shyness”.  </w:t>
      </w:r>
    </w:p>
    <w:p w14:paraId="5AE63B7C" w14:textId="77777777" w:rsidR="00AC362E" w:rsidRPr="009553E4" w:rsidRDefault="00AC362E" w:rsidP="00ED0631">
      <w:r w:rsidRPr="009553E4">
        <w:t>Elaborating on another advantage she went on to say, “we now recognise there are different learning styles.  In the past when a student did not understand something you blamed them or you blamed yourself”.  Now we understand that we have to present information in different ways. We didn’t realise about different learning styles”.</w:t>
      </w:r>
    </w:p>
    <w:p w14:paraId="4D84F08B" w14:textId="2D0079F1" w:rsidR="00AC362E" w:rsidRPr="009553E4" w:rsidRDefault="00AC362E" w:rsidP="00ED0631">
      <w:r w:rsidRPr="009553E4">
        <w:t xml:space="preserve">Teachers too thought old style was less fun and they enjoyed teaching in the new curriculum but they stressed that child-centred learning was not a new concept to them.  They did it before under the old curriculum but the new curriculum is more detailed and has a better focus on child-centred teaching.  Nonetheless, some teachers still did not use child centred learning for “cultural reasons”.  </w:t>
      </w:r>
    </w:p>
    <w:p w14:paraId="000CDEF0" w14:textId="77777777" w:rsidR="00AC362E" w:rsidRPr="009553E4" w:rsidRDefault="00AC362E" w:rsidP="00ED0631">
      <w:r w:rsidRPr="009553E4">
        <w:t xml:space="preserve">Most teachers preferred the new curriculum lesson plan format.  They found it comfortable and simple to prepare but most teachers were no longer using it because they have been told not to by MoE.  In classroom observation however, it was noted that one teacher was still using the new curriculum lesson plan format.  The teachers complain that the MoE format that takes a long time to complete and takes away from time they could be preparing teaching activities and teaching aids.  </w:t>
      </w:r>
    </w:p>
    <w:p w14:paraId="08D159E2" w14:textId="5A34410C" w:rsidR="00AC362E" w:rsidRPr="009553E4" w:rsidRDefault="00AC362E" w:rsidP="00ED0631">
      <w:r w:rsidRPr="009553E4">
        <w:t xml:space="preserve">According to teachers the new curriculum made it easier to make assessments and identify the slow learners so they could help them.  A number of teachers had very well organised portfolios. In fact, according to teachers, the thing that Abaunamou does differently to other schools is the way they use portfolios. This system was established by the former head teacher.  The portfolios contain </w:t>
      </w:r>
      <w:r w:rsidRPr="009553E4">
        <w:lastRenderedPageBreak/>
        <w:t>statements about the student’s dreams and hobbies, various assessment information and also details of any interventions made with that student. There are charts and a checklist. Observations in the Year 1 to 4 classrooms confirmed that most, but not all, teachers were indeed following this practice and their portfolios were the most comprehensive seen at any school.</w:t>
      </w:r>
    </w:p>
    <w:p w14:paraId="6271EB86" w14:textId="68AE9721" w:rsidR="00AC362E" w:rsidRPr="009553E4" w:rsidRDefault="00AC362E" w:rsidP="00ED0631">
      <w:r w:rsidRPr="009553E4">
        <w:t>According to teachers interviewed, when parents come they like to look at the portfolios and they have accepted that the school relies less on tests and exams. Most teachers indicated that they thought this approach to assessment was a more effective way of identifying students who need additional support and was working effectively.</w:t>
      </w:r>
    </w:p>
    <w:p w14:paraId="4765528F" w14:textId="77777777" w:rsidR="00AC362E" w:rsidRPr="009553E4" w:rsidRDefault="00AC362E" w:rsidP="00ED0631">
      <w:r w:rsidRPr="009553E4">
        <w:t>Asked whether she had shared this portfolio approach the Head Teacher said she had not done so but expected that when teachers moved to other schools they would take the approach with them.</w:t>
      </w:r>
    </w:p>
    <w:p w14:paraId="151D0846" w14:textId="17C7D7CD" w:rsidR="00AC362E" w:rsidRPr="009553E4" w:rsidRDefault="00AC362E" w:rsidP="00ED0631">
      <w:r w:rsidRPr="009553E4">
        <w:t>Teachers rarely work together on lesson plans and do not generally collaborate on teaching. They do have a planning session at the beginning of term but they write their own lesson plans and generally don’t cooperate on these unless someone is having a particular problem and requests assistance.</w:t>
      </w:r>
    </w:p>
    <w:p w14:paraId="15D3347B" w14:textId="06B1F7CB" w:rsidR="00AC362E" w:rsidRPr="009553E4" w:rsidRDefault="00AC362E" w:rsidP="00ED0631">
      <w:r w:rsidRPr="009553E4">
        <w:t>On the issue of training, permanent teachers had done some training but contract teachers generally had not. It was interesting therefore that one of the best examples of classroom teaching came from a contract teacher who was teaching the new curriculum. She was working from a teacher’s guide but she had also sought support from a friend who had done the training on the new curriculum.</w:t>
      </w:r>
    </w:p>
    <w:p w14:paraId="62911E5C" w14:textId="21B06225" w:rsidR="00AC362E" w:rsidRPr="009553E4" w:rsidRDefault="00AC362E" w:rsidP="00ED0631">
      <w:r w:rsidRPr="009553E4">
        <w:t xml:space="preserve">Amongst permanent teachers a number complained that they had only done the training on the year they were teaching. They felt that they should also do the training cycles for other years as well as it would make it easier for them to understand other years’ expectations and also would allow them to teach better in other years if they changed classes.  </w:t>
      </w:r>
    </w:p>
    <w:p w14:paraId="74469ACB" w14:textId="13C56BDE" w:rsidR="00AC362E" w:rsidRPr="00CE7C9B" w:rsidRDefault="00AC362E" w:rsidP="00ED0631">
      <w:pPr>
        <w:rPr>
          <w:spacing w:val="2"/>
        </w:rPr>
      </w:pPr>
      <w:r w:rsidRPr="00CE7C9B">
        <w:rPr>
          <w:spacing w:val="2"/>
        </w:rPr>
        <w:t>However, according to the Head Teacher “The main problem is the teacher’s EL teaching skills.  They need some workshops for their teaching of English”. She said that she could not tell if any of her teachers are very good in teaching English. Kiribati Teachers College does some training but that is mainly for Year 4 teachers and most of her teachers are contract teachers so they haven’t done any training.</w:t>
      </w:r>
    </w:p>
    <w:p w14:paraId="53AD42C0" w14:textId="77777777" w:rsidR="00AC362E" w:rsidRPr="00470803" w:rsidRDefault="00AC362E" w:rsidP="00470803">
      <w:pPr>
        <w:pStyle w:val="Heading2"/>
      </w:pPr>
      <w:bookmarkStart w:id="239" w:name="_Toc461615824"/>
      <w:r w:rsidRPr="00470803">
        <w:t>Classroom Teaching</w:t>
      </w:r>
      <w:bookmarkEnd w:id="239"/>
      <w:r w:rsidRPr="00470803">
        <w:t xml:space="preserve"> </w:t>
      </w:r>
    </w:p>
    <w:p w14:paraId="38E693E5" w14:textId="4C44C757" w:rsidR="00AC362E" w:rsidRPr="009553E4" w:rsidRDefault="00AC362E" w:rsidP="00ED0631">
      <w:r w:rsidRPr="009553E4">
        <w:t>In seven out of eight classes observed in Years 1 to 4 teaching in the classroom matched the lesson plans prepared. The one that didn’t was a contract teacher who had been absent the day before.  The day before that she had prepared a lesson plan but in her absence that was not taught.  Rather than follow the previous lesson plan she was teaching without a plan on the day observed. She was primarily using teacher-centred activities and many students were not paying attention. The classroom was very noisy.</w:t>
      </w:r>
    </w:p>
    <w:p w14:paraId="00C4915C" w14:textId="6B8A6F73" w:rsidR="00AC362E" w:rsidRPr="000D1BC6" w:rsidRDefault="00AC362E" w:rsidP="00ED0631">
      <w:pPr>
        <w:rPr>
          <w:spacing w:val="4"/>
        </w:rPr>
      </w:pPr>
      <w:r w:rsidRPr="000D1BC6">
        <w:rPr>
          <w:spacing w:val="4"/>
        </w:rPr>
        <w:t>In all other classes students were engaged and happily participating in their lessons. Some classes were using group work. In other classes students participated freely in discussions and were able to express themselves well. In one class students were working silently at their desks on an assigned task.</w:t>
      </w:r>
    </w:p>
    <w:p w14:paraId="10092FBF" w14:textId="1537EBA7" w:rsidR="00AC362E" w:rsidRPr="009553E4" w:rsidRDefault="00AC362E" w:rsidP="00ED0631">
      <w:r w:rsidRPr="009553E4">
        <w:t>Teachers interviewed complained about a general lack of resources and the quality of the resources they had. They only have one Year 2 teachers guide to share amongst four teachers. Part of the problem was that when teachers moved to other schools they sometimes took their resources with them. Among the resources requested teachers mentioned that they would like each teacher to have a copy of the syllabus each and some references and they would also really like more detailed teachers’ guides with sample lesson plans and activities. They would like a teaching plan for each class including questions text and sentence structure. They would also like some audio aids. One noted that in the past there was a radio program and it would be good if they could have something similar with cassettes or compact disks.</w:t>
      </w:r>
    </w:p>
    <w:p w14:paraId="6C2D1AAB"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4B796424" w14:textId="6059B2CC" w:rsidR="00AC362E" w:rsidRPr="00470803" w:rsidRDefault="00AC362E" w:rsidP="00470803">
      <w:pPr>
        <w:pStyle w:val="Heading2"/>
      </w:pPr>
      <w:bookmarkStart w:id="240" w:name="_Toc461615825"/>
      <w:r w:rsidRPr="00470803">
        <w:lastRenderedPageBreak/>
        <w:t>School Leadership</w:t>
      </w:r>
      <w:bookmarkEnd w:id="240"/>
    </w:p>
    <w:p w14:paraId="0B038F70" w14:textId="1D58170C" w:rsidR="00AC362E" w:rsidRPr="009553E4" w:rsidRDefault="00AC362E" w:rsidP="00ED0631">
      <w:r w:rsidRPr="009553E4">
        <w:t>The Head Teacher has not done any training as a Head Teacher and she is not confident that she is doing what she is supposed to be doing. She has only done training on Year 1 and 2 of the new curriculum and would also like more training on the other years so she can understand what teachers should be doing and so she can take over classes if necessary.</w:t>
      </w:r>
    </w:p>
    <w:p w14:paraId="22A26919" w14:textId="567806FC" w:rsidR="00AC362E" w:rsidRPr="009553E4" w:rsidRDefault="00AC362E" w:rsidP="00ED0631">
      <w:r w:rsidRPr="009553E4">
        <w:t xml:space="preserve">She thinks her main role is “How to lead teachers in their professional work”. To do this you have to understand what they want. “For me it challenges me because I have to learn about my teachers.  They are willing to do their best. The load I have is not difficult because many of the contract teachers have been Head Teachers and they help”.  </w:t>
      </w:r>
    </w:p>
    <w:p w14:paraId="4BA69A68" w14:textId="4B5916E1" w:rsidR="00AC362E" w:rsidRPr="009553E4" w:rsidRDefault="00AC362E" w:rsidP="00ED0631">
      <w:r w:rsidRPr="009553E4">
        <w:t>She says there are not too many management problems but there are 650 students so it is not possible for her to manage them on her own. She has set up four committees amongst her teachers and delegates the work to those committees. These are: 1) social welfare, 2) health and safety, 3) curriculum, and 4) a project committee that write grant proposals. Team work makes it easy, she says.</w:t>
      </w:r>
    </w:p>
    <w:p w14:paraId="517E55B5" w14:textId="33CF88AF" w:rsidR="00AC362E" w:rsidRPr="009553E4" w:rsidRDefault="00AC362E" w:rsidP="00ED0631">
      <w:r w:rsidRPr="009553E4">
        <w:t>One problem is that some students don’t attend regularly or come late. She notes it is usually the ones living closest to the school that she has the most problems with but she can see them coming late through the gate near her office so she takes them aside and explains how important education is. Most of the late ones are from Year 4 and above.</w:t>
      </w:r>
    </w:p>
    <w:p w14:paraId="76AAD6FE" w14:textId="6493E0F0" w:rsidR="00AC362E" w:rsidRPr="009553E4" w:rsidRDefault="00AC362E" w:rsidP="00ED0631">
      <w:r w:rsidRPr="009553E4">
        <w:t>Teachers arriving late are another issue but she stresses that it is now rare to have late comers. “Most try to do their best. I am very happy with them. I show them respect and they give me respect”, she says. On the wall in her office she has a series of graphs displaying the on-time attendance of her staff. One appears to still be a problem. She notes that the process is to manage attendance of staff is supposed to be that the School Committee approaches the teacher first to find out why they are not attending.  If they still don’t come to school then the Head Teacher gets involved.  She may issue as many as three warning letters after which she reports the matter to the MoE but she stressed, “</w:t>
      </w:r>
      <w:r w:rsidR="00D545A0">
        <w:t>W</w:t>
      </w:r>
      <w:r w:rsidRPr="009553E4">
        <w:t>e try our best not to get people in trouble”.</w:t>
      </w:r>
    </w:p>
    <w:p w14:paraId="1306D11A" w14:textId="67CC85A0" w:rsidR="00AC362E" w:rsidRPr="009553E4" w:rsidRDefault="00AC362E" w:rsidP="00ED0631">
      <w:r w:rsidRPr="009553E4">
        <w:t>The school does not have any special professional development program for the teachers other than the support from KTC. The Head Teacher rarely meets with other Head Teachers except that UNICEF once organised a meeting.</w:t>
      </w:r>
    </w:p>
    <w:p w14:paraId="07908B9F" w14:textId="77777777" w:rsidR="00AC362E" w:rsidRPr="009553E4" w:rsidRDefault="00AC362E" w:rsidP="00ED0631">
      <w:pPr>
        <w:pStyle w:val="Heading2"/>
      </w:pPr>
      <w:bookmarkStart w:id="241" w:name="_Toc461615826"/>
      <w:r w:rsidRPr="009553E4">
        <w:t>Community Participation</w:t>
      </w:r>
      <w:bookmarkEnd w:id="241"/>
    </w:p>
    <w:p w14:paraId="4F48F694" w14:textId="2315D435" w:rsidR="00AC362E" w:rsidRPr="009553E4" w:rsidRDefault="00AC362E" w:rsidP="00ED0631">
      <w:pPr>
        <w:keepNext/>
        <w:keepLines/>
      </w:pPr>
      <w:r w:rsidRPr="009553E4">
        <w:t>The School Committee and SIP committees function as one. They have 17 members drawn from the surrounding 10 villages. There are ten men and seven women on the committee. The committee meets every month in the first week after pay day. The Head Teacher noted that the level of commitment varied from each village. “Some are active others are relaxed. We need to find a way to empower them”, she said.</w:t>
      </w:r>
    </w:p>
    <w:p w14:paraId="3D285EDD" w14:textId="77777777" w:rsidR="00AC362E" w:rsidRPr="009553E4" w:rsidRDefault="00AC362E" w:rsidP="00ED0631">
      <w:r w:rsidRPr="009553E4">
        <w:t>The SIP was not publicly displayed and the Head Teacher was a little vague about where it was and what was in it. This was probably because she was new to the job.</w:t>
      </w:r>
    </w:p>
    <w:p w14:paraId="50CC089E" w14:textId="77777777" w:rsidR="00AC362E" w:rsidRPr="009553E4" w:rsidRDefault="00AC362E" w:rsidP="00ED0631">
      <w:r w:rsidRPr="009553E4">
        <w:t>The committees set the school vision and also help manage teacher and student attendance. They look after the school compound, do minor repairs and are helping to build a maneaba. They man the gate and let kids back in classrooms after breaks are finished. They do some fund-raising by selling ice-blocks to the kids with the money being used for functions, prizes and to pay committee members when they work as night watchmen.</w:t>
      </w:r>
    </w:p>
    <w:p w14:paraId="3E73886A" w14:textId="177AADFA" w:rsidR="00AC362E" w:rsidRPr="009553E4" w:rsidRDefault="00AC362E" w:rsidP="00ED0631">
      <w:r w:rsidRPr="009553E4">
        <w:t>The parents in the villages also donate money to the school for specific activities such as sports and Independence Celebrations. On the other hand, they have not been very active on encouraging kids to go to school. The school committee worked on this last year but not very seriously or for very long.</w:t>
      </w:r>
    </w:p>
    <w:p w14:paraId="51103EDA"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71451D60" w14:textId="1964F4CE" w:rsidR="00AC362E" w:rsidRPr="009553E4" w:rsidRDefault="00AC362E" w:rsidP="00ED0631">
      <w:pPr>
        <w:pStyle w:val="Heading2"/>
      </w:pPr>
      <w:bookmarkStart w:id="242" w:name="_Toc461615827"/>
      <w:r w:rsidRPr="009553E4">
        <w:lastRenderedPageBreak/>
        <w:t>Inclusiveness</w:t>
      </w:r>
      <w:bookmarkEnd w:id="242"/>
    </w:p>
    <w:p w14:paraId="0384E809" w14:textId="057B0B0C" w:rsidR="00AC362E" w:rsidRPr="009553E4" w:rsidRDefault="00AC362E" w:rsidP="00ED0631">
      <w:pPr>
        <w:keepNext/>
        <w:keepLines/>
      </w:pPr>
      <w:r w:rsidRPr="009553E4">
        <w:t>According to the Head Teacher there was only had one student that she was aware of with problems.  That one was short sighted and needed to sit up front. Teachers similarly could not identify anyone else with disabilities</w:t>
      </w:r>
      <w:r w:rsidR="00470803">
        <w:t>.</w:t>
      </w:r>
    </w:p>
    <w:p w14:paraId="1CC65400" w14:textId="23E3C994" w:rsidR="00AC362E" w:rsidRPr="009553E4" w:rsidRDefault="00AC362E" w:rsidP="00ED0631">
      <w:r w:rsidRPr="009553E4">
        <w:t xml:space="preserve">They did however note two students with medical issues; one has heart problems and the other had epileptic seizures when too excited. The teachers clearly did not know how to handle this and it sounded like some basic first aid training was in order. The Head Teacher noted that there may be other health problems and she was going ask for information from parents if their children had problems. She also said there were a few cases where they could refer parents to take their children to health clinics. </w:t>
      </w:r>
    </w:p>
    <w:p w14:paraId="7F913659" w14:textId="77777777" w:rsidR="00AC362E" w:rsidRPr="009553E4" w:rsidRDefault="00AC362E" w:rsidP="00ED0631">
      <w:pPr>
        <w:pStyle w:val="Heading2"/>
      </w:pPr>
      <w:bookmarkStart w:id="243" w:name="_Toc461615828"/>
      <w:r w:rsidRPr="009553E4">
        <w:t>Absences</w:t>
      </w:r>
      <w:bookmarkEnd w:id="243"/>
    </w:p>
    <w:p w14:paraId="00DEF6F0" w14:textId="77DB025C" w:rsidR="00AC362E" w:rsidRPr="009553E4" w:rsidRDefault="00AC362E" w:rsidP="00ED0631">
      <w:pPr>
        <w:keepNext/>
        <w:keepLines/>
      </w:pPr>
      <w:r w:rsidRPr="009553E4">
        <w:t xml:space="preserve">Across 8 classes in Years 1 to 4 involving 252 students 19% of boys and 10% of girls were absent on the day classes were observed. This is a high rate of absenteeism but is somewhat distorted by a Year 3 class of 31 students in which 8 boys and 2 girls were absent. It was notable that in two Year 4 classes only one student, a girl, was absent from 72 students.  </w:t>
      </w:r>
    </w:p>
    <w:p w14:paraId="04B3F962" w14:textId="27F68008" w:rsidR="00AC362E" w:rsidRPr="009553E4" w:rsidRDefault="00AC362E" w:rsidP="00ED0631">
      <w:pPr>
        <w:keepNext/>
        <w:keepLines/>
      </w:pPr>
      <w:r w:rsidRPr="009553E4">
        <w:t>According to school committee members, there are between 13 and 20 children in the surrounding area not in school. The committee has not been active in managing these non-attendees but thinks that most are working as home helpers, baby sitters and fishermen.</w:t>
      </w:r>
    </w:p>
    <w:p w14:paraId="0772CDD1" w14:textId="77777777" w:rsidR="00AC362E" w:rsidRPr="009553E4" w:rsidRDefault="00AC362E" w:rsidP="00ED0631">
      <w:pPr>
        <w:pStyle w:val="Heading2"/>
      </w:pPr>
      <w:bookmarkStart w:id="244" w:name="_Toc461615829"/>
      <w:r w:rsidRPr="009553E4">
        <w:t>Buildings</w:t>
      </w:r>
      <w:bookmarkEnd w:id="244"/>
    </w:p>
    <w:p w14:paraId="5A4E8627" w14:textId="78AF12D0" w:rsidR="00AC362E" w:rsidRPr="009553E4" w:rsidRDefault="00AC362E" w:rsidP="00ED0631">
      <w:r w:rsidRPr="009553E4">
        <w:t>The refurbished buildings are of very good standard and seem to provide a pleasant learning environment at the school. Each classroom has a flower bed outside maintained by the class teacher. Classrooms are well decorated with posters produced by teachers and children’s work. They are well set out for lessons. Some teachers have established reading corners and students make good use of these when they have finished their assigned work. All students have desks and appear to be comfortable.</w:t>
      </w:r>
    </w:p>
    <w:p w14:paraId="117D5BB8" w14:textId="6F719BFD" w:rsidR="00AC362E" w:rsidRPr="009553E4" w:rsidRDefault="00AC362E" w:rsidP="00ED0631">
      <w:r w:rsidRPr="009553E4">
        <w:t>The large number of children at the school suggests that the refurbishment may have had some impact on enrolment but no figures on previous enrolments were gathered so it is not possible to be definitive. However, school committee members noted that a number of children travelled from very far away to attend Abaunamou.</w:t>
      </w:r>
    </w:p>
    <w:p w14:paraId="11346DD3" w14:textId="016A362A" w:rsidR="00AC362E" w:rsidRPr="009553E4" w:rsidRDefault="00AC362E" w:rsidP="00ED0631">
      <w:r w:rsidRPr="009553E4">
        <w:t xml:space="preserve">Interestingly, while interviewing teachers one afternoon at the school a storm started.  Wind roared through the library building making it difficult to hear and blowing things around the room.  It gave a great insight into what it would be like to teach in such circumstances and more importantly, that to try to do so in an </w:t>
      </w:r>
      <w:r w:rsidR="00714FC4">
        <w:t>un-re</w:t>
      </w:r>
      <w:r w:rsidR="00714FC4" w:rsidRPr="009553E4">
        <w:t>furbished</w:t>
      </w:r>
      <w:r w:rsidRPr="009553E4">
        <w:t xml:space="preserve"> building would essentially be impossible.</w:t>
      </w:r>
    </w:p>
    <w:p w14:paraId="2365F22C" w14:textId="77777777" w:rsidR="00AC362E" w:rsidRPr="009553E4" w:rsidRDefault="00AC362E" w:rsidP="00ED0631">
      <w:pPr>
        <w:pStyle w:val="Heading2"/>
      </w:pPr>
      <w:bookmarkStart w:id="245" w:name="_Toc461615830"/>
      <w:r w:rsidRPr="009553E4">
        <w:t>General Observations</w:t>
      </w:r>
      <w:bookmarkEnd w:id="245"/>
      <w:r w:rsidRPr="009553E4">
        <w:t xml:space="preserve">  </w:t>
      </w:r>
    </w:p>
    <w:p w14:paraId="19085682" w14:textId="0424B664" w:rsidR="00AC362E" w:rsidRPr="009553E4" w:rsidRDefault="00AC362E" w:rsidP="00ED0631">
      <w:r w:rsidRPr="009553E4">
        <w:t>The team was very favourably impressed with the quality of teaching and student performance that they observed in Abaunamou Primary School. The cleanliness and good order of the school compound, office, library, classrooms and toilets was a very noticeable feature of the school and it was observed that parents waiting for their children were often engaged in cleaning and tidying up.</w:t>
      </w:r>
    </w:p>
    <w:p w14:paraId="42632F81" w14:textId="77777777" w:rsidR="00AC362E" w:rsidRDefault="00AC362E" w:rsidP="00ED0631">
      <w:pPr>
        <w:pStyle w:val="ListParagraph"/>
        <w:rPr>
          <w:rFonts w:asciiTheme="majorHAnsi" w:hAnsiTheme="majorHAnsi"/>
          <w:color w:val="EB6E08" w:themeColor="text2"/>
          <w:sz w:val="32"/>
          <w:szCs w:val="32"/>
        </w:rPr>
        <w:sectPr w:rsidR="00AC362E" w:rsidSect="00ED0631">
          <w:footerReference w:type="default" r:id="rId77"/>
          <w:pgSz w:w="11906" w:h="16838"/>
          <w:pgMar w:top="1440" w:right="1440" w:bottom="1440" w:left="1440" w:header="708" w:footer="708" w:gutter="0"/>
          <w:pgNumType w:start="1"/>
          <w:cols w:space="708"/>
          <w:docGrid w:linePitch="360"/>
        </w:sectPr>
      </w:pPr>
    </w:p>
    <w:p w14:paraId="722230C4" w14:textId="77777777" w:rsidR="00AC362E" w:rsidRPr="007513E9" w:rsidRDefault="00AC362E" w:rsidP="00ED0631">
      <w:pPr>
        <w:pStyle w:val="Heading1"/>
      </w:pPr>
      <w:bookmarkStart w:id="246" w:name="_Toc461615831"/>
      <w:r>
        <w:lastRenderedPageBreak/>
        <w:t xml:space="preserve">Nauranke Ranga </w:t>
      </w:r>
      <w:r w:rsidRPr="007513E9">
        <w:t>Primary School</w:t>
      </w:r>
      <w:r>
        <w:t xml:space="preserve"> (</w:t>
      </w:r>
      <w:r w:rsidRPr="007513E9">
        <w:t>Tabonuea</w:t>
      </w:r>
      <w:r>
        <w:t>)</w:t>
      </w:r>
      <w:bookmarkEnd w:id="246"/>
    </w:p>
    <w:p w14:paraId="24B5C54B" w14:textId="5D962829" w:rsidR="00AC362E" w:rsidRDefault="00AC362E" w:rsidP="00ED0631">
      <w:r>
        <w:t xml:space="preserve">Nauranke Ranga was established six years ago after the adjacent village, Tabonuea, petitioned the government for a new school because the next closest school was too far for their children to walk. In the six years since then the school has become a focus of the village and a source of pride.  </w:t>
      </w:r>
    </w:p>
    <w:p w14:paraId="6C5E8BE9" w14:textId="648F9F9C" w:rsidR="00AC362E" w:rsidRDefault="00AC362E" w:rsidP="00ED0631">
      <w:r>
        <w:t>The village has around 45 families and the school has around 50 students. It teaches three multigrade classes of Yr1/2, Yr3/4, and Yr5/6. It also has a preschool attached which appears to be run by mothers from the village. Including the Head Teacher there are only two permanent teachers</w:t>
      </w:r>
      <w:r w:rsidRPr="00796E5F">
        <w:t xml:space="preserve"> </w:t>
      </w:r>
      <w:r>
        <w:t>b</w:t>
      </w:r>
      <w:r w:rsidRPr="00144D66">
        <w:t xml:space="preserve">oth </w:t>
      </w:r>
      <w:r>
        <w:t>of whom have</w:t>
      </w:r>
      <w:r w:rsidRPr="00144D66">
        <w:t xml:space="preserve"> been trained on the new curriculum.</w:t>
      </w:r>
      <w:r>
        <w:t xml:space="preserve"> The Head Teacher teaches the Yr1/2 class. The Yr5/6 class is taught by a Monitor. </w:t>
      </w:r>
    </w:p>
    <w:p w14:paraId="022A564B" w14:textId="1229C0AB" w:rsidR="00AC362E" w:rsidRDefault="00AC362E" w:rsidP="00ED0631">
      <w:r>
        <w:t>The school is located on the edge of a small bay and benefits from cross breezes. Large shade trees around the school compound keep the temperature relatively cool. The teachers live in the school compound and there is a limited supply of electricity from a few small solar panels and a generator. One building on the far side of the compound is the designated smoking house. Smoking in other parts of the school is strictly banned and fines are applied if this rule is broken.</w:t>
      </w:r>
    </w:p>
    <w:p w14:paraId="2D3D3D69" w14:textId="77777777" w:rsidR="00AC362E" w:rsidRDefault="00AC362E" w:rsidP="00ED0631">
      <w:pPr>
        <w:pStyle w:val="Heading2"/>
      </w:pPr>
      <w:bookmarkStart w:id="247" w:name="_Toc461615832"/>
      <w:r w:rsidRPr="00F059E5">
        <w:t>New Curriculum</w:t>
      </w:r>
      <w:bookmarkEnd w:id="247"/>
    </w:p>
    <w:p w14:paraId="2169A789" w14:textId="408BA8F2" w:rsidR="00AC362E" w:rsidRDefault="00AC362E" w:rsidP="00ED0631">
      <w:r>
        <w:t xml:space="preserve">The new curriculum is being taught successfully in Years 1 to 4. The children were actively engaged and clearly enjoying their lessons. Many were signing on their way home in the afternoon. The children were extremely well behaved for the whole day which was perhaps due to the small class sizes. Each year has between 8 </w:t>
      </w:r>
      <w:r w:rsidR="006007DE">
        <w:t>and</w:t>
      </w:r>
      <w:r>
        <w:t xml:space="preserve"> 12 children.</w:t>
      </w:r>
    </w:p>
    <w:p w14:paraId="6D4CFAB3" w14:textId="66183921" w:rsidR="00AC362E" w:rsidRDefault="00AC362E" w:rsidP="00ED0631">
      <w:r w:rsidRPr="00ED568E">
        <w:t xml:space="preserve">The Head Teacher said that under the new curriculum all children have been able to achieve the </w:t>
      </w:r>
      <w:r>
        <w:t>all l</w:t>
      </w:r>
      <w:r w:rsidRPr="00ED568E">
        <w:t xml:space="preserve">earning </w:t>
      </w:r>
      <w:r>
        <w:t>o</w:t>
      </w:r>
      <w:r w:rsidRPr="00ED568E">
        <w:t>utcome</w:t>
      </w:r>
      <w:r>
        <w:t>s</w:t>
      </w:r>
      <w:r w:rsidRPr="00ED568E">
        <w:t>. In the first term they had some problems with the Year 1 children getting used to the new curriculum but now they find it very interesting. Initially they found it a little boring because it covered some of the same ground they had already learnt in preschool but that was of benefit to the slower learners and generally not a problem.</w:t>
      </w:r>
    </w:p>
    <w:p w14:paraId="3D3A8D41" w14:textId="4A549728" w:rsidR="00AC362E" w:rsidRDefault="00AC362E" w:rsidP="00ED0631">
      <w:r>
        <w:t xml:space="preserve">The teachers also noted that </w:t>
      </w:r>
      <w:r w:rsidRPr="00ED568E">
        <w:t>materials are very attractive (big book, posters etc</w:t>
      </w:r>
      <w:r>
        <w:t>.</w:t>
      </w:r>
      <w:r w:rsidRPr="00ED568E">
        <w:t>)</w:t>
      </w:r>
      <w:r w:rsidR="006007DE">
        <w:t>.</w:t>
      </w:r>
      <w:r w:rsidRPr="00ED568E">
        <w:t xml:space="preserve"> Integrated lessons on all subjects help the students learn as there is repetition</w:t>
      </w:r>
      <w:r>
        <w:t xml:space="preserve"> and reinforcement.</w:t>
      </w:r>
    </w:p>
    <w:p w14:paraId="0A49C391" w14:textId="6754CB63" w:rsidR="00AC362E" w:rsidRPr="00CE7C9B" w:rsidRDefault="00AC362E" w:rsidP="00ED0631">
      <w:pPr>
        <w:rPr>
          <w:spacing w:val="2"/>
        </w:rPr>
      </w:pPr>
      <w:r w:rsidRPr="00CE7C9B">
        <w:rPr>
          <w:spacing w:val="2"/>
        </w:rPr>
        <w:t>Most students seem to be achieving at a good level judged by their workbooks. In Year 1 and 2 only one child seemed to need more improvement in his writing skills. All the rest are able to read and write in Kiribati.  In Year 1 and 2 the teacher wrote on the board and children read and answered questions in Kiribati demonstrating good understanding. In Year 3 and 4 the students participated actively in the English lesson. They read from the Big Book together. The teacher asked questions.  Students answered the questions perfectly. There were different exercises for the two different Years taught.</w:t>
      </w:r>
    </w:p>
    <w:p w14:paraId="4AE05A0E" w14:textId="39787470" w:rsidR="00AC362E" w:rsidRPr="00CE1894" w:rsidRDefault="00AC362E" w:rsidP="00ED0631">
      <w:pPr>
        <w:rPr>
          <w:spacing w:val="-2"/>
        </w:rPr>
      </w:pPr>
      <w:r w:rsidRPr="00CE1894">
        <w:rPr>
          <w:spacing w:val="-2"/>
        </w:rPr>
        <w:t xml:space="preserve">According to the teachers, the introduction of English in Year 2 is the most problematic. The transition to Year 3 does not seem to be working as well as it could. </w:t>
      </w:r>
      <w:r w:rsidR="006007DE">
        <w:rPr>
          <w:spacing w:val="-2"/>
        </w:rPr>
        <w:t>T</w:t>
      </w:r>
      <w:r w:rsidRPr="00CE1894">
        <w:rPr>
          <w:spacing w:val="-2"/>
        </w:rPr>
        <w:t xml:space="preserve">he teachers suggested that class two should introduce some English phonics, letters and some simple words. The issue here appears to be an expectation that by Year 3 children should be able to read and write in both English and Kiribati. For example, the Year 3 teacher told us that children could not pronounce English words.  </w:t>
      </w:r>
    </w:p>
    <w:p w14:paraId="1BEBB6C3" w14:textId="3B3AF99F" w:rsidR="00AC362E" w:rsidRDefault="00AC362E" w:rsidP="00ED0631">
      <w:pPr>
        <w:pStyle w:val="Heading2"/>
      </w:pPr>
      <w:bookmarkStart w:id="248" w:name="_Toc461615833"/>
      <w:r w:rsidRPr="00F059E5">
        <w:t xml:space="preserve">Classroom </w:t>
      </w:r>
      <w:r>
        <w:t>T</w:t>
      </w:r>
      <w:r w:rsidRPr="00F059E5">
        <w:t>eaching</w:t>
      </w:r>
      <w:bookmarkEnd w:id="248"/>
    </w:p>
    <w:p w14:paraId="3CCF0AFE" w14:textId="77777777" w:rsidR="00AC362E" w:rsidRPr="00CE1894" w:rsidRDefault="00AC362E" w:rsidP="00ED0631">
      <w:pPr>
        <w:rPr>
          <w:spacing w:val="-2"/>
        </w:rPr>
      </w:pPr>
      <w:r w:rsidRPr="00CE1894">
        <w:rPr>
          <w:spacing w:val="-2"/>
        </w:rPr>
        <w:t>Both teachers were using the new curriculum (KTC) lesson plan format. It appeared to be being used correctly but and they were doing the end of lesson evaluation but they did not appear to be using that to inform the next lesson. Both teachers said the MoE lesson plan format was too complicated and took too much time that could be used to prepare activities.  It was noted that the Head Teacher had signed off the Year 3 and 4 lesson plan demonstrating that she was at least supervising this aspect of teaching.  In both classes the teaching that was observed matched what was in the lesson plans.</w:t>
      </w:r>
    </w:p>
    <w:p w14:paraId="6DE575EE" w14:textId="0E3C01CB" w:rsidR="00AC362E" w:rsidRDefault="00AC362E" w:rsidP="00ED0631">
      <w:r>
        <w:t>The teaching at this school was judged by the case study team to be child-</w:t>
      </w:r>
      <w:r w:rsidRPr="00144D66">
        <w:t>centred</w:t>
      </w:r>
      <w:r>
        <w:t xml:space="preserve"> and of a better standard than in some of the other schools visited</w:t>
      </w:r>
      <w:r w:rsidRPr="00144D66">
        <w:t>. T</w:t>
      </w:r>
      <w:r>
        <w:t>eachers</w:t>
      </w:r>
      <w:r w:rsidRPr="00144D66">
        <w:t xml:space="preserve"> explained the work and the children worked on their own or in groups. The</w:t>
      </w:r>
      <w:r>
        <w:t xml:space="preserve"> students</w:t>
      </w:r>
      <w:r w:rsidRPr="00144D66">
        <w:t xml:space="preserve"> knew what to do and understood</w:t>
      </w:r>
      <w:r>
        <w:t xml:space="preserve"> the instructions </w:t>
      </w:r>
      <w:r>
        <w:lastRenderedPageBreak/>
        <w:t>given.</w:t>
      </w:r>
      <w:r w:rsidRPr="00144D66">
        <w:t xml:space="preserve"> In </w:t>
      </w:r>
      <w:r>
        <w:t xml:space="preserve">Year </w:t>
      </w:r>
      <w:r w:rsidRPr="00144D66">
        <w:t>3</w:t>
      </w:r>
      <w:r>
        <w:t xml:space="preserve"> and</w:t>
      </w:r>
      <w:r w:rsidRPr="00144D66">
        <w:t xml:space="preserve">4 the teacher gave them activities and then the children presented their work.  </w:t>
      </w:r>
      <w:r w:rsidRPr="00BC5E7E">
        <w:t xml:space="preserve">Students were </w:t>
      </w:r>
      <w:r>
        <w:t>offered a choice</w:t>
      </w:r>
      <w:r w:rsidRPr="00BC5E7E">
        <w:t xml:space="preserve"> to present either in </w:t>
      </w:r>
      <w:r>
        <w:t xml:space="preserve">T-Kiribati or </w:t>
      </w:r>
      <w:r w:rsidRPr="00BC5E7E">
        <w:t>English.</w:t>
      </w:r>
      <w:r w:rsidRPr="00144D66">
        <w:t xml:space="preserve"> One group </w:t>
      </w:r>
      <w:r>
        <w:t>chose to do</w:t>
      </w:r>
      <w:r w:rsidRPr="00144D66">
        <w:t xml:space="preserve"> it in English. </w:t>
      </w:r>
      <w:r>
        <w:t>Each</w:t>
      </w:r>
      <w:r w:rsidRPr="00144D66">
        <w:t xml:space="preserve"> group</w:t>
      </w:r>
      <w:r>
        <w:t>’s presentation was in a different style.</w:t>
      </w:r>
    </w:p>
    <w:p w14:paraId="16EA2C7E" w14:textId="17649D34" w:rsidR="00AC362E" w:rsidRDefault="00AC362E" w:rsidP="00ED0631">
      <w:r>
        <w:t>It was noted that each child was given attention and that the teachers were giving more attention to slow learners. The children were confident and happy to present in front of their friends. They were able to express their ideas freely.</w:t>
      </w:r>
    </w:p>
    <w:p w14:paraId="30B98928" w14:textId="34CA8DD3" w:rsidR="00AC362E" w:rsidRPr="009A1C42" w:rsidRDefault="00AC362E" w:rsidP="00ED0631">
      <w:r w:rsidRPr="009A1C42">
        <w:t xml:space="preserve">Various approaches to assessment were being used and assessment results were </w:t>
      </w:r>
      <w:r>
        <w:t>well detailed and organised.</w:t>
      </w:r>
      <w:r w:rsidRPr="009A1C42">
        <w:t xml:space="preserve"> Progress reports </w:t>
      </w:r>
      <w:r>
        <w:t>we</w:t>
      </w:r>
      <w:r w:rsidRPr="009A1C42">
        <w:t xml:space="preserve">re kept. Portfolios </w:t>
      </w:r>
      <w:r>
        <w:t>we</w:t>
      </w:r>
      <w:r w:rsidRPr="009A1C42">
        <w:t>re used but in the Year 1 and 2 class</w:t>
      </w:r>
      <w:r>
        <w:t xml:space="preserve"> but</w:t>
      </w:r>
      <w:r w:rsidRPr="009A1C42">
        <w:t xml:space="preserve"> no checklists were included. Student work books showed a range of activities and their achievement levels. Teachers noted that students were relaxed and not panicked in the way they would be if testing was continually being done. One teacher noted, “</w:t>
      </w:r>
      <w:r w:rsidR="006007DE">
        <w:t>T</w:t>
      </w:r>
      <w:r w:rsidRPr="009A1C42">
        <w:t>hey carry out their work activities without noticing they are being assessed</w:t>
      </w:r>
      <w:r w:rsidR="006007DE">
        <w:t>”</w:t>
      </w:r>
      <w:r w:rsidRPr="009A1C42">
        <w:t>.</w:t>
      </w:r>
    </w:p>
    <w:p w14:paraId="58CFA3E3" w14:textId="4A003CC2" w:rsidR="00AC362E" w:rsidRDefault="00AC362E" w:rsidP="00ED0631">
      <w:pPr>
        <w:pStyle w:val="Heading2"/>
      </w:pPr>
      <w:bookmarkStart w:id="249" w:name="_Toc461615834"/>
      <w:r w:rsidRPr="00F059E5">
        <w:t>School Leadership</w:t>
      </w:r>
      <w:bookmarkEnd w:id="249"/>
    </w:p>
    <w:p w14:paraId="30CF2BEF" w14:textId="59AFB443" w:rsidR="00AC362E" w:rsidRPr="009A1C42" w:rsidRDefault="00AC362E" w:rsidP="00ED0631">
      <w:r w:rsidRPr="009A1C42">
        <w:t>At one level very little attention was being given to school leadership. The Head Teacher noted that although she had been trained in the new curriculum for Year 1 and 2 but she had not been trained to be a Head Teacher and she thought some training in this regard would be beneficial.</w:t>
      </w:r>
    </w:p>
    <w:p w14:paraId="16D53BF4" w14:textId="16A78345" w:rsidR="00AC362E" w:rsidRPr="009A1C42" w:rsidRDefault="00AC362E" w:rsidP="00ED0631">
      <w:r w:rsidRPr="009A1C42">
        <w:t>She said that she was very fortunate that she received excellent support from the community which was undoubtedly true. The fact that it was such a small school was also a benefit but there were also challenges in managing the multigrade</w:t>
      </w:r>
      <w:r>
        <w:rPr>
          <w:rStyle w:val="FootnoteReference"/>
        </w:rPr>
        <w:footnoteReference w:id="50"/>
      </w:r>
      <w:r w:rsidRPr="009A1C42">
        <w:t xml:space="preserve"> classes with only two permanent teachers. A monitor was teaching the Year 5 and 6 class</w:t>
      </w:r>
      <w:r>
        <w:t>es</w:t>
      </w:r>
      <w:r w:rsidRPr="009A1C42">
        <w:t xml:space="preserve"> and both permanent teachers were providing her what support they could but this did not seem to be a very good situation.</w:t>
      </w:r>
    </w:p>
    <w:p w14:paraId="0D69C81A" w14:textId="3D2D0938" w:rsidR="00AC362E" w:rsidRPr="00C979E5" w:rsidRDefault="00AC362E" w:rsidP="00ED0631">
      <w:r w:rsidRPr="00C979E5">
        <w:t xml:space="preserve">Beyond support for the monitor there was no time for any professional development. Both </w:t>
      </w:r>
      <w:r>
        <w:t xml:space="preserve">permanent </w:t>
      </w:r>
      <w:r w:rsidRPr="00C979E5">
        <w:t>teachers were clearly stretched in coping with the load they had.</w:t>
      </w:r>
    </w:p>
    <w:p w14:paraId="2E2E335C" w14:textId="0627BA91" w:rsidR="00AC362E" w:rsidRDefault="00AC362E" w:rsidP="00ED0631">
      <w:pPr>
        <w:pStyle w:val="Heading2"/>
      </w:pPr>
      <w:bookmarkStart w:id="250" w:name="_Toc461615835"/>
      <w:r w:rsidRPr="002203F3">
        <w:t>Community Participation</w:t>
      </w:r>
      <w:bookmarkEnd w:id="250"/>
    </w:p>
    <w:p w14:paraId="3D7526D1" w14:textId="29F0627E" w:rsidR="00AC362E" w:rsidRDefault="00AC362E" w:rsidP="00ED0631">
      <w:pPr>
        <w:keepNext/>
        <w:keepLines/>
      </w:pPr>
      <w:r>
        <w:t xml:space="preserve">The school had both a school committee and a school improvement plan (SIP) committee. All committee members were male but when the men are absent are represented by their wives. At our meeting one woman attended. Although notionally separate with different membership the two committees effectively work as one. The two committees have 13 members between them although we were told that two people have quit. The school committee is elected by the village while the Head Teacher has invited membership of the SIP. </w:t>
      </w:r>
      <w:r w:rsidR="006007DE">
        <w:t>T</w:t>
      </w:r>
      <w:r>
        <w:t xml:space="preserve">hey appear to just be filling Ministry guidelines in this regard.  </w:t>
      </w:r>
    </w:p>
    <w:p w14:paraId="525EE3F6" w14:textId="2AAA7194" w:rsidR="00AC362E" w:rsidRDefault="00AC362E" w:rsidP="00ED0631">
      <w:r>
        <w:t xml:space="preserve">The committees are very active having built wells, installed a water tank that was donated by the local church, built male and female toilets, a fence around the </w:t>
      </w:r>
      <w:r w:rsidRPr="009A1C42">
        <w:t>Maneaba</w:t>
      </w:r>
      <w:r>
        <w:t xml:space="preserve">, planted shade trees, and most impressively have constructed a library building. The library houses the MoE resources and has a blackboard so can be (and is) used as an additional classroom. The Head of the School Committee said that they want to get more books but according to the Head Teacher there are a reasonable amount of resources because the allocation only needs to be shared between three classes.  </w:t>
      </w:r>
    </w:p>
    <w:p w14:paraId="1D5C2B83" w14:textId="4EC29BC5" w:rsidR="00AC362E" w:rsidRDefault="00AC362E" w:rsidP="00ED0631">
      <w:r>
        <w:t xml:space="preserve">The committees have finished their action plans for this year and will soon be meeting to decide next year’s activities. There is a clear sense that the SIP is a continuous improvement process. </w:t>
      </w:r>
      <w:r w:rsidR="006007DE">
        <w:t>T</w:t>
      </w:r>
      <w:r>
        <w:t>he Head Teacher says that the committee wrote down their SIP and this was given to the District Education Officer who promised to copy it and send it back. They do not have a copy but it doesn’t matter because they remember what was in it and have done everything for this year.</w:t>
      </w:r>
    </w:p>
    <w:p w14:paraId="73FDFD94" w14:textId="77777777" w:rsidR="00AC362E" w:rsidRDefault="00AC362E" w:rsidP="00ED0631">
      <w:pPr>
        <w:rPr>
          <w:b/>
        </w:rPr>
      </w:pPr>
      <w:r>
        <w:rPr>
          <w:b/>
        </w:rPr>
        <w:br w:type="page"/>
      </w:r>
    </w:p>
    <w:p w14:paraId="71F6116C" w14:textId="77777777" w:rsidR="00AC362E" w:rsidRDefault="00AC362E" w:rsidP="00ED0631">
      <w:pPr>
        <w:pStyle w:val="Heading2"/>
      </w:pPr>
      <w:bookmarkStart w:id="251" w:name="_Toc461615836"/>
      <w:r w:rsidRPr="00F059E5">
        <w:lastRenderedPageBreak/>
        <w:t>Inclusiveness</w:t>
      </w:r>
      <w:bookmarkEnd w:id="251"/>
    </w:p>
    <w:p w14:paraId="0807436A" w14:textId="5904672D" w:rsidR="00AC362E" w:rsidRPr="00EF1463" w:rsidRDefault="00AC362E" w:rsidP="00ED0631">
      <w:r w:rsidRPr="00EF1463">
        <w:t xml:space="preserve">There </w:t>
      </w:r>
      <w:r>
        <w:t>is one child in the village with some disability. He has difficulty speaking and has limited mobility in one hand. He is in Year 2 and although regarded as being a slow learner can read and write at the appropriate level.</w:t>
      </w:r>
    </w:p>
    <w:p w14:paraId="19B1F1A2" w14:textId="4AE61E19" w:rsidR="00AC362E" w:rsidRDefault="00AC362E" w:rsidP="00ED0631">
      <w:pPr>
        <w:pStyle w:val="Heading2"/>
      </w:pPr>
      <w:bookmarkStart w:id="252" w:name="_Toc461615837"/>
      <w:r w:rsidRPr="00F059E5">
        <w:t>Absences</w:t>
      </w:r>
      <w:bookmarkEnd w:id="252"/>
    </w:p>
    <w:p w14:paraId="5A8F8933" w14:textId="1A361C74" w:rsidR="00AC362E" w:rsidRDefault="00AC362E" w:rsidP="00ED0631">
      <w:r>
        <w:t>All but one of the village children were in school on the days visited. The missing one was a girl who was sick. Because of the small size of the village and the fact that the village is engaged with the school it is easy to tell that all the children are there and attendance is not an issue that needs serious management. Apparently there had been an issue with lateness in the past but this is no longer an issue.</w:t>
      </w:r>
    </w:p>
    <w:p w14:paraId="4F8F4FF4" w14:textId="28EE3AE0" w:rsidR="00AC362E" w:rsidRDefault="00AC362E" w:rsidP="00ED0631">
      <w:r>
        <w:t>Every night at 9pm the village bell is rung to signal that children should be in bed. This is enforced by village and notionally fines apply for families where children are found out after curfew.</w:t>
      </w:r>
    </w:p>
    <w:p w14:paraId="47FB2918" w14:textId="4C7BA0F2" w:rsidR="00AC362E" w:rsidRDefault="00AC362E" w:rsidP="00ED0631">
      <w:pPr>
        <w:pStyle w:val="Heading2"/>
      </w:pPr>
      <w:bookmarkStart w:id="253" w:name="_Toc461615838"/>
      <w:r>
        <w:t>Buildings</w:t>
      </w:r>
      <w:bookmarkEnd w:id="253"/>
    </w:p>
    <w:p w14:paraId="09645550" w14:textId="1A7DC171" w:rsidR="00AC362E" w:rsidRDefault="00AC362E" w:rsidP="00ED0631">
      <w:r w:rsidRPr="00B01744">
        <w:t xml:space="preserve">The three classrooms were small, dark and built in the traditional style. Children sat on mats on the ground.  </w:t>
      </w:r>
      <w:r w:rsidRPr="00C979E5">
        <w:t xml:space="preserve">It was not possible to decorate the classrooms or display children’s work. </w:t>
      </w:r>
      <w:r w:rsidRPr="00B01744">
        <w:t>The library wa</w:t>
      </w:r>
      <w:r>
        <w:t>s also built of local materials and had a coral floor but was more sheltered and did have some displays.  Despite the quality of the classrooms, however, it was noted that this did not seem to affect children’s attendance or participation. Children were happy and engaged for the whole time we were present.</w:t>
      </w:r>
    </w:p>
    <w:p w14:paraId="69299E80" w14:textId="77777777" w:rsidR="00AC362E" w:rsidRPr="00B01744" w:rsidRDefault="00AC362E" w:rsidP="00ED0631">
      <w:r>
        <w:t>In the morning before school a number of children came early and swept the area around the classrooms. They even swept the beach.</w:t>
      </w:r>
    </w:p>
    <w:p w14:paraId="7CB2766E" w14:textId="3DDA4326" w:rsidR="00AC362E" w:rsidRPr="006007DE" w:rsidRDefault="00AC362E" w:rsidP="006007DE">
      <w:pPr>
        <w:pStyle w:val="Heading2"/>
      </w:pPr>
      <w:bookmarkStart w:id="254" w:name="_Toc461615839"/>
      <w:r w:rsidRPr="006007DE">
        <w:t>General Observations</w:t>
      </w:r>
      <w:bookmarkEnd w:id="254"/>
    </w:p>
    <w:p w14:paraId="6576434F" w14:textId="77777777" w:rsidR="00AC362E" w:rsidRDefault="00AC362E" w:rsidP="00ED0631">
      <w:r>
        <w:t xml:space="preserve">The most noticeable feature of Nauranke Ranga (Tabonoue) was the high level of community engagement which had made the school a source of pride and the level of dedication of both teachers and students.  </w:t>
      </w:r>
    </w:p>
    <w:p w14:paraId="05011687" w14:textId="7D8F36B2" w:rsidR="00AC362E" w:rsidRDefault="00AC362E" w:rsidP="00ED0631">
      <w:r>
        <w:t>Not only were children happy and achieving well but it was noted that discipline was strong without any obvious enforcement. Children came to school on time, wore uniforms, obeyed the bell with regard to break times and participated actively in classes. It was a most impressive school.</w:t>
      </w:r>
    </w:p>
    <w:p w14:paraId="15C9F0F1" w14:textId="77777777" w:rsidR="00AC362E" w:rsidRDefault="00AC362E" w:rsidP="00ED0631">
      <w:pPr>
        <w:pStyle w:val="ListParagraph"/>
        <w:rPr>
          <w:rFonts w:asciiTheme="majorHAnsi" w:hAnsiTheme="majorHAnsi"/>
          <w:color w:val="EB6E08" w:themeColor="text2"/>
          <w:sz w:val="32"/>
          <w:szCs w:val="32"/>
        </w:rPr>
        <w:sectPr w:rsidR="00AC362E">
          <w:pgSz w:w="11906" w:h="16838"/>
          <w:pgMar w:top="1440" w:right="1440" w:bottom="1440" w:left="1440" w:header="708" w:footer="708" w:gutter="0"/>
          <w:cols w:space="708"/>
          <w:docGrid w:linePitch="360"/>
        </w:sectPr>
      </w:pPr>
    </w:p>
    <w:p w14:paraId="7F2D145B" w14:textId="13FCDEDA" w:rsidR="00AC362E" w:rsidRPr="009516EE" w:rsidRDefault="00AC362E" w:rsidP="00ED0631">
      <w:pPr>
        <w:pStyle w:val="Heading1"/>
      </w:pPr>
      <w:bookmarkStart w:id="255" w:name="_Toc461615840"/>
      <w:r w:rsidRPr="009516EE">
        <w:lastRenderedPageBreak/>
        <w:t>Anderson Primary School Butaritari</w:t>
      </w:r>
      <w:bookmarkEnd w:id="255"/>
    </w:p>
    <w:p w14:paraId="7F72D9D8" w14:textId="63D2D9E9" w:rsidR="00AC362E" w:rsidRDefault="00AC362E" w:rsidP="00ED0631">
      <w:r>
        <w:t xml:space="preserve">Anderson is a very remote primary school at the </w:t>
      </w:r>
      <w:r w:rsidRPr="000E597C">
        <w:t>northern</w:t>
      </w:r>
      <w:r>
        <w:t xml:space="preserve"> end of Butaritari. According to the Head Teacher the school was named after a teacher from the Kiribati Teachers College but he was not too sure about this.  It has just over 50 students and three teachers. It serves two villages with most villagers living just next to the school. The school has one brick building which is the store room and one classroom. Two other classrooms are traditional style huts and there is also a preschool which is also in a traditional style hut. Some classes are also taught in the </w:t>
      </w:r>
      <w:r w:rsidRPr="001B78C6">
        <w:rPr>
          <w:i/>
        </w:rPr>
        <w:t>Maneaba.</w:t>
      </w:r>
    </w:p>
    <w:p w14:paraId="741C3E28" w14:textId="7B223363" w:rsidR="00AC362E" w:rsidRDefault="00AC362E" w:rsidP="00ED0631">
      <w:r>
        <w:t xml:space="preserve">The Head Teacher has recently retired after 5 years at the school. There was confusion about his retirement date because the Ministry has three different dates of birth for him. He retired in September but has stayed on at the school as a contract teacher until his replacement arrives at the end of the year. The school has two other permanent teaches and four monitors. The monitors are teaching classes.  </w:t>
      </w:r>
    </w:p>
    <w:p w14:paraId="7A898D1F" w14:textId="61934E89" w:rsidR="00AC362E" w:rsidRDefault="00AC362E" w:rsidP="00ED0631">
      <w:r>
        <w:t>The Head Teacher does not appear to be teaching anymore which may be because he has retired but he does wander around keeping tabs on what is happening. Previously he did some teaching but has been away for most of the term and only returned on the day the case study team visited. He keeps a daily log which makes for interesting reading about the details of school daily life.</w:t>
      </w:r>
    </w:p>
    <w:p w14:paraId="09F7E390" w14:textId="7D7C3B16" w:rsidR="00AC362E" w:rsidRDefault="00AC362E" w:rsidP="00ED0631">
      <w:pPr>
        <w:rPr>
          <w:b/>
        </w:rPr>
      </w:pPr>
      <w:r>
        <w:t>The school does not seem to have the same level of energy as Tabonuea. Most students are not wearing uniform although five or six children were. This may be because of poverty levels in the village but it was noted that the school committee all had matching lava-lava in the school colour.  Many of the students wander around freely during class time.  While meeting with the School Committee during class-time several students wandered over and no one seemed to take any notice.  During break some of the children were fighting and nobody seemed to notice. Two girls wandered out of class ostensibly to sharpen their pencils which took a considerable time. Generally it seemed there was little control over student behaviour.</w:t>
      </w:r>
      <w:r w:rsidRPr="009516EE">
        <w:rPr>
          <w:b/>
        </w:rPr>
        <w:t xml:space="preserve"> </w:t>
      </w:r>
    </w:p>
    <w:p w14:paraId="05E1C430" w14:textId="77777777" w:rsidR="00AC362E" w:rsidRPr="00F059E5" w:rsidRDefault="00AC362E" w:rsidP="00ED0631">
      <w:pPr>
        <w:pStyle w:val="Heading2"/>
      </w:pPr>
      <w:bookmarkStart w:id="256" w:name="_Toc461615841"/>
      <w:r w:rsidRPr="00F059E5">
        <w:t>New Curriculum</w:t>
      </w:r>
      <w:bookmarkEnd w:id="256"/>
    </w:p>
    <w:p w14:paraId="413013BE" w14:textId="38D32712" w:rsidR="00AC362E" w:rsidRDefault="00AC362E" w:rsidP="00ED0631">
      <w:r>
        <w:t xml:space="preserve">According to the Head Teacher the new curriculum is good because now children can work more independently. He specifically mentioned that the new curriculum was more child-centred and emphasised that this was the main difference with the previous curriculum. The students apparently found the new curriculum easier than before but he stressed that they all have difficulty speaking English. He said that he had not found any real challenges introducing the new curriculum despite having four monitors engaged in teaching who have had no formal training. He said that he taught the monitors how to do lesson plans.  </w:t>
      </w:r>
    </w:p>
    <w:p w14:paraId="6C72439A" w14:textId="178EBEB9" w:rsidR="00AC362E" w:rsidRDefault="00AC362E" w:rsidP="00ED0631">
      <w:r>
        <w:t xml:space="preserve">The teachers said that the new curriculum made teaching simpler and achieving learning outcomes easier for students. The teachers said that the main difference was that students could no share opinions openly, politely and respectfully. The Year 3 and 4 teacher said that the new curriculum made teaching of T-Kiribati and English more effective.  </w:t>
      </w:r>
    </w:p>
    <w:p w14:paraId="76985424" w14:textId="3F644C5E" w:rsidR="00AC362E" w:rsidRDefault="00AC362E" w:rsidP="00ED0631">
      <w:r>
        <w:t>The MoE materials were clearly available in the store room and while I was there several students came to request new workbooks. Their old books were checked to see that they had been used and then they were given new books. Nevertheless, the Head Teacher says they lack teaching materials and would like some more books and audio materials. “That’s our main problem”, he said. Teachers also complained of a lack of basic resources including coloured pencils and staplers and the Year 1 and 2 teacher said that they did not have a teacher’s guide for their years.</w:t>
      </w:r>
    </w:p>
    <w:p w14:paraId="4CE0EA2E" w14:textId="05D27E0E" w:rsidR="00AC362E" w:rsidRDefault="00AC362E" w:rsidP="00ED0631">
      <w:r>
        <w:t>The students were very outgoing and happy to engage with the case study research consultant and practice their limited English. This is in contrast to the students at several other schools who did not engage with the Consultant but this may have been because of the presence of other adults. In Anderson there was less supervision and they may have felt less restriction in interacting.</w:t>
      </w:r>
    </w:p>
    <w:p w14:paraId="24B36939"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6B84BF59" w14:textId="27C610D1" w:rsidR="00AC362E" w:rsidRPr="00F059E5" w:rsidRDefault="00AC362E" w:rsidP="00ED0631">
      <w:pPr>
        <w:pStyle w:val="Heading2"/>
      </w:pPr>
      <w:bookmarkStart w:id="257" w:name="_Toc461615842"/>
      <w:r w:rsidRPr="00F059E5">
        <w:lastRenderedPageBreak/>
        <w:t xml:space="preserve">Classroom </w:t>
      </w:r>
      <w:r>
        <w:t>T</w:t>
      </w:r>
      <w:r w:rsidRPr="00F059E5">
        <w:t>eaching</w:t>
      </w:r>
      <w:bookmarkEnd w:id="257"/>
    </w:p>
    <w:p w14:paraId="5EADB4F6" w14:textId="773A92A2" w:rsidR="00AC362E" w:rsidRDefault="00AC362E" w:rsidP="000D1BC6">
      <w:pPr>
        <w:spacing w:line="235" w:lineRule="auto"/>
      </w:pPr>
      <w:r>
        <w:t>Teachers reported that multigrade teaching was a problem. Since topics are different for each year this meant they often needed to teach different topics to the two different groups in their classrooms which they said made teaching slow.</w:t>
      </w:r>
    </w:p>
    <w:p w14:paraId="4904367B" w14:textId="39C49CFC" w:rsidR="00AC362E" w:rsidRDefault="00AC362E" w:rsidP="000D1BC6">
      <w:pPr>
        <w:spacing w:line="235" w:lineRule="auto"/>
      </w:pPr>
      <w:r>
        <w:t>There was a clear difference between Year 1</w:t>
      </w:r>
      <w:r w:rsidR="00D545A0">
        <w:t xml:space="preserve"> and </w:t>
      </w:r>
      <w:r>
        <w:t>2 taught by a qualified teacher and Year 3 taught by a monitor. In the year 1</w:t>
      </w:r>
      <w:r w:rsidR="00D545A0">
        <w:t xml:space="preserve"> and </w:t>
      </w:r>
      <w:r>
        <w:t>2 class the lesson plan was well prepared using the new curriculum format and was taught according to the lesson plan. There did not appear to be differentiation in the lesson plans for slower learners but the teacher wa</w:t>
      </w:r>
      <w:r w:rsidR="00D545A0">
        <w:t xml:space="preserve">s giving them extra attention. </w:t>
      </w:r>
      <w:r>
        <w:t xml:space="preserve">Student workbooks showed clear improvement from one workbook to the next. Nevertheless, the teacher did not appear to be using student-centred techniques although some students were working independently. Children responded well to questions asked.  </w:t>
      </w:r>
    </w:p>
    <w:p w14:paraId="41AAE2DA" w14:textId="4E28CFB4" w:rsidR="00AC362E" w:rsidRPr="00103D7D" w:rsidRDefault="00AC362E" w:rsidP="000D1BC6">
      <w:pPr>
        <w:spacing w:line="235" w:lineRule="auto"/>
        <w:rPr>
          <w:spacing w:val="-2"/>
        </w:rPr>
      </w:pPr>
      <w:r w:rsidRPr="00103D7D">
        <w:rPr>
          <w:spacing w:val="-2"/>
        </w:rPr>
        <w:t>The children in Year 1&amp;2 were using portfolios and these were up to date and had evidence of recent work and assessment. There was some evidence of evaluation of previous lesson plans and the identification of two students with problems but the next lesson plan did not show any extra attention to these students. Nevertheless, there was evidence that each student had been reviewed every day.  Slow learners who had been identified showed an improvement in their workbooks over time.</w:t>
      </w:r>
    </w:p>
    <w:p w14:paraId="53CD9AB0" w14:textId="1117A53B" w:rsidR="00AC362E" w:rsidRDefault="00AC362E" w:rsidP="000D1BC6">
      <w:pPr>
        <w:spacing w:line="235" w:lineRule="auto"/>
      </w:pPr>
      <w:r>
        <w:t>No lesson plans were available for Year 3. A monitor was teaching the class. The regular teacher had been in Tarawa since the beginning of term with a medical problem. The monitor was setting maths problems on the board and the students were doing them on their own.  A few students were working with the teacher. Not all the students were engaged in the class. Some were reading. It was not obvious that different student needs were being catered for. Despite not having a lesson plan the monitor said that the new curriculum lesson plan format was easy.</w:t>
      </w:r>
    </w:p>
    <w:p w14:paraId="11B43572" w14:textId="532A80DB" w:rsidR="00AC362E" w:rsidRDefault="00AC362E" w:rsidP="000D1BC6">
      <w:pPr>
        <w:spacing w:line="235" w:lineRule="auto"/>
      </w:pPr>
      <w:r>
        <w:t xml:space="preserve">Student workbooks reflected the learning outcomes but were not marked by the teacher. The books were not well organised and it was difficult to judge whether students were achieving or not. One student had written in her book upside down and others were missing many pages. Monitoring of school books was poor.  </w:t>
      </w:r>
    </w:p>
    <w:p w14:paraId="49731248" w14:textId="6DA92899" w:rsidR="00AC362E" w:rsidRDefault="00AC362E" w:rsidP="000D1BC6">
      <w:pPr>
        <w:spacing w:line="235" w:lineRule="auto"/>
      </w:pPr>
      <w:r>
        <w:t>In Year 4, the monitor was also not using an appropriate child-centred approach. They were just teaching from the blackboard. There was no evidence of assessment done in the last few days. There were no recent portfolios of students to be seen but there were some old portfolios dated 2013 so they have been used in the past. The monitor did not know anything about portfolios.</w:t>
      </w:r>
    </w:p>
    <w:p w14:paraId="5E913304" w14:textId="6ECC73D9" w:rsidR="00AC362E" w:rsidRDefault="00AC362E" w:rsidP="000D1BC6">
      <w:pPr>
        <w:spacing w:line="235" w:lineRule="auto"/>
      </w:pPr>
      <w:r>
        <w:t>A Year 4 English lesson was observed. A teacher (a permanent teacher) was reading from the big book.  She pointed to words as she read. Some of the students followed her but others were looking outside. She wrote some words on the blackboard and the students copied her. She explained the words in T-Kiribati. No attempt was made to engage all the students in the lesson and it appeared that only a few could follow the lesson.</w:t>
      </w:r>
    </w:p>
    <w:p w14:paraId="035EF8A6" w14:textId="419FBA97" w:rsidR="00AC362E" w:rsidRPr="00F059E5" w:rsidRDefault="00AC362E" w:rsidP="00ED0631">
      <w:pPr>
        <w:pStyle w:val="Heading2"/>
      </w:pPr>
      <w:bookmarkStart w:id="258" w:name="_Toc461615843"/>
      <w:r w:rsidRPr="00F059E5">
        <w:t>School Leadership</w:t>
      </w:r>
      <w:bookmarkEnd w:id="258"/>
    </w:p>
    <w:p w14:paraId="6D75A3C3" w14:textId="7F6F9AFC" w:rsidR="00AC362E" w:rsidRDefault="00AC362E" w:rsidP="000D1BC6">
      <w:pPr>
        <w:keepNext/>
        <w:keepLines/>
      </w:pPr>
      <w:r>
        <w:t>Every morning the Head Teacher says he had a briefing with the teachers but the teachers did not corroborate this information. He also said they had a weekly meeting which was confirmed by the other teachers. Other than that, he manages by wandering around looking at the classes in progress.  We did not see a morning briefing but the Head Teacher did wander around. By his own assessment the Head Teacher said he was not good at management and often got angry with the teachers. This was born out in his log book were he related a number of conflicts. Teachers not submitting their daily books appeared to be a major area of concern.</w:t>
      </w:r>
    </w:p>
    <w:p w14:paraId="5518572A" w14:textId="5E48DF38" w:rsidR="00AC362E" w:rsidRPr="00103D7D" w:rsidRDefault="00AC362E" w:rsidP="000D1BC6">
      <w:pPr>
        <w:rPr>
          <w:spacing w:val="-2"/>
        </w:rPr>
      </w:pPr>
      <w:r w:rsidRPr="00103D7D">
        <w:rPr>
          <w:spacing w:val="-2"/>
        </w:rPr>
        <w:t>Teacher absence is not a problem but student punctuality has been and there are several long term absences recorded in the attendance books. The Head Teacher says that he spoke to the school committee about attendance and they stood someone at the school gate to take names of those who came late. We saw no evidence of anyone taking any notice of children being in school or in class.</w:t>
      </w:r>
    </w:p>
    <w:p w14:paraId="21D4D2AE" w14:textId="2CA85E42" w:rsidR="00AC362E" w:rsidRDefault="00AC362E" w:rsidP="000D1BC6">
      <w:r>
        <w:t>The Head Teacher says he does not have any particular problems in management but does not do much in the way of professional development for his staff. However, when he returned from KTC after doing his cycle training on the new curriculum he says he passed on some of the course content to his teachers and monitors.</w:t>
      </w:r>
    </w:p>
    <w:p w14:paraId="7CA330AD" w14:textId="77777777" w:rsidR="00AC362E" w:rsidRPr="00F059E5" w:rsidRDefault="00AC362E" w:rsidP="00ED0631">
      <w:pPr>
        <w:pStyle w:val="Heading2"/>
      </w:pPr>
      <w:bookmarkStart w:id="259" w:name="_Toc461615844"/>
      <w:r>
        <w:lastRenderedPageBreak/>
        <w:t>Community Participation</w:t>
      </w:r>
      <w:r w:rsidRPr="00F059E5">
        <w:t>.</w:t>
      </w:r>
      <w:bookmarkEnd w:id="259"/>
    </w:p>
    <w:p w14:paraId="1B8F6A64" w14:textId="5234C791" w:rsidR="00AC362E" w:rsidRPr="00103D7D" w:rsidRDefault="00AC362E" w:rsidP="00ED0631">
      <w:pPr>
        <w:rPr>
          <w:spacing w:val="2"/>
        </w:rPr>
      </w:pPr>
      <w:r w:rsidRPr="00103D7D">
        <w:rPr>
          <w:spacing w:val="2"/>
        </w:rPr>
        <w:t>The School Committee is the same as the School Improvement Plan Committee. It has about 12 members and they say they meet every Wednesday with the teachers and pre-school teachers.  The school committee is made up from the two villages and is about 50/50 men and women. Their roles are:</w:t>
      </w:r>
    </w:p>
    <w:p w14:paraId="67F13673" w14:textId="77777777" w:rsidR="00AC362E" w:rsidRDefault="00AC362E" w:rsidP="00AE24CE">
      <w:pPr>
        <w:pStyle w:val="ListParagraph"/>
        <w:numPr>
          <w:ilvl w:val="0"/>
          <w:numId w:val="25"/>
        </w:numPr>
        <w:spacing w:before="0" w:beforeAutospacing="0" w:after="200" w:afterAutospacing="0" w:line="276" w:lineRule="auto"/>
        <w:ind w:left="284" w:hanging="284"/>
      </w:pPr>
      <w:r>
        <w:t>Meeting visitors to the school</w:t>
      </w:r>
    </w:p>
    <w:p w14:paraId="2BC2B57E" w14:textId="77777777" w:rsidR="00AC362E" w:rsidRDefault="00AC362E" w:rsidP="00AE24CE">
      <w:pPr>
        <w:pStyle w:val="ListParagraph"/>
        <w:numPr>
          <w:ilvl w:val="0"/>
          <w:numId w:val="25"/>
        </w:numPr>
        <w:spacing w:before="0" w:beforeAutospacing="0" w:after="200" w:afterAutospacing="0" w:line="276" w:lineRule="auto"/>
        <w:ind w:left="284" w:hanging="284"/>
      </w:pPr>
      <w:r>
        <w:t>Helping teachers who have problems</w:t>
      </w:r>
    </w:p>
    <w:p w14:paraId="67B962D6" w14:textId="77777777" w:rsidR="00AC362E" w:rsidRDefault="00AC362E" w:rsidP="00AE24CE">
      <w:pPr>
        <w:pStyle w:val="ListParagraph"/>
        <w:numPr>
          <w:ilvl w:val="0"/>
          <w:numId w:val="25"/>
        </w:numPr>
        <w:spacing w:before="0" w:beforeAutospacing="0" w:after="200" w:afterAutospacing="0" w:line="276" w:lineRule="auto"/>
        <w:ind w:left="284" w:hanging="284"/>
      </w:pPr>
      <w:r>
        <w:t>Maintenance in the classrooms and teachers houses</w:t>
      </w:r>
    </w:p>
    <w:p w14:paraId="4E119132" w14:textId="77777777" w:rsidR="00AC362E" w:rsidRDefault="00AC362E" w:rsidP="00AE24CE">
      <w:pPr>
        <w:pStyle w:val="ListParagraph"/>
        <w:numPr>
          <w:ilvl w:val="0"/>
          <w:numId w:val="25"/>
        </w:numPr>
        <w:spacing w:before="0" w:beforeAutospacing="0" w:after="200" w:afterAutospacing="0" w:line="276" w:lineRule="auto"/>
        <w:ind w:left="284" w:hanging="284"/>
      </w:pPr>
      <w:r>
        <w:t>Checking that teachers are at work.</w:t>
      </w:r>
    </w:p>
    <w:p w14:paraId="12FC02C2" w14:textId="77777777" w:rsidR="00AC362E" w:rsidRDefault="00AC362E" w:rsidP="00AE24CE">
      <w:pPr>
        <w:pStyle w:val="ListParagraph"/>
        <w:numPr>
          <w:ilvl w:val="0"/>
          <w:numId w:val="25"/>
        </w:numPr>
        <w:spacing w:before="0" w:beforeAutospacing="0" w:after="200" w:afterAutospacing="0" w:line="276" w:lineRule="auto"/>
        <w:ind w:left="284" w:hanging="284"/>
      </w:pPr>
      <w:r>
        <w:t>According to the Head Teacher the School Committee also remind them of their failures.</w:t>
      </w:r>
    </w:p>
    <w:p w14:paraId="69028CEA" w14:textId="77777777" w:rsidR="00AC362E" w:rsidRDefault="00AC362E" w:rsidP="00AE24CE">
      <w:pPr>
        <w:pStyle w:val="ListParagraph"/>
        <w:numPr>
          <w:ilvl w:val="0"/>
          <w:numId w:val="25"/>
        </w:numPr>
        <w:spacing w:before="0" w:beforeAutospacing="0" w:after="200" w:afterAutospacing="0" w:line="276" w:lineRule="auto"/>
        <w:ind w:left="284" w:hanging="284"/>
      </w:pPr>
      <w:r>
        <w:t>The school committee also rings the bell at 9.00pm to tell students to go to bed.  If children are up after 9.00pm the parents are fined.</w:t>
      </w:r>
    </w:p>
    <w:p w14:paraId="21E4CEF1" w14:textId="1A15D1EB" w:rsidR="00AC362E" w:rsidRPr="00103D7D" w:rsidRDefault="00AC362E" w:rsidP="00ED0631">
      <w:pPr>
        <w:rPr>
          <w:spacing w:val="-2"/>
        </w:rPr>
      </w:pPr>
      <w:r w:rsidRPr="00103D7D">
        <w:rPr>
          <w:spacing w:val="-2"/>
        </w:rPr>
        <w:t>According to the Head Teacher the School Committee do routine maintenance but only if they are paid.  The do have a School Improvement Plan which was given to the DEO but the Head Teacher has a copy. Action plans concern fixing toilets and building a better water tank stand but neither have been done. The brick building at the school was not built by the committee. It was there before the Head Teacher arrived at the school. In summary, no new buildings have been erected, action plans have not been done and maintenance is only done for money. Accordingly, it is concluded that the committee does not support the school very actively.</w:t>
      </w:r>
    </w:p>
    <w:p w14:paraId="61E3B689" w14:textId="1E8B8853" w:rsidR="00AC362E" w:rsidRDefault="00AC362E" w:rsidP="00ED0631">
      <w:r>
        <w:t xml:space="preserve">According the School Committee parents are much more active in the school now. They ensure that their children attend on time and are prepared and are not burdened with family tasks. This seems doubtful since an investigation of absences showed several children were away and some of them had not attended for a long time.  </w:t>
      </w:r>
    </w:p>
    <w:p w14:paraId="77DE8E71" w14:textId="46E67D47" w:rsidR="00AC362E" w:rsidRPr="000D1BC6" w:rsidRDefault="00AC362E" w:rsidP="00ED0631">
      <w:pPr>
        <w:rPr>
          <w:spacing w:val="2"/>
        </w:rPr>
      </w:pPr>
      <w:r w:rsidRPr="000D1BC6">
        <w:rPr>
          <w:spacing w:val="2"/>
        </w:rPr>
        <w:t xml:space="preserve">According to the former Head Teacher, parent teacher meetings are held every month. About half the parents come but some parents never come. He says that they show the parents the children’s portfolios. </w:t>
      </w:r>
      <w:r w:rsidR="006007DE" w:rsidRPr="000D1BC6">
        <w:rPr>
          <w:spacing w:val="2"/>
        </w:rPr>
        <w:t>T</w:t>
      </w:r>
      <w:r w:rsidRPr="000D1BC6">
        <w:rPr>
          <w:spacing w:val="2"/>
        </w:rPr>
        <w:t>his is at odds with the observation that portfolios are not kept up to date in most of the classes.</w:t>
      </w:r>
    </w:p>
    <w:p w14:paraId="300B7BBD" w14:textId="77777777" w:rsidR="00AC362E" w:rsidRDefault="00AC362E" w:rsidP="00ED0631">
      <w:pPr>
        <w:rPr>
          <w:b/>
        </w:rPr>
      </w:pPr>
      <w:r>
        <w:rPr>
          <w:b/>
        </w:rPr>
        <w:br w:type="page"/>
      </w:r>
    </w:p>
    <w:p w14:paraId="4396D0B6" w14:textId="77777777" w:rsidR="00AC362E" w:rsidRPr="00F059E5" w:rsidRDefault="00AC362E" w:rsidP="00ED0631">
      <w:pPr>
        <w:pStyle w:val="Heading2"/>
      </w:pPr>
      <w:bookmarkStart w:id="260" w:name="_Toc461615845"/>
      <w:r w:rsidRPr="00F059E5">
        <w:lastRenderedPageBreak/>
        <w:t>Inclusiveness</w:t>
      </w:r>
      <w:bookmarkEnd w:id="260"/>
    </w:p>
    <w:p w14:paraId="0BD1A1CC" w14:textId="1360DE3E" w:rsidR="00AC362E" w:rsidRDefault="00AC362E" w:rsidP="00ED0631">
      <w:r>
        <w:t>The school does not currently have any students with disabilities but they did have one last year who had a physical disability. He has since gone on to Junior Secondary School.</w:t>
      </w:r>
    </w:p>
    <w:p w14:paraId="0438D41F" w14:textId="2963360E" w:rsidR="00AC362E" w:rsidRDefault="00AC362E" w:rsidP="00ED0631">
      <w:r>
        <w:t>In Year 3 there is one student who finds it difficult to talk but he was reading and writing normally.  No students with disabi</w:t>
      </w:r>
      <w:r w:rsidR="006007DE">
        <w:t xml:space="preserve">lities were observed in Years 1 and </w:t>
      </w:r>
      <w:r>
        <w:t>2</w:t>
      </w:r>
      <w:r w:rsidR="006007DE">
        <w:t>.</w:t>
      </w:r>
    </w:p>
    <w:p w14:paraId="132E67E8" w14:textId="77777777" w:rsidR="00AC362E" w:rsidRPr="00F059E5" w:rsidRDefault="00AC362E" w:rsidP="00ED0631">
      <w:pPr>
        <w:pStyle w:val="Heading2"/>
      </w:pPr>
      <w:bookmarkStart w:id="261" w:name="_Toc461615846"/>
      <w:r w:rsidRPr="00F059E5">
        <w:t>Absences</w:t>
      </w:r>
      <w:bookmarkEnd w:id="261"/>
    </w:p>
    <w:p w14:paraId="7654DD0F" w14:textId="5CC31CC4" w:rsidR="00AC362E" w:rsidRDefault="00AC362E" w:rsidP="00ED0631">
      <w:r>
        <w:t>In Year 3 from the last 30 school days there were 7 absences from 14 students. One was absent on that day attend</w:t>
      </w:r>
      <w:r w:rsidR="006007DE">
        <w:t xml:space="preserve">ing a family funeral. In Year 1 and </w:t>
      </w:r>
      <w:r>
        <w:t xml:space="preserve">2 there were four girls absent on the day we visited.  One of these is likely to be a dropout since she has not attended since Week 1.  </w:t>
      </w:r>
    </w:p>
    <w:p w14:paraId="30B187FA" w14:textId="6206B898" w:rsidR="00AC362E" w:rsidRPr="000D1BC6" w:rsidRDefault="00AC362E" w:rsidP="00ED0631">
      <w:pPr>
        <w:rPr>
          <w:spacing w:val="2"/>
        </w:rPr>
      </w:pPr>
      <w:r w:rsidRPr="000D1BC6">
        <w:rPr>
          <w:spacing w:val="2"/>
        </w:rPr>
        <w:t>The school committee also reported that there are two children who live with their grandmother who do not go to school. They have recently arrived from Tarawa. One of them had an accident. The School Committee said they spoke to the grandmother about sending them to school and she said she would but the children have refused to come. The Grandmother makes the children do household work.</w:t>
      </w:r>
    </w:p>
    <w:p w14:paraId="25BA61A8" w14:textId="77777777" w:rsidR="00AC362E" w:rsidRPr="00317E04" w:rsidRDefault="00AC362E" w:rsidP="00ED0631">
      <w:pPr>
        <w:pStyle w:val="Heading2"/>
      </w:pPr>
      <w:bookmarkStart w:id="262" w:name="_Toc461615847"/>
      <w:r w:rsidRPr="00317E04">
        <w:t>General Observations</w:t>
      </w:r>
      <w:bookmarkEnd w:id="262"/>
    </w:p>
    <w:p w14:paraId="7A4129B8" w14:textId="77777777" w:rsidR="00AC362E" w:rsidRDefault="00AC362E" w:rsidP="00ED0631">
      <w:r>
        <w:t>Monitors are teaching classes in place of trained teachers.  The monitors do not have the requisite teaching skills or curriculum knowledge and are not well supported by other teachers.</w:t>
      </w:r>
    </w:p>
    <w:p w14:paraId="30EA60D2" w14:textId="77777777" w:rsidR="00AC362E" w:rsidRDefault="00AC362E" w:rsidP="00ED0631">
      <w:r>
        <w:t>School discipline was poor and children were often out of class and not engaged in lessons.</w:t>
      </w:r>
    </w:p>
    <w:p w14:paraId="2A911E33" w14:textId="77777777" w:rsidR="00AC362E" w:rsidRDefault="00AC362E" w:rsidP="00ED0631">
      <w:r>
        <w:t>The school community does not appear to be actively engaged in the school and has not done any of its proposed actions.</w:t>
      </w:r>
    </w:p>
    <w:p w14:paraId="1C405010" w14:textId="77777777" w:rsidR="00AC362E" w:rsidRDefault="00AC362E" w:rsidP="00ED0631">
      <w:r>
        <w:t>Absences are a problem at the school and are not being well managed.</w:t>
      </w:r>
    </w:p>
    <w:p w14:paraId="6A4C3EDE" w14:textId="77777777" w:rsidR="00AC362E" w:rsidRDefault="00AC362E" w:rsidP="00ED0631">
      <w:r>
        <w:t xml:space="preserve">There was no evidence that teachers really understood the concept of student centred learning.  </w:t>
      </w:r>
    </w:p>
    <w:p w14:paraId="0A14A850" w14:textId="77777777" w:rsidR="00AC362E" w:rsidRDefault="00AC362E" w:rsidP="00ED0631">
      <w:pPr>
        <w:sectPr w:rsidR="00AC362E">
          <w:pgSz w:w="11906" w:h="16838"/>
          <w:pgMar w:top="1440" w:right="1440" w:bottom="1440" w:left="1440" w:header="708" w:footer="708" w:gutter="0"/>
          <w:cols w:space="708"/>
          <w:docGrid w:linePitch="360"/>
        </w:sectPr>
      </w:pPr>
      <w:r>
        <w:t>Assessment practices were poor.</w:t>
      </w:r>
    </w:p>
    <w:p w14:paraId="5589BA7C" w14:textId="77777777" w:rsidR="00AC362E" w:rsidRPr="0043741D" w:rsidRDefault="00AC362E" w:rsidP="00ED0631">
      <w:pPr>
        <w:pStyle w:val="Heading1"/>
      </w:pPr>
      <w:bookmarkStart w:id="263" w:name="_Toc461615848"/>
      <w:r w:rsidRPr="0043741D">
        <w:lastRenderedPageBreak/>
        <w:t>Routa Primary School</w:t>
      </w:r>
      <w:bookmarkEnd w:id="263"/>
    </w:p>
    <w:p w14:paraId="1FC41472" w14:textId="22034FBE" w:rsidR="00AC362E" w:rsidRPr="00CE7C9B" w:rsidRDefault="00AC362E" w:rsidP="00CE7C9B">
      <w:pPr>
        <w:rPr>
          <w:spacing w:val="-2"/>
        </w:rPr>
      </w:pPr>
      <w:r w:rsidRPr="00CE7C9B">
        <w:rPr>
          <w:spacing w:val="-2"/>
        </w:rPr>
        <w:t xml:space="preserve">Routa </w:t>
      </w:r>
      <w:r w:rsidR="006007DE">
        <w:rPr>
          <w:spacing w:val="-2"/>
        </w:rPr>
        <w:t>S</w:t>
      </w:r>
      <w:r w:rsidRPr="00CE7C9B">
        <w:rPr>
          <w:spacing w:val="-2"/>
        </w:rPr>
        <w:t>chool is a remote school in the North of Nonouti built in 1998 mainly out of Masonite with one brick building. By truck from the Island Council it takes around an hour and a half of slow travel down a pockmarked road to reach it. The school serves two villages. One is adjacent and is where the teachers live.  The other is a short distance further North. The next closest school is the Peace Corps school 45 minutes to the south. A visitor’s book shows that the school seldom receives visitors, only seven this year and two of those were from KEIP to do the SED survey. The most recent visitor was the Kiribati Teacher’s College coach who came a month ago and visits approximately every six months.</w:t>
      </w:r>
    </w:p>
    <w:p w14:paraId="40511462" w14:textId="7416E3B1" w:rsidR="00AC362E" w:rsidRDefault="00AC362E" w:rsidP="00CE7C9B">
      <w:r>
        <w:t xml:space="preserve">The school is close to a lagoon on one side and the beach on another as a result of which it is exposed to the elements. The school committee has built a seawall on the lagoon side which has mitigated the effects of runoff at high tide that previously plagued the school but a week before the case study team visit strong winds destroyed three classrooms and have seriously damaged others.  Guttering supplying the school’s only water tank also came down in the storm. Fortunately, despite the damage, there are enough functional classrooms to conduct classes although one has a large hole in the wall which allows students to simply walk out if they choose. Two children did this during the team’s visit.  </w:t>
      </w:r>
    </w:p>
    <w:p w14:paraId="0187CB92" w14:textId="604CC10B" w:rsidR="00AC362E" w:rsidRDefault="00AC362E" w:rsidP="00CE7C9B">
      <w:r>
        <w:t>The school has two contract teachers and two permanent teachers including the Head Teacher and 98 students. The two contract teachers, a married couple from the area, have completed the KTC training on the new curriculum. This is unusual, the team has found only one other contract teacher who has done the KTC training. The contract teachers teach Year 1 and Year 2 respectively.  The Head Teacher teaches a combined Year 3 and 4 class. The other permanent teacher who is on her first outer island assignment teaches a combined Year 5 and 6 class.</w:t>
      </w:r>
    </w:p>
    <w:p w14:paraId="51995CF4" w14:textId="479DF621" w:rsidR="00AC362E" w:rsidRDefault="00AC362E" w:rsidP="00CE7C9B">
      <w:pPr>
        <w:rPr>
          <w:b/>
        </w:rPr>
      </w:pPr>
      <w:r>
        <w:t>The school grounds are spacious and clean and dominated by a large maneaba. The other significant feature in the school is a library lined with an eclectic collection of English language books including atlases, encyclopaedias and copious works of fiction and non-fiction donated by the Mormons in the late 90s.  Most would be beyond the capabilities of primary school children and unfortunately it appears the library does not get much use beyond looking impressive.</w:t>
      </w:r>
    </w:p>
    <w:p w14:paraId="038FF056" w14:textId="77777777" w:rsidR="00AC362E" w:rsidRPr="0038132D" w:rsidRDefault="00AC362E" w:rsidP="00CE7C9B">
      <w:pPr>
        <w:pStyle w:val="Heading2"/>
      </w:pPr>
      <w:bookmarkStart w:id="264" w:name="_Toc461615849"/>
      <w:r w:rsidRPr="0038132D">
        <w:t>New Curriculum</w:t>
      </w:r>
      <w:bookmarkEnd w:id="264"/>
    </w:p>
    <w:p w14:paraId="4403BD34" w14:textId="7B96A67F" w:rsidR="00AC362E" w:rsidRDefault="00AC362E" w:rsidP="00CE7C9B">
      <w:r>
        <w:t xml:space="preserve">The teachers are trying their best to implement the new curriculum but it is apparent that they are struggling and frequently resort to previous teaching styles and content. Despite having </w:t>
      </w:r>
      <w:r w:rsidRPr="00185DBF">
        <w:t>been trained by KTC</w:t>
      </w:r>
      <w:r>
        <w:t xml:space="preserve"> the</w:t>
      </w:r>
      <w:r w:rsidRPr="00185DBF">
        <w:t xml:space="preserve"> Year 1 and 2 </w:t>
      </w:r>
      <w:r>
        <w:t>t</w:t>
      </w:r>
      <w:r w:rsidRPr="00185DBF">
        <w:t xml:space="preserve">he contract teachers </w:t>
      </w:r>
      <w:r>
        <w:t>have not been following the instructions on language and regularly use more English than is supposed to be introduced in these years</w:t>
      </w:r>
      <w:r w:rsidRPr="00185DBF">
        <w:t xml:space="preserve">.  </w:t>
      </w:r>
      <w:r>
        <w:t>It is clear in subsequent discussions that neither they nor the Head Teacher really understand the principle of a phased introduction of English.  They noted for example that children in Year 1 could read in Kiribati earlier than before but at the same time felt that Year 3 children were a bit slow in English reading. It may be that this is an extreme example of something we have seen at other schools where the underlying rationale for Kiribati instruction in Year 1 to 3 is not well understood.</w:t>
      </w:r>
    </w:p>
    <w:p w14:paraId="5E7E42F0" w14:textId="77777777" w:rsidR="00AC362E" w:rsidRDefault="00AC362E" w:rsidP="00CE7C9B">
      <w:r>
        <w:t>One aside that teachers mentioned that had also been heard in other schools but was perhaps not given enough weight is that the reading texts in Kiribati for Year 1 and 2 are considered to be too long.  Students tend to lose interest, the teachers said.</w:t>
      </w:r>
    </w:p>
    <w:p w14:paraId="2CDAE33B" w14:textId="21412F50" w:rsidR="00AC362E" w:rsidRDefault="00AC362E" w:rsidP="00CE7C9B">
      <w:r>
        <w:t>All teachers have lesson plans and are using the MoE format, or at least an abbreviated form of that format. This was because when the District Education Officer last visited they were told-off for using the new curriculum (KTC) format. In the teacher’s view the lesson plan is unnecessarily time consuming and takes away from classroom preparation. The lesson plans they write do not identify the individual needs of students but it was noted that when the teachers actually taught the lesson in class they did address different student capabilities and gave more attention to those who were struggling.  In general the lessons seemed to be achieving the learning outcomes but some children also appeared to be falling behind.</w:t>
      </w:r>
    </w:p>
    <w:p w14:paraId="644C1371" w14:textId="6D9B2E74" w:rsidR="00AC362E" w:rsidRPr="00185DBF" w:rsidRDefault="00AC362E" w:rsidP="00CE7C9B">
      <w:r>
        <w:t xml:space="preserve">There was some variety in assessment approaches were being used in classes and all students had a checklist but this did not appear to be being used to shape the teaching and it was not clear that teachers knew how to use it properly. One teacher said they had shown the checklist to parents who </w:t>
      </w:r>
      <w:r>
        <w:lastRenderedPageBreak/>
        <w:t>were confused by it and they had reverted to using exams because they said that parents preferred this. It was a little difficult to get a full picture of classroom assessment as the recent damage to the school had destroyed a lot of the children’s work. Class 3 and 4 students had portfolio’s but they were not well organised and did not appear to be being used effectively for assessment purposes.</w:t>
      </w:r>
    </w:p>
    <w:p w14:paraId="791EDC3A" w14:textId="77777777" w:rsidR="00AC362E" w:rsidRPr="00185DBF" w:rsidRDefault="00AC362E" w:rsidP="00ED0631">
      <w:pPr>
        <w:pStyle w:val="Heading2"/>
      </w:pPr>
      <w:bookmarkStart w:id="265" w:name="_Toc461615850"/>
      <w:r w:rsidRPr="00185DBF">
        <w:t>Classroom Teaching</w:t>
      </w:r>
      <w:bookmarkEnd w:id="265"/>
    </w:p>
    <w:p w14:paraId="2FF39C99" w14:textId="22A9D370" w:rsidR="00AC362E" w:rsidRDefault="00AC362E" w:rsidP="00ED0631">
      <w:r>
        <w:t>Some of the teaching could be described as child-centred and other is clearly teacher-centred. As the Head Teacher explained child-centred learning takes a lot of preparation while teacher centred is easy to prepare but takes more effort in the class room. Generally in the Year 3 and 4 classes he was using a more traditional teacher-centred style for maths and some other subjects but in language he was more child-centred. One of the other teachers had divided the class into groups which they said was following the teacher’s guide but interestingly it was noted that, consciously or not, they had divided the class into ability groups and were giving the slower group more attention.</w:t>
      </w:r>
    </w:p>
    <w:p w14:paraId="2FCB796B" w14:textId="561FB54E" w:rsidR="00AC362E" w:rsidRDefault="00AC362E" w:rsidP="00ED0631">
      <w:r>
        <w:t>Generally classroom control was an issue and this appeared to have been exacerbated by some of the damage to classrooms. Children seemed to wander freely in and out of classes and wander back to the nearby village when it suited them. In the Year 1 and 2 classrooms, in particular, some children were engaged in the lessons being taught and others clearly were not. Attempts to engage children in conversation out of class were largely unproductive in either English or Kiribati which was quite different to many of the other schools visited.</w:t>
      </w:r>
    </w:p>
    <w:p w14:paraId="2BFDBD90" w14:textId="28BBA18C" w:rsidR="00AC362E" w:rsidRDefault="00AC362E" w:rsidP="00ED0631">
      <w:r>
        <w:t>In the Year 3 and 4 classes teaching mixed grades was a problem and the Head Teacher discussed this at length later in the day. Teacher guides for the two classes do not match up so that if he followed both guides he would be teaching different topics at the same time to two different groups in the classroom. Even where the same subject was being taught he was having difficulty pitching the teaching to the right level.  He said, “</w:t>
      </w:r>
      <w:r w:rsidR="003C48D4">
        <w:t>I</w:t>
      </w:r>
      <w:r>
        <w:t xml:space="preserve">f I teach to the Year 3 class the Year 4 are bored but if I teach to Year 4 the Year 3 cannot follow”. This problem appears to be one of not having effective strategies for multigrade teaching and perhaps an over reliance on the strict letter of the teacher’s guides which were clearly not designed to this situation. The teachers preferred solution to this problem was to have more teachers and no multigrade classes. </w:t>
      </w:r>
      <w:r w:rsidRPr="00FF22D3">
        <w:t>Since multigrade classes are common in the outer islands it is likely this situation is repeated elsewhere</w:t>
      </w:r>
      <w:r>
        <w:t>.</w:t>
      </w:r>
    </w:p>
    <w:p w14:paraId="405DFFED" w14:textId="77777777" w:rsidR="00AC362E" w:rsidRPr="00A623CB" w:rsidRDefault="00AC362E" w:rsidP="00ED0631">
      <w:pPr>
        <w:pStyle w:val="Heading2"/>
      </w:pPr>
      <w:bookmarkStart w:id="266" w:name="_Toc461615851"/>
      <w:r w:rsidRPr="00A623CB">
        <w:t>School Leadership</w:t>
      </w:r>
      <w:bookmarkEnd w:id="266"/>
    </w:p>
    <w:p w14:paraId="712FECEE" w14:textId="77777777" w:rsidR="00AC362E" w:rsidRPr="00FC44F7" w:rsidRDefault="00AC362E" w:rsidP="00ED0631">
      <w:pPr>
        <w:rPr>
          <w:spacing w:val="-4"/>
        </w:rPr>
      </w:pPr>
      <w:r w:rsidRPr="00FC44F7">
        <w:rPr>
          <w:spacing w:val="-4"/>
        </w:rPr>
        <w:t>The Head Teacher has a full time teaching load and has little time to observe the teaching of the other classes or to provide professional development.  Since the teachers live in the same compound and there is some opportunity to discuss problems arising but only if these are raised by the teacher concerned.</w:t>
      </w:r>
    </w:p>
    <w:p w14:paraId="56A14B63" w14:textId="5D7E5EBB" w:rsidR="00AC362E" w:rsidRDefault="00AC362E" w:rsidP="00ED0631">
      <w:r>
        <w:t>The teachers have clearly benefited from the KTC coaching and are very appreciative of this support.  They asked the coach for support on lesson plans and also some support on English bridging for the Year 2 to 3 transition. It is not clear how effective this was but just having some support from outside is clearly very significant to these teachers.</w:t>
      </w:r>
    </w:p>
    <w:p w14:paraId="04D60895" w14:textId="7E62927C" w:rsidR="00AC362E" w:rsidRDefault="00AC362E" w:rsidP="00ED0631">
      <w:r>
        <w:t>The most pressing problem for the Head Teacher is the damaged classrooms. He has reported the matter to MoE and is hopeful that someone will come to make an assessment soon. It will require some new materials and a carpenter to repair.</w:t>
      </w:r>
    </w:p>
    <w:p w14:paraId="2213FA06" w14:textId="269A9150" w:rsidR="00AC362E" w:rsidRDefault="00AC362E" w:rsidP="00ED0631">
      <w:r>
        <w:t>All teachers remarked on the lack of teaching resources. They asked for more library books which was taken to mean more age appropriate library resources. They also said they did not have enough charts, pens and most urgently staples. They noted that school supplies always come late, well after school starts.</w:t>
      </w:r>
    </w:p>
    <w:p w14:paraId="736B6D00" w14:textId="3E67C655" w:rsidR="00AC362E" w:rsidRDefault="00AC362E" w:rsidP="00ED0631">
      <w:r>
        <w:t>Out of school children are another matter of concern. The Head Teacher is of the view that there may be between 10-20 school age children who do not attend. When this was discussed later with the School committee they seemed doubtful that it could be that many but they have not been actively involved in encouraging attendance.</w:t>
      </w:r>
    </w:p>
    <w:p w14:paraId="0BEFBA69"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7B419B5F" w14:textId="1FEE16DC" w:rsidR="00AC362E" w:rsidRPr="00A623CB" w:rsidRDefault="00AC362E" w:rsidP="00ED0631">
      <w:pPr>
        <w:pStyle w:val="Heading2"/>
      </w:pPr>
      <w:bookmarkStart w:id="267" w:name="_Toc461615852"/>
      <w:r w:rsidRPr="00A623CB">
        <w:lastRenderedPageBreak/>
        <w:t>Community Participation</w:t>
      </w:r>
      <w:bookmarkEnd w:id="267"/>
    </w:p>
    <w:p w14:paraId="1EF28DD0" w14:textId="11489E07" w:rsidR="00AC362E" w:rsidRDefault="00AC362E" w:rsidP="00ED0631">
      <w:r>
        <w:t>The school has a strong School Committee and a School Improvement Plan (SIP) committee. As in other places these two committees are constituted separately but effectively work together. The School Committee members are paid by the Island Council but the SIP committee members are volunteers. Taken at face value this does not seem to cause any difficulties.</w:t>
      </w:r>
    </w:p>
    <w:p w14:paraId="5A37399B" w14:textId="29E33BAD" w:rsidR="00AC362E" w:rsidRDefault="00AC362E" w:rsidP="00ED0631">
      <w:r>
        <w:t xml:space="preserve">The school has a SIP which is displayed on the wall of the now damaged teacher’s room. It lists four items for support, repairing the Maneaba, digging a well for the toilets, buying a photocopier and growing and planting various types of food crops. </w:t>
      </w:r>
    </w:p>
    <w:p w14:paraId="13A9CF5F" w14:textId="77777777" w:rsidR="00AC362E" w:rsidRDefault="00AC362E" w:rsidP="00ED0631">
      <w:r>
        <w:t>Of these the first two have been done. They are active in fund raising for school prizes but according to the Head Teacher buying a photocopier is too ambitious and beyond the capability of the villagers.  In any case it was noted that the school does not have any electricity apart from a few small solar panels in the teacher’s compound.</w:t>
      </w:r>
    </w:p>
    <w:p w14:paraId="74851DBD" w14:textId="77777777" w:rsidR="00AC362E" w:rsidRDefault="00AC362E" w:rsidP="00ED0631">
      <w:r>
        <w:t xml:space="preserve">Beyond the SIP the committees have done other maintenance work such as putting coral in the children’s toilets and building a seawall behind the toilets to mitigate flooding of the school compound.  They have also instituted a curfew for children in the village. The school committee suggested that a hand washing program was the next thing they should approach.  </w:t>
      </w:r>
    </w:p>
    <w:p w14:paraId="31D2DEA3" w14:textId="77777777" w:rsidR="00AC362E" w:rsidRDefault="00AC362E" w:rsidP="00ED0631">
      <w:r>
        <w:t xml:space="preserve">Interestingly on Nonouti there is a meeting every term of all school committees and Routa is active (according to them) in encouraging other school committees to support their own schools. </w:t>
      </w:r>
    </w:p>
    <w:p w14:paraId="01B3DA2D" w14:textId="77777777" w:rsidR="00AC362E" w:rsidRPr="00E22072" w:rsidRDefault="00AC362E" w:rsidP="00ED0631">
      <w:pPr>
        <w:pStyle w:val="Heading2"/>
      </w:pPr>
      <w:bookmarkStart w:id="268" w:name="_Toc461615853"/>
      <w:r w:rsidRPr="00E22072">
        <w:t>Inclusiveness</w:t>
      </w:r>
      <w:bookmarkEnd w:id="268"/>
    </w:p>
    <w:p w14:paraId="6BC5A458" w14:textId="6077A233" w:rsidR="00AC362E" w:rsidRDefault="00AC362E" w:rsidP="00ED0631">
      <w:r>
        <w:t>It may be a measure of the lack of contact the Head Teacher has with the other classes because of his teaching commitments that he was unaware that there are two children, one in Year 1 and one in Year 2 with significant hearing problems. The teachers manage this by having them at the front of the class and repeating things to make sure they have heard.</w:t>
      </w:r>
    </w:p>
    <w:p w14:paraId="183EC66D" w14:textId="6E82ED76" w:rsidR="00AC362E" w:rsidRDefault="00AC362E" w:rsidP="00ED0631">
      <w:r>
        <w:t>Other than this there is a girl, who happens to be Head Teacher’s n</w:t>
      </w:r>
      <w:r w:rsidR="003C48D4">
        <w:t>i</w:t>
      </w:r>
      <w:r>
        <w:t>ece, who has epilepsy. It is likely that this would not have been mentioned to the case study team but during the interview with the head teacher she entered the room in a distressed state and began to have a seizure. The Head Teacher new exactly what to do to keep her safe and the situation was managed successfully. The girl has missed a lot of class time because of her medical condition. While she should be in Year 5 she is currently in Year 4 to compensate.</w:t>
      </w:r>
    </w:p>
    <w:p w14:paraId="3B4EF0C8" w14:textId="77777777" w:rsidR="00AC362E" w:rsidRPr="00EB5B77" w:rsidRDefault="00AC362E" w:rsidP="00ED0631">
      <w:pPr>
        <w:pStyle w:val="Heading2"/>
      </w:pPr>
      <w:bookmarkStart w:id="269" w:name="_Toc461615854"/>
      <w:r w:rsidRPr="00EB5B77">
        <w:t>Absences</w:t>
      </w:r>
      <w:bookmarkEnd w:id="269"/>
    </w:p>
    <w:p w14:paraId="5E77F070" w14:textId="42000E54" w:rsidR="00AC362E" w:rsidRPr="003C48D4" w:rsidRDefault="00AC362E" w:rsidP="00ED0631">
      <w:r w:rsidRPr="003C48D4">
        <w:t>As noted above the Head Teacher felt there were a lot of children out of school who should be attending but it was difficult to get a firm estimate of numbers. Certainly the School Committee did not think that there were as many as the Head Teacher. They thought he was probably counting children who were now too old for primary school.  Most of these are engaged in fishing and coconut gathering.</w:t>
      </w:r>
    </w:p>
    <w:p w14:paraId="3A4FD2FA" w14:textId="17327FFD" w:rsidR="00AC362E" w:rsidRPr="003C48D4" w:rsidRDefault="00AC362E" w:rsidP="00ED0631">
      <w:r w:rsidRPr="003C48D4">
        <w:t>In contrast to other schools there did not seem to be a lot of older children in classes, which the Team has been using as a marker of children who have started late and were most likely previously out of school. However, it was noted that there was one boy in Year 4 who by age should probably be in Form 1 or 2 in JSS.</w:t>
      </w:r>
    </w:p>
    <w:p w14:paraId="235D95F1" w14:textId="77777777" w:rsidR="00AC362E" w:rsidRPr="000D1BC6" w:rsidRDefault="00AC362E" w:rsidP="00ED0631">
      <w:pPr>
        <w:rPr>
          <w:spacing w:val="-2"/>
        </w:rPr>
      </w:pPr>
      <w:r w:rsidRPr="000D1BC6">
        <w:rPr>
          <w:spacing w:val="-2"/>
        </w:rPr>
        <w:t>On the day visited in Years 1 to 4 there were six children absent from 74.  All of those absent were boys.</w:t>
      </w:r>
    </w:p>
    <w:p w14:paraId="584DFF36" w14:textId="77777777" w:rsidR="00AC362E" w:rsidRPr="003C48D4" w:rsidRDefault="00AC362E" w:rsidP="00ED0631">
      <w:pPr>
        <w:pStyle w:val="Heading2"/>
        <w:rPr>
          <w:rFonts w:asciiTheme="minorHAnsi" w:hAnsiTheme="minorHAnsi"/>
          <w:spacing w:val="0"/>
        </w:rPr>
      </w:pPr>
      <w:bookmarkStart w:id="270" w:name="_Toc461615855"/>
      <w:r w:rsidRPr="003C48D4">
        <w:rPr>
          <w:rFonts w:asciiTheme="minorHAnsi" w:hAnsiTheme="minorHAnsi"/>
          <w:spacing w:val="0"/>
        </w:rPr>
        <w:t>Buildings</w:t>
      </w:r>
      <w:bookmarkEnd w:id="270"/>
    </w:p>
    <w:p w14:paraId="4344B174" w14:textId="77777777" w:rsidR="00AC362E" w:rsidRPr="003C48D4" w:rsidRDefault="00AC362E" w:rsidP="00ED0631">
      <w:r w:rsidRPr="003C48D4">
        <w:t xml:space="preserve">The classrooms were solidly built and until recently have obviously served the school well but the recent damage has rendered about half the school unusable and vulnerable to further structural damage.  There are still enough classrooms to cater for the current classes but it means that combined classes must share a classroom which exacerbates the problems of multigrade teaching.  </w:t>
      </w:r>
    </w:p>
    <w:p w14:paraId="3D588C21" w14:textId="2CD6DD69" w:rsidR="00AC362E" w:rsidRDefault="00AC362E" w:rsidP="00ED0631">
      <w:r>
        <w:lastRenderedPageBreak/>
        <w:t xml:space="preserve">Another unusual feature of this school was the use of desks. These were a mixture of low desks where students sit on the floor and tables with a built in chair. It seemed that these were being used for the older students. It was clear that the teachers were trying to create the best possible school environment with what they had at hand. </w:t>
      </w:r>
    </w:p>
    <w:p w14:paraId="0904916D" w14:textId="77777777" w:rsidR="00AC362E" w:rsidRDefault="00AC362E" w:rsidP="00ED0631">
      <w:pPr>
        <w:pStyle w:val="Heading2"/>
      </w:pPr>
      <w:bookmarkStart w:id="271" w:name="_Toc461615856"/>
      <w:r w:rsidRPr="00344554">
        <w:t>General Observations</w:t>
      </w:r>
      <w:bookmarkEnd w:id="271"/>
    </w:p>
    <w:p w14:paraId="0F4BC85C" w14:textId="0ED1AC81" w:rsidR="00AC362E" w:rsidRPr="005819D4" w:rsidRDefault="00AC362E" w:rsidP="00ED0631">
      <w:r w:rsidRPr="005819D4">
        <w:t xml:space="preserve">An unusual feature of this school was the reticence of children to talk to the visitors. This was true of both the westerner and the two local researchers. In other schools children have often distracted by </w:t>
      </w:r>
      <w:r>
        <w:t>the team’s</w:t>
      </w:r>
      <w:r w:rsidRPr="005819D4">
        <w:t xml:space="preserve"> presence and keen to interact. At this school children generally did not respond to greetings and overall seemed to be less talkative than in other locations. On the other hand, many of them were out of class as it pleased them so it did not appear that strict discipline was the cause of the reticence. As noted above visitors to the school appear to be infrequent and it may be that this contributed to this response.</w:t>
      </w:r>
    </w:p>
    <w:p w14:paraId="69522904" w14:textId="77777777" w:rsidR="00AC362E" w:rsidRDefault="00AC362E" w:rsidP="00ED0631">
      <w:pPr>
        <w:rPr>
          <w:rFonts w:asciiTheme="majorHAnsi" w:hAnsiTheme="majorHAnsi"/>
          <w:color w:val="EB6E08" w:themeColor="text2"/>
          <w:sz w:val="32"/>
          <w:szCs w:val="32"/>
        </w:rPr>
        <w:sectPr w:rsidR="00AC362E">
          <w:pgSz w:w="11906" w:h="16838"/>
          <w:pgMar w:top="1440" w:right="1440" w:bottom="1440" w:left="1440" w:header="708" w:footer="708" w:gutter="0"/>
          <w:cols w:space="708"/>
          <w:docGrid w:linePitch="360"/>
        </w:sectPr>
      </w:pPr>
    </w:p>
    <w:p w14:paraId="0FFC761E" w14:textId="77777777" w:rsidR="00AC362E" w:rsidRPr="00C91E25" w:rsidRDefault="00AC362E" w:rsidP="00ED0631">
      <w:pPr>
        <w:pStyle w:val="Heading1"/>
      </w:pPr>
      <w:bookmarkStart w:id="272" w:name="_Toc461615857"/>
      <w:r w:rsidRPr="00C91E25">
        <w:lastRenderedPageBreak/>
        <w:t>Kabeni Primary School</w:t>
      </w:r>
      <w:bookmarkEnd w:id="272"/>
    </w:p>
    <w:p w14:paraId="634C1372" w14:textId="1CD39859" w:rsidR="00AC362E" w:rsidRDefault="00AC362E" w:rsidP="00ED0631">
      <w:pPr>
        <w:tabs>
          <w:tab w:val="left" w:pos="2835"/>
        </w:tabs>
      </w:pPr>
      <w:r>
        <w:t>Kabeni Primary School was a replacement for Tiantaake School that had originally been selected but could not be reached because of damage to the causeway. Kabeni was judged to be a similar school in that it is a small school serving a remote village that teaches multigrade classes.</w:t>
      </w:r>
    </w:p>
    <w:p w14:paraId="7892DF3E" w14:textId="0B62FA40" w:rsidR="00AC362E" w:rsidRDefault="00AC362E" w:rsidP="00ED0631">
      <w:pPr>
        <w:tabs>
          <w:tab w:val="left" w:pos="2835"/>
        </w:tabs>
      </w:pPr>
      <w:r>
        <w:t>Kabeni is at the southernmost tip of Nonuti about 2 hours by truck from the Island Council Office. The road is rough and frequently inundated by sea making progress slow. Kabeni primary serves two adjoining villages. The school is small with three multi-grade classes; two permanent teachers including the Head Teacher and one monitor who teaches the Year 5 and 6 classes. It size it is most similar to Tabonuea School on Butaritari.</w:t>
      </w:r>
    </w:p>
    <w:p w14:paraId="358B3DC4" w14:textId="77777777" w:rsidR="00AC362E" w:rsidRDefault="00AC362E" w:rsidP="00ED0631">
      <w:pPr>
        <w:tabs>
          <w:tab w:val="left" w:pos="2835"/>
        </w:tabs>
      </w:pPr>
      <w:r>
        <w:t>Classrooms are built in traditional style but have relatively poor airflow making them hot for lessons.  The Year 1 and 2 class in particular is well decorated with charts and posters and examples of the children’s work. There are two low desks but Years 3 to 6 have more desks, also of the low variety used by students sitting on the ground.</w:t>
      </w:r>
    </w:p>
    <w:p w14:paraId="39CD65F0" w14:textId="4BD90DFB" w:rsidR="00AC362E" w:rsidRDefault="00AC362E" w:rsidP="00ED0631">
      <w:pPr>
        <w:tabs>
          <w:tab w:val="left" w:pos="2835"/>
        </w:tabs>
      </w:pPr>
      <w:r>
        <w:t>Class sizes are small; only 11 to 12 in a mixed class. Children were friendly but seemed to have less English than in some of the other schools visited. In class they were engaged, concentrating on their tasks and seemed to be enjoying learning.</w:t>
      </w:r>
    </w:p>
    <w:p w14:paraId="17CC8AF2" w14:textId="77777777" w:rsidR="00AC362E" w:rsidRDefault="00AC362E" w:rsidP="00ED0631">
      <w:pPr>
        <w:tabs>
          <w:tab w:val="left" w:pos="2835"/>
        </w:tabs>
      </w:pPr>
      <w:r>
        <w:t>The main village is adjacent to the school and teachers have quarters next to the school. Some of the teacher’s quarters such as the main kitchen are in poor repair but overall the school is neat and decorative plants adorn the main compound.</w:t>
      </w:r>
    </w:p>
    <w:p w14:paraId="1CFB28D4" w14:textId="1D38FC3D" w:rsidR="00AC362E" w:rsidRDefault="00AC362E" w:rsidP="00ED0631">
      <w:pPr>
        <w:tabs>
          <w:tab w:val="left" w:pos="2835"/>
        </w:tabs>
      </w:pPr>
      <w:r>
        <w:t>Adjoining the Year 1 and 2 classroom is a small teacher’s room that contains stores, various administrative records and has a small library that contains readers from MoE. This building is the only one to have an iron roof.  A large cement water tank at one end is not connected because guttering has collapsed. At the other end of the building is a newer plastic water tank but this is also empty although it appears to be connected. The only source of rainwater is therefore the village clinic some distance away (approximately ½ a kilometre) and children ferry water back and forth. There are two wells that serve washing purposes.</w:t>
      </w:r>
    </w:p>
    <w:p w14:paraId="6A5A085B" w14:textId="38830D7B" w:rsidR="00AC362E" w:rsidRDefault="00AC362E" w:rsidP="00ED0631">
      <w:pPr>
        <w:tabs>
          <w:tab w:val="left" w:pos="2835"/>
        </w:tabs>
      </w:pPr>
      <w:r>
        <w:t>The school is at the tip of the island. On one side is sea and on the other a lagoon fills the curve of the island. There has been some recent trouble with sea inundation but it does not appear too serious although it did result in the death of a large breadfruit tree in the teacher’s compound.</w:t>
      </w:r>
    </w:p>
    <w:p w14:paraId="1AFF85DE" w14:textId="6401E3D3" w:rsidR="00AC362E" w:rsidRDefault="00AC362E" w:rsidP="00ED0631">
      <w:pPr>
        <w:tabs>
          <w:tab w:val="left" w:pos="2835"/>
        </w:tabs>
      </w:pPr>
      <w:r>
        <w:t>Overall the impression is of a relaxed but well-functioning school. Children seem happy and unstressed. All ages play together happily during the school break. Strangely noticeable is that boys substantially outnumber girls. In Years 1 to 4 there are 5 girls and 15 boys. According to the school committee all children are in school and it just so happens that there are more boys in this village.</w:t>
      </w:r>
    </w:p>
    <w:p w14:paraId="57BF6452" w14:textId="77777777" w:rsidR="00AC362E" w:rsidRPr="0011790D" w:rsidRDefault="00AC362E" w:rsidP="00ED0631">
      <w:pPr>
        <w:pStyle w:val="Heading2"/>
      </w:pPr>
      <w:bookmarkStart w:id="273" w:name="_Toc461615858"/>
      <w:r w:rsidRPr="0011790D">
        <w:t>New Curriculum</w:t>
      </w:r>
      <w:bookmarkEnd w:id="273"/>
    </w:p>
    <w:p w14:paraId="6478935A" w14:textId="56C74B83" w:rsidR="00AC362E" w:rsidRDefault="00AC362E" w:rsidP="00ED0631">
      <w:r>
        <w:t>The children are engaged in their classes and seem to be enjoying learning. The Year 2 students demonstrated some considerable creativity in answering questions which impressed the observers and was rated as amongst the best they have seen. However, there are serious issues in teaching the multi-grade classes despite the small overall class sizes. Teacher’s evaluations of lesson plans reveal that lessons are frequently unfinished and have to be carried over to the next day. The teachers complain that the topics of lessons in respective grades do not match up which it makes it difficult to work with two classes at once. It is clear that they sometimes rearrange the syllabus to try to match up topics better to get around this problem. One good example of how they were coping with this was observed in the Year 3 and 4 class where both studying a poem and then the teacher asked different questions of each Year. It was noted that the poem was not part of the required reading and had been chosen for the convenience to teaching both years.</w:t>
      </w:r>
    </w:p>
    <w:p w14:paraId="00B9BD50" w14:textId="0407687D" w:rsidR="00AC362E" w:rsidRDefault="00AC362E" w:rsidP="00ED0631">
      <w:r>
        <w:t xml:space="preserve">Both student centred and teacher centred teaching was observed but in the main the teachers were using good student centred approaches. There were only a few students who seemed to be having difficulty across the four years and teachers were observed to be giving these students extra </w:t>
      </w:r>
      <w:r>
        <w:lastRenderedPageBreak/>
        <w:t>attention. However, there was nothing in the lesson plans to indicate that individual differences were being planned for in developing activities.</w:t>
      </w:r>
    </w:p>
    <w:p w14:paraId="70A062D4" w14:textId="1A4D5B8E" w:rsidR="00AC362E" w:rsidRDefault="00AC362E" w:rsidP="00ED0631">
      <w:r>
        <w:t>Interestingly, both formats of lesson plans were being used and this seemed to be a matter of personal preference of the teachers. The District Education Officer had visited and insisted on the use of the MoE format but one of the teachers chose to ignore this instruction preferring to use the new curriculum (KTC) format. Lesson plan evaluations were done at the end of the day but it was not clear that this fed into future lessons. Both permanent teachers helped the monitor with her lesson plans and resolving any teaching problems she encountered.</w:t>
      </w:r>
    </w:p>
    <w:p w14:paraId="53FC44C5" w14:textId="384553AA" w:rsidR="00AC362E" w:rsidRDefault="00AC362E" w:rsidP="00ED0631">
      <w:r>
        <w:t>It was evident that both teachers assessed children’s performance at the end of each topic. Good records were kept.  Portfolios were kept in teacher’s rooms to keep them safe and were found to contain a range of assessed work. End of Term progress reports on each student are recorded on the wall of the teacher’s room. However, teachers remarked that parents did not understand the new curriculum approach to assessment and requested more exams. In part this seemed to be related not just to expectations from previous years but also because exams provided an opportunity for prize giving which the parents enjoyed.</w:t>
      </w:r>
    </w:p>
    <w:p w14:paraId="0FE71236" w14:textId="731CA57C" w:rsidR="00AC362E" w:rsidRDefault="00AC362E" w:rsidP="00ED0631">
      <w:r>
        <w:t>Both parents and the Year 1 and 2 teacher appeared to be of the view that the new curriculum was actually too easy for the students and they needed more challenging work. One example given was that Year 1 was only required to learn to count up to 10. In fact, many of them could already do this from pre-school and the teacher wondered why counting up to 99 was reserved for the Year 2 class.</w:t>
      </w:r>
    </w:p>
    <w:p w14:paraId="2EB25086" w14:textId="2D05680E" w:rsidR="00AC362E" w:rsidRDefault="00AC362E" w:rsidP="00ED0631">
      <w:r>
        <w:t>The same issue was mentioned with respect to teaching of English with the clear view that students were not being challenged enough. As in other schools there was a view that the Year 2 and 3 classes should be doing more reading and writing in English.</w:t>
      </w:r>
    </w:p>
    <w:p w14:paraId="09C7F348" w14:textId="77777777" w:rsidR="00AC362E" w:rsidRPr="0011790D" w:rsidRDefault="00AC362E" w:rsidP="00ED0631">
      <w:pPr>
        <w:pStyle w:val="Heading2"/>
      </w:pPr>
      <w:bookmarkStart w:id="274" w:name="_Toc461615859"/>
      <w:r w:rsidRPr="0011790D">
        <w:t>Classroom Teaching</w:t>
      </w:r>
      <w:bookmarkEnd w:id="274"/>
    </w:p>
    <w:p w14:paraId="56CCD963" w14:textId="142F8331" w:rsidR="00AC362E" w:rsidRDefault="00AC362E" w:rsidP="00ED0631">
      <w:r>
        <w:t xml:space="preserve">Both teachers observed were excellent teachers. Their students were focused on their lessons and there was very little movement of students out of class. No doubt this was partly to do with the small class sizes but nevertheless it was clear that both teachers had good classroom control techniques.  </w:t>
      </w:r>
    </w:p>
    <w:p w14:paraId="0BBC88B4" w14:textId="77777777" w:rsidR="00AC362E" w:rsidRDefault="00AC362E" w:rsidP="00ED0631">
      <w:r>
        <w:t>The presence of many more boys than girls did not seem to have a discernible impact although it was noted that when asked to form groups the girls made sure to be in the same group.</w:t>
      </w:r>
    </w:p>
    <w:p w14:paraId="5AD51DC8" w14:textId="77777777" w:rsidR="00AC362E" w:rsidRPr="0061477C" w:rsidRDefault="00AC362E" w:rsidP="00ED0631">
      <w:pPr>
        <w:pStyle w:val="Heading2"/>
      </w:pPr>
      <w:bookmarkStart w:id="275" w:name="_Toc461615860"/>
      <w:r w:rsidRPr="0061477C">
        <w:t>School Leadership</w:t>
      </w:r>
      <w:bookmarkEnd w:id="275"/>
    </w:p>
    <w:p w14:paraId="3CE46AEE" w14:textId="13A79F3F" w:rsidR="00AC362E" w:rsidRDefault="00AC362E" w:rsidP="00ED0631">
      <w:r>
        <w:t>As a small school the Head Teacher said that there were few management issues to deal with.  No professional development activities are conducted by the Head Teacher. She merely responds to problems that the other teacher or monitor raise with her. If they do not raise any issues she assumes everything is fine.</w:t>
      </w:r>
    </w:p>
    <w:p w14:paraId="21E70E2B" w14:textId="06CF0260" w:rsidR="00AC362E" w:rsidRDefault="00AC362E" w:rsidP="00ED0631">
      <w:pPr>
        <w:rPr>
          <w:b/>
        </w:rPr>
      </w:pPr>
      <w:r>
        <w:t>They are however, very appreciative of the KTC coach who came and spent three days with them on various issues.</w:t>
      </w:r>
    </w:p>
    <w:p w14:paraId="38175C11" w14:textId="77777777" w:rsidR="00AC362E" w:rsidRPr="00703321" w:rsidRDefault="00AC362E" w:rsidP="00ED0631">
      <w:pPr>
        <w:pStyle w:val="Heading2"/>
      </w:pPr>
      <w:bookmarkStart w:id="276" w:name="_Toc461615861"/>
      <w:r w:rsidRPr="00703321">
        <w:t>Community Participation</w:t>
      </w:r>
      <w:bookmarkEnd w:id="276"/>
    </w:p>
    <w:p w14:paraId="7333C6D9" w14:textId="5280FDB0" w:rsidR="00AC362E" w:rsidRDefault="00AC362E" w:rsidP="00ED0631">
      <w:r>
        <w:t>The school has both a school committee and a School Implementation Plan (SIP) committee and as in other schools these two groups work together. There was no School Improvement Plan. Rather this seems to have been led by the Head Teacher who requests assistance and then the committees respond. There was no sense that either committee was proactive or indeed very active at all but in the words of the Head Teacher “they are active enough”. Basically she saw their role as providing basic maintenance, gardening and some fund raising which they do. Bingo is the main fundraising activity with the money used for prize giving. The village also contributes when there are visitors but being so isolated this does not happen very often.</w:t>
      </w:r>
    </w:p>
    <w:p w14:paraId="24606866" w14:textId="77777777" w:rsidR="00AC362E" w:rsidRDefault="00AC362E" w:rsidP="00ED0631">
      <w:r>
        <w:t>When questioned the school committee and SIP indicated that they had not done anything about school attendance since this was not a problem in their village.</w:t>
      </w:r>
    </w:p>
    <w:p w14:paraId="21F0589F"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2191C462" w14:textId="4E9AC124" w:rsidR="00AC362E" w:rsidRPr="00FA521A" w:rsidRDefault="00AC362E" w:rsidP="00ED0631">
      <w:pPr>
        <w:pStyle w:val="Heading2"/>
      </w:pPr>
      <w:bookmarkStart w:id="277" w:name="_Toc461615862"/>
      <w:r w:rsidRPr="00FA521A">
        <w:lastRenderedPageBreak/>
        <w:t>Inclusiveness</w:t>
      </w:r>
      <w:bookmarkEnd w:id="277"/>
    </w:p>
    <w:p w14:paraId="7027A756" w14:textId="0E43B13D" w:rsidR="00AC362E" w:rsidRDefault="00AC362E" w:rsidP="00ED0631">
      <w:r>
        <w:t xml:space="preserve">There is one student who has learning difficulties and has some trouble speaking. The teacher gives this student extra attention and they are now performing satisfactorily in Year 4. There is a student in Year 2 who is partially deaf and who sits at the front of class.  </w:t>
      </w:r>
    </w:p>
    <w:p w14:paraId="3C4B6FE0" w14:textId="77777777" w:rsidR="00AC362E" w:rsidRPr="00FA521A" w:rsidRDefault="00AC362E" w:rsidP="00ED0631">
      <w:pPr>
        <w:pStyle w:val="Heading2"/>
      </w:pPr>
      <w:bookmarkStart w:id="278" w:name="_Toc461615863"/>
      <w:r w:rsidRPr="00FA521A">
        <w:t>Absences</w:t>
      </w:r>
      <w:bookmarkEnd w:id="278"/>
    </w:p>
    <w:p w14:paraId="350FB1ED" w14:textId="6BC8B346" w:rsidR="00AC362E" w:rsidRDefault="00AC362E" w:rsidP="00ED0631">
      <w:r>
        <w:t>Attendance records are well kept. There do not seem to be any children in the village not going to school but on the day the team visited four students were absent from school. The SIP and School Committee were not aware of this and said that they would look into it. There was no reason to suppose that the absences were not for genuine reasons.</w:t>
      </w:r>
    </w:p>
    <w:p w14:paraId="3629AADD" w14:textId="0D926A30" w:rsidR="00AC362E" w:rsidRDefault="00AC362E" w:rsidP="00ED0631">
      <w:r>
        <w:t>There is one boy in Year 5 who by age should be attending JSS but who started school late. He is doing well in school and seemed happy to be there.</w:t>
      </w:r>
    </w:p>
    <w:p w14:paraId="778CAAFC" w14:textId="77777777" w:rsidR="00AC362E" w:rsidRDefault="00AC362E" w:rsidP="00ED0631">
      <w:pPr>
        <w:pStyle w:val="Heading2"/>
      </w:pPr>
      <w:bookmarkStart w:id="279" w:name="_Toc461615864"/>
      <w:r>
        <w:t>Buildings</w:t>
      </w:r>
      <w:bookmarkEnd w:id="279"/>
    </w:p>
    <w:p w14:paraId="6A88896B" w14:textId="45005A53" w:rsidR="00AC362E" w:rsidRDefault="00AC362E" w:rsidP="00ED0631">
      <w:r>
        <w:t>The buildings are traditional and no refurbishment has been done. Although the classrooms were hot with little breeze coming through the students were participating actively in their lessons. Some student work and posters were displayed particularly in the Year 1 and 2 classrooms.</w:t>
      </w:r>
    </w:p>
    <w:p w14:paraId="130CC217" w14:textId="39960668" w:rsidR="00AC362E" w:rsidRDefault="00AC362E" w:rsidP="00ED0631">
      <w:r>
        <w:t>The lack of rainwater is a serious issue and one that could be solved with a bit of guttering attached to the metal roof. It was surprising that this was not mentioned by either the Head Teacher or the school committees.</w:t>
      </w:r>
    </w:p>
    <w:p w14:paraId="72313248" w14:textId="77777777" w:rsidR="00AC362E" w:rsidRDefault="00AC362E" w:rsidP="00ED0631">
      <w:pPr>
        <w:pStyle w:val="Heading2"/>
      </w:pPr>
      <w:bookmarkStart w:id="280" w:name="_Toc461615865"/>
      <w:r w:rsidRPr="00FA521A">
        <w:t>General Observations</w:t>
      </w:r>
      <w:bookmarkEnd w:id="280"/>
    </w:p>
    <w:p w14:paraId="6462F99A" w14:textId="76958032" w:rsidR="00AC362E" w:rsidRDefault="00AC362E" w:rsidP="00ED0631">
      <w:r w:rsidRPr="005F7188">
        <w:t xml:space="preserve">Kabeni gives the impression of a tidy well run school that </w:t>
      </w:r>
      <w:r>
        <w:t>is doing a good job in educating its students.  They seem happy, creative and achieving at an appropriate level.  Teachers are dedicated and doing the best they can although they are encountering significant difficulties with multi-grade teaching.</w:t>
      </w:r>
    </w:p>
    <w:p w14:paraId="440E761E" w14:textId="4B809EF8" w:rsidR="00AC362E" w:rsidRPr="005F7188" w:rsidRDefault="00AC362E" w:rsidP="00ED0631">
      <w:r>
        <w:t xml:space="preserve">The school committee and SIP committees do not appear to be as active as some others visited and it would give the school an extra boost if some way of motivating and empowering these committees further could be found. There did not appear to be any real sense of ownership of the school by the village. </w:t>
      </w:r>
    </w:p>
    <w:p w14:paraId="79D62952" w14:textId="77777777" w:rsidR="00AC362E" w:rsidRDefault="00AC362E" w:rsidP="00ED0631">
      <w:pPr>
        <w:rPr>
          <w:rFonts w:asciiTheme="majorHAnsi" w:hAnsiTheme="majorHAnsi"/>
          <w:color w:val="EB6E08" w:themeColor="text2"/>
          <w:sz w:val="32"/>
          <w:szCs w:val="32"/>
        </w:rPr>
        <w:sectPr w:rsidR="00AC362E">
          <w:pgSz w:w="11906" w:h="16838"/>
          <w:pgMar w:top="1440" w:right="1440" w:bottom="1440" w:left="1440" w:header="708" w:footer="708" w:gutter="0"/>
          <w:cols w:space="708"/>
          <w:docGrid w:linePitch="360"/>
        </w:sectPr>
      </w:pPr>
    </w:p>
    <w:p w14:paraId="27FC397C" w14:textId="77777777" w:rsidR="00AC362E" w:rsidRPr="00837BF7" w:rsidRDefault="00AC362E" w:rsidP="00ED0631">
      <w:pPr>
        <w:pStyle w:val="Heading1"/>
      </w:pPr>
      <w:bookmarkStart w:id="281" w:name="_Toc461615866"/>
      <w:r w:rsidRPr="00837BF7">
        <w:lastRenderedPageBreak/>
        <w:t>Bareaumai Primary School</w:t>
      </w:r>
      <w:bookmarkEnd w:id="281"/>
    </w:p>
    <w:p w14:paraId="123605EB" w14:textId="643F2B5B" w:rsidR="00AC362E" w:rsidRDefault="00AC362E" w:rsidP="00ED0631">
      <w:r>
        <w:t>The school is at the eastern end of south Tarawa near the airport. Previously the school was considered one of the poorest schools on the island and according to the Head Teacher who lived nearby 20 years earlier any parents who could afford to, sent their children elsewhere to study. Now the school has 441 students taught by 7 permanent teachers and 6 contract teachers. There is one teacher’s aide. There are two classes for each year in Year 1 to 4.</w:t>
      </w:r>
    </w:p>
    <w:p w14:paraId="3D8DC0DE" w14:textId="77777777" w:rsidR="00AC362E" w:rsidRDefault="00AC362E" w:rsidP="00ED0631">
      <w:r>
        <w:t>Now the school has been completely refurbished through Australian Aid and gives the impression of a neat well-functioning school that would not be out of place in Northern Australia. Classrooms are organised in large blocks with several classrooms in each block. They are raised off the ground with access ramps at each side and stairs in the middle. Water tanks are attached to each school block and importantly are still functioning.</w:t>
      </w:r>
    </w:p>
    <w:p w14:paraId="022CDCD8" w14:textId="4A841F8E" w:rsidR="00AC362E" w:rsidRDefault="00AC362E" w:rsidP="00ED0631">
      <w:r>
        <w:t xml:space="preserve">The grounds have been subject to some flooding issues which is why classrooms were raised. </w:t>
      </w:r>
      <w:r w:rsidR="003C48D4">
        <w:t>O</w:t>
      </w:r>
      <w:r>
        <w:t>n one of the days the case study team visited the ground in the central area was muddy caused by changes to natural runoff because of the installation of a tennis/basketball court. Engineering company McDowell Connell had just brought a load of sand to try to rectify the problem.</w:t>
      </w:r>
    </w:p>
    <w:p w14:paraId="0E20F5EE" w14:textId="77777777" w:rsidR="00AC362E" w:rsidRDefault="00AC362E" w:rsidP="00ED0631">
      <w:r>
        <w:t>Around the grounds there are benches for children to sit under trees. There is a compost heap prominently built at one end of the grounds to highlight the value of organic matter in the soil. The community has constructed a number of traditional style houses for teacher accommodation.</w:t>
      </w:r>
    </w:p>
    <w:p w14:paraId="21876C6E" w14:textId="77777777" w:rsidR="00AC362E" w:rsidRPr="00B53A97" w:rsidRDefault="00AC362E" w:rsidP="00ED0631">
      <w:pPr>
        <w:pStyle w:val="Heading2"/>
      </w:pPr>
      <w:bookmarkStart w:id="282" w:name="_Toc461615867"/>
      <w:r w:rsidRPr="00B53A97">
        <w:t>New Curriculum</w:t>
      </w:r>
      <w:bookmarkEnd w:id="282"/>
    </w:p>
    <w:p w14:paraId="63576E95" w14:textId="49BB5510" w:rsidR="00AC362E" w:rsidRDefault="00AC362E" w:rsidP="00ED0631">
      <w:r w:rsidRPr="002707D5">
        <w:t xml:space="preserve">The Head Teacher believes the </w:t>
      </w:r>
      <w:r>
        <w:t xml:space="preserve">new curriculum </w:t>
      </w:r>
      <w:r w:rsidRPr="002707D5">
        <w:t xml:space="preserve">is working well. She sees as strengths that children can read in </w:t>
      </w:r>
      <w:r>
        <w:t>T-</w:t>
      </w:r>
      <w:r w:rsidRPr="002707D5">
        <w:t xml:space="preserve">Kiribati in Year 1 and that even kids who are </w:t>
      </w:r>
      <w:r>
        <w:t>“</w:t>
      </w:r>
      <w:r w:rsidRPr="002707D5">
        <w:t>not so smart</w:t>
      </w:r>
      <w:r>
        <w:t>”</w:t>
      </w:r>
      <w:r w:rsidRPr="002707D5">
        <w:t xml:space="preserve"> can learn at a good pace. She also mentions that under the new curriculum it is possible for children to move schools and slot straight in to what is being taught elsewhere because teaching is uniform according to the syllabus.  In general</w:t>
      </w:r>
      <w:r>
        <w:t>,</w:t>
      </w:r>
      <w:r w:rsidRPr="002707D5">
        <w:t xml:space="preserve"> she thinks students are performing well and teachers are getting familiar with the new style of teaching.</w:t>
      </w:r>
    </w:p>
    <w:p w14:paraId="2C3A33EE" w14:textId="32BB35C8" w:rsidR="00AC362E" w:rsidRDefault="00AC362E" w:rsidP="00ED0631">
      <w:r>
        <w:t>However, the team’s observation of classroom teaching revealed some significant differences in teaching between Years 1 and 2 and Years 3 and 4.  Generally, the new curriculum is being taught well with student centred learning techniques in the younger years but in Years 3 and 4 teaching is more variable and more use of teacher-centred techniques is made. In the two Year 4 classes and one of the Year 3 classes the teachers added material from the old curriculum to make the lessons more challenging.  In the Year 3 class, a number of students wandered out of class and in one Year 4 class a number of boys were playing at the back of the room and taking no notice of the English lesson in progress.  In the other Year 3 and 4 classes as with the Years 1 and 2 students were engaged and actively participating in their classes.</w:t>
      </w:r>
    </w:p>
    <w:p w14:paraId="4FE6F738" w14:textId="650CB00A" w:rsidR="00AC362E" w:rsidRDefault="00AC362E" w:rsidP="00ED0631">
      <w:r>
        <w:t>In Years 1 to 3 teachers are using the new curriculum (KTC) format for lesson plans but one Year 3 teacher did not have a lesson plan on the day classes were observed. In Year 4, both teachers were using the MoE lesson plan format. It was subsequently established that this is because they were engaged in TESOL training after school and were required to have lesson plans in MoE format as part of the course. Interestingly, both of these Year 4 teachers were contract teachers.</w:t>
      </w:r>
    </w:p>
    <w:p w14:paraId="6AA6FD4D" w14:textId="77777777" w:rsidR="00AC362E" w:rsidRDefault="00AC362E" w:rsidP="00ED0631">
      <w:r>
        <w:t xml:space="preserve">Teachers told the case study team that they rarely collaborated on lesson plans or on other aspects of teaching but have on occasion done so where the teacher’s guide does not have sufficient information on how to teach particular topics. </w:t>
      </w:r>
    </w:p>
    <w:p w14:paraId="23506AA3" w14:textId="2637EDCE" w:rsidR="00AC362E" w:rsidRDefault="00AC362E" w:rsidP="00ED0631">
      <w:r>
        <w:t xml:space="preserve">A range of attitudes to assessment and practices were evident amongst the Bareaumai teachers.  Both Year 1 teachers were using checklists and assessing work in student workbooks. In Year 2 one teacher was using a checklist written on a piece of paper and the other is using a portfolio approach.  In Year 3 both teachers were using checklists and one had displayed a record of individual student progress in the classroom. One Year 3 teacher who had more than 30 students complained that she could not complete the checklists in time every day because they were very time consuming. In Year 4, both teachers were using both checklists and portfolios. Both also had individual progress records for each student. In all classes, student workbooks were checked and marked every day and </w:t>
      </w:r>
      <w:r>
        <w:lastRenderedPageBreak/>
        <w:t xml:space="preserve">feedback was given to students in the form of brief comments. However, in interviews some teachers, predominantly Year 3 and 4, said that learning outcomes in the new curriculum were, in their view, mainly being achieved because there is a lot of repetition. They believe there is too much repetition and that the new curriculum made things too easy for the students. They think the new assessment approaches have led to a lack of discipline and would prefer more use of exams as was done previously. They note that some parents have also complained about the new assessment practices. </w:t>
      </w:r>
    </w:p>
    <w:p w14:paraId="5F17A5C3" w14:textId="77777777" w:rsidR="00AC362E" w:rsidRPr="00B53A97" w:rsidRDefault="00AC362E" w:rsidP="00ED0631">
      <w:pPr>
        <w:pStyle w:val="Heading2"/>
      </w:pPr>
      <w:bookmarkStart w:id="283" w:name="_Toc461615868"/>
      <w:r w:rsidRPr="00B53A97">
        <w:t>Classroom Teaching</w:t>
      </w:r>
      <w:bookmarkEnd w:id="283"/>
      <w:r>
        <w:t xml:space="preserve"> </w:t>
      </w:r>
    </w:p>
    <w:p w14:paraId="293F0CAC" w14:textId="77777777" w:rsidR="00AC362E" w:rsidRDefault="00AC362E" w:rsidP="00ED0631">
      <w:r>
        <w:t>During interviews some teachers expressed the view that an over-reliance on child-centred learning techniques was contributing to discipline problems. They felt the techniques worked well for smart students but were not benefiting the slower students who needed more direction. One teacher said that children were generally naughtier now and that it was hard to control them since she was not allowed to smack them anymore.</w:t>
      </w:r>
    </w:p>
    <w:p w14:paraId="13D98960" w14:textId="1429C352" w:rsidR="00AC362E" w:rsidRDefault="00AC362E" w:rsidP="00ED0631">
      <w:r>
        <w:t xml:space="preserve">Most teachers complained that teaching resources arrived late, were not sufficient when shared amongst teachers, and were often of low quality. Another complaint was that lessons in the </w:t>
      </w:r>
      <w:r w:rsidR="00AA73E1">
        <w:t>teachers’</w:t>
      </w:r>
      <w:r>
        <w:t xml:space="preserve"> guides did not always match the topics they are supposed to be teaching and they were forced to make up their own teaching schemes. A specific complaint was about the ‘big books’ for reading which were regarded as very long and are too big to be completed in the time available.  Students find them boring because they are too long. This latter comment was heard in several other schools.</w:t>
      </w:r>
    </w:p>
    <w:p w14:paraId="1B77D668" w14:textId="30F83DE0" w:rsidR="00AC362E" w:rsidRDefault="00AC362E" w:rsidP="00ED0631">
      <w:r>
        <w:t>The Head Teacher reported that there was a shortage of teachers’ guides for Year 1 and 2 but that she had been able to solve this by personally visiting the CRDC and obtaining some more copies.</w:t>
      </w:r>
    </w:p>
    <w:p w14:paraId="5F6925E7" w14:textId="2136CAD3" w:rsidR="00AC362E" w:rsidRDefault="00AC362E" w:rsidP="00ED0631">
      <w:r>
        <w:t xml:space="preserve">In common with other schools the Year 3 teachers complained about English under the new curriculum. They say students find reading and writing English difficult because it is new to them and they wonder why they are not introduced to reading and writing in Year 2.  </w:t>
      </w:r>
    </w:p>
    <w:p w14:paraId="5FDFEBC1" w14:textId="77777777" w:rsidR="00AC362E" w:rsidRPr="00B53A97" w:rsidRDefault="00AC362E" w:rsidP="00ED0631">
      <w:pPr>
        <w:pStyle w:val="Heading2"/>
      </w:pPr>
      <w:bookmarkStart w:id="284" w:name="_Toc461615869"/>
      <w:r w:rsidRPr="00B53A97">
        <w:t>School Leadership</w:t>
      </w:r>
      <w:bookmarkEnd w:id="284"/>
    </w:p>
    <w:p w14:paraId="2C6426FA" w14:textId="56910761" w:rsidR="00AC362E" w:rsidRDefault="00AC362E" w:rsidP="00ED0631">
      <w:r>
        <w:t>The Bareaumai Head Teacher said that she</w:t>
      </w:r>
      <w:r w:rsidRPr="002707D5">
        <w:t xml:space="preserve"> visits classes to observe teaching 3 days a week</w:t>
      </w:r>
      <w:r>
        <w:t>. This was later corroborated by some teachers</w:t>
      </w:r>
      <w:r w:rsidRPr="002707D5">
        <w:t xml:space="preserve">. She </w:t>
      </w:r>
      <w:r>
        <w:t>tried to cover one class</w:t>
      </w:r>
      <w:r w:rsidRPr="002707D5">
        <w:t xml:space="preserve"> a day</w:t>
      </w:r>
      <w:r>
        <w:t xml:space="preserve"> so that in a month she has seen each class</w:t>
      </w:r>
      <w:r w:rsidRPr="002707D5">
        <w:t xml:space="preserve">. She looks at the lesson plan and discusses the teacher’s problems.  </w:t>
      </w:r>
      <w:r>
        <w:t>“</w:t>
      </w:r>
      <w:r w:rsidRPr="002707D5">
        <w:t>We discuss their evaluations</w:t>
      </w:r>
      <w:r>
        <w:t>”, she says. “T</w:t>
      </w:r>
      <w:r w:rsidRPr="002707D5">
        <w:t>hat is always the main thing to see it is addressed</w:t>
      </w:r>
      <w:r>
        <w:t>”, she observes, adding that</w:t>
      </w:r>
      <w:r w:rsidRPr="002707D5">
        <w:t xml:space="preserve"> </w:t>
      </w:r>
      <w:r>
        <w:t>teachers addressing individual learning needs is a constant challenge. Amongst the eight case studies this is the only Head Teacher to discuss observing teachers and supporting them to improve their teaching.</w:t>
      </w:r>
    </w:p>
    <w:p w14:paraId="193812D3" w14:textId="48E379BF" w:rsidR="00AC362E" w:rsidRDefault="00AC362E" w:rsidP="00ED0631">
      <w:r>
        <w:t>Regarding professional development the Head Teacher also displayed a more sophisticated understanding than had been observed at other schools. While she did not have a professional development plan s</w:t>
      </w:r>
      <w:r w:rsidRPr="002707D5">
        <w:t xml:space="preserve">he </w:t>
      </w:r>
      <w:r>
        <w:t xml:space="preserve">said that she actively </w:t>
      </w:r>
      <w:r w:rsidRPr="002707D5">
        <w:t>encourage</w:t>
      </w:r>
      <w:r>
        <w:t>d</w:t>
      </w:r>
      <w:r w:rsidRPr="002707D5">
        <w:t xml:space="preserve"> staff to go to workshops</w:t>
      </w:r>
      <w:r>
        <w:t xml:space="preserve"> whenever these are offered. She notes that she is not in control of what training is offered, or who it is offered to, but she viewed it as part of her job to encourage teachers to make the most of the opportunities available.  Moreover, she facilitated this by personally teaching</w:t>
      </w:r>
      <w:r w:rsidRPr="002707D5">
        <w:t xml:space="preserve"> their classes </w:t>
      </w:r>
      <w:r>
        <w:t>when</w:t>
      </w:r>
      <w:r w:rsidRPr="002707D5">
        <w:t xml:space="preserve"> they </w:t>
      </w:r>
      <w:r>
        <w:t>we</w:t>
      </w:r>
      <w:r w:rsidRPr="002707D5">
        <w:t xml:space="preserve">re away.  </w:t>
      </w:r>
    </w:p>
    <w:p w14:paraId="1736DF81" w14:textId="1E8A88AA" w:rsidR="00AC362E" w:rsidRDefault="00AC362E" w:rsidP="00ED0631">
      <w:r>
        <w:t xml:space="preserve">The Head Teacher has completed the new curriculum training with KTC and thinks it is good but noted that it is now some time since the Year 1 and 2 teachers did their training and it would be good if some refresher training was available for them. In particular she felt this needed to focus on teaching delivery issues. She also felt that TESOL skills were a significant weakness for many teachers. Her Year 4 teachers, who coincidently were contract teachers, are currently doing TESOL training but she thinks it would be very beneficial if this training was more widely available to other teachers.  </w:t>
      </w:r>
    </w:p>
    <w:p w14:paraId="2F2909D8" w14:textId="16CCEE62" w:rsidR="00AC362E" w:rsidRDefault="00AC362E" w:rsidP="00ED0631">
      <w:r>
        <w:t>The Head Teacher is clearly proud of her school. She acknowledges that it is not without its challenges. “</w:t>
      </w:r>
      <w:r w:rsidRPr="002707D5">
        <w:t>Our students are not really smart and teachers struggle to keep them interested</w:t>
      </w:r>
      <w:r>
        <w:t>” she explains</w:t>
      </w:r>
      <w:r w:rsidRPr="002707D5">
        <w:t xml:space="preserve">. </w:t>
      </w:r>
      <w:r>
        <w:t xml:space="preserve">To address these weaknesses the school ran remedial </w:t>
      </w:r>
      <w:r w:rsidRPr="002707D5">
        <w:t xml:space="preserve">courses in Term 1 to help them catch up. </w:t>
      </w:r>
      <w:r>
        <w:t>She said that b</w:t>
      </w:r>
      <w:r w:rsidRPr="002707D5">
        <w:t>oth students and teachers participated happily</w:t>
      </w:r>
      <w:r>
        <w:t xml:space="preserve"> and that it has made a difference to performance throughout the year.</w:t>
      </w:r>
    </w:p>
    <w:p w14:paraId="4946C343" w14:textId="77777777" w:rsidR="000D1BC6" w:rsidRDefault="000D1BC6">
      <w:pPr>
        <w:spacing w:line="276" w:lineRule="auto"/>
        <w:rPr>
          <w:rFonts w:asciiTheme="majorHAnsi" w:hAnsiTheme="majorHAnsi" w:cstheme="majorHAnsi"/>
          <w:b/>
          <w:color w:val="000000" w:themeColor="text1"/>
          <w:spacing w:val="2"/>
          <w:sz w:val="24"/>
          <w:szCs w:val="36"/>
        </w:rPr>
      </w:pPr>
      <w:bookmarkStart w:id="285" w:name="_Toc461615870"/>
      <w:r>
        <w:br w:type="page"/>
      </w:r>
    </w:p>
    <w:p w14:paraId="546B5CDD" w14:textId="7CA461BE" w:rsidR="00AC362E" w:rsidRPr="00B53A97" w:rsidRDefault="00AC362E" w:rsidP="00ED0631">
      <w:pPr>
        <w:pStyle w:val="Heading2"/>
      </w:pPr>
      <w:r w:rsidRPr="0041130B">
        <w:lastRenderedPageBreak/>
        <w:t>Community Participation</w:t>
      </w:r>
      <w:bookmarkEnd w:id="285"/>
    </w:p>
    <w:p w14:paraId="35D6695F" w14:textId="3029CCC4" w:rsidR="007A1DF9" w:rsidRDefault="00AC362E" w:rsidP="007A1DF9">
      <w:pPr>
        <w:rPr>
          <w:noProof/>
          <w:lang w:eastAsia="en-AU"/>
        </w:rPr>
      </w:pPr>
      <w:r w:rsidRPr="00CF45CC">
        <w:t>According to the Head Teacher the school committee ha</w:t>
      </w:r>
      <w:r>
        <w:t>d</w:t>
      </w:r>
      <w:r w:rsidRPr="00CF45CC">
        <w:t xml:space="preserve"> been quite active in supporting the school.  This is subsequently borne out in interviews with the school committee and school improvement plan committee who</w:t>
      </w:r>
      <w:r>
        <w:t>,</w:t>
      </w:r>
      <w:r w:rsidRPr="00CF45CC">
        <w:t xml:space="preserve"> although they meet separately</w:t>
      </w:r>
      <w:r>
        <w:t>,</w:t>
      </w:r>
      <w:r w:rsidRPr="00CF45CC">
        <w:t xml:space="preserve"> effectively function as one support group.</w:t>
      </w:r>
      <w:r w:rsidRPr="00736F69">
        <w:t xml:space="preserve"> </w:t>
      </w:r>
      <w:r>
        <w:t>According to the Head Teacher the committees function largely without her involvement. They meet every third Thursday of the month unless something more urgent requires attention.</w:t>
      </w:r>
    </w:p>
    <w:p w14:paraId="7D95283E" w14:textId="793E4A99" w:rsidR="00AC362E" w:rsidRDefault="00184429" w:rsidP="00ED0631">
      <w:r>
        <w:rPr>
          <w:noProof/>
          <w:lang w:eastAsia="en-AU"/>
        </w:rPr>
        <w:t xml:space="preserve"> </w:t>
      </w:r>
      <w:r w:rsidR="00AC362E">
        <w:t>Among the things they have done the most notable is that the construction of houses for a number of the teachers so that they can stay on the school grounds. The MoE apparently provided the materials but the committee members did the construction. They have also repaired a number of school desks using timber left over from constructing the new classrooms.</w:t>
      </w:r>
      <w:r w:rsidR="00AC362E" w:rsidRPr="00780048">
        <w:t xml:space="preserve"> </w:t>
      </w:r>
      <w:r w:rsidR="00AC362E">
        <w:t xml:space="preserve">The committee is also responsible for school security. They lock the gate after school and keep a watch to ensure there are no intruders.  </w:t>
      </w:r>
    </w:p>
    <w:p w14:paraId="5E35BE58" w14:textId="77777777" w:rsidR="00AC362E" w:rsidRPr="00CF45CC" w:rsidRDefault="00AC362E" w:rsidP="00ED0631">
      <w:r>
        <w:t>The Committees have been active in encouraging parents in the six wards around the school to send their children to school and have instituted a curfew for bed time for the children at 10.00pm which according to the Head Teacher has made a marked difference and means that children now come to school with “fresh faces”.</w:t>
      </w:r>
    </w:p>
    <w:p w14:paraId="4ED41E7E" w14:textId="54AD5C54" w:rsidR="00AC362E" w:rsidRDefault="00AC362E" w:rsidP="00ED0631">
      <w:r>
        <w:t xml:space="preserve">The Head Teacher is full of praise for the committee and for parents. If the school needs something she just has to ask and the school committee helps with funding. Recently the committee raised $50 from each ward to buy a $300 sound system for the school.  </w:t>
      </w:r>
    </w:p>
    <w:p w14:paraId="3AA2B086" w14:textId="19BBE161" w:rsidR="00AC362E" w:rsidRDefault="00AC362E" w:rsidP="00ED0631">
      <w:r>
        <w:t>Parents are welcome to visit during school hours and can often be seen cleaning the school grounds while they wait for their children. Until recently they also grew flowers and cabbages in the school grounds but unfortunately these were destroyed by the recent flooding of the school yard.</w:t>
      </w:r>
    </w:p>
    <w:p w14:paraId="0E5ADBF9" w14:textId="57C1F811" w:rsidR="00AC362E" w:rsidRDefault="00AC362E" w:rsidP="00ED0631">
      <w:r>
        <w:t xml:space="preserve">The School Improvement Plan was not sighted but was reportedly on the school computer. This suggests that it is not really an active document but things seem to be working well without it.  According to the Head Teacher, but not mentioned by committee members, the next major activity is to build a school maneaba. </w:t>
      </w:r>
    </w:p>
    <w:p w14:paraId="4EB5AA62" w14:textId="5AF99EF6" w:rsidR="00AC362E" w:rsidRDefault="00AC362E" w:rsidP="00ED0631">
      <w:r>
        <w:t>One notable feature of the</w:t>
      </w:r>
      <w:r w:rsidRPr="002707D5">
        <w:t xml:space="preserve"> Bareaumai </w:t>
      </w:r>
      <w:r>
        <w:t>committees, matched only by Abaunamou, is that membership is comprised of both men and women. Amongst the members interviewed there were eight women and eleven men. All other committees in schools in the case studies were predominantly male.  Whether this is something peculiar to South Tarawa or a consequence of greater project involvement through the refurbishment process is not known.</w:t>
      </w:r>
    </w:p>
    <w:p w14:paraId="2A566405" w14:textId="77777777" w:rsidR="00AC362E" w:rsidRPr="00244F80" w:rsidRDefault="00AC362E" w:rsidP="00ED0631">
      <w:pPr>
        <w:pStyle w:val="Heading2"/>
      </w:pPr>
      <w:bookmarkStart w:id="286" w:name="_Toc461615871"/>
      <w:r w:rsidRPr="00244F80">
        <w:t>Inclusiveness</w:t>
      </w:r>
      <w:bookmarkEnd w:id="286"/>
    </w:p>
    <w:p w14:paraId="4F47D54E" w14:textId="35542FB7" w:rsidR="00AC362E" w:rsidRDefault="00AC362E" w:rsidP="00ED0631">
      <w:r>
        <w:t xml:space="preserve">Although singled out in the research questions for the impact on inclusiveness it was noted that Bareaumai did not have an especially high incidence of children with disabilities. Four children were noted with some vision impairment including a boy in Year 4 who according to the Head Teacher, had previously attended the Special School but had asked his mother to transfer him to Bareaumai. </w:t>
      </w:r>
    </w:p>
    <w:p w14:paraId="11CEE1BD" w14:textId="07EAC77C" w:rsidR="00AC362E" w:rsidRDefault="00AC362E" w:rsidP="00ED0631">
      <w:r>
        <w:t>Although equipped with access ramps the school does not currently have any wheelchair bound students. The Head Teacher suspects that there are some students who have undiagnosed hearing difficulties and she is aware of one who has a speech impediment; which she described as “they can’t join up their talking”. All of these students are in regular classes and performing acceptably.</w:t>
      </w:r>
    </w:p>
    <w:p w14:paraId="48B6BF50" w14:textId="77777777" w:rsidR="00AC362E" w:rsidRPr="00244F80" w:rsidRDefault="00AC362E" w:rsidP="00ED0631">
      <w:pPr>
        <w:pStyle w:val="Heading2"/>
      </w:pPr>
      <w:bookmarkStart w:id="287" w:name="_Toc461615872"/>
      <w:r w:rsidRPr="00244F80">
        <w:t>Absences</w:t>
      </w:r>
      <w:bookmarkEnd w:id="287"/>
    </w:p>
    <w:p w14:paraId="25D64DFC" w14:textId="2010461D" w:rsidR="00AC362E" w:rsidRDefault="00AC362E" w:rsidP="00ED0631">
      <w:r>
        <w:t>The school committee was aware of four or five households with children not in school. The school committees have visited these parents but the children still do not attend. In at least one case the parents were divorced and the parent with custody was not enforcing school attendance.</w:t>
      </w:r>
    </w:p>
    <w:p w14:paraId="297A81EF" w14:textId="77777777" w:rsidR="00AC362E" w:rsidRDefault="00AC362E" w:rsidP="00ED0631">
      <w:r>
        <w:t>On the day classroom observations were done it was noted that 19% of all students from Years 1 to 4 were recorded as absent. Boys (21%) were more likely than girls (16%) to be absent but there was no discernible pattern across Years with children from all Years absent in significant numbers.</w:t>
      </w:r>
    </w:p>
    <w:p w14:paraId="61C5E251"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5BD768F1" w14:textId="7D41D644" w:rsidR="00AC362E" w:rsidRDefault="00AC362E" w:rsidP="00ED0631">
      <w:pPr>
        <w:pStyle w:val="Heading2"/>
      </w:pPr>
      <w:bookmarkStart w:id="288" w:name="_Toc461615873"/>
      <w:r>
        <w:lastRenderedPageBreak/>
        <w:t>Buildings</w:t>
      </w:r>
      <w:bookmarkEnd w:id="288"/>
    </w:p>
    <w:p w14:paraId="71E1CB73" w14:textId="2B5E78F7" w:rsidR="00AC362E" w:rsidRDefault="00AC362E" w:rsidP="00ED0631">
      <w:r>
        <w:t>The Head Teacher credits the school refurbishments as being a main driver of increased school enrolments. In 2014 there were 330 students at the school but in 2015 this number has increased to 441. Some of the new students come from a considerable distance away.</w:t>
      </w:r>
    </w:p>
    <w:p w14:paraId="7E46FC2D" w14:textId="64BAC3A4" w:rsidR="00AC362E" w:rsidRDefault="00AC362E" w:rsidP="00ED0631">
      <w:r>
        <w:t>All classrooms have tables and children are able to store their workbooks in their desks. According to the Head Teacher the desks make a big difference to class room performance and to children’s enjoyment of lessons generally. Classroom displays in all but one classroom were extensive with charts and learning materials prepared by teachers and generally some form or display of students work making for pleasant classroom environments.</w:t>
      </w:r>
    </w:p>
    <w:p w14:paraId="04453EDD" w14:textId="660AF9A2" w:rsidR="00AC362E" w:rsidRDefault="00AC362E" w:rsidP="00ED0631">
      <w:r>
        <w:t>Both the school committee and the Head Teacher reported that the school used to experience a significant amount of vandalism. Two previous fences had been broken and some of the classrooms destroyed.  Since the refurbishment the community has a new sense of pride in the school and are very protective of it. “They love their new school”, the head teacher said. The community now patrols at night and there has been no further vandalism.</w:t>
      </w:r>
    </w:p>
    <w:p w14:paraId="6F896924" w14:textId="77777777" w:rsidR="00AC362E" w:rsidRDefault="00AC362E" w:rsidP="00ED0631">
      <w:pPr>
        <w:pStyle w:val="Heading2"/>
      </w:pPr>
      <w:bookmarkStart w:id="289" w:name="_Toc461615874"/>
      <w:r w:rsidRPr="00B82EDC">
        <w:t>General Observations</w:t>
      </w:r>
      <w:bookmarkEnd w:id="289"/>
    </w:p>
    <w:p w14:paraId="05938783" w14:textId="50923BE9" w:rsidR="00AC362E" w:rsidRPr="003A32F3" w:rsidRDefault="00AC362E" w:rsidP="00ED0631">
      <w:r w:rsidRPr="003A32F3">
        <w:t xml:space="preserve">Bareaumai is an attractive </w:t>
      </w:r>
      <w:r>
        <w:t>and modern</w:t>
      </w:r>
      <w:r w:rsidRPr="003A32F3">
        <w:t xml:space="preserve"> school that at first glance</w:t>
      </w:r>
      <w:r>
        <w:t xml:space="preserve"> gives the impression of a well-</w:t>
      </w:r>
      <w:r w:rsidRPr="003A32F3">
        <w:t xml:space="preserve">functioning </w:t>
      </w:r>
      <w:r>
        <w:t>progressive education institution</w:t>
      </w:r>
      <w:r w:rsidRPr="003A32F3">
        <w:t xml:space="preserve">. </w:t>
      </w:r>
      <w:r>
        <w:t>Compared to other case study schools, the Head Teacher gave the impression of being an effective school leader with a strategic vision for how the school should operate and a concern for the professional management of her staff. However, at a classroom level many of the same issues observed in other schools were also evident in Bareaumai.  Teachers appear to function with a high degree of autonomy and while undoubtedly dedicated and earnest had differing capacities to deliver the new curriculum effectively. The large number of contract teachers and their predominance in later teaching years may be a contributing factor to this performance.</w:t>
      </w:r>
    </w:p>
    <w:p w14:paraId="07C262C4" w14:textId="77777777" w:rsidR="00AC362E" w:rsidRDefault="00AC362E" w:rsidP="00ED0631">
      <w:pPr>
        <w:rPr>
          <w:rFonts w:asciiTheme="majorHAnsi" w:hAnsiTheme="majorHAnsi"/>
          <w:color w:val="EB6E08" w:themeColor="text2"/>
          <w:sz w:val="32"/>
          <w:szCs w:val="32"/>
        </w:rPr>
        <w:sectPr w:rsidR="00AC362E">
          <w:pgSz w:w="11906" w:h="16838"/>
          <w:pgMar w:top="1440" w:right="1440" w:bottom="1440" w:left="1440" w:header="708" w:footer="708" w:gutter="0"/>
          <w:cols w:space="708"/>
          <w:docGrid w:linePitch="360"/>
        </w:sectPr>
      </w:pPr>
    </w:p>
    <w:p w14:paraId="4753B931" w14:textId="77777777" w:rsidR="00AC362E" w:rsidRPr="00F80DC7" w:rsidRDefault="00AC362E" w:rsidP="00ED0631">
      <w:pPr>
        <w:pStyle w:val="Heading1"/>
      </w:pPr>
      <w:bookmarkStart w:id="290" w:name="_Toc461615875"/>
      <w:r w:rsidRPr="00F80DC7">
        <w:lastRenderedPageBreak/>
        <w:t>Ainen Karawa</w:t>
      </w:r>
      <w:r>
        <w:t xml:space="preserve"> Primary School</w:t>
      </w:r>
      <w:bookmarkEnd w:id="290"/>
    </w:p>
    <w:p w14:paraId="71F46B48" w14:textId="51DF5779" w:rsidR="00AC362E" w:rsidRDefault="00AC362E" w:rsidP="00ED0631">
      <w:r>
        <w:t>Ainen Karawa Primary was an additional school investigated in Butaritari since flight schedules allowed the case study team to do this. It is located not far from the council buildings and is the largest primary school on the island. It has about 190 students. It has spacious school grounds and a complex of brick classrooms supplemented by three new school buildings built in traditional style but with a cement base. All classrooms are decorated with posters and student work is displayed prominently.</w:t>
      </w:r>
    </w:p>
    <w:p w14:paraId="48C4AB3B" w14:textId="77DAD117" w:rsidR="00AC362E" w:rsidRDefault="00AC362E" w:rsidP="00ED0631">
      <w:r>
        <w:t xml:space="preserve">The Head Teacher has been at the school for less than a year. She teaches the Year 1 class with a monitor as teacher’s aide. Previously she was the Head Teacher at Tabonuea </w:t>
      </w:r>
      <w:r w:rsidR="00AA335E">
        <w:t>S</w:t>
      </w:r>
      <w:r>
        <w:t xml:space="preserve">chool. The school has seven classes; one for each year and two Year 4 classes which are streamed according to student ability. There are seven permanent teachers at the school including the Head Teacher and two contract teachers. There are also a number of monitors.  </w:t>
      </w:r>
    </w:p>
    <w:p w14:paraId="3BE9DCDC" w14:textId="77777777" w:rsidR="00AC362E" w:rsidRDefault="00AC362E" w:rsidP="00ED0631">
      <w:pPr>
        <w:pStyle w:val="Heading2"/>
      </w:pPr>
      <w:bookmarkStart w:id="291" w:name="_Toc461615876"/>
      <w:r w:rsidRPr="00F059E5">
        <w:t>New Curriculum</w:t>
      </w:r>
      <w:bookmarkEnd w:id="291"/>
    </w:p>
    <w:p w14:paraId="15CAC961" w14:textId="74C88DC0" w:rsidR="00AC362E" w:rsidRPr="00226AE4" w:rsidRDefault="00AC362E" w:rsidP="00ED0631">
      <w:r w:rsidRPr="00226AE4">
        <w:t>The Head Teacher said that the New Curriculum rollout was going well and there was a clear improvement in student performance. Most notable</w:t>
      </w:r>
      <w:r>
        <w:t xml:space="preserve"> to her</w:t>
      </w:r>
      <w:r w:rsidRPr="00226AE4">
        <w:t xml:space="preserve"> was that Year 1 students</w:t>
      </w:r>
      <w:r>
        <w:t>,</w:t>
      </w:r>
      <w:r w:rsidRPr="00226AE4">
        <w:t xml:space="preserve"> the class she taught</w:t>
      </w:r>
      <w:r>
        <w:t>,</w:t>
      </w:r>
      <w:r w:rsidRPr="00226AE4">
        <w:t xml:space="preserve"> could already read by Term 3. This was in contrast to the students that she had seen in her previous teaching where often the even the Year 4 were having trouble reading and in maths.  “Parents are surprised when they see that a Year 1 can read a book”, she said.</w:t>
      </w:r>
    </w:p>
    <w:p w14:paraId="1F9C3F78" w14:textId="77777777" w:rsidR="00AC362E" w:rsidRDefault="00AC362E" w:rsidP="00ED0631">
      <w:r w:rsidRPr="00226AE4">
        <w:t>One of the main difference</w:t>
      </w:r>
      <w:r>
        <w:t>s</w:t>
      </w:r>
      <w:r w:rsidRPr="00226AE4">
        <w:t xml:space="preserve"> she notes in the new curriculum is the attention to learning outcomes.  These are available in the resource kits so teachers are </w:t>
      </w:r>
      <w:r>
        <w:t>compelled</w:t>
      </w:r>
      <w:r w:rsidRPr="00226AE4">
        <w:t xml:space="preserve"> to a</w:t>
      </w:r>
      <w:r>
        <w:t>ddress</w:t>
      </w:r>
      <w:r w:rsidRPr="00226AE4">
        <w:t xml:space="preserve"> them whereas under the old curriculum they were not.</w:t>
      </w:r>
    </w:p>
    <w:p w14:paraId="483B9F08" w14:textId="72900EB5" w:rsidR="00AC362E" w:rsidRDefault="00AC362E" w:rsidP="00ED0631">
      <w:r>
        <w:t>It was noted that l</w:t>
      </w:r>
      <w:r w:rsidRPr="00D8168A">
        <w:t xml:space="preserve">esson plans did not reflect individual </w:t>
      </w:r>
      <w:r>
        <w:t>student’s strengths and weaknesses</w:t>
      </w:r>
      <w:r w:rsidRPr="00D8168A">
        <w:t xml:space="preserve"> but </w:t>
      </w:r>
      <w:r>
        <w:t xml:space="preserve">attention to </w:t>
      </w:r>
      <w:r w:rsidRPr="00D8168A">
        <w:t>this was evident in the classrooms observed</w:t>
      </w:r>
      <w:r>
        <w:t xml:space="preserve">. There were many good examples of student-centred-learning approaches being applied which was generally better than in some of the other schools visited. Interestingly some of these examples were observed from monitors teaching the Year 3 class. </w:t>
      </w:r>
      <w:r w:rsidRPr="00C17732">
        <w:t>In one class observed</w:t>
      </w:r>
      <w:r>
        <w:t>,</w:t>
      </w:r>
      <w:r w:rsidRPr="00C17732">
        <w:t xml:space="preserve"> the teacher explained the lesson to the students then broke them into groups and sent them go outside and collect objects. The task for students was to form the objects into a cube and then count down the sides to determine the volume. </w:t>
      </w:r>
      <w:r>
        <w:t>This seemed quite an innovative approach for a resource poor classroom.</w:t>
      </w:r>
    </w:p>
    <w:p w14:paraId="3250D7D7" w14:textId="77777777" w:rsidR="00AC362E" w:rsidRDefault="00AC362E" w:rsidP="00ED0631">
      <w:r>
        <w:t xml:space="preserve">Boys and girls worked well together in groups and no differences in teaching strategies for boys and girls were observed.  </w:t>
      </w:r>
    </w:p>
    <w:p w14:paraId="62751617" w14:textId="77777777" w:rsidR="00AC362E" w:rsidRDefault="00AC362E" w:rsidP="00ED0631">
      <w:r>
        <w:t>Student workbooks usually reflected the lesson plans except for some slower students in Year 4 who it was noted copied their work from the blackboard.</w:t>
      </w:r>
    </w:p>
    <w:p w14:paraId="40DD5908" w14:textId="2C00D310" w:rsidR="00AC362E" w:rsidRDefault="00AC362E" w:rsidP="00ED0631">
      <w:r>
        <w:t xml:space="preserve">A </w:t>
      </w:r>
      <w:r w:rsidRPr="008605CD">
        <w:t>range of assessment strategies were</w:t>
      </w:r>
      <w:r>
        <w:t xml:space="preserve"> being</w:t>
      </w:r>
      <w:r w:rsidRPr="008605CD">
        <w:t xml:space="preserve"> used and portfolios for all classes were maintained.</w:t>
      </w:r>
      <w:r>
        <w:rPr>
          <w:b/>
        </w:rPr>
        <w:t xml:space="preserve">  </w:t>
      </w:r>
      <w:r w:rsidRPr="008605CD">
        <w:t>Interestingly these were not displayed in the classrooms</w:t>
      </w:r>
      <w:r>
        <w:t>, as in other schools,</w:t>
      </w:r>
      <w:r w:rsidRPr="008605CD">
        <w:t xml:space="preserve"> but were stored in the blue boxes in the teacher</w:t>
      </w:r>
      <w:r>
        <w:t>’</w:t>
      </w:r>
      <w:r w:rsidRPr="008605CD">
        <w:t>s rooms</w:t>
      </w:r>
      <w:r>
        <w:t>. H</w:t>
      </w:r>
      <w:r w:rsidRPr="008605CD">
        <w:t>owever, checklists were displayed in the classrooms.</w:t>
      </w:r>
      <w:r>
        <w:t xml:space="preserve"> Student books are marked every day and progress was easy to follow. These teachers said that they found assessment under the new curriculum to be relatively easy because the intended learning outcomes were clear. They also noted that students often did not know that they were being assessed.  Generally teacher’s felt the lack of emphasis on exams was positive and was much less stressful for the students.</w:t>
      </w:r>
    </w:p>
    <w:p w14:paraId="06AD583C" w14:textId="5F34C424" w:rsidR="00AC362E" w:rsidRDefault="00AC362E" w:rsidP="00ED0631">
      <w:pPr>
        <w:pStyle w:val="Heading2"/>
      </w:pPr>
      <w:bookmarkStart w:id="292" w:name="_Toc461615877"/>
      <w:r w:rsidRPr="00F059E5">
        <w:t xml:space="preserve">Classroom </w:t>
      </w:r>
      <w:r>
        <w:t>T</w:t>
      </w:r>
      <w:r w:rsidRPr="00F059E5">
        <w:t>eaching</w:t>
      </w:r>
      <w:bookmarkEnd w:id="292"/>
    </w:p>
    <w:p w14:paraId="431E9E7C" w14:textId="47E98CAD" w:rsidR="00AC362E" w:rsidRPr="00226AE4" w:rsidRDefault="00AC362E" w:rsidP="00ED0631">
      <w:r w:rsidRPr="00226AE4">
        <w:t>In common with other schools the Head Teacher and other Teachers noted the lack of resources.</w:t>
      </w:r>
      <w:r>
        <w:rPr>
          <w:b/>
        </w:rPr>
        <w:t xml:space="preserve"> </w:t>
      </w:r>
      <w:r w:rsidRPr="00226AE4">
        <w:t>In this school they received one ream of paper at the beginning of the year and have had noth</w:t>
      </w:r>
      <w:r>
        <w:t>ing else since then. The Head T</w:t>
      </w:r>
      <w:r w:rsidRPr="00226AE4">
        <w:t>eacher observed wryly that they had plenty of markers but nothing to write on.  She has been forced to beg writing materials from other schools and the nearby Junior Secondary School ha</w:t>
      </w:r>
      <w:r>
        <w:t>d</w:t>
      </w:r>
      <w:r w:rsidRPr="00226AE4">
        <w:t xml:space="preserve"> been very helpful.</w:t>
      </w:r>
    </w:p>
    <w:p w14:paraId="08B2C6BA" w14:textId="11CEDAEE" w:rsidR="00AC362E" w:rsidRDefault="00AC362E" w:rsidP="00ED0631">
      <w:r>
        <w:lastRenderedPageBreak/>
        <w:t xml:space="preserve">Similar to other schools, the difficult transition in English from Year 2 to 3 was noted. The Head Teacher said that Year 3 and 4 have a good teacher guide but there is no similar guide for Years 1 and 2. She felt that there should be more English in Year 2 with a focus on phonics and core words.  </w:t>
      </w:r>
    </w:p>
    <w:p w14:paraId="4D7E9294" w14:textId="280076FD" w:rsidR="00AC362E" w:rsidRDefault="00AC362E" w:rsidP="00ED0631">
      <w:r>
        <w:t>In general in all classrooms children showed engagement, enjoyment and understanding in their lessons. They were able to work independently and groups. Workbooks were well organised and demonstrated learning progress. The team was not able to witness an English lesson being taught.</w:t>
      </w:r>
    </w:p>
    <w:p w14:paraId="0BCA1CC6" w14:textId="65C69CBC" w:rsidR="00AC362E" w:rsidRDefault="00AC362E" w:rsidP="00ED0631">
      <w:pPr>
        <w:pStyle w:val="Heading2"/>
      </w:pPr>
      <w:bookmarkStart w:id="293" w:name="_Toc461615878"/>
      <w:r w:rsidRPr="00F059E5">
        <w:t>School Leadership</w:t>
      </w:r>
      <w:bookmarkEnd w:id="293"/>
    </w:p>
    <w:p w14:paraId="63BE85B6" w14:textId="088A7C32" w:rsidR="00AC362E" w:rsidRDefault="00AC362E" w:rsidP="00ED0631">
      <w:r>
        <w:t>As a full time teacher the Head teacher says she does not have enough time with other teachers individually and rarely gets to see their teaching. As in other schools, they hold a group briefing twice a week and at this school they also have three staff meetings every term. Both teachers and the Head Teacher noted that the Head Teacher regularly checks their lesson plans. At the start of the term the teachers spent some time revising strategies but there was no more time for that. They have done an internal workshop on teaching from the big book. The KTC coach recently visited and did a three day program on teaching English and Kiribati which the Head Teacher thought was very beneficial.</w:t>
      </w:r>
    </w:p>
    <w:p w14:paraId="1F1C7049" w14:textId="77777777" w:rsidR="00AC362E" w:rsidRPr="00226AE4" w:rsidRDefault="00AC362E" w:rsidP="00ED0631">
      <w:r>
        <w:t>One of the permanent teachers in Year 3 was on maternity leave and the school had adopted an interesting strategy of dividing up the lessons with each monitor teaching a Year 3 lesson.  However, unlike in other schools, monitors were not left to cope on their own but had good support from other teachers.  Every monitor was paired with a teacher who worked with them on their lesson plans and teaching activities.  The team was generally impressed with the level of teaching they witnessed from the monitors.</w:t>
      </w:r>
      <w:r w:rsidRPr="00A2168F">
        <w:t xml:space="preserve"> </w:t>
      </w:r>
      <w:r w:rsidRPr="00226AE4">
        <w:t>Apart from the Year 3 situation all monitors acted as teacher</w:t>
      </w:r>
      <w:r>
        <w:t>’</w:t>
      </w:r>
      <w:r w:rsidRPr="00226AE4">
        <w:t>s aides.  One of their main responsibilities was to prepare the materials for the next day</w:t>
      </w:r>
      <w:r>
        <w:t>’</w:t>
      </w:r>
      <w:r w:rsidRPr="00226AE4">
        <w:t>s teaching.</w:t>
      </w:r>
    </w:p>
    <w:p w14:paraId="210C59D8" w14:textId="4F0C9A5D" w:rsidR="00AC362E" w:rsidRPr="00630DA8" w:rsidRDefault="00AC362E" w:rsidP="00ED0631">
      <w:pPr>
        <w:rPr>
          <w:spacing w:val="2"/>
        </w:rPr>
      </w:pPr>
      <w:r w:rsidRPr="00630DA8">
        <w:rPr>
          <w:spacing w:val="2"/>
        </w:rPr>
        <w:t xml:space="preserve">Interestingly, two formats of lesson plans were used at the school. While the permanent and contract teachers used the new curriculum format the monitors were required by the Head Teacher to follow the MoE format. The teachers explained that this was because the old format forced them to plan their lessons out in more detail which was important for people with limited teaching experience. The Head Teacher reviewed each of the monitor’s lesson plans for the next day after school. </w:t>
      </w:r>
    </w:p>
    <w:p w14:paraId="71DF6538" w14:textId="318AAF69" w:rsidR="00AC362E" w:rsidRPr="00D8168A" w:rsidRDefault="00AC362E" w:rsidP="00ED0631">
      <w:r w:rsidRPr="00D8168A">
        <w:t>Lateness of students</w:t>
      </w:r>
      <w:r>
        <w:t xml:space="preserve"> was reported as a perennial problem. The Head Teacher spoke to the school committee about this at the beginning of the year but she noted that it has not really improved.  </w:t>
      </w:r>
    </w:p>
    <w:p w14:paraId="223B0690" w14:textId="3F306443" w:rsidR="00AC362E" w:rsidRDefault="00AC362E" w:rsidP="00ED0631">
      <w:pPr>
        <w:pStyle w:val="Heading2"/>
      </w:pPr>
      <w:bookmarkStart w:id="294" w:name="_Toc461615879"/>
      <w:r w:rsidRPr="00112122">
        <w:t>Community Participatio</w:t>
      </w:r>
      <w:bookmarkEnd w:id="294"/>
      <w:r w:rsidR="00AA335E">
        <w:t>n</w:t>
      </w:r>
    </w:p>
    <w:p w14:paraId="4D778779" w14:textId="0DD19153" w:rsidR="00AC362E" w:rsidRPr="00D8168A" w:rsidRDefault="00AC362E" w:rsidP="00ED0631">
      <w:pPr>
        <w:keepNext/>
        <w:keepLines/>
      </w:pPr>
      <w:r w:rsidRPr="00D8168A">
        <w:t xml:space="preserve">The </w:t>
      </w:r>
      <w:r>
        <w:t>S</w:t>
      </w:r>
      <w:r w:rsidRPr="00D8168A">
        <w:t xml:space="preserve">chool </w:t>
      </w:r>
      <w:r>
        <w:t>C</w:t>
      </w:r>
      <w:r w:rsidRPr="00D8168A">
        <w:t>ommittee and the S</w:t>
      </w:r>
      <w:r>
        <w:t>chool Improvement Plan (SIP)</w:t>
      </w:r>
      <w:r w:rsidRPr="00D8168A">
        <w:t xml:space="preserve"> </w:t>
      </w:r>
      <w:r>
        <w:t xml:space="preserve">Committee </w:t>
      </w:r>
      <w:r w:rsidRPr="00D8168A">
        <w:t>are the same. There are four villages surrounding the school</w:t>
      </w:r>
      <w:r>
        <w:rPr>
          <w:b/>
        </w:rPr>
        <w:t xml:space="preserve"> </w:t>
      </w:r>
      <w:r w:rsidRPr="00D8168A">
        <w:t>and each has nominated members to the committee. The school has been divided up into four different areas and each village is responsible for maintaining an area.</w:t>
      </w:r>
      <w:r>
        <w:t xml:space="preserve">  Although the school is neat and tidy it was not clear that the school committee was responsible for this.</w:t>
      </w:r>
    </w:p>
    <w:p w14:paraId="7D94F988" w14:textId="2A388E62" w:rsidR="00AC362E" w:rsidRDefault="00AC362E" w:rsidP="00ED0631">
      <w:r>
        <w:t>In general,</w:t>
      </w:r>
      <w:r w:rsidRPr="00D8168A">
        <w:t xml:space="preserve"> the </w:t>
      </w:r>
      <w:r>
        <w:t>S</w:t>
      </w:r>
      <w:r w:rsidRPr="00D8168A">
        <w:t xml:space="preserve">chool </w:t>
      </w:r>
      <w:r>
        <w:t>C</w:t>
      </w:r>
      <w:r w:rsidRPr="00D8168A">
        <w:t>ommittee is not working well. They met at the beginning of the year and produced a SIP which is displayed on the wall in the teacher</w:t>
      </w:r>
      <w:r>
        <w:t>’</w:t>
      </w:r>
      <w:r w:rsidRPr="00D8168A">
        <w:t xml:space="preserve">s room. For the most part it has not been implemented. One of the main activities was to dig a well for the toilets but when it came time to dig the well only one village </w:t>
      </w:r>
      <w:r>
        <w:t>turned-up</w:t>
      </w:r>
      <w:r w:rsidRPr="00D8168A">
        <w:t xml:space="preserve"> and the well still </w:t>
      </w:r>
      <w:r>
        <w:t xml:space="preserve">has </w:t>
      </w:r>
      <w:r w:rsidRPr="00D8168A">
        <w:t>not been completed.</w:t>
      </w:r>
    </w:p>
    <w:p w14:paraId="5735C8AC" w14:textId="5F3FB6EF" w:rsidR="00AC362E" w:rsidRPr="00D8168A" w:rsidRDefault="00AC362E" w:rsidP="00ED0631">
      <w:r>
        <w:t>Three of the classrooms leaked and there was a plan to fix these when some new roofing iron could be obtained. One classroom was fixed with iron roofing from the Junior Secondary School but the committee were waiting on the MoE to supply roofing materials for the other classrooms. Apparently this had been promised.</w:t>
      </w:r>
    </w:p>
    <w:p w14:paraId="45604879" w14:textId="2A59DCE5" w:rsidR="00AC362E" w:rsidRDefault="00AC362E" w:rsidP="00ED0631">
      <w:r w:rsidRPr="00D8168A">
        <w:t xml:space="preserve">The </w:t>
      </w:r>
      <w:r>
        <w:t>S</w:t>
      </w:r>
      <w:r w:rsidRPr="00D8168A">
        <w:t xml:space="preserve">chool </w:t>
      </w:r>
      <w:r>
        <w:t>C</w:t>
      </w:r>
      <w:r w:rsidRPr="00D8168A">
        <w:t>ommittee has not met this term</w:t>
      </w:r>
      <w:r>
        <w:t xml:space="preserve"> and many of the members were not available for interview because they were in Tarawa for a cultural celebration. There was the strong impression that the School committee had started well but quickly run out of steam.</w:t>
      </w:r>
    </w:p>
    <w:p w14:paraId="19C92991" w14:textId="77777777" w:rsidR="00AC362E" w:rsidRPr="00D8168A" w:rsidRDefault="00AC362E" w:rsidP="00ED0631">
      <w:r>
        <w:t>No parent teacher meetings had been held at this school.</w:t>
      </w:r>
    </w:p>
    <w:p w14:paraId="36924AD5" w14:textId="77777777" w:rsidR="00AA335E" w:rsidRDefault="00AA335E">
      <w:pPr>
        <w:spacing w:line="276" w:lineRule="auto"/>
        <w:rPr>
          <w:rFonts w:asciiTheme="majorHAnsi" w:hAnsiTheme="majorHAnsi" w:cstheme="majorHAnsi"/>
          <w:b/>
          <w:color w:val="000000" w:themeColor="text1"/>
          <w:spacing w:val="2"/>
          <w:sz w:val="24"/>
          <w:szCs w:val="36"/>
        </w:rPr>
      </w:pPr>
      <w:bookmarkStart w:id="295" w:name="_Toc461615880"/>
      <w:r>
        <w:br w:type="page"/>
      </w:r>
    </w:p>
    <w:p w14:paraId="554C70D2" w14:textId="547C1083" w:rsidR="00AC362E" w:rsidRDefault="00AC362E" w:rsidP="00ED0631">
      <w:pPr>
        <w:pStyle w:val="Heading2"/>
      </w:pPr>
      <w:r w:rsidRPr="00F059E5">
        <w:lastRenderedPageBreak/>
        <w:t>Inclusiveness</w:t>
      </w:r>
      <w:bookmarkEnd w:id="295"/>
    </w:p>
    <w:p w14:paraId="70911DA0" w14:textId="2B40AD1E" w:rsidR="00AC362E" w:rsidRPr="00583DC5" w:rsidRDefault="00AC362E" w:rsidP="00ED0631">
      <w:r>
        <w:t xml:space="preserve">There was </w:t>
      </w:r>
      <w:r w:rsidRPr="00583DC5">
        <w:t xml:space="preserve">one student with a speech problem in Year 4. </w:t>
      </w:r>
      <w:r>
        <w:t>Although they struggled to express themselves th</w:t>
      </w:r>
      <w:r w:rsidRPr="00583DC5">
        <w:t xml:space="preserve">is did not affect their </w:t>
      </w:r>
      <w:r>
        <w:t>participation in class and the student did</w:t>
      </w:r>
      <w:r w:rsidRPr="00583DC5">
        <w:t xml:space="preserve"> not have problems in reading and writing.</w:t>
      </w:r>
      <w:r>
        <w:t xml:space="preserve"> They were achieving at a satisfactory level.</w:t>
      </w:r>
    </w:p>
    <w:p w14:paraId="0A2A6E33" w14:textId="254D8DAB" w:rsidR="00AC362E" w:rsidRPr="00583DC5" w:rsidRDefault="00AC362E" w:rsidP="00ED0631">
      <w:r w:rsidRPr="00583DC5">
        <w:t xml:space="preserve">There </w:t>
      </w:r>
      <w:r>
        <w:t>wa</w:t>
      </w:r>
      <w:r w:rsidRPr="00583DC5">
        <w:t xml:space="preserve">s a boy in Year 3 who </w:t>
      </w:r>
      <w:r>
        <w:t>had some vision problems.</w:t>
      </w:r>
      <w:r w:rsidRPr="00583DC5">
        <w:t xml:space="preserve"> They boy sits in the front of the class and participates normally.</w:t>
      </w:r>
    </w:p>
    <w:p w14:paraId="18D263BC" w14:textId="6B3E2320" w:rsidR="00AC362E" w:rsidRPr="00583DC5" w:rsidRDefault="00AC362E" w:rsidP="00ED0631">
      <w:r w:rsidRPr="00583DC5">
        <w:t xml:space="preserve">In the previous year there </w:t>
      </w:r>
      <w:r>
        <w:t>had been</w:t>
      </w:r>
      <w:r w:rsidRPr="00583DC5">
        <w:t xml:space="preserve"> a student who was very disruptive in the Year 1 class. The Head Teacher (not the current one) was unable to control this student and </w:t>
      </w:r>
      <w:r>
        <w:t>he has</w:t>
      </w:r>
      <w:r w:rsidRPr="00583DC5">
        <w:t xml:space="preserve"> since moved to a different school.</w:t>
      </w:r>
    </w:p>
    <w:p w14:paraId="5A48E888" w14:textId="41C27AAA" w:rsidR="00AC362E" w:rsidRPr="00583DC5" w:rsidRDefault="00AC362E" w:rsidP="00ED0631">
      <w:r w:rsidRPr="00583DC5">
        <w:t>In the village there is a girl who cannot talk</w:t>
      </w:r>
      <w:r>
        <w:t xml:space="preserve">; </w:t>
      </w:r>
      <w:r w:rsidRPr="00583DC5">
        <w:t xml:space="preserve">she does not come to school. There is also a boy in a wheelchair who does not </w:t>
      </w:r>
      <w:r>
        <w:t>attend either.</w:t>
      </w:r>
      <w:r w:rsidRPr="00583DC5">
        <w:t xml:space="preserve"> The Head Teacher observed that it would not be possible for </w:t>
      </w:r>
      <w:r>
        <w:t>him</w:t>
      </w:r>
      <w:r w:rsidRPr="00583DC5">
        <w:t xml:space="preserve"> to attend because the grounds and the buildings are not well suited to a wheelchair.</w:t>
      </w:r>
    </w:p>
    <w:p w14:paraId="327F646C" w14:textId="77777777" w:rsidR="00AC362E" w:rsidRDefault="00AC362E" w:rsidP="00ED0631">
      <w:pPr>
        <w:pStyle w:val="Heading2"/>
      </w:pPr>
      <w:bookmarkStart w:id="296" w:name="_Toc461615881"/>
      <w:r w:rsidRPr="00F059E5">
        <w:t>Absences</w:t>
      </w:r>
      <w:bookmarkEnd w:id="296"/>
    </w:p>
    <w:p w14:paraId="5C3C5D86" w14:textId="5CE8A49F" w:rsidR="00AC362E" w:rsidRDefault="00AC362E" w:rsidP="00ED0631">
      <w:r>
        <w:t xml:space="preserve">On the day visited there were 30 students absent from Years 1 to 4. This is obviously a high percentage (approximately 16%) but seems was primarily because a number had accompanied their families to Tarawa for cultural celebrations. </w:t>
      </w:r>
    </w:p>
    <w:p w14:paraId="12DCB2CD" w14:textId="7B54266C" w:rsidR="00AC362E" w:rsidRPr="00583DC5" w:rsidRDefault="00AC362E" w:rsidP="00ED0631">
      <w:r w:rsidRPr="00583DC5">
        <w:t xml:space="preserve">There are some children in the local villages who do not come to school. It was difficult to get a definitive answer about how many but earlier in the year the school committee had visited about 10 parents who did not send their children to school and some of them </w:t>
      </w:r>
      <w:r>
        <w:t>sent</w:t>
      </w:r>
      <w:r w:rsidRPr="00583DC5">
        <w:t xml:space="preserve"> their children after that.  However, at least four </w:t>
      </w:r>
      <w:r>
        <w:t xml:space="preserve">of these </w:t>
      </w:r>
      <w:r w:rsidRPr="00583DC5">
        <w:t xml:space="preserve">children </w:t>
      </w:r>
      <w:r>
        <w:t xml:space="preserve">had </w:t>
      </w:r>
      <w:r w:rsidRPr="00583DC5">
        <w:t>subsequently stopped coming again and there had been no further follow-up. There was discussion at the school committee about getting the police involved but this was not done.</w:t>
      </w:r>
    </w:p>
    <w:p w14:paraId="37C42323" w14:textId="6652ECF3" w:rsidR="00AC362E" w:rsidRPr="00583DC5" w:rsidRDefault="00AC362E" w:rsidP="00ED0631">
      <w:r w:rsidRPr="00583DC5">
        <w:t xml:space="preserve">Local Researcher, Tatai </w:t>
      </w:r>
      <w:r>
        <w:t xml:space="preserve">Teburoro </w:t>
      </w:r>
      <w:r w:rsidRPr="00583DC5">
        <w:t>had</w:t>
      </w:r>
      <w:r>
        <w:t xml:space="preserve"> previously </w:t>
      </w:r>
      <w:r w:rsidRPr="00583DC5">
        <w:t>visited one house during the SED</w:t>
      </w:r>
      <w:r>
        <w:t xml:space="preserve"> surveys</w:t>
      </w:r>
      <w:r w:rsidRPr="00583DC5">
        <w:t xml:space="preserve"> at the invitation of the head of the </w:t>
      </w:r>
      <w:r>
        <w:t>S</w:t>
      </w:r>
      <w:r w:rsidRPr="00583DC5">
        <w:t>chool committee because there was a child who was not going to school. The parent promised Tatai to send the child to school but it was noted</w:t>
      </w:r>
      <w:r>
        <w:t xml:space="preserve"> in this visit that the child was</w:t>
      </w:r>
      <w:r w:rsidRPr="00583DC5">
        <w:t xml:space="preserve"> still not attending.</w:t>
      </w:r>
    </w:p>
    <w:p w14:paraId="7A84C62F" w14:textId="77777777" w:rsidR="00AC362E" w:rsidRDefault="00AC362E" w:rsidP="00ED0631">
      <w:pPr>
        <w:pStyle w:val="Heading2"/>
      </w:pPr>
      <w:bookmarkStart w:id="297" w:name="_Toc461615882"/>
      <w:r>
        <w:t>Buildings</w:t>
      </w:r>
      <w:bookmarkEnd w:id="297"/>
    </w:p>
    <w:p w14:paraId="52B3FC6C" w14:textId="16591FE4" w:rsidR="00AC362E" w:rsidRPr="00DA79A3" w:rsidRDefault="00AC362E" w:rsidP="00ED0631">
      <w:r w:rsidRPr="00DA79A3">
        <w:t>The presence of brick buildings gave the school a different feel to other schools visited in Butaritari and was most similar to Aba</w:t>
      </w:r>
      <w:r>
        <w:t>u</w:t>
      </w:r>
      <w:r w:rsidRPr="00DA79A3">
        <w:t>namou (a refurbished school) in South Tarawa. The buildings clearly made for a cleaner and more conducive learning environment for the students and most noticeably allowed student work, posters and learning aids to be displayed on the walls.</w:t>
      </w:r>
    </w:p>
    <w:p w14:paraId="5DE7A51B" w14:textId="77777777" w:rsidR="00AC362E" w:rsidRPr="00DA79A3" w:rsidRDefault="00AC362E" w:rsidP="00ED0631">
      <w:r w:rsidRPr="00DA79A3">
        <w:t>However as noted above three of the classrooms were leaking and there were clearly no resources to fix this problem.</w:t>
      </w:r>
    </w:p>
    <w:p w14:paraId="1AB5EFE7" w14:textId="77777777" w:rsidR="00AC362E" w:rsidRDefault="00AC362E" w:rsidP="00ED0631">
      <w:pPr>
        <w:pStyle w:val="Heading2"/>
      </w:pPr>
      <w:bookmarkStart w:id="298" w:name="_Toc461615883"/>
      <w:r w:rsidRPr="00317E04">
        <w:t>General Observations</w:t>
      </w:r>
      <w:bookmarkEnd w:id="298"/>
    </w:p>
    <w:p w14:paraId="50C12465" w14:textId="742919BC" w:rsidR="00AC362E" w:rsidRDefault="00AC362E" w:rsidP="00ED0631">
      <w:r>
        <w:t>In contrast with some of the other schools visited the students at this school did not seem to be distracted by the case study team’s visit. They were generally absorbed in their lessons and largely ignored the team’s presence.</w:t>
      </w:r>
    </w:p>
    <w:p w14:paraId="1C9E085E" w14:textId="67CD2C11" w:rsidR="00AC362E" w:rsidRDefault="00AC362E" w:rsidP="00ED0631">
      <w:r w:rsidRPr="000B2CCA">
        <w:t>This was a neat and tidy school. Teachers were impressive in their dedication and there was an in</w:t>
      </w:r>
      <w:r>
        <w:t>novative</w:t>
      </w:r>
      <w:r w:rsidRPr="000B2CCA">
        <w:t xml:space="preserve"> strategy in place to utilise the monitors well</w:t>
      </w:r>
      <w:r>
        <w:t>,</w:t>
      </w:r>
      <w:r w:rsidRPr="000B2CCA">
        <w:t xml:space="preserve"> whi</w:t>
      </w:r>
      <w:r>
        <w:t>le supporting their professional development</w:t>
      </w:r>
      <w:r w:rsidRPr="000B2CCA">
        <w:t xml:space="preserve">.  </w:t>
      </w:r>
    </w:p>
    <w:p w14:paraId="75B3B12C" w14:textId="77777777" w:rsidR="00AC362E" w:rsidRPr="00630DA8" w:rsidRDefault="00AC362E" w:rsidP="00ED0631">
      <w:pPr>
        <w:rPr>
          <w:spacing w:val="-2"/>
        </w:rPr>
      </w:pPr>
      <w:r w:rsidRPr="00630DA8">
        <w:rPr>
          <w:spacing w:val="-2"/>
        </w:rPr>
        <w:t>On the other hand, the school committee did not appear to be functioning well despite earlier good intentions. The lack of involvement of the school committee raises questions about sustainability which given that Ainen Karawa is the largest primary school on Butaritari is a potentially serious issue.</w:t>
      </w:r>
    </w:p>
    <w:p w14:paraId="09A0D994" w14:textId="77777777" w:rsidR="00AC362E" w:rsidRDefault="00AC362E" w:rsidP="00ED0631">
      <w:pPr>
        <w:rPr>
          <w:rFonts w:asciiTheme="majorHAnsi" w:hAnsiTheme="majorHAnsi"/>
          <w:color w:val="EB6E08" w:themeColor="text2"/>
          <w:sz w:val="32"/>
          <w:szCs w:val="32"/>
        </w:rPr>
        <w:sectPr w:rsidR="00AC362E">
          <w:pgSz w:w="11906" w:h="16838"/>
          <w:pgMar w:top="1440" w:right="1440" w:bottom="1440" w:left="1440" w:header="708" w:footer="708" w:gutter="0"/>
          <w:cols w:space="708"/>
          <w:docGrid w:linePitch="360"/>
        </w:sectPr>
      </w:pPr>
    </w:p>
    <w:p w14:paraId="7AC7A827" w14:textId="5BC5806B" w:rsidR="00AC362E" w:rsidRPr="003C6C3A" w:rsidRDefault="00AC362E" w:rsidP="00ED0631">
      <w:pPr>
        <w:pStyle w:val="Heading1"/>
      </w:pPr>
      <w:bookmarkStart w:id="299" w:name="_Toc461615884"/>
      <w:r w:rsidRPr="003C6C3A">
        <w:lastRenderedPageBreak/>
        <w:t>Tauraoi Primary School</w:t>
      </w:r>
      <w:r w:rsidRPr="003C6C3A">
        <w:rPr>
          <w:rStyle w:val="FootnoteReference"/>
          <w:rFonts w:ascii="Arial Black" w:hAnsi="Arial Black"/>
        </w:rPr>
        <w:footnoteReference w:id="51"/>
      </w:r>
      <w:bookmarkEnd w:id="299"/>
    </w:p>
    <w:p w14:paraId="588AD282" w14:textId="0B310D85" w:rsidR="00AC362E" w:rsidRDefault="00AC362E" w:rsidP="00ED0631">
      <w:r>
        <w:t xml:space="preserve">Tauraoi Primary School is the largest primary school on Nonouti and is co-located with the Island’s only Junior Secondary School (JSS). It has monograde classes for Years 1 to 6 and around 150 students. There are 4 permanent teachers, a contract teacher and a monitor who take a class each.  </w:t>
      </w:r>
    </w:p>
    <w:p w14:paraId="60BAA642" w14:textId="7FDCFCDD" w:rsidR="00AC362E" w:rsidRDefault="00AC362E" w:rsidP="00ED0631">
      <w:r>
        <w:t>The Head Teacher has only been in the job for two weeks as the previous Head Teacher has been appointed to become an Island Education Coordinator and had left for training in Tarawa. The new Head Teacher teaches the Year 4 class. The previous Head Teacher did not teach a class.</w:t>
      </w:r>
    </w:p>
    <w:p w14:paraId="7389146E" w14:textId="62D3C44B" w:rsidR="00AC362E" w:rsidRDefault="00AC362E" w:rsidP="00ED0631">
      <w:r>
        <w:t xml:space="preserve">The school is a comfortable walking distance, about ½ a kilometre from the Island Council and not far from the Island Council Guest House.  It is comprised of two long semi-brick semi-masonite buildings with metal roofs. Classrooms are dark and airless with concrete floors. Some of the classrooms leak when it rains. There are two water tanks but only one is connected to guttering and neither have any water. A large plastic barrel behind the building collects some rainwater from a hole in the guttering.  </w:t>
      </w:r>
    </w:p>
    <w:p w14:paraId="6CE1B3B9" w14:textId="711E50B4" w:rsidR="00AC362E" w:rsidRDefault="00AC362E" w:rsidP="00ED0631">
      <w:r>
        <w:t>The school ground is untidy. Rubbish is littered everywhere including broken glass and rusty metal.  There are a few coconut trees and some small shrubs but the only significant shade is provided by a small maneaba. The grounds back on to a beach but are set well back and raised much higher than the beach so it is assumed that sea inundation is not a serious problem.</w:t>
      </w:r>
    </w:p>
    <w:p w14:paraId="29B8B279" w14:textId="330AF2F7" w:rsidR="00AC362E" w:rsidRDefault="00AC362E" w:rsidP="00ED0631">
      <w:r>
        <w:t>Two toilets in traditional style have been built close to the beach end of the school grounds but there is no well and therefore no water for the toilets. One of the toilets has an unattached door. Anecdotally, we were told the children prefer to go to toilet down on the beach behind a bush.</w:t>
      </w:r>
    </w:p>
    <w:p w14:paraId="7A221485" w14:textId="77777777" w:rsidR="00AC362E" w:rsidRPr="009E1B60" w:rsidRDefault="00AC362E" w:rsidP="00ED0631">
      <w:pPr>
        <w:pStyle w:val="Heading2"/>
      </w:pPr>
      <w:bookmarkStart w:id="300" w:name="_Toc461615885"/>
      <w:r w:rsidRPr="009E1B60">
        <w:t>New Curriculum</w:t>
      </w:r>
      <w:bookmarkEnd w:id="300"/>
    </w:p>
    <w:p w14:paraId="087A29D5" w14:textId="2DC18A8F" w:rsidR="00AC362E" w:rsidRDefault="00AC362E" w:rsidP="00ED0631">
      <w:r>
        <w:t>The new curriculum is only being partially applied in this school. The Year 3 teacher, (the contract teacher) said that she found the new curriculum difficult to follow. It was observed that she was using a mix of the old and new curriculum and was generally using a teacher-centric approach. The Year 4 teacher (the Head Teacher) said that she did not think the new curriculum was challenging enough for the students and so she also supplemented lessons with other material. This seemed to be principally in English where there was a feeling that children should be doing more in English than the new curriculum required of them.</w:t>
      </w:r>
    </w:p>
    <w:p w14:paraId="51A37910" w14:textId="77777777" w:rsidR="00AC362E" w:rsidRDefault="00AC362E" w:rsidP="00ED0631">
      <w:r>
        <w:t>The Year 3 and 4 teachers were not complementary about using child-centred teaching pointing out that children work slowly under this approach and that some topics required a lot of explanation.  Finishing topics in time appeared to be a problem in some classes.</w:t>
      </w:r>
    </w:p>
    <w:p w14:paraId="07684CDB" w14:textId="51960C59" w:rsidR="00AC362E" w:rsidRDefault="00AC362E" w:rsidP="00ED0631">
      <w:r>
        <w:t>On the other hand the child-centred approach was being used in Year 1 and 2 and it was observed that the children talked freely and could explain their ideas. The Year 1 teacher had never taught under the old curriculum so was not able to make a comparison. Year 2 was taught by the monitor.  Although she used group work and independent work in her classes it was noted that she did not engage with the children but simply left them to work on their own.</w:t>
      </w:r>
    </w:p>
    <w:p w14:paraId="47593291" w14:textId="2364A300" w:rsidR="00AC362E" w:rsidRPr="00FF6E1F" w:rsidRDefault="00AC362E" w:rsidP="00ED0631">
      <w:r>
        <w:t xml:space="preserve">As in other schools there was much discussion of the approach to teaching English under the new curriculum. There was the usual concern expressed elsewhere that children should be able to read and write English by Year 3. We were not able to observe teaching of Year 4 English because of the PILNA exam but the teacher felt that students should be asked to do more. In Year 3 the teacher did not have a teacher’s guide and in its place was teaching a dialogue that she had developed herself. Some students were engaged with the lesson and able to follow and respond. </w:t>
      </w:r>
    </w:p>
    <w:p w14:paraId="50D06C0E" w14:textId="77777777" w:rsidR="00CE7C9B" w:rsidRDefault="00CE7C9B">
      <w:pPr>
        <w:spacing w:line="276" w:lineRule="auto"/>
        <w:rPr>
          <w:rFonts w:asciiTheme="majorHAnsi" w:hAnsiTheme="majorHAnsi" w:cstheme="majorHAnsi"/>
          <w:b/>
          <w:color w:val="000000" w:themeColor="text1"/>
          <w:spacing w:val="2"/>
          <w:sz w:val="24"/>
          <w:szCs w:val="36"/>
        </w:rPr>
      </w:pPr>
      <w:r>
        <w:br w:type="page"/>
      </w:r>
    </w:p>
    <w:p w14:paraId="43F5C9AE" w14:textId="6F19EE1B" w:rsidR="00AC362E" w:rsidRPr="009E1B60" w:rsidRDefault="00AC362E" w:rsidP="00ED0631">
      <w:pPr>
        <w:pStyle w:val="Heading2"/>
      </w:pPr>
      <w:bookmarkStart w:id="301" w:name="_Toc461615886"/>
      <w:r w:rsidRPr="009E1B60">
        <w:lastRenderedPageBreak/>
        <w:t>Classroom Teaching</w:t>
      </w:r>
      <w:bookmarkEnd w:id="301"/>
    </w:p>
    <w:p w14:paraId="4746EC5B" w14:textId="66CDF21E" w:rsidR="00AC362E" w:rsidRDefault="00AC362E" w:rsidP="00ED0631">
      <w:r>
        <w:t>Teaching ranged from very good in Year 1 to poor in Year 3 and presented an interesting reflection on the new curriculum.  In Year 1 and 2 children where happy, expressive and engaged in their lessons.  In Year 3 children wandered in and out of class. Some students were clearly not paying any attention to the lesson while a few were concentrating hard.</w:t>
      </w:r>
    </w:p>
    <w:p w14:paraId="06E6383A" w14:textId="05CE4ECE" w:rsidR="00AC362E" w:rsidRDefault="00AC362E" w:rsidP="00ED0631">
      <w:r>
        <w:t>Teachers in Years 1 to 3 were all using the MoE format for lesson plans at the insistence of the District Education Officer however, in the subsequent interview the MoE format again attracted criticism for being too time consuming and there was a general preference for the new curriculum (KTC) format. The teachers generally did not collaborate on lesson plans except that some support was given to the monitor to prepare hers if she had problems.</w:t>
      </w:r>
    </w:p>
    <w:p w14:paraId="4907C264" w14:textId="025814AB" w:rsidR="00AC362E" w:rsidRDefault="00AC362E" w:rsidP="00ED0631">
      <w:r w:rsidRPr="00400953">
        <w:t>As with other aspects of teaching</w:t>
      </w:r>
      <w:r>
        <w:t>,</w:t>
      </w:r>
      <w:r w:rsidRPr="00400953">
        <w:t xml:space="preserve"> assessment practices varied from class to class. Year</w:t>
      </w:r>
      <w:r>
        <w:t> </w:t>
      </w:r>
      <w:r w:rsidRPr="00400953">
        <w:t xml:space="preserve">1 was using a variety of in class assessment methods. </w:t>
      </w:r>
      <w:r>
        <w:t xml:space="preserve">Both Year 1 and 2 were using checklists which were then stored in the teachers room. </w:t>
      </w:r>
      <w:r w:rsidRPr="00400953">
        <w:t>Interestingly</w:t>
      </w:r>
      <w:r>
        <w:t>,</w:t>
      </w:r>
      <w:r w:rsidRPr="00400953">
        <w:t xml:space="preserve"> the contract teacher</w:t>
      </w:r>
      <w:r>
        <w:t xml:space="preserve"> in Year 3</w:t>
      </w:r>
      <w:r w:rsidRPr="00400953">
        <w:t xml:space="preserve"> was using an assessment file which was not unlike a portfolio system and contained various items of each student’s work that had been marked. </w:t>
      </w:r>
      <w:r>
        <w:t>T</w:t>
      </w:r>
      <w:r w:rsidRPr="00400953">
        <w:t>eachers said that parents had not been supportive of the checklist approach and one teacher argued that assessment was better before the new curriculum because children could see their own learning progress more clearly from test results.</w:t>
      </w:r>
    </w:p>
    <w:p w14:paraId="49B94E72" w14:textId="081DA1F1" w:rsidR="00AC362E" w:rsidRDefault="00AC362E" w:rsidP="00ED0631">
      <w:r>
        <w:t>Lesson plans in all three classes showed evidence of evaluation at the end of the day and in at least two classes previous results were reflected in the next day’s lesson plan. However, lesson plans did not identify individual student learning needs in any of the lesson plans reviewed.</w:t>
      </w:r>
    </w:p>
    <w:p w14:paraId="65033644" w14:textId="77777777" w:rsidR="00AC362E" w:rsidRPr="00400953" w:rsidRDefault="00AC362E" w:rsidP="00ED0631">
      <w:r>
        <w:t>Children’s workbooks in all classes showed that the teachers were monitoring daily progress and provided feedback to the students usually by means of ticks and crosses but in the case of Year 3 by comments, ‘excellent, very good, good and can do better’. In general children appeared to be achieving at a good standard but in Year 3 there were some students who, judged by their workbooks, appeared to be struggling.</w:t>
      </w:r>
    </w:p>
    <w:p w14:paraId="4745BA26" w14:textId="77777777" w:rsidR="00AC362E" w:rsidRPr="009E1B60" w:rsidRDefault="00AC362E" w:rsidP="00ED0631">
      <w:pPr>
        <w:pStyle w:val="Heading2"/>
      </w:pPr>
      <w:bookmarkStart w:id="302" w:name="_Toc461615887"/>
      <w:r w:rsidRPr="009E1B60">
        <w:t>School Leadership</w:t>
      </w:r>
      <w:bookmarkEnd w:id="302"/>
    </w:p>
    <w:p w14:paraId="59032FC6" w14:textId="73DA4868" w:rsidR="00AC362E" w:rsidRDefault="00AC362E" w:rsidP="00ED0631">
      <w:r>
        <w:t>The Head Teacher was not interviewed as a school leader as she had only been in the position for two weeks. It was noted that while the current Head Teacher had a full time teaching load the previous Head Teacher did not teach a regular class.</w:t>
      </w:r>
    </w:p>
    <w:p w14:paraId="6A4CB550" w14:textId="77777777" w:rsidR="00AC362E" w:rsidRPr="009E1B60" w:rsidRDefault="00AC362E" w:rsidP="00ED0631">
      <w:pPr>
        <w:pStyle w:val="Heading2"/>
      </w:pPr>
      <w:bookmarkStart w:id="303" w:name="_Toc461615888"/>
      <w:r w:rsidRPr="009E1B60">
        <w:t>Community Participation</w:t>
      </w:r>
      <w:bookmarkEnd w:id="303"/>
    </w:p>
    <w:p w14:paraId="1BD4BDF8" w14:textId="037C9585" w:rsidR="00AC362E" w:rsidRDefault="00AC362E" w:rsidP="00ED0631">
      <w:pPr>
        <w:keepNext/>
        <w:keepLines/>
      </w:pPr>
      <w:r>
        <w:t>Tauraoi Primary School ha</w:t>
      </w:r>
      <w:r w:rsidR="00AA73E1">
        <w:t>d both a School Committee and a</w:t>
      </w:r>
      <w:r>
        <w:t xml:space="preserve"> School Improvement Plan (SIP) committee which met separately but said that they worked together. It was apparent through interviewing a few members of the committees however, that neither committee had been particularly active. They did not appear to have a SIP although this may have been because the previous Head Teacher had the plan. Their main activity was to build the toilets, and as noted above, these have not been finished and have no water. The generally poor state of the school grounds reinforced the impression that the committees were inactive.</w:t>
      </w:r>
    </w:p>
    <w:p w14:paraId="4B8888E4" w14:textId="30F9E931" w:rsidR="00AC362E" w:rsidRDefault="00AC362E" w:rsidP="00ED0631">
      <w:r>
        <w:t xml:space="preserve">The committee members said that they checked on student and teacher attendance and stationed someone at the school in the morning to check on this. The team did not notice anyone performing this function. They also said that they rang the curfew bell at nine o’clock each night to tell students to go to bed.  </w:t>
      </w:r>
    </w:p>
    <w:p w14:paraId="4FF87CB3" w14:textId="3DFB17DF" w:rsidR="00AC362E" w:rsidRPr="00CE7C9B" w:rsidRDefault="00AC362E" w:rsidP="00ED0631">
      <w:pPr>
        <w:rPr>
          <w:spacing w:val="-2"/>
        </w:rPr>
      </w:pPr>
      <w:r w:rsidRPr="00CE7C9B">
        <w:rPr>
          <w:spacing w:val="-2"/>
        </w:rPr>
        <w:t>According to the committees parents in the nearby villages are supportive of the school and have encouraged their children to attend school on time. Parents also contributed materials to help build the toilets although the committee members did the actual construction work. They noted that some villagers who do not have children at the school had been reluctant to make contributions when asked.</w:t>
      </w:r>
    </w:p>
    <w:p w14:paraId="0AD4D21F" w14:textId="77777777" w:rsidR="00AC362E" w:rsidRDefault="00AC362E" w:rsidP="00ED0631">
      <w:pPr>
        <w:rPr>
          <w:b/>
        </w:rPr>
      </w:pPr>
      <w:r>
        <w:rPr>
          <w:b/>
        </w:rPr>
        <w:br w:type="page"/>
      </w:r>
    </w:p>
    <w:p w14:paraId="218DA2BD" w14:textId="46953AAA" w:rsidR="00AC362E" w:rsidRPr="009E1B60" w:rsidRDefault="00AC362E" w:rsidP="00ED0631">
      <w:pPr>
        <w:pStyle w:val="Heading2"/>
      </w:pPr>
      <w:bookmarkStart w:id="304" w:name="_Toc461615889"/>
      <w:r w:rsidRPr="009E1B60">
        <w:lastRenderedPageBreak/>
        <w:t>Inclusiveness</w:t>
      </w:r>
      <w:bookmarkEnd w:id="304"/>
    </w:p>
    <w:p w14:paraId="51A8FE55" w14:textId="7171BB01" w:rsidR="00AC362E" w:rsidRDefault="00AC362E" w:rsidP="00ED0631">
      <w:r>
        <w:t xml:space="preserve">Four children with disabilities were noted by the team in our visit. In Year 1 there was a girl with hearing difficulties and a boy with both hearing and speech problems. The girl was performing in line with her peers. The boy was behind his peers but his work showed clear improvement. In Year 2 there was another girl with hearing problems who was also performing well in class and in Year 3 there was a boy who was also partially deaf.  </w:t>
      </w:r>
    </w:p>
    <w:p w14:paraId="5B31DC44" w14:textId="331FFA98" w:rsidR="00AC362E" w:rsidRDefault="00AC362E" w:rsidP="00ED0631">
      <w:r>
        <w:t>In all of the above cases the children were participating in classes and treated normally by the other students. It was noted that children playing with one of the partially deaf students had learnt that they needed to shout to make sure he understood.</w:t>
      </w:r>
    </w:p>
    <w:p w14:paraId="22DC114B" w14:textId="77777777" w:rsidR="00AC362E" w:rsidRPr="009E1B60" w:rsidRDefault="00AC362E" w:rsidP="00ED0631">
      <w:pPr>
        <w:pStyle w:val="Heading2"/>
      </w:pPr>
      <w:bookmarkStart w:id="305" w:name="_Toc461615890"/>
      <w:r w:rsidRPr="009E1B60">
        <w:t>Absences</w:t>
      </w:r>
      <w:bookmarkEnd w:id="305"/>
    </w:p>
    <w:p w14:paraId="6F9035FF" w14:textId="77777777" w:rsidR="00AC362E" w:rsidRDefault="00AC362E" w:rsidP="00ED0631">
      <w:r>
        <w:t>According to the teachers, students are attending regularly. Attendance records were a little difficult to interpret but in the three classes observed from 71 students 6 were absent on the day of our visit.</w:t>
      </w:r>
    </w:p>
    <w:p w14:paraId="0A7469FB" w14:textId="441F907A" w:rsidR="00AC362E" w:rsidRDefault="00AC362E" w:rsidP="00ED0631">
      <w:r>
        <w:t>According to the school committee there are around 10 children in the surrounding villages who should be in school but are not. The teachers were surprised by this. The committee say they have sent letters to the parents but the children are still not attending. They propose taking the parents to court.</w:t>
      </w:r>
    </w:p>
    <w:p w14:paraId="2F127CDB" w14:textId="65F86F1C" w:rsidR="00AC362E" w:rsidRDefault="00AC362E" w:rsidP="00ED0631">
      <w:pPr>
        <w:pStyle w:val="Heading2"/>
      </w:pPr>
      <w:bookmarkStart w:id="306" w:name="_Toc461615891"/>
      <w:r>
        <w:t>Buildings</w:t>
      </w:r>
      <w:bookmarkEnd w:id="306"/>
    </w:p>
    <w:p w14:paraId="734C99A6" w14:textId="39131769" w:rsidR="00AC362E" w:rsidRDefault="00AC362E" w:rsidP="00ED0631">
      <w:pPr>
        <w:keepNext/>
        <w:keepLines/>
      </w:pPr>
      <w:r>
        <w:t>The buildings are in a poor state and in need of rebuilding. They provide a poor learning environment. The classrooms cannot be secured and there are problems with them being entered at night. Student work and materials have been stolen.</w:t>
      </w:r>
    </w:p>
    <w:p w14:paraId="5CAF6911" w14:textId="77777777" w:rsidR="00AC362E" w:rsidRDefault="00AC362E" w:rsidP="00ED0631">
      <w:r>
        <w:t>There are a few low desks in the later year classrooms but otherwise no furniture to speak of.</w:t>
      </w:r>
    </w:p>
    <w:p w14:paraId="505EA371" w14:textId="77777777" w:rsidR="00AC362E" w:rsidRDefault="00AC362E" w:rsidP="00ED0631">
      <w:pPr>
        <w:pStyle w:val="Heading2"/>
      </w:pPr>
      <w:bookmarkStart w:id="307" w:name="_Toc461615892"/>
      <w:r w:rsidRPr="009E1B60">
        <w:t>General Observations</w:t>
      </w:r>
      <w:bookmarkEnd w:id="307"/>
    </w:p>
    <w:p w14:paraId="59B0FFF7" w14:textId="2C75F050" w:rsidR="00AC362E" w:rsidRDefault="00AC362E" w:rsidP="00ED0631">
      <w:pPr>
        <w:keepNext/>
        <w:keepLines/>
      </w:pPr>
      <w:r w:rsidRPr="00A75F73">
        <w:t xml:space="preserve">The school is struggling. It </w:t>
      </w:r>
      <w:r>
        <w:t xml:space="preserve">is </w:t>
      </w:r>
      <w:r w:rsidRPr="00A75F73">
        <w:t xml:space="preserve">applying the new curriculum in a piecemeal fashion and </w:t>
      </w:r>
      <w:r>
        <w:t>there does</w:t>
      </w:r>
      <w:r w:rsidRPr="00A75F73">
        <w:t xml:space="preserve"> not appear to</w:t>
      </w:r>
      <w:r>
        <w:t xml:space="preserve"> be a good</w:t>
      </w:r>
      <w:r w:rsidRPr="00A75F73">
        <w:t xml:space="preserve"> understand</w:t>
      </w:r>
      <w:r>
        <w:t>ing</w:t>
      </w:r>
      <w:r w:rsidRPr="00A75F73">
        <w:t xml:space="preserve"> the underlying rationale</w:t>
      </w:r>
      <w:r>
        <w:t xml:space="preserve"> for the language policy</w:t>
      </w:r>
      <w:r w:rsidRPr="00A75F73">
        <w:t xml:space="preserve">.  </w:t>
      </w:r>
    </w:p>
    <w:p w14:paraId="76587F5E" w14:textId="77777777" w:rsidR="00AC362E" w:rsidRDefault="00AC362E" w:rsidP="00ED0631">
      <w:pPr>
        <w:keepNext/>
        <w:keepLines/>
      </w:pPr>
      <w:r w:rsidRPr="00A75F73">
        <w:t xml:space="preserve">The physical environment is poor and not conducive to learning.  </w:t>
      </w:r>
    </w:p>
    <w:p w14:paraId="3C1B34C8" w14:textId="77777777" w:rsidR="00AC362E" w:rsidRPr="006475E5" w:rsidRDefault="00AC362E" w:rsidP="00ED0631">
      <w:pPr>
        <w:keepNext/>
        <w:keepLines/>
        <w:rPr>
          <w:rFonts w:asciiTheme="majorHAnsi" w:hAnsiTheme="majorHAnsi"/>
          <w:color w:val="EB6E08" w:themeColor="text2"/>
          <w:sz w:val="32"/>
          <w:szCs w:val="32"/>
        </w:rPr>
      </w:pPr>
      <w:r w:rsidRPr="00A75F73">
        <w:t>The school committee does not appear to be very engaged and committed to the school and have only contributed marginally to school management and resourcing.</w:t>
      </w:r>
    </w:p>
    <w:p w14:paraId="4DD0E8E5" w14:textId="77777777" w:rsidR="006767F7" w:rsidRDefault="006767F7" w:rsidP="0060082A">
      <w:pPr>
        <w:rPr>
          <w:rFonts w:asciiTheme="majorHAnsi" w:hAnsiTheme="majorHAnsi" w:cstheme="majorHAnsi"/>
          <w:color w:val="EB6E08" w:themeColor="text2"/>
        </w:rPr>
        <w:sectPr w:rsidR="006767F7">
          <w:pgSz w:w="11906" w:h="16838"/>
          <w:pgMar w:top="1440" w:right="1440" w:bottom="1440" w:left="1440" w:header="708" w:footer="708" w:gutter="0"/>
          <w:cols w:space="708"/>
          <w:docGrid w:linePitch="360"/>
        </w:sectPr>
      </w:pPr>
    </w:p>
    <w:p w14:paraId="1C6FCA65" w14:textId="2A40D9BB" w:rsidR="006767F7" w:rsidRPr="00DC233C" w:rsidRDefault="006767F7" w:rsidP="00AA335E">
      <w:pPr>
        <w:pStyle w:val="Heading1"/>
      </w:pPr>
      <w:r>
        <w:lastRenderedPageBreak/>
        <w:t>Annex 5</w:t>
      </w:r>
    </w:p>
    <w:p w14:paraId="06AC93A0" w14:textId="7D49C22D" w:rsidR="006767F7" w:rsidRPr="006767F7" w:rsidRDefault="006767F7" w:rsidP="00AA335E">
      <w:pPr>
        <w:pStyle w:val="Heading1"/>
      </w:pPr>
      <w:r w:rsidRPr="006767F7">
        <w:t xml:space="preserve">STAKI Results for 2015 </w:t>
      </w:r>
    </w:p>
    <w:p w14:paraId="62837547" w14:textId="60FF7D5F" w:rsidR="006767F7" w:rsidRDefault="006767F7" w:rsidP="00AA335E">
      <w:pPr>
        <w:pStyle w:val="Heading1"/>
        <w:rPr>
          <w:color w:val="EB6E08" w:themeColor="text2"/>
        </w:rPr>
        <w:sectPr w:rsidR="006767F7">
          <w:footerReference w:type="default" r:id="rId78"/>
          <w:footerReference w:type="first" r:id="rId79"/>
          <w:pgSz w:w="11906" w:h="16838"/>
          <w:pgMar w:top="1440" w:right="1440" w:bottom="1440" w:left="1440" w:header="708" w:footer="708" w:gutter="0"/>
          <w:cols w:space="708"/>
          <w:docGrid w:linePitch="360"/>
        </w:sectPr>
      </w:pPr>
    </w:p>
    <w:p w14:paraId="1C9D3433" w14:textId="77777777" w:rsidR="00221671" w:rsidRPr="00AA335E" w:rsidRDefault="00221671" w:rsidP="00AA335E">
      <w:pPr>
        <w:spacing w:before="240" w:after="240"/>
        <w:rPr>
          <w:b/>
          <w:sz w:val="40"/>
        </w:rPr>
      </w:pPr>
      <w:r w:rsidRPr="00AA335E">
        <w:rPr>
          <w:b/>
          <w:sz w:val="40"/>
        </w:rPr>
        <w:lastRenderedPageBreak/>
        <w:t>STAKI 2015</w:t>
      </w:r>
      <w:r w:rsidRPr="00AA335E">
        <w:rPr>
          <w:b/>
          <w:sz w:val="40"/>
        </w:rPr>
        <w:br/>
        <w:t>National Report</w:t>
      </w:r>
    </w:p>
    <w:p w14:paraId="55E83D6D" w14:textId="30C2B79E" w:rsidR="00221671" w:rsidRPr="00AA335E" w:rsidRDefault="00221671" w:rsidP="00AA335E">
      <w:pPr>
        <w:spacing w:before="400"/>
        <w:rPr>
          <w:b/>
          <w:sz w:val="28"/>
        </w:rPr>
      </w:pPr>
      <w:r w:rsidRPr="00AA335E">
        <w:rPr>
          <w:b/>
          <w:sz w:val="28"/>
        </w:rPr>
        <w:t>Report of the Standardised Test of Achievement in Kiribati conducted in 2015</w:t>
      </w:r>
      <w:r w:rsidR="00551D83">
        <w:rPr>
          <w:b/>
          <w:sz w:val="28"/>
        </w:rPr>
        <w:t xml:space="preserve"> with Years 4, 6 and 8 students</w:t>
      </w:r>
    </w:p>
    <w:p w14:paraId="71B13114" w14:textId="77777777" w:rsidR="00D545A0" w:rsidRPr="00D545A0" w:rsidRDefault="00D545A0" w:rsidP="00D545A0">
      <w:pPr>
        <w:rPr>
          <w:b/>
          <w:sz w:val="28"/>
        </w:rPr>
      </w:pPr>
      <w:r w:rsidRPr="00D545A0">
        <w:rPr>
          <w:b/>
          <w:sz w:val="28"/>
        </w:rPr>
        <w:t>Examinations and Assessment Unit, Ministry of Education</w:t>
      </w:r>
    </w:p>
    <w:p w14:paraId="56FDC2D9" w14:textId="4EA14BFA" w:rsidR="00AA335E" w:rsidRPr="007A1DF9" w:rsidRDefault="00D545A0">
      <w:pPr>
        <w:rPr>
          <w:b/>
          <w:sz w:val="28"/>
          <w:szCs w:val="28"/>
        </w:rPr>
      </w:pPr>
      <w:r w:rsidRPr="007A1DF9">
        <w:rPr>
          <w:b/>
        </w:rPr>
        <w:t>February 2016</w:t>
      </w:r>
    </w:p>
    <w:p w14:paraId="6028F1FF" w14:textId="77777777" w:rsidR="00AA335E" w:rsidRPr="007A1DF9" w:rsidRDefault="00AA335E">
      <w:pPr>
        <w:rPr>
          <w:b/>
          <w:sz w:val="28"/>
          <w:szCs w:val="28"/>
        </w:rPr>
        <w:sectPr w:rsidR="00AA335E" w:rsidRPr="007A1DF9" w:rsidSect="00ED0631">
          <w:headerReference w:type="default" r:id="rId80"/>
          <w:footerReference w:type="even" r:id="rId81"/>
          <w:footerReference w:type="default" r:id="rId82"/>
          <w:footerReference w:type="first" r:id="rId83"/>
          <w:pgSz w:w="11906" w:h="16838"/>
          <w:pgMar w:top="1440" w:right="1440" w:bottom="1440" w:left="1440" w:header="708" w:footer="708" w:gutter="0"/>
          <w:cols w:space="708"/>
          <w:docGrid w:linePitch="360"/>
        </w:sectPr>
      </w:pPr>
    </w:p>
    <w:p w14:paraId="36714295" w14:textId="77777777" w:rsidR="00221671" w:rsidRDefault="00221671" w:rsidP="00551D83">
      <w:pPr>
        <w:pStyle w:val="Heading1"/>
      </w:pPr>
      <w:r w:rsidRPr="00E700FC">
        <w:lastRenderedPageBreak/>
        <w:t>Acknowledgments</w:t>
      </w:r>
    </w:p>
    <w:p w14:paraId="32142379" w14:textId="77777777" w:rsidR="00221671" w:rsidRDefault="00221671" w:rsidP="00ED0631">
      <w:r w:rsidRPr="00315548">
        <w:t xml:space="preserve">This document was developed with the support of the Australian Government through the Kiribati Education </w:t>
      </w:r>
      <w:r>
        <w:t>Facility.</w:t>
      </w:r>
    </w:p>
    <w:p w14:paraId="49A1AE86" w14:textId="77777777" w:rsidR="00221671" w:rsidRDefault="00221671" w:rsidP="00ED0631">
      <w:r>
        <w:t>The Ministry of Education thanks the EQAP for their support.</w:t>
      </w:r>
    </w:p>
    <w:p w14:paraId="5AB13527" w14:textId="390AEB03" w:rsidR="00221671" w:rsidRDefault="00221671" w:rsidP="00ED0631">
      <w:r>
        <w:t>Cover photo of fish trap on Marakei Island</w:t>
      </w:r>
      <w:r w:rsidR="00551D83">
        <w:t>.</w:t>
      </w:r>
    </w:p>
    <w:p w14:paraId="5B50F747" w14:textId="77777777" w:rsidR="00221671" w:rsidRPr="00B7344A" w:rsidRDefault="00221671" w:rsidP="00551D83">
      <w:pPr>
        <w:pStyle w:val="Heading1"/>
      </w:pPr>
      <w:r w:rsidRPr="00AE1E99">
        <w:t>Acronyms</w:t>
      </w:r>
    </w:p>
    <w:tbl>
      <w:tblPr>
        <w:tblStyle w:val="TableGrid"/>
        <w:tblW w:w="0" w:type="auto"/>
        <w:tblLook w:val="04A0" w:firstRow="1" w:lastRow="0" w:firstColumn="1" w:lastColumn="0" w:noHBand="0" w:noVBand="1"/>
        <w:tblCaption w:val="Acronyms"/>
        <w:tblDescription w:val="CDAD Curriculum Development and Assessment Unit&#10;EAU Examinations and Assessment Unit&#10;EQAP Education Quality and Assessment Program of the SPC&#10;formerly South Pacific Board of Educational Assessment&#10;GoK Government of Kiribati&#10;KEF Kiribati Education Facility&#10;KEMIS Kiribati Education Management Information System&#10;MoE Ministry of Education&#10;NCAF National Curriculum and Assessment Framework&#10;PILNA Pacific Islands Literacy and Numeracy Assessments&#10;SPC Secretariat of the Pacific Community&#10;STAKI Standardised Test of Achievement in Kiribati&#10;"/>
      </w:tblPr>
      <w:tblGrid>
        <w:gridCol w:w="1418"/>
        <w:gridCol w:w="7716"/>
      </w:tblGrid>
      <w:tr w:rsidR="00221671" w:rsidRPr="006C5316" w14:paraId="7B3F6632" w14:textId="77777777" w:rsidTr="00ED0631">
        <w:tc>
          <w:tcPr>
            <w:tcW w:w="1418" w:type="dxa"/>
          </w:tcPr>
          <w:p w14:paraId="4C2B3E07" w14:textId="77777777" w:rsidR="00221671" w:rsidRPr="006C5316" w:rsidRDefault="00221671" w:rsidP="00ED0631">
            <w:pPr>
              <w:rPr>
                <w:rFonts w:cs="Arial"/>
                <w:szCs w:val="22"/>
              </w:rPr>
            </w:pPr>
            <w:r w:rsidRPr="006C5316">
              <w:rPr>
                <w:rFonts w:cs="Arial"/>
                <w:szCs w:val="22"/>
              </w:rPr>
              <w:t>CDAD</w:t>
            </w:r>
          </w:p>
        </w:tc>
        <w:tc>
          <w:tcPr>
            <w:tcW w:w="7716" w:type="dxa"/>
          </w:tcPr>
          <w:p w14:paraId="31F76737" w14:textId="77777777" w:rsidR="00221671" w:rsidRPr="006C5316" w:rsidRDefault="00221671" w:rsidP="00ED0631">
            <w:pPr>
              <w:rPr>
                <w:rFonts w:cs="Arial"/>
                <w:szCs w:val="22"/>
              </w:rPr>
            </w:pPr>
            <w:r w:rsidRPr="006C5316">
              <w:rPr>
                <w:rFonts w:cs="Arial"/>
                <w:szCs w:val="22"/>
              </w:rPr>
              <w:t>Curriculum Development and Assessment Unit</w:t>
            </w:r>
          </w:p>
        </w:tc>
      </w:tr>
      <w:tr w:rsidR="00221671" w:rsidRPr="006C5316" w14:paraId="1BD52C3F" w14:textId="77777777" w:rsidTr="00ED0631">
        <w:tc>
          <w:tcPr>
            <w:tcW w:w="1418" w:type="dxa"/>
          </w:tcPr>
          <w:p w14:paraId="4A40755D" w14:textId="77777777" w:rsidR="00221671" w:rsidRPr="006C5316" w:rsidRDefault="00221671" w:rsidP="00ED0631">
            <w:pPr>
              <w:rPr>
                <w:rFonts w:cs="Arial"/>
                <w:szCs w:val="22"/>
              </w:rPr>
            </w:pPr>
            <w:r w:rsidRPr="006C5316">
              <w:rPr>
                <w:rFonts w:cs="Arial"/>
                <w:szCs w:val="22"/>
              </w:rPr>
              <w:t>EAU</w:t>
            </w:r>
          </w:p>
        </w:tc>
        <w:tc>
          <w:tcPr>
            <w:tcW w:w="7716" w:type="dxa"/>
          </w:tcPr>
          <w:p w14:paraId="25E34B86" w14:textId="77777777" w:rsidR="00221671" w:rsidRPr="006C5316" w:rsidRDefault="00221671" w:rsidP="00ED0631">
            <w:pPr>
              <w:rPr>
                <w:rFonts w:cs="Arial"/>
                <w:szCs w:val="22"/>
              </w:rPr>
            </w:pPr>
            <w:r w:rsidRPr="006C5316">
              <w:rPr>
                <w:rFonts w:cs="Arial"/>
                <w:szCs w:val="22"/>
              </w:rPr>
              <w:t>Examinations and Assessment Unit</w:t>
            </w:r>
          </w:p>
        </w:tc>
      </w:tr>
      <w:tr w:rsidR="00221671" w:rsidRPr="006C5316" w14:paraId="1920AE02" w14:textId="77777777" w:rsidTr="00ED0631">
        <w:tc>
          <w:tcPr>
            <w:tcW w:w="1418" w:type="dxa"/>
          </w:tcPr>
          <w:p w14:paraId="5C0F3B2F" w14:textId="77777777" w:rsidR="00221671" w:rsidRDefault="00221671" w:rsidP="00ED0631">
            <w:pPr>
              <w:rPr>
                <w:rFonts w:cs="Arial"/>
                <w:szCs w:val="22"/>
              </w:rPr>
            </w:pPr>
            <w:r>
              <w:rPr>
                <w:rFonts w:cs="Arial"/>
                <w:szCs w:val="22"/>
              </w:rPr>
              <w:t>EQAP</w:t>
            </w:r>
          </w:p>
        </w:tc>
        <w:tc>
          <w:tcPr>
            <w:tcW w:w="7716" w:type="dxa"/>
          </w:tcPr>
          <w:p w14:paraId="4F5E7328" w14:textId="77777777" w:rsidR="00221671" w:rsidRPr="000B5E8E" w:rsidRDefault="00221671" w:rsidP="00ED0631">
            <w:pPr>
              <w:rPr>
                <w:rFonts w:cs="Arial"/>
                <w:szCs w:val="22"/>
              </w:rPr>
            </w:pPr>
            <w:r w:rsidRPr="000B5E8E">
              <w:rPr>
                <w:rFonts w:cs="Arial"/>
                <w:szCs w:val="22"/>
              </w:rPr>
              <w:t xml:space="preserve">Education </w:t>
            </w:r>
            <w:r>
              <w:rPr>
                <w:rFonts w:cs="Arial"/>
                <w:szCs w:val="22"/>
              </w:rPr>
              <w:t>Quality and Assessment Program of the SPC</w:t>
            </w:r>
          </w:p>
          <w:p w14:paraId="7574B3BF" w14:textId="77777777" w:rsidR="00221671" w:rsidRPr="000B5E8E" w:rsidRDefault="00221671" w:rsidP="00ED0631">
            <w:pPr>
              <w:rPr>
                <w:rFonts w:cs="Arial"/>
                <w:szCs w:val="22"/>
              </w:rPr>
            </w:pPr>
            <w:r w:rsidRPr="000B5E8E">
              <w:rPr>
                <w:rFonts w:cs="Arial"/>
                <w:i/>
                <w:szCs w:val="22"/>
              </w:rPr>
              <w:t>formerly</w:t>
            </w:r>
            <w:r w:rsidRPr="000B5E8E">
              <w:rPr>
                <w:rFonts w:cs="Arial"/>
                <w:szCs w:val="22"/>
              </w:rPr>
              <w:t xml:space="preserve"> </w:t>
            </w:r>
            <w:r w:rsidRPr="00551D83">
              <w:rPr>
                <w:rFonts w:cs="Arial"/>
                <w:i/>
                <w:szCs w:val="22"/>
              </w:rPr>
              <w:t>South Pacific Board of Educational Assessment</w:t>
            </w:r>
          </w:p>
        </w:tc>
      </w:tr>
      <w:tr w:rsidR="00221671" w:rsidRPr="006C5316" w14:paraId="5B7B4C67" w14:textId="77777777" w:rsidTr="00ED0631">
        <w:tc>
          <w:tcPr>
            <w:tcW w:w="1418" w:type="dxa"/>
          </w:tcPr>
          <w:p w14:paraId="15C053E0" w14:textId="77777777" w:rsidR="00221671" w:rsidRDefault="00221671" w:rsidP="00ED0631">
            <w:pPr>
              <w:rPr>
                <w:rFonts w:cs="Arial"/>
                <w:szCs w:val="22"/>
              </w:rPr>
            </w:pPr>
            <w:r>
              <w:rPr>
                <w:rFonts w:cs="Arial"/>
                <w:szCs w:val="22"/>
              </w:rPr>
              <w:t>GoK</w:t>
            </w:r>
          </w:p>
        </w:tc>
        <w:tc>
          <w:tcPr>
            <w:tcW w:w="7716" w:type="dxa"/>
          </w:tcPr>
          <w:p w14:paraId="0E5E875A" w14:textId="77777777" w:rsidR="00221671" w:rsidRDefault="00221671" w:rsidP="00ED0631">
            <w:pPr>
              <w:rPr>
                <w:rFonts w:cs="Arial"/>
                <w:szCs w:val="22"/>
              </w:rPr>
            </w:pPr>
            <w:r>
              <w:rPr>
                <w:rFonts w:cs="Arial"/>
                <w:szCs w:val="22"/>
              </w:rPr>
              <w:t>Government of Kiribati</w:t>
            </w:r>
          </w:p>
        </w:tc>
      </w:tr>
      <w:tr w:rsidR="00221671" w:rsidRPr="006C5316" w14:paraId="31A3D219" w14:textId="77777777" w:rsidTr="00ED0631">
        <w:tc>
          <w:tcPr>
            <w:tcW w:w="1418" w:type="dxa"/>
          </w:tcPr>
          <w:p w14:paraId="242EFAEA" w14:textId="77777777" w:rsidR="00221671" w:rsidRDefault="00221671" w:rsidP="00ED0631">
            <w:pPr>
              <w:rPr>
                <w:rFonts w:cs="Arial"/>
                <w:szCs w:val="22"/>
              </w:rPr>
            </w:pPr>
            <w:r>
              <w:rPr>
                <w:rFonts w:cs="Arial"/>
                <w:szCs w:val="22"/>
              </w:rPr>
              <w:t>KEF</w:t>
            </w:r>
          </w:p>
        </w:tc>
        <w:tc>
          <w:tcPr>
            <w:tcW w:w="7716" w:type="dxa"/>
          </w:tcPr>
          <w:p w14:paraId="395CA146" w14:textId="77777777" w:rsidR="00221671" w:rsidRDefault="00221671" w:rsidP="00ED0631">
            <w:pPr>
              <w:rPr>
                <w:rFonts w:cs="Arial"/>
                <w:szCs w:val="22"/>
              </w:rPr>
            </w:pPr>
            <w:r>
              <w:rPr>
                <w:rFonts w:cs="Arial"/>
                <w:szCs w:val="22"/>
              </w:rPr>
              <w:t>Kiribati Education Facility</w:t>
            </w:r>
          </w:p>
        </w:tc>
      </w:tr>
      <w:tr w:rsidR="00221671" w:rsidRPr="006C5316" w14:paraId="1D703312" w14:textId="77777777" w:rsidTr="00ED0631">
        <w:tc>
          <w:tcPr>
            <w:tcW w:w="1418" w:type="dxa"/>
          </w:tcPr>
          <w:p w14:paraId="74BFD07C" w14:textId="77777777" w:rsidR="00221671" w:rsidRPr="006C5316" w:rsidRDefault="00221671" w:rsidP="00ED0631">
            <w:pPr>
              <w:rPr>
                <w:rFonts w:cs="Arial"/>
                <w:szCs w:val="22"/>
              </w:rPr>
            </w:pPr>
            <w:r>
              <w:rPr>
                <w:rFonts w:cs="Arial"/>
                <w:szCs w:val="22"/>
              </w:rPr>
              <w:t>KEMIS</w:t>
            </w:r>
          </w:p>
        </w:tc>
        <w:tc>
          <w:tcPr>
            <w:tcW w:w="7716" w:type="dxa"/>
          </w:tcPr>
          <w:p w14:paraId="7DAE2938" w14:textId="77777777" w:rsidR="00221671" w:rsidRPr="006C5316" w:rsidRDefault="00221671" w:rsidP="00ED0631">
            <w:pPr>
              <w:rPr>
                <w:rFonts w:cs="Arial"/>
                <w:szCs w:val="22"/>
              </w:rPr>
            </w:pPr>
            <w:r>
              <w:rPr>
                <w:rFonts w:cs="Arial"/>
                <w:szCs w:val="22"/>
              </w:rPr>
              <w:t>Kiribati Education Management Information System</w:t>
            </w:r>
          </w:p>
        </w:tc>
      </w:tr>
      <w:tr w:rsidR="00221671" w:rsidRPr="006C5316" w14:paraId="6210788B" w14:textId="77777777" w:rsidTr="00ED0631">
        <w:tc>
          <w:tcPr>
            <w:tcW w:w="1418" w:type="dxa"/>
          </w:tcPr>
          <w:p w14:paraId="7463F867" w14:textId="77777777" w:rsidR="00221671" w:rsidRPr="006C5316" w:rsidRDefault="00221671" w:rsidP="00ED0631">
            <w:pPr>
              <w:rPr>
                <w:rFonts w:cs="Arial"/>
                <w:szCs w:val="22"/>
              </w:rPr>
            </w:pPr>
            <w:r w:rsidRPr="006C5316">
              <w:rPr>
                <w:rFonts w:cs="Arial"/>
                <w:szCs w:val="22"/>
              </w:rPr>
              <w:t>MoE</w:t>
            </w:r>
          </w:p>
        </w:tc>
        <w:tc>
          <w:tcPr>
            <w:tcW w:w="7716" w:type="dxa"/>
          </w:tcPr>
          <w:p w14:paraId="3A3D7078" w14:textId="77777777" w:rsidR="00221671" w:rsidRPr="006C5316" w:rsidRDefault="00221671" w:rsidP="00ED0631">
            <w:pPr>
              <w:rPr>
                <w:rFonts w:cs="Arial"/>
                <w:szCs w:val="22"/>
              </w:rPr>
            </w:pPr>
            <w:r w:rsidRPr="006C5316">
              <w:rPr>
                <w:rFonts w:cs="Arial"/>
                <w:szCs w:val="22"/>
              </w:rPr>
              <w:t>Ministry of Education</w:t>
            </w:r>
          </w:p>
        </w:tc>
      </w:tr>
      <w:tr w:rsidR="00221671" w:rsidRPr="006C5316" w14:paraId="1FF5ABE5" w14:textId="77777777" w:rsidTr="00ED0631">
        <w:tc>
          <w:tcPr>
            <w:tcW w:w="1418" w:type="dxa"/>
          </w:tcPr>
          <w:p w14:paraId="2CED5B3E" w14:textId="77777777" w:rsidR="00221671" w:rsidRPr="006C5316" w:rsidRDefault="00221671" w:rsidP="00ED0631">
            <w:pPr>
              <w:rPr>
                <w:rFonts w:cs="Arial"/>
                <w:szCs w:val="22"/>
              </w:rPr>
            </w:pPr>
            <w:r w:rsidRPr="006C5316">
              <w:rPr>
                <w:rFonts w:cs="Arial"/>
                <w:szCs w:val="22"/>
              </w:rPr>
              <w:t>NCAF</w:t>
            </w:r>
          </w:p>
        </w:tc>
        <w:tc>
          <w:tcPr>
            <w:tcW w:w="7716" w:type="dxa"/>
          </w:tcPr>
          <w:p w14:paraId="28D21ED5" w14:textId="77777777" w:rsidR="00221671" w:rsidRPr="006C5316" w:rsidRDefault="00221671" w:rsidP="00ED0631">
            <w:pPr>
              <w:rPr>
                <w:rFonts w:cs="Arial"/>
                <w:szCs w:val="22"/>
              </w:rPr>
            </w:pPr>
            <w:r w:rsidRPr="006C5316">
              <w:rPr>
                <w:rFonts w:cs="Arial"/>
                <w:szCs w:val="22"/>
              </w:rPr>
              <w:t>National Curriculum and Assessment Framework</w:t>
            </w:r>
          </w:p>
        </w:tc>
      </w:tr>
      <w:tr w:rsidR="00221671" w:rsidRPr="006C5316" w14:paraId="40942585" w14:textId="77777777" w:rsidTr="00ED0631">
        <w:tc>
          <w:tcPr>
            <w:tcW w:w="1418" w:type="dxa"/>
          </w:tcPr>
          <w:p w14:paraId="2ED033DA" w14:textId="77777777" w:rsidR="00221671" w:rsidRPr="006C5316" w:rsidRDefault="00221671" w:rsidP="00ED0631">
            <w:pPr>
              <w:rPr>
                <w:rFonts w:cs="Arial"/>
                <w:szCs w:val="22"/>
              </w:rPr>
            </w:pPr>
            <w:r w:rsidRPr="006C5316">
              <w:rPr>
                <w:rFonts w:cs="Arial"/>
                <w:szCs w:val="22"/>
              </w:rPr>
              <w:t>PILNA</w:t>
            </w:r>
          </w:p>
        </w:tc>
        <w:tc>
          <w:tcPr>
            <w:tcW w:w="7716" w:type="dxa"/>
          </w:tcPr>
          <w:p w14:paraId="04620CDD" w14:textId="77777777" w:rsidR="00221671" w:rsidRPr="006C5316" w:rsidRDefault="00221671" w:rsidP="00ED0631">
            <w:pPr>
              <w:rPr>
                <w:rFonts w:cs="Arial"/>
                <w:szCs w:val="22"/>
              </w:rPr>
            </w:pPr>
            <w:r w:rsidRPr="006C5316">
              <w:rPr>
                <w:rFonts w:cs="Arial"/>
                <w:szCs w:val="22"/>
              </w:rPr>
              <w:t>Pacific Islands Literacy and Numeracy Assessments</w:t>
            </w:r>
          </w:p>
        </w:tc>
      </w:tr>
      <w:tr w:rsidR="00221671" w:rsidRPr="000B5E8E" w14:paraId="4DC1021B" w14:textId="77777777" w:rsidTr="00ED0631">
        <w:tc>
          <w:tcPr>
            <w:tcW w:w="1418" w:type="dxa"/>
          </w:tcPr>
          <w:p w14:paraId="0E7031BE" w14:textId="77777777" w:rsidR="00221671" w:rsidRPr="000B5E8E" w:rsidRDefault="00221671" w:rsidP="00ED0631">
            <w:pPr>
              <w:rPr>
                <w:rFonts w:cs="Arial"/>
                <w:szCs w:val="22"/>
              </w:rPr>
            </w:pPr>
            <w:r>
              <w:rPr>
                <w:rFonts w:cs="Arial"/>
                <w:szCs w:val="22"/>
              </w:rPr>
              <w:t>SPC</w:t>
            </w:r>
          </w:p>
        </w:tc>
        <w:tc>
          <w:tcPr>
            <w:tcW w:w="7716" w:type="dxa"/>
          </w:tcPr>
          <w:p w14:paraId="0130F203" w14:textId="77777777" w:rsidR="00221671" w:rsidRPr="000B5E8E" w:rsidRDefault="00221671" w:rsidP="00ED0631">
            <w:pPr>
              <w:rPr>
                <w:rFonts w:cs="Arial"/>
                <w:szCs w:val="22"/>
              </w:rPr>
            </w:pPr>
            <w:r w:rsidRPr="000B5E8E">
              <w:rPr>
                <w:rFonts w:cs="Arial"/>
                <w:szCs w:val="22"/>
              </w:rPr>
              <w:t xml:space="preserve">Secretariat of the Pacific </w:t>
            </w:r>
            <w:r>
              <w:rPr>
                <w:rFonts w:cs="Arial"/>
                <w:szCs w:val="22"/>
              </w:rPr>
              <w:t>Community</w:t>
            </w:r>
          </w:p>
        </w:tc>
      </w:tr>
      <w:tr w:rsidR="00221671" w:rsidRPr="006C5316" w14:paraId="28962B84" w14:textId="77777777" w:rsidTr="00ED0631">
        <w:tc>
          <w:tcPr>
            <w:tcW w:w="1418" w:type="dxa"/>
          </w:tcPr>
          <w:p w14:paraId="007A9550" w14:textId="77777777" w:rsidR="00221671" w:rsidRPr="006C5316" w:rsidRDefault="00221671" w:rsidP="00ED0631">
            <w:pPr>
              <w:rPr>
                <w:rFonts w:cs="Arial"/>
                <w:szCs w:val="22"/>
              </w:rPr>
            </w:pPr>
            <w:r w:rsidRPr="006C5316">
              <w:rPr>
                <w:rFonts w:cs="Arial"/>
                <w:szCs w:val="22"/>
              </w:rPr>
              <w:t>STAKI</w:t>
            </w:r>
          </w:p>
        </w:tc>
        <w:tc>
          <w:tcPr>
            <w:tcW w:w="7716" w:type="dxa"/>
          </w:tcPr>
          <w:p w14:paraId="79BED249" w14:textId="77777777" w:rsidR="00221671" w:rsidRPr="006C5316" w:rsidRDefault="00221671" w:rsidP="00ED0631">
            <w:pPr>
              <w:rPr>
                <w:rFonts w:cs="Arial"/>
                <w:szCs w:val="22"/>
              </w:rPr>
            </w:pPr>
            <w:r w:rsidRPr="006C5316">
              <w:rPr>
                <w:rFonts w:cs="Arial"/>
                <w:szCs w:val="22"/>
              </w:rPr>
              <w:t>Standardised Test of Achievement in Kiribati</w:t>
            </w:r>
          </w:p>
        </w:tc>
      </w:tr>
    </w:tbl>
    <w:p w14:paraId="241022AC" w14:textId="77777777" w:rsidR="00221671" w:rsidRPr="00D23151" w:rsidRDefault="00221671" w:rsidP="00ED0631">
      <w:pPr>
        <w:spacing w:before="6000"/>
      </w:pPr>
      <w:r w:rsidRPr="00D23151">
        <w:lastRenderedPageBreak/>
        <w:t xml:space="preserve">Issued free to schools by the </w:t>
      </w:r>
      <w:r>
        <w:t>Ministry</w:t>
      </w:r>
      <w:r w:rsidRPr="00D23151">
        <w:t xml:space="preserve"> of Education</w:t>
      </w:r>
    </w:p>
    <w:p w14:paraId="1A0EF169" w14:textId="77777777" w:rsidR="00221671" w:rsidRPr="00D23151" w:rsidRDefault="00221671" w:rsidP="00ED0631">
      <w:r w:rsidRPr="00D23151">
        <w:t>Published in 20</w:t>
      </w:r>
      <w:r>
        <w:t>16</w:t>
      </w:r>
      <w:r w:rsidRPr="00D23151">
        <w:t xml:space="preserve"> by the </w:t>
      </w:r>
      <w:r>
        <w:t>Ministry</w:t>
      </w:r>
      <w:r w:rsidRPr="00D23151">
        <w:t xml:space="preserve"> of Education, </w:t>
      </w:r>
      <w:r>
        <w:t>Republic of Kiribati</w:t>
      </w:r>
    </w:p>
    <w:p w14:paraId="4A500337" w14:textId="77777777" w:rsidR="00221671" w:rsidRPr="00D23151" w:rsidRDefault="00221671" w:rsidP="00ED0631">
      <w:r w:rsidRPr="00D23151">
        <w:t>© Copyright 20</w:t>
      </w:r>
      <w:r>
        <w:t>16</w:t>
      </w:r>
      <w:r w:rsidRPr="00D23151">
        <w:t xml:space="preserve">, </w:t>
      </w:r>
      <w:r>
        <w:t>Ministry</w:t>
      </w:r>
      <w:r w:rsidRPr="00D23151">
        <w:t xml:space="preserve"> of Education, </w:t>
      </w:r>
      <w:r>
        <w:t>Republic of Kiribati</w:t>
      </w:r>
    </w:p>
    <w:p w14:paraId="7A98260D" w14:textId="77777777" w:rsidR="00221671" w:rsidRPr="00D23151" w:rsidRDefault="00221671" w:rsidP="00ED0631">
      <w:r w:rsidRPr="00D23151">
        <w:t xml:space="preserve">All rights reserved. No part of this publication may be reproduced, stored in a retrieval system or transmitted by any form or by any means electronic, mechanical, photocopying, recording or otherwise without the prior written permission of the publisher. </w:t>
      </w:r>
    </w:p>
    <w:p w14:paraId="39F8AF18" w14:textId="77777777" w:rsidR="00221671" w:rsidRPr="00E700FC" w:rsidRDefault="00221671">
      <w:pPr>
        <w:rPr>
          <w:b/>
          <w:sz w:val="28"/>
          <w:szCs w:val="28"/>
        </w:rPr>
      </w:pPr>
      <w:r w:rsidRPr="00E700FC">
        <w:rPr>
          <w:b/>
          <w:sz w:val="28"/>
          <w:szCs w:val="28"/>
        </w:rPr>
        <w:br w:type="page"/>
      </w:r>
    </w:p>
    <w:p w14:paraId="1461F4A1" w14:textId="77777777" w:rsidR="00221671" w:rsidRPr="00B7344A" w:rsidRDefault="00221671" w:rsidP="00551D83">
      <w:pPr>
        <w:pStyle w:val="Heading1"/>
      </w:pPr>
      <w:r w:rsidRPr="00E700FC">
        <w:lastRenderedPageBreak/>
        <w:t>Contents</w:t>
      </w:r>
    </w:p>
    <w:p w14:paraId="0CF26DDA" w14:textId="77777777" w:rsidR="00221671" w:rsidRPr="0092076C" w:rsidRDefault="00221671" w:rsidP="00ED0631">
      <w:pPr>
        <w:tabs>
          <w:tab w:val="left" w:pos="8080"/>
        </w:tabs>
        <w:rPr>
          <w:b/>
          <w:szCs w:val="22"/>
        </w:rPr>
      </w:pPr>
      <w:r w:rsidRPr="0092076C">
        <w:rPr>
          <w:b/>
          <w:szCs w:val="22"/>
        </w:rPr>
        <w:t>Executive Summary</w:t>
      </w:r>
      <w:r w:rsidRPr="0092076C">
        <w:rPr>
          <w:b/>
          <w:szCs w:val="22"/>
        </w:rPr>
        <w:tab/>
      </w:r>
      <w:r w:rsidRPr="0092076C">
        <w:rPr>
          <w:szCs w:val="22"/>
        </w:rPr>
        <w:t>iii</w:t>
      </w:r>
    </w:p>
    <w:p w14:paraId="4B6D01DC" w14:textId="77777777" w:rsidR="00221671" w:rsidRPr="0092076C" w:rsidRDefault="00221671" w:rsidP="002D28B3">
      <w:pPr>
        <w:tabs>
          <w:tab w:val="left" w:pos="8080"/>
        </w:tabs>
        <w:ind w:left="851" w:hanging="851"/>
        <w:rPr>
          <w:b/>
          <w:szCs w:val="22"/>
        </w:rPr>
      </w:pPr>
      <w:r w:rsidRPr="0092076C">
        <w:rPr>
          <w:b/>
          <w:szCs w:val="22"/>
        </w:rPr>
        <w:t>1.</w:t>
      </w:r>
      <w:r w:rsidRPr="0092076C">
        <w:rPr>
          <w:b/>
          <w:szCs w:val="22"/>
        </w:rPr>
        <w:tab/>
        <w:t>Background</w:t>
      </w:r>
      <w:r w:rsidRPr="0092076C">
        <w:rPr>
          <w:b/>
          <w:szCs w:val="22"/>
        </w:rPr>
        <w:tab/>
      </w:r>
      <w:r w:rsidRPr="00C875D7">
        <w:rPr>
          <w:b/>
          <w:szCs w:val="22"/>
        </w:rPr>
        <w:t>1</w:t>
      </w:r>
    </w:p>
    <w:p w14:paraId="2FED4192" w14:textId="77777777" w:rsidR="00221671" w:rsidRPr="0092076C" w:rsidRDefault="00221671" w:rsidP="002D28B3">
      <w:pPr>
        <w:tabs>
          <w:tab w:val="left" w:pos="8080"/>
        </w:tabs>
        <w:ind w:left="1418" w:hanging="567"/>
        <w:rPr>
          <w:szCs w:val="22"/>
        </w:rPr>
      </w:pPr>
      <w:r w:rsidRPr="0092076C">
        <w:rPr>
          <w:szCs w:val="22"/>
        </w:rPr>
        <w:t>1.1</w:t>
      </w:r>
      <w:r w:rsidRPr="0092076C">
        <w:rPr>
          <w:szCs w:val="22"/>
        </w:rPr>
        <w:tab/>
        <w:t>History of STAKI</w:t>
      </w:r>
      <w:r w:rsidRPr="0092076C">
        <w:rPr>
          <w:szCs w:val="22"/>
        </w:rPr>
        <w:tab/>
        <w:t>1</w:t>
      </w:r>
    </w:p>
    <w:p w14:paraId="3BF9400D" w14:textId="77777777" w:rsidR="00221671" w:rsidRPr="0092076C" w:rsidRDefault="00221671" w:rsidP="002D28B3">
      <w:pPr>
        <w:tabs>
          <w:tab w:val="left" w:pos="8080"/>
        </w:tabs>
        <w:ind w:left="1418" w:hanging="567"/>
        <w:rPr>
          <w:szCs w:val="22"/>
        </w:rPr>
      </w:pPr>
      <w:r w:rsidRPr="0092076C">
        <w:rPr>
          <w:szCs w:val="22"/>
        </w:rPr>
        <w:t>1.2</w:t>
      </w:r>
      <w:r w:rsidRPr="0092076C">
        <w:rPr>
          <w:szCs w:val="22"/>
        </w:rPr>
        <w:tab/>
        <w:t>Administration</w:t>
      </w:r>
      <w:r w:rsidRPr="0092076C">
        <w:rPr>
          <w:szCs w:val="22"/>
        </w:rPr>
        <w:tab/>
        <w:t>1</w:t>
      </w:r>
    </w:p>
    <w:p w14:paraId="641B0D89" w14:textId="77777777" w:rsidR="00221671" w:rsidRPr="001A48B5" w:rsidRDefault="00221671" w:rsidP="002D28B3">
      <w:pPr>
        <w:tabs>
          <w:tab w:val="left" w:pos="8080"/>
        </w:tabs>
        <w:ind w:left="851" w:hanging="851"/>
        <w:rPr>
          <w:b/>
          <w:szCs w:val="22"/>
        </w:rPr>
      </w:pPr>
      <w:r w:rsidRPr="001A48B5">
        <w:rPr>
          <w:b/>
          <w:szCs w:val="22"/>
        </w:rPr>
        <w:t>2.</w:t>
      </w:r>
      <w:r w:rsidRPr="001A48B5">
        <w:rPr>
          <w:b/>
          <w:szCs w:val="22"/>
        </w:rPr>
        <w:tab/>
        <w:t>National Results</w:t>
      </w:r>
      <w:r>
        <w:rPr>
          <w:b/>
          <w:szCs w:val="22"/>
        </w:rPr>
        <w:tab/>
        <w:t>3</w:t>
      </w:r>
    </w:p>
    <w:p w14:paraId="7CE3204D" w14:textId="77777777" w:rsidR="00221671" w:rsidRPr="001A48B5" w:rsidRDefault="00221671" w:rsidP="002D28B3">
      <w:pPr>
        <w:tabs>
          <w:tab w:val="left" w:pos="8080"/>
        </w:tabs>
        <w:ind w:left="1418" w:hanging="567"/>
        <w:rPr>
          <w:szCs w:val="22"/>
        </w:rPr>
      </w:pPr>
      <w:r>
        <w:rPr>
          <w:szCs w:val="22"/>
        </w:rPr>
        <w:t>2.1</w:t>
      </w:r>
      <w:r>
        <w:rPr>
          <w:szCs w:val="22"/>
        </w:rPr>
        <w:tab/>
        <w:t>Year 4 English literacy</w:t>
      </w:r>
      <w:r>
        <w:rPr>
          <w:szCs w:val="22"/>
        </w:rPr>
        <w:tab/>
        <w:t>3</w:t>
      </w:r>
    </w:p>
    <w:p w14:paraId="305B1A84" w14:textId="77777777" w:rsidR="00221671" w:rsidRDefault="00221671" w:rsidP="002D28B3">
      <w:pPr>
        <w:tabs>
          <w:tab w:val="left" w:pos="8080"/>
        </w:tabs>
        <w:ind w:left="1418" w:hanging="567"/>
        <w:rPr>
          <w:szCs w:val="22"/>
        </w:rPr>
      </w:pPr>
      <w:r>
        <w:rPr>
          <w:szCs w:val="22"/>
        </w:rPr>
        <w:t>2.2</w:t>
      </w:r>
      <w:r>
        <w:rPr>
          <w:szCs w:val="22"/>
        </w:rPr>
        <w:tab/>
        <w:t>Year 6 English literacy</w:t>
      </w:r>
      <w:r>
        <w:rPr>
          <w:szCs w:val="22"/>
        </w:rPr>
        <w:tab/>
        <w:t>5</w:t>
      </w:r>
    </w:p>
    <w:p w14:paraId="32150D33" w14:textId="77777777" w:rsidR="00221671" w:rsidRPr="001A48B5" w:rsidRDefault="00221671" w:rsidP="002D28B3">
      <w:pPr>
        <w:tabs>
          <w:tab w:val="left" w:pos="8080"/>
        </w:tabs>
        <w:ind w:left="1418" w:hanging="567"/>
        <w:rPr>
          <w:szCs w:val="22"/>
        </w:rPr>
      </w:pPr>
      <w:r>
        <w:rPr>
          <w:szCs w:val="22"/>
        </w:rPr>
        <w:t>2.3</w:t>
      </w:r>
      <w:r>
        <w:rPr>
          <w:szCs w:val="22"/>
        </w:rPr>
        <w:tab/>
        <w:t>Year 8 English literacy</w:t>
      </w:r>
      <w:r>
        <w:rPr>
          <w:szCs w:val="22"/>
        </w:rPr>
        <w:tab/>
        <w:t>7</w:t>
      </w:r>
    </w:p>
    <w:p w14:paraId="6CA82FCC" w14:textId="77777777" w:rsidR="00221671" w:rsidRPr="001A48B5" w:rsidRDefault="00221671" w:rsidP="002D28B3">
      <w:pPr>
        <w:tabs>
          <w:tab w:val="left" w:pos="8080"/>
        </w:tabs>
        <w:ind w:left="1418" w:hanging="567"/>
        <w:rPr>
          <w:szCs w:val="22"/>
        </w:rPr>
      </w:pPr>
      <w:r>
        <w:rPr>
          <w:szCs w:val="22"/>
        </w:rPr>
        <w:t>2.4</w:t>
      </w:r>
      <w:r>
        <w:rPr>
          <w:szCs w:val="22"/>
        </w:rPr>
        <w:tab/>
        <w:t>Year 4 te-</w:t>
      </w:r>
      <w:r w:rsidRPr="001A48B5">
        <w:rPr>
          <w:szCs w:val="22"/>
        </w:rPr>
        <w:t>Kiribati</w:t>
      </w:r>
      <w:r>
        <w:rPr>
          <w:szCs w:val="22"/>
        </w:rPr>
        <w:t xml:space="preserve"> literacy</w:t>
      </w:r>
      <w:r>
        <w:rPr>
          <w:szCs w:val="22"/>
        </w:rPr>
        <w:tab/>
        <w:t>9</w:t>
      </w:r>
    </w:p>
    <w:p w14:paraId="0B3E8FE3" w14:textId="77777777" w:rsidR="00221671" w:rsidRPr="001A48B5" w:rsidRDefault="00221671" w:rsidP="002D28B3">
      <w:pPr>
        <w:tabs>
          <w:tab w:val="left" w:pos="8080"/>
        </w:tabs>
        <w:ind w:left="1418" w:hanging="567"/>
        <w:rPr>
          <w:szCs w:val="22"/>
        </w:rPr>
      </w:pPr>
      <w:r>
        <w:rPr>
          <w:szCs w:val="22"/>
        </w:rPr>
        <w:t>2.5</w:t>
      </w:r>
      <w:r w:rsidRPr="001A48B5">
        <w:rPr>
          <w:szCs w:val="22"/>
        </w:rPr>
        <w:tab/>
        <w:t>Year 6</w:t>
      </w:r>
      <w:r>
        <w:rPr>
          <w:szCs w:val="22"/>
        </w:rPr>
        <w:t xml:space="preserve"> &amp; 8</w:t>
      </w:r>
      <w:r w:rsidRPr="001A48B5">
        <w:rPr>
          <w:szCs w:val="22"/>
        </w:rPr>
        <w:t xml:space="preserve"> </w:t>
      </w:r>
      <w:r>
        <w:rPr>
          <w:szCs w:val="22"/>
        </w:rPr>
        <w:t>te-Kiribati literacy</w:t>
      </w:r>
      <w:r>
        <w:rPr>
          <w:szCs w:val="22"/>
        </w:rPr>
        <w:tab/>
        <w:t>11</w:t>
      </w:r>
    </w:p>
    <w:p w14:paraId="7A22A4CB" w14:textId="77777777" w:rsidR="00221671" w:rsidRPr="001A48B5" w:rsidRDefault="00221671" w:rsidP="002D28B3">
      <w:pPr>
        <w:tabs>
          <w:tab w:val="left" w:pos="8080"/>
        </w:tabs>
        <w:ind w:left="1418" w:hanging="567"/>
        <w:rPr>
          <w:szCs w:val="22"/>
        </w:rPr>
      </w:pPr>
      <w:r>
        <w:rPr>
          <w:szCs w:val="22"/>
        </w:rPr>
        <w:t>2.6</w:t>
      </w:r>
      <w:r>
        <w:rPr>
          <w:szCs w:val="22"/>
        </w:rPr>
        <w:tab/>
        <w:t>Year 4 Numeracy</w:t>
      </w:r>
      <w:r>
        <w:rPr>
          <w:szCs w:val="22"/>
        </w:rPr>
        <w:tab/>
        <w:t>13</w:t>
      </w:r>
    </w:p>
    <w:p w14:paraId="1E18FBD4" w14:textId="77777777" w:rsidR="00221671" w:rsidRDefault="00221671" w:rsidP="002D28B3">
      <w:pPr>
        <w:tabs>
          <w:tab w:val="left" w:pos="8080"/>
        </w:tabs>
        <w:ind w:left="1418" w:hanging="567"/>
        <w:rPr>
          <w:szCs w:val="22"/>
        </w:rPr>
      </w:pPr>
      <w:r>
        <w:rPr>
          <w:szCs w:val="22"/>
        </w:rPr>
        <w:t>2.7</w:t>
      </w:r>
      <w:r>
        <w:rPr>
          <w:szCs w:val="22"/>
        </w:rPr>
        <w:tab/>
        <w:t>Year 6 Numeracy</w:t>
      </w:r>
      <w:r>
        <w:rPr>
          <w:szCs w:val="22"/>
        </w:rPr>
        <w:tab/>
        <w:t>15</w:t>
      </w:r>
    </w:p>
    <w:p w14:paraId="3F81C610" w14:textId="77777777" w:rsidR="00221671" w:rsidRPr="001A48B5" w:rsidRDefault="00221671" w:rsidP="002D28B3">
      <w:pPr>
        <w:tabs>
          <w:tab w:val="left" w:pos="8080"/>
        </w:tabs>
        <w:ind w:left="1418" w:hanging="567"/>
        <w:rPr>
          <w:szCs w:val="22"/>
        </w:rPr>
      </w:pPr>
      <w:r>
        <w:rPr>
          <w:szCs w:val="22"/>
        </w:rPr>
        <w:t>2.8</w:t>
      </w:r>
      <w:r>
        <w:rPr>
          <w:szCs w:val="22"/>
        </w:rPr>
        <w:tab/>
        <w:t>Year 8 Numeracy</w:t>
      </w:r>
      <w:r>
        <w:rPr>
          <w:szCs w:val="22"/>
        </w:rPr>
        <w:tab/>
        <w:t>17</w:t>
      </w:r>
    </w:p>
    <w:p w14:paraId="709829AD" w14:textId="77777777" w:rsidR="00221671" w:rsidRPr="001A48B5" w:rsidRDefault="00221671" w:rsidP="002D28B3">
      <w:pPr>
        <w:tabs>
          <w:tab w:val="left" w:pos="8080"/>
        </w:tabs>
        <w:ind w:left="1418" w:hanging="567"/>
        <w:rPr>
          <w:szCs w:val="22"/>
        </w:rPr>
      </w:pPr>
      <w:r>
        <w:rPr>
          <w:szCs w:val="22"/>
        </w:rPr>
        <w:t>2.9</w:t>
      </w:r>
      <w:r w:rsidRPr="001A48B5">
        <w:rPr>
          <w:szCs w:val="22"/>
        </w:rPr>
        <w:tab/>
        <w:t>Overall test observations</w:t>
      </w:r>
      <w:r>
        <w:rPr>
          <w:szCs w:val="22"/>
        </w:rPr>
        <w:tab/>
        <w:t>19</w:t>
      </w:r>
    </w:p>
    <w:p w14:paraId="1883D832" w14:textId="77777777" w:rsidR="00221671" w:rsidRDefault="00221671" w:rsidP="002D28B3">
      <w:pPr>
        <w:tabs>
          <w:tab w:val="left" w:pos="8080"/>
        </w:tabs>
        <w:ind w:left="851" w:hanging="851"/>
        <w:rPr>
          <w:b/>
          <w:szCs w:val="22"/>
        </w:rPr>
      </w:pPr>
      <w:r w:rsidRPr="001A48B5">
        <w:rPr>
          <w:b/>
          <w:szCs w:val="22"/>
        </w:rPr>
        <w:t>3.</w:t>
      </w:r>
      <w:r w:rsidRPr="001A48B5">
        <w:rPr>
          <w:b/>
          <w:szCs w:val="22"/>
        </w:rPr>
        <w:tab/>
        <w:t>Findings</w:t>
      </w:r>
      <w:r>
        <w:rPr>
          <w:b/>
          <w:szCs w:val="22"/>
        </w:rPr>
        <w:tab/>
        <w:t>20</w:t>
      </w:r>
    </w:p>
    <w:p w14:paraId="1509C3DE" w14:textId="77777777" w:rsidR="00221671" w:rsidRPr="001A48B5" w:rsidRDefault="00221671" w:rsidP="002D28B3">
      <w:pPr>
        <w:tabs>
          <w:tab w:val="left" w:pos="8080"/>
        </w:tabs>
        <w:ind w:left="851" w:hanging="851"/>
        <w:rPr>
          <w:b/>
          <w:szCs w:val="22"/>
        </w:rPr>
      </w:pPr>
      <w:r w:rsidRPr="001A48B5">
        <w:rPr>
          <w:b/>
          <w:szCs w:val="22"/>
        </w:rPr>
        <w:t>Appendices</w:t>
      </w:r>
      <w:r>
        <w:rPr>
          <w:b/>
          <w:szCs w:val="22"/>
        </w:rPr>
        <w:tab/>
      </w:r>
    </w:p>
    <w:p w14:paraId="32ABDCFD" w14:textId="77777777" w:rsidR="00221671" w:rsidRPr="001A48B5" w:rsidRDefault="00221671" w:rsidP="002D28B3">
      <w:pPr>
        <w:tabs>
          <w:tab w:val="left" w:pos="8080"/>
        </w:tabs>
        <w:ind w:left="1287" w:hanging="567"/>
        <w:rPr>
          <w:szCs w:val="22"/>
        </w:rPr>
      </w:pPr>
      <w:r w:rsidRPr="001A48B5">
        <w:rPr>
          <w:szCs w:val="22"/>
        </w:rPr>
        <w:t>1.</w:t>
      </w:r>
      <w:r w:rsidRPr="001A48B5">
        <w:rPr>
          <w:szCs w:val="22"/>
        </w:rPr>
        <w:tab/>
      </w:r>
      <w:r>
        <w:rPr>
          <w:szCs w:val="22"/>
        </w:rPr>
        <w:t>Overall Achievement Levels</w:t>
      </w:r>
      <w:r>
        <w:rPr>
          <w:szCs w:val="22"/>
        </w:rPr>
        <w:tab/>
        <w:t>21</w:t>
      </w:r>
    </w:p>
    <w:p w14:paraId="06499860" w14:textId="77777777" w:rsidR="00221671" w:rsidRPr="00B7344A" w:rsidRDefault="00221671" w:rsidP="002D28B3">
      <w:pPr>
        <w:tabs>
          <w:tab w:val="left" w:pos="8080"/>
        </w:tabs>
        <w:ind w:left="1287" w:hanging="567"/>
        <w:rPr>
          <w:szCs w:val="22"/>
        </w:rPr>
      </w:pPr>
      <w:r w:rsidRPr="001A48B5">
        <w:rPr>
          <w:szCs w:val="22"/>
        </w:rPr>
        <w:t>2.</w:t>
      </w:r>
      <w:r w:rsidRPr="001A48B5">
        <w:rPr>
          <w:szCs w:val="22"/>
        </w:rPr>
        <w:tab/>
        <w:t>Sample school report</w:t>
      </w:r>
      <w:r>
        <w:rPr>
          <w:szCs w:val="22"/>
        </w:rPr>
        <w:tab/>
        <w:t>22</w:t>
      </w:r>
    </w:p>
    <w:p w14:paraId="506752C5" w14:textId="77777777" w:rsidR="00221671" w:rsidRPr="002D28B3" w:rsidRDefault="00221671" w:rsidP="00ED0631">
      <w:pPr>
        <w:tabs>
          <w:tab w:val="left" w:pos="8080"/>
        </w:tabs>
        <w:ind w:left="851" w:hanging="851"/>
        <w:rPr>
          <w:b/>
        </w:rPr>
      </w:pPr>
      <w:r w:rsidRPr="002D28B3">
        <w:rPr>
          <w:b/>
        </w:rPr>
        <w:t>Figures</w:t>
      </w:r>
    </w:p>
    <w:p w14:paraId="26DF3CBD" w14:textId="77777777" w:rsidR="00221671" w:rsidRPr="002D28B3" w:rsidRDefault="00221671" w:rsidP="00ED0631">
      <w:pPr>
        <w:tabs>
          <w:tab w:val="left" w:pos="1418"/>
          <w:tab w:val="right" w:pos="8364"/>
        </w:tabs>
        <w:ind w:left="709"/>
        <w:rPr>
          <w:i/>
          <w:sz w:val="18"/>
          <w:szCs w:val="18"/>
        </w:rPr>
      </w:pPr>
      <w:r w:rsidRPr="002D28B3">
        <w:rPr>
          <w:b/>
          <w:i/>
          <w:sz w:val="18"/>
          <w:szCs w:val="18"/>
        </w:rPr>
        <w:t>Fig 1</w:t>
      </w:r>
      <w:r w:rsidRPr="002D28B3">
        <w:rPr>
          <w:i/>
          <w:sz w:val="18"/>
          <w:szCs w:val="18"/>
        </w:rPr>
        <w:tab/>
        <w:t>Year 4 English overall performance 2011-2015</w:t>
      </w:r>
      <w:r w:rsidRPr="002D28B3">
        <w:rPr>
          <w:i/>
          <w:sz w:val="18"/>
          <w:szCs w:val="18"/>
        </w:rPr>
        <w:tab/>
        <w:t>3</w:t>
      </w:r>
    </w:p>
    <w:p w14:paraId="5D29EB16" w14:textId="77777777" w:rsidR="00221671" w:rsidRPr="002D28B3" w:rsidRDefault="00221671" w:rsidP="00ED0631">
      <w:pPr>
        <w:tabs>
          <w:tab w:val="left" w:pos="1418"/>
          <w:tab w:val="right" w:pos="8364"/>
        </w:tabs>
        <w:ind w:left="709"/>
        <w:rPr>
          <w:i/>
          <w:sz w:val="18"/>
          <w:szCs w:val="18"/>
        </w:rPr>
      </w:pPr>
      <w:r w:rsidRPr="002D28B3">
        <w:rPr>
          <w:b/>
          <w:i/>
          <w:sz w:val="18"/>
          <w:szCs w:val="18"/>
        </w:rPr>
        <w:t>Fig 2</w:t>
      </w:r>
      <w:r w:rsidRPr="002D28B3">
        <w:rPr>
          <w:i/>
          <w:sz w:val="18"/>
          <w:szCs w:val="18"/>
        </w:rPr>
        <w:tab/>
        <w:t>Year 4 English component performance 2013 - 2015</w:t>
      </w:r>
      <w:r w:rsidRPr="002D28B3">
        <w:rPr>
          <w:i/>
          <w:sz w:val="18"/>
          <w:szCs w:val="18"/>
        </w:rPr>
        <w:tab/>
        <w:t>3</w:t>
      </w:r>
    </w:p>
    <w:p w14:paraId="2C2C8F53" w14:textId="77777777" w:rsidR="00221671" w:rsidRPr="002D28B3" w:rsidRDefault="00221671" w:rsidP="00ED0631">
      <w:pPr>
        <w:tabs>
          <w:tab w:val="left" w:pos="1418"/>
          <w:tab w:val="right" w:pos="8364"/>
        </w:tabs>
        <w:ind w:left="709"/>
        <w:rPr>
          <w:i/>
          <w:sz w:val="18"/>
          <w:szCs w:val="18"/>
        </w:rPr>
      </w:pPr>
      <w:r w:rsidRPr="002D28B3">
        <w:rPr>
          <w:b/>
          <w:i/>
          <w:sz w:val="18"/>
          <w:szCs w:val="18"/>
        </w:rPr>
        <w:t>Fig 3</w:t>
      </w:r>
      <w:r w:rsidRPr="002D28B3">
        <w:rPr>
          <w:i/>
          <w:sz w:val="18"/>
          <w:szCs w:val="18"/>
        </w:rPr>
        <w:tab/>
        <w:t>Year 4 English performance by gender</w:t>
      </w:r>
      <w:r w:rsidRPr="002D28B3">
        <w:rPr>
          <w:i/>
          <w:sz w:val="18"/>
          <w:szCs w:val="18"/>
        </w:rPr>
        <w:tab/>
        <w:t>4</w:t>
      </w:r>
    </w:p>
    <w:p w14:paraId="44831EF2" w14:textId="77777777" w:rsidR="00221671" w:rsidRPr="002D28B3" w:rsidRDefault="00221671" w:rsidP="00ED0631">
      <w:pPr>
        <w:tabs>
          <w:tab w:val="left" w:pos="1418"/>
          <w:tab w:val="right" w:pos="8364"/>
        </w:tabs>
        <w:ind w:left="709"/>
        <w:rPr>
          <w:i/>
          <w:sz w:val="18"/>
          <w:szCs w:val="18"/>
        </w:rPr>
      </w:pPr>
      <w:r w:rsidRPr="002D28B3">
        <w:rPr>
          <w:b/>
          <w:i/>
          <w:sz w:val="18"/>
          <w:szCs w:val="18"/>
        </w:rPr>
        <w:t>Fig 4</w:t>
      </w:r>
      <w:r w:rsidRPr="002D28B3">
        <w:rPr>
          <w:i/>
          <w:sz w:val="18"/>
          <w:szCs w:val="18"/>
        </w:rPr>
        <w:tab/>
        <w:t>Year 6 English literacy overall performance 2011-2015</w:t>
      </w:r>
      <w:r w:rsidRPr="002D28B3">
        <w:rPr>
          <w:i/>
          <w:sz w:val="18"/>
          <w:szCs w:val="18"/>
        </w:rPr>
        <w:tab/>
        <w:t>5</w:t>
      </w:r>
    </w:p>
    <w:p w14:paraId="754701CD" w14:textId="77777777" w:rsidR="00221671" w:rsidRPr="002D28B3" w:rsidRDefault="00221671" w:rsidP="00ED0631">
      <w:pPr>
        <w:tabs>
          <w:tab w:val="left" w:pos="1418"/>
          <w:tab w:val="right" w:pos="8364"/>
        </w:tabs>
        <w:ind w:left="709"/>
        <w:rPr>
          <w:i/>
          <w:sz w:val="18"/>
          <w:szCs w:val="18"/>
        </w:rPr>
      </w:pPr>
      <w:r w:rsidRPr="002D28B3">
        <w:rPr>
          <w:b/>
          <w:i/>
          <w:sz w:val="18"/>
          <w:szCs w:val="18"/>
        </w:rPr>
        <w:t>Fig 5</w:t>
      </w:r>
      <w:r w:rsidRPr="002D28B3">
        <w:rPr>
          <w:i/>
          <w:sz w:val="18"/>
          <w:szCs w:val="18"/>
        </w:rPr>
        <w:tab/>
        <w:t>Year 6 English component performance</w:t>
      </w:r>
      <w:r w:rsidRPr="002D28B3">
        <w:rPr>
          <w:i/>
          <w:sz w:val="18"/>
          <w:szCs w:val="18"/>
        </w:rPr>
        <w:tab/>
        <w:t>5</w:t>
      </w:r>
    </w:p>
    <w:p w14:paraId="401D1826" w14:textId="77777777" w:rsidR="00221671" w:rsidRPr="002D28B3" w:rsidRDefault="00221671" w:rsidP="00ED0631">
      <w:pPr>
        <w:tabs>
          <w:tab w:val="left" w:pos="1418"/>
          <w:tab w:val="right" w:pos="8364"/>
        </w:tabs>
        <w:ind w:left="709"/>
        <w:rPr>
          <w:i/>
          <w:sz w:val="18"/>
          <w:szCs w:val="18"/>
        </w:rPr>
      </w:pPr>
      <w:r w:rsidRPr="002D28B3">
        <w:rPr>
          <w:b/>
          <w:i/>
          <w:sz w:val="18"/>
          <w:szCs w:val="18"/>
        </w:rPr>
        <w:t>Fig 6</w:t>
      </w:r>
      <w:r w:rsidRPr="002D28B3">
        <w:rPr>
          <w:i/>
          <w:sz w:val="18"/>
          <w:szCs w:val="18"/>
        </w:rPr>
        <w:tab/>
        <w:t>Year 6 English performance by gender</w:t>
      </w:r>
      <w:r w:rsidRPr="002D28B3">
        <w:rPr>
          <w:i/>
          <w:sz w:val="18"/>
          <w:szCs w:val="18"/>
        </w:rPr>
        <w:tab/>
        <w:t>6</w:t>
      </w:r>
    </w:p>
    <w:p w14:paraId="37343B41" w14:textId="77777777" w:rsidR="00221671" w:rsidRPr="002D28B3" w:rsidRDefault="00221671" w:rsidP="00ED0631">
      <w:pPr>
        <w:tabs>
          <w:tab w:val="left" w:pos="1418"/>
          <w:tab w:val="right" w:pos="8364"/>
        </w:tabs>
        <w:ind w:left="709"/>
        <w:rPr>
          <w:i/>
          <w:sz w:val="18"/>
          <w:szCs w:val="18"/>
        </w:rPr>
      </w:pPr>
      <w:r w:rsidRPr="002D28B3">
        <w:rPr>
          <w:b/>
          <w:i/>
          <w:sz w:val="18"/>
          <w:szCs w:val="18"/>
        </w:rPr>
        <w:t>Fig 7</w:t>
      </w:r>
      <w:r w:rsidRPr="002D28B3">
        <w:rPr>
          <w:i/>
          <w:sz w:val="18"/>
          <w:szCs w:val="18"/>
        </w:rPr>
        <w:tab/>
        <w:t>Year 8 2015 English overall performance</w:t>
      </w:r>
      <w:r w:rsidRPr="002D28B3">
        <w:rPr>
          <w:i/>
          <w:sz w:val="18"/>
          <w:szCs w:val="18"/>
        </w:rPr>
        <w:tab/>
        <w:t>7</w:t>
      </w:r>
    </w:p>
    <w:p w14:paraId="69D1F118" w14:textId="77777777" w:rsidR="00221671" w:rsidRPr="002D28B3" w:rsidRDefault="00221671" w:rsidP="00ED0631">
      <w:pPr>
        <w:tabs>
          <w:tab w:val="left" w:pos="1418"/>
          <w:tab w:val="right" w:pos="8364"/>
        </w:tabs>
        <w:ind w:left="709"/>
        <w:rPr>
          <w:i/>
          <w:sz w:val="18"/>
          <w:szCs w:val="18"/>
        </w:rPr>
      </w:pPr>
      <w:r w:rsidRPr="002D28B3">
        <w:rPr>
          <w:b/>
          <w:i/>
          <w:sz w:val="18"/>
          <w:szCs w:val="18"/>
        </w:rPr>
        <w:t>Fig 8</w:t>
      </w:r>
      <w:r w:rsidRPr="002D28B3">
        <w:rPr>
          <w:i/>
          <w:sz w:val="18"/>
          <w:szCs w:val="18"/>
        </w:rPr>
        <w:tab/>
        <w:t>Year 8 2015 English component performance</w:t>
      </w:r>
      <w:r w:rsidRPr="002D28B3">
        <w:rPr>
          <w:i/>
          <w:sz w:val="18"/>
          <w:szCs w:val="18"/>
        </w:rPr>
        <w:tab/>
        <w:t>7</w:t>
      </w:r>
    </w:p>
    <w:p w14:paraId="361B26AC" w14:textId="77777777" w:rsidR="00221671" w:rsidRPr="002D28B3" w:rsidRDefault="00221671" w:rsidP="00ED0631">
      <w:pPr>
        <w:tabs>
          <w:tab w:val="left" w:pos="1418"/>
          <w:tab w:val="right" w:pos="8364"/>
        </w:tabs>
        <w:ind w:left="709"/>
        <w:rPr>
          <w:i/>
          <w:sz w:val="18"/>
          <w:szCs w:val="18"/>
        </w:rPr>
      </w:pPr>
      <w:r w:rsidRPr="002D28B3">
        <w:rPr>
          <w:b/>
          <w:i/>
          <w:sz w:val="18"/>
          <w:szCs w:val="18"/>
        </w:rPr>
        <w:t>Fig 9</w:t>
      </w:r>
      <w:r w:rsidRPr="002D28B3">
        <w:rPr>
          <w:i/>
          <w:sz w:val="18"/>
          <w:szCs w:val="18"/>
        </w:rPr>
        <w:tab/>
        <w:t>Year 8 English performance by gender</w:t>
      </w:r>
      <w:r w:rsidRPr="002D28B3">
        <w:rPr>
          <w:i/>
          <w:sz w:val="18"/>
          <w:szCs w:val="18"/>
        </w:rPr>
        <w:tab/>
        <w:t>8</w:t>
      </w:r>
    </w:p>
    <w:p w14:paraId="4AA75F1D" w14:textId="77777777" w:rsidR="00221671" w:rsidRPr="002D28B3" w:rsidRDefault="00221671" w:rsidP="00ED0631">
      <w:pPr>
        <w:tabs>
          <w:tab w:val="left" w:pos="1418"/>
          <w:tab w:val="right" w:pos="8364"/>
        </w:tabs>
        <w:ind w:left="709"/>
        <w:rPr>
          <w:i/>
          <w:sz w:val="18"/>
          <w:szCs w:val="18"/>
        </w:rPr>
      </w:pPr>
      <w:r w:rsidRPr="002D28B3">
        <w:rPr>
          <w:b/>
          <w:i/>
          <w:sz w:val="18"/>
          <w:szCs w:val="18"/>
        </w:rPr>
        <w:t>Fig 10</w:t>
      </w:r>
      <w:r w:rsidRPr="002D28B3">
        <w:rPr>
          <w:i/>
          <w:sz w:val="18"/>
          <w:szCs w:val="18"/>
        </w:rPr>
        <w:tab/>
        <w:t>Year 4 te-Kiribati literacy overall performance 2011-2015</w:t>
      </w:r>
      <w:r w:rsidRPr="002D28B3">
        <w:rPr>
          <w:i/>
          <w:sz w:val="18"/>
          <w:szCs w:val="18"/>
        </w:rPr>
        <w:tab/>
        <w:t>9</w:t>
      </w:r>
    </w:p>
    <w:p w14:paraId="11F8B215" w14:textId="77777777" w:rsidR="00221671" w:rsidRPr="002D28B3" w:rsidRDefault="00221671" w:rsidP="00ED0631">
      <w:pPr>
        <w:tabs>
          <w:tab w:val="left" w:pos="1418"/>
          <w:tab w:val="right" w:pos="8364"/>
        </w:tabs>
        <w:ind w:left="709"/>
        <w:rPr>
          <w:i/>
          <w:sz w:val="18"/>
          <w:szCs w:val="18"/>
        </w:rPr>
      </w:pPr>
      <w:r w:rsidRPr="002D28B3">
        <w:rPr>
          <w:b/>
          <w:i/>
          <w:sz w:val="18"/>
          <w:szCs w:val="18"/>
        </w:rPr>
        <w:t>Fig 11</w:t>
      </w:r>
      <w:r w:rsidRPr="002D28B3">
        <w:rPr>
          <w:i/>
          <w:sz w:val="18"/>
          <w:szCs w:val="18"/>
        </w:rPr>
        <w:tab/>
        <w:t>Year 4 te-Kiribati literacy component performance 2013 - 2015</w:t>
      </w:r>
      <w:r w:rsidRPr="002D28B3">
        <w:rPr>
          <w:i/>
          <w:sz w:val="18"/>
          <w:szCs w:val="18"/>
        </w:rPr>
        <w:tab/>
        <w:t>9</w:t>
      </w:r>
    </w:p>
    <w:p w14:paraId="0CD47B3E" w14:textId="77777777" w:rsidR="00221671" w:rsidRPr="002D28B3" w:rsidRDefault="00221671" w:rsidP="00ED0631">
      <w:pPr>
        <w:tabs>
          <w:tab w:val="left" w:pos="1418"/>
          <w:tab w:val="right" w:pos="8364"/>
        </w:tabs>
        <w:ind w:left="709"/>
        <w:rPr>
          <w:i/>
          <w:sz w:val="18"/>
          <w:szCs w:val="18"/>
        </w:rPr>
      </w:pPr>
      <w:r w:rsidRPr="002D28B3">
        <w:rPr>
          <w:b/>
          <w:i/>
          <w:sz w:val="18"/>
          <w:szCs w:val="18"/>
        </w:rPr>
        <w:t>Fig 12</w:t>
      </w:r>
      <w:r w:rsidRPr="002D28B3">
        <w:rPr>
          <w:i/>
          <w:sz w:val="18"/>
          <w:szCs w:val="18"/>
        </w:rPr>
        <w:tab/>
        <w:t>Year 4 te-Kiribati literacy performance by gender</w:t>
      </w:r>
      <w:r w:rsidRPr="002D28B3">
        <w:rPr>
          <w:i/>
          <w:sz w:val="18"/>
          <w:szCs w:val="18"/>
        </w:rPr>
        <w:tab/>
        <w:t>10</w:t>
      </w:r>
    </w:p>
    <w:p w14:paraId="4E88A20F" w14:textId="77777777" w:rsidR="00221671" w:rsidRPr="002D28B3" w:rsidRDefault="00221671" w:rsidP="00ED0631">
      <w:pPr>
        <w:tabs>
          <w:tab w:val="left" w:pos="1418"/>
          <w:tab w:val="right" w:pos="8364"/>
        </w:tabs>
        <w:ind w:left="709"/>
        <w:rPr>
          <w:i/>
          <w:sz w:val="18"/>
          <w:szCs w:val="18"/>
        </w:rPr>
      </w:pPr>
      <w:r w:rsidRPr="002D28B3">
        <w:rPr>
          <w:b/>
          <w:i/>
          <w:sz w:val="18"/>
          <w:szCs w:val="18"/>
        </w:rPr>
        <w:t>Fig 13</w:t>
      </w:r>
      <w:r w:rsidRPr="002D28B3">
        <w:rPr>
          <w:i/>
          <w:sz w:val="18"/>
          <w:szCs w:val="18"/>
        </w:rPr>
        <w:tab/>
        <w:t>te_Kiribati overall performance - Years 6 and 8</w:t>
      </w:r>
      <w:r w:rsidRPr="002D28B3">
        <w:rPr>
          <w:i/>
          <w:sz w:val="18"/>
          <w:szCs w:val="18"/>
        </w:rPr>
        <w:tab/>
        <w:t>11</w:t>
      </w:r>
    </w:p>
    <w:p w14:paraId="6ABDFD8D" w14:textId="77777777" w:rsidR="00221671" w:rsidRDefault="00221671" w:rsidP="00ED0631">
      <w:pPr>
        <w:tabs>
          <w:tab w:val="left" w:pos="1418"/>
          <w:tab w:val="right" w:pos="8364"/>
        </w:tabs>
        <w:ind w:left="709"/>
        <w:rPr>
          <w:i/>
          <w:sz w:val="18"/>
          <w:szCs w:val="18"/>
        </w:rPr>
      </w:pPr>
      <w:r w:rsidRPr="00DE6A88">
        <w:rPr>
          <w:b/>
          <w:i/>
          <w:sz w:val="18"/>
          <w:szCs w:val="18"/>
        </w:rPr>
        <w:lastRenderedPageBreak/>
        <w:t xml:space="preserve">Fig </w:t>
      </w:r>
      <w:r>
        <w:rPr>
          <w:b/>
          <w:i/>
          <w:sz w:val="18"/>
          <w:szCs w:val="18"/>
        </w:rPr>
        <w:t>14</w:t>
      </w:r>
      <w:r w:rsidRPr="00DE6A88">
        <w:rPr>
          <w:i/>
          <w:sz w:val="18"/>
          <w:szCs w:val="18"/>
        </w:rPr>
        <w:tab/>
        <w:t>Year 6 and 8 te-Kiribati literacy component performance</w:t>
      </w:r>
      <w:r>
        <w:rPr>
          <w:i/>
          <w:sz w:val="18"/>
          <w:szCs w:val="18"/>
        </w:rPr>
        <w:tab/>
        <w:t>11</w:t>
      </w:r>
    </w:p>
    <w:p w14:paraId="15B4FDD7" w14:textId="77777777" w:rsidR="00221671" w:rsidRPr="009201DA" w:rsidRDefault="00221671" w:rsidP="00ED0631">
      <w:pPr>
        <w:tabs>
          <w:tab w:val="left" w:pos="1418"/>
          <w:tab w:val="right" w:pos="8364"/>
        </w:tabs>
        <w:ind w:left="709"/>
        <w:rPr>
          <w:i/>
          <w:sz w:val="18"/>
          <w:szCs w:val="18"/>
        </w:rPr>
      </w:pPr>
      <w:r w:rsidRPr="009201DA">
        <w:rPr>
          <w:b/>
          <w:i/>
          <w:sz w:val="18"/>
          <w:szCs w:val="18"/>
        </w:rPr>
        <w:t xml:space="preserve">Fig </w:t>
      </w:r>
      <w:r>
        <w:rPr>
          <w:b/>
          <w:i/>
          <w:sz w:val="18"/>
          <w:szCs w:val="18"/>
        </w:rPr>
        <w:t>15</w:t>
      </w:r>
      <w:r w:rsidRPr="009201DA">
        <w:rPr>
          <w:i/>
          <w:sz w:val="18"/>
          <w:szCs w:val="18"/>
        </w:rPr>
        <w:tab/>
        <w:t xml:space="preserve">Year </w:t>
      </w:r>
      <w:r>
        <w:rPr>
          <w:i/>
          <w:sz w:val="18"/>
          <w:szCs w:val="18"/>
        </w:rPr>
        <w:t xml:space="preserve">6 and </w:t>
      </w:r>
      <w:r w:rsidRPr="009201DA">
        <w:rPr>
          <w:i/>
          <w:sz w:val="18"/>
          <w:szCs w:val="18"/>
        </w:rPr>
        <w:t xml:space="preserve">8 te-Kiribati </w:t>
      </w:r>
      <w:r>
        <w:rPr>
          <w:i/>
          <w:sz w:val="18"/>
          <w:szCs w:val="18"/>
        </w:rPr>
        <w:t>gender performance</w:t>
      </w:r>
      <w:r>
        <w:rPr>
          <w:i/>
          <w:sz w:val="18"/>
          <w:szCs w:val="18"/>
        </w:rPr>
        <w:tab/>
        <w:t>12</w:t>
      </w:r>
    </w:p>
    <w:p w14:paraId="5B7ADEFF"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16</w:t>
      </w:r>
      <w:r w:rsidRPr="00A70824">
        <w:rPr>
          <w:i/>
          <w:sz w:val="18"/>
          <w:szCs w:val="18"/>
        </w:rPr>
        <w:tab/>
        <w:t xml:space="preserve">Year 4 </w:t>
      </w:r>
      <w:r>
        <w:rPr>
          <w:i/>
          <w:sz w:val="18"/>
          <w:szCs w:val="18"/>
        </w:rPr>
        <w:t>numeracy overall performance 2011-2015</w:t>
      </w:r>
      <w:r>
        <w:rPr>
          <w:i/>
          <w:sz w:val="18"/>
          <w:szCs w:val="18"/>
        </w:rPr>
        <w:tab/>
        <w:t>13</w:t>
      </w:r>
    </w:p>
    <w:p w14:paraId="13C9B7D4" w14:textId="77777777" w:rsidR="00221671"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17</w:t>
      </w:r>
      <w:r w:rsidRPr="00A70824">
        <w:rPr>
          <w:i/>
          <w:sz w:val="18"/>
          <w:szCs w:val="18"/>
        </w:rPr>
        <w:tab/>
        <w:t xml:space="preserve">Year 4 </w:t>
      </w:r>
      <w:r>
        <w:rPr>
          <w:i/>
          <w:sz w:val="18"/>
          <w:szCs w:val="18"/>
        </w:rPr>
        <w:t>numeracy component performance</w:t>
      </w:r>
      <w:r>
        <w:rPr>
          <w:i/>
          <w:sz w:val="18"/>
          <w:szCs w:val="18"/>
        </w:rPr>
        <w:tab/>
        <w:t>13</w:t>
      </w:r>
    </w:p>
    <w:p w14:paraId="3C9DF5AA"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18</w:t>
      </w:r>
      <w:r w:rsidRPr="00A70824">
        <w:rPr>
          <w:i/>
          <w:sz w:val="18"/>
          <w:szCs w:val="18"/>
        </w:rPr>
        <w:tab/>
        <w:t xml:space="preserve">Year 4 </w:t>
      </w:r>
      <w:r>
        <w:rPr>
          <w:i/>
          <w:sz w:val="18"/>
          <w:szCs w:val="18"/>
        </w:rPr>
        <w:t>numeracy performance by gender</w:t>
      </w:r>
      <w:r>
        <w:rPr>
          <w:i/>
          <w:sz w:val="18"/>
          <w:szCs w:val="18"/>
        </w:rPr>
        <w:tab/>
        <w:t>14</w:t>
      </w:r>
    </w:p>
    <w:p w14:paraId="12E656B3"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19</w:t>
      </w:r>
      <w:r>
        <w:rPr>
          <w:i/>
          <w:sz w:val="18"/>
          <w:szCs w:val="18"/>
        </w:rPr>
        <w:tab/>
        <w:t>Year 6</w:t>
      </w:r>
      <w:r w:rsidRPr="00A70824">
        <w:rPr>
          <w:i/>
          <w:sz w:val="18"/>
          <w:szCs w:val="18"/>
        </w:rPr>
        <w:t xml:space="preserve"> </w:t>
      </w:r>
      <w:r>
        <w:rPr>
          <w:i/>
          <w:sz w:val="18"/>
          <w:szCs w:val="18"/>
        </w:rPr>
        <w:t>numeracy overall performance 2011-2015</w:t>
      </w:r>
      <w:r>
        <w:rPr>
          <w:i/>
          <w:sz w:val="18"/>
          <w:szCs w:val="18"/>
        </w:rPr>
        <w:tab/>
        <w:t>15</w:t>
      </w:r>
    </w:p>
    <w:p w14:paraId="2998BFA2"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20</w:t>
      </w:r>
      <w:r>
        <w:rPr>
          <w:i/>
          <w:sz w:val="18"/>
          <w:szCs w:val="18"/>
        </w:rPr>
        <w:tab/>
        <w:t>Year 6</w:t>
      </w:r>
      <w:r w:rsidRPr="00A70824">
        <w:rPr>
          <w:i/>
          <w:sz w:val="18"/>
          <w:szCs w:val="18"/>
        </w:rPr>
        <w:t xml:space="preserve"> </w:t>
      </w:r>
      <w:r>
        <w:rPr>
          <w:i/>
          <w:sz w:val="18"/>
          <w:szCs w:val="18"/>
        </w:rPr>
        <w:t>numeracy component performance</w:t>
      </w:r>
      <w:r>
        <w:rPr>
          <w:i/>
          <w:sz w:val="18"/>
          <w:szCs w:val="18"/>
        </w:rPr>
        <w:tab/>
        <w:t>15</w:t>
      </w:r>
    </w:p>
    <w:p w14:paraId="63FC82F0"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21</w:t>
      </w:r>
      <w:r>
        <w:rPr>
          <w:i/>
          <w:sz w:val="18"/>
          <w:szCs w:val="18"/>
        </w:rPr>
        <w:tab/>
        <w:t>Year 6</w:t>
      </w:r>
      <w:r w:rsidRPr="00A70824">
        <w:rPr>
          <w:i/>
          <w:sz w:val="18"/>
          <w:szCs w:val="18"/>
        </w:rPr>
        <w:t xml:space="preserve"> </w:t>
      </w:r>
      <w:r>
        <w:rPr>
          <w:i/>
          <w:sz w:val="18"/>
          <w:szCs w:val="18"/>
        </w:rPr>
        <w:t>numeracy performance by gender</w:t>
      </w:r>
      <w:r>
        <w:rPr>
          <w:i/>
          <w:sz w:val="18"/>
          <w:szCs w:val="18"/>
        </w:rPr>
        <w:tab/>
        <w:t>16</w:t>
      </w:r>
    </w:p>
    <w:p w14:paraId="69383044"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22</w:t>
      </w:r>
      <w:r>
        <w:rPr>
          <w:i/>
          <w:sz w:val="18"/>
          <w:szCs w:val="18"/>
        </w:rPr>
        <w:tab/>
        <w:t>Year 8</w:t>
      </w:r>
      <w:r w:rsidRPr="00A70824">
        <w:rPr>
          <w:i/>
          <w:sz w:val="18"/>
          <w:szCs w:val="18"/>
        </w:rPr>
        <w:t xml:space="preserve"> </w:t>
      </w:r>
      <w:r>
        <w:rPr>
          <w:i/>
          <w:sz w:val="18"/>
          <w:szCs w:val="18"/>
        </w:rPr>
        <w:t>2015 Numeracy overall performance</w:t>
      </w:r>
      <w:r>
        <w:rPr>
          <w:i/>
          <w:sz w:val="18"/>
          <w:szCs w:val="18"/>
        </w:rPr>
        <w:tab/>
        <w:t>17</w:t>
      </w:r>
    </w:p>
    <w:p w14:paraId="2BA07CF1" w14:textId="77777777" w:rsidR="00221671" w:rsidRPr="00A70824" w:rsidRDefault="00221671" w:rsidP="00ED0631">
      <w:pPr>
        <w:tabs>
          <w:tab w:val="left" w:pos="1418"/>
          <w:tab w:val="right" w:pos="8364"/>
        </w:tabs>
        <w:ind w:left="709"/>
        <w:rPr>
          <w:i/>
          <w:sz w:val="18"/>
          <w:szCs w:val="18"/>
        </w:rPr>
      </w:pPr>
      <w:r w:rsidRPr="00A70824">
        <w:rPr>
          <w:b/>
          <w:i/>
          <w:sz w:val="18"/>
          <w:szCs w:val="18"/>
        </w:rPr>
        <w:t xml:space="preserve">Fig </w:t>
      </w:r>
      <w:r>
        <w:rPr>
          <w:b/>
          <w:i/>
          <w:sz w:val="18"/>
          <w:szCs w:val="18"/>
        </w:rPr>
        <w:t>23</w:t>
      </w:r>
      <w:r w:rsidRPr="00A70824">
        <w:rPr>
          <w:i/>
          <w:sz w:val="18"/>
          <w:szCs w:val="18"/>
        </w:rPr>
        <w:tab/>
        <w:t xml:space="preserve">Year </w:t>
      </w:r>
      <w:r>
        <w:rPr>
          <w:i/>
          <w:sz w:val="18"/>
          <w:szCs w:val="18"/>
        </w:rPr>
        <w:t>8</w:t>
      </w:r>
      <w:r w:rsidRPr="00A70824">
        <w:rPr>
          <w:i/>
          <w:sz w:val="18"/>
          <w:szCs w:val="18"/>
        </w:rPr>
        <w:t xml:space="preserve"> </w:t>
      </w:r>
      <w:r>
        <w:rPr>
          <w:i/>
          <w:sz w:val="18"/>
          <w:szCs w:val="18"/>
        </w:rPr>
        <w:t>2015 numeracy component performance</w:t>
      </w:r>
      <w:r>
        <w:rPr>
          <w:i/>
          <w:sz w:val="18"/>
          <w:szCs w:val="18"/>
        </w:rPr>
        <w:tab/>
        <w:t>17</w:t>
      </w:r>
    </w:p>
    <w:p w14:paraId="46E5F408" w14:textId="77777777" w:rsidR="00221671" w:rsidRPr="00E928B7" w:rsidRDefault="00221671" w:rsidP="00ED0631">
      <w:pPr>
        <w:tabs>
          <w:tab w:val="left" w:pos="1418"/>
          <w:tab w:val="right" w:pos="8364"/>
        </w:tabs>
        <w:ind w:left="709"/>
        <w:rPr>
          <w:i/>
          <w:sz w:val="18"/>
          <w:szCs w:val="18"/>
        </w:rPr>
      </w:pPr>
      <w:r w:rsidRPr="00E928B7">
        <w:rPr>
          <w:b/>
          <w:i/>
          <w:sz w:val="18"/>
          <w:szCs w:val="18"/>
        </w:rPr>
        <w:t xml:space="preserve">Fig </w:t>
      </w:r>
      <w:r>
        <w:rPr>
          <w:b/>
          <w:i/>
          <w:sz w:val="18"/>
          <w:szCs w:val="18"/>
        </w:rPr>
        <w:t>24</w:t>
      </w:r>
      <w:r>
        <w:rPr>
          <w:i/>
          <w:sz w:val="18"/>
          <w:szCs w:val="18"/>
        </w:rPr>
        <w:tab/>
        <w:t>Year 8</w:t>
      </w:r>
      <w:r w:rsidRPr="00E928B7">
        <w:rPr>
          <w:i/>
          <w:sz w:val="18"/>
          <w:szCs w:val="18"/>
        </w:rPr>
        <w:t xml:space="preserve"> </w:t>
      </w:r>
      <w:r>
        <w:rPr>
          <w:i/>
          <w:sz w:val="18"/>
          <w:szCs w:val="18"/>
        </w:rPr>
        <w:t>numeracy</w:t>
      </w:r>
      <w:r w:rsidRPr="00E928B7">
        <w:rPr>
          <w:i/>
          <w:sz w:val="18"/>
          <w:szCs w:val="18"/>
        </w:rPr>
        <w:t xml:space="preserve"> performance by gender</w:t>
      </w:r>
      <w:r>
        <w:rPr>
          <w:i/>
          <w:sz w:val="18"/>
          <w:szCs w:val="18"/>
        </w:rPr>
        <w:tab/>
        <w:t>18</w:t>
      </w:r>
    </w:p>
    <w:p w14:paraId="7ECF9F82" w14:textId="77777777" w:rsidR="00221671" w:rsidRPr="006459B4" w:rsidRDefault="00221671" w:rsidP="00ED0631">
      <w:pPr>
        <w:tabs>
          <w:tab w:val="left" w:pos="8080"/>
        </w:tabs>
        <w:rPr>
          <w:b/>
          <w:szCs w:val="22"/>
        </w:rPr>
      </w:pPr>
    </w:p>
    <w:p w14:paraId="7E273ECD" w14:textId="77777777" w:rsidR="00221671" w:rsidRPr="00D02E3A" w:rsidRDefault="00221671" w:rsidP="00ED0631">
      <w:pPr>
        <w:tabs>
          <w:tab w:val="left" w:pos="8080"/>
        </w:tabs>
        <w:ind w:left="851" w:hanging="851"/>
        <w:rPr>
          <w:b/>
        </w:rPr>
      </w:pPr>
      <w:r w:rsidRPr="00D02E3A">
        <w:rPr>
          <w:b/>
        </w:rPr>
        <w:t>Tables</w:t>
      </w:r>
    </w:p>
    <w:p w14:paraId="42A132FC" w14:textId="77777777" w:rsidR="00221671" w:rsidRPr="00AE7B4F" w:rsidRDefault="00221671" w:rsidP="00ED0631">
      <w:pPr>
        <w:tabs>
          <w:tab w:val="left" w:pos="709"/>
          <w:tab w:val="right" w:pos="8364"/>
        </w:tabs>
        <w:ind w:left="1418" w:hanging="709"/>
        <w:rPr>
          <w:i/>
          <w:sz w:val="18"/>
          <w:szCs w:val="18"/>
        </w:rPr>
      </w:pPr>
      <w:r w:rsidRPr="00AE7B4F">
        <w:rPr>
          <w:i/>
          <w:sz w:val="18"/>
          <w:szCs w:val="18"/>
        </w:rPr>
        <w:t>Table 1</w:t>
      </w:r>
      <w:r w:rsidRPr="00AE7B4F">
        <w:rPr>
          <w:i/>
          <w:sz w:val="18"/>
          <w:szCs w:val="18"/>
        </w:rPr>
        <w:tab/>
        <w:t>Student participation in STAKI tests in 2015</w:t>
      </w:r>
      <w:r w:rsidRPr="00AE7B4F">
        <w:rPr>
          <w:i/>
          <w:sz w:val="18"/>
          <w:szCs w:val="18"/>
        </w:rPr>
        <w:tab/>
        <w:t>2</w:t>
      </w:r>
    </w:p>
    <w:p w14:paraId="3D2DD8C5"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2</w:t>
      </w:r>
      <w:r w:rsidRPr="00AE7B4F">
        <w:rPr>
          <w:rFonts w:cs="Arial"/>
          <w:i/>
          <w:sz w:val="18"/>
          <w:szCs w:val="18"/>
        </w:rPr>
        <w:tab/>
        <w:t>Year 4 English performance by district</w:t>
      </w:r>
      <w:r w:rsidRPr="00AE7B4F">
        <w:rPr>
          <w:rFonts w:cs="Arial"/>
          <w:i/>
          <w:sz w:val="18"/>
          <w:szCs w:val="18"/>
        </w:rPr>
        <w:tab/>
        <w:t>4</w:t>
      </w:r>
    </w:p>
    <w:p w14:paraId="22E1D4A3"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3</w:t>
      </w:r>
      <w:r w:rsidRPr="00AE7B4F">
        <w:rPr>
          <w:rFonts w:cs="Arial"/>
          <w:i/>
          <w:sz w:val="18"/>
          <w:szCs w:val="18"/>
        </w:rPr>
        <w:tab/>
        <w:t>Year 6 English performance by district</w:t>
      </w:r>
      <w:r w:rsidRPr="00AE7B4F">
        <w:rPr>
          <w:rFonts w:cs="Arial"/>
          <w:i/>
          <w:sz w:val="18"/>
          <w:szCs w:val="18"/>
        </w:rPr>
        <w:tab/>
        <w:t>6</w:t>
      </w:r>
    </w:p>
    <w:p w14:paraId="4CA7273D"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4</w:t>
      </w:r>
      <w:r w:rsidRPr="00AE7B4F">
        <w:rPr>
          <w:rFonts w:cs="Arial"/>
          <w:i/>
          <w:sz w:val="18"/>
          <w:szCs w:val="18"/>
        </w:rPr>
        <w:tab/>
        <w:t>Year 8 English performance by district</w:t>
      </w:r>
      <w:r w:rsidRPr="00AE7B4F">
        <w:rPr>
          <w:rFonts w:cs="Arial"/>
          <w:i/>
          <w:sz w:val="18"/>
          <w:szCs w:val="18"/>
        </w:rPr>
        <w:tab/>
        <w:t>8</w:t>
      </w:r>
    </w:p>
    <w:p w14:paraId="43992793"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5</w:t>
      </w:r>
      <w:r w:rsidRPr="00AE7B4F">
        <w:rPr>
          <w:rFonts w:cs="Arial"/>
          <w:i/>
          <w:sz w:val="18"/>
          <w:szCs w:val="18"/>
        </w:rPr>
        <w:tab/>
        <w:t>Year 4 te-Kiribati literacy performance by district</w:t>
      </w:r>
      <w:r w:rsidRPr="00AE7B4F">
        <w:rPr>
          <w:rFonts w:cs="Arial"/>
          <w:i/>
          <w:sz w:val="18"/>
          <w:szCs w:val="18"/>
        </w:rPr>
        <w:tab/>
        <w:t>10</w:t>
      </w:r>
    </w:p>
    <w:p w14:paraId="65901921" w14:textId="77777777" w:rsidR="00221671" w:rsidRPr="00AE7B4F" w:rsidRDefault="00221671" w:rsidP="00ED0631">
      <w:pPr>
        <w:tabs>
          <w:tab w:val="right" w:pos="8364"/>
        </w:tabs>
        <w:ind w:left="1418" w:hanging="709"/>
        <w:rPr>
          <w:rFonts w:eastAsia="Times New Roman" w:cs="Arial"/>
          <w:i/>
          <w:sz w:val="18"/>
          <w:szCs w:val="18"/>
        </w:rPr>
      </w:pPr>
      <w:r w:rsidRPr="00AE7B4F">
        <w:rPr>
          <w:rFonts w:eastAsia="Times New Roman" w:cs="Arial"/>
          <w:i/>
          <w:sz w:val="18"/>
          <w:szCs w:val="18"/>
        </w:rPr>
        <w:t>Table 6</w:t>
      </w:r>
      <w:r w:rsidRPr="00AE7B4F">
        <w:rPr>
          <w:rFonts w:eastAsia="Times New Roman" w:cs="Arial"/>
          <w:i/>
          <w:sz w:val="18"/>
          <w:szCs w:val="18"/>
        </w:rPr>
        <w:tab/>
        <w:t>te-Kiribati performance by district</w:t>
      </w:r>
      <w:r w:rsidRPr="00AE7B4F">
        <w:rPr>
          <w:rFonts w:eastAsia="Times New Roman" w:cs="Arial"/>
          <w:i/>
          <w:sz w:val="18"/>
          <w:szCs w:val="18"/>
        </w:rPr>
        <w:tab/>
        <w:t>12</w:t>
      </w:r>
    </w:p>
    <w:p w14:paraId="6420E1F3"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7</w:t>
      </w:r>
      <w:r w:rsidRPr="00AE7B4F">
        <w:rPr>
          <w:rFonts w:cs="Arial"/>
          <w:i/>
          <w:sz w:val="18"/>
          <w:szCs w:val="18"/>
        </w:rPr>
        <w:tab/>
        <w:t>Year 4 numeracy performance by district</w:t>
      </w:r>
      <w:r w:rsidRPr="00AE7B4F">
        <w:rPr>
          <w:rFonts w:cs="Arial"/>
          <w:i/>
          <w:sz w:val="18"/>
          <w:szCs w:val="18"/>
        </w:rPr>
        <w:tab/>
        <w:t>13</w:t>
      </w:r>
    </w:p>
    <w:p w14:paraId="5C8914BF"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8</w:t>
      </w:r>
      <w:r w:rsidRPr="00AE7B4F">
        <w:rPr>
          <w:rFonts w:cs="Arial"/>
          <w:i/>
          <w:sz w:val="18"/>
          <w:szCs w:val="18"/>
        </w:rPr>
        <w:tab/>
        <w:t>Year 6 numeracy performance by district</w:t>
      </w:r>
      <w:r w:rsidRPr="00AE7B4F">
        <w:rPr>
          <w:rFonts w:cs="Arial"/>
          <w:i/>
          <w:sz w:val="18"/>
          <w:szCs w:val="18"/>
        </w:rPr>
        <w:tab/>
        <w:t>15</w:t>
      </w:r>
    </w:p>
    <w:p w14:paraId="11EDCBB1" w14:textId="77777777" w:rsidR="00221671" w:rsidRPr="00AE7B4F" w:rsidRDefault="00221671" w:rsidP="00ED0631">
      <w:pPr>
        <w:tabs>
          <w:tab w:val="right" w:pos="8364"/>
        </w:tabs>
        <w:ind w:left="1418" w:hanging="709"/>
        <w:rPr>
          <w:rFonts w:cs="Arial"/>
          <w:i/>
          <w:sz w:val="18"/>
          <w:szCs w:val="18"/>
        </w:rPr>
      </w:pPr>
      <w:r w:rsidRPr="00AE7B4F">
        <w:rPr>
          <w:rFonts w:cs="Arial"/>
          <w:i/>
          <w:sz w:val="18"/>
          <w:szCs w:val="18"/>
        </w:rPr>
        <w:t>Table 9</w:t>
      </w:r>
      <w:r w:rsidRPr="00AE7B4F">
        <w:rPr>
          <w:rFonts w:cs="Arial"/>
          <w:i/>
          <w:sz w:val="18"/>
          <w:szCs w:val="18"/>
        </w:rPr>
        <w:tab/>
        <w:t>Year 8 Numeracy performance by district</w:t>
      </w:r>
      <w:r w:rsidRPr="00AE7B4F">
        <w:rPr>
          <w:rFonts w:cs="Arial"/>
          <w:i/>
          <w:sz w:val="18"/>
          <w:szCs w:val="18"/>
        </w:rPr>
        <w:tab/>
        <w:t>18</w:t>
      </w:r>
    </w:p>
    <w:p w14:paraId="6AABF2C8" w14:textId="77777777" w:rsidR="00221671" w:rsidRDefault="00221671" w:rsidP="00ED0631">
      <w:pPr>
        <w:tabs>
          <w:tab w:val="left" w:pos="8080"/>
          <w:tab w:val="left" w:pos="8364"/>
        </w:tabs>
        <w:ind w:left="1418" w:hanging="709"/>
        <w:rPr>
          <w:i/>
          <w:sz w:val="18"/>
          <w:szCs w:val="18"/>
        </w:rPr>
      </w:pPr>
      <w:r w:rsidRPr="00AE7B4F">
        <w:rPr>
          <w:i/>
          <w:sz w:val="18"/>
          <w:szCs w:val="18"/>
        </w:rPr>
        <w:t xml:space="preserve">Table </w:t>
      </w:r>
      <w:r>
        <w:rPr>
          <w:i/>
          <w:sz w:val="18"/>
          <w:szCs w:val="18"/>
        </w:rPr>
        <w:t>10</w:t>
      </w:r>
      <w:r w:rsidRPr="00AE7B4F">
        <w:rPr>
          <w:i/>
          <w:sz w:val="18"/>
          <w:szCs w:val="18"/>
        </w:rPr>
        <w:tab/>
      </w:r>
      <w:r>
        <w:rPr>
          <w:i/>
          <w:sz w:val="18"/>
          <w:szCs w:val="18"/>
        </w:rPr>
        <w:t xml:space="preserve"> </w:t>
      </w:r>
      <w:r w:rsidRPr="00AE7B4F">
        <w:rPr>
          <w:i/>
          <w:sz w:val="18"/>
          <w:szCs w:val="18"/>
        </w:rPr>
        <w:t xml:space="preserve">Percentage of students demonstrating achievement at the expected </w:t>
      </w:r>
    </w:p>
    <w:p w14:paraId="618DC64F" w14:textId="77777777" w:rsidR="00221671" w:rsidRPr="00AE7B4F" w:rsidRDefault="00221671" w:rsidP="00ED0631">
      <w:pPr>
        <w:tabs>
          <w:tab w:val="right" w:pos="8364"/>
        </w:tabs>
        <w:ind w:left="1418" w:hanging="709"/>
        <w:rPr>
          <w:i/>
          <w:sz w:val="18"/>
          <w:szCs w:val="18"/>
        </w:rPr>
      </w:pPr>
      <w:r>
        <w:rPr>
          <w:i/>
          <w:sz w:val="18"/>
          <w:szCs w:val="18"/>
        </w:rPr>
        <w:tab/>
      </w:r>
      <w:r w:rsidRPr="00AE7B4F">
        <w:rPr>
          <w:i/>
          <w:sz w:val="18"/>
          <w:szCs w:val="18"/>
        </w:rPr>
        <w:t>standard 2007 - 2015</w:t>
      </w:r>
      <w:r>
        <w:rPr>
          <w:i/>
          <w:sz w:val="18"/>
          <w:szCs w:val="18"/>
        </w:rPr>
        <w:tab/>
        <w:t>19</w:t>
      </w:r>
    </w:p>
    <w:p w14:paraId="16FDB4DF" w14:textId="77777777" w:rsidR="00221671" w:rsidRPr="00386BE1" w:rsidRDefault="00221671" w:rsidP="00ED0631">
      <w:pPr>
        <w:tabs>
          <w:tab w:val="right" w:pos="8364"/>
        </w:tabs>
        <w:ind w:left="1418" w:hanging="709"/>
        <w:rPr>
          <w:i/>
          <w:sz w:val="18"/>
          <w:szCs w:val="18"/>
        </w:rPr>
      </w:pPr>
      <w:r w:rsidRPr="00AE7B4F">
        <w:rPr>
          <w:i/>
          <w:sz w:val="18"/>
          <w:szCs w:val="18"/>
        </w:rPr>
        <w:t xml:space="preserve">Table </w:t>
      </w:r>
      <w:r>
        <w:rPr>
          <w:i/>
          <w:sz w:val="18"/>
          <w:szCs w:val="18"/>
        </w:rPr>
        <w:t>11</w:t>
      </w:r>
      <w:r w:rsidRPr="00AE7B4F">
        <w:rPr>
          <w:i/>
          <w:sz w:val="18"/>
          <w:szCs w:val="18"/>
        </w:rPr>
        <w:tab/>
      </w:r>
      <w:r>
        <w:rPr>
          <w:i/>
          <w:sz w:val="18"/>
          <w:szCs w:val="18"/>
        </w:rPr>
        <w:t xml:space="preserve"> </w:t>
      </w:r>
      <w:r w:rsidRPr="00AE7B4F">
        <w:rPr>
          <w:i/>
          <w:sz w:val="18"/>
          <w:szCs w:val="18"/>
        </w:rPr>
        <w:t>Requirements for overall levels</w:t>
      </w:r>
      <w:r>
        <w:rPr>
          <w:i/>
          <w:sz w:val="18"/>
          <w:szCs w:val="18"/>
        </w:rPr>
        <w:tab/>
        <w:t>21</w:t>
      </w:r>
      <w:r w:rsidRPr="006459B4">
        <w:rPr>
          <w:b/>
          <w:szCs w:val="22"/>
        </w:rPr>
        <w:br w:type="page"/>
      </w:r>
    </w:p>
    <w:p w14:paraId="1E107F45" w14:textId="77777777" w:rsidR="00221671" w:rsidRPr="00E700FC" w:rsidRDefault="00221671" w:rsidP="00551D83">
      <w:pPr>
        <w:pStyle w:val="Heading1"/>
      </w:pPr>
      <w:r w:rsidRPr="00E700FC">
        <w:lastRenderedPageBreak/>
        <w:t>Executive Summary</w:t>
      </w:r>
    </w:p>
    <w:p w14:paraId="79EF2CA4" w14:textId="2A3CA520" w:rsidR="00221671" w:rsidRPr="000C1FB0" w:rsidRDefault="00221671" w:rsidP="00ED0631">
      <w:pPr>
        <w:spacing w:before="140" w:after="140"/>
        <w:jc w:val="both"/>
        <w:rPr>
          <w:rFonts w:cs="Arial"/>
          <w:szCs w:val="22"/>
        </w:rPr>
      </w:pPr>
      <w:r w:rsidRPr="000C1FB0">
        <w:rPr>
          <w:rFonts w:cs="Arial"/>
          <w:szCs w:val="22"/>
        </w:rPr>
        <w:t>The Ministry of Education has completed the process of cur</w:t>
      </w:r>
      <w:r w:rsidR="00AA73E1">
        <w:rPr>
          <w:rFonts w:cs="Arial"/>
          <w:szCs w:val="22"/>
        </w:rPr>
        <w:t xml:space="preserve">riculum renewal in </w:t>
      </w:r>
      <w:r>
        <w:rPr>
          <w:rFonts w:cs="Arial"/>
          <w:szCs w:val="22"/>
        </w:rPr>
        <w:t>Years 1 - 4</w:t>
      </w:r>
      <w:r w:rsidRPr="000C1FB0">
        <w:rPr>
          <w:rFonts w:cs="Arial"/>
          <w:szCs w:val="22"/>
        </w:rPr>
        <w:t>. This is a part of the implementation of the National Curriculum and Assessment Framework (NCAF). Years 1 and 2 were initially implemented in 2013, Year 3 was implemented in 2014 and Year 4 in 2015.</w:t>
      </w:r>
    </w:p>
    <w:p w14:paraId="679080B8" w14:textId="77777777" w:rsidR="00221671" w:rsidRPr="000C1FB0" w:rsidRDefault="00221671" w:rsidP="00ED0631">
      <w:pPr>
        <w:spacing w:before="140" w:after="140"/>
        <w:jc w:val="both"/>
        <w:rPr>
          <w:rFonts w:cs="Arial"/>
          <w:szCs w:val="22"/>
        </w:rPr>
      </w:pPr>
      <w:r w:rsidRPr="000C1FB0">
        <w:rPr>
          <w:rFonts w:cs="Arial"/>
          <w:szCs w:val="22"/>
        </w:rPr>
        <w:t xml:space="preserve">The Ministry of Education has been running monitoring tests (known as the </w:t>
      </w:r>
      <w:r w:rsidRPr="000C1FB0">
        <w:rPr>
          <w:rFonts w:cs="Arial"/>
          <w:i/>
          <w:szCs w:val="22"/>
        </w:rPr>
        <w:t>Standardised Tests of Achievement in Kiribati</w:t>
      </w:r>
      <w:r w:rsidRPr="000C1FB0">
        <w:rPr>
          <w:rFonts w:cs="Arial"/>
          <w:szCs w:val="22"/>
        </w:rPr>
        <w:t xml:space="preserve"> - </w:t>
      </w:r>
      <w:r w:rsidRPr="000C1FB0">
        <w:rPr>
          <w:rFonts w:cs="Arial"/>
          <w:i/>
          <w:szCs w:val="22"/>
        </w:rPr>
        <w:t>STAKI</w:t>
      </w:r>
      <w:r>
        <w:rPr>
          <w:rFonts w:cs="Arial"/>
          <w:szCs w:val="22"/>
        </w:rPr>
        <w:t>) since 2004. The tests cover</w:t>
      </w:r>
      <w:r w:rsidRPr="000C1FB0">
        <w:rPr>
          <w:rFonts w:cs="Arial"/>
          <w:szCs w:val="22"/>
        </w:rPr>
        <w:t xml:space="preserve"> Year 4, 6 and 8 student achievements </w:t>
      </w:r>
      <w:r>
        <w:rPr>
          <w:rFonts w:cs="Arial"/>
          <w:szCs w:val="22"/>
        </w:rPr>
        <w:t>in numeracy and literacy (both t</w:t>
      </w:r>
      <w:r w:rsidRPr="000C1FB0">
        <w:rPr>
          <w:rFonts w:cs="Arial"/>
          <w:szCs w:val="22"/>
        </w:rPr>
        <w:t>e</w:t>
      </w:r>
      <w:r>
        <w:rPr>
          <w:rFonts w:cs="Arial"/>
          <w:szCs w:val="22"/>
        </w:rPr>
        <w:t>-</w:t>
      </w:r>
      <w:r w:rsidRPr="000C1FB0">
        <w:rPr>
          <w:rFonts w:cs="Arial"/>
          <w:szCs w:val="22"/>
        </w:rPr>
        <w:t>Kiribati and English). The tests have been run every two years since 2007 with the most recent tests done by students in years 4, 6 and 8 in October, 2015.</w:t>
      </w:r>
    </w:p>
    <w:p w14:paraId="2DA6F779" w14:textId="77777777" w:rsidR="00221671" w:rsidRPr="000C1FB0" w:rsidRDefault="00221671" w:rsidP="00ED0631">
      <w:pPr>
        <w:spacing w:before="140" w:after="140"/>
        <w:jc w:val="both"/>
        <w:rPr>
          <w:rFonts w:cs="Arial"/>
          <w:szCs w:val="22"/>
        </w:rPr>
      </w:pPr>
      <w:r w:rsidRPr="000C1FB0">
        <w:rPr>
          <w:rFonts w:cs="Arial"/>
          <w:szCs w:val="22"/>
        </w:rPr>
        <w:t>2313 Year 4 students, 1935 Year 6 students and 1350 Year 8 students sat the 2015 tests.</w:t>
      </w:r>
    </w:p>
    <w:p w14:paraId="7970B49F" w14:textId="77777777" w:rsidR="00221671" w:rsidRPr="000C1FB0" w:rsidRDefault="00221671" w:rsidP="00ED0631">
      <w:pPr>
        <w:spacing w:before="140" w:after="140"/>
        <w:jc w:val="both"/>
        <w:rPr>
          <w:szCs w:val="22"/>
        </w:rPr>
      </w:pPr>
      <w:r w:rsidRPr="000C1FB0">
        <w:rPr>
          <w:szCs w:val="22"/>
        </w:rPr>
        <w:t xml:space="preserve">The regional </w:t>
      </w:r>
      <w:r w:rsidRPr="000C1FB0">
        <w:rPr>
          <w:i/>
          <w:szCs w:val="22"/>
        </w:rPr>
        <w:t>Pacific Literacy and Numeracy Assessments</w:t>
      </w:r>
      <w:r w:rsidRPr="000C1FB0">
        <w:rPr>
          <w:szCs w:val="22"/>
        </w:rPr>
        <w:t xml:space="preserve"> - </w:t>
      </w:r>
      <w:r w:rsidRPr="000C1FB0">
        <w:rPr>
          <w:i/>
          <w:szCs w:val="22"/>
        </w:rPr>
        <w:t>PILNA</w:t>
      </w:r>
      <w:r w:rsidRPr="000C1FB0">
        <w:rPr>
          <w:szCs w:val="22"/>
        </w:rPr>
        <w:t xml:space="preserve"> were also due to be run in October. The Ministry co-operated with the Education Quality and Assessment Programme of SPC (EQAP), the managers of PILNA, to use the PILNA tests were possible. Consequently, the Year 4 and 6 numeracy tests, the Year 4 te-Kiribati test and the Year 6 English test were prepared, printed and the marking was managed by EQAP.</w:t>
      </w:r>
    </w:p>
    <w:p w14:paraId="73CE2587" w14:textId="77777777" w:rsidR="00221671" w:rsidRPr="000C1FB0" w:rsidRDefault="00221671" w:rsidP="00ED0631">
      <w:pPr>
        <w:spacing w:before="140" w:after="140"/>
        <w:jc w:val="both"/>
        <w:rPr>
          <w:rFonts w:cs="Arial"/>
          <w:szCs w:val="22"/>
        </w:rPr>
      </w:pPr>
      <w:r w:rsidRPr="000C1FB0">
        <w:rPr>
          <w:rFonts w:cs="Arial"/>
          <w:szCs w:val="22"/>
        </w:rPr>
        <w:t xml:space="preserve">The test papers were marked by teams of </w:t>
      </w:r>
      <w:r>
        <w:rPr>
          <w:rFonts w:cs="Arial"/>
          <w:szCs w:val="22"/>
        </w:rPr>
        <w:t xml:space="preserve">Kiribati </w:t>
      </w:r>
      <w:r w:rsidRPr="000C1FB0">
        <w:rPr>
          <w:rFonts w:cs="Arial"/>
          <w:szCs w:val="22"/>
        </w:rPr>
        <w:t>teachers in December and subsequently analysed by officers based in the Examinations and Assessment Unit (EAU).</w:t>
      </w:r>
    </w:p>
    <w:p w14:paraId="4682B04B" w14:textId="77777777" w:rsidR="00221671" w:rsidRPr="000C1FB0" w:rsidRDefault="00221671" w:rsidP="00ED0631">
      <w:pPr>
        <w:spacing w:before="140" w:after="140"/>
        <w:jc w:val="both"/>
        <w:rPr>
          <w:rFonts w:cs="Arial"/>
          <w:szCs w:val="22"/>
        </w:rPr>
      </w:pPr>
      <w:r>
        <w:rPr>
          <w:rFonts w:cs="Arial"/>
          <w:szCs w:val="22"/>
        </w:rPr>
        <w:t>In addition to this report each school receives details of their student's performance and of their performance relative to other Kiribati schools</w:t>
      </w:r>
      <w:r w:rsidRPr="000C1FB0">
        <w:rPr>
          <w:rFonts w:cs="Arial"/>
          <w:szCs w:val="22"/>
        </w:rPr>
        <w:t>.</w:t>
      </w:r>
    </w:p>
    <w:p w14:paraId="1EB1F7A7" w14:textId="77777777" w:rsidR="00221671" w:rsidRDefault="00221671" w:rsidP="00551D83">
      <w:pPr>
        <w:pStyle w:val="Heading2"/>
      </w:pPr>
      <w:r w:rsidRPr="000C1FB0">
        <w:t>Findings</w:t>
      </w:r>
      <w:r>
        <w:t>:</w:t>
      </w:r>
    </w:p>
    <w:p w14:paraId="2C76834F" w14:textId="77777777" w:rsidR="00221671" w:rsidRPr="000C1FB0" w:rsidRDefault="00221671" w:rsidP="00ED0631">
      <w:pPr>
        <w:spacing w:before="140" w:after="140"/>
        <w:jc w:val="both"/>
        <w:rPr>
          <w:rFonts w:cs="Arial"/>
          <w:szCs w:val="22"/>
        </w:rPr>
      </w:pPr>
      <w:r w:rsidRPr="000C1FB0">
        <w:rPr>
          <w:rFonts w:cs="Arial"/>
          <w:szCs w:val="22"/>
        </w:rPr>
        <w:t>The following issues stand out and need to be considered by policy-makers and other stakeholders -</w:t>
      </w:r>
    </w:p>
    <w:p w14:paraId="599825AB" w14:textId="77777777" w:rsidR="00221671" w:rsidRDefault="00221671" w:rsidP="00ED0631">
      <w:pPr>
        <w:spacing w:before="140" w:after="140"/>
        <w:ind w:left="720" w:hanging="720"/>
        <w:jc w:val="both"/>
        <w:rPr>
          <w:rFonts w:cs="Arial"/>
          <w:szCs w:val="22"/>
        </w:rPr>
      </w:pPr>
      <w:r>
        <w:rPr>
          <w:rFonts w:cs="Arial"/>
          <w:szCs w:val="22"/>
        </w:rPr>
        <w:t>1.</w:t>
      </w:r>
      <w:r>
        <w:rPr>
          <w:rFonts w:cs="Arial"/>
          <w:szCs w:val="22"/>
        </w:rPr>
        <w:tab/>
      </w:r>
      <w:r w:rsidRPr="000C1FB0">
        <w:rPr>
          <w:rFonts w:cs="Arial"/>
          <w:szCs w:val="22"/>
        </w:rPr>
        <w:t>Girls perform</w:t>
      </w:r>
      <w:r>
        <w:rPr>
          <w:rFonts w:cs="Arial"/>
          <w:szCs w:val="22"/>
        </w:rPr>
        <w:t>ed</w:t>
      </w:r>
      <w:r w:rsidRPr="000C1FB0">
        <w:rPr>
          <w:rFonts w:cs="Arial"/>
          <w:szCs w:val="22"/>
        </w:rPr>
        <w:t xml:space="preserve"> better than boys in all tests. </w:t>
      </w:r>
      <w:r>
        <w:rPr>
          <w:rFonts w:cs="Arial"/>
          <w:szCs w:val="22"/>
        </w:rPr>
        <w:t>In t</w:t>
      </w:r>
      <w:r w:rsidRPr="000C1FB0">
        <w:rPr>
          <w:rFonts w:cs="Arial"/>
          <w:szCs w:val="22"/>
        </w:rPr>
        <w:t>e-Kiribati, where comparisons were technically possible, Year 6 girls are performing at levels similar to Year 8 boys.</w:t>
      </w:r>
    </w:p>
    <w:p w14:paraId="3CEA0543" w14:textId="77777777" w:rsidR="00221671" w:rsidRDefault="00221671" w:rsidP="00ED0631">
      <w:pPr>
        <w:spacing w:before="140" w:after="140"/>
        <w:ind w:left="720" w:hanging="720"/>
        <w:jc w:val="both"/>
        <w:rPr>
          <w:rFonts w:cs="Arial"/>
          <w:szCs w:val="22"/>
        </w:rPr>
      </w:pPr>
      <w:r>
        <w:rPr>
          <w:rFonts w:cs="Arial"/>
          <w:szCs w:val="22"/>
        </w:rPr>
        <w:t>2.</w:t>
      </w:r>
      <w:r>
        <w:rPr>
          <w:rFonts w:cs="Arial"/>
          <w:szCs w:val="22"/>
        </w:rPr>
        <w:tab/>
      </w:r>
      <w:r w:rsidRPr="000C1FB0">
        <w:rPr>
          <w:rFonts w:cs="Arial"/>
          <w:szCs w:val="22"/>
        </w:rPr>
        <w:t xml:space="preserve">A larger proportion of student enrolments were present for the tests than in 2013. Year 4 attendance increased by 13% as it went from 76% in 2013 to 89% in 2015.  Year 6 improved from 79% to 88%. This suggests that daily </w:t>
      </w:r>
      <w:r>
        <w:rPr>
          <w:rFonts w:cs="Arial"/>
          <w:szCs w:val="22"/>
        </w:rPr>
        <w:t>primary school attendance is improving, especially at Year 4.</w:t>
      </w:r>
    </w:p>
    <w:p w14:paraId="78D8A3A4" w14:textId="77777777" w:rsidR="00221671" w:rsidRDefault="00221671" w:rsidP="00ED0631">
      <w:pPr>
        <w:spacing w:before="140" w:after="140"/>
        <w:rPr>
          <w:rFonts w:cs="Arial"/>
          <w:szCs w:val="22"/>
          <w:u w:val="single"/>
        </w:rPr>
      </w:pPr>
      <w:r>
        <w:rPr>
          <w:rFonts w:cs="Arial"/>
          <w:szCs w:val="22"/>
        </w:rPr>
        <w:t>3.</w:t>
      </w:r>
      <w:r>
        <w:rPr>
          <w:rFonts w:cs="Arial"/>
          <w:szCs w:val="22"/>
        </w:rPr>
        <w:tab/>
      </w:r>
      <w:r w:rsidRPr="000C1FB0">
        <w:rPr>
          <w:rFonts w:cs="Arial"/>
          <w:szCs w:val="22"/>
          <w:u w:val="single"/>
        </w:rPr>
        <w:t>English literacy</w:t>
      </w:r>
    </w:p>
    <w:p w14:paraId="2A0AD5A6" w14:textId="77777777" w:rsidR="00221671" w:rsidRPr="00551D83" w:rsidRDefault="00221671" w:rsidP="00AE24CE">
      <w:pPr>
        <w:pStyle w:val="normalnormalheading1"/>
        <w:numPr>
          <w:ilvl w:val="0"/>
          <w:numId w:val="43"/>
        </w:numPr>
        <w:spacing w:before="140" w:after="140"/>
        <w:rPr>
          <w:rFonts w:asciiTheme="minorHAnsi" w:eastAsiaTheme="minorHAnsi" w:hAnsiTheme="minorHAnsi"/>
          <w:sz w:val="20"/>
        </w:rPr>
      </w:pPr>
      <w:r w:rsidRPr="00551D83">
        <w:rPr>
          <w:rFonts w:asciiTheme="minorHAnsi" w:eastAsiaTheme="minorHAnsi" w:hAnsiTheme="minorHAnsi"/>
          <w:sz w:val="20"/>
        </w:rPr>
        <w:t>In year 4, at 27%, there has been little change in the percentage of students achieving the expected overall standard however 70% of the students are working at a level that can be considered to be 'minimally acceptable' for their year level.</w:t>
      </w:r>
    </w:p>
    <w:p w14:paraId="7CB2F993" w14:textId="3CD8A541" w:rsidR="00221671" w:rsidRPr="00551D83" w:rsidRDefault="002D28B3" w:rsidP="00AE24CE">
      <w:pPr>
        <w:pStyle w:val="normalnormalheading1"/>
        <w:numPr>
          <w:ilvl w:val="0"/>
          <w:numId w:val="43"/>
        </w:numPr>
        <w:spacing w:before="140" w:after="140"/>
        <w:rPr>
          <w:rFonts w:asciiTheme="minorHAnsi" w:eastAsiaTheme="minorHAnsi" w:hAnsiTheme="minorHAnsi"/>
          <w:sz w:val="20"/>
        </w:rPr>
      </w:pPr>
      <w:r>
        <w:rPr>
          <w:rFonts w:asciiTheme="minorHAnsi" w:eastAsiaTheme="minorHAnsi" w:hAnsiTheme="minorHAnsi"/>
          <w:sz w:val="20"/>
        </w:rPr>
        <w:t>T</w:t>
      </w:r>
      <w:r w:rsidR="00221671" w:rsidRPr="00551D83">
        <w:rPr>
          <w:rFonts w:asciiTheme="minorHAnsi" w:eastAsiaTheme="minorHAnsi" w:hAnsiTheme="minorHAnsi"/>
          <w:sz w:val="20"/>
        </w:rPr>
        <w:t>he proportion of very weak student performances in Year 4 has declined. This may reflect improved classroom engagement resulting from improved curriculum and pedagogy; an improved attitude towards and familiarity with testing or a combination of those and other factors.</w:t>
      </w:r>
    </w:p>
    <w:p w14:paraId="791D660C" w14:textId="77777777" w:rsidR="00221671" w:rsidRPr="00551D83" w:rsidRDefault="00221671" w:rsidP="00AE24CE">
      <w:pPr>
        <w:pStyle w:val="normalnormalheading1"/>
        <w:numPr>
          <w:ilvl w:val="0"/>
          <w:numId w:val="43"/>
        </w:numPr>
        <w:spacing w:before="140" w:after="140"/>
        <w:rPr>
          <w:rFonts w:asciiTheme="minorHAnsi" w:eastAsiaTheme="minorHAnsi" w:hAnsiTheme="minorHAnsi"/>
          <w:sz w:val="20"/>
        </w:rPr>
      </w:pPr>
      <w:r w:rsidRPr="00551D83">
        <w:rPr>
          <w:rFonts w:asciiTheme="minorHAnsi" w:eastAsiaTheme="minorHAnsi" w:hAnsiTheme="minorHAnsi"/>
          <w:sz w:val="20"/>
        </w:rPr>
        <w:t>In Year 6 the percentage of students achieving the expected overall standard has increased to 37% of students from 21% in 2013 and 81% of the students are working at a level that can be considered to be 'minimally acceptable' for their year level.</w:t>
      </w:r>
    </w:p>
    <w:p w14:paraId="77E0DF0E" w14:textId="77777777" w:rsidR="00221671" w:rsidRPr="00551D83" w:rsidRDefault="00221671" w:rsidP="00AE24CE">
      <w:pPr>
        <w:pStyle w:val="normalnormalheading1"/>
        <w:numPr>
          <w:ilvl w:val="0"/>
          <w:numId w:val="43"/>
        </w:numPr>
        <w:spacing w:before="140" w:after="140"/>
        <w:rPr>
          <w:rFonts w:asciiTheme="minorHAnsi" w:eastAsiaTheme="minorHAnsi" w:hAnsiTheme="minorHAnsi"/>
          <w:sz w:val="20"/>
        </w:rPr>
      </w:pPr>
      <w:r w:rsidRPr="00551D83">
        <w:rPr>
          <w:rFonts w:asciiTheme="minorHAnsi" w:eastAsiaTheme="minorHAnsi" w:hAnsiTheme="minorHAnsi"/>
          <w:sz w:val="20"/>
        </w:rPr>
        <w:t>In Year 8 only 20% of students are working at their expected level and just 56% of the students are working at a level that can be considered to be 'minimally acceptable' for their year level.</w:t>
      </w:r>
    </w:p>
    <w:p w14:paraId="08DA104E" w14:textId="1C5D61B5" w:rsidR="00221671" w:rsidRPr="00551D83" w:rsidRDefault="002D28B3" w:rsidP="00AE24CE">
      <w:pPr>
        <w:pStyle w:val="normalnormalheading1"/>
        <w:numPr>
          <w:ilvl w:val="0"/>
          <w:numId w:val="43"/>
        </w:numPr>
        <w:spacing w:before="140" w:after="140"/>
        <w:rPr>
          <w:rFonts w:asciiTheme="minorHAnsi" w:eastAsiaTheme="minorHAnsi" w:hAnsiTheme="minorHAnsi"/>
          <w:sz w:val="20"/>
        </w:rPr>
      </w:pPr>
      <w:r>
        <w:rPr>
          <w:rFonts w:asciiTheme="minorHAnsi" w:eastAsiaTheme="minorHAnsi" w:hAnsiTheme="minorHAnsi"/>
          <w:sz w:val="20"/>
        </w:rPr>
        <w:t>S</w:t>
      </w:r>
      <w:r w:rsidR="00221671" w:rsidRPr="00551D83">
        <w:rPr>
          <w:rFonts w:asciiTheme="minorHAnsi" w:eastAsiaTheme="minorHAnsi" w:hAnsiTheme="minorHAnsi"/>
          <w:sz w:val="20"/>
        </w:rPr>
        <w:t>kills in understanding and interpreting written texts, including instructions, are the most in need of development.</w:t>
      </w:r>
    </w:p>
    <w:p w14:paraId="30B02953" w14:textId="77777777" w:rsidR="00221671" w:rsidRDefault="00221671" w:rsidP="00ED0631">
      <w:pPr>
        <w:spacing w:before="140" w:after="140"/>
        <w:rPr>
          <w:rFonts w:cs="Arial"/>
          <w:szCs w:val="22"/>
          <w:u w:val="single"/>
        </w:rPr>
      </w:pPr>
      <w:r>
        <w:rPr>
          <w:rFonts w:cs="Arial"/>
          <w:szCs w:val="22"/>
        </w:rPr>
        <w:t>4.</w:t>
      </w:r>
      <w:r>
        <w:rPr>
          <w:rFonts w:cs="Arial"/>
          <w:szCs w:val="22"/>
        </w:rPr>
        <w:tab/>
      </w:r>
      <w:r w:rsidRPr="000C1FB0">
        <w:rPr>
          <w:rFonts w:cs="Arial"/>
          <w:szCs w:val="22"/>
          <w:u w:val="single"/>
        </w:rPr>
        <w:t>Te-Kiribati literacy</w:t>
      </w:r>
    </w:p>
    <w:p w14:paraId="712E1656" w14:textId="7976BA74" w:rsidR="00221671" w:rsidRPr="00551D83" w:rsidRDefault="002D28B3" w:rsidP="00AE24CE">
      <w:pPr>
        <w:pStyle w:val="normalnormalheading1"/>
        <w:numPr>
          <w:ilvl w:val="0"/>
          <w:numId w:val="42"/>
        </w:numPr>
        <w:spacing w:before="140" w:after="140"/>
        <w:rPr>
          <w:rFonts w:asciiTheme="minorHAnsi" w:eastAsiaTheme="minorHAnsi" w:hAnsiTheme="minorHAnsi"/>
          <w:sz w:val="20"/>
        </w:rPr>
      </w:pPr>
      <w:r>
        <w:rPr>
          <w:rFonts w:asciiTheme="minorHAnsi" w:eastAsiaTheme="minorHAnsi" w:hAnsiTheme="minorHAnsi"/>
          <w:sz w:val="20"/>
        </w:rPr>
        <w:t>A</w:t>
      </w:r>
      <w:r w:rsidR="00221671" w:rsidRPr="00551D83">
        <w:rPr>
          <w:rFonts w:asciiTheme="minorHAnsi" w:eastAsiaTheme="minorHAnsi" w:hAnsiTheme="minorHAnsi"/>
          <w:sz w:val="20"/>
        </w:rPr>
        <w:t>t 42% there appears to have been a decline in the percentage of students achieving the expected overall standard in Year 4 te-Kiribati literacy since 2011.</w:t>
      </w:r>
    </w:p>
    <w:p w14:paraId="101BE27F" w14:textId="77777777" w:rsidR="00221671" w:rsidRPr="002C0257" w:rsidRDefault="00221671" w:rsidP="00AE24CE">
      <w:pPr>
        <w:pStyle w:val="ListParagraph"/>
        <w:numPr>
          <w:ilvl w:val="0"/>
          <w:numId w:val="42"/>
        </w:numPr>
        <w:spacing w:before="140" w:after="140"/>
        <w:jc w:val="both"/>
        <w:rPr>
          <w:rFonts w:cs="Arial"/>
        </w:rPr>
      </w:pPr>
      <w:r w:rsidRPr="002C0257">
        <w:rPr>
          <w:rFonts w:cs="Arial"/>
        </w:rPr>
        <w:lastRenderedPageBreak/>
        <w:t>There has been improvement in the percentage of Year 6 students demonstrating both minimal and acceptable levels of performance between 2013 and 2015.</w:t>
      </w:r>
    </w:p>
    <w:p w14:paraId="18CCE25A" w14:textId="4084E4F5" w:rsidR="00221671" w:rsidRPr="002C0257" w:rsidRDefault="002D28B3" w:rsidP="00AE24CE">
      <w:pPr>
        <w:pStyle w:val="ListParagraph"/>
        <w:numPr>
          <w:ilvl w:val="0"/>
          <w:numId w:val="42"/>
        </w:numPr>
        <w:spacing w:before="140" w:after="140"/>
        <w:jc w:val="both"/>
        <w:rPr>
          <w:rFonts w:cs="Arial"/>
        </w:rPr>
      </w:pPr>
      <w:r>
        <w:rPr>
          <w:rFonts w:cs="Arial"/>
        </w:rPr>
        <w:t>R</w:t>
      </w:r>
      <w:r w:rsidR="00221671" w:rsidRPr="002C0257">
        <w:rPr>
          <w:rFonts w:cs="Arial"/>
        </w:rPr>
        <w:t>eading comprehension continues to be the biggest weakness in Year 6, however shows marked improvement by Year 8.</w:t>
      </w:r>
    </w:p>
    <w:p w14:paraId="071463BA" w14:textId="77777777" w:rsidR="00221671" w:rsidRPr="002C0257" w:rsidRDefault="00221671" w:rsidP="00AE24CE">
      <w:pPr>
        <w:pStyle w:val="ListParagraph"/>
        <w:numPr>
          <w:ilvl w:val="0"/>
          <w:numId w:val="42"/>
        </w:numPr>
        <w:spacing w:before="140" w:after="140"/>
        <w:jc w:val="both"/>
        <w:rPr>
          <w:rFonts w:cs="Arial"/>
        </w:rPr>
      </w:pPr>
      <w:r w:rsidRPr="002C0257">
        <w:rPr>
          <w:rFonts w:cs="Arial"/>
        </w:rPr>
        <w:t xml:space="preserve">By the end of Year 6, 55% of students are performing at the level expected for the end of primary school. By Year 8 72% of students are performing at or above the same level. </w:t>
      </w:r>
    </w:p>
    <w:p w14:paraId="34427F8F" w14:textId="77777777" w:rsidR="00221671" w:rsidRDefault="00221671" w:rsidP="00ED0631">
      <w:pPr>
        <w:spacing w:before="140" w:after="140"/>
        <w:rPr>
          <w:rFonts w:cs="Arial"/>
          <w:szCs w:val="22"/>
        </w:rPr>
      </w:pPr>
      <w:r>
        <w:rPr>
          <w:rFonts w:cs="Arial"/>
          <w:szCs w:val="22"/>
        </w:rPr>
        <w:t>5.</w:t>
      </w:r>
      <w:r>
        <w:rPr>
          <w:rFonts w:cs="Arial"/>
          <w:szCs w:val="22"/>
        </w:rPr>
        <w:tab/>
      </w:r>
      <w:r w:rsidRPr="000C1FB0">
        <w:rPr>
          <w:rFonts w:cs="Arial"/>
          <w:szCs w:val="22"/>
          <w:u w:val="single"/>
        </w:rPr>
        <w:t>Numeracy</w:t>
      </w:r>
    </w:p>
    <w:p w14:paraId="76245222" w14:textId="77777777" w:rsidR="00221671" w:rsidRPr="002C0257" w:rsidRDefault="00221671" w:rsidP="00AE24CE">
      <w:pPr>
        <w:pStyle w:val="ListParagraph"/>
        <w:numPr>
          <w:ilvl w:val="0"/>
          <w:numId w:val="41"/>
        </w:numPr>
        <w:spacing w:before="140" w:after="140"/>
        <w:jc w:val="both"/>
        <w:rPr>
          <w:rFonts w:cs="Arial"/>
        </w:rPr>
      </w:pPr>
      <w:r w:rsidRPr="00B7344A">
        <w:t>In year 4 the percentage of students achieving the expected overall standard in numeracy at Year 4 has increased dramatically to 78% of students from 26% in 2013. Furthermore, 95% of the students are working at a level that can be considered to be 'minimally acceptable' for their year level</w:t>
      </w:r>
      <w:r w:rsidRPr="002C0257">
        <w:rPr>
          <w:rFonts w:cs="Arial"/>
        </w:rPr>
        <w:t>.</w:t>
      </w:r>
    </w:p>
    <w:p w14:paraId="6A6FE39A" w14:textId="77777777" w:rsidR="00221671" w:rsidRPr="002C0257" w:rsidRDefault="00221671" w:rsidP="00AE24CE">
      <w:pPr>
        <w:pStyle w:val="ListParagraph"/>
        <w:numPr>
          <w:ilvl w:val="0"/>
          <w:numId w:val="41"/>
        </w:numPr>
        <w:spacing w:before="140" w:after="140"/>
        <w:jc w:val="both"/>
        <w:rPr>
          <w:rFonts w:cs="Arial"/>
        </w:rPr>
      </w:pPr>
      <w:r w:rsidRPr="002C0257">
        <w:rPr>
          <w:rFonts w:cs="Arial"/>
        </w:rPr>
        <w:t>In Year 6 the percentage of students achieving the expected overall standard in numeracy at Year 6 has increased dramatically to 54% of students from 20% in 2013. 85% of the students are working at a level that can be considered to be 'minimally acceptable' for their year level.</w:t>
      </w:r>
    </w:p>
    <w:p w14:paraId="0CF77885" w14:textId="77777777" w:rsidR="00551D83" w:rsidRPr="002C0257" w:rsidRDefault="00221671" w:rsidP="00AE24CE">
      <w:pPr>
        <w:pStyle w:val="ListParagraph"/>
        <w:numPr>
          <w:ilvl w:val="0"/>
          <w:numId w:val="41"/>
        </w:numPr>
        <w:spacing w:before="140" w:after="140"/>
        <w:jc w:val="both"/>
        <w:rPr>
          <w:rFonts w:cs="Arial"/>
        </w:rPr>
      </w:pPr>
      <w:r w:rsidRPr="002C0257">
        <w:rPr>
          <w:rFonts w:cs="Arial"/>
        </w:rPr>
        <w:t>In Year 8 only 33% of students are working at or above the expected level of achievement. A further 34% are not at all coping with classroom material and are being completely 'left behind'.</w:t>
      </w:r>
    </w:p>
    <w:p w14:paraId="57BEEEB4" w14:textId="0CD75046" w:rsidR="00221671" w:rsidRPr="002C0257" w:rsidRDefault="00221671" w:rsidP="00AE24CE">
      <w:pPr>
        <w:pStyle w:val="ListParagraph"/>
        <w:numPr>
          <w:ilvl w:val="0"/>
          <w:numId w:val="41"/>
        </w:numPr>
        <w:spacing w:before="140" w:after="140"/>
        <w:jc w:val="both"/>
        <w:rPr>
          <w:rFonts w:cs="Arial"/>
        </w:rPr>
      </w:pPr>
      <w:r w:rsidRPr="002C0257">
        <w:rPr>
          <w:rFonts w:cs="Arial"/>
        </w:rPr>
        <w:t>Skills in measurement and data are the most in need of development. This issue was also identified in the 2013 report.</w:t>
      </w:r>
    </w:p>
    <w:p w14:paraId="52D8651A" w14:textId="77777777" w:rsidR="00221671" w:rsidRPr="00135128" w:rsidRDefault="00221671" w:rsidP="00ED0631">
      <w:pPr>
        <w:spacing w:before="140" w:after="140"/>
        <w:rPr>
          <w:b/>
          <w:szCs w:val="22"/>
        </w:rPr>
        <w:sectPr w:rsidR="00221671" w:rsidRPr="00135128" w:rsidSect="00ED0631">
          <w:footerReference w:type="default" r:id="rId84"/>
          <w:pgSz w:w="11900" w:h="16840"/>
          <w:pgMar w:top="1440" w:right="1185" w:bottom="1440" w:left="1797" w:header="709" w:footer="709" w:gutter="0"/>
          <w:pgNumType w:fmt="lowerRoman" w:start="1"/>
          <w:cols w:space="708"/>
        </w:sectPr>
      </w:pPr>
    </w:p>
    <w:p w14:paraId="52AB7DFF" w14:textId="77777777" w:rsidR="00221671" w:rsidRPr="00E700FC" w:rsidRDefault="00221671" w:rsidP="00551D83">
      <w:pPr>
        <w:pStyle w:val="Heading1"/>
      </w:pPr>
      <w:r>
        <w:lastRenderedPageBreak/>
        <w:t>1.</w:t>
      </w:r>
      <w:r>
        <w:tab/>
      </w:r>
      <w:r w:rsidRPr="00E700FC">
        <w:t>Background</w:t>
      </w:r>
    </w:p>
    <w:p w14:paraId="180D7A87" w14:textId="77777777" w:rsidR="00221671" w:rsidRPr="00135128" w:rsidRDefault="00221671" w:rsidP="00551D83">
      <w:pPr>
        <w:pStyle w:val="Heading2"/>
      </w:pPr>
      <w:r>
        <w:t>1.1</w:t>
      </w:r>
      <w:r>
        <w:tab/>
      </w:r>
      <w:r w:rsidRPr="00135128">
        <w:t>History of STAKI</w:t>
      </w:r>
    </w:p>
    <w:p w14:paraId="58224D2E" w14:textId="77777777" w:rsidR="00221671" w:rsidRPr="009633AA" w:rsidRDefault="00221671" w:rsidP="00ED0631">
      <w:pPr>
        <w:spacing w:before="140" w:after="140"/>
        <w:jc w:val="both"/>
      </w:pPr>
      <w:r w:rsidRPr="009633AA">
        <w:t>Standardised tests of student pe</w:t>
      </w:r>
      <w:r>
        <w:t>rformance in literacy (both in te-</w:t>
      </w:r>
      <w:r w:rsidRPr="009633AA">
        <w:t xml:space="preserve">Kiribati and English) and in numeracy have </w:t>
      </w:r>
      <w:r>
        <w:t xml:space="preserve">previously </w:t>
      </w:r>
      <w:r w:rsidRPr="009633AA">
        <w:t>been held in Kiribati in 2004, 2007, 2009, 2011 and 2013. Originally the tests were prepared, processed and funded by the South Pacific Board for Educational Assessment (SPBEA), with a gradual transition through to 2013 when the tests were fully prepared and resourced by the Ministry of Education.</w:t>
      </w:r>
      <w:r>
        <w:t xml:space="preserve"> In 2015</w:t>
      </w:r>
      <w:r w:rsidRPr="009633AA">
        <w:t xml:space="preserve"> the Ministry of Education decided that, from 2015, STAKI testing would be extended to year 8 and would occur annually. </w:t>
      </w:r>
    </w:p>
    <w:p w14:paraId="36F7CA22" w14:textId="77777777" w:rsidR="00221671" w:rsidRPr="00135128" w:rsidRDefault="00221671" w:rsidP="00551D83">
      <w:pPr>
        <w:pStyle w:val="Heading2"/>
      </w:pPr>
      <w:r>
        <w:t>1.2</w:t>
      </w:r>
      <w:r>
        <w:tab/>
      </w:r>
      <w:r w:rsidRPr="00135128">
        <w:t>Administration</w:t>
      </w:r>
    </w:p>
    <w:p w14:paraId="5B124DD2" w14:textId="77777777" w:rsidR="00221671" w:rsidRPr="009633AA" w:rsidRDefault="00221671" w:rsidP="00ED0631">
      <w:pPr>
        <w:spacing w:before="140" w:after="140"/>
        <w:jc w:val="both"/>
      </w:pPr>
      <w:r w:rsidRPr="009633AA">
        <w:t>In 2015 the Education Quality and Assessment Programme</w:t>
      </w:r>
      <w:r>
        <w:t xml:space="preserve"> of SPC</w:t>
      </w:r>
      <w:r w:rsidRPr="009633AA">
        <w:t xml:space="preserve"> (EQAP) developed a set of regional tests (</w:t>
      </w:r>
      <w:r>
        <w:t xml:space="preserve">the </w:t>
      </w:r>
      <w:r w:rsidRPr="009633AA">
        <w:t xml:space="preserve">Pacific Island Literacy and Numeracy Assessments - PILNA) for use in Years 4 and 6. These tests were to be deployed at the same time as the 2015. To avoid duplication of effort both the Year 4 and 6 literacy and numeracy PILNA tests were used instead of locally developed tests. </w:t>
      </w:r>
    </w:p>
    <w:p w14:paraId="68405877" w14:textId="77777777" w:rsidR="00221671" w:rsidRPr="00BD1E07" w:rsidRDefault="00221671" w:rsidP="00ED0631">
      <w:pPr>
        <w:spacing w:before="140" w:after="140"/>
        <w:jc w:val="both"/>
        <w:rPr>
          <w:spacing w:val="4"/>
        </w:rPr>
      </w:pPr>
      <w:r w:rsidRPr="00BD1E07">
        <w:rPr>
          <w:spacing w:val="4"/>
        </w:rPr>
        <w:t>EQAP met the development, printing and marking costs for the four tests. The Ministry of Education, supported by the Kiribati Education Facility (KEF) met all costs associated with the remaining five tests.</w:t>
      </w:r>
    </w:p>
    <w:p w14:paraId="078EABA5" w14:textId="77777777" w:rsidR="00221671" w:rsidRPr="009633AA" w:rsidRDefault="00221671" w:rsidP="00ED0631">
      <w:pPr>
        <w:spacing w:before="140" w:after="140"/>
        <w:jc w:val="both"/>
        <w:rPr>
          <w:b/>
          <w:szCs w:val="22"/>
        </w:rPr>
      </w:pPr>
      <w:r w:rsidRPr="009633AA">
        <w:rPr>
          <w:b/>
          <w:szCs w:val="22"/>
        </w:rPr>
        <w:t>Setting</w:t>
      </w:r>
    </w:p>
    <w:p w14:paraId="075B8753" w14:textId="77777777" w:rsidR="00221671" w:rsidRPr="009633AA" w:rsidRDefault="00221671" w:rsidP="00ED0631">
      <w:pPr>
        <w:spacing w:before="140" w:after="140"/>
        <w:jc w:val="both"/>
      </w:pPr>
      <w:r w:rsidRPr="009633AA">
        <w:t>Officers from the Curriculum Development and Assessment Division (CDAD) of the Ministry of Education prepared the</w:t>
      </w:r>
      <w:r>
        <w:t>ir five</w:t>
      </w:r>
      <w:r w:rsidRPr="009633AA">
        <w:t xml:space="preserve"> test papers in June 2015. The structure of the papers and the questions were closely based on those used in 2013. A few questions were improved to make their requirements clearer or more to make them inclusive of all students. Care was taken to ensure that the Year 4 tests reflected the Year 4 benchmarks for the new curriculum.</w:t>
      </w:r>
    </w:p>
    <w:p w14:paraId="5D633F56" w14:textId="77777777" w:rsidR="00221671" w:rsidRPr="009633AA" w:rsidRDefault="00221671" w:rsidP="00ED0631">
      <w:pPr>
        <w:spacing w:before="140" w:after="140"/>
        <w:jc w:val="both"/>
        <w:rPr>
          <w:b/>
          <w:szCs w:val="22"/>
        </w:rPr>
      </w:pPr>
      <w:r w:rsidRPr="009633AA">
        <w:rPr>
          <w:b/>
          <w:szCs w:val="22"/>
        </w:rPr>
        <w:t>Deployment</w:t>
      </w:r>
    </w:p>
    <w:p w14:paraId="4381AB52" w14:textId="77777777" w:rsidR="00221671" w:rsidRPr="009633AA" w:rsidRDefault="00221671" w:rsidP="00ED0631">
      <w:pPr>
        <w:spacing w:before="140" w:after="140"/>
        <w:jc w:val="both"/>
      </w:pPr>
      <w:r w:rsidRPr="009633AA">
        <w:t xml:space="preserve">Test papers were sent to islands at the same time as the </w:t>
      </w:r>
      <w:r>
        <w:t>secondary school</w:t>
      </w:r>
      <w:r w:rsidRPr="009633AA">
        <w:t xml:space="preserve"> examinations and distributed to Primary schools. Numbers of papers were based on data provided through the Kiribati Education Management System (KEMIS).</w:t>
      </w:r>
    </w:p>
    <w:p w14:paraId="609643E6" w14:textId="77777777" w:rsidR="00221671" w:rsidRPr="009633AA" w:rsidRDefault="00221671" w:rsidP="00ED0631">
      <w:pPr>
        <w:spacing w:before="140" w:after="140"/>
        <w:jc w:val="both"/>
      </w:pPr>
      <w:r w:rsidRPr="009633AA">
        <w:t xml:space="preserve">All Year 4 and Year 6 students attending </w:t>
      </w:r>
      <w:r w:rsidRPr="001721EA">
        <w:t>on October 23, 2015</w:t>
      </w:r>
      <w:r w:rsidRPr="009633AA">
        <w:t xml:space="preserve"> sat the three test papers.</w:t>
      </w:r>
      <w:r>
        <w:t xml:space="preserve"> </w:t>
      </w:r>
      <w:r w:rsidRPr="009633AA">
        <w:t xml:space="preserve">Year 8 students undertook the tests </w:t>
      </w:r>
      <w:r>
        <w:t xml:space="preserve">between 27 and 29 October, 2015. </w:t>
      </w:r>
      <w:r w:rsidRPr="009633AA">
        <w:t>Teachers from other schools on the island generally supervised students.</w:t>
      </w:r>
    </w:p>
    <w:p w14:paraId="7FB7C9F5" w14:textId="77777777" w:rsidR="00221671" w:rsidRDefault="00221671" w:rsidP="00ED0631">
      <w:pPr>
        <w:spacing w:before="140" w:after="140"/>
        <w:jc w:val="both"/>
      </w:pPr>
      <w:r w:rsidRPr="009633AA">
        <w:t>Papers were collected from schools and returned to the Examinations and Assessment Unit (EAU) for marking and processing.</w:t>
      </w:r>
    </w:p>
    <w:p w14:paraId="48CBC26D" w14:textId="77777777" w:rsidR="00221671" w:rsidRDefault="00221671" w:rsidP="00ED0631">
      <w:pPr>
        <w:spacing w:before="140" w:after="140"/>
        <w:jc w:val="both"/>
      </w:pPr>
      <w:r w:rsidRPr="009633AA">
        <w:t>Only Year 8 students in G</w:t>
      </w:r>
      <w:r>
        <w:t xml:space="preserve">overnment </w:t>
      </w:r>
      <w:r w:rsidRPr="009633AA">
        <w:t>o</w:t>
      </w:r>
      <w:r>
        <w:t xml:space="preserve">f </w:t>
      </w:r>
      <w:r w:rsidRPr="009633AA">
        <w:t>K</w:t>
      </w:r>
      <w:r>
        <w:t>iribati (GoK)</w:t>
      </w:r>
      <w:r w:rsidRPr="009633AA">
        <w:t xml:space="preserve"> schools were included in the STAKI testing program. Based on 2015 JSC examination results approximately 270 students in Year 8 attend</w:t>
      </w:r>
      <w:r>
        <w:t>ed</w:t>
      </w:r>
      <w:r w:rsidRPr="009633AA">
        <w:t xml:space="preserve"> non-government schools.</w:t>
      </w:r>
      <w:r>
        <w:t xml:space="preserve"> These schools are mostly located on South Tarawa.</w:t>
      </w:r>
    </w:p>
    <w:p w14:paraId="4BEEA457" w14:textId="77777777" w:rsidR="00221671" w:rsidRPr="009633AA" w:rsidRDefault="00221671" w:rsidP="00ED0631">
      <w:pPr>
        <w:spacing w:before="140" w:after="140"/>
        <w:rPr>
          <w:b/>
          <w:szCs w:val="22"/>
        </w:rPr>
      </w:pPr>
      <w:r w:rsidRPr="009633AA">
        <w:rPr>
          <w:b/>
          <w:szCs w:val="22"/>
        </w:rPr>
        <w:t>Marking</w:t>
      </w:r>
    </w:p>
    <w:p w14:paraId="1D238828" w14:textId="77777777" w:rsidR="00221671" w:rsidRPr="009633AA" w:rsidRDefault="00221671" w:rsidP="00ED0631">
      <w:pPr>
        <w:spacing w:before="140" w:after="140"/>
        <w:jc w:val="both"/>
      </w:pPr>
      <w:r w:rsidRPr="009633AA">
        <w:t>Teams of markers, each consisting of experienced teachers and led by a Curriculum Development Officer or Assessment Officer, were assembled in December, 2015 to mark the test papers.</w:t>
      </w:r>
    </w:p>
    <w:p w14:paraId="772B253E" w14:textId="77777777" w:rsidR="00221671" w:rsidRPr="009633AA" w:rsidRDefault="00221671" w:rsidP="00ED0631">
      <w:pPr>
        <w:spacing w:before="140" w:after="140"/>
        <w:jc w:val="both"/>
      </w:pPr>
      <w:r w:rsidRPr="009633AA">
        <w:t>The team leaders provided advice regarding the minimum expected performance for each level.</w:t>
      </w:r>
    </w:p>
    <w:p w14:paraId="4D40BD00" w14:textId="77777777" w:rsidR="00221671" w:rsidRDefault="00221671" w:rsidP="00ED0631">
      <w:pPr>
        <w:spacing w:before="140" w:after="140"/>
        <w:jc w:val="both"/>
      </w:pPr>
      <w:r w:rsidRPr="009633AA">
        <w:t>Results were entered into spread</w:t>
      </w:r>
      <w:r>
        <w:t>-</w:t>
      </w:r>
      <w:r w:rsidRPr="009633AA">
        <w:t>sheets recording the school, student name, age, gender and marks for each question or section of the paper.</w:t>
      </w:r>
    </w:p>
    <w:p w14:paraId="479F7E0B" w14:textId="77777777" w:rsidR="00221671" w:rsidRPr="009633AA" w:rsidRDefault="00221671" w:rsidP="00ED0631">
      <w:pPr>
        <w:spacing w:before="140" w:after="140"/>
      </w:pPr>
      <w:r>
        <w:t>The percentage of enrolled students in attendance (see Table 1) has increase dramatically in comparison to 2013. Year 4 had 89% of enrolled students present compared with 76% in 2013. Year 6 has improved from 79% to 88% attending on the day of the test.</w:t>
      </w:r>
    </w:p>
    <w:p w14:paraId="4CB34C0E" w14:textId="77777777" w:rsidR="00221671" w:rsidRDefault="00221671">
      <w:pPr>
        <w:rPr>
          <w:b/>
          <w:i/>
        </w:rPr>
      </w:pPr>
      <w:r>
        <w:rPr>
          <w:b/>
          <w:i/>
        </w:rPr>
        <w:br w:type="page"/>
      </w:r>
    </w:p>
    <w:p w14:paraId="157989AF" w14:textId="77777777" w:rsidR="00221671" w:rsidRPr="00551D83" w:rsidRDefault="00221671" w:rsidP="00ED0631">
      <w:pPr>
        <w:tabs>
          <w:tab w:val="left" w:pos="709"/>
          <w:tab w:val="left" w:pos="993"/>
        </w:tabs>
        <w:spacing w:before="140" w:after="140"/>
      </w:pPr>
      <w:r w:rsidRPr="00551D83">
        <w:rPr>
          <w:b/>
        </w:rPr>
        <w:lastRenderedPageBreak/>
        <w:t>Table 1.</w:t>
      </w:r>
      <w:r w:rsidRPr="00551D83">
        <w:tab/>
        <w:t>Student participation in STAKI tests in 2015</w:t>
      </w:r>
    </w:p>
    <w:tbl>
      <w:tblPr>
        <w:tblStyle w:val="MediumShading2-Accent1"/>
        <w:tblW w:w="0" w:type="auto"/>
        <w:tblInd w:w="25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Table 1. Student participation in STAKI tests in 2015"/>
      </w:tblPr>
      <w:tblGrid>
        <w:gridCol w:w="2126"/>
        <w:gridCol w:w="993"/>
        <w:gridCol w:w="1275"/>
        <w:gridCol w:w="1134"/>
        <w:gridCol w:w="993"/>
        <w:gridCol w:w="1134"/>
        <w:gridCol w:w="951"/>
      </w:tblGrid>
      <w:tr w:rsidR="00221671" w:rsidRPr="00551D83" w14:paraId="7D112840" w14:textId="77777777" w:rsidTr="00551D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6" w:type="dxa"/>
            <w:tcBorders>
              <w:top w:val="none" w:sz="0" w:space="0" w:color="auto"/>
              <w:left w:val="none" w:sz="0" w:space="0" w:color="auto"/>
              <w:bottom w:val="none" w:sz="0" w:space="0" w:color="auto"/>
              <w:right w:val="none" w:sz="0" w:space="0" w:color="auto"/>
            </w:tcBorders>
            <w:shd w:val="clear" w:color="auto" w:fill="A25EA6"/>
          </w:tcPr>
          <w:p w14:paraId="72A3B4D2" w14:textId="77777777" w:rsidR="00221671" w:rsidRPr="00551D83" w:rsidRDefault="00221671" w:rsidP="00ED0631">
            <w:pPr>
              <w:spacing w:before="140" w:after="140"/>
              <w:rPr>
                <w:rFonts w:asciiTheme="majorHAnsi" w:hAnsiTheme="majorHAnsi" w:cstheme="majorHAnsi"/>
              </w:rPr>
            </w:pPr>
            <w:r w:rsidRPr="00551D83">
              <w:rPr>
                <w:rFonts w:asciiTheme="majorHAnsi" w:hAnsiTheme="majorHAnsi" w:cstheme="majorHAnsi"/>
              </w:rPr>
              <w:t>Year 4</w:t>
            </w:r>
          </w:p>
          <w:p w14:paraId="0D5CC99D" w14:textId="77777777" w:rsidR="00221671" w:rsidRPr="00551D83" w:rsidRDefault="00221671" w:rsidP="00ED0631">
            <w:pPr>
              <w:spacing w:before="140" w:after="140"/>
              <w:rPr>
                <w:rFonts w:asciiTheme="majorHAnsi" w:hAnsiTheme="majorHAnsi" w:cstheme="majorHAnsi"/>
              </w:rPr>
            </w:pPr>
          </w:p>
        </w:tc>
        <w:tc>
          <w:tcPr>
            <w:tcW w:w="993" w:type="dxa"/>
            <w:tcBorders>
              <w:top w:val="none" w:sz="0" w:space="0" w:color="auto"/>
              <w:left w:val="none" w:sz="0" w:space="0" w:color="auto"/>
              <w:bottom w:val="none" w:sz="0" w:space="0" w:color="auto"/>
              <w:right w:val="none" w:sz="0" w:space="0" w:color="auto"/>
            </w:tcBorders>
            <w:shd w:val="clear" w:color="auto" w:fill="A25EA6"/>
          </w:tcPr>
          <w:p w14:paraId="3BAF401C"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South</w:t>
            </w:r>
          </w:p>
          <w:p w14:paraId="4D3B553A"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275" w:type="dxa"/>
            <w:tcBorders>
              <w:top w:val="none" w:sz="0" w:space="0" w:color="auto"/>
              <w:left w:val="none" w:sz="0" w:space="0" w:color="auto"/>
              <w:bottom w:val="none" w:sz="0" w:space="0" w:color="auto"/>
              <w:right w:val="none" w:sz="0" w:space="0" w:color="auto"/>
            </w:tcBorders>
            <w:shd w:val="clear" w:color="auto" w:fill="A25EA6"/>
          </w:tcPr>
          <w:p w14:paraId="784170DA"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Central</w:t>
            </w:r>
          </w:p>
          <w:p w14:paraId="019352C9"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134" w:type="dxa"/>
            <w:tcBorders>
              <w:top w:val="none" w:sz="0" w:space="0" w:color="auto"/>
              <w:left w:val="none" w:sz="0" w:space="0" w:color="auto"/>
              <w:bottom w:val="none" w:sz="0" w:space="0" w:color="auto"/>
              <w:right w:val="none" w:sz="0" w:space="0" w:color="auto"/>
            </w:tcBorders>
            <w:shd w:val="clear" w:color="auto" w:fill="A25EA6"/>
          </w:tcPr>
          <w:p w14:paraId="0BDB989A"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North</w:t>
            </w:r>
          </w:p>
          <w:p w14:paraId="027A0C8A"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993" w:type="dxa"/>
            <w:tcBorders>
              <w:top w:val="none" w:sz="0" w:space="0" w:color="auto"/>
              <w:left w:val="none" w:sz="0" w:space="0" w:color="auto"/>
              <w:bottom w:val="none" w:sz="0" w:space="0" w:color="auto"/>
              <w:right w:val="none" w:sz="0" w:space="0" w:color="auto"/>
            </w:tcBorders>
            <w:shd w:val="clear" w:color="auto" w:fill="A25EA6"/>
          </w:tcPr>
          <w:p w14:paraId="1F3FB8C7"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Line Islands</w:t>
            </w:r>
          </w:p>
        </w:tc>
        <w:tc>
          <w:tcPr>
            <w:tcW w:w="1134" w:type="dxa"/>
            <w:tcBorders>
              <w:top w:val="none" w:sz="0" w:space="0" w:color="auto"/>
              <w:left w:val="none" w:sz="0" w:space="0" w:color="auto"/>
              <w:bottom w:val="none" w:sz="0" w:space="0" w:color="auto"/>
              <w:right w:val="none" w:sz="0" w:space="0" w:color="auto"/>
            </w:tcBorders>
            <w:shd w:val="clear" w:color="auto" w:fill="A25EA6"/>
          </w:tcPr>
          <w:p w14:paraId="6AA073AF"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South Tarawa</w:t>
            </w:r>
          </w:p>
        </w:tc>
        <w:tc>
          <w:tcPr>
            <w:tcW w:w="951" w:type="dxa"/>
            <w:tcBorders>
              <w:top w:val="none" w:sz="0" w:space="0" w:color="auto"/>
              <w:left w:val="none" w:sz="0" w:space="0" w:color="auto"/>
              <w:bottom w:val="none" w:sz="0" w:space="0" w:color="auto"/>
              <w:right w:val="none" w:sz="0" w:space="0" w:color="auto"/>
            </w:tcBorders>
            <w:shd w:val="clear" w:color="auto" w:fill="A25EA6"/>
          </w:tcPr>
          <w:p w14:paraId="2883016A"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Total</w:t>
            </w:r>
          </w:p>
          <w:p w14:paraId="44DA12D4" w14:textId="77777777" w:rsidR="00221671" w:rsidRPr="00551D8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221671" w:rsidRPr="00551D83" w14:paraId="7CB39014" w14:textId="77777777" w:rsidTr="0055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D9D9D9" w:themeFill="background1" w:themeFillShade="D9"/>
          </w:tcPr>
          <w:p w14:paraId="16422C45"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Total students </w:t>
            </w:r>
            <w:r w:rsidRPr="00551D83">
              <w:rPr>
                <w:rFonts w:asciiTheme="majorHAnsi" w:hAnsiTheme="majorHAnsi" w:cstheme="majorHAnsi"/>
                <w:color w:val="auto"/>
                <w:vertAlign w:val="superscript"/>
              </w:rPr>
              <w:t>1</w:t>
            </w:r>
          </w:p>
        </w:tc>
        <w:tc>
          <w:tcPr>
            <w:tcW w:w="993" w:type="dxa"/>
            <w:shd w:val="clear" w:color="auto" w:fill="D9D9D9" w:themeFill="background1" w:themeFillShade="D9"/>
          </w:tcPr>
          <w:p w14:paraId="03A900DA"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304</w:t>
            </w:r>
          </w:p>
        </w:tc>
        <w:tc>
          <w:tcPr>
            <w:tcW w:w="1275" w:type="dxa"/>
            <w:shd w:val="clear" w:color="auto" w:fill="D9D9D9" w:themeFill="background1" w:themeFillShade="D9"/>
          </w:tcPr>
          <w:p w14:paraId="05925E0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270</w:t>
            </w:r>
          </w:p>
        </w:tc>
        <w:tc>
          <w:tcPr>
            <w:tcW w:w="1134" w:type="dxa"/>
            <w:shd w:val="clear" w:color="auto" w:fill="D9D9D9" w:themeFill="background1" w:themeFillShade="D9"/>
          </w:tcPr>
          <w:p w14:paraId="5B2CDF52"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573</w:t>
            </w:r>
          </w:p>
        </w:tc>
        <w:tc>
          <w:tcPr>
            <w:tcW w:w="993" w:type="dxa"/>
            <w:shd w:val="clear" w:color="auto" w:fill="D9D9D9" w:themeFill="background1" w:themeFillShade="D9"/>
          </w:tcPr>
          <w:p w14:paraId="638024E7"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234</w:t>
            </w:r>
          </w:p>
        </w:tc>
        <w:tc>
          <w:tcPr>
            <w:tcW w:w="1134" w:type="dxa"/>
            <w:shd w:val="clear" w:color="auto" w:fill="D9D9D9" w:themeFill="background1" w:themeFillShade="D9"/>
          </w:tcPr>
          <w:p w14:paraId="4614A322"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1223</w:t>
            </w:r>
          </w:p>
        </w:tc>
        <w:tc>
          <w:tcPr>
            <w:tcW w:w="951" w:type="dxa"/>
            <w:shd w:val="clear" w:color="auto" w:fill="D9D9D9" w:themeFill="background1" w:themeFillShade="D9"/>
          </w:tcPr>
          <w:p w14:paraId="20C33ACD"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2604</w:t>
            </w:r>
          </w:p>
        </w:tc>
      </w:tr>
      <w:tr w:rsidR="00221671" w:rsidRPr="00551D83" w14:paraId="0B7E3D54" w14:textId="77777777" w:rsidTr="00551D83">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auto"/>
          </w:tcPr>
          <w:p w14:paraId="0FAB45A8"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Participated in STAKI </w:t>
            </w:r>
          </w:p>
        </w:tc>
        <w:tc>
          <w:tcPr>
            <w:tcW w:w="993" w:type="dxa"/>
          </w:tcPr>
          <w:p w14:paraId="389BF135"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280</w:t>
            </w:r>
          </w:p>
        </w:tc>
        <w:tc>
          <w:tcPr>
            <w:tcW w:w="1275" w:type="dxa"/>
          </w:tcPr>
          <w:p w14:paraId="51815A6A"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251</w:t>
            </w:r>
          </w:p>
        </w:tc>
        <w:tc>
          <w:tcPr>
            <w:tcW w:w="1134" w:type="dxa"/>
          </w:tcPr>
          <w:p w14:paraId="6A767E61"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442</w:t>
            </w:r>
          </w:p>
        </w:tc>
        <w:tc>
          <w:tcPr>
            <w:tcW w:w="993" w:type="dxa"/>
          </w:tcPr>
          <w:p w14:paraId="5EDB4254"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265</w:t>
            </w:r>
          </w:p>
        </w:tc>
        <w:tc>
          <w:tcPr>
            <w:tcW w:w="1134" w:type="dxa"/>
          </w:tcPr>
          <w:p w14:paraId="1C8C6A5B"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1075</w:t>
            </w:r>
          </w:p>
        </w:tc>
        <w:tc>
          <w:tcPr>
            <w:tcW w:w="951" w:type="dxa"/>
          </w:tcPr>
          <w:p w14:paraId="51D8F6BB"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2313</w:t>
            </w:r>
          </w:p>
        </w:tc>
      </w:tr>
      <w:tr w:rsidR="00221671" w:rsidRPr="00551D83" w14:paraId="1B78F9E7" w14:textId="77777777" w:rsidTr="0055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D9D9D9" w:themeFill="background1" w:themeFillShade="D9"/>
          </w:tcPr>
          <w:p w14:paraId="05036762"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 - boys</w:t>
            </w:r>
          </w:p>
        </w:tc>
        <w:tc>
          <w:tcPr>
            <w:tcW w:w="993" w:type="dxa"/>
            <w:shd w:val="clear" w:color="auto" w:fill="D9D9D9" w:themeFill="background1" w:themeFillShade="D9"/>
          </w:tcPr>
          <w:p w14:paraId="6EA1BFFD"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141</w:t>
            </w:r>
          </w:p>
        </w:tc>
        <w:tc>
          <w:tcPr>
            <w:tcW w:w="1275" w:type="dxa"/>
            <w:shd w:val="clear" w:color="auto" w:fill="D9D9D9" w:themeFill="background1" w:themeFillShade="D9"/>
          </w:tcPr>
          <w:p w14:paraId="4E4F3F4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126</w:t>
            </w:r>
          </w:p>
        </w:tc>
        <w:tc>
          <w:tcPr>
            <w:tcW w:w="1134" w:type="dxa"/>
            <w:shd w:val="clear" w:color="auto" w:fill="D9D9D9" w:themeFill="background1" w:themeFillShade="D9"/>
          </w:tcPr>
          <w:p w14:paraId="513A5B48"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220</w:t>
            </w:r>
          </w:p>
        </w:tc>
        <w:tc>
          <w:tcPr>
            <w:tcW w:w="993" w:type="dxa"/>
            <w:shd w:val="clear" w:color="auto" w:fill="D9D9D9" w:themeFill="background1" w:themeFillShade="D9"/>
          </w:tcPr>
          <w:p w14:paraId="46CCBB9D"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135</w:t>
            </w:r>
          </w:p>
        </w:tc>
        <w:tc>
          <w:tcPr>
            <w:tcW w:w="1134" w:type="dxa"/>
            <w:shd w:val="clear" w:color="auto" w:fill="D9D9D9" w:themeFill="background1" w:themeFillShade="D9"/>
          </w:tcPr>
          <w:p w14:paraId="3746437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512</w:t>
            </w:r>
          </w:p>
        </w:tc>
        <w:tc>
          <w:tcPr>
            <w:tcW w:w="951" w:type="dxa"/>
            <w:shd w:val="clear" w:color="auto" w:fill="D9D9D9" w:themeFill="background1" w:themeFillShade="D9"/>
          </w:tcPr>
          <w:p w14:paraId="1D95EB84"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1134</w:t>
            </w:r>
          </w:p>
        </w:tc>
      </w:tr>
      <w:tr w:rsidR="00221671" w:rsidRPr="00551D83" w14:paraId="67FFF6B1" w14:textId="77777777" w:rsidTr="00551D83">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auto"/>
          </w:tcPr>
          <w:p w14:paraId="0B17C952"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 - girls</w:t>
            </w:r>
          </w:p>
        </w:tc>
        <w:tc>
          <w:tcPr>
            <w:tcW w:w="993" w:type="dxa"/>
          </w:tcPr>
          <w:p w14:paraId="2A92FD52"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139</w:t>
            </w:r>
          </w:p>
        </w:tc>
        <w:tc>
          <w:tcPr>
            <w:tcW w:w="1275" w:type="dxa"/>
          </w:tcPr>
          <w:p w14:paraId="640D04E9"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125</w:t>
            </w:r>
          </w:p>
        </w:tc>
        <w:tc>
          <w:tcPr>
            <w:tcW w:w="1134" w:type="dxa"/>
          </w:tcPr>
          <w:p w14:paraId="62823B7B"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222</w:t>
            </w:r>
          </w:p>
        </w:tc>
        <w:tc>
          <w:tcPr>
            <w:tcW w:w="993" w:type="dxa"/>
          </w:tcPr>
          <w:p w14:paraId="3930B98C"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130</w:t>
            </w:r>
          </w:p>
        </w:tc>
        <w:tc>
          <w:tcPr>
            <w:tcW w:w="1134" w:type="dxa"/>
          </w:tcPr>
          <w:p w14:paraId="1D4AFDDD"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563</w:t>
            </w:r>
          </w:p>
        </w:tc>
        <w:tc>
          <w:tcPr>
            <w:tcW w:w="951" w:type="dxa"/>
          </w:tcPr>
          <w:p w14:paraId="60F9BE22"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1179</w:t>
            </w:r>
          </w:p>
        </w:tc>
      </w:tr>
      <w:tr w:rsidR="00221671" w:rsidRPr="00551D83" w14:paraId="23828F7D" w14:textId="77777777" w:rsidTr="002C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single" w:sz="18" w:space="0" w:color="FFFFFF" w:themeColor="background1"/>
              <w:right w:val="none" w:sz="0" w:space="0" w:color="auto"/>
            </w:tcBorders>
            <w:shd w:val="clear" w:color="auto" w:fill="D9D9D9" w:themeFill="background1" w:themeFillShade="D9"/>
          </w:tcPr>
          <w:p w14:paraId="61A7C40F"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present</w:t>
            </w:r>
          </w:p>
        </w:tc>
        <w:tc>
          <w:tcPr>
            <w:tcW w:w="993" w:type="dxa"/>
            <w:tcBorders>
              <w:bottom w:val="single" w:sz="18" w:space="0" w:color="FFFFFF" w:themeColor="background1"/>
            </w:tcBorders>
            <w:shd w:val="clear" w:color="auto" w:fill="D9D9D9" w:themeFill="background1" w:themeFillShade="D9"/>
          </w:tcPr>
          <w:p w14:paraId="7C195288"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92%</w:t>
            </w:r>
          </w:p>
        </w:tc>
        <w:tc>
          <w:tcPr>
            <w:tcW w:w="1275" w:type="dxa"/>
            <w:tcBorders>
              <w:bottom w:val="single" w:sz="18" w:space="0" w:color="FFFFFF" w:themeColor="background1"/>
            </w:tcBorders>
            <w:shd w:val="clear" w:color="auto" w:fill="D9D9D9" w:themeFill="background1" w:themeFillShade="D9"/>
          </w:tcPr>
          <w:p w14:paraId="7280188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93%</w:t>
            </w:r>
          </w:p>
        </w:tc>
        <w:tc>
          <w:tcPr>
            <w:tcW w:w="1134" w:type="dxa"/>
            <w:tcBorders>
              <w:bottom w:val="single" w:sz="18" w:space="0" w:color="FFFFFF" w:themeColor="background1"/>
            </w:tcBorders>
            <w:shd w:val="clear" w:color="auto" w:fill="D9D9D9" w:themeFill="background1" w:themeFillShade="D9"/>
          </w:tcPr>
          <w:p w14:paraId="3738D253"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77%</w:t>
            </w:r>
          </w:p>
        </w:tc>
        <w:tc>
          <w:tcPr>
            <w:tcW w:w="993" w:type="dxa"/>
            <w:tcBorders>
              <w:bottom w:val="single" w:sz="18" w:space="0" w:color="FFFFFF" w:themeColor="background1"/>
            </w:tcBorders>
            <w:shd w:val="clear" w:color="auto" w:fill="D9D9D9" w:themeFill="background1" w:themeFillShade="D9"/>
          </w:tcPr>
          <w:p w14:paraId="19E97C51"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88%</w:t>
            </w:r>
          </w:p>
        </w:tc>
        <w:tc>
          <w:tcPr>
            <w:tcW w:w="1134" w:type="dxa"/>
            <w:tcBorders>
              <w:bottom w:val="single" w:sz="18" w:space="0" w:color="FFFFFF" w:themeColor="background1"/>
            </w:tcBorders>
            <w:shd w:val="clear" w:color="auto" w:fill="D9D9D9" w:themeFill="background1" w:themeFillShade="D9"/>
          </w:tcPr>
          <w:p w14:paraId="2D52F1D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88%</w:t>
            </w:r>
          </w:p>
        </w:tc>
        <w:tc>
          <w:tcPr>
            <w:tcW w:w="951" w:type="dxa"/>
            <w:tcBorders>
              <w:bottom w:val="single" w:sz="18" w:space="0" w:color="FFFFFF" w:themeColor="background1"/>
            </w:tcBorders>
            <w:shd w:val="clear" w:color="auto" w:fill="D9D9D9" w:themeFill="background1" w:themeFillShade="D9"/>
          </w:tcPr>
          <w:p w14:paraId="62138FDA"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89%</w:t>
            </w:r>
          </w:p>
        </w:tc>
      </w:tr>
      <w:tr w:rsidR="002C0257" w:rsidRPr="002C0257" w14:paraId="4AE8855A" w14:textId="77777777" w:rsidTr="002C0257">
        <w:tc>
          <w:tcPr>
            <w:cnfStyle w:val="001000000000" w:firstRow="0" w:lastRow="0" w:firstColumn="1" w:lastColumn="0" w:oddVBand="0" w:evenVBand="0" w:oddHBand="0" w:evenHBand="0" w:firstRowFirstColumn="0" w:firstRowLastColumn="0" w:lastRowFirstColumn="0" w:lastRowLastColumn="0"/>
            <w:tcW w:w="2126" w:type="dxa"/>
            <w:tcBorders>
              <w:top w:val="single" w:sz="18" w:space="0" w:color="FFFFFF" w:themeColor="background1"/>
              <w:left w:val="single" w:sz="2" w:space="0" w:color="FFFFFF" w:themeColor="background1"/>
              <w:bottom w:val="single" w:sz="2" w:space="0" w:color="FFFFFF" w:themeColor="background1"/>
            </w:tcBorders>
            <w:shd w:val="clear" w:color="auto" w:fill="A25EA6"/>
          </w:tcPr>
          <w:p w14:paraId="62C77A76" w14:textId="77777777" w:rsidR="00221671" w:rsidRPr="002C0257" w:rsidRDefault="00221671" w:rsidP="00ED0631">
            <w:pPr>
              <w:spacing w:before="140" w:after="140"/>
              <w:rPr>
                <w:rFonts w:asciiTheme="majorHAnsi" w:hAnsiTheme="majorHAnsi" w:cstheme="majorHAnsi"/>
              </w:rPr>
            </w:pPr>
            <w:r w:rsidRPr="002C0257">
              <w:rPr>
                <w:rFonts w:asciiTheme="majorHAnsi" w:hAnsiTheme="majorHAnsi" w:cstheme="majorHAnsi"/>
              </w:rPr>
              <w:t>Year 6</w:t>
            </w:r>
          </w:p>
          <w:p w14:paraId="19B1E8B8" w14:textId="77777777" w:rsidR="00221671" w:rsidRPr="002C0257" w:rsidRDefault="00221671" w:rsidP="00ED0631">
            <w:pPr>
              <w:spacing w:before="140" w:after="140"/>
              <w:rPr>
                <w:rFonts w:asciiTheme="majorHAnsi" w:hAnsiTheme="majorHAnsi" w:cstheme="majorHAnsi"/>
              </w:rPr>
            </w:pPr>
          </w:p>
        </w:tc>
        <w:tc>
          <w:tcPr>
            <w:tcW w:w="993" w:type="dxa"/>
            <w:tcBorders>
              <w:top w:val="single" w:sz="18" w:space="0" w:color="FFFFFF" w:themeColor="background1"/>
              <w:bottom w:val="single" w:sz="2" w:space="0" w:color="FFFFFF" w:themeColor="background1"/>
            </w:tcBorders>
            <w:shd w:val="clear" w:color="auto" w:fill="A25EA6"/>
          </w:tcPr>
          <w:p w14:paraId="5939AB3E"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South</w:t>
            </w:r>
          </w:p>
          <w:p w14:paraId="146B3F8B"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1275" w:type="dxa"/>
            <w:tcBorders>
              <w:top w:val="single" w:sz="18" w:space="0" w:color="FFFFFF" w:themeColor="background1"/>
              <w:bottom w:val="single" w:sz="2" w:space="0" w:color="FFFFFF" w:themeColor="background1"/>
            </w:tcBorders>
            <w:shd w:val="clear" w:color="auto" w:fill="A25EA6"/>
          </w:tcPr>
          <w:p w14:paraId="71717F0D"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Central</w:t>
            </w:r>
          </w:p>
          <w:p w14:paraId="2A240179"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1134" w:type="dxa"/>
            <w:tcBorders>
              <w:top w:val="single" w:sz="18" w:space="0" w:color="FFFFFF" w:themeColor="background1"/>
              <w:bottom w:val="single" w:sz="2" w:space="0" w:color="FFFFFF" w:themeColor="background1"/>
            </w:tcBorders>
            <w:shd w:val="clear" w:color="auto" w:fill="A25EA6"/>
          </w:tcPr>
          <w:p w14:paraId="42593A3A"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North</w:t>
            </w:r>
          </w:p>
          <w:p w14:paraId="741B908B"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993" w:type="dxa"/>
            <w:tcBorders>
              <w:top w:val="single" w:sz="18" w:space="0" w:color="FFFFFF" w:themeColor="background1"/>
              <w:bottom w:val="single" w:sz="2" w:space="0" w:color="FFFFFF" w:themeColor="background1"/>
            </w:tcBorders>
            <w:shd w:val="clear" w:color="auto" w:fill="A25EA6"/>
          </w:tcPr>
          <w:p w14:paraId="60851DA7"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Line Islands</w:t>
            </w:r>
          </w:p>
        </w:tc>
        <w:tc>
          <w:tcPr>
            <w:tcW w:w="1134" w:type="dxa"/>
            <w:tcBorders>
              <w:top w:val="single" w:sz="18" w:space="0" w:color="FFFFFF" w:themeColor="background1"/>
              <w:bottom w:val="single" w:sz="2" w:space="0" w:color="FFFFFF" w:themeColor="background1"/>
            </w:tcBorders>
            <w:shd w:val="clear" w:color="auto" w:fill="A25EA6"/>
          </w:tcPr>
          <w:p w14:paraId="6DCF84EE"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South Tarawa</w:t>
            </w:r>
          </w:p>
        </w:tc>
        <w:tc>
          <w:tcPr>
            <w:tcW w:w="951" w:type="dxa"/>
            <w:tcBorders>
              <w:top w:val="single" w:sz="18" w:space="0" w:color="FFFFFF" w:themeColor="background1"/>
              <w:bottom w:val="single" w:sz="2" w:space="0" w:color="FFFFFF" w:themeColor="background1"/>
            </w:tcBorders>
            <w:shd w:val="clear" w:color="auto" w:fill="A25EA6"/>
          </w:tcPr>
          <w:p w14:paraId="4D2B8291"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Total</w:t>
            </w:r>
          </w:p>
          <w:p w14:paraId="193CC1EE"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r>
      <w:tr w:rsidR="00221671" w:rsidRPr="00551D83" w14:paraId="39DB5B43" w14:textId="77777777" w:rsidTr="002C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single" w:sz="2" w:space="0" w:color="FFFFFF" w:themeColor="background1"/>
              <w:left w:val="none" w:sz="0" w:space="0" w:color="auto"/>
              <w:bottom w:val="none" w:sz="0" w:space="0" w:color="auto"/>
              <w:right w:val="none" w:sz="0" w:space="0" w:color="auto"/>
            </w:tcBorders>
            <w:shd w:val="clear" w:color="auto" w:fill="D9D9D9" w:themeFill="background1" w:themeFillShade="D9"/>
          </w:tcPr>
          <w:p w14:paraId="5550A8E2"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Total students </w:t>
            </w:r>
            <w:r w:rsidRPr="00551D83">
              <w:rPr>
                <w:rFonts w:asciiTheme="majorHAnsi" w:hAnsiTheme="majorHAnsi" w:cstheme="majorHAnsi"/>
                <w:color w:val="auto"/>
                <w:vertAlign w:val="superscript"/>
              </w:rPr>
              <w:t>1</w:t>
            </w:r>
          </w:p>
        </w:tc>
        <w:tc>
          <w:tcPr>
            <w:tcW w:w="993" w:type="dxa"/>
            <w:tcBorders>
              <w:top w:val="single" w:sz="2" w:space="0" w:color="FFFFFF" w:themeColor="background1"/>
            </w:tcBorders>
            <w:shd w:val="clear" w:color="auto" w:fill="D9D9D9" w:themeFill="background1" w:themeFillShade="D9"/>
          </w:tcPr>
          <w:p w14:paraId="126BC21E"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319</w:t>
            </w:r>
          </w:p>
        </w:tc>
        <w:tc>
          <w:tcPr>
            <w:tcW w:w="1275" w:type="dxa"/>
            <w:tcBorders>
              <w:top w:val="single" w:sz="2" w:space="0" w:color="FFFFFF" w:themeColor="background1"/>
            </w:tcBorders>
            <w:shd w:val="clear" w:color="auto" w:fill="D9D9D9" w:themeFill="background1" w:themeFillShade="D9"/>
          </w:tcPr>
          <w:p w14:paraId="4B02AE79"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229</w:t>
            </w:r>
          </w:p>
        </w:tc>
        <w:tc>
          <w:tcPr>
            <w:tcW w:w="1134" w:type="dxa"/>
            <w:tcBorders>
              <w:top w:val="single" w:sz="2" w:space="0" w:color="FFFFFF" w:themeColor="background1"/>
            </w:tcBorders>
            <w:shd w:val="clear" w:color="auto" w:fill="D9D9D9" w:themeFill="background1" w:themeFillShade="D9"/>
          </w:tcPr>
          <w:p w14:paraId="40EC2CED"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480</w:t>
            </w:r>
          </w:p>
        </w:tc>
        <w:tc>
          <w:tcPr>
            <w:tcW w:w="993" w:type="dxa"/>
            <w:tcBorders>
              <w:top w:val="single" w:sz="2" w:space="0" w:color="FFFFFF" w:themeColor="background1"/>
            </w:tcBorders>
            <w:shd w:val="clear" w:color="auto" w:fill="D9D9D9" w:themeFill="background1" w:themeFillShade="D9"/>
          </w:tcPr>
          <w:p w14:paraId="3F84593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237</w:t>
            </w:r>
          </w:p>
        </w:tc>
        <w:tc>
          <w:tcPr>
            <w:tcW w:w="1134" w:type="dxa"/>
            <w:tcBorders>
              <w:top w:val="single" w:sz="2" w:space="0" w:color="FFFFFF" w:themeColor="background1"/>
            </w:tcBorders>
            <w:shd w:val="clear" w:color="auto" w:fill="D9D9D9" w:themeFill="background1" w:themeFillShade="D9"/>
          </w:tcPr>
          <w:p w14:paraId="535E5F27"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933</w:t>
            </w:r>
          </w:p>
        </w:tc>
        <w:tc>
          <w:tcPr>
            <w:tcW w:w="951" w:type="dxa"/>
            <w:tcBorders>
              <w:top w:val="single" w:sz="2" w:space="0" w:color="FFFFFF" w:themeColor="background1"/>
            </w:tcBorders>
            <w:shd w:val="clear" w:color="auto" w:fill="D9D9D9" w:themeFill="background1" w:themeFillShade="D9"/>
          </w:tcPr>
          <w:p w14:paraId="66753767"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2198</w:t>
            </w:r>
          </w:p>
        </w:tc>
      </w:tr>
      <w:tr w:rsidR="00221671" w:rsidRPr="00551D83" w14:paraId="42E1F5DE" w14:textId="77777777" w:rsidTr="00551D83">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auto"/>
          </w:tcPr>
          <w:p w14:paraId="2F48E1F2"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Participated in STAKI </w:t>
            </w:r>
          </w:p>
        </w:tc>
        <w:tc>
          <w:tcPr>
            <w:tcW w:w="993" w:type="dxa"/>
          </w:tcPr>
          <w:p w14:paraId="1A10DB21"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266</w:t>
            </w:r>
          </w:p>
        </w:tc>
        <w:tc>
          <w:tcPr>
            <w:tcW w:w="1275" w:type="dxa"/>
          </w:tcPr>
          <w:p w14:paraId="13B34F24"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211</w:t>
            </w:r>
          </w:p>
        </w:tc>
        <w:tc>
          <w:tcPr>
            <w:tcW w:w="1134" w:type="dxa"/>
          </w:tcPr>
          <w:p w14:paraId="60EFDCDC"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396</w:t>
            </w:r>
          </w:p>
        </w:tc>
        <w:tc>
          <w:tcPr>
            <w:tcW w:w="993" w:type="dxa"/>
          </w:tcPr>
          <w:p w14:paraId="6CF8DA62"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214</w:t>
            </w:r>
          </w:p>
        </w:tc>
        <w:tc>
          <w:tcPr>
            <w:tcW w:w="1134" w:type="dxa"/>
          </w:tcPr>
          <w:p w14:paraId="21DEC21D"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848</w:t>
            </w:r>
          </w:p>
        </w:tc>
        <w:tc>
          <w:tcPr>
            <w:tcW w:w="951" w:type="dxa"/>
          </w:tcPr>
          <w:p w14:paraId="79C98436"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1935</w:t>
            </w:r>
          </w:p>
        </w:tc>
      </w:tr>
      <w:tr w:rsidR="00221671" w:rsidRPr="00551D83" w14:paraId="0D6917C3" w14:textId="77777777" w:rsidTr="0055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D9D9D9" w:themeFill="background1" w:themeFillShade="D9"/>
          </w:tcPr>
          <w:p w14:paraId="71A20F00"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 - boys</w:t>
            </w:r>
          </w:p>
        </w:tc>
        <w:tc>
          <w:tcPr>
            <w:tcW w:w="993" w:type="dxa"/>
            <w:shd w:val="clear" w:color="auto" w:fill="D9D9D9" w:themeFill="background1" w:themeFillShade="D9"/>
          </w:tcPr>
          <w:p w14:paraId="71266C88"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115</w:t>
            </w:r>
          </w:p>
        </w:tc>
        <w:tc>
          <w:tcPr>
            <w:tcW w:w="1275" w:type="dxa"/>
            <w:shd w:val="clear" w:color="auto" w:fill="D9D9D9" w:themeFill="background1" w:themeFillShade="D9"/>
          </w:tcPr>
          <w:p w14:paraId="6A1E8F38"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99</w:t>
            </w:r>
          </w:p>
        </w:tc>
        <w:tc>
          <w:tcPr>
            <w:tcW w:w="1134" w:type="dxa"/>
            <w:shd w:val="clear" w:color="auto" w:fill="D9D9D9" w:themeFill="background1" w:themeFillShade="D9"/>
          </w:tcPr>
          <w:p w14:paraId="3169544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185</w:t>
            </w:r>
          </w:p>
        </w:tc>
        <w:tc>
          <w:tcPr>
            <w:tcW w:w="993" w:type="dxa"/>
            <w:shd w:val="clear" w:color="auto" w:fill="D9D9D9" w:themeFill="background1" w:themeFillShade="D9"/>
          </w:tcPr>
          <w:p w14:paraId="30D1ED39"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99</w:t>
            </w:r>
          </w:p>
        </w:tc>
        <w:tc>
          <w:tcPr>
            <w:tcW w:w="1134" w:type="dxa"/>
            <w:shd w:val="clear" w:color="auto" w:fill="D9D9D9" w:themeFill="background1" w:themeFillShade="D9"/>
          </w:tcPr>
          <w:p w14:paraId="0086729C"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381</w:t>
            </w:r>
          </w:p>
        </w:tc>
        <w:tc>
          <w:tcPr>
            <w:tcW w:w="951" w:type="dxa"/>
            <w:shd w:val="clear" w:color="auto" w:fill="D9D9D9" w:themeFill="background1" w:themeFillShade="D9"/>
          </w:tcPr>
          <w:p w14:paraId="40E7886A"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879</w:t>
            </w:r>
          </w:p>
        </w:tc>
      </w:tr>
      <w:tr w:rsidR="00221671" w:rsidRPr="00551D83" w14:paraId="63CF1AF7" w14:textId="77777777" w:rsidTr="00551D83">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auto"/>
          </w:tcPr>
          <w:p w14:paraId="13C15D33"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xml:space="preserve"> - girls</w:t>
            </w:r>
          </w:p>
        </w:tc>
        <w:tc>
          <w:tcPr>
            <w:tcW w:w="993" w:type="dxa"/>
          </w:tcPr>
          <w:p w14:paraId="7C211A55"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151</w:t>
            </w:r>
          </w:p>
        </w:tc>
        <w:tc>
          <w:tcPr>
            <w:tcW w:w="1275" w:type="dxa"/>
          </w:tcPr>
          <w:p w14:paraId="1CFC208C"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112</w:t>
            </w:r>
          </w:p>
        </w:tc>
        <w:tc>
          <w:tcPr>
            <w:tcW w:w="1134" w:type="dxa"/>
          </w:tcPr>
          <w:p w14:paraId="0F796378"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211</w:t>
            </w:r>
          </w:p>
        </w:tc>
        <w:tc>
          <w:tcPr>
            <w:tcW w:w="993" w:type="dxa"/>
          </w:tcPr>
          <w:p w14:paraId="3EE9A672"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115</w:t>
            </w:r>
          </w:p>
        </w:tc>
        <w:tc>
          <w:tcPr>
            <w:tcW w:w="1134" w:type="dxa"/>
          </w:tcPr>
          <w:p w14:paraId="24A33191"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467</w:t>
            </w:r>
          </w:p>
        </w:tc>
        <w:tc>
          <w:tcPr>
            <w:tcW w:w="951" w:type="dxa"/>
          </w:tcPr>
          <w:p w14:paraId="23B14C76"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1056</w:t>
            </w:r>
          </w:p>
        </w:tc>
      </w:tr>
      <w:tr w:rsidR="00221671" w:rsidRPr="00551D83" w14:paraId="4909E08A" w14:textId="77777777" w:rsidTr="002C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single" w:sz="18" w:space="0" w:color="FFFFFF" w:themeColor="background1"/>
              <w:right w:val="none" w:sz="0" w:space="0" w:color="auto"/>
            </w:tcBorders>
            <w:shd w:val="clear" w:color="auto" w:fill="D9D9D9" w:themeFill="background1" w:themeFillShade="D9"/>
          </w:tcPr>
          <w:p w14:paraId="1B4A563E" w14:textId="77777777" w:rsidR="00221671" w:rsidRPr="00551D83" w:rsidRDefault="00221671" w:rsidP="00ED0631">
            <w:pPr>
              <w:spacing w:before="140" w:after="140"/>
              <w:rPr>
                <w:rFonts w:asciiTheme="majorHAnsi" w:hAnsiTheme="majorHAnsi" w:cstheme="majorHAnsi"/>
                <w:color w:val="auto"/>
              </w:rPr>
            </w:pPr>
            <w:r w:rsidRPr="00551D83">
              <w:rPr>
                <w:rFonts w:asciiTheme="majorHAnsi" w:hAnsiTheme="majorHAnsi" w:cstheme="majorHAnsi"/>
                <w:color w:val="auto"/>
              </w:rPr>
              <w:t>% present</w:t>
            </w:r>
          </w:p>
        </w:tc>
        <w:tc>
          <w:tcPr>
            <w:tcW w:w="993" w:type="dxa"/>
            <w:tcBorders>
              <w:bottom w:val="single" w:sz="18" w:space="0" w:color="FFFFFF" w:themeColor="background1"/>
            </w:tcBorders>
            <w:shd w:val="clear" w:color="auto" w:fill="D9D9D9" w:themeFill="background1" w:themeFillShade="D9"/>
          </w:tcPr>
          <w:p w14:paraId="0DDB3A34"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83%</w:t>
            </w:r>
          </w:p>
        </w:tc>
        <w:tc>
          <w:tcPr>
            <w:tcW w:w="1275" w:type="dxa"/>
            <w:tcBorders>
              <w:bottom w:val="single" w:sz="18" w:space="0" w:color="FFFFFF" w:themeColor="background1"/>
            </w:tcBorders>
            <w:shd w:val="clear" w:color="auto" w:fill="D9D9D9" w:themeFill="background1" w:themeFillShade="D9"/>
          </w:tcPr>
          <w:p w14:paraId="2E54A0C7"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92%</w:t>
            </w:r>
          </w:p>
        </w:tc>
        <w:tc>
          <w:tcPr>
            <w:tcW w:w="1134" w:type="dxa"/>
            <w:tcBorders>
              <w:bottom w:val="single" w:sz="18" w:space="0" w:color="FFFFFF" w:themeColor="background1"/>
            </w:tcBorders>
            <w:shd w:val="clear" w:color="auto" w:fill="D9D9D9" w:themeFill="background1" w:themeFillShade="D9"/>
          </w:tcPr>
          <w:p w14:paraId="7FA8BB7F"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82%</w:t>
            </w:r>
          </w:p>
        </w:tc>
        <w:tc>
          <w:tcPr>
            <w:tcW w:w="993" w:type="dxa"/>
            <w:tcBorders>
              <w:bottom w:val="single" w:sz="18" w:space="0" w:color="FFFFFF" w:themeColor="background1"/>
            </w:tcBorders>
            <w:shd w:val="clear" w:color="auto" w:fill="D9D9D9" w:themeFill="background1" w:themeFillShade="D9"/>
          </w:tcPr>
          <w:p w14:paraId="072DE2BD"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90%</w:t>
            </w:r>
          </w:p>
        </w:tc>
        <w:tc>
          <w:tcPr>
            <w:tcW w:w="1134" w:type="dxa"/>
            <w:tcBorders>
              <w:bottom w:val="single" w:sz="18" w:space="0" w:color="FFFFFF" w:themeColor="background1"/>
            </w:tcBorders>
            <w:shd w:val="clear" w:color="auto" w:fill="D9D9D9" w:themeFill="background1" w:themeFillShade="D9"/>
          </w:tcPr>
          <w:p w14:paraId="066019D9"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91%</w:t>
            </w:r>
          </w:p>
        </w:tc>
        <w:tc>
          <w:tcPr>
            <w:tcW w:w="951" w:type="dxa"/>
            <w:tcBorders>
              <w:bottom w:val="single" w:sz="18" w:space="0" w:color="FFFFFF" w:themeColor="background1"/>
            </w:tcBorders>
            <w:shd w:val="clear" w:color="auto" w:fill="D9D9D9" w:themeFill="background1" w:themeFillShade="D9"/>
          </w:tcPr>
          <w:p w14:paraId="2FCC3B4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88%</w:t>
            </w:r>
          </w:p>
        </w:tc>
      </w:tr>
      <w:tr w:rsidR="002C0257" w:rsidRPr="002C0257" w14:paraId="7E4014EE" w14:textId="77777777" w:rsidTr="002C0257">
        <w:tc>
          <w:tcPr>
            <w:cnfStyle w:val="001000000000" w:firstRow="0" w:lastRow="0" w:firstColumn="1" w:lastColumn="0" w:oddVBand="0" w:evenVBand="0" w:oddHBand="0" w:evenHBand="0" w:firstRowFirstColumn="0" w:firstRowLastColumn="0" w:lastRowFirstColumn="0" w:lastRowLastColumn="0"/>
            <w:tcW w:w="2126" w:type="dxa"/>
            <w:tcBorders>
              <w:top w:val="single" w:sz="18" w:space="0" w:color="FFFFFF" w:themeColor="background1"/>
              <w:bottom w:val="single" w:sz="2" w:space="0" w:color="FFFFFF" w:themeColor="background1"/>
            </w:tcBorders>
            <w:shd w:val="clear" w:color="auto" w:fill="A25EA6"/>
          </w:tcPr>
          <w:p w14:paraId="32D5F547" w14:textId="77777777" w:rsidR="00221671" w:rsidRPr="00551D83" w:rsidRDefault="00221671" w:rsidP="00ED0631">
            <w:pPr>
              <w:spacing w:before="140" w:after="140"/>
              <w:rPr>
                <w:rFonts w:asciiTheme="majorHAnsi" w:hAnsiTheme="majorHAnsi" w:cstheme="majorHAnsi"/>
              </w:rPr>
            </w:pPr>
            <w:r w:rsidRPr="00551D83">
              <w:rPr>
                <w:rFonts w:asciiTheme="majorHAnsi" w:hAnsiTheme="majorHAnsi" w:cstheme="majorHAnsi"/>
              </w:rPr>
              <w:t>Year 8</w:t>
            </w:r>
          </w:p>
          <w:p w14:paraId="552F7544" w14:textId="77777777" w:rsidR="00221671" w:rsidRPr="00551D83" w:rsidRDefault="00221671" w:rsidP="00ED0631">
            <w:pPr>
              <w:spacing w:before="140" w:after="140"/>
              <w:rPr>
                <w:rFonts w:asciiTheme="majorHAnsi" w:hAnsiTheme="majorHAnsi" w:cstheme="majorHAnsi"/>
              </w:rPr>
            </w:pPr>
          </w:p>
        </w:tc>
        <w:tc>
          <w:tcPr>
            <w:tcW w:w="993" w:type="dxa"/>
            <w:tcBorders>
              <w:top w:val="single" w:sz="18" w:space="0" w:color="FFFFFF" w:themeColor="background1"/>
              <w:bottom w:val="single" w:sz="2" w:space="0" w:color="FFFFFF" w:themeColor="background1"/>
            </w:tcBorders>
            <w:shd w:val="clear" w:color="auto" w:fill="A25EA6"/>
          </w:tcPr>
          <w:p w14:paraId="18B28EB1"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South</w:t>
            </w:r>
          </w:p>
          <w:p w14:paraId="1518DFBD"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1275" w:type="dxa"/>
            <w:tcBorders>
              <w:top w:val="single" w:sz="18" w:space="0" w:color="FFFFFF" w:themeColor="background1"/>
              <w:bottom w:val="single" w:sz="2" w:space="0" w:color="FFFFFF" w:themeColor="background1"/>
            </w:tcBorders>
            <w:shd w:val="clear" w:color="auto" w:fill="A25EA6"/>
          </w:tcPr>
          <w:p w14:paraId="764C1B6A"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Central</w:t>
            </w:r>
          </w:p>
          <w:p w14:paraId="60C4B5D4"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1134" w:type="dxa"/>
            <w:tcBorders>
              <w:top w:val="single" w:sz="18" w:space="0" w:color="FFFFFF" w:themeColor="background1"/>
              <w:bottom w:val="single" w:sz="2" w:space="0" w:color="FFFFFF" w:themeColor="background1"/>
            </w:tcBorders>
            <w:shd w:val="clear" w:color="auto" w:fill="A25EA6"/>
          </w:tcPr>
          <w:p w14:paraId="75807DD3"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North</w:t>
            </w:r>
          </w:p>
          <w:p w14:paraId="5D67F280"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c>
          <w:tcPr>
            <w:tcW w:w="993" w:type="dxa"/>
            <w:tcBorders>
              <w:top w:val="single" w:sz="18" w:space="0" w:color="FFFFFF" w:themeColor="background1"/>
              <w:bottom w:val="single" w:sz="2" w:space="0" w:color="FFFFFF" w:themeColor="background1"/>
            </w:tcBorders>
            <w:shd w:val="clear" w:color="auto" w:fill="A25EA6"/>
          </w:tcPr>
          <w:p w14:paraId="77CEF33C"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Line Islands</w:t>
            </w:r>
          </w:p>
        </w:tc>
        <w:tc>
          <w:tcPr>
            <w:tcW w:w="1134" w:type="dxa"/>
            <w:tcBorders>
              <w:top w:val="single" w:sz="18" w:space="0" w:color="FFFFFF" w:themeColor="background1"/>
              <w:bottom w:val="single" w:sz="2" w:space="0" w:color="FFFFFF" w:themeColor="background1"/>
            </w:tcBorders>
            <w:shd w:val="clear" w:color="auto" w:fill="A25EA6"/>
          </w:tcPr>
          <w:p w14:paraId="595643B9"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South Tarawa</w:t>
            </w:r>
          </w:p>
        </w:tc>
        <w:tc>
          <w:tcPr>
            <w:tcW w:w="951" w:type="dxa"/>
            <w:tcBorders>
              <w:top w:val="single" w:sz="18" w:space="0" w:color="FFFFFF" w:themeColor="background1"/>
              <w:bottom w:val="single" w:sz="2" w:space="0" w:color="FFFFFF" w:themeColor="background1"/>
            </w:tcBorders>
            <w:shd w:val="clear" w:color="auto" w:fill="A25EA6"/>
          </w:tcPr>
          <w:p w14:paraId="5D710505"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C0257">
              <w:rPr>
                <w:rFonts w:asciiTheme="majorHAnsi" w:hAnsiTheme="majorHAnsi" w:cstheme="majorHAnsi"/>
                <w:b/>
                <w:color w:val="FFFFFF" w:themeColor="background1"/>
              </w:rPr>
              <w:t>Total</w:t>
            </w:r>
          </w:p>
          <w:p w14:paraId="53DA7179" w14:textId="77777777" w:rsidR="00221671" w:rsidRPr="002C0257" w:rsidRDefault="00221671" w:rsidP="002C0257">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p>
        </w:tc>
      </w:tr>
      <w:tr w:rsidR="00221671" w:rsidRPr="00551D83" w14:paraId="51D81AE0" w14:textId="77777777" w:rsidTr="002C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single" w:sz="2" w:space="0" w:color="FFFFFF" w:themeColor="background1"/>
              <w:left w:val="none" w:sz="0" w:space="0" w:color="auto"/>
              <w:bottom w:val="none" w:sz="0" w:space="0" w:color="auto"/>
              <w:right w:val="none" w:sz="0" w:space="0" w:color="auto"/>
            </w:tcBorders>
            <w:shd w:val="clear" w:color="auto" w:fill="D9D9D9" w:themeFill="background1" w:themeFillShade="D9"/>
          </w:tcPr>
          <w:p w14:paraId="7B6FF6D4" w14:textId="23F3205D" w:rsidR="00221671" w:rsidRPr="002C0257" w:rsidRDefault="00221671" w:rsidP="00551D83">
            <w:pPr>
              <w:spacing w:before="140" w:after="140"/>
              <w:rPr>
                <w:rFonts w:asciiTheme="majorHAnsi" w:hAnsiTheme="majorHAnsi" w:cstheme="majorHAnsi"/>
                <w:color w:val="auto"/>
              </w:rPr>
            </w:pPr>
            <w:r w:rsidRPr="002C0257">
              <w:rPr>
                <w:rFonts w:asciiTheme="majorHAnsi" w:hAnsiTheme="majorHAnsi" w:cstheme="majorHAnsi"/>
                <w:color w:val="auto"/>
              </w:rPr>
              <w:t>Total students1</w:t>
            </w:r>
          </w:p>
        </w:tc>
        <w:tc>
          <w:tcPr>
            <w:tcW w:w="993" w:type="dxa"/>
            <w:tcBorders>
              <w:top w:val="single" w:sz="2" w:space="0" w:color="FFFFFF" w:themeColor="background1"/>
            </w:tcBorders>
          </w:tcPr>
          <w:p w14:paraId="115D1356" w14:textId="77777777" w:rsidR="00221671" w:rsidRPr="002C025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2C0257">
              <w:rPr>
                <w:rFonts w:asciiTheme="majorHAnsi" w:hAnsiTheme="majorHAnsi" w:cstheme="majorHAnsi"/>
                <w:bCs/>
              </w:rPr>
              <w:t>262</w:t>
            </w:r>
          </w:p>
        </w:tc>
        <w:tc>
          <w:tcPr>
            <w:tcW w:w="1275" w:type="dxa"/>
            <w:tcBorders>
              <w:top w:val="single" w:sz="2" w:space="0" w:color="FFFFFF" w:themeColor="background1"/>
            </w:tcBorders>
          </w:tcPr>
          <w:p w14:paraId="3ABB8882" w14:textId="77777777" w:rsidR="00221671" w:rsidRPr="002C025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2C0257">
              <w:rPr>
                <w:rFonts w:asciiTheme="majorHAnsi" w:hAnsiTheme="majorHAnsi" w:cstheme="majorHAnsi"/>
                <w:bCs/>
              </w:rPr>
              <w:t>202</w:t>
            </w:r>
          </w:p>
        </w:tc>
        <w:tc>
          <w:tcPr>
            <w:tcW w:w="1134" w:type="dxa"/>
            <w:tcBorders>
              <w:top w:val="single" w:sz="2" w:space="0" w:color="FFFFFF" w:themeColor="background1"/>
            </w:tcBorders>
          </w:tcPr>
          <w:p w14:paraId="4770BAE4" w14:textId="77777777" w:rsidR="00221671" w:rsidRPr="002C025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2C0257">
              <w:rPr>
                <w:rFonts w:asciiTheme="majorHAnsi" w:hAnsiTheme="majorHAnsi" w:cstheme="majorHAnsi"/>
                <w:bCs/>
              </w:rPr>
              <w:t>291</w:t>
            </w:r>
          </w:p>
        </w:tc>
        <w:tc>
          <w:tcPr>
            <w:tcW w:w="993" w:type="dxa"/>
            <w:tcBorders>
              <w:top w:val="single" w:sz="2" w:space="0" w:color="FFFFFF" w:themeColor="background1"/>
            </w:tcBorders>
          </w:tcPr>
          <w:p w14:paraId="4ABEAA99" w14:textId="77777777" w:rsidR="00221671" w:rsidRPr="002C025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2C0257">
              <w:rPr>
                <w:rFonts w:asciiTheme="majorHAnsi" w:hAnsiTheme="majorHAnsi" w:cstheme="majorHAnsi"/>
                <w:bCs/>
              </w:rPr>
              <w:t>222</w:t>
            </w:r>
          </w:p>
        </w:tc>
        <w:tc>
          <w:tcPr>
            <w:tcW w:w="1134" w:type="dxa"/>
            <w:tcBorders>
              <w:top w:val="single" w:sz="2" w:space="0" w:color="FFFFFF" w:themeColor="background1"/>
            </w:tcBorders>
          </w:tcPr>
          <w:p w14:paraId="0FA38D65" w14:textId="77777777" w:rsidR="00221671" w:rsidRPr="002C025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2C0257">
              <w:rPr>
                <w:rFonts w:asciiTheme="majorHAnsi" w:hAnsiTheme="majorHAnsi" w:cstheme="majorHAnsi"/>
                <w:bCs/>
              </w:rPr>
              <w:t>791</w:t>
            </w:r>
          </w:p>
        </w:tc>
        <w:tc>
          <w:tcPr>
            <w:tcW w:w="951" w:type="dxa"/>
            <w:tcBorders>
              <w:top w:val="single" w:sz="2" w:space="0" w:color="FFFFFF" w:themeColor="background1"/>
            </w:tcBorders>
          </w:tcPr>
          <w:p w14:paraId="10741F0E" w14:textId="77777777" w:rsidR="00221671" w:rsidRPr="002C025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2C0257">
              <w:rPr>
                <w:rFonts w:asciiTheme="majorHAnsi" w:hAnsiTheme="majorHAnsi" w:cstheme="majorHAnsi"/>
                <w:bCs/>
              </w:rPr>
              <w:t>1768</w:t>
            </w:r>
          </w:p>
        </w:tc>
      </w:tr>
      <w:tr w:rsidR="00221671" w:rsidRPr="00551D83" w14:paraId="6F5C11C1" w14:textId="77777777" w:rsidTr="002C0257">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auto"/>
          </w:tcPr>
          <w:p w14:paraId="6A8BE574" w14:textId="77777777" w:rsidR="00221671" w:rsidRPr="002C0257" w:rsidRDefault="00221671" w:rsidP="00ED0631">
            <w:pPr>
              <w:spacing w:before="140" w:after="140"/>
              <w:rPr>
                <w:rFonts w:asciiTheme="majorHAnsi" w:hAnsiTheme="majorHAnsi" w:cstheme="majorHAnsi"/>
                <w:color w:val="auto"/>
              </w:rPr>
            </w:pPr>
            <w:r w:rsidRPr="002C0257">
              <w:rPr>
                <w:rFonts w:asciiTheme="majorHAnsi" w:hAnsiTheme="majorHAnsi" w:cstheme="majorHAnsi"/>
                <w:color w:val="auto"/>
              </w:rPr>
              <w:t xml:space="preserve">Participated in STAKI </w:t>
            </w:r>
          </w:p>
        </w:tc>
        <w:tc>
          <w:tcPr>
            <w:tcW w:w="993" w:type="dxa"/>
          </w:tcPr>
          <w:p w14:paraId="13EE8A6E"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230</w:t>
            </w:r>
          </w:p>
        </w:tc>
        <w:tc>
          <w:tcPr>
            <w:tcW w:w="1275" w:type="dxa"/>
          </w:tcPr>
          <w:p w14:paraId="41415808"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176</w:t>
            </w:r>
          </w:p>
        </w:tc>
        <w:tc>
          <w:tcPr>
            <w:tcW w:w="1134" w:type="dxa"/>
          </w:tcPr>
          <w:p w14:paraId="02DAFBFC"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251</w:t>
            </w:r>
          </w:p>
        </w:tc>
        <w:tc>
          <w:tcPr>
            <w:tcW w:w="993" w:type="dxa"/>
          </w:tcPr>
          <w:p w14:paraId="26019431"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142</w:t>
            </w:r>
          </w:p>
        </w:tc>
        <w:tc>
          <w:tcPr>
            <w:tcW w:w="1134" w:type="dxa"/>
          </w:tcPr>
          <w:p w14:paraId="259EE4A3"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551</w:t>
            </w:r>
          </w:p>
        </w:tc>
        <w:tc>
          <w:tcPr>
            <w:tcW w:w="951" w:type="dxa"/>
          </w:tcPr>
          <w:p w14:paraId="5BB5FA9C" w14:textId="77777777" w:rsidR="00221671" w:rsidRPr="00551D83"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1350</w:t>
            </w:r>
          </w:p>
        </w:tc>
      </w:tr>
      <w:tr w:rsidR="00221671" w:rsidRPr="00551D83" w14:paraId="016F00AA" w14:textId="77777777" w:rsidTr="002C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D9D9D9" w:themeFill="background1" w:themeFillShade="D9"/>
          </w:tcPr>
          <w:p w14:paraId="3A220636" w14:textId="77777777" w:rsidR="00221671" w:rsidRPr="002C0257" w:rsidRDefault="00221671" w:rsidP="00ED0631">
            <w:pPr>
              <w:spacing w:before="140" w:after="140"/>
              <w:rPr>
                <w:rFonts w:asciiTheme="majorHAnsi" w:hAnsiTheme="majorHAnsi" w:cstheme="majorHAnsi"/>
                <w:color w:val="auto"/>
              </w:rPr>
            </w:pPr>
            <w:r w:rsidRPr="002C0257">
              <w:rPr>
                <w:rFonts w:asciiTheme="majorHAnsi" w:hAnsiTheme="majorHAnsi" w:cstheme="majorHAnsi"/>
                <w:color w:val="auto"/>
              </w:rPr>
              <w:t xml:space="preserve"> - boys</w:t>
            </w:r>
          </w:p>
        </w:tc>
        <w:tc>
          <w:tcPr>
            <w:tcW w:w="993" w:type="dxa"/>
            <w:shd w:val="clear" w:color="auto" w:fill="D9D9D9" w:themeFill="background1" w:themeFillShade="D9"/>
          </w:tcPr>
          <w:p w14:paraId="46550B13"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114</w:t>
            </w:r>
          </w:p>
        </w:tc>
        <w:tc>
          <w:tcPr>
            <w:tcW w:w="1275" w:type="dxa"/>
            <w:shd w:val="clear" w:color="auto" w:fill="D9D9D9" w:themeFill="background1" w:themeFillShade="D9"/>
          </w:tcPr>
          <w:p w14:paraId="4796C05A"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86</w:t>
            </w:r>
          </w:p>
        </w:tc>
        <w:tc>
          <w:tcPr>
            <w:tcW w:w="1134" w:type="dxa"/>
            <w:shd w:val="clear" w:color="auto" w:fill="D9D9D9" w:themeFill="background1" w:themeFillShade="D9"/>
          </w:tcPr>
          <w:p w14:paraId="7D5E1E79"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100</w:t>
            </w:r>
          </w:p>
        </w:tc>
        <w:tc>
          <w:tcPr>
            <w:tcW w:w="993" w:type="dxa"/>
            <w:shd w:val="clear" w:color="auto" w:fill="D9D9D9" w:themeFill="background1" w:themeFillShade="D9"/>
          </w:tcPr>
          <w:p w14:paraId="1EC409BC"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57</w:t>
            </w:r>
          </w:p>
        </w:tc>
        <w:tc>
          <w:tcPr>
            <w:tcW w:w="1134" w:type="dxa"/>
            <w:shd w:val="clear" w:color="auto" w:fill="D9D9D9" w:themeFill="background1" w:themeFillShade="D9"/>
          </w:tcPr>
          <w:p w14:paraId="61B63BD9"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234</w:t>
            </w:r>
          </w:p>
        </w:tc>
        <w:tc>
          <w:tcPr>
            <w:tcW w:w="951" w:type="dxa"/>
            <w:shd w:val="clear" w:color="auto" w:fill="D9D9D9" w:themeFill="background1" w:themeFillShade="D9"/>
          </w:tcPr>
          <w:p w14:paraId="2722E9C5"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591</w:t>
            </w:r>
          </w:p>
        </w:tc>
      </w:tr>
      <w:tr w:rsidR="002C0257" w:rsidRPr="002C0257" w14:paraId="0CDAFE63" w14:textId="77777777" w:rsidTr="002C0257">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1A7921EC" w14:textId="77777777" w:rsidR="00221671" w:rsidRPr="002C0257" w:rsidRDefault="00221671" w:rsidP="00ED0631">
            <w:pPr>
              <w:spacing w:before="140" w:after="140"/>
              <w:rPr>
                <w:rFonts w:asciiTheme="majorHAnsi" w:hAnsiTheme="majorHAnsi" w:cstheme="majorHAnsi"/>
                <w:color w:val="auto"/>
              </w:rPr>
            </w:pPr>
            <w:r w:rsidRPr="002C0257">
              <w:rPr>
                <w:rFonts w:asciiTheme="majorHAnsi" w:hAnsiTheme="majorHAnsi" w:cstheme="majorHAnsi"/>
                <w:color w:val="auto"/>
              </w:rPr>
              <w:t xml:space="preserve"> - girls</w:t>
            </w:r>
          </w:p>
        </w:tc>
        <w:tc>
          <w:tcPr>
            <w:tcW w:w="993" w:type="dxa"/>
            <w:shd w:val="clear" w:color="auto" w:fill="auto"/>
          </w:tcPr>
          <w:p w14:paraId="34171C00"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116</w:t>
            </w:r>
          </w:p>
        </w:tc>
        <w:tc>
          <w:tcPr>
            <w:tcW w:w="1275" w:type="dxa"/>
            <w:shd w:val="clear" w:color="auto" w:fill="auto"/>
          </w:tcPr>
          <w:p w14:paraId="7599F2FE"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90</w:t>
            </w:r>
          </w:p>
        </w:tc>
        <w:tc>
          <w:tcPr>
            <w:tcW w:w="1134" w:type="dxa"/>
            <w:shd w:val="clear" w:color="auto" w:fill="auto"/>
          </w:tcPr>
          <w:p w14:paraId="2E0BEB4E"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151</w:t>
            </w:r>
          </w:p>
        </w:tc>
        <w:tc>
          <w:tcPr>
            <w:tcW w:w="993" w:type="dxa"/>
            <w:shd w:val="clear" w:color="auto" w:fill="auto"/>
          </w:tcPr>
          <w:p w14:paraId="1A4ED64C"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85</w:t>
            </w:r>
          </w:p>
        </w:tc>
        <w:tc>
          <w:tcPr>
            <w:tcW w:w="1134" w:type="dxa"/>
            <w:shd w:val="clear" w:color="auto" w:fill="auto"/>
          </w:tcPr>
          <w:p w14:paraId="5D7FD59C"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317</w:t>
            </w:r>
          </w:p>
        </w:tc>
        <w:tc>
          <w:tcPr>
            <w:tcW w:w="951" w:type="dxa"/>
            <w:shd w:val="clear" w:color="auto" w:fill="auto"/>
          </w:tcPr>
          <w:p w14:paraId="0C329DC3" w14:textId="77777777" w:rsidR="00221671" w:rsidRPr="002C025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759</w:t>
            </w:r>
          </w:p>
        </w:tc>
      </w:tr>
      <w:tr w:rsidR="00221671" w:rsidRPr="00551D83" w14:paraId="5ECD01E7" w14:textId="77777777" w:rsidTr="002C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D9D9D9" w:themeFill="background1" w:themeFillShade="D9"/>
          </w:tcPr>
          <w:p w14:paraId="485DC673" w14:textId="77777777" w:rsidR="00221671" w:rsidRPr="002C0257" w:rsidRDefault="00221671" w:rsidP="00ED0631">
            <w:pPr>
              <w:spacing w:before="140" w:after="140"/>
              <w:rPr>
                <w:rFonts w:asciiTheme="majorHAnsi" w:hAnsiTheme="majorHAnsi" w:cstheme="majorHAnsi"/>
                <w:color w:val="auto"/>
              </w:rPr>
            </w:pPr>
            <w:r w:rsidRPr="002C0257">
              <w:rPr>
                <w:rFonts w:asciiTheme="majorHAnsi" w:hAnsiTheme="majorHAnsi" w:cstheme="majorHAnsi"/>
                <w:color w:val="auto"/>
              </w:rPr>
              <w:t>% present</w:t>
            </w:r>
          </w:p>
        </w:tc>
        <w:tc>
          <w:tcPr>
            <w:tcW w:w="993" w:type="dxa"/>
            <w:shd w:val="clear" w:color="auto" w:fill="D9D9D9" w:themeFill="background1" w:themeFillShade="D9"/>
          </w:tcPr>
          <w:p w14:paraId="5093033E"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88%</w:t>
            </w:r>
          </w:p>
        </w:tc>
        <w:tc>
          <w:tcPr>
            <w:tcW w:w="1275" w:type="dxa"/>
            <w:shd w:val="clear" w:color="auto" w:fill="D9D9D9" w:themeFill="background1" w:themeFillShade="D9"/>
          </w:tcPr>
          <w:p w14:paraId="32F036B8"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87%</w:t>
            </w:r>
          </w:p>
        </w:tc>
        <w:tc>
          <w:tcPr>
            <w:tcW w:w="1134" w:type="dxa"/>
            <w:shd w:val="clear" w:color="auto" w:fill="D9D9D9" w:themeFill="background1" w:themeFillShade="D9"/>
          </w:tcPr>
          <w:p w14:paraId="446FF87A"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86%</w:t>
            </w:r>
          </w:p>
        </w:tc>
        <w:tc>
          <w:tcPr>
            <w:tcW w:w="993" w:type="dxa"/>
            <w:shd w:val="clear" w:color="auto" w:fill="D9D9D9" w:themeFill="background1" w:themeFillShade="D9"/>
          </w:tcPr>
          <w:p w14:paraId="169C2CAD"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64%</w:t>
            </w:r>
          </w:p>
        </w:tc>
        <w:tc>
          <w:tcPr>
            <w:tcW w:w="1134" w:type="dxa"/>
            <w:shd w:val="clear" w:color="auto" w:fill="D9D9D9" w:themeFill="background1" w:themeFillShade="D9"/>
          </w:tcPr>
          <w:p w14:paraId="006A9FD9"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70%</w:t>
            </w:r>
          </w:p>
        </w:tc>
        <w:tc>
          <w:tcPr>
            <w:tcW w:w="951" w:type="dxa"/>
            <w:shd w:val="clear" w:color="auto" w:fill="D9D9D9" w:themeFill="background1" w:themeFillShade="D9"/>
          </w:tcPr>
          <w:p w14:paraId="158307C0" w14:textId="77777777" w:rsidR="00221671" w:rsidRPr="00551D83"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51D83">
              <w:rPr>
                <w:rFonts w:asciiTheme="majorHAnsi" w:hAnsiTheme="majorHAnsi" w:cstheme="majorHAnsi"/>
              </w:rPr>
              <w:t>76%</w:t>
            </w:r>
          </w:p>
        </w:tc>
      </w:tr>
    </w:tbl>
    <w:p w14:paraId="79CEE640" w14:textId="77777777" w:rsidR="00221671" w:rsidRPr="005E7212" w:rsidRDefault="00221671" w:rsidP="00ED0631">
      <w:pPr>
        <w:spacing w:before="140" w:after="140"/>
        <w:jc w:val="right"/>
        <w:rPr>
          <w:i/>
          <w:sz w:val="18"/>
          <w:szCs w:val="18"/>
        </w:rPr>
      </w:pPr>
      <w:r w:rsidRPr="005E7212">
        <w:rPr>
          <w:i/>
          <w:sz w:val="18"/>
          <w:szCs w:val="18"/>
          <w:vertAlign w:val="superscript"/>
        </w:rPr>
        <w:t>1</w:t>
      </w:r>
      <w:r w:rsidRPr="005E7212">
        <w:rPr>
          <w:i/>
          <w:sz w:val="18"/>
          <w:szCs w:val="18"/>
        </w:rPr>
        <w:t xml:space="preserve"> </w:t>
      </w:r>
      <w:r w:rsidRPr="005E7212">
        <w:rPr>
          <w:i/>
          <w:sz w:val="16"/>
          <w:szCs w:val="16"/>
        </w:rPr>
        <w:t xml:space="preserve">sourced from KEMIS on </w:t>
      </w:r>
      <w:r>
        <w:rPr>
          <w:i/>
          <w:sz w:val="16"/>
          <w:szCs w:val="16"/>
        </w:rPr>
        <w:t>26 Jan 2016 plus estimates where data was missing</w:t>
      </w:r>
    </w:p>
    <w:p w14:paraId="116419FE" w14:textId="77777777" w:rsidR="00221671" w:rsidRPr="009633AA" w:rsidRDefault="00221671" w:rsidP="00ED0631">
      <w:pPr>
        <w:spacing w:before="140" w:after="140"/>
        <w:rPr>
          <w:b/>
          <w:szCs w:val="22"/>
        </w:rPr>
      </w:pPr>
      <w:r w:rsidRPr="009633AA">
        <w:rPr>
          <w:b/>
          <w:szCs w:val="22"/>
        </w:rPr>
        <w:t>Processing and Analysis</w:t>
      </w:r>
    </w:p>
    <w:p w14:paraId="4845D8C0" w14:textId="77777777" w:rsidR="00221671" w:rsidRPr="009633AA" w:rsidRDefault="00221671" w:rsidP="00ED0631">
      <w:pPr>
        <w:spacing w:before="140" w:after="140"/>
        <w:jc w:val="both"/>
      </w:pPr>
      <w:r>
        <w:t>EAU</w:t>
      </w:r>
      <w:r w:rsidRPr="009633AA">
        <w:t xml:space="preserve"> staff checked the data for anomalies and missing marks, making any corrections as required. Results for each test were then analysed, comparing them between components, districts, genders and in comparison to the 2013 results.</w:t>
      </w:r>
    </w:p>
    <w:p w14:paraId="3A990F6C" w14:textId="77777777" w:rsidR="00221671" w:rsidRPr="009633AA" w:rsidRDefault="00221671" w:rsidP="00ED0631">
      <w:pPr>
        <w:spacing w:before="140" w:after="140"/>
        <w:jc w:val="both"/>
      </w:pPr>
      <w:r w:rsidRPr="009633AA">
        <w:t xml:space="preserve">Each component of each student test result, such as </w:t>
      </w:r>
      <w:r w:rsidRPr="009633AA">
        <w:rPr>
          <w:i/>
        </w:rPr>
        <w:t>measurement</w:t>
      </w:r>
      <w:r w:rsidRPr="009633AA">
        <w:t xml:space="preserve"> or </w:t>
      </w:r>
      <w:r w:rsidRPr="009633AA">
        <w:rPr>
          <w:i/>
        </w:rPr>
        <w:t>grammar</w:t>
      </w:r>
      <w:r w:rsidRPr="009633AA">
        <w:t xml:space="preserve"> was given one of the following achievement levels. The levels were based on the total marks for that component and were determined by the relevant marking team leader in consultation with the markers. </w:t>
      </w:r>
    </w:p>
    <w:p w14:paraId="1CF17BA0" w14:textId="77777777" w:rsidR="00221671" w:rsidRPr="009633AA" w:rsidRDefault="00221671" w:rsidP="00ED0631">
      <w:pPr>
        <w:spacing w:before="140" w:after="140"/>
        <w:ind w:left="720"/>
        <w:jc w:val="both"/>
      </w:pPr>
      <w:r w:rsidRPr="009633AA">
        <w:lastRenderedPageBreak/>
        <w:t>L4</w:t>
      </w:r>
      <w:r w:rsidRPr="009633AA">
        <w:tab/>
        <w:t>is working above the expected level;</w:t>
      </w:r>
    </w:p>
    <w:p w14:paraId="77207759" w14:textId="77777777" w:rsidR="00221671" w:rsidRPr="009633AA" w:rsidRDefault="00221671" w:rsidP="00ED0631">
      <w:pPr>
        <w:spacing w:before="140" w:after="140"/>
        <w:ind w:left="720"/>
        <w:jc w:val="both"/>
      </w:pPr>
      <w:r w:rsidRPr="009633AA">
        <w:t>L3</w:t>
      </w:r>
      <w:r w:rsidRPr="009633AA">
        <w:tab/>
        <w:t>is working at the expected level;</w:t>
      </w:r>
    </w:p>
    <w:p w14:paraId="338F8373" w14:textId="77777777" w:rsidR="00221671" w:rsidRPr="009633AA" w:rsidRDefault="00221671" w:rsidP="00ED0631">
      <w:pPr>
        <w:spacing w:before="140" w:after="140"/>
        <w:ind w:left="720"/>
        <w:jc w:val="both"/>
      </w:pPr>
      <w:r w:rsidRPr="009633AA">
        <w:t>L2</w:t>
      </w:r>
      <w:r w:rsidRPr="009633AA">
        <w:tab/>
        <w:t>is working towards the expected level;</w:t>
      </w:r>
    </w:p>
    <w:p w14:paraId="23B29ED5" w14:textId="77777777" w:rsidR="00221671" w:rsidRPr="009633AA" w:rsidRDefault="00221671" w:rsidP="00ED0631">
      <w:pPr>
        <w:spacing w:before="140" w:after="140"/>
        <w:ind w:left="720"/>
        <w:jc w:val="both"/>
      </w:pPr>
      <w:r w:rsidRPr="009633AA">
        <w:t>L1</w:t>
      </w:r>
      <w:r w:rsidRPr="009633AA">
        <w:tab/>
        <w:t>is critically below the expected level; or</w:t>
      </w:r>
    </w:p>
    <w:p w14:paraId="168412DE" w14:textId="3298B01C" w:rsidR="00221671" w:rsidRPr="009633AA" w:rsidRDefault="00221671" w:rsidP="00ED0631">
      <w:pPr>
        <w:tabs>
          <w:tab w:val="left" w:pos="1560"/>
        </w:tabs>
        <w:spacing w:before="140" w:after="140"/>
        <w:ind w:left="1418" w:hanging="709"/>
        <w:jc w:val="both"/>
      </w:pPr>
      <w:r w:rsidRPr="009633AA">
        <w:t>L0</w:t>
      </w:r>
      <w:r w:rsidRPr="009633AA">
        <w:tab/>
        <w:t>no evidence of achievement</w:t>
      </w:r>
      <w:r w:rsidR="002D28B3">
        <w:t>.</w:t>
      </w:r>
    </w:p>
    <w:p w14:paraId="63D49F0B" w14:textId="77777777" w:rsidR="00221671" w:rsidRPr="009633AA" w:rsidRDefault="00221671" w:rsidP="00ED0631">
      <w:pPr>
        <w:spacing w:before="140" w:after="140"/>
        <w:jc w:val="both"/>
      </w:pPr>
      <w:r w:rsidRPr="009633AA">
        <w:t xml:space="preserve">An overall result in the test was then decided using the achievement levels from each component of the test, ensuring that students were performing at their final level in a majority of the components of the domain. Details of the rules used are at </w:t>
      </w:r>
      <w:r w:rsidRPr="009633AA">
        <w:rPr>
          <w:i/>
        </w:rPr>
        <w:t>Appendix 1</w:t>
      </w:r>
      <w:r w:rsidRPr="009633AA">
        <w:t>.</w:t>
      </w:r>
    </w:p>
    <w:p w14:paraId="6EE66560" w14:textId="77777777" w:rsidR="00221671" w:rsidRPr="009633AA" w:rsidRDefault="00221671" w:rsidP="00ED0631">
      <w:pPr>
        <w:spacing w:before="140" w:after="140"/>
        <w:jc w:val="both"/>
      </w:pPr>
      <w:r w:rsidRPr="009633AA">
        <w:t>Matters of interest or note, both in components of the test or overall, were then highlighted in test reports, all of which follow later in this document.</w:t>
      </w:r>
    </w:p>
    <w:p w14:paraId="17CC01CC" w14:textId="77777777" w:rsidR="00221671" w:rsidRPr="009633AA" w:rsidRDefault="00221671" w:rsidP="00ED0631">
      <w:pPr>
        <w:spacing w:before="140" w:after="140"/>
        <w:rPr>
          <w:b/>
          <w:szCs w:val="22"/>
        </w:rPr>
      </w:pPr>
      <w:r w:rsidRPr="009633AA">
        <w:rPr>
          <w:b/>
          <w:szCs w:val="22"/>
        </w:rPr>
        <w:t>School Reports</w:t>
      </w:r>
    </w:p>
    <w:p w14:paraId="086DB492" w14:textId="77777777" w:rsidR="00221671" w:rsidRPr="009633AA" w:rsidRDefault="00221671" w:rsidP="00ED0631">
      <w:pPr>
        <w:spacing w:before="140" w:after="140"/>
        <w:jc w:val="both"/>
      </w:pPr>
      <w:r w:rsidRPr="009633AA">
        <w:t>Reports are provided to each school, showing which, if any, of their results a</w:t>
      </w:r>
      <w:r>
        <w:t>re</w:t>
      </w:r>
      <w:r w:rsidRPr="009633AA">
        <w:t xml:space="preserve"> statistically significantly weaker than the national spread of results. A sample of this report is provided at </w:t>
      </w:r>
      <w:r w:rsidRPr="009633AA">
        <w:rPr>
          <w:i/>
        </w:rPr>
        <w:t>Appendix 2</w:t>
      </w:r>
      <w:r w:rsidRPr="009633AA">
        <w:t>. Additionally, schools receive details of the levels attained by each of their students in each component of each test.</w:t>
      </w:r>
    </w:p>
    <w:p w14:paraId="73B5071F" w14:textId="77777777" w:rsidR="00221671" w:rsidRPr="009633AA" w:rsidRDefault="00221671" w:rsidP="00ED0631">
      <w:pPr>
        <w:spacing w:before="140" w:after="140"/>
        <w:jc w:val="both"/>
      </w:pPr>
      <w:r w:rsidRPr="009633AA">
        <w:t>These reports are provided to schools to support them in developing their continuous school improvement plans.</w:t>
      </w:r>
      <w:r w:rsidRPr="009633AA">
        <w:rPr>
          <w:b/>
        </w:rPr>
        <w:br w:type="page"/>
      </w:r>
    </w:p>
    <w:p w14:paraId="02DF3869" w14:textId="77777777" w:rsidR="00221671" w:rsidRDefault="00221671" w:rsidP="002C0257">
      <w:pPr>
        <w:pStyle w:val="Heading1"/>
      </w:pPr>
      <w:r>
        <w:lastRenderedPageBreak/>
        <w:t>2.</w:t>
      </w:r>
      <w:r>
        <w:tab/>
      </w:r>
      <w:r w:rsidRPr="00E700FC">
        <w:t>National Results</w:t>
      </w:r>
    </w:p>
    <w:p w14:paraId="4883C945" w14:textId="77777777" w:rsidR="00221671" w:rsidRPr="00B77E55" w:rsidRDefault="00221671" w:rsidP="002C0257">
      <w:pPr>
        <w:pStyle w:val="Heading2"/>
      </w:pPr>
      <w:r w:rsidRPr="00B77E55">
        <w:t>2.1</w:t>
      </w:r>
      <w:r w:rsidRPr="00B77E55">
        <w:tab/>
        <w:t>Year 4 English</w:t>
      </w:r>
      <w:r>
        <w:t xml:space="preserve"> literacy</w:t>
      </w:r>
    </w:p>
    <w:p w14:paraId="02CD2D98" w14:textId="73F394B9" w:rsidR="00221671" w:rsidRDefault="00221671" w:rsidP="00ED0631">
      <w:pPr>
        <w:spacing w:before="140" w:after="140"/>
        <w:jc w:val="both"/>
      </w:pPr>
      <w:r w:rsidRPr="00B943F2">
        <w:t xml:space="preserve">Students in Year 4 in 2015 </w:t>
      </w:r>
      <w:r>
        <w:t>were</w:t>
      </w:r>
      <w:r w:rsidRPr="00B943F2">
        <w:t xml:space="preserve"> the first to have been exposed to the new curriculum. This curriculum has a focus on learning literacy skills in te-Kiribati and then transitioning to English in upper primary and junior secondary levels.</w:t>
      </w:r>
      <w:r>
        <w:t xml:space="preserve"> Initially the focus is on oral English with reading and writing in English being introduced in Years 3 and 4.</w:t>
      </w:r>
    </w:p>
    <w:p w14:paraId="77F2D5AD" w14:textId="629D7F5B" w:rsidR="00DE2506" w:rsidRPr="002C0257" w:rsidRDefault="00DE2506" w:rsidP="00ED0631">
      <w:pPr>
        <w:spacing w:before="140" w:after="140"/>
        <w:ind w:left="709" w:hanging="709"/>
        <w:rPr>
          <w:sz w:val="18"/>
          <w:szCs w:val="18"/>
        </w:rPr>
      </w:pPr>
      <w:r>
        <w:rPr>
          <w:noProof/>
          <w:sz w:val="18"/>
          <w:szCs w:val="18"/>
          <w:lang w:eastAsia="en-AU"/>
        </w:rPr>
        <mc:AlternateContent>
          <mc:Choice Requires="wps">
            <w:drawing>
              <wp:anchor distT="0" distB="0" distL="114300" distR="114300" simplePos="0" relativeHeight="251840511" behindDoc="0" locked="0" layoutInCell="1" allowOverlap="1" wp14:anchorId="5E8E1622" wp14:editId="69E73F20">
                <wp:simplePos x="0" y="0"/>
                <wp:positionH relativeFrom="column">
                  <wp:posOffset>1905</wp:posOffset>
                </wp:positionH>
                <wp:positionV relativeFrom="paragraph">
                  <wp:posOffset>35560</wp:posOffset>
                </wp:positionV>
                <wp:extent cx="3200400" cy="3429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9FCBC" w14:textId="77777777" w:rsidR="001E5A4B" w:rsidRPr="00752D28" w:rsidRDefault="001E5A4B" w:rsidP="00DE2506">
                            <w:pPr>
                              <w:spacing w:before="140" w:after="140"/>
                              <w:ind w:left="709" w:hanging="709"/>
                              <w:rPr>
                                <w:i/>
                                <w:sz w:val="18"/>
                                <w:szCs w:val="18"/>
                              </w:rPr>
                            </w:pPr>
                            <w:r w:rsidRPr="00752D28">
                              <w:rPr>
                                <w:b/>
                                <w:i/>
                                <w:sz w:val="18"/>
                                <w:szCs w:val="18"/>
                              </w:rPr>
                              <w:t>Fig 1</w:t>
                            </w:r>
                            <w:r w:rsidRPr="00752D28">
                              <w:rPr>
                                <w:i/>
                                <w:sz w:val="18"/>
                                <w:szCs w:val="18"/>
                              </w:rPr>
                              <w:tab/>
                              <w:t>Year 4 English overall performance 2011-2015</w:t>
                            </w:r>
                          </w:p>
                          <w:p w14:paraId="5A99EC41" w14:textId="77777777" w:rsidR="001E5A4B" w:rsidRPr="00DE2506"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E8E1622" id="Text Box 18" o:spid="_x0000_s1027" type="#_x0000_t202" style="position:absolute;left:0;text-align:left;margin-left:.15pt;margin-top:2.8pt;width:252pt;height:27pt;z-index:251840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8dfAIAAGs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O1TK&#10;igY1elRtZJ+pZVAhP1sXZoA9OABjCz2wgz5AmcJutW/SHwEx2JHp3T67iU1CeYx6TUcwSdiOp5Mz&#10;yKAvXm47H+IXRQ1LQsk9qpeTKjY3IXbQAZIes3RdG5MraCzblvz0+GSUL+wtIDc2YVXuhZ4mRdR5&#10;nqW4MyphjP2mNHKRA0iK3IXq0ni2EegfIaWyMceeeYFOKA0n3nKxx7949ZbLXRzDy2Tj/nJTW/I5&#10;+lduVz8Gl3WHR84P4k5ibJdt1wRDYZdU7VBvT93EBCevaxTlRoR4LzxGBHXE2Mc7fLQhJJ96ibMV&#10;+V9/0yc8OhdWzrYYuZKHn2vhFWfmq0VPn42n0zSj+TA9+TjBwR9alocWu24uCVUZY8E4mcWEj2YQ&#10;tafmCdthkV6FSViJt0seB/EydosA20WqxSKDMJVOxBv74GSiTkVKLffYPgnv+r6M6OhbGoZTzF61&#10;Z4dNNy0t1pF0nXs35bnLap9/THTu/n77pJVxeM6olx05/w0AAP//AwBQSwMEFAAGAAgAAAAhABmK&#10;WG/cAAAABQEAAA8AAABkcnMvZG93bnJldi54bWxMjsFOwzAQRO9I/IO1SNyoQyFRm8apqkgVEoJD&#10;Sy/cnHibRNjrELtt4OtZTnCb0YxmXrGenBVnHEPvScH9LAGB1HjTU6vg8La9W4AIUZPR1hMq+MIA&#10;6/L6qtC58Rfa4XkfW8EjFHKtoItxyKUMTYdOh5kfkDg7+tHpyHZspRn1hcedlfMkyaTTPfFDpwes&#10;Omw+9ien4LnavupdPXeLb1s9vRw3w+fhPVXq9mbarEBEnOJfGX7xGR1KZqr9iUwQVsED9xSkGQgO&#10;0+SRfc1imYEsC/mfvvwBAAD//wMAUEsBAi0AFAAGAAgAAAAhALaDOJL+AAAA4QEAABMAAAAAAAAA&#10;AAAAAAAAAAAAAFtDb250ZW50X1R5cGVzXS54bWxQSwECLQAUAAYACAAAACEAOP0h/9YAAACUAQAA&#10;CwAAAAAAAAAAAAAAAAAvAQAAX3JlbHMvLnJlbHNQSwECLQAUAAYACAAAACEAKUofHXwCAABrBQAA&#10;DgAAAAAAAAAAAAAAAAAuAgAAZHJzL2Uyb0RvYy54bWxQSwECLQAUAAYACAAAACEAGYpYb9wAAAAF&#10;AQAADwAAAAAAAAAAAAAAAADWBAAAZHJzL2Rvd25yZXYueG1sUEsFBgAAAAAEAAQA8wAAAN8FAAAA&#10;AA==&#10;" filled="f" stroked="f" strokeweight=".5pt">
                <v:textbox>
                  <w:txbxContent>
                    <w:p w14:paraId="4019FCBC" w14:textId="77777777" w:rsidR="001E5A4B" w:rsidRPr="00752D28" w:rsidRDefault="001E5A4B" w:rsidP="00DE2506">
                      <w:pPr>
                        <w:spacing w:before="140" w:after="140"/>
                        <w:ind w:left="709" w:hanging="709"/>
                        <w:rPr>
                          <w:i/>
                          <w:sz w:val="18"/>
                          <w:szCs w:val="18"/>
                        </w:rPr>
                      </w:pPr>
                      <w:r w:rsidRPr="00752D28">
                        <w:rPr>
                          <w:b/>
                          <w:i/>
                          <w:sz w:val="18"/>
                          <w:szCs w:val="18"/>
                        </w:rPr>
                        <w:t>Fig 1</w:t>
                      </w:r>
                      <w:r w:rsidRPr="00752D28">
                        <w:rPr>
                          <w:i/>
                          <w:sz w:val="18"/>
                          <w:szCs w:val="18"/>
                        </w:rPr>
                        <w:tab/>
                        <w:t>Year 4 English overall performance 2011-2015</w:t>
                      </w:r>
                    </w:p>
                    <w:p w14:paraId="5A99EC41" w14:textId="77777777" w:rsidR="001E5A4B" w:rsidRPr="00DE2506" w:rsidRDefault="001E5A4B"/>
                  </w:txbxContent>
                </v:textbox>
                <w10:wrap type="square"/>
              </v:shape>
            </w:pict>
          </mc:Fallback>
        </mc:AlternateContent>
      </w:r>
    </w:p>
    <w:p w14:paraId="7CC2B676" w14:textId="77777777" w:rsidR="00221671" w:rsidRPr="00B943F2" w:rsidRDefault="00221671" w:rsidP="00ED0631">
      <w:pPr>
        <w:spacing w:before="140" w:after="140"/>
        <w:jc w:val="both"/>
      </w:pPr>
      <w:r w:rsidRPr="00B943F2">
        <w:rPr>
          <w:noProof/>
          <w:lang w:eastAsia="en-AU"/>
        </w:rPr>
        <w:drawing>
          <wp:anchor distT="0" distB="0" distL="114300" distR="114300" simplePos="0" relativeHeight="251798527" behindDoc="0" locked="0" layoutInCell="1" allowOverlap="1" wp14:anchorId="4C64EAE7" wp14:editId="26FBBBDC">
            <wp:simplePos x="0" y="0"/>
            <wp:positionH relativeFrom="margin">
              <wp:posOffset>1905</wp:posOffset>
            </wp:positionH>
            <wp:positionV relativeFrom="paragraph">
              <wp:posOffset>211455</wp:posOffset>
            </wp:positionV>
            <wp:extent cx="3200400" cy="2049780"/>
            <wp:effectExtent l="0" t="0" r="0" b="7620"/>
            <wp:wrapThrough wrapText="bothSides">
              <wp:wrapPolygon edited="0">
                <wp:start x="0" y="0"/>
                <wp:lineTo x="0" y="21480"/>
                <wp:lineTo x="21471" y="21480"/>
                <wp:lineTo x="21471" y="0"/>
                <wp:lineTo x="0" y="0"/>
              </wp:wrapPolygon>
            </wp:wrapThrough>
            <wp:docPr id="61" name="Chart 61" descr="Percentage of students which shows in 2011 there was over 20% of students with no evidence of achievement. In 2013 and 2015 has dropeed to below 5%" title="Fig 1 Year 4 English overall performance 201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t>There has been a steady</w:t>
      </w:r>
      <w:r w:rsidRPr="00B943F2">
        <w:t xml:space="preserve"> improvement in the number of students who are, at least, working towards the expected level. The proportion of students </w:t>
      </w:r>
      <w:r>
        <w:t>who are working well above the expected level has steadily declined from 12% to 6% in the four year period.</w:t>
      </w:r>
    </w:p>
    <w:p w14:paraId="54DED60F" w14:textId="77777777" w:rsidR="00221671" w:rsidRPr="00A244F5" w:rsidRDefault="00221671" w:rsidP="00ED0631">
      <w:pPr>
        <w:spacing w:before="140" w:after="140"/>
        <w:jc w:val="both"/>
      </w:pPr>
      <w:r>
        <w:t>Almost every student engaged with the test and made some type of attempt.</w:t>
      </w:r>
    </w:p>
    <w:p w14:paraId="03C6EDC5" w14:textId="77777777" w:rsidR="00221671" w:rsidRPr="004F4F96" w:rsidRDefault="00221671" w:rsidP="00ED0631">
      <w:pPr>
        <w:spacing w:before="140" w:after="140"/>
        <w:jc w:val="both"/>
        <w:rPr>
          <w:noProof/>
          <w:lang w:val="en-US"/>
        </w:rPr>
      </w:pPr>
      <w:r w:rsidRPr="004F4F96">
        <w:t>The test focussed on three components of literacy:</w:t>
      </w:r>
      <w:r w:rsidRPr="004F4F96">
        <w:rPr>
          <w:noProof/>
          <w:lang w:val="en-US"/>
        </w:rPr>
        <w:t xml:space="preserve"> </w:t>
      </w:r>
    </w:p>
    <w:p w14:paraId="019C5CC3" w14:textId="77777777" w:rsidR="00221671" w:rsidRPr="004F4F96" w:rsidRDefault="00221671" w:rsidP="00DE2506">
      <w:pPr>
        <w:pStyle w:val="ListParagraph"/>
        <w:numPr>
          <w:ilvl w:val="0"/>
          <w:numId w:val="40"/>
        </w:numPr>
        <w:spacing w:before="0" w:beforeAutospacing="0" w:after="0" w:afterAutospacing="0"/>
        <w:contextualSpacing w:val="0"/>
        <w:jc w:val="both"/>
        <w:rPr>
          <w:szCs w:val="20"/>
        </w:rPr>
      </w:pPr>
      <w:r w:rsidRPr="004F4F96">
        <w:rPr>
          <w:szCs w:val="20"/>
        </w:rPr>
        <w:t>listening,</w:t>
      </w:r>
    </w:p>
    <w:p w14:paraId="669F4F2C" w14:textId="77777777" w:rsidR="00221671" w:rsidRPr="004F4F96" w:rsidRDefault="00221671" w:rsidP="00DE2506">
      <w:pPr>
        <w:pStyle w:val="ListParagraph"/>
        <w:numPr>
          <w:ilvl w:val="0"/>
          <w:numId w:val="40"/>
        </w:numPr>
        <w:spacing w:before="0" w:beforeAutospacing="0" w:after="0" w:afterAutospacing="0"/>
        <w:contextualSpacing w:val="0"/>
        <w:jc w:val="both"/>
        <w:rPr>
          <w:szCs w:val="20"/>
        </w:rPr>
      </w:pPr>
      <w:r w:rsidRPr="004F4F96">
        <w:rPr>
          <w:szCs w:val="20"/>
        </w:rPr>
        <w:t>reading, and</w:t>
      </w:r>
    </w:p>
    <w:p w14:paraId="08AD3CE1" w14:textId="77777777" w:rsidR="00221671" w:rsidRPr="00407F1D" w:rsidRDefault="00221671" w:rsidP="00DE2506">
      <w:pPr>
        <w:pStyle w:val="ListParagraph"/>
        <w:numPr>
          <w:ilvl w:val="0"/>
          <w:numId w:val="40"/>
        </w:numPr>
        <w:spacing w:before="0" w:beforeAutospacing="0" w:after="0" w:afterAutospacing="0"/>
        <w:contextualSpacing w:val="0"/>
        <w:jc w:val="both"/>
        <w:rPr>
          <w:szCs w:val="20"/>
        </w:rPr>
      </w:pPr>
      <w:r w:rsidRPr="004F4F96">
        <w:rPr>
          <w:szCs w:val="20"/>
        </w:rPr>
        <w:t>writing.</w:t>
      </w:r>
      <w:r w:rsidRPr="00A244F5">
        <w:rPr>
          <w:noProof/>
          <w:lang w:val="en-US"/>
        </w:rPr>
        <w:t xml:space="preserve"> </w:t>
      </w:r>
    </w:p>
    <w:p w14:paraId="39991AC6" w14:textId="77777777" w:rsidR="002C0257" w:rsidRDefault="002C0257" w:rsidP="00ED0631">
      <w:pPr>
        <w:spacing w:before="140" w:after="140"/>
        <w:ind w:left="709" w:hanging="709"/>
        <w:rPr>
          <w:b/>
          <w:sz w:val="18"/>
          <w:szCs w:val="18"/>
        </w:rPr>
      </w:pPr>
    </w:p>
    <w:p w14:paraId="79054645" w14:textId="77777777" w:rsidR="00221671" w:rsidRPr="00752D28" w:rsidRDefault="00221671" w:rsidP="00ED0631">
      <w:pPr>
        <w:spacing w:before="140" w:after="140"/>
        <w:ind w:left="709" w:hanging="709"/>
        <w:rPr>
          <w:i/>
          <w:sz w:val="18"/>
          <w:szCs w:val="18"/>
        </w:rPr>
      </w:pPr>
      <w:r w:rsidRPr="00752D28">
        <w:rPr>
          <w:b/>
          <w:i/>
          <w:sz w:val="18"/>
          <w:szCs w:val="18"/>
        </w:rPr>
        <w:t>Fig 2</w:t>
      </w:r>
      <w:r w:rsidRPr="00752D28">
        <w:rPr>
          <w:i/>
          <w:sz w:val="18"/>
          <w:szCs w:val="18"/>
        </w:rPr>
        <w:tab/>
        <w:t>Year 4 English component performance 2013 - 2015</w:t>
      </w:r>
    </w:p>
    <w:p w14:paraId="5A65D0A8" w14:textId="77777777" w:rsidR="00221671" w:rsidRDefault="00221671" w:rsidP="00ED0631">
      <w:pPr>
        <w:spacing w:before="140" w:after="140"/>
        <w:jc w:val="both"/>
        <w:rPr>
          <w:szCs w:val="22"/>
        </w:rPr>
      </w:pPr>
      <w:r>
        <w:rPr>
          <w:noProof/>
          <w:lang w:eastAsia="en-AU"/>
        </w:rPr>
        <w:drawing>
          <wp:inline distT="0" distB="0" distL="0" distR="0" wp14:anchorId="1BA21B89" wp14:editId="0D058D69">
            <wp:extent cx="5471160" cy="2164080"/>
            <wp:effectExtent l="0" t="0" r="15240" b="7620"/>
            <wp:docPr id="62" name="Chart 62" descr="The graph compares the listening, reading and writing components from 2013 to 2015." title="Fig 2 Year 4 English component performance 2013 -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F02A629" w14:textId="77777777" w:rsidR="00221671" w:rsidRDefault="00221671" w:rsidP="00ED0631">
      <w:pPr>
        <w:spacing w:before="140" w:after="140"/>
        <w:jc w:val="both"/>
        <w:rPr>
          <w:rFonts w:cs="Arial"/>
        </w:rPr>
      </w:pPr>
      <w:r>
        <w:rPr>
          <w:rFonts w:cs="Arial"/>
        </w:rPr>
        <w:t>When compared to</w:t>
      </w:r>
      <w:r w:rsidRPr="00D25E9D">
        <w:rPr>
          <w:rFonts w:cs="Arial"/>
        </w:rPr>
        <w:t xml:space="preserve"> 2013, less students are critically underperforming </w:t>
      </w:r>
      <w:r>
        <w:rPr>
          <w:rFonts w:cs="Arial"/>
        </w:rPr>
        <w:t>in listening and writing.</w:t>
      </w:r>
    </w:p>
    <w:p w14:paraId="73AD204C" w14:textId="77777777" w:rsidR="00221671" w:rsidRDefault="00221671" w:rsidP="00ED0631">
      <w:pPr>
        <w:spacing w:before="140" w:after="140"/>
        <w:jc w:val="both"/>
        <w:rPr>
          <w:rFonts w:cs="Arial"/>
        </w:rPr>
      </w:pPr>
      <w:r>
        <w:rPr>
          <w:rFonts w:cs="Arial"/>
        </w:rPr>
        <w:t>There has also been a small improvement in the percentage of students who are reading and writing at or above the expected standard.</w:t>
      </w:r>
    </w:p>
    <w:p w14:paraId="53BD06A8" w14:textId="77777777" w:rsidR="00221671" w:rsidRPr="00D25E9D" w:rsidRDefault="00221671" w:rsidP="00ED0631">
      <w:pPr>
        <w:spacing w:before="140" w:after="140"/>
        <w:jc w:val="both"/>
        <w:rPr>
          <w:rFonts w:cs="Arial"/>
        </w:rPr>
      </w:pPr>
      <w:r w:rsidRPr="00D25E9D">
        <w:rPr>
          <w:rFonts w:cs="Arial"/>
        </w:rPr>
        <w:t xml:space="preserve">Student's reading skills </w:t>
      </w:r>
      <w:r>
        <w:rPr>
          <w:rFonts w:cs="Arial"/>
        </w:rPr>
        <w:t>continue to be</w:t>
      </w:r>
      <w:r w:rsidRPr="00D25E9D">
        <w:rPr>
          <w:rFonts w:cs="Arial"/>
        </w:rPr>
        <w:t xml:space="preserve"> the most poorly developed. Only</w:t>
      </w:r>
      <w:r>
        <w:rPr>
          <w:rFonts w:cs="Arial"/>
        </w:rPr>
        <w:t xml:space="preserve"> 27</w:t>
      </w:r>
      <w:r w:rsidRPr="00D25E9D">
        <w:rPr>
          <w:rFonts w:cs="Arial"/>
        </w:rPr>
        <w:t>% of students are work</w:t>
      </w:r>
      <w:r>
        <w:rPr>
          <w:rFonts w:cs="Arial"/>
        </w:rPr>
        <w:t>ing at the expected level and 50</w:t>
      </w:r>
      <w:r w:rsidRPr="00D25E9D">
        <w:rPr>
          <w:rFonts w:cs="Arial"/>
        </w:rPr>
        <w:t>% are failing to show any or only very limited evidence of achievement.</w:t>
      </w:r>
    </w:p>
    <w:p w14:paraId="15B54F66" w14:textId="77777777" w:rsidR="00221671" w:rsidRPr="00D25E9D" w:rsidRDefault="00221671" w:rsidP="00ED0631">
      <w:pPr>
        <w:spacing w:before="140" w:after="140"/>
        <w:rPr>
          <w:rFonts w:cs="Arial"/>
        </w:rPr>
      </w:pPr>
      <w:r>
        <w:rPr>
          <w:rFonts w:cs="Arial"/>
        </w:rPr>
        <w:br w:type="page"/>
      </w:r>
    </w:p>
    <w:p w14:paraId="4C053B5F" w14:textId="075B246E" w:rsidR="002C0257" w:rsidRDefault="002C0257" w:rsidP="002C0257">
      <w:pPr>
        <w:spacing w:before="140" w:after="140"/>
        <w:ind w:left="709" w:hanging="709"/>
        <w:rPr>
          <w:rFonts w:asciiTheme="majorHAnsi" w:hAnsiTheme="majorHAnsi" w:cstheme="majorHAnsi"/>
          <w:b/>
        </w:rPr>
      </w:pPr>
      <w:r w:rsidRPr="002C0257">
        <w:rPr>
          <w:rFonts w:asciiTheme="majorHAnsi" w:hAnsiTheme="majorHAnsi" w:cstheme="majorHAnsi"/>
          <w:b/>
        </w:rPr>
        <w:lastRenderedPageBreak/>
        <w:t>Table 2</w:t>
      </w:r>
      <w:r w:rsidRPr="002C0257">
        <w:t xml:space="preserve"> </w:t>
      </w:r>
      <w:r w:rsidRPr="002C0257">
        <w:rPr>
          <w:rFonts w:asciiTheme="majorHAnsi" w:hAnsiTheme="majorHAnsi" w:cstheme="majorHAnsi"/>
          <w:b/>
        </w:rPr>
        <w:t>Year 4 English performance by district</w:t>
      </w:r>
    </w:p>
    <w:tbl>
      <w:tblPr>
        <w:tblStyle w:val="MediumShading2-Accent1"/>
        <w:tblpPr w:leftFromText="180" w:rightFromText="180" w:vertAnchor="text" w:tblpY="187"/>
        <w:tblW w:w="500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Year 4 English performance by district"/>
        <w:tblDescription w:val="Year 4 English performance by district &#10;"/>
      </w:tblPr>
      <w:tblGrid>
        <w:gridCol w:w="2185"/>
        <w:gridCol w:w="2315"/>
        <w:gridCol w:w="2315"/>
        <w:gridCol w:w="2321"/>
      </w:tblGrid>
      <w:tr w:rsidR="002C0257" w:rsidRPr="002C0257" w14:paraId="134D77BC" w14:textId="77777777" w:rsidTr="002C0257">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196" w:type="pct"/>
            <w:vMerge w:val="restart"/>
            <w:tcBorders>
              <w:top w:val="none" w:sz="0" w:space="0" w:color="auto"/>
              <w:left w:val="none" w:sz="0" w:space="0" w:color="auto"/>
              <w:bottom w:val="none" w:sz="0" w:space="0" w:color="auto"/>
              <w:right w:val="none" w:sz="0" w:space="0" w:color="auto"/>
            </w:tcBorders>
            <w:shd w:val="clear" w:color="auto" w:fill="A25EA6"/>
          </w:tcPr>
          <w:p w14:paraId="1AD1B147" w14:textId="77777777" w:rsidR="002C0257" w:rsidRPr="002C0257" w:rsidRDefault="002C0257" w:rsidP="00333EC1">
            <w:pPr>
              <w:spacing w:before="140" w:after="140"/>
              <w:rPr>
                <w:rFonts w:asciiTheme="majorHAnsi" w:hAnsiTheme="majorHAnsi" w:cstheme="majorHAnsi"/>
              </w:rPr>
            </w:pPr>
            <w:r w:rsidRPr="002C0257">
              <w:rPr>
                <w:rFonts w:asciiTheme="majorHAnsi" w:hAnsiTheme="majorHAnsi" w:cstheme="majorHAnsi"/>
              </w:rPr>
              <w:t>Year 4 English performance by district</w:t>
            </w:r>
          </w:p>
          <w:p w14:paraId="798AA3D1" w14:textId="77777777" w:rsidR="002C0257" w:rsidRPr="002C0257" w:rsidRDefault="002C0257" w:rsidP="00333EC1">
            <w:pPr>
              <w:spacing w:before="140" w:after="140"/>
              <w:rPr>
                <w:rFonts w:asciiTheme="majorHAnsi" w:hAnsiTheme="majorHAnsi" w:cstheme="majorHAnsi"/>
              </w:rPr>
            </w:pPr>
          </w:p>
        </w:tc>
        <w:tc>
          <w:tcPr>
            <w:tcW w:w="3804" w:type="pct"/>
            <w:gridSpan w:val="3"/>
            <w:tcBorders>
              <w:top w:val="none" w:sz="0" w:space="0" w:color="auto"/>
              <w:left w:val="none" w:sz="0" w:space="0" w:color="auto"/>
              <w:bottom w:val="none" w:sz="0" w:space="0" w:color="auto"/>
              <w:right w:val="none" w:sz="0" w:space="0" w:color="auto"/>
            </w:tcBorders>
            <w:shd w:val="clear" w:color="auto" w:fill="A25EA6"/>
          </w:tcPr>
          <w:p w14:paraId="56BB7D83" w14:textId="77777777" w:rsidR="002C0257" w:rsidRPr="002C0257" w:rsidRDefault="002C0257" w:rsidP="00333EC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Students in each group</w:t>
            </w:r>
          </w:p>
          <w:p w14:paraId="71CAFCB4" w14:textId="77777777" w:rsidR="002C0257" w:rsidRPr="002C0257" w:rsidRDefault="002C0257" w:rsidP="00333EC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2C0257" w:rsidRPr="002C0257" w14:paraId="31B63D54" w14:textId="77777777" w:rsidTr="002C025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vMerge/>
            <w:tcBorders>
              <w:left w:val="none" w:sz="0" w:space="0" w:color="auto"/>
              <w:bottom w:val="none" w:sz="0" w:space="0" w:color="auto"/>
              <w:right w:val="none" w:sz="0" w:space="0" w:color="auto"/>
            </w:tcBorders>
          </w:tcPr>
          <w:p w14:paraId="1DF721F8" w14:textId="77777777" w:rsidR="002C0257" w:rsidRPr="002C0257" w:rsidRDefault="002C0257" w:rsidP="00333EC1">
            <w:pPr>
              <w:spacing w:before="140" w:after="140"/>
              <w:rPr>
                <w:rFonts w:asciiTheme="majorHAnsi" w:hAnsiTheme="majorHAnsi" w:cstheme="majorHAnsi"/>
              </w:rPr>
            </w:pPr>
          </w:p>
        </w:tc>
        <w:tc>
          <w:tcPr>
            <w:tcW w:w="1267" w:type="pct"/>
          </w:tcPr>
          <w:p w14:paraId="7DBE75D6" w14:textId="67F3102F" w:rsidR="002C0257" w:rsidRPr="002C0257" w:rsidRDefault="002C0257" w:rsidP="002C0257">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no evidence or critically below expected level</w:t>
            </w:r>
          </w:p>
        </w:tc>
        <w:tc>
          <w:tcPr>
            <w:tcW w:w="1267" w:type="pct"/>
          </w:tcPr>
          <w:p w14:paraId="0EBB84F0"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working towards expected level</w:t>
            </w:r>
          </w:p>
        </w:tc>
        <w:tc>
          <w:tcPr>
            <w:tcW w:w="1270" w:type="pct"/>
          </w:tcPr>
          <w:p w14:paraId="4AE797C5"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hAnsiTheme="majorHAnsi" w:cstheme="majorHAnsi"/>
              </w:rPr>
              <w:t xml:space="preserve">working at or above expected level </w:t>
            </w:r>
          </w:p>
        </w:tc>
      </w:tr>
      <w:tr w:rsidR="002C0257" w:rsidRPr="002C0257" w14:paraId="583898A3" w14:textId="77777777" w:rsidTr="002C0257">
        <w:trPr>
          <w:trHeight w:val="249"/>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auto"/>
          </w:tcPr>
          <w:p w14:paraId="375B9469" w14:textId="77777777" w:rsidR="002C0257" w:rsidRPr="002C0257" w:rsidRDefault="002C0257" w:rsidP="00333EC1">
            <w:pPr>
              <w:spacing w:before="140" w:after="140"/>
              <w:rPr>
                <w:rFonts w:asciiTheme="majorHAnsi" w:hAnsiTheme="majorHAnsi" w:cstheme="majorHAnsi"/>
                <w:color w:val="auto"/>
              </w:rPr>
            </w:pPr>
            <w:r w:rsidRPr="002C0257">
              <w:rPr>
                <w:rFonts w:asciiTheme="majorHAnsi" w:eastAsia="Times New Roman" w:hAnsiTheme="majorHAnsi" w:cstheme="majorHAnsi"/>
                <w:color w:val="auto"/>
              </w:rPr>
              <w:t>Total</w:t>
            </w:r>
          </w:p>
        </w:tc>
        <w:tc>
          <w:tcPr>
            <w:tcW w:w="1267" w:type="pct"/>
          </w:tcPr>
          <w:p w14:paraId="4F595244"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717 (30%)</w:t>
            </w:r>
          </w:p>
        </w:tc>
        <w:tc>
          <w:tcPr>
            <w:tcW w:w="1267" w:type="pct"/>
          </w:tcPr>
          <w:p w14:paraId="30B5D78A"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1013 (42%)</w:t>
            </w:r>
          </w:p>
        </w:tc>
        <w:tc>
          <w:tcPr>
            <w:tcW w:w="1270" w:type="pct"/>
          </w:tcPr>
          <w:p w14:paraId="4B1AA4FF"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668 (28%)</w:t>
            </w:r>
          </w:p>
        </w:tc>
      </w:tr>
      <w:tr w:rsidR="002C0257" w:rsidRPr="002C0257" w14:paraId="386A4679" w14:textId="77777777" w:rsidTr="00AE24C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D9D9D9" w:themeFill="background1" w:themeFillShade="D9"/>
          </w:tcPr>
          <w:p w14:paraId="0E44826E" w14:textId="77777777" w:rsidR="002C0257" w:rsidRPr="002C0257" w:rsidRDefault="002C0257" w:rsidP="00333EC1">
            <w:pPr>
              <w:spacing w:before="140" w:after="140"/>
              <w:rPr>
                <w:rFonts w:asciiTheme="majorHAnsi" w:hAnsiTheme="majorHAnsi" w:cstheme="majorHAnsi"/>
                <w:color w:val="auto"/>
              </w:rPr>
            </w:pPr>
            <w:r w:rsidRPr="002C0257">
              <w:rPr>
                <w:rFonts w:asciiTheme="majorHAnsi" w:eastAsia="Times New Roman" w:hAnsiTheme="majorHAnsi" w:cstheme="majorHAnsi"/>
                <w:color w:val="auto"/>
              </w:rPr>
              <w:t>Central</w:t>
            </w:r>
          </w:p>
        </w:tc>
        <w:tc>
          <w:tcPr>
            <w:tcW w:w="1267" w:type="pct"/>
          </w:tcPr>
          <w:p w14:paraId="754C67EF"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80 (33%)</w:t>
            </w:r>
          </w:p>
        </w:tc>
        <w:tc>
          <w:tcPr>
            <w:tcW w:w="1267" w:type="pct"/>
          </w:tcPr>
          <w:p w14:paraId="0F3C41F3"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93 (39%)</w:t>
            </w:r>
          </w:p>
        </w:tc>
        <w:tc>
          <w:tcPr>
            <w:tcW w:w="1270" w:type="pct"/>
          </w:tcPr>
          <w:p w14:paraId="15BAC027"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67 (28%)</w:t>
            </w:r>
          </w:p>
        </w:tc>
      </w:tr>
      <w:tr w:rsidR="002C0257" w:rsidRPr="002C0257" w14:paraId="72E72036" w14:textId="77777777" w:rsidTr="002C0257">
        <w:trPr>
          <w:trHeight w:val="249"/>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auto"/>
          </w:tcPr>
          <w:p w14:paraId="601E7389" w14:textId="77777777" w:rsidR="002C0257" w:rsidRPr="002C0257" w:rsidRDefault="002C0257" w:rsidP="00333EC1">
            <w:pPr>
              <w:spacing w:before="140" w:after="140"/>
              <w:rPr>
                <w:rFonts w:asciiTheme="majorHAnsi" w:hAnsiTheme="majorHAnsi" w:cstheme="majorHAnsi"/>
                <w:color w:val="auto"/>
              </w:rPr>
            </w:pPr>
            <w:r w:rsidRPr="002C0257">
              <w:rPr>
                <w:rFonts w:asciiTheme="majorHAnsi" w:eastAsia="Times New Roman" w:hAnsiTheme="majorHAnsi" w:cstheme="majorHAnsi"/>
                <w:color w:val="auto"/>
              </w:rPr>
              <w:t>North</w:t>
            </w:r>
          </w:p>
        </w:tc>
        <w:tc>
          <w:tcPr>
            <w:tcW w:w="1267" w:type="pct"/>
          </w:tcPr>
          <w:p w14:paraId="0B4337F9"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121 (26%)</w:t>
            </w:r>
          </w:p>
        </w:tc>
        <w:tc>
          <w:tcPr>
            <w:tcW w:w="1267" w:type="pct"/>
          </w:tcPr>
          <w:p w14:paraId="2CC6FFD5"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211 (45%)</w:t>
            </w:r>
          </w:p>
        </w:tc>
        <w:tc>
          <w:tcPr>
            <w:tcW w:w="1270" w:type="pct"/>
          </w:tcPr>
          <w:p w14:paraId="695166F1"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141 (30%)</w:t>
            </w:r>
          </w:p>
        </w:tc>
      </w:tr>
      <w:tr w:rsidR="002C0257" w:rsidRPr="002C0257" w14:paraId="322AF317" w14:textId="77777777" w:rsidTr="00AE24C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D9D9D9" w:themeFill="background1" w:themeFillShade="D9"/>
          </w:tcPr>
          <w:p w14:paraId="27CBB0B4" w14:textId="77777777" w:rsidR="002C0257" w:rsidRPr="002C0257" w:rsidRDefault="002C0257" w:rsidP="00333EC1">
            <w:pPr>
              <w:spacing w:before="140" w:after="140"/>
              <w:rPr>
                <w:rFonts w:asciiTheme="majorHAnsi" w:hAnsiTheme="majorHAnsi" w:cstheme="majorHAnsi"/>
                <w:color w:val="auto"/>
              </w:rPr>
            </w:pPr>
            <w:r w:rsidRPr="002C0257">
              <w:rPr>
                <w:rFonts w:asciiTheme="majorHAnsi" w:eastAsia="Times New Roman" w:hAnsiTheme="majorHAnsi" w:cstheme="majorHAnsi"/>
                <w:color w:val="auto"/>
              </w:rPr>
              <w:t>South</w:t>
            </w:r>
          </w:p>
        </w:tc>
        <w:tc>
          <w:tcPr>
            <w:tcW w:w="1267" w:type="pct"/>
          </w:tcPr>
          <w:p w14:paraId="4C46B13F"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137 (40%)</w:t>
            </w:r>
          </w:p>
        </w:tc>
        <w:tc>
          <w:tcPr>
            <w:tcW w:w="1267" w:type="pct"/>
          </w:tcPr>
          <w:p w14:paraId="4F0A9F25"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130 (38%)</w:t>
            </w:r>
          </w:p>
        </w:tc>
        <w:tc>
          <w:tcPr>
            <w:tcW w:w="1270" w:type="pct"/>
          </w:tcPr>
          <w:p w14:paraId="65881F70" w14:textId="31EDE3E4"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78 (23%)</w:t>
            </w:r>
          </w:p>
        </w:tc>
      </w:tr>
      <w:tr w:rsidR="002C0257" w:rsidRPr="002C0257" w14:paraId="48B0E50D" w14:textId="77777777" w:rsidTr="002C0257">
        <w:trPr>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auto"/>
          </w:tcPr>
          <w:p w14:paraId="34BC864F" w14:textId="77777777" w:rsidR="002C0257" w:rsidRPr="002C0257" w:rsidRDefault="002C0257" w:rsidP="00333EC1">
            <w:pPr>
              <w:spacing w:before="140" w:after="140"/>
              <w:rPr>
                <w:rFonts w:asciiTheme="majorHAnsi" w:hAnsiTheme="majorHAnsi" w:cstheme="majorHAnsi"/>
                <w:color w:val="auto"/>
              </w:rPr>
            </w:pPr>
            <w:r w:rsidRPr="002C0257">
              <w:rPr>
                <w:rFonts w:asciiTheme="majorHAnsi" w:eastAsia="Times New Roman" w:hAnsiTheme="majorHAnsi" w:cstheme="majorHAnsi"/>
                <w:color w:val="auto"/>
              </w:rPr>
              <w:t>Linnux</w:t>
            </w:r>
          </w:p>
        </w:tc>
        <w:tc>
          <w:tcPr>
            <w:tcW w:w="1267" w:type="pct"/>
          </w:tcPr>
          <w:p w14:paraId="3F794D15"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103 (39%)</w:t>
            </w:r>
          </w:p>
        </w:tc>
        <w:tc>
          <w:tcPr>
            <w:tcW w:w="1267" w:type="pct"/>
          </w:tcPr>
          <w:p w14:paraId="2B8EE3F0" w14:textId="77777777"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122 (46%)</w:t>
            </w:r>
          </w:p>
        </w:tc>
        <w:tc>
          <w:tcPr>
            <w:tcW w:w="1270" w:type="pct"/>
          </w:tcPr>
          <w:p w14:paraId="23CB48B4" w14:textId="411CE8A6" w:rsidR="002C0257" w:rsidRPr="002C0257" w:rsidRDefault="002C0257" w:rsidP="00333EC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42 (16%)</w:t>
            </w:r>
          </w:p>
        </w:tc>
      </w:tr>
      <w:tr w:rsidR="002C0257" w:rsidRPr="002C0257" w14:paraId="28908252" w14:textId="77777777" w:rsidTr="00AE24C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D9D9D9" w:themeFill="background1" w:themeFillShade="D9"/>
          </w:tcPr>
          <w:p w14:paraId="454FFE63" w14:textId="77777777" w:rsidR="002C0257" w:rsidRPr="002C0257" w:rsidRDefault="002C0257" w:rsidP="00333EC1">
            <w:pPr>
              <w:spacing w:before="140" w:after="140"/>
              <w:rPr>
                <w:rFonts w:asciiTheme="majorHAnsi" w:hAnsiTheme="majorHAnsi" w:cstheme="majorHAnsi"/>
                <w:color w:val="auto"/>
              </w:rPr>
            </w:pPr>
            <w:r w:rsidRPr="002C0257">
              <w:rPr>
                <w:rFonts w:asciiTheme="majorHAnsi" w:eastAsia="Times New Roman" w:hAnsiTheme="majorHAnsi" w:cstheme="majorHAnsi"/>
                <w:color w:val="auto"/>
              </w:rPr>
              <w:t>South Tarawa</w:t>
            </w:r>
          </w:p>
        </w:tc>
        <w:tc>
          <w:tcPr>
            <w:tcW w:w="1267" w:type="pct"/>
          </w:tcPr>
          <w:p w14:paraId="28DEED90"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276 (26%)</w:t>
            </w:r>
          </w:p>
        </w:tc>
        <w:tc>
          <w:tcPr>
            <w:tcW w:w="1267" w:type="pct"/>
          </w:tcPr>
          <w:p w14:paraId="0B4C7FBD" w14:textId="77777777"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457 (43%)</w:t>
            </w:r>
          </w:p>
        </w:tc>
        <w:tc>
          <w:tcPr>
            <w:tcW w:w="1270" w:type="pct"/>
          </w:tcPr>
          <w:p w14:paraId="10CD21A5" w14:textId="4B9193EA" w:rsidR="002C0257" w:rsidRPr="002C0257" w:rsidRDefault="002C0257" w:rsidP="00333EC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C0257">
              <w:rPr>
                <w:rFonts w:asciiTheme="majorHAnsi" w:eastAsia="Times New Roman" w:hAnsiTheme="majorHAnsi" w:cstheme="majorHAnsi"/>
                <w:color w:val="000000"/>
              </w:rPr>
              <w:t>340 (32%)</w:t>
            </w:r>
          </w:p>
        </w:tc>
      </w:tr>
    </w:tbl>
    <w:p w14:paraId="18B419D8" w14:textId="6C6F382E" w:rsidR="00221671" w:rsidRDefault="00DE2506" w:rsidP="00ED0631">
      <w:pPr>
        <w:spacing w:before="140" w:after="140"/>
        <w:jc w:val="both"/>
        <w:rPr>
          <w:rFonts w:cs="Arial"/>
        </w:rPr>
      </w:pPr>
      <w:r>
        <w:rPr>
          <w:noProof/>
          <w:lang w:eastAsia="en-AU"/>
        </w:rPr>
        <w:drawing>
          <wp:anchor distT="0" distB="0" distL="114300" distR="114300" simplePos="0" relativeHeight="251797503" behindDoc="0" locked="0" layoutInCell="1" allowOverlap="1" wp14:anchorId="6C5CEAD2" wp14:editId="6F07FCB4">
            <wp:simplePos x="0" y="0"/>
            <wp:positionH relativeFrom="column">
              <wp:posOffset>3141345</wp:posOffset>
            </wp:positionH>
            <wp:positionV relativeFrom="paragraph">
              <wp:posOffset>3620770</wp:posOffset>
            </wp:positionV>
            <wp:extent cx="2577465" cy="2217420"/>
            <wp:effectExtent l="0" t="0" r="13335" b="11430"/>
            <wp:wrapThrough wrapText="bothSides">
              <wp:wrapPolygon edited="0">
                <wp:start x="0" y="0"/>
                <wp:lineTo x="0" y="21526"/>
                <wp:lineTo x="21552" y="21526"/>
                <wp:lineTo x="21552" y="0"/>
                <wp:lineTo x="0" y="0"/>
              </wp:wrapPolygon>
            </wp:wrapThrough>
            <wp:docPr id="63" name="Chart 63" descr="The graph shows that girls are generally performing better in the test.  Further analysis is in the text." title="Fig 3 Year 4 English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Pr="00D25E9D">
        <w:rPr>
          <w:noProof/>
          <w:lang w:eastAsia="en-AU"/>
        </w:rPr>
        <mc:AlternateContent>
          <mc:Choice Requires="wps">
            <w:drawing>
              <wp:anchor distT="0" distB="0" distL="114300" distR="114300" simplePos="0" relativeHeight="251796479" behindDoc="0" locked="0" layoutInCell="1" allowOverlap="1" wp14:anchorId="5590FF2E" wp14:editId="01CB2C49">
                <wp:simplePos x="0" y="0"/>
                <wp:positionH relativeFrom="column">
                  <wp:posOffset>3049905</wp:posOffset>
                </wp:positionH>
                <wp:positionV relativeFrom="paragraph">
                  <wp:posOffset>3361690</wp:posOffset>
                </wp:positionV>
                <wp:extent cx="2804160" cy="36576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804160" cy="3657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751B5A" w14:textId="77777777" w:rsidR="001E5A4B" w:rsidRPr="00752D28" w:rsidRDefault="001E5A4B" w:rsidP="00ED0631">
                            <w:pPr>
                              <w:ind w:left="709" w:hanging="709"/>
                              <w:rPr>
                                <w:i/>
                                <w:sz w:val="18"/>
                                <w:szCs w:val="18"/>
                              </w:rPr>
                            </w:pPr>
                            <w:r w:rsidRPr="00752D28">
                              <w:rPr>
                                <w:b/>
                                <w:i/>
                                <w:sz w:val="18"/>
                                <w:szCs w:val="18"/>
                              </w:rPr>
                              <w:t>Fig 3</w:t>
                            </w:r>
                            <w:r w:rsidRPr="00752D28">
                              <w:rPr>
                                <w:i/>
                                <w:sz w:val="18"/>
                                <w:szCs w:val="18"/>
                              </w:rPr>
                              <w:tab/>
                              <w:t>Year 4 English performance by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90FF2E" id="Text Box 57" o:spid="_x0000_s1028" type="#_x0000_t202" style="position:absolute;left:0;text-align:left;margin-left:240.15pt;margin-top:264.7pt;width:220.8pt;height:28.8pt;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9krQIAAKw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ncwoUazBGj2K1pEraAmqkJ+9thnCHjQCXYt6rPOgt6j0abfSNP6PCRG0I9OHI7veG0fleB6nyRRN&#10;HG0fppMZyug+ermtjXUfBTTECzk1WL1AKtvdWNdBB4h/TMGqqutQwVr9pkCfnUaEFuhuswwjQdEj&#10;fUyhPD+Wk9m4mE3OR9NikozSJJ6PiiIej65XRVzE6Wp5nl797OMc7keeki71ILlDLbzXWn0WEskM&#10;DHhFaGOxrA3ZMWxAxrlQLpAXIkS0R0nM4i0Xe3zII+T3lssdI8PLoNzxclMpMIHvV2GXX4eQZYfH&#10;op3k7UXXrtvQReOhM9ZQHrBhDHQjZzVfVVjVG2bdPTM4Y9gIuDfcHX5kDfucQi9RsgHz/W96j8fW&#10;Rysle5zZnNpvW2YEJfUnhUNxnqSpH/JwSLGweDCnlvWpRW2bJWBVEtxQmgfR4109iNJA84TrpfCv&#10;ookpjm/n1A3i0nWbBNcTF0URQDjWmrkb9aC5d+2L5Hv2sX1iRveN7bCRbmGYbpa96u8O628qKLYO&#10;ZBWa3/PcsdrzjyshjE+/vvzOOT0H1MuSXfwCAAD//wMAUEsDBBQABgAIAAAAIQBlDlBM3wAAAAsB&#10;AAAPAAAAZHJzL2Rvd25yZXYueG1sTI/BTsMwDIbvSLxDZCRuLFnpWFuaTgjEFbTBkLhljddWNE7V&#10;ZGt5e8wJjrY//f7+cjO7XpxxDJ0nDcuFAoFUe9tRo+H97fkmAxGiIWt6T6jhGwNsqsuL0hTWT7TF&#10;8y42gkMoFEZDG+NQSBnqFp0JCz8g8e3oR2cij2Mj7WgmDne9TJS6k850xB9aM+Bji/XX7uQ07F+O&#10;nx+pem2e3GqY/KwkuVxqfX01P9yDiDjHPxh+9VkdKnY6+BPZIHoNaaZuGdWwSvIUBBN5ssxBHHiT&#10;rRXIqpT/O1Q/AAAA//8DAFBLAQItABQABgAIAAAAIQC2gziS/gAAAOEBAAATAAAAAAAAAAAAAAAA&#10;AAAAAABbQ29udGVudF9UeXBlc10ueG1sUEsBAi0AFAAGAAgAAAAhADj9If/WAAAAlAEAAAsAAAAA&#10;AAAAAAAAAAAALwEAAF9yZWxzLy5yZWxzUEsBAi0AFAAGAAgAAAAhAK4lH2StAgAArAUAAA4AAAAA&#10;AAAAAAAAAAAALgIAAGRycy9lMm9Eb2MueG1sUEsBAi0AFAAGAAgAAAAhAGUOUEzfAAAACwEAAA8A&#10;AAAAAAAAAAAAAAAABwUAAGRycy9kb3ducmV2LnhtbFBLBQYAAAAABAAEAPMAAAATBgAAAAA=&#10;" filled="f" stroked="f">
                <v:textbox>
                  <w:txbxContent>
                    <w:p w14:paraId="37751B5A" w14:textId="77777777" w:rsidR="001E5A4B" w:rsidRPr="00752D28" w:rsidRDefault="001E5A4B" w:rsidP="00ED0631">
                      <w:pPr>
                        <w:ind w:left="709" w:hanging="709"/>
                        <w:rPr>
                          <w:i/>
                          <w:sz w:val="18"/>
                          <w:szCs w:val="18"/>
                        </w:rPr>
                      </w:pPr>
                      <w:r w:rsidRPr="00752D28">
                        <w:rPr>
                          <w:b/>
                          <w:i/>
                          <w:sz w:val="18"/>
                          <w:szCs w:val="18"/>
                        </w:rPr>
                        <w:t>Fig 3</w:t>
                      </w:r>
                      <w:r w:rsidRPr="00752D28">
                        <w:rPr>
                          <w:i/>
                          <w:sz w:val="18"/>
                          <w:szCs w:val="18"/>
                        </w:rPr>
                        <w:tab/>
                        <w:t>Year 4 English performance by gender</w:t>
                      </w:r>
                    </w:p>
                  </w:txbxContent>
                </v:textbox>
                <w10:wrap type="square"/>
              </v:shape>
            </w:pict>
          </mc:Fallback>
        </mc:AlternateContent>
      </w:r>
      <w:r w:rsidR="00221671">
        <w:rPr>
          <w:rFonts w:cs="Arial"/>
        </w:rPr>
        <w:t>Line Island students are not performing at the same level as the other districts.</w:t>
      </w:r>
    </w:p>
    <w:p w14:paraId="50502406" w14:textId="647E6989" w:rsidR="00221671" w:rsidRPr="00D25E9D" w:rsidRDefault="00221671" w:rsidP="00ED0631">
      <w:pPr>
        <w:spacing w:before="140" w:after="140"/>
        <w:jc w:val="both"/>
        <w:rPr>
          <w:rFonts w:cs="Arial"/>
        </w:rPr>
      </w:pPr>
      <w:r w:rsidRPr="00D25E9D">
        <w:rPr>
          <w:rFonts w:cs="Arial"/>
        </w:rPr>
        <w:t>Analysis of the proportions achieving the expected standard by gender shows that girls performed better than boys in the test.</w:t>
      </w:r>
      <w:r>
        <w:rPr>
          <w:rFonts w:cs="Arial"/>
        </w:rPr>
        <w:t xml:space="preserve"> This is a consistent pattern that has been seen in every STAKI test.</w:t>
      </w:r>
    </w:p>
    <w:p w14:paraId="2D82D422" w14:textId="374FD409" w:rsidR="00221671" w:rsidRPr="00D25E9D" w:rsidRDefault="00221671" w:rsidP="00ED0631">
      <w:pPr>
        <w:spacing w:before="140" w:after="140"/>
        <w:jc w:val="both"/>
        <w:rPr>
          <w:rFonts w:cs="Arial"/>
          <w:noProof/>
          <w:lang w:val="en-US"/>
        </w:rPr>
      </w:pPr>
      <w:r w:rsidRPr="00D25E9D">
        <w:rPr>
          <w:rFonts w:cs="Arial"/>
        </w:rPr>
        <w:t xml:space="preserve">The spread of </w:t>
      </w:r>
      <w:r>
        <w:rPr>
          <w:rFonts w:cs="Arial"/>
        </w:rPr>
        <w:t>achievement</w:t>
      </w:r>
      <w:r w:rsidRPr="00D25E9D">
        <w:rPr>
          <w:rFonts w:cs="Arial"/>
        </w:rPr>
        <w:t xml:space="preserve"> for each gender is shown in Fig 3.</w:t>
      </w:r>
      <w:r w:rsidR="002C0257">
        <w:rPr>
          <w:rFonts w:cs="Arial"/>
        </w:rPr>
        <w:t xml:space="preserve"> </w:t>
      </w:r>
      <w:r w:rsidRPr="00D25E9D">
        <w:rPr>
          <w:rFonts w:cs="Arial"/>
        </w:rPr>
        <w:t>The variation in performance between the boys and the girls is statistically significant.</w:t>
      </w:r>
    </w:p>
    <w:p w14:paraId="0F10E556" w14:textId="731752B8" w:rsidR="00221671" w:rsidRPr="002E620E" w:rsidRDefault="00221671" w:rsidP="00ED0631">
      <w:pPr>
        <w:spacing w:before="140" w:after="140"/>
        <w:jc w:val="both"/>
        <w:rPr>
          <w:rFonts w:cs="Arial"/>
        </w:rPr>
      </w:pPr>
      <w:r w:rsidRPr="00D25E9D">
        <w:rPr>
          <w:rFonts w:cs="Arial"/>
          <w:noProof/>
          <w:lang w:val="en-US"/>
        </w:rPr>
        <w:t xml:space="preserve">Of particular </w:t>
      </w:r>
      <w:r>
        <w:rPr>
          <w:rFonts w:cs="Arial"/>
          <w:noProof/>
          <w:lang w:val="en-US"/>
        </w:rPr>
        <w:t>concern</w:t>
      </w:r>
      <w:r w:rsidRPr="00D25E9D">
        <w:rPr>
          <w:rFonts w:cs="Arial"/>
          <w:noProof/>
          <w:lang w:val="en-US"/>
        </w:rPr>
        <w:t xml:space="preserve"> is the large difference in the proportion of students</w:t>
      </w:r>
      <w:r>
        <w:rPr>
          <w:rFonts w:cs="Arial"/>
          <w:noProof/>
          <w:lang w:val="en-US"/>
        </w:rPr>
        <w:t xml:space="preserve"> critically underperforming - 40% for boys and 20</w:t>
      </w:r>
      <w:r w:rsidRPr="00D25E9D">
        <w:rPr>
          <w:rFonts w:cs="Arial"/>
          <w:noProof/>
          <w:lang w:val="en-US"/>
        </w:rPr>
        <w:t xml:space="preserve">% for girls. </w:t>
      </w:r>
      <w:r>
        <w:rPr>
          <w:rFonts w:cs="Arial"/>
        </w:rPr>
        <w:t>The difference (20%) is more marked than it was in 2013 (15%).</w:t>
      </w:r>
    </w:p>
    <w:p w14:paraId="163AC493" w14:textId="316457E9" w:rsidR="00221671" w:rsidRPr="00D25E9D" w:rsidRDefault="00221671" w:rsidP="002C0257">
      <w:pPr>
        <w:pStyle w:val="Heading3"/>
      </w:pPr>
      <w:r w:rsidRPr="00D25E9D">
        <w:t>General Observations</w:t>
      </w:r>
    </w:p>
    <w:p w14:paraId="6793F4F2" w14:textId="77777777" w:rsidR="00221671" w:rsidRPr="00D25E9D" w:rsidRDefault="00221671" w:rsidP="00AE24CE">
      <w:pPr>
        <w:pStyle w:val="ListParagraph"/>
        <w:numPr>
          <w:ilvl w:val="0"/>
          <w:numId w:val="44"/>
        </w:numPr>
        <w:spacing w:before="140" w:beforeAutospacing="0" w:after="140" w:afterAutospacing="0"/>
        <w:contextualSpacing w:val="0"/>
        <w:jc w:val="both"/>
        <w:rPr>
          <w:rFonts w:cs="Arial"/>
          <w:szCs w:val="20"/>
        </w:rPr>
      </w:pPr>
      <w:r>
        <w:rPr>
          <w:rFonts w:cs="Arial"/>
          <w:szCs w:val="20"/>
        </w:rPr>
        <w:t>There has been</w:t>
      </w:r>
      <w:r w:rsidRPr="00D25E9D">
        <w:rPr>
          <w:rFonts w:cs="Arial"/>
          <w:szCs w:val="20"/>
        </w:rPr>
        <w:t xml:space="preserve"> </w:t>
      </w:r>
      <w:r>
        <w:rPr>
          <w:rFonts w:cs="Arial"/>
          <w:szCs w:val="20"/>
        </w:rPr>
        <w:t>little</w:t>
      </w:r>
      <w:r w:rsidRPr="00D25E9D">
        <w:rPr>
          <w:rFonts w:cs="Arial"/>
          <w:szCs w:val="20"/>
        </w:rPr>
        <w:t xml:space="preserve"> </w:t>
      </w:r>
      <w:r>
        <w:rPr>
          <w:rFonts w:cs="Arial"/>
          <w:szCs w:val="20"/>
        </w:rPr>
        <w:t>change</w:t>
      </w:r>
      <w:r w:rsidRPr="00D25E9D">
        <w:rPr>
          <w:rFonts w:cs="Arial"/>
          <w:szCs w:val="20"/>
        </w:rPr>
        <w:t xml:space="preserve"> in the percentage of students achieving the expected overall standard in English at Year 4 since 2011.</w:t>
      </w:r>
    </w:p>
    <w:p w14:paraId="3228D4F0" w14:textId="0920E287" w:rsidR="00221671" w:rsidRPr="00D25E9D" w:rsidRDefault="00221671" w:rsidP="00AE24CE">
      <w:pPr>
        <w:pStyle w:val="ListParagraph"/>
        <w:numPr>
          <w:ilvl w:val="0"/>
          <w:numId w:val="44"/>
        </w:numPr>
        <w:spacing w:before="140" w:beforeAutospacing="0" w:after="140" w:afterAutospacing="0"/>
        <w:contextualSpacing w:val="0"/>
        <w:jc w:val="both"/>
        <w:rPr>
          <w:rFonts w:cs="Arial"/>
          <w:szCs w:val="20"/>
        </w:rPr>
      </w:pPr>
      <w:r w:rsidRPr="00D25E9D">
        <w:rPr>
          <w:rFonts w:cs="Arial"/>
          <w:szCs w:val="20"/>
        </w:rPr>
        <w:t xml:space="preserve">The </w:t>
      </w:r>
      <w:r>
        <w:rPr>
          <w:rFonts w:cs="Arial"/>
          <w:szCs w:val="20"/>
        </w:rPr>
        <w:t>proportion</w:t>
      </w:r>
      <w:r w:rsidRPr="00D25E9D">
        <w:rPr>
          <w:rFonts w:cs="Arial"/>
          <w:szCs w:val="20"/>
        </w:rPr>
        <w:t xml:space="preserve"> of </w:t>
      </w:r>
      <w:r>
        <w:rPr>
          <w:rFonts w:cs="Arial"/>
          <w:szCs w:val="20"/>
        </w:rPr>
        <w:t>very weak student performances</w:t>
      </w:r>
      <w:r w:rsidRPr="00D25E9D">
        <w:rPr>
          <w:rFonts w:cs="Arial"/>
          <w:szCs w:val="20"/>
        </w:rPr>
        <w:t xml:space="preserve"> has, however, </w:t>
      </w:r>
      <w:r>
        <w:rPr>
          <w:rFonts w:cs="Arial"/>
          <w:szCs w:val="20"/>
        </w:rPr>
        <w:t>declined</w:t>
      </w:r>
      <w:r w:rsidRPr="00D25E9D">
        <w:rPr>
          <w:rFonts w:cs="Arial"/>
          <w:szCs w:val="20"/>
        </w:rPr>
        <w:t>.</w:t>
      </w:r>
      <w:r w:rsidR="002C0257">
        <w:rPr>
          <w:rFonts w:cs="Arial"/>
          <w:szCs w:val="20"/>
        </w:rPr>
        <w:t xml:space="preserve"> </w:t>
      </w:r>
      <w:r w:rsidRPr="00D25E9D">
        <w:rPr>
          <w:rFonts w:cs="Arial"/>
          <w:szCs w:val="20"/>
        </w:rPr>
        <w:t>This may reflect improved classroom engagement</w:t>
      </w:r>
      <w:r>
        <w:rPr>
          <w:rFonts w:cs="Arial"/>
          <w:szCs w:val="20"/>
        </w:rPr>
        <w:t xml:space="preserve"> resulting from improved curriculum and pedagogy</w:t>
      </w:r>
      <w:r w:rsidRPr="00D25E9D">
        <w:rPr>
          <w:rFonts w:cs="Arial"/>
          <w:szCs w:val="20"/>
        </w:rPr>
        <w:t xml:space="preserve">; an improved attitude towards </w:t>
      </w:r>
      <w:r>
        <w:rPr>
          <w:rFonts w:cs="Arial"/>
          <w:szCs w:val="20"/>
        </w:rPr>
        <w:t xml:space="preserve">and familiarity with </w:t>
      </w:r>
      <w:r w:rsidRPr="00D25E9D">
        <w:rPr>
          <w:rFonts w:cs="Arial"/>
          <w:szCs w:val="20"/>
        </w:rPr>
        <w:t>test</w:t>
      </w:r>
      <w:r>
        <w:rPr>
          <w:rFonts w:cs="Arial"/>
          <w:szCs w:val="20"/>
        </w:rPr>
        <w:t>ing or a combination of tho</w:t>
      </w:r>
      <w:r w:rsidRPr="00D25E9D">
        <w:rPr>
          <w:rFonts w:cs="Arial"/>
          <w:szCs w:val="20"/>
        </w:rPr>
        <w:t>se and other factors.</w:t>
      </w:r>
    </w:p>
    <w:p w14:paraId="637DB9AD" w14:textId="77777777" w:rsidR="00221671" w:rsidRPr="00D25E9D" w:rsidRDefault="00221671" w:rsidP="00AE24CE">
      <w:pPr>
        <w:pStyle w:val="ListParagraph"/>
        <w:numPr>
          <w:ilvl w:val="0"/>
          <w:numId w:val="44"/>
        </w:numPr>
        <w:spacing w:before="140" w:beforeAutospacing="0" w:after="140" w:afterAutospacing="0"/>
        <w:contextualSpacing w:val="0"/>
        <w:jc w:val="both"/>
        <w:rPr>
          <w:rFonts w:cs="Arial"/>
          <w:szCs w:val="20"/>
        </w:rPr>
      </w:pPr>
      <w:r>
        <w:rPr>
          <w:rFonts w:cs="Arial"/>
          <w:szCs w:val="20"/>
        </w:rPr>
        <w:lastRenderedPageBreak/>
        <w:t>70</w:t>
      </w:r>
      <w:r w:rsidRPr="00D25E9D">
        <w:rPr>
          <w:rFonts w:cs="Arial"/>
          <w:szCs w:val="20"/>
        </w:rPr>
        <w:t>% of the students are working at a level that can be considered to be 'minimally acceptable' for their year level.</w:t>
      </w:r>
    </w:p>
    <w:p w14:paraId="69490E6B" w14:textId="77777777" w:rsidR="00221671" w:rsidRPr="00D25E9D" w:rsidRDefault="00221671" w:rsidP="00AE24CE">
      <w:pPr>
        <w:pStyle w:val="ListParagraph"/>
        <w:numPr>
          <w:ilvl w:val="0"/>
          <w:numId w:val="44"/>
        </w:numPr>
        <w:spacing w:before="140" w:beforeAutospacing="0" w:after="140" w:afterAutospacing="0"/>
        <w:contextualSpacing w:val="0"/>
        <w:jc w:val="both"/>
        <w:rPr>
          <w:rFonts w:cs="Arial"/>
          <w:szCs w:val="20"/>
        </w:rPr>
      </w:pPr>
      <w:r w:rsidRPr="00D25E9D">
        <w:rPr>
          <w:rFonts w:cs="Arial"/>
          <w:szCs w:val="20"/>
        </w:rPr>
        <w:t>Skills in reading are the most in need of development.</w:t>
      </w:r>
      <w:r>
        <w:rPr>
          <w:rFonts w:cs="Arial"/>
          <w:szCs w:val="20"/>
        </w:rPr>
        <w:t xml:space="preserve"> This is the same as was observed in 2013.</w:t>
      </w:r>
    </w:p>
    <w:p w14:paraId="32BB0047" w14:textId="77777777" w:rsidR="00221671" w:rsidRDefault="00221671" w:rsidP="00AE24CE">
      <w:pPr>
        <w:pStyle w:val="ListParagraph"/>
        <w:numPr>
          <w:ilvl w:val="0"/>
          <w:numId w:val="44"/>
        </w:numPr>
        <w:spacing w:before="140" w:beforeAutospacing="0" w:after="140" w:afterAutospacing="0"/>
        <w:contextualSpacing w:val="0"/>
        <w:jc w:val="both"/>
        <w:rPr>
          <w:rFonts w:cs="Arial"/>
          <w:szCs w:val="20"/>
        </w:rPr>
      </w:pPr>
      <w:r w:rsidRPr="00D25E9D">
        <w:rPr>
          <w:rFonts w:cs="Arial"/>
          <w:szCs w:val="20"/>
        </w:rPr>
        <w:t>Students in the Line Islands are under-performing in comparison to their peers in other districts.</w:t>
      </w:r>
    </w:p>
    <w:p w14:paraId="4B0682BA" w14:textId="77777777" w:rsidR="00221671" w:rsidRDefault="00221671" w:rsidP="00AE24CE">
      <w:pPr>
        <w:pStyle w:val="ListParagraph"/>
        <w:numPr>
          <w:ilvl w:val="0"/>
          <w:numId w:val="44"/>
        </w:numPr>
        <w:spacing w:before="140" w:beforeAutospacing="0" w:after="140" w:afterAutospacing="0"/>
        <w:contextualSpacing w:val="0"/>
        <w:jc w:val="both"/>
        <w:rPr>
          <w:rFonts w:cs="Arial"/>
          <w:szCs w:val="20"/>
        </w:rPr>
      </w:pPr>
      <w:r>
        <w:rPr>
          <w:rFonts w:cs="Arial"/>
          <w:szCs w:val="20"/>
        </w:rPr>
        <w:t xml:space="preserve">Overall, student performance has marginally improved in comparison to 2013. </w:t>
      </w:r>
    </w:p>
    <w:p w14:paraId="53D1F8BA" w14:textId="77777777" w:rsidR="00221671" w:rsidRDefault="00221671" w:rsidP="00AE24CE">
      <w:pPr>
        <w:pStyle w:val="ListParagraph"/>
        <w:numPr>
          <w:ilvl w:val="0"/>
          <w:numId w:val="44"/>
        </w:numPr>
        <w:spacing w:before="140" w:beforeAutospacing="0" w:after="140" w:afterAutospacing="0"/>
        <w:contextualSpacing w:val="0"/>
        <w:jc w:val="both"/>
        <w:rPr>
          <w:rFonts w:cs="Arial"/>
          <w:szCs w:val="20"/>
        </w:rPr>
      </w:pPr>
      <w:r>
        <w:rPr>
          <w:rFonts w:cs="Arial"/>
          <w:szCs w:val="20"/>
        </w:rPr>
        <w:t xml:space="preserve">Student performance in the Southern District has declined slightly when compared to 2013. </w:t>
      </w:r>
    </w:p>
    <w:p w14:paraId="393FEBA3" w14:textId="77777777" w:rsidR="00221671" w:rsidRPr="00AE1E99" w:rsidRDefault="00221671" w:rsidP="00AE24CE">
      <w:pPr>
        <w:pStyle w:val="ListParagraph"/>
        <w:numPr>
          <w:ilvl w:val="0"/>
          <w:numId w:val="44"/>
        </w:numPr>
        <w:spacing w:before="140" w:beforeAutospacing="0" w:after="140" w:afterAutospacing="0"/>
        <w:contextualSpacing w:val="0"/>
        <w:jc w:val="both"/>
        <w:rPr>
          <w:b/>
          <w:sz w:val="18"/>
          <w:szCs w:val="18"/>
        </w:rPr>
      </w:pPr>
      <w:r w:rsidRPr="00AE1E99">
        <w:rPr>
          <w:rFonts w:cs="Arial"/>
          <w:szCs w:val="20"/>
        </w:rPr>
        <w:t>Girls continue to perform better than boys and the gap between the two groups is growing.</w:t>
      </w:r>
      <w:r w:rsidRPr="00AE1E99">
        <w:rPr>
          <w:b/>
          <w:sz w:val="18"/>
          <w:szCs w:val="18"/>
        </w:rPr>
        <w:br w:type="page"/>
      </w:r>
    </w:p>
    <w:p w14:paraId="643F8D8D" w14:textId="66B4BFDB" w:rsidR="00221671" w:rsidRPr="00B77E55" w:rsidRDefault="00DE2506" w:rsidP="00AE24CE">
      <w:pPr>
        <w:pStyle w:val="Heading2"/>
      </w:pPr>
      <w:r w:rsidRPr="00A70824">
        <w:rPr>
          <w:noProof/>
          <w:szCs w:val="22"/>
          <w:lang w:eastAsia="en-AU"/>
        </w:rPr>
        <w:lastRenderedPageBreak/>
        <mc:AlternateContent>
          <mc:Choice Requires="wps">
            <w:drawing>
              <wp:anchor distT="0" distB="0" distL="114300" distR="114300" simplePos="0" relativeHeight="251800575" behindDoc="0" locked="0" layoutInCell="1" allowOverlap="1" wp14:anchorId="6F5CE145" wp14:editId="36ED81BC">
                <wp:simplePos x="0" y="0"/>
                <wp:positionH relativeFrom="column">
                  <wp:posOffset>2425065</wp:posOffset>
                </wp:positionH>
                <wp:positionV relativeFrom="paragraph">
                  <wp:posOffset>173990</wp:posOffset>
                </wp:positionV>
                <wp:extent cx="3451860" cy="327660"/>
                <wp:effectExtent l="0" t="0" r="0" b="0"/>
                <wp:wrapThrough wrapText="bothSides">
                  <wp:wrapPolygon edited="0">
                    <wp:start x="238" y="0"/>
                    <wp:lineTo x="238" y="20093"/>
                    <wp:lineTo x="21219" y="20093"/>
                    <wp:lineTo x="21219" y="0"/>
                    <wp:lineTo x="238" y="0"/>
                  </wp:wrapPolygon>
                </wp:wrapThrough>
                <wp:docPr id="58" name="Text Box 58"/>
                <wp:cNvGraphicFramePr/>
                <a:graphic xmlns:a="http://schemas.openxmlformats.org/drawingml/2006/main">
                  <a:graphicData uri="http://schemas.microsoft.com/office/word/2010/wordprocessingShape">
                    <wps:wsp>
                      <wps:cNvSpPr txBox="1"/>
                      <wps:spPr>
                        <a:xfrm>
                          <a:off x="0" y="0"/>
                          <a:ext cx="3451860" cy="3276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A614FC" w14:textId="77777777" w:rsidR="001E5A4B" w:rsidRPr="00752D28" w:rsidRDefault="001E5A4B" w:rsidP="00ED0631">
                            <w:pPr>
                              <w:ind w:left="709" w:hanging="709"/>
                              <w:rPr>
                                <w:i/>
                                <w:sz w:val="18"/>
                                <w:szCs w:val="18"/>
                              </w:rPr>
                            </w:pPr>
                            <w:r w:rsidRPr="00752D28">
                              <w:rPr>
                                <w:b/>
                                <w:i/>
                                <w:sz w:val="18"/>
                                <w:szCs w:val="18"/>
                              </w:rPr>
                              <w:t>Fig 4</w:t>
                            </w:r>
                            <w:r w:rsidRPr="00752D28">
                              <w:rPr>
                                <w:i/>
                                <w:sz w:val="18"/>
                                <w:szCs w:val="18"/>
                              </w:rPr>
                              <w:tab/>
                              <w:t>Year 6 English literacy overall performance 2011-2015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5CE145" id="Text Box 58" o:spid="_x0000_s1029" type="#_x0000_t202" style="position:absolute;left:0;text-align:left;margin-left:190.95pt;margin-top:13.7pt;width:271.8pt;height:25.8pt;z-index:25180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uHrQIAAKw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zrBSijVYo0fROXINHUEV8tNqmyHsQSPQdajHOo96i0qfdidN4/+YEEE7Mr0/sOu9cVSeprPkfI4m&#10;jrbT6dkcZXQfvdzWxroPAhrihZwarF4gle1ureuhI8Q/pmBV1XWoYK1+U6DPXiNCC/S3WYaRoOiR&#10;PqZQnh/L2dm0OJtdTObFLJmkSXw+KYp4OrlZFXERp6vlRXr9c4hzvB95SvrUg+T2tfBea/VZSCQz&#10;MOAVoY3FsjZkx7ABGedCuUBeiBDRHiUxi7dcHPAhj5DfWy73jIwvg3KHy02lwAS+X4Vdfh1Dlj0e&#10;i3aUtxddt+5CF52OnbGGco8NY6AfOav5qsKq3jLr7pnBGcNGwL3h7vAja2hzCoNEyQbM97/pPR5b&#10;H62UtDizObXftswISuqPCofiIklTP+ThkGJh8WCOLetji9o2S8CqJLihNA+ix7t6FKWB5gnXS+Ff&#10;RRNTHN/OqRvFpes3Ca4nLooigHCsNXO36kFz79oXyffsY/fEjB4a22EjfYJxuln2qr97rL+poNg6&#10;kFVofs9zz+rAP66EMD7D+vI75/gcUC9LdvELAAD//wMAUEsDBBQABgAIAAAAIQDeu/Wv3gAAAAkB&#10;AAAPAAAAZHJzL2Rvd25yZXYueG1sTI/BTsMwEETvSP0Ha5G4UbuhaZuQTYVAXEG0gMTNjbdJ1Hgd&#10;xW4T/h5zguNqnmbeFtvJduJCg28dIyzmCgRx5UzLNcL7/vl2A8IHzUZ3jgnhmzxsy9lVoXPjRn6j&#10;yy7UIpawzzVCE0KfS+mrhqz2c9cTx+zoBqtDPIdamkGPsdx2MlFqJa1uOS40uqfHhqrT7mwRPl6O&#10;X59L9Vo/2bQf3aQk20wi3lxPD/cgAk3hD4Zf/agOZXQ6uDMbLzqEu80iiyhCsl6CiECWpCmIA8I6&#10;UyDLQv7/oPwBAAD//wMAUEsBAi0AFAAGAAgAAAAhALaDOJL+AAAA4QEAABMAAAAAAAAAAAAAAAAA&#10;AAAAAFtDb250ZW50X1R5cGVzXS54bWxQSwECLQAUAAYACAAAACEAOP0h/9YAAACUAQAACwAAAAAA&#10;AAAAAAAAAAAvAQAAX3JlbHMvLnJlbHNQSwECLQAUAAYACAAAACEARAaLh60CAACsBQAADgAAAAAA&#10;AAAAAAAAAAAuAgAAZHJzL2Uyb0RvYy54bWxQSwECLQAUAAYACAAAACEA3rv1r94AAAAJAQAADwAA&#10;AAAAAAAAAAAAAAAHBQAAZHJzL2Rvd25yZXYueG1sUEsFBgAAAAAEAAQA8wAAABIGAAAAAA==&#10;" filled="f" stroked="f">
                <v:textbox>
                  <w:txbxContent>
                    <w:p w14:paraId="7DA614FC" w14:textId="77777777" w:rsidR="001E5A4B" w:rsidRPr="00752D28" w:rsidRDefault="001E5A4B" w:rsidP="00ED0631">
                      <w:pPr>
                        <w:ind w:left="709" w:hanging="709"/>
                        <w:rPr>
                          <w:i/>
                          <w:sz w:val="18"/>
                          <w:szCs w:val="18"/>
                        </w:rPr>
                      </w:pPr>
                      <w:r w:rsidRPr="00752D28">
                        <w:rPr>
                          <w:b/>
                          <w:i/>
                          <w:sz w:val="18"/>
                          <w:szCs w:val="18"/>
                        </w:rPr>
                        <w:t>Fig 4</w:t>
                      </w:r>
                      <w:r w:rsidRPr="00752D28">
                        <w:rPr>
                          <w:i/>
                          <w:sz w:val="18"/>
                          <w:szCs w:val="18"/>
                        </w:rPr>
                        <w:tab/>
                        <w:t>Year 6 English literacy overall performance 2011-2015</w:t>
                      </w:r>
                    </w:p>
                  </w:txbxContent>
                </v:textbox>
                <w10:wrap type="through"/>
              </v:shape>
            </w:pict>
          </mc:Fallback>
        </mc:AlternateContent>
      </w:r>
      <w:r w:rsidR="00221671">
        <w:t>2.2</w:t>
      </w:r>
      <w:r w:rsidR="00221671">
        <w:tab/>
        <w:t>Year 6</w:t>
      </w:r>
      <w:r w:rsidR="00221671" w:rsidRPr="00B77E55">
        <w:t xml:space="preserve"> </w:t>
      </w:r>
      <w:r w:rsidR="00221671">
        <w:t>English literacy</w:t>
      </w:r>
    </w:p>
    <w:p w14:paraId="7526430B" w14:textId="3F3122DA" w:rsidR="00221671" w:rsidRDefault="00DE2506" w:rsidP="00AE24CE">
      <w:pPr>
        <w:spacing w:before="140" w:after="140"/>
      </w:pPr>
      <w:r>
        <w:rPr>
          <w:noProof/>
          <w:lang w:eastAsia="en-AU"/>
        </w:rPr>
        <w:drawing>
          <wp:anchor distT="0" distB="0" distL="114300" distR="114300" simplePos="0" relativeHeight="251801599" behindDoc="0" locked="0" layoutInCell="1" allowOverlap="1" wp14:anchorId="5DB6B7B6" wp14:editId="7A5166C5">
            <wp:simplePos x="0" y="0"/>
            <wp:positionH relativeFrom="column">
              <wp:posOffset>2458085</wp:posOffset>
            </wp:positionH>
            <wp:positionV relativeFrom="paragraph">
              <wp:posOffset>90805</wp:posOffset>
            </wp:positionV>
            <wp:extent cx="3221355" cy="2409190"/>
            <wp:effectExtent l="0" t="0" r="17145" b="10160"/>
            <wp:wrapThrough wrapText="bothSides">
              <wp:wrapPolygon edited="0">
                <wp:start x="0" y="0"/>
                <wp:lineTo x="0" y="21520"/>
                <wp:lineTo x="21587" y="21520"/>
                <wp:lineTo x="21587" y="0"/>
                <wp:lineTo x="0" y="0"/>
              </wp:wrapPolygon>
            </wp:wrapThrough>
            <wp:docPr id="64" name="Chart 64" descr="The graph shows the result for 2011, 2013 and 2015. Description and analysis is in the accompanying text." title="Fig 4 Year 6 English literacy overall performance 201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221671">
        <w:t>Almost every student engaged with the test and made some type of attempt.</w:t>
      </w:r>
    </w:p>
    <w:p w14:paraId="57E7019E" w14:textId="46BF1585" w:rsidR="00221671" w:rsidRPr="004B0843" w:rsidRDefault="00221671" w:rsidP="00AE24CE">
      <w:pPr>
        <w:spacing w:before="140" w:after="140"/>
        <w:rPr>
          <w:noProof/>
          <w:lang w:val="en-US"/>
        </w:rPr>
      </w:pPr>
      <w:r>
        <w:t>There has been an improvement in the performance of Year 6 students, with 37% performing at or above the expected standard compared to 21% in 2013.</w:t>
      </w:r>
    </w:p>
    <w:p w14:paraId="5435F7B8" w14:textId="10B04A4F" w:rsidR="00221671" w:rsidRDefault="00221671" w:rsidP="00AE24CE">
      <w:pPr>
        <w:spacing w:before="140" w:after="140"/>
      </w:pPr>
      <w:r>
        <w:t>This is a significant improvement on the results seen in 2013.</w:t>
      </w:r>
    </w:p>
    <w:p w14:paraId="356D2835" w14:textId="57E876A5" w:rsidR="00221671" w:rsidRDefault="00221671" w:rsidP="00AE24CE">
      <w:pPr>
        <w:spacing w:before="140" w:after="140"/>
      </w:pPr>
      <w:r>
        <w:t>81% of students are performing at a minimum standard and demonstrate they can, at least, engage with the expectations, if not demonstrate competence.</w:t>
      </w:r>
    </w:p>
    <w:p w14:paraId="37AC5557" w14:textId="0B510FAD" w:rsidR="00221671" w:rsidRDefault="00221671" w:rsidP="00AE24CE">
      <w:pPr>
        <w:spacing w:before="140" w:after="140"/>
      </w:pPr>
      <w:r>
        <w:t>This test did not include a listening component as it was being used across the region.</w:t>
      </w:r>
    </w:p>
    <w:p w14:paraId="6952CD82" w14:textId="4C43B076" w:rsidR="00221671" w:rsidRPr="004F4F96" w:rsidRDefault="00221671" w:rsidP="00AE24CE">
      <w:pPr>
        <w:spacing w:before="140" w:after="140"/>
        <w:rPr>
          <w:noProof/>
          <w:lang w:val="en-US"/>
        </w:rPr>
      </w:pPr>
      <w:r w:rsidRPr="004F4F96">
        <w:t xml:space="preserve">The test focussed on </w:t>
      </w:r>
      <w:r>
        <w:t>three</w:t>
      </w:r>
      <w:r w:rsidRPr="004F4F96">
        <w:t xml:space="preserve"> components of </w:t>
      </w:r>
      <w:r>
        <w:t>literacy</w:t>
      </w:r>
      <w:r w:rsidRPr="004F4F96">
        <w:t>:</w:t>
      </w:r>
      <w:r w:rsidRPr="004F4F96">
        <w:rPr>
          <w:noProof/>
          <w:lang w:val="en-US"/>
        </w:rPr>
        <w:t xml:space="preserve"> </w:t>
      </w:r>
    </w:p>
    <w:p w14:paraId="28A2EB70" w14:textId="77777777" w:rsidR="00221671" w:rsidRPr="004F4F96" w:rsidRDefault="00221671" w:rsidP="00AE24CE">
      <w:pPr>
        <w:pStyle w:val="ListParagraph"/>
        <w:numPr>
          <w:ilvl w:val="0"/>
          <w:numId w:val="46"/>
        </w:numPr>
        <w:spacing w:before="0" w:beforeAutospacing="0" w:after="0" w:afterAutospacing="0"/>
        <w:contextualSpacing w:val="0"/>
        <w:rPr>
          <w:szCs w:val="20"/>
        </w:rPr>
      </w:pPr>
      <w:r>
        <w:rPr>
          <w:szCs w:val="20"/>
        </w:rPr>
        <w:t>reading</w:t>
      </w:r>
      <w:r w:rsidRPr="004F4F96">
        <w:rPr>
          <w:szCs w:val="20"/>
        </w:rPr>
        <w:t>,</w:t>
      </w:r>
    </w:p>
    <w:p w14:paraId="0D2F0128" w14:textId="77777777" w:rsidR="00221671" w:rsidRPr="004F4F96" w:rsidRDefault="00221671" w:rsidP="00AE24CE">
      <w:pPr>
        <w:pStyle w:val="ListParagraph"/>
        <w:numPr>
          <w:ilvl w:val="0"/>
          <w:numId w:val="46"/>
        </w:numPr>
        <w:spacing w:before="0" w:beforeAutospacing="0" w:after="0" w:afterAutospacing="0"/>
        <w:contextualSpacing w:val="0"/>
        <w:rPr>
          <w:szCs w:val="20"/>
        </w:rPr>
      </w:pPr>
      <w:r>
        <w:rPr>
          <w:szCs w:val="20"/>
        </w:rPr>
        <w:t>language elements,</w:t>
      </w:r>
      <w:r w:rsidRPr="004F4F96">
        <w:rPr>
          <w:szCs w:val="20"/>
        </w:rPr>
        <w:t xml:space="preserve"> and</w:t>
      </w:r>
    </w:p>
    <w:p w14:paraId="5F4C0A5C" w14:textId="6DBD53EA" w:rsidR="00221671" w:rsidRPr="00DE2506" w:rsidRDefault="00DE2506" w:rsidP="00AE24CE">
      <w:pPr>
        <w:pStyle w:val="ListParagraph"/>
        <w:numPr>
          <w:ilvl w:val="0"/>
          <w:numId w:val="46"/>
        </w:numPr>
        <w:spacing w:before="0" w:beforeAutospacing="0" w:after="0" w:afterAutospacing="0"/>
        <w:contextualSpacing w:val="0"/>
        <w:rPr>
          <w:szCs w:val="20"/>
        </w:rPr>
      </w:pPr>
      <w:r>
        <w:rPr>
          <w:noProof/>
          <w:szCs w:val="20"/>
          <w:lang w:eastAsia="en-AU"/>
        </w:rPr>
        <mc:AlternateContent>
          <mc:Choice Requires="wps">
            <w:drawing>
              <wp:anchor distT="0" distB="0" distL="114300" distR="114300" simplePos="0" relativeHeight="251839487" behindDoc="0" locked="0" layoutInCell="1" allowOverlap="1" wp14:anchorId="025ABA9F" wp14:editId="4F5D87EB">
                <wp:simplePos x="0" y="0"/>
                <wp:positionH relativeFrom="column">
                  <wp:posOffset>-112395</wp:posOffset>
                </wp:positionH>
                <wp:positionV relativeFrom="paragraph">
                  <wp:posOffset>167005</wp:posOffset>
                </wp:positionV>
                <wp:extent cx="534162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416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E3B10" w14:textId="77777777" w:rsidR="001E5A4B" w:rsidRPr="00DE2506" w:rsidRDefault="001E5A4B" w:rsidP="00DE2506">
                            <w:pPr>
                              <w:spacing w:before="140" w:after="140"/>
                              <w:rPr>
                                <w:color w:val="000000" w:themeColor="text1"/>
                              </w:rPr>
                            </w:pPr>
                            <w:r w:rsidRPr="00DE2506">
                              <w:rPr>
                                <w:b/>
                                <w:i/>
                                <w:color w:val="000000" w:themeColor="text1"/>
                                <w:sz w:val="18"/>
                                <w:szCs w:val="18"/>
                              </w:rPr>
                              <w:t>Fig 5</w:t>
                            </w:r>
                            <w:r w:rsidRPr="00DE2506">
                              <w:rPr>
                                <w:i/>
                                <w:color w:val="000000" w:themeColor="text1"/>
                                <w:sz w:val="18"/>
                                <w:szCs w:val="18"/>
                              </w:rPr>
                              <w:tab/>
                              <w:t>Year 6 English component performance</w:t>
                            </w:r>
                          </w:p>
                          <w:p w14:paraId="3F10F800" w14:textId="77777777" w:rsidR="001E5A4B" w:rsidRPr="00DE2506" w:rsidRDefault="001E5A4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25ABA9F" id="Text Box 17" o:spid="_x0000_s1030" type="#_x0000_t202" style="position:absolute;left:0;text-align:left;margin-left:-8.85pt;margin-top:13.15pt;width:420.6pt;height:24pt;z-index:251839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YKggIAAGsFAAAOAAAAZHJzL2Uyb0RvYy54bWysVE1PGzEQvVfqf7B8L7uB8NGIDUpBVJUQ&#10;oELF2fHaZFWvx7WdZNNfz7M3GyLaC1UvXu/Mm/HMm4/zi641bKV8aMhWfHRQcqaspLqxzxX/8Xj9&#10;6YyzEIWthSGrKr5RgV9MP344X7uJOqQFmVp5Bic2TNau4osY3aQoglyoVoQDcspCqcm3IuLXPxe1&#10;F2t4b01xWJYnxZp87TxJFQKkV72ST7N/rZWMd1oHFZmpOGKL+fT5nKezmJ6LybMXbtHIbRjiH6Jo&#10;RWPx6M7VlYiCLX3zh6u2kZ4C6XggqS1I60aqnAOyGZVvsnlYCKdyLiAnuB1N4f+5lbere8+aGrU7&#10;5cyKFjV6VF1kX6hjEIGftQsTwB4cgLGDHNhBHiBMaXfat+mLhBj0YHqzYzd5kxAeH41HJ4dQSeiO&#10;yvFZmekvXq2dD/GropalS8U9qpdJFaubEBEJoAMkPWbpujEmV9BYtq74ydFxmQ12GlgYm7Aq98LW&#10;Tcqojzzf4saohDH2u9LgIieQBLkL1aXxbCXQP0JKZWPOPfsFOqE0gniP4Rb/GtV7jPs8hpfJxp1x&#10;21jyOfs3Ydc/h5B1jweRe3mna+zmXW6C8VDYOdUb1NtTPzHByesGRbkRId4LjxFBHTH28Q6HNgTy&#10;aXvjbEH+99/kCY/OhZazNUau4uHXUnjFmflm0dOfR+NxmtH8Mz4+Tb3i9zXzfY1dtpeEqoywYJzM&#10;14SPZrhqT+0TtsMsvQqVsBJvVzwO18vYLwJsF6lmswzCVDoRb+yDk8l1KlJqucfuSXi37cuIjr6l&#10;YTjF5E179thkaWm2jKSb3LuJ557VLf+Y6NzS2+2TVsb+f0a97sjpCwAAAP//AwBQSwMEFAAGAAgA&#10;AAAhAKYcRkniAAAACQEAAA8AAABkcnMvZG93bnJldi54bWxMj01Pg0AURfcm/ofJM3HXDgVbCGVo&#10;GpLGxOiitRt3D+YVSOcDmWmL/nrHlS5f7sm95xWbSSt2pdH11ghYzCNgZBore9MKOL7vZhkw59FI&#10;VNaQgC9ysCnv7wrMpb2ZPV0PvmWhxLgcBXTeDznnrulIo5vbgUzITnbU6MM5tlyOeAvlWvE4ilZc&#10;Y2/CQocDVR0158NFC3ipdm+4r2Odfavq+fW0HT6PH0shHh+m7RqYp8n/wfCrH9ShDE61vRjpmBIw&#10;W6RpQAXEqwRYALI4WQKrBaRPCfCy4P8/KH8AAAD//wMAUEsBAi0AFAAGAAgAAAAhALaDOJL+AAAA&#10;4QEAABMAAAAAAAAAAAAAAAAAAAAAAFtDb250ZW50X1R5cGVzXS54bWxQSwECLQAUAAYACAAAACEA&#10;OP0h/9YAAACUAQAACwAAAAAAAAAAAAAAAAAvAQAAX3JlbHMvLnJlbHNQSwECLQAUAAYACAAAACEA&#10;rSk2CoICAABrBQAADgAAAAAAAAAAAAAAAAAuAgAAZHJzL2Uyb0RvYy54bWxQSwECLQAUAAYACAAA&#10;ACEAphxGSeIAAAAJAQAADwAAAAAAAAAAAAAAAADcBAAAZHJzL2Rvd25yZXYueG1sUEsFBgAAAAAE&#10;AAQA8wAAAOsFAAAAAA==&#10;" filled="f" stroked="f" strokeweight=".5pt">
                <v:textbox>
                  <w:txbxContent>
                    <w:p w14:paraId="0C6E3B10" w14:textId="77777777" w:rsidR="001E5A4B" w:rsidRPr="00DE2506" w:rsidRDefault="001E5A4B" w:rsidP="00DE2506">
                      <w:pPr>
                        <w:spacing w:before="140" w:after="140"/>
                        <w:rPr>
                          <w:color w:val="000000" w:themeColor="text1"/>
                        </w:rPr>
                      </w:pPr>
                      <w:r w:rsidRPr="00DE2506">
                        <w:rPr>
                          <w:b/>
                          <w:i/>
                          <w:color w:val="000000" w:themeColor="text1"/>
                          <w:sz w:val="18"/>
                          <w:szCs w:val="18"/>
                        </w:rPr>
                        <w:t>Fig 5</w:t>
                      </w:r>
                      <w:r w:rsidRPr="00DE2506">
                        <w:rPr>
                          <w:i/>
                          <w:color w:val="000000" w:themeColor="text1"/>
                          <w:sz w:val="18"/>
                          <w:szCs w:val="18"/>
                        </w:rPr>
                        <w:tab/>
                        <w:t>Year 6 English component performance</w:t>
                      </w:r>
                    </w:p>
                    <w:p w14:paraId="3F10F800" w14:textId="77777777" w:rsidR="001E5A4B" w:rsidRPr="00DE2506" w:rsidRDefault="001E5A4B">
                      <w:pPr>
                        <w:rPr>
                          <w:color w:val="000000" w:themeColor="text1"/>
                        </w:rPr>
                      </w:pPr>
                    </w:p>
                  </w:txbxContent>
                </v:textbox>
              </v:shape>
            </w:pict>
          </mc:Fallback>
        </mc:AlternateContent>
      </w:r>
      <w:r w:rsidR="00221671">
        <w:rPr>
          <w:szCs w:val="20"/>
        </w:rPr>
        <w:t>writing</w:t>
      </w:r>
      <w:r w:rsidR="00221671" w:rsidRPr="004F4F96">
        <w:rPr>
          <w:szCs w:val="20"/>
        </w:rPr>
        <w:t>.</w:t>
      </w:r>
      <w:r w:rsidR="00221671" w:rsidRPr="00A244F5">
        <w:rPr>
          <w:noProof/>
          <w:lang w:val="en-US"/>
        </w:rPr>
        <w:t xml:space="preserve"> </w:t>
      </w:r>
    </w:p>
    <w:p w14:paraId="2EB50DEF" w14:textId="222482DE" w:rsidR="00DE2506" w:rsidRPr="00AE24CE" w:rsidRDefault="00DE2506" w:rsidP="00DE2506">
      <w:pPr>
        <w:pStyle w:val="ListParagraph"/>
        <w:spacing w:before="0" w:beforeAutospacing="0" w:after="0" w:afterAutospacing="0"/>
        <w:contextualSpacing w:val="0"/>
        <w:rPr>
          <w:szCs w:val="20"/>
        </w:rPr>
      </w:pPr>
    </w:p>
    <w:p w14:paraId="57112A39" w14:textId="11848F68" w:rsidR="00221671" w:rsidRDefault="00AE24CE" w:rsidP="00DE2506">
      <w:pPr>
        <w:spacing w:before="140" w:after="140"/>
        <w:rPr>
          <w:rFonts w:cs="Arial"/>
        </w:rPr>
      </w:pPr>
      <w:r>
        <w:rPr>
          <w:noProof/>
          <w:lang w:eastAsia="en-AU"/>
        </w:rPr>
        <w:drawing>
          <wp:anchor distT="0" distB="0" distL="114300" distR="114300" simplePos="0" relativeHeight="251799551" behindDoc="0" locked="0" layoutInCell="1" allowOverlap="1" wp14:anchorId="4774B032" wp14:editId="6A9FD144">
            <wp:simplePos x="0" y="0"/>
            <wp:positionH relativeFrom="column">
              <wp:posOffset>-74295</wp:posOffset>
            </wp:positionH>
            <wp:positionV relativeFrom="paragraph">
              <wp:posOffset>173990</wp:posOffset>
            </wp:positionV>
            <wp:extent cx="5417820" cy="2092325"/>
            <wp:effectExtent l="0" t="0" r="11430" b="3175"/>
            <wp:wrapThrough wrapText="bothSides">
              <wp:wrapPolygon edited="0">
                <wp:start x="0" y="0"/>
                <wp:lineTo x="0" y="21436"/>
                <wp:lineTo x="21570" y="21436"/>
                <wp:lineTo x="21570" y="0"/>
                <wp:lineTo x="0" y="0"/>
              </wp:wrapPolygon>
            </wp:wrapThrough>
            <wp:docPr id="65" name="Chart 65" descr="The graph shows the result for 2013 and 2015 for the three literacy components. Description and analysis is in the accompanying text." title="Fig 5 Year 6 English component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221671">
        <w:rPr>
          <w:rFonts w:cs="Arial"/>
        </w:rPr>
        <w:t>Both reading and writing have improved significantly since 2013.</w:t>
      </w:r>
    </w:p>
    <w:p w14:paraId="488DAA12" w14:textId="77777777" w:rsidR="00221671" w:rsidRDefault="00221671" w:rsidP="00ED0631">
      <w:pPr>
        <w:spacing w:before="140" w:after="140"/>
        <w:jc w:val="both"/>
        <w:rPr>
          <w:rFonts w:cs="Arial"/>
        </w:rPr>
      </w:pPr>
      <w:r>
        <w:rPr>
          <w:rFonts w:cs="Arial"/>
        </w:rPr>
        <w:t>Less than 20% of students are unable to demonstrate a minimal understanding of written texts.</w:t>
      </w:r>
    </w:p>
    <w:p w14:paraId="7DC24B74" w14:textId="77777777" w:rsidR="00221671" w:rsidRDefault="00221671" w:rsidP="00ED0631">
      <w:pPr>
        <w:spacing w:before="140" w:after="140"/>
        <w:jc w:val="both"/>
        <w:rPr>
          <w:rFonts w:cs="Arial"/>
        </w:rPr>
      </w:pPr>
      <w:r>
        <w:rPr>
          <w:rFonts w:cs="Arial"/>
        </w:rPr>
        <w:t>Only 12% of students had difficulty creating a piece of writing that displayed some of the expected elements. 65% of students produced writing that met the expected standard.</w:t>
      </w:r>
    </w:p>
    <w:p w14:paraId="21D595F5" w14:textId="77777777" w:rsidR="00221671" w:rsidRDefault="00221671" w:rsidP="00ED0631">
      <w:pPr>
        <w:spacing w:before="140" w:after="140"/>
        <w:rPr>
          <w:rFonts w:cs="Arial"/>
        </w:rPr>
      </w:pPr>
      <w:r>
        <w:rPr>
          <w:rFonts w:cs="Arial"/>
        </w:rPr>
        <w:br w:type="page"/>
      </w:r>
    </w:p>
    <w:p w14:paraId="24A60BDD" w14:textId="253B73E5" w:rsidR="00AE24CE" w:rsidRPr="00AE24CE" w:rsidRDefault="00AE24CE" w:rsidP="00ED0631">
      <w:pPr>
        <w:spacing w:before="140" w:after="140"/>
        <w:rPr>
          <w:rFonts w:cs="Arial"/>
          <w:b/>
        </w:rPr>
      </w:pPr>
      <w:r w:rsidRPr="00AE24CE">
        <w:rPr>
          <w:rFonts w:cs="Arial"/>
          <w:b/>
        </w:rPr>
        <w:lastRenderedPageBreak/>
        <w:t>Table 3 Year 6 English performance by district</w:t>
      </w:r>
    </w:p>
    <w:tbl>
      <w:tblPr>
        <w:tblStyle w:val="MediumShading2-Accent1"/>
        <w:tblW w:w="5000" w:type="pct"/>
        <w:tblBorders>
          <w:top w:val="none" w:sz="0" w:space="0" w:color="auto"/>
          <w:bottom w:val="single" w:sz="2" w:space="0" w:color="FFFFFF" w:themeColor="background1"/>
          <w:insideH w:val="single" w:sz="2" w:space="0" w:color="FFFFFF" w:themeColor="background1"/>
        </w:tblBorders>
        <w:tblLook w:val="04A0" w:firstRow="1" w:lastRow="0" w:firstColumn="1" w:lastColumn="0" w:noHBand="0" w:noVBand="1"/>
        <w:tblCaption w:val="Table 3 Year 6 English performance by district"/>
        <w:tblDescription w:val="Year 6 English performance by district"/>
      </w:tblPr>
      <w:tblGrid>
        <w:gridCol w:w="2187"/>
        <w:gridCol w:w="2317"/>
        <w:gridCol w:w="2317"/>
        <w:gridCol w:w="2315"/>
      </w:tblGrid>
      <w:tr w:rsidR="00221671" w:rsidRPr="00AE24CE" w14:paraId="33937545" w14:textId="77777777" w:rsidTr="00C04502">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197" w:type="pct"/>
            <w:vMerge w:val="restart"/>
            <w:tcBorders>
              <w:top w:val="none" w:sz="0" w:space="0" w:color="auto"/>
              <w:left w:val="none" w:sz="0" w:space="0" w:color="auto"/>
              <w:bottom w:val="none" w:sz="0" w:space="0" w:color="auto"/>
              <w:right w:val="none" w:sz="0" w:space="0" w:color="auto"/>
            </w:tcBorders>
            <w:shd w:val="clear" w:color="auto" w:fill="A25EA6"/>
          </w:tcPr>
          <w:p w14:paraId="19E69260" w14:textId="77777777" w:rsidR="00221671" w:rsidRPr="00AE24CE" w:rsidRDefault="00221671" w:rsidP="00ED0631">
            <w:pPr>
              <w:spacing w:before="140" w:after="140"/>
              <w:ind w:left="709" w:hanging="709"/>
              <w:rPr>
                <w:rFonts w:asciiTheme="majorHAnsi" w:hAnsiTheme="majorHAnsi" w:cstheme="majorHAnsi"/>
              </w:rPr>
            </w:pPr>
            <w:r w:rsidRPr="00AE24CE">
              <w:rPr>
                <w:rFonts w:asciiTheme="majorHAnsi" w:hAnsiTheme="majorHAnsi" w:cstheme="majorHAnsi"/>
              </w:rPr>
              <w:t>Table 3</w:t>
            </w:r>
          </w:p>
          <w:p w14:paraId="79E4ED63" w14:textId="1ADC35B3" w:rsidR="00221671" w:rsidRPr="00AE24CE" w:rsidRDefault="00221671" w:rsidP="00ED0631">
            <w:pPr>
              <w:spacing w:before="140" w:after="140"/>
              <w:rPr>
                <w:rFonts w:asciiTheme="majorHAnsi" w:hAnsiTheme="majorHAnsi" w:cstheme="majorHAnsi"/>
              </w:rPr>
            </w:pPr>
            <w:r w:rsidRPr="00AE24CE">
              <w:rPr>
                <w:rFonts w:asciiTheme="majorHAnsi" w:hAnsiTheme="majorHAnsi" w:cstheme="majorHAnsi"/>
              </w:rPr>
              <w:t xml:space="preserve">Year 6 </w:t>
            </w:r>
            <w:r w:rsidR="00C04502">
              <w:rPr>
                <w:rFonts w:asciiTheme="majorHAnsi" w:hAnsiTheme="majorHAnsi" w:cstheme="majorHAnsi"/>
              </w:rPr>
              <w:t>English performance by district</w:t>
            </w:r>
          </w:p>
        </w:tc>
        <w:tc>
          <w:tcPr>
            <w:tcW w:w="3803" w:type="pct"/>
            <w:gridSpan w:val="3"/>
            <w:tcBorders>
              <w:top w:val="none" w:sz="0" w:space="0" w:color="auto"/>
              <w:left w:val="none" w:sz="0" w:space="0" w:color="auto"/>
              <w:bottom w:val="none" w:sz="0" w:space="0" w:color="auto"/>
              <w:right w:val="none" w:sz="0" w:space="0" w:color="auto"/>
            </w:tcBorders>
            <w:shd w:val="clear" w:color="auto" w:fill="A25EA6"/>
          </w:tcPr>
          <w:p w14:paraId="5E73DFA8" w14:textId="77777777" w:rsidR="00221671" w:rsidRPr="00AE24CE"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hAnsiTheme="majorHAnsi" w:cstheme="majorHAnsi"/>
              </w:rPr>
              <w:t>Students in each group</w:t>
            </w:r>
          </w:p>
          <w:p w14:paraId="1E581111" w14:textId="77777777" w:rsidR="00221671" w:rsidRPr="00AE24CE"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221671" w:rsidRPr="00AE24CE" w14:paraId="4E95A651" w14:textId="77777777" w:rsidTr="00C0450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7" w:type="pct"/>
            <w:vMerge/>
            <w:tcBorders>
              <w:left w:val="none" w:sz="0" w:space="0" w:color="auto"/>
              <w:bottom w:val="none" w:sz="0" w:space="0" w:color="auto"/>
              <w:right w:val="none" w:sz="0" w:space="0" w:color="auto"/>
            </w:tcBorders>
          </w:tcPr>
          <w:p w14:paraId="3B06A578" w14:textId="77777777" w:rsidR="00221671" w:rsidRPr="00AE24CE" w:rsidRDefault="00221671" w:rsidP="00ED0631">
            <w:pPr>
              <w:spacing w:before="140" w:after="140"/>
              <w:rPr>
                <w:rFonts w:asciiTheme="majorHAnsi" w:hAnsiTheme="majorHAnsi" w:cstheme="majorHAnsi"/>
              </w:rPr>
            </w:pPr>
          </w:p>
        </w:tc>
        <w:tc>
          <w:tcPr>
            <w:tcW w:w="1268" w:type="pct"/>
          </w:tcPr>
          <w:p w14:paraId="61DDDA2E" w14:textId="154C959F" w:rsidR="00221671" w:rsidRPr="00AE24CE" w:rsidRDefault="00221671" w:rsidP="00C04502">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AE24CE">
              <w:rPr>
                <w:rFonts w:asciiTheme="majorHAnsi" w:hAnsiTheme="majorHAnsi" w:cstheme="majorHAnsi"/>
                <w:b/>
              </w:rPr>
              <w:t>no evidence or</w:t>
            </w:r>
            <w:r w:rsidR="00AE24CE">
              <w:rPr>
                <w:rFonts w:asciiTheme="majorHAnsi" w:hAnsiTheme="majorHAnsi" w:cstheme="majorHAnsi"/>
                <w:b/>
              </w:rPr>
              <w:t xml:space="preserve"> critically below expected level</w:t>
            </w:r>
          </w:p>
        </w:tc>
        <w:tc>
          <w:tcPr>
            <w:tcW w:w="1268" w:type="pct"/>
          </w:tcPr>
          <w:p w14:paraId="1707F37A"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AE24CE">
              <w:rPr>
                <w:rFonts w:asciiTheme="majorHAnsi" w:hAnsiTheme="majorHAnsi" w:cstheme="majorHAnsi"/>
                <w:b/>
              </w:rPr>
              <w:t>working towards expected level</w:t>
            </w:r>
          </w:p>
        </w:tc>
        <w:tc>
          <w:tcPr>
            <w:tcW w:w="1267" w:type="pct"/>
          </w:tcPr>
          <w:p w14:paraId="27143DDA"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AE24CE">
              <w:rPr>
                <w:rFonts w:asciiTheme="majorHAnsi" w:hAnsiTheme="majorHAnsi" w:cstheme="majorHAnsi"/>
                <w:b/>
              </w:rPr>
              <w:t xml:space="preserve">working at or above expected level </w:t>
            </w:r>
          </w:p>
        </w:tc>
      </w:tr>
      <w:tr w:rsidR="00221671" w:rsidRPr="00AE24CE" w14:paraId="7BB5C3F8" w14:textId="77777777" w:rsidTr="00C04502">
        <w:trPr>
          <w:trHeight w:val="249"/>
        </w:trPr>
        <w:tc>
          <w:tcPr>
            <w:cnfStyle w:val="001000000000" w:firstRow="0" w:lastRow="0" w:firstColumn="1" w:lastColumn="0" w:oddVBand="0" w:evenVBand="0" w:oddHBand="0" w:evenHBand="0" w:firstRowFirstColumn="0" w:firstRowLastColumn="0" w:lastRowFirstColumn="0" w:lastRowLastColumn="0"/>
            <w:tcW w:w="1197" w:type="pct"/>
            <w:tcBorders>
              <w:left w:val="none" w:sz="0" w:space="0" w:color="auto"/>
              <w:bottom w:val="none" w:sz="0" w:space="0" w:color="auto"/>
              <w:right w:val="none" w:sz="0" w:space="0" w:color="auto"/>
            </w:tcBorders>
            <w:shd w:val="clear" w:color="auto" w:fill="auto"/>
          </w:tcPr>
          <w:p w14:paraId="5E1A4E43" w14:textId="77777777" w:rsidR="00221671" w:rsidRPr="00AE24CE" w:rsidRDefault="00221671" w:rsidP="00ED0631">
            <w:pPr>
              <w:spacing w:before="140" w:after="140"/>
              <w:rPr>
                <w:rFonts w:asciiTheme="majorHAnsi" w:hAnsiTheme="majorHAnsi" w:cstheme="majorHAnsi"/>
                <w:color w:val="auto"/>
              </w:rPr>
            </w:pPr>
            <w:r w:rsidRPr="00AE24CE">
              <w:rPr>
                <w:rFonts w:asciiTheme="majorHAnsi" w:eastAsia="Times New Roman" w:hAnsiTheme="majorHAnsi" w:cstheme="majorHAnsi"/>
                <w:color w:val="auto"/>
              </w:rPr>
              <w:t>Total</w:t>
            </w:r>
          </w:p>
        </w:tc>
        <w:tc>
          <w:tcPr>
            <w:tcW w:w="1268" w:type="pct"/>
            <w:vAlign w:val="bottom"/>
          </w:tcPr>
          <w:p w14:paraId="32393C34"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382 (20%)</w:t>
            </w:r>
          </w:p>
        </w:tc>
        <w:tc>
          <w:tcPr>
            <w:tcW w:w="1268" w:type="pct"/>
            <w:vAlign w:val="bottom"/>
          </w:tcPr>
          <w:p w14:paraId="58C764E4"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825 (43%)</w:t>
            </w:r>
          </w:p>
        </w:tc>
        <w:tc>
          <w:tcPr>
            <w:tcW w:w="1267" w:type="pct"/>
            <w:vAlign w:val="bottom"/>
          </w:tcPr>
          <w:p w14:paraId="74765C09"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728 (37%)</w:t>
            </w:r>
          </w:p>
        </w:tc>
      </w:tr>
      <w:tr w:rsidR="00221671" w:rsidRPr="00AE24CE" w14:paraId="34D68F78" w14:textId="77777777" w:rsidTr="00C0450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7" w:type="pct"/>
            <w:tcBorders>
              <w:left w:val="none" w:sz="0" w:space="0" w:color="auto"/>
              <w:bottom w:val="none" w:sz="0" w:space="0" w:color="auto"/>
              <w:right w:val="none" w:sz="0" w:space="0" w:color="auto"/>
            </w:tcBorders>
            <w:shd w:val="clear" w:color="auto" w:fill="D9D9D9" w:themeFill="background1" w:themeFillShade="D9"/>
          </w:tcPr>
          <w:p w14:paraId="072C074B" w14:textId="77777777" w:rsidR="00221671" w:rsidRPr="00AE24CE" w:rsidRDefault="00221671" w:rsidP="00ED0631">
            <w:pPr>
              <w:spacing w:before="140" w:after="140"/>
              <w:rPr>
                <w:rFonts w:asciiTheme="majorHAnsi" w:hAnsiTheme="majorHAnsi" w:cstheme="majorHAnsi"/>
                <w:color w:val="auto"/>
              </w:rPr>
            </w:pPr>
            <w:r w:rsidRPr="00AE24CE">
              <w:rPr>
                <w:rFonts w:asciiTheme="majorHAnsi" w:eastAsia="Times New Roman" w:hAnsiTheme="majorHAnsi" w:cstheme="majorHAnsi"/>
                <w:color w:val="auto"/>
              </w:rPr>
              <w:t>Central</w:t>
            </w:r>
          </w:p>
        </w:tc>
        <w:tc>
          <w:tcPr>
            <w:tcW w:w="1268" w:type="pct"/>
            <w:shd w:val="clear" w:color="auto" w:fill="D9D9D9" w:themeFill="background1" w:themeFillShade="D9"/>
            <w:vAlign w:val="bottom"/>
          </w:tcPr>
          <w:p w14:paraId="3F208803"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38 (18%)</w:t>
            </w:r>
          </w:p>
        </w:tc>
        <w:tc>
          <w:tcPr>
            <w:tcW w:w="1268" w:type="pct"/>
            <w:vAlign w:val="bottom"/>
          </w:tcPr>
          <w:p w14:paraId="5E0EA4AB"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90 (43%)</w:t>
            </w:r>
          </w:p>
        </w:tc>
        <w:tc>
          <w:tcPr>
            <w:tcW w:w="1267" w:type="pct"/>
            <w:vAlign w:val="bottom"/>
          </w:tcPr>
          <w:p w14:paraId="72D01C32"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83 (39%)</w:t>
            </w:r>
          </w:p>
        </w:tc>
      </w:tr>
      <w:tr w:rsidR="00221671" w:rsidRPr="00AE24CE" w14:paraId="0FB0E29E" w14:textId="77777777" w:rsidTr="00C04502">
        <w:trPr>
          <w:trHeight w:val="249"/>
        </w:trPr>
        <w:tc>
          <w:tcPr>
            <w:cnfStyle w:val="001000000000" w:firstRow="0" w:lastRow="0" w:firstColumn="1" w:lastColumn="0" w:oddVBand="0" w:evenVBand="0" w:oddHBand="0" w:evenHBand="0" w:firstRowFirstColumn="0" w:firstRowLastColumn="0" w:lastRowFirstColumn="0" w:lastRowLastColumn="0"/>
            <w:tcW w:w="1197" w:type="pct"/>
            <w:tcBorders>
              <w:left w:val="none" w:sz="0" w:space="0" w:color="auto"/>
              <w:bottom w:val="none" w:sz="0" w:space="0" w:color="auto"/>
              <w:right w:val="none" w:sz="0" w:space="0" w:color="auto"/>
            </w:tcBorders>
            <w:shd w:val="clear" w:color="auto" w:fill="auto"/>
          </w:tcPr>
          <w:p w14:paraId="264AB840" w14:textId="77777777" w:rsidR="00221671" w:rsidRPr="00AE24CE" w:rsidRDefault="00221671" w:rsidP="00ED0631">
            <w:pPr>
              <w:spacing w:before="140" w:after="140"/>
              <w:rPr>
                <w:rFonts w:asciiTheme="majorHAnsi" w:hAnsiTheme="majorHAnsi" w:cstheme="majorHAnsi"/>
                <w:color w:val="auto"/>
              </w:rPr>
            </w:pPr>
            <w:r w:rsidRPr="00AE24CE">
              <w:rPr>
                <w:rFonts w:asciiTheme="majorHAnsi" w:eastAsia="Times New Roman" w:hAnsiTheme="majorHAnsi" w:cstheme="majorHAnsi"/>
                <w:color w:val="auto"/>
              </w:rPr>
              <w:t>North</w:t>
            </w:r>
          </w:p>
        </w:tc>
        <w:tc>
          <w:tcPr>
            <w:tcW w:w="1268" w:type="pct"/>
            <w:vAlign w:val="bottom"/>
          </w:tcPr>
          <w:p w14:paraId="1B8B37EF"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100 (25%)</w:t>
            </w:r>
          </w:p>
        </w:tc>
        <w:tc>
          <w:tcPr>
            <w:tcW w:w="1268" w:type="pct"/>
            <w:vAlign w:val="bottom"/>
          </w:tcPr>
          <w:p w14:paraId="46ED86A5"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hAnsiTheme="majorHAnsi" w:cstheme="majorHAnsi"/>
              </w:rPr>
              <w:t>162 (41%)</w:t>
            </w:r>
          </w:p>
        </w:tc>
        <w:tc>
          <w:tcPr>
            <w:tcW w:w="1267" w:type="pct"/>
            <w:vAlign w:val="bottom"/>
          </w:tcPr>
          <w:p w14:paraId="215331F9"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hAnsiTheme="majorHAnsi" w:cstheme="majorHAnsi"/>
              </w:rPr>
              <w:t>134 (34%)</w:t>
            </w:r>
          </w:p>
        </w:tc>
      </w:tr>
      <w:tr w:rsidR="00221671" w:rsidRPr="00AE24CE" w14:paraId="2D349430" w14:textId="77777777" w:rsidTr="00C0450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7" w:type="pct"/>
            <w:tcBorders>
              <w:left w:val="none" w:sz="0" w:space="0" w:color="auto"/>
              <w:bottom w:val="none" w:sz="0" w:space="0" w:color="auto"/>
              <w:right w:val="none" w:sz="0" w:space="0" w:color="auto"/>
            </w:tcBorders>
            <w:shd w:val="clear" w:color="auto" w:fill="D9D9D9" w:themeFill="background1" w:themeFillShade="D9"/>
          </w:tcPr>
          <w:p w14:paraId="0FF293FA" w14:textId="77777777" w:rsidR="00221671" w:rsidRPr="00AE24CE" w:rsidRDefault="00221671" w:rsidP="00ED0631">
            <w:pPr>
              <w:spacing w:before="140" w:after="140"/>
              <w:rPr>
                <w:rFonts w:asciiTheme="majorHAnsi" w:hAnsiTheme="majorHAnsi" w:cstheme="majorHAnsi"/>
                <w:color w:val="auto"/>
              </w:rPr>
            </w:pPr>
            <w:r w:rsidRPr="00AE24CE">
              <w:rPr>
                <w:rFonts w:asciiTheme="majorHAnsi" w:eastAsia="Times New Roman" w:hAnsiTheme="majorHAnsi" w:cstheme="majorHAnsi"/>
                <w:color w:val="auto"/>
              </w:rPr>
              <w:t>South</w:t>
            </w:r>
          </w:p>
        </w:tc>
        <w:tc>
          <w:tcPr>
            <w:tcW w:w="1268" w:type="pct"/>
            <w:vAlign w:val="bottom"/>
          </w:tcPr>
          <w:p w14:paraId="6823A9B8"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65 (24%)</w:t>
            </w:r>
          </w:p>
        </w:tc>
        <w:tc>
          <w:tcPr>
            <w:tcW w:w="1268" w:type="pct"/>
            <w:vAlign w:val="bottom"/>
          </w:tcPr>
          <w:p w14:paraId="3B32F81F"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140 (53%)</w:t>
            </w:r>
          </w:p>
        </w:tc>
        <w:tc>
          <w:tcPr>
            <w:tcW w:w="1267" w:type="pct"/>
            <w:vAlign w:val="bottom"/>
          </w:tcPr>
          <w:p w14:paraId="2D6595E7"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61 (23%)</w:t>
            </w:r>
          </w:p>
        </w:tc>
      </w:tr>
      <w:tr w:rsidR="00221671" w:rsidRPr="00AE24CE" w14:paraId="2CB9E751" w14:textId="77777777" w:rsidTr="00C04502">
        <w:trPr>
          <w:trHeight w:val="267"/>
        </w:trPr>
        <w:tc>
          <w:tcPr>
            <w:cnfStyle w:val="001000000000" w:firstRow="0" w:lastRow="0" w:firstColumn="1" w:lastColumn="0" w:oddVBand="0" w:evenVBand="0" w:oddHBand="0" w:evenHBand="0" w:firstRowFirstColumn="0" w:firstRowLastColumn="0" w:lastRowFirstColumn="0" w:lastRowLastColumn="0"/>
            <w:tcW w:w="1197" w:type="pct"/>
            <w:tcBorders>
              <w:left w:val="none" w:sz="0" w:space="0" w:color="auto"/>
              <w:bottom w:val="none" w:sz="0" w:space="0" w:color="auto"/>
              <w:right w:val="none" w:sz="0" w:space="0" w:color="auto"/>
            </w:tcBorders>
            <w:shd w:val="clear" w:color="auto" w:fill="auto"/>
          </w:tcPr>
          <w:p w14:paraId="5525C409" w14:textId="77777777" w:rsidR="00221671" w:rsidRPr="00AE24CE" w:rsidRDefault="00221671" w:rsidP="00ED0631">
            <w:pPr>
              <w:spacing w:before="140" w:after="140"/>
              <w:rPr>
                <w:rFonts w:asciiTheme="majorHAnsi" w:hAnsiTheme="majorHAnsi" w:cstheme="majorHAnsi"/>
                <w:color w:val="auto"/>
              </w:rPr>
            </w:pPr>
            <w:r w:rsidRPr="00AE24CE">
              <w:rPr>
                <w:rFonts w:asciiTheme="majorHAnsi" w:eastAsia="Times New Roman" w:hAnsiTheme="majorHAnsi" w:cstheme="majorHAnsi"/>
                <w:color w:val="auto"/>
              </w:rPr>
              <w:t>Linnux</w:t>
            </w:r>
          </w:p>
        </w:tc>
        <w:tc>
          <w:tcPr>
            <w:tcW w:w="1268" w:type="pct"/>
            <w:vAlign w:val="bottom"/>
          </w:tcPr>
          <w:p w14:paraId="24DE7BDE"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60 (28%)</w:t>
            </w:r>
          </w:p>
        </w:tc>
        <w:tc>
          <w:tcPr>
            <w:tcW w:w="1268" w:type="pct"/>
            <w:vAlign w:val="bottom"/>
          </w:tcPr>
          <w:p w14:paraId="0642AB06"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98 (46%)</w:t>
            </w:r>
          </w:p>
        </w:tc>
        <w:tc>
          <w:tcPr>
            <w:tcW w:w="1267" w:type="pct"/>
            <w:vAlign w:val="bottom"/>
          </w:tcPr>
          <w:p w14:paraId="46A7C192" w14:textId="77777777" w:rsidR="00221671" w:rsidRPr="00AE24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56 (46%)</w:t>
            </w:r>
          </w:p>
        </w:tc>
      </w:tr>
      <w:tr w:rsidR="00221671" w:rsidRPr="00AE24CE" w14:paraId="4C704CEC" w14:textId="77777777" w:rsidTr="00C0450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7" w:type="pct"/>
            <w:tcBorders>
              <w:left w:val="none" w:sz="0" w:space="0" w:color="auto"/>
              <w:bottom w:val="none" w:sz="0" w:space="0" w:color="auto"/>
              <w:right w:val="none" w:sz="0" w:space="0" w:color="auto"/>
            </w:tcBorders>
            <w:shd w:val="clear" w:color="auto" w:fill="D9D9D9" w:themeFill="background1" w:themeFillShade="D9"/>
          </w:tcPr>
          <w:p w14:paraId="72EBC9C4" w14:textId="77777777" w:rsidR="00221671" w:rsidRPr="00AE24CE" w:rsidRDefault="00221671" w:rsidP="00ED0631">
            <w:pPr>
              <w:spacing w:before="140" w:after="140"/>
              <w:rPr>
                <w:rFonts w:asciiTheme="majorHAnsi" w:hAnsiTheme="majorHAnsi" w:cstheme="majorHAnsi"/>
                <w:color w:val="auto"/>
              </w:rPr>
            </w:pPr>
            <w:r w:rsidRPr="00AE24CE">
              <w:rPr>
                <w:rFonts w:asciiTheme="majorHAnsi" w:eastAsia="Times New Roman" w:hAnsiTheme="majorHAnsi" w:cstheme="majorHAnsi"/>
                <w:color w:val="auto"/>
              </w:rPr>
              <w:t>South Tarawa</w:t>
            </w:r>
          </w:p>
        </w:tc>
        <w:tc>
          <w:tcPr>
            <w:tcW w:w="1268" w:type="pct"/>
            <w:vAlign w:val="bottom"/>
          </w:tcPr>
          <w:p w14:paraId="5AA85F02"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119 (14%)</w:t>
            </w:r>
          </w:p>
        </w:tc>
        <w:tc>
          <w:tcPr>
            <w:tcW w:w="1268" w:type="pct"/>
            <w:vAlign w:val="bottom"/>
          </w:tcPr>
          <w:p w14:paraId="0851C4D8"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335 (40%)</w:t>
            </w:r>
          </w:p>
        </w:tc>
        <w:tc>
          <w:tcPr>
            <w:tcW w:w="1267" w:type="pct"/>
            <w:vAlign w:val="bottom"/>
          </w:tcPr>
          <w:p w14:paraId="43F94246" w14:textId="77777777" w:rsidR="00221671" w:rsidRPr="00AE24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E24CE">
              <w:rPr>
                <w:rFonts w:asciiTheme="majorHAnsi" w:eastAsia="Times New Roman" w:hAnsiTheme="majorHAnsi" w:cstheme="majorHAnsi"/>
              </w:rPr>
              <w:t>394 (46%)</w:t>
            </w:r>
          </w:p>
        </w:tc>
      </w:tr>
    </w:tbl>
    <w:p w14:paraId="0B43DD3E" w14:textId="77777777" w:rsidR="00221671" w:rsidRDefault="00221671" w:rsidP="00ED0631">
      <w:pPr>
        <w:spacing w:before="140" w:after="140"/>
        <w:jc w:val="both"/>
        <w:rPr>
          <w:rFonts w:cs="Arial"/>
        </w:rPr>
      </w:pPr>
      <w:r>
        <w:rPr>
          <w:rFonts w:cs="Arial"/>
        </w:rPr>
        <w:t>Students from the Line Islands and South Tarawa are performing at a higher level than students from the other districts.</w:t>
      </w:r>
    </w:p>
    <w:p w14:paraId="458B4F64" w14:textId="3D6BC004" w:rsidR="00221671" w:rsidRDefault="00221671" w:rsidP="00ED0631">
      <w:pPr>
        <w:spacing w:before="140" w:after="140"/>
        <w:jc w:val="both"/>
        <w:rPr>
          <w:rFonts w:cs="Arial"/>
        </w:rPr>
      </w:pPr>
      <w:r>
        <w:rPr>
          <w:rFonts w:cs="Arial"/>
        </w:rPr>
        <w:t>Analysis of t</w:t>
      </w:r>
      <w:r w:rsidRPr="00D25E9D">
        <w:rPr>
          <w:rFonts w:cs="Arial"/>
        </w:rPr>
        <w:t>he proportions achieving the expected standard by gender shows that girls performed better than boys in the test.</w:t>
      </w:r>
      <w:r>
        <w:rPr>
          <w:rFonts w:cs="Arial"/>
        </w:rPr>
        <w:t xml:space="preserve"> This is a consistent pattern that has been seen in every STAKI test.</w:t>
      </w:r>
    </w:p>
    <w:p w14:paraId="0C718E31" w14:textId="55E68CC0" w:rsidR="00221671" w:rsidRPr="00BB5113" w:rsidRDefault="00DE2506" w:rsidP="00ED0631">
      <w:pPr>
        <w:spacing w:before="140" w:after="140"/>
        <w:jc w:val="both"/>
        <w:rPr>
          <w:rFonts w:cs="Arial"/>
          <w:noProof/>
          <w:lang w:val="en-US"/>
        </w:rPr>
      </w:pPr>
      <w:r>
        <w:rPr>
          <w:noProof/>
          <w:lang w:eastAsia="en-AU"/>
        </w:rPr>
        <mc:AlternateContent>
          <mc:Choice Requires="wps">
            <w:drawing>
              <wp:anchor distT="0" distB="0" distL="114300" distR="114300" simplePos="0" relativeHeight="251833343" behindDoc="1" locked="0" layoutInCell="1" allowOverlap="1" wp14:anchorId="124CE809" wp14:editId="49EAD8B7">
                <wp:simplePos x="0" y="0"/>
                <wp:positionH relativeFrom="column">
                  <wp:posOffset>3065145</wp:posOffset>
                </wp:positionH>
                <wp:positionV relativeFrom="paragraph">
                  <wp:posOffset>246380</wp:posOffset>
                </wp:positionV>
                <wp:extent cx="2974340" cy="335280"/>
                <wp:effectExtent l="0" t="0" r="0" b="7620"/>
                <wp:wrapTight wrapText="bothSides">
                  <wp:wrapPolygon edited="0">
                    <wp:start x="415" y="0"/>
                    <wp:lineTo x="415" y="20864"/>
                    <wp:lineTo x="21167" y="20864"/>
                    <wp:lineTo x="21167" y="0"/>
                    <wp:lineTo x="415" y="0"/>
                  </wp:wrapPolygon>
                </wp:wrapTight>
                <wp:docPr id="12" name="Text Box 12"/>
                <wp:cNvGraphicFramePr/>
                <a:graphic xmlns:a="http://schemas.openxmlformats.org/drawingml/2006/main">
                  <a:graphicData uri="http://schemas.microsoft.com/office/word/2010/wordprocessingShape">
                    <wps:wsp>
                      <wps:cNvSpPr txBox="1"/>
                      <wps:spPr>
                        <a:xfrm>
                          <a:off x="0" y="0"/>
                          <a:ext cx="297434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BD693" w14:textId="1FD9C106" w:rsidR="001E5A4B" w:rsidRPr="00AE24CE" w:rsidRDefault="001E5A4B" w:rsidP="00AE24CE">
                            <w:pPr>
                              <w:spacing w:before="140" w:after="140"/>
                              <w:ind w:left="357"/>
                              <w:rPr>
                                <w:rFonts w:cs="Arial"/>
                              </w:rPr>
                            </w:pPr>
                            <w:r w:rsidRPr="00AE24CE">
                              <w:rPr>
                                <w:b/>
                                <w:i/>
                                <w:sz w:val="18"/>
                                <w:szCs w:val="18"/>
                              </w:rPr>
                              <w:t>Fig 6</w:t>
                            </w:r>
                            <w:r>
                              <w:rPr>
                                <w:b/>
                                <w:i/>
                                <w:sz w:val="18"/>
                                <w:szCs w:val="18"/>
                              </w:rPr>
                              <w:t xml:space="preserve"> </w:t>
                            </w:r>
                            <w:r w:rsidRPr="00AE24CE">
                              <w:rPr>
                                <w:i/>
                                <w:sz w:val="18"/>
                                <w:szCs w:val="18"/>
                              </w:rPr>
                              <w:t>Year 6 English performance by gender</w:t>
                            </w:r>
                          </w:p>
                          <w:p w14:paraId="3A3F0D12"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24CE809" id="Text Box 12" o:spid="_x0000_s1031" type="#_x0000_t202" style="position:absolute;left:0;text-align:left;margin-left:241.35pt;margin-top:19.4pt;width:234.2pt;height:26.4pt;z-index:-2514831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0gQIAAGsFAAAOAAAAZHJzL2Uyb0RvYy54bWysVNtOGzEQfa/Uf7D8XjZXLhEblIKoKiFA&#10;hYpnx2uTVb0e13aSpV/fY282RLQvVH3ZtWfOjGfOXM4v2sawjfKhJlvy4dGAM2UlVbV9Lvn3x+tP&#10;p5yFKGwlDFlV8hcV+MX844fzrZupEa3IVMozOLFhtnUlX8XoZkUR5Eo1IhyRUxZKTb4REVf/XFRe&#10;bOG9McVoMDgutuQr50mqECC96pR8nv1rrWS80zqoyEzJEVvMX5+/y/Qt5udi9uyFW9VyF4b4hyga&#10;UVs8und1JaJga1//4aqppadAOh5JagrSupYq54BshoM32TyshFM5F5AT3J6m8P/cytvNvWd1hdqN&#10;OLOiQY0eVRvZZ2oZROBn68IMsAcHYGwhB7aXBwhT2q32TfojIQY9mH7Zs5u8SQhHZyeT8QQqCd14&#10;PB2dZvqLV2vnQ/yiqGHpUHKP6mVSxeYmREQCaA9Jj1m6ro3JFTSWbUt+PJ4OssFeAwtjE1blXti5&#10;SRl1kedTfDEqYYz9pjS4yAkkQe5CdWk82wj0j5BS2Zhzz36BTiiNIN5juMO/RvUe4y6P/mWycW/c&#10;1JZ8zv5N2NWPPmTd4UHkQd7pGNtlm5tg2hd2SdUL6u2pm5jg5HWNotyIEO+Fx4igjhj7eIePNgTy&#10;aXfibEX+19/kCY/OhZazLUau5OHnWnjFmflq0dNnw0lqj5gvk+nJCBd/qFkeauy6uSRUZYgF42Q+&#10;Jnw0/VF7ap6wHRbpVaiElXi75LE/XsZuEWC7SLVYZBCm0ol4Yx+cTK5TkVLLPbZPwrtdX0Z09C31&#10;wylmb9qzwyZLS4t1JF3n3k08d6zu+MdE55bebZ+0Mg7vGfW6I+e/AQAA//8DAFBLAwQUAAYACAAA&#10;ACEAGe9FEOEAAAAJAQAADwAAAGRycy9kb3ducmV2LnhtbEyPwU7DMAyG70i8Q2QkbixtYaPrmk5T&#10;pQkJwWFjF25p47UVjVOabCs8PeYEN1v+9Pv78/Vke3HG0XeOFMSzCARS7UxHjYLD2/YuBeGDJqN7&#10;R6jgCz2si+urXGfGXWiH531oBIeQz7SCNoQhk9LXLVrtZ25A4tvRjVYHXsdGmlFfONz2MomihbS6&#10;I/7Q6gHLFuuP/ckqeC63r3pXJTb97sunl+Nm+Dy8z5W6vZk2KxABp/AHw68+q0PBTpU7kfGiV/CQ&#10;Jo+MKrhPuQIDy3kcg6h4iBcgi1z+b1D8AAAA//8DAFBLAQItABQABgAIAAAAIQC2gziS/gAAAOEB&#10;AAATAAAAAAAAAAAAAAAAAAAAAABbQ29udGVudF9UeXBlc10ueG1sUEsBAi0AFAAGAAgAAAAhADj9&#10;If/WAAAAlAEAAAsAAAAAAAAAAAAAAAAALwEAAF9yZWxzLy5yZWxzUEsBAi0AFAAGAAgAAAAhAOH4&#10;ffSBAgAAawUAAA4AAAAAAAAAAAAAAAAALgIAAGRycy9lMm9Eb2MueG1sUEsBAi0AFAAGAAgAAAAh&#10;ABnvRRDhAAAACQEAAA8AAAAAAAAAAAAAAAAA2wQAAGRycy9kb3ducmV2LnhtbFBLBQYAAAAABAAE&#10;APMAAADpBQAAAAA=&#10;" filled="f" stroked="f" strokeweight=".5pt">
                <v:textbox>
                  <w:txbxContent>
                    <w:p w14:paraId="182BD693" w14:textId="1FD9C106" w:rsidR="001E5A4B" w:rsidRPr="00AE24CE" w:rsidRDefault="001E5A4B" w:rsidP="00AE24CE">
                      <w:pPr>
                        <w:spacing w:before="140" w:after="140"/>
                        <w:ind w:left="357"/>
                        <w:rPr>
                          <w:rFonts w:cs="Arial"/>
                        </w:rPr>
                      </w:pPr>
                      <w:r w:rsidRPr="00AE24CE">
                        <w:rPr>
                          <w:b/>
                          <w:i/>
                          <w:sz w:val="18"/>
                          <w:szCs w:val="18"/>
                        </w:rPr>
                        <w:t>Fig 6</w:t>
                      </w:r>
                      <w:r>
                        <w:rPr>
                          <w:b/>
                          <w:i/>
                          <w:sz w:val="18"/>
                          <w:szCs w:val="18"/>
                        </w:rPr>
                        <w:t xml:space="preserve"> </w:t>
                      </w:r>
                      <w:r w:rsidRPr="00AE24CE">
                        <w:rPr>
                          <w:i/>
                          <w:sz w:val="18"/>
                          <w:szCs w:val="18"/>
                        </w:rPr>
                        <w:t>Year 6 English performance by gender</w:t>
                      </w:r>
                    </w:p>
                    <w:p w14:paraId="3A3F0D12" w14:textId="77777777" w:rsidR="001E5A4B" w:rsidRDefault="001E5A4B"/>
                  </w:txbxContent>
                </v:textbox>
                <w10:wrap type="tight"/>
              </v:shape>
            </w:pict>
          </mc:Fallback>
        </mc:AlternateContent>
      </w:r>
      <w:r w:rsidR="00221671" w:rsidRPr="00D25E9D">
        <w:rPr>
          <w:rFonts w:cs="Arial"/>
        </w:rPr>
        <w:t xml:space="preserve">The spread of </w:t>
      </w:r>
      <w:r w:rsidR="00221671">
        <w:rPr>
          <w:rFonts w:cs="Arial"/>
        </w:rPr>
        <w:t>achievement</w:t>
      </w:r>
      <w:r w:rsidR="00221671" w:rsidRPr="00D25E9D">
        <w:rPr>
          <w:rFonts w:cs="Arial"/>
        </w:rPr>
        <w:t xml:space="preserve"> f</w:t>
      </w:r>
      <w:r w:rsidR="00221671">
        <w:rPr>
          <w:rFonts w:cs="Arial"/>
        </w:rPr>
        <w:t>or each gender is shown in Fig 6</w:t>
      </w:r>
      <w:r w:rsidR="00221671" w:rsidRPr="00D25E9D">
        <w:rPr>
          <w:rFonts w:cs="Arial"/>
        </w:rPr>
        <w:t xml:space="preserve">. The variation in performance between the boys and the girls is </w:t>
      </w:r>
      <w:r w:rsidR="00221671">
        <w:rPr>
          <w:rFonts w:cs="Arial"/>
        </w:rPr>
        <w:t>significant.</w:t>
      </w:r>
    </w:p>
    <w:p w14:paraId="7B689FA0" w14:textId="08B27F30" w:rsidR="00221671" w:rsidRPr="00BB5113" w:rsidRDefault="00DE2506" w:rsidP="00AE24CE">
      <w:pPr>
        <w:pStyle w:val="Heading3"/>
      </w:pPr>
      <w:r>
        <w:rPr>
          <w:noProof/>
          <w:lang w:eastAsia="en-AU"/>
        </w:rPr>
        <w:drawing>
          <wp:anchor distT="0" distB="0" distL="114300" distR="114300" simplePos="0" relativeHeight="251806719" behindDoc="1" locked="0" layoutInCell="1" allowOverlap="1" wp14:anchorId="0534D561" wp14:editId="2C02D6DD">
            <wp:simplePos x="0" y="0"/>
            <wp:positionH relativeFrom="margin">
              <wp:posOffset>2707005</wp:posOffset>
            </wp:positionH>
            <wp:positionV relativeFrom="paragraph">
              <wp:posOffset>146050</wp:posOffset>
            </wp:positionV>
            <wp:extent cx="2974340" cy="2193290"/>
            <wp:effectExtent l="0" t="0" r="16510" b="16510"/>
            <wp:wrapTight wrapText="bothSides">
              <wp:wrapPolygon edited="0">
                <wp:start x="0" y="0"/>
                <wp:lineTo x="0" y="21575"/>
                <wp:lineTo x="21582" y="21575"/>
                <wp:lineTo x="21582" y="0"/>
                <wp:lineTo x="0" y="0"/>
              </wp:wrapPolygon>
            </wp:wrapTight>
            <wp:docPr id="66" name="Chart 66" descr="The graph shows the results for male and females. Description and analysis is in the accompanying text." title="Fig 6 Year 6 English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00221671" w:rsidRPr="00D25E9D">
        <w:t>G</w:t>
      </w:r>
      <w:r w:rsidR="00221671">
        <w:t>eneral Observations</w:t>
      </w:r>
    </w:p>
    <w:p w14:paraId="77C0B54F" w14:textId="558B52AE" w:rsidR="00221671" w:rsidRPr="00AE24CE" w:rsidRDefault="00221671" w:rsidP="00AE24CE">
      <w:pPr>
        <w:pStyle w:val="ListParagraph"/>
        <w:numPr>
          <w:ilvl w:val="0"/>
          <w:numId w:val="45"/>
        </w:numPr>
        <w:spacing w:before="140" w:after="140"/>
        <w:rPr>
          <w:rFonts w:cs="Arial"/>
        </w:rPr>
      </w:pPr>
      <w:r w:rsidRPr="00AE24CE">
        <w:rPr>
          <w:rFonts w:cs="Arial"/>
        </w:rPr>
        <w:t>The percentage of students achieving the expected overall standard in English at Year 6 has increased to 37% of students from 21% in 2013.</w:t>
      </w:r>
    </w:p>
    <w:p w14:paraId="5816FA38" w14:textId="6E62DA24" w:rsidR="00AE24CE" w:rsidRPr="00AE24CE" w:rsidRDefault="00221671" w:rsidP="00AE24CE">
      <w:pPr>
        <w:pStyle w:val="ListParagraph"/>
        <w:numPr>
          <w:ilvl w:val="0"/>
          <w:numId w:val="45"/>
        </w:numPr>
        <w:spacing w:before="140" w:after="140"/>
        <w:rPr>
          <w:i/>
          <w:sz w:val="18"/>
          <w:szCs w:val="18"/>
        </w:rPr>
      </w:pPr>
      <w:r w:rsidRPr="00AE24CE">
        <w:rPr>
          <w:rFonts w:cs="Arial"/>
        </w:rPr>
        <w:t>81% of the students are working at a level that can be considered to be 'minimally acceptable' for their year level.</w:t>
      </w:r>
      <w:r w:rsidR="00AE24CE" w:rsidRPr="00AE24CE">
        <w:rPr>
          <w:rFonts w:cs="Arial"/>
        </w:rPr>
        <w:t xml:space="preserve"> </w:t>
      </w:r>
    </w:p>
    <w:p w14:paraId="0D5E9D83" w14:textId="44AB5B53" w:rsidR="00AE24CE" w:rsidRPr="00AE24CE" w:rsidRDefault="00221671" w:rsidP="00AE24CE">
      <w:pPr>
        <w:pStyle w:val="ListParagraph"/>
        <w:numPr>
          <w:ilvl w:val="0"/>
          <w:numId w:val="45"/>
        </w:numPr>
        <w:spacing w:before="140" w:after="140"/>
        <w:rPr>
          <w:i/>
          <w:sz w:val="18"/>
          <w:szCs w:val="18"/>
        </w:rPr>
      </w:pPr>
      <w:r w:rsidRPr="00AE24CE">
        <w:rPr>
          <w:rFonts w:cs="Arial"/>
        </w:rPr>
        <w:t xml:space="preserve">Girls continue to perform better than boys. </w:t>
      </w:r>
    </w:p>
    <w:p w14:paraId="70209046" w14:textId="77777777" w:rsidR="007A1DF9" w:rsidRPr="007A1DF9" w:rsidRDefault="00221671" w:rsidP="007A1DF9">
      <w:pPr>
        <w:pStyle w:val="ListParagraph"/>
        <w:numPr>
          <w:ilvl w:val="0"/>
          <w:numId w:val="45"/>
        </w:numPr>
        <w:spacing w:before="140" w:after="140"/>
      </w:pPr>
      <w:r w:rsidRPr="00AE24CE">
        <w:rPr>
          <w:rFonts w:cs="Arial"/>
        </w:rPr>
        <w:t>The gap between the two groups has remained steady since 2013.</w:t>
      </w:r>
    </w:p>
    <w:p w14:paraId="4E6811D5" w14:textId="2699E6F7" w:rsidR="00221671" w:rsidRPr="001D3638" w:rsidRDefault="00221671" w:rsidP="002D28B3">
      <w:pPr>
        <w:pStyle w:val="Heading2"/>
      </w:pPr>
      <w:r>
        <w:t>2.3</w:t>
      </w:r>
      <w:r>
        <w:tab/>
        <w:t>Year 8</w:t>
      </w:r>
      <w:r w:rsidRPr="00B77E55">
        <w:t xml:space="preserve"> English</w:t>
      </w:r>
      <w:r>
        <w:t xml:space="preserve"> literacy</w:t>
      </w:r>
    </w:p>
    <w:p w14:paraId="098104BB" w14:textId="77777777" w:rsidR="00221671" w:rsidRDefault="00221671" w:rsidP="00ED0631">
      <w:pPr>
        <w:spacing w:before="140" w:after="140"/>
        <w:jc w:val="both"/>
      </w:pPr>
      <w:r>
        <w:t>Students in Year 8</w:t>
      </w:r>
      <w:r w:rsidRPr="00B943F2">
        <w:t xml:space="preserve"> </w:t>
      </w:r>
      <w:r>
        <w:t>are in the second year of the three year Junior Secondary curriculum. This is the first time in many years that an English literacy test has been held for all students in Year 8. There is an English examination held at the end of Year 9. It is one of the compulsory components of the Junior Secondary Certificate examinations that mark the end of compulsory education in Kiribati</w:t>
      </w:r>
    </w:p>
    <w:p w14:paraId="359F2013" w14:textId="77777777" w:rsidR="00221671" w:rsidRDefault="00221671" w:rsidP="00ED0631">
      <w:pPr>
        <w:spacing w:before="140" w:after="140"/>
        <w:jc w:val="both"/>
      </w:pPr>
      <w:r>
        <w:t>Clearly, the majority of students tested are not demonstrating a level of English literacy which is expected of all students at the end of year 8. Only 227 (20%) of students are working at the or above the expected level.</w:t>
      </w:r>
    </w:p>
    <w:p w14:paraId="349E3DD6" w14:textId="77777777" w:rsidR="00221671" w:rsidRPr="001D3638" w:rsidRDefault="00221671" w:rsidP="00ED0631">
      <w:pPr>
        <w:spacing w:before="140" w:after="140"/>
        <w:jc w:val="both"/>
      </w:pPr>
      <w:r>
        <w:lastRenderedPageBreak/>
        <w:t>The results are not surprising as student performance in the Year 9 English exams shows a similar pattern. Of the 2035 students who sat the Year 9 exam in 2015, only 547 student (27%) achieved a raw mark of 40 or better out of 80 possible marks.</w:t>
      </w:r>
    </w:p>
    <w:p w14:paraId="35B718C7" w14:textId="77777777" w:rsidR="00221671" w:rsidRPr="00752D28" w:rsidRDefault="00221671" w:rsidP="00ED0631">
      <w:pPr>
        <w:spacing w:before="140" w:after="140"/>
        <w:ind w:left="709" w:hanging="567"/>
        <w:rPr>
          <w:i/>
          <w:sz w:val="18"/>
          <w:szCs w:val="18"/>
        </w:rPr>
      </w:pPr>
      <w:r w:rsidRPr="00752D28">
        <w:rPr>
          <w:i/>
          <w:noProof/>
          <w:lang w:eastAsia="en-AU"/>
        </w:rPr>
        <w:drawing>
          <wp:anchor distT="0" distB="0" distL="114300" distR="114300" simplePos="0" relativeHeight="251803647" behindDoc="0" locked="0" layoutInCell="1" allowOverlap="1" wp14:anchorId="000ABA2B" wp14:editId="1372C6DB">
            <wp:simplePos x="0" y="0"/>
            <wp:positionH relativeFrom="margin">
              <wp:align>left</wp:align>
            </wp:positionH>
            <wp:positionV relativeFrom="paragraph">
              <wp:posOffset>137795</wp:posOffset>
            </wp:positionV>
            <wp:extent cx="5570220" cy="2133600"/>
            <wp:effectExtent l="0" t="0" r="11430" b="0"/>
            <wp:wrapThrough wrapText="bothSides">
              <wp:wrapPolygon edited="0">
                <wp:start x="0" y="0"/>
                <wp:lineTo x="0" y="21407"/>
                <wp:lineTo x="21570" y="21407"/>
                <wp:lineTo x="21570" y="0"/>
                <wp:lineTo x="0" y="0"/>
              </wp:wrapPolygon>
            </wp:wrapThrough>
            <wp:docPr id="67" name="Chart 67" descr="The graph shows the results achieved for year 8s. Description and analysis is in the accompanying text." title="Fig 7 Year 8 2015 English overall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Pr="00752D28">
        <w:rPr>
          <w:b/>
          <w:i/>
          <w:sz w:val="18"/>
          <w:szCs w:val="18"/>
        </w:rPr>
        <w:t>Fig 7</w:t>
      </w:r>
      <w:r w:rsidRPr="00752D28">
        <w:rPr>
          <w:i/>
          <w:sz w:val="18"/>
          <w:szCs w:val="18"/>
        </w:rPr>
        <w:tab/>
        <w:t>Year 8 2015 English overall performance</w:t>
      </w:r>
    </w:p>
    <w:p w14:paraId="7F5A837C" w14:textId="77777777" w:rsidR="00AE24CE" w:rsidRDefault="00AE24CE" w:rsidP="00ED0631">
      <w:pPr>
        <w:spacing w:before="140" w:after="140"/>
        <w:jc w:val="both"/>
      </w:pPr>
    </w:p>
    <w:p w14:paraId="4C3E628F" w14:textId="77777777" w:rsidR="00221671" w:rsidRPr="004F4F96" w:rsidRDefault="00221671" w:rsidP="00ED0631">
      <w:pPr>
        <w:spacing w:before="140" w:after="140"/>
        <w:jc w:val="both"/>
        <w:rPr>
          <w:noProof/>
          <w:lang w:val="en-US"/>
        </w:rPr>
      </w:pPr>
      <w:r w:rsidRPr="004F4F96">
        <w:t xml:space="preserve">The test focussed on </w:t>
      </w:r>
      <w:r>
        <w:t>six</w:t>
      </w:r>
      <w:r w:rsidRPr="004F4F96">
        <w:t xml:space="preserve"> components of literacy:</w:t>
      </w:r>
      <w:r w:rsidRPr="004F4F96">
        <w:rPr>
          <w:noProof/>
          <w:lang w:val="en-US"/>
        </w:rPr>
        <w:t xml:space="preserve"> </w:t>
      </w:r>
    </w:p>
    <w:p w14:paraId="1057E0BE" w14:textId="77777777" w:rsidR="00221671" w:rsidRDefault="00221671" w:rsidP="00AE24CE">
      <w:pPr>
        <w:pStyle w:val="ListParagraph"/>
        <w:numPr>
          <w:ilvl w:val="0"/>
          <w:numId w:val="29"/>
        </w:numPr>
        <w:spacing w:before="0" w:beforeAutospacing="0" w:after="0" w:afterAutospacing="0"/>
        <w:ind w:left="714" w:hanging="357"/>
        <w:contextualSpacing w:val="0"/>
        <w:jc w:val="both"/>
        <w:rPr>
          <w:szCs w:val="20"/>
        </w:rPr>
      </w:pPr>
      <w:r w:rsidRPr="004F4F96">
        <w:rPr>
          <w:szCs w:val="20"/>
        </w:rPr>
        <w:t>listening,</w:t>
      </w:r>
    </w:p>
    <w:p w14:paraId="165595DE" w14:textId="77777777" w:rsidR="00221671" w:rsidRPr="00167A09" w:rsidRDefault="00221671" w:rsidP="00AE24CE">
      <w:pPr>
        <w:pStyle w:val="ListParagraph"/>
        <w:numPr>
          <w:ilvl w:val="0"/>
          <w:numId w:val="29"/>
        </w:numPr>
        <w:spacing w:before="0" w:beforeAutospacing="0" w:after="0" w:afterAutospacing="0"/>
        <w:ind w:left="714" w:hanging="357"/>
        <w:contextualSpacing w:val="0"/>
        <w:jc w:val="both"/>
        <w:rPr>
          <w:szCs w:val="20"/>
        </w:rPr>
      </w:pPr>
      <w:r>
        <w:rPr>
          <w:szCs w:val="20"/>
        </w:rPr>
        <w:t>vocabulary,</w:t>
      </w:r>
    </w:p>
    <w:p w14:paraId="6C632C01" w14:textId="77777777" w:rsidR="00221671" w:rsidRDefault="00221671" w:rsidP="00AE24CE">
      <w:pPr>
        <w:pStyle w:val="ListParagraph"/>
        <w:numPr>
          <w:ilvl w:val="0"/>
          <w:numId w:val="29"/>
        </w:numPr>
        <w:spacing w:before="0" w:beforeAutospacing="0" w:after="0" w:afterAutospacing="0"/>
        <w:ind w:left="714" w:hanging="357"/>
        <w:contextualSpacing w:val="0"/>
        <w:jc w:val="both"/>
        <w:rPr>
          <w:szCs w:val="20"/>
        </w:rPr>
      </w:pPr>
      <w:r>
        <w:rPr>
          <w:szCs w:val="20"/>
        </w:rPr>
        <w:t>reading comprehension,</w:t>
      </w:r>
    </w:p>
    <w:p w14:paraId="339C11B5" w14:textId="77777777" w:rsidR="00221671" w:rsidRDefault="00221671" w:rsidP="00AE24CE">
      <w:pPr>
        <w:pStyle w:val="ListParagraph"/>
        <w:numPr>
          <w:ilvl w:val="0"/>
          <w:numId w:val="29"/>
        </w:numPr>
        <w:spacing w:before="0" w:beforeAutospacing="0" w:after="0" w:afterAutospacing="0"/>
        <w:ind w:left="714" w:hanging="357"/>
        <w:contextualSpacing w:val="0"/>
        <w:jc w:val="both"/>
        <w:rPr>
          <w:szCs w:val="20"/>
        </w:rPr>
      </w:pPr>
      <w:r>
        <w:rPr>
          <w:szCs w:val="20"/>
        </w:rPr>
        <w:t>understanding instructional text</w:t>
      </w:r>
    </w:p>
    <w:p w14:paraId="0560239A" w14:textId="77777777" w:rsidR="00221671" w:rsidRPr="004F4F96" w:rsidRDefault="00221671" w:rsidP="00AE24CE">
      <w:pPr>
        <w:pStyle w:val="ListParagraph"/>
        <w:numPr>
          <w:ilvl w:val="0"/>
          <w:numId w:val="29"/>
        </w:numPr>
        <w:spacing w:before="0" w:beforeAutospacing="0" w:after="0" w:afterAutospacing="0"/>
        <w:ind w:left="714" w:hanging="357"/>
        <w:contextualSpacing w:val="0"/>
        <w:jc w:val="both"/>
        <w:rPr>
          <w:szCs w:val="20"/>
        </w:rPr>
      </w:pPr>
      <w:r>
        <w:rPr>
          <w:szCs w:val="20"/>
        </w:rPr>
        <w:t xml:space="preserve">grammar, </w:t>
      </w:r>
      <w:r w:rsidRPr="004F4F96">
        <w:rPr>
          <w:szCs w:val="20"/>
        </w:rPr>
        <w:t>and</w:t>
      </w:r>
    </w:p>
    <w:p w14:paraId="54426C10" w14:textId="77777777" w:rsidR="00221671" w:rsidRPr="001D3638" w:rsidRDefault="00221671" w:rsidP="002D28B3">
      <w:pPr>
        <w:pStyle w:val="ListParagraph"/>
        <w:numPr>
          <w:ilvl w:val="0"/>
          <w:numId w:val="29"/>
        </w:numPr>
        <w:spacing w:before="0" w:beforeAutospacing="0" w:after="240" w:afterAutospacing="0"/>
        <w:ind w:left="714" w:hanging="357"/>
        <w:contextualSpacing w:val="0"/>
        <w:jc w:val="both"/>
        <w:rPr>
          <w:szCs w:val="20"/>
        </w:rPr>
      </w:pPr>
      <w:r w:rsidRPr="004F4F96">
        <w:rPr>
          <w:szCs w:val="20"/>
        </w:rPr>
        <w:t>writing.</w:t>
      </w:r>
      <w:r w:rsidRPr="00A244F5">
        <w:rPr>
          <w:noProof/>
          <w:lang w:val="en-US"/>
        </w:rPr>
        <w:t xml:space="preserve"> </w:t>
      </w:r>
    </w:p>
    <w:p w14:paraId="13388698" w14:textId="1CC094BE" w:rsidR="00221671" w:rsidRPr="00752D28" w:rsidRDefault="00AE24CE" w:rsidP="002D28B3">
      <w:pPr>
        <w:spacing w:before="140"/>
        <w:jc w:val="both"/>
        <w:rPr>
          <w:i/>
        </w:rPr>
      </w:pPr>
      <w:r w:rsidRPr="00752D28">
        <w:rPr>
          <w:i/>
          <w:noProof/>
          <w:lang w:eastAsia="en-AU"/>
        </w:rPr>
        <w:drawing>
          <wp:anchor distT="0" distB="0" distL="114300" distR="114300" simplePos="0" relativeHeight="251804671" behindDoc="0" locked="0" layoutInCell="1" allowOverlap="1" wp14:anchorId="00FC3A60" wp14:editId="37C1974A">
            <wp:simplePos x="0" y="0"/>
            <wp:positionH relativeFrom="column">
              <wp:posOffset>1905</wp:posOffset>
            </wp:positionH>
            <wp:positionV relativeFrom="paragraph">
              <wp:posOffset>220980</wp:posOffset>
            </wp:positionV>
            <wp:extent cx="5669280" cy="2007870"/>
            <wp:effectExtent l="0" t="0" r="7620" b="11430"/>
            <wp:wrapThrough wrapText="bothSides">
              <wp:wrapPolygon edited="0">
                <wp:start x="0" y="0"/>
                <wp:lineTo x="0" y="21518"/>
                <wp:lineTo x="21556" y="21518"/>
                <wp:lineTo x="21556" y="0"/>
                <wp:lineTo x="0" y="0"/>
              </wp:wrapPolygon>
            </wp:wrapThrough>
            <wp:docPr id="68" name="Chart 68" descr="The graph is shows the results in the six literacy components. Description and analysis is in the accompanying text." title="Fig 8 Year 8 2015 English component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r w:rsidR="00221671" w:rsidRPr="00752D28">
        <w:rPr>
          <w:b/>
          <w:i/>
          <w:sz w:val="18"/>
          <w:szCs w:val="18"/>
        </w:rPr>
        <w:t>Fig 8</w:t>
      </w:r>
      <w:r w:rsidR="00221671" w:rsidRPr="00752D28">
        <w:rPr>
          <w:i/>
          <w:sz w:val="18"/>
          <w:szCs w:val="18"/>
        </w:rPr>
        <w:tab/>
        <w:t>Year 8 2015 English component performance</w:t>
      </w:r>
    </w:p>
    <w:p w14:paraId="4DC0E6DB" w14:textId="77777777" w:rsidR="00221671" w:rsidRDefault="00221671" w:rsidP="00ED0631">
      <w:pPr>
        <w:spacing w:before="140" w:after="140"/>
        <w:jc w:val="both"/>
        <w:rPr>
          <w:rFonts w:cs="Arial"/>
        </w:rPr>
      </w:pPr>
      <w:r>
        <w:rPr>
          <w:rFonts w:cs="Arial"/>
        </w:rPr>
        <w:t>Students have significant difficulties with understanding and interpreting instructional texts. This is a major concern given that this is an essential skill in the work place. General reading comprehension and writing are also very poor.</w:t>
      </w:r>
    </w:p>
    <w:p w14:paraId="7C653E1D" w14:textId="77777777" w:rsidR="00221671" w:rsidRDefault="00221671" w:rsidP="00ED0631">
      <w:pPr>
        <w:spacing w:before="140" w:after="140"/>
        <w:jc w:val="both"/>
        <w:rPr>
          <w:rFonts w:cs="Arial"/>
        </w:rPr>
      </w:pPr>
      <w:r>
        <w:rPr>
          <w:rFonts w:cs="Arial"/>
        </w:rPr>
        <w:t>Understanding of verbal texts was done more competently, however more than 40% of students still could not demonstrate a satisfactory level.</w:t>
      </w:r>
    </w:p>
    <w:p w14:paraId="727E7D1B" w14:textId="77777777" w:rsidR="002D28B3" w:rsidRDefault="002D28B3">
      <w:pPr>
        <w:spacing w:line="276" w:lineRule="auto"/>
        <w:rPr>
          <w:rFonts w:asciiTheme="majorHAnsi" w:hAnsiTheme="majorHAnsi" w:cstheme="majorHAnsi"/>
          <w:b/>
        </w:rPr>
      </w:pPr>
      <w:r>
        <w:rPr>
          <w:rFonts w:asciiTheme="majorHAnsi" w:hAnsiTheme="majorHAnsi" w:cstheme="majorHAnsi"/>
          <w:b/>
        </w:rPr>
        <w:br w:type="page"/>
      </w:r>
    </w:p>
    <w:p w14:paraId="15C3B4E2" w14:textId="448D0ED3" w:rsidR="00592231" w:rsidRPr="00592231" w:rsidRDefault="00592231" w:rsidP="00592231">
      <w:pPr>
        <w:spacing w:before="140" w:after="140"/>
        <w:ind w:left="709" w:hanging="709"/>
        <w:rPr>
          <w:rFonts w:asciiTheme="majorHAnsi" w:hAnsiTheme="majorHAnsi" w:cstheme="majorHAnsi"/>
          <w:b/>
        </w:rPr>
      </w:pPr>
      <w:r w:rsidRPr="00592231">
        <w:rPr>
          <w:rFonts w:asciiTheme="majorHAnsi" w:hAnsiTheme="majorHAnsi" w:cstheme="majorHAnsi"/>
          <w:b/>
        </w:rPr>
        <w:lastRenderedPageBreak/>
        <w:t>Table 4</w:t>
      </w:r>
      <w:r>
        <w:rPr>
          <w:rFonts w:asciiTheme="majorHAnsi" w:hAnsiTheme="majorHAnsi" w:cstheme="majorHAnsi"/>
          <w:b/>
        </w:rPr>
        <w:t xml:space="preserve"> </w:t>
      </w:r>
      <w:r w:rsidRPr="00592231">
        <w:rPr>
          <w:rFonts w:asciiTheme="majorHAnsi" w:hAnsiTheme="majorHAnsi" w:cstheme="majorHAnsi"/>
          <w:b/>
        </w:rPr>
        <w:t>Year 8 English performance by district</w:t>
      </w:r>
    </w:p>
    <w:tbl>
      <w:tblPr>
        <w:tblStyle w:val="MediumShading2-Accent1"/>
        <w:tblW w:w="406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Table 4 Year 8 English performance by district"/>
      </w:tblPr>
      <w:tblGrid>
        <w:gridCol w:w="1583"/>
        <w:gridCol w:w="1757"/>
        <w:gridCol w:w="1887"/>
        <w:gridCol w:w="2191"/>
      </w:tblGrid>
      <w:tr w:rsidR="00221671" w:rsidRPr="00592231" w14:paraId="15362DD7" w14:textId="77777777" w:rsidTr="00BF0394">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067" w:type="pct"/>
            <w:vMerge w:val="restart"/>
            <w:tcBorders>
              <w:top w:val="none" w:sz="0" w:space="0" w:color="auto"/>
              <w:left w:val="none" w:sz="0" w:space="0" w:color="auto"/>
              <w:bottom w:val="none" w:sz="0" w:space="0" w:color="auto"/>
              <w:right w:val="none" w:sz="0" w:space="0" w:color="auto"/>
            </w:tcBorders>
            <w:shd w:val="clear" w:color="auto" w:fill="A25EA6"/>
          </w:tcPr>
          <w:p w14:paraId="311CFB26" w14:textId="77777777" w:rsidR="00221671" w:rsidRPr="00592231" w:rsidRDefault="00221671" w:rsidP="00ED0631">
            <w:pPr>
              <w:spacing w:before="140" w:after="140"/>
              <w:ind w:left="709" w:hanging="709"/>
              <w:rPr>
                <w:rFonts w:asciiTheme="majorHAnsi" w:hAnsiTheme="majorHAnsi" w:cstheme="majorHAnsi"/>
              </w:rPr>
            </w:pPr>
            <w:r w:rsidRPr="00592231">
              <w:rPr>
                <w:rFonts w:asciiTheme="majorHAnsi" w:hAnsiTheme="majorHAnsi" w:cstheme="majorHAnsi"/>
              </w:rPr>
              <w:t>Table 4</w:t>
            </w:r>
          </w:p>
          <w:p w14:paraId="3FDBA73D" w14:textId="77777777" w:rsidR="00221671" w:rsidRPr="00592231" w:rsidRDefault="00221671" w:rsidP="00ED0631">
            <w:pPr>
              <w:spacing w:before="140" w:after="140"/>
              <w:rPr>
                <w:rFonts w:asciiTheme="majorHAnsi" w:hAnsiTheme="majorHAnsi" w:cstheme="majorHAnsi"/>
              </w:rPr>
            </w:pPr>
            <w:r w:rsidRPr="00592231">
              <w:rPr>
                <w:rFonts w:asciiTheme="majorHAnsi" w:hAnsiTheme="majorHAnsi" w:cstheme="majorHAnsi"/>
              </w:rPr>
              <w:t>Year 8 English performance by district</w:t>
            </w:r>
          </w:p>
          <w:p w14:paraId="68AB9F1B" w14:textId="77777777" w:rsidR="00221671" w:rsidRPr="00592231" w:rsidRDefault="00221671" w:rsidP="00ED0631">
            <w:pPr>
              <w:spacing w:before="140" w:after="140"/>
              <w:rPr>
                <w:rFonts w:asciiTheme="majorHAnsi" w:hAnsiTheme="majorHAnsi" w:cstheme="majorHAnsi"/>
              </w:rPr>
            </w:pPr>
          </w:p>
        </w:tc>
        <w:tc>
          <w:tcPr>
            <w:tcW w:w="3933" w:type="pct"/>
            <w:gridSpan w:val="3"/>
            <w:tcBorders>
              <w:top w:val="none" w:sz="0" w:space="0" w:color="auto"/>
              <w:left w:val="none" w:sz="0" w:space="0" w:color="auto"/>
              <w:bottom w:val="none" w:sz="0" w:space="0" w:color="auto"/>
              <w:right w:val="none" w:sz="0" w:space="0" w:color="auto"/>
            </w:tcBorders>
            <w:shd w:val="clear" w:color="auto" w:fill="A25EA6"/>
          </w:tcPr>
          <w:p w14:paraId="1B03C7BF" w14:textId="77777777" w:rsidR="00221671" w:rsidRPr="00592231"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hAnsiTheme="majorHAnsi" w:cstheme="majorHAnsi"/>
              </w:rPr>
              <w:t>Students in each group</w:t>
            </w:r>
          </w:p>
          <w:p w14:paraId="7B12A44E" w14:textId="77777777" w:rsidR="00221671" w:rsidRPr="00592231"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221671" w:rsidRPr="00592231" w14:paraId="3BF26AEC" w14:textId="77777777" w:rsidTr="00BF039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7" w:type="pct"/>
            <w:vMerge/>
            <w:tcBorders>
              <w:left w:val="none" w:sz="0" w:space="0" w:color="auto"/>
              <w:bottom w:val="none" w:sz="0" w:space="0" w:color="auto"/>
              <w:right w:val="none" w:sz="0" w:space="0" w:color="auto"/>
            </w:tcBorders>
          </w:tcPr>
          <w:p w14:paraId="5A893AFD" w14:textId="77777777" w:rsidR="00221671" w:rsidRPr="00592231" w:rsidRDefault="00221671" w:rsidP="00ED0631">
            <w:pPr>
              <w:spacing w:before="140" w:after="140"/>
              <w:rPr>
                <w:rFonts w:asciiTheme="majorHAnsi" w:hAnsiTheme="majorHAnsi" w:cstheme="majorHAnsi"/>
              </w:rPr>
            </w:pPr>
          </w:p>
        </w:tc>
        <w:tc>
          <w:tcPr>
            <w:tcW w:w="1184" w:type="pct"/>
          </w:tcPr>
          <w:p w14:paraId="343374DC" w14:textId="41C70FF5" w:rsidR="00221671" w:rsidRPr="00592231" w:rsidRDefault="00221671" w:rsidP="005922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hAnsiTheme="majorHAnsi" w:cstheme="majorHAnsi"/>
              </w:rPr>
              <w:t>no evidence or critically below expected level</w:t>
            </w:r>
          </w:p>
        </w:tc>
        <w:tc>
          <w:tcPr>
            <w:tcW w:w="1272" w:type="pct"/>
          </w:tcPr>
          <w:p w14:paraId="3516E08F"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hAnsiTheme="majorHAnsi" w:cstheme="majorHAnsi"/>
              </w:rPr>
              <w:t>working towards expected level</w:t>
            </w:r>
          </w:p>
        </w:tc>
        <w:tc>
          <w:tcPr>
            <w:tcW w:w="1478" w:type="pct"/>
          </w:tcPr>
          <w:p w14:paraId="49B1901C"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hAnsiTheme="majorHAnsi" w:cstheme="majorHAnsi"/>
              </w:rPr>
              <w:t xml:space="preserve">working at or above expected level </w:t>
            </w:r>
          </w:p>
        </w:tc>
      </w:tr>
      <w:tr w:rsidR="00221671" w:rsidRPr="00592231" w14:paraId="6CD55A29" w14:textId="77777777" w:rsidTr="00BF0394">
        <w:trPr>
          <w:trHeight w:val="249"/>
        </w:trPr>
        <w:tc>
          <w:tcPr>
            <w:cnfStyle w:val="001000000000" w:firstRow="0" w:lastRow="0" w:firstColumn="1" w:lastColumn="0" w:oddVBand="0" w:evenVBand="0" w:oddHBand="0" w:evenHBand="0" w:firstRowFirstColumn="0" w:firstRowLastColumn="0" w:lastRowFirstColumn="0" w:lastRowLastColumn="0"/>
            <w:tcW w:w="1067" w:type="pct"/>
            <w:tcBorders>
              <w:left w:val="none" w:sz="0" w:space="0" w:color="auto"/>
              <w:bottom w:val="none" w:sz="0" w:space="0" w:color="auto"/>
              <w:right w:val="none" w:sz="0" w:space="0" w:color="auto"/>
            </w:tcBorders>
            <w:shd w:val="clear" w:color="auto" w:fill="auto"/>
            <w:vAlign w:val="bottom"/>
          </w:tcPr>
          <w:p w14:paraId="5DFCB706" w14:textId="77777777" w:rsidR="00221671" w:rsidRPr="009F5F38" w:rsidRDefault="00221671" w:rsidP="00ED0631">
            <w:pPr>
              <w:spacing w:before="140" w:after="140"/>
              <w:rPr>
                <w:rFonts w:asciiTheme="majorHAnsi" w:hAnsiTheme="majorHAnsi" w:cstheme="majorHAnsi"/>
                <w:color w:val="auto"/>
              </w:rPr>
            </w:pPr>
            <w:r w:rsidRPr="009F5F38">
              <w:rPr>
                <w:rFonts w:asciiTheme="majorHAnsi" w:eastAsia="Times New Roman" w:hAnsiTheme="majorHAnsi" w:cstheme="majorHAnsi"/>
                <w:color w:val="auto"/>
              </w:rPr>
              <w:t>Total</w:t>
            </w:r>
          </w:p>
        </w:tc>
        <w:tc>
          <w:tcPr>
            <w:tcW w:w="1184" w:type="pct"/>
            <w:vAlign w:val="bottom"/>
          </w:tcPr>
          <w:p w14:paraId="43065279"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601 (45%)</w:t>
            </w:r>
          </w:p>
        </w:tc>
        <w:tc>
          <w:tcPr>
            <w:tcW w:w="1272" w:type="pct"/>
            <w:vAlign w:val="bottom"/>
          </w:tcPr>
          <w:p w14:paraId="6496B802"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472 (35%)</w:t>
            </w:r>
          </w:p>
        </w:tc>
        <w:tc>
          <w:tcPr>
            <w:tcW w:w="1478" w:type="pct"/>
            <w:vAlign w:val="bottom"/>
          </w:tcPr>
          <w:p w14:paraId="051E0C95"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277 (20%)</w:t>
            </w:r>
          </w:p>
        </w:tc>
      </w:tr>
      <w:tr w:rsidR="00221671" w:rsidRPr="00592231" w14:paraId="4014114A" w14:textId="77777777" w:rsidTr="00BF039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7" w:type="pct"/>
            <w:tcBorders>
              <w:left w:val="none" w:sz="0" w:space="0" w:color="auto"/>
              <w:bottom w:val="none" w:sz="0" w:space="0" w:color="auto"/>
              <w:right w:val="none" w:sz="0" w:space="0" w:color="auto"/>
            </w:tcBorders>
            <w:shd w:val="clear" w:color="auto" w:fill="D9D9D9" w:themeFill="background1" w:themeFillShade="D9"/>
            <w:vAlign w:val="bottom"/>
          </w:tcPr>
          <w:p w14:paraId="4FF0D346" w14:textId="77777777" w:rsidR="00221671" w:rsidRPr="009F5F38" w:rsidRDefault="00221671" w:rsidP="00ED0631">
            <w:pPr>
              <w:spacing w:before="140" w:after="140"/>
              <w:rPr>
                <w:rFonts w:asciiTheme="majorHAnsi" w:hAnsiTheme="majorHAnsi" w:cstheme="majorHAnsi"/>
                <w:color w:val="auto"/>
              </w:rPr>
            </w:pPr>
            <w:r w:rsidRPr="009F5F38">
              <w:rPr>
                <w:rFonts w:asciiTheme="majorHAnsi" w:eastAsia="Times New Roman" w:hAnsiTheme="majorHAnsi" w:cstheme="majorHAnsi"/>
                <w:color w:val="auto"/>
              </w:rPr>
              <w:t>Central</w:t>
            </w:r>
          </w:p>
        </w:tc>
        <w:tc>
          <w:tcPr>
            <w:tcW w:w="1184" w:type="pct"/>
            <w:shd w:val="clear" w:color="auto" w:fill="D9D9D9" w:themeFill="background1" w:themeFillShade="D9"/>
            <w:vAlign w:val="bottom"/>
          </w:tcPr>
          <w:p w14:paraId="64E61259"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76 (43%)</w:t>
            </w:r>
          </w:p>
        </w:tc>
        <w:tc>
          <w:tcPr>
            <w:tcW w:w="1272" w:type="pct"/>
            <w:vAlign w:val="bottom"/>
          </w:tcPr>
          <w:p w14:paraId="695ACC14"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62 (35%)</w:t>
            </w:r>
          </w:p>
        </w:tc>
        <w:tc>
          <w:tcPr>
            <w:tcW w:w="1478" w:type="pct"/>
            <w:vAlign w:val="bottom"/>
          </w:tcPr>
          <w:p w14:paraId="5B53FCBF"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38 (22%)</w:t>
            </w:r>
          </w:p>
        </w:tc>
      </w:tr>
      <w:tr w:rsidR="00221671" w:rsidRPr="00592231" w14:paraId="337777A3" w14:textId="77777777" w:rsidTr="00BF0394">
        <w:trPr>
          <w:trHeight w:val="249"/>
        </w:trPr>
        <w:tc>
          <w:tcPr>
            <w:cnfStyle w:val="001000000000" w:firstRow="0" w:lastRow="0" w:firstColumn="1" w:lastColumn="0" w:oddVBand="0" w:evenVBand="0" w:oddHBand="0" w:evenHBand="0" w:firstRowFirstColumn="0" w:firstRowLastColumn="0" w:lastRowFirstColumn="0" w:lastRowLastColumn="0"/>
            <w:tcW w:w="1067" w:type="pct"/>
            <w:tcBorders>
              <w:left w:val="none" w:sz="0" w:space="0" w:color="auto"/>
              <w:bottom w:val="none" w:sz="0" w:space="0" w:color="auto"/>
              <w:right w:val="none" w:sz="0" w:space="0" w:color="auto"/>
            </w:tcBorders>
            <w:shd w:val="clear" w:color="auto" w:fill="auto"/>
            <w:vAlign w:val="bottom"/>
          </w:tcPr>
          <w:p w14:paraId="5CE81EEB" w14:textId="77777777" w:rsidR="00221671" w:rsidRPr="009F5F38" w:rsidRDefault="00221671" w:rsidP="00ED0631">
            <w:pPr>
              <w:spacing w:before="140" w:after="140"/>
              <w:rPr>
                <w:rFonts w:asciiTheme="majorHAnsi" w:hAnsiTheme="majorHAnsi" w:cstheme="majorHAnsi"/>
                <w:color w:val="auto"/>
              </w:rPr>
            </w:pPr>
            <w:r w:rsidRPr="009F5F38">
              <w:rPr>
                <w:rFonts w:asciiTheme="majorHAnsi" w:eastAsia="Times New Roman" w:hAnsiTheme="majorHAnsi" w:cstheme="majorHAnsi"/>
                <w:color w:val="auto"/>
              </w:rPr>
              <w:t>North</w:t>
            </w:r>
          </w:p>
        </w:tc>
        <w:tc>
          <w:tcPr>
            <w:tcW w:w="1184" w:type="pct"/>
            <w:vAlign w:val="bottom"/>
          </w:tcPr>
          <w:p w14:paraId="4FF711CF"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119 (47%)</w:t>
            </w:r>
          </w:p>
        </w:tc>
        <w:tc>
          <w:tcPr>
            <w:tcW w:w="1272" w:type="pct"/>
            <w:vAlign w:val="bottom"/>
          </w:tcPr>
          <w:p w14:paraId="54731661"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93 (37%)</w:t>
            </w:r>
          </w:p>
        </w:tc>
        <w:tc>
          <w:tcPr>
            <w:tcW w:w="1478" w:type="pct"/>
            <w:vAlign w:val="bottom"/>
          </w:tcPr>
          <w:p w14:paraId="5E2E5B75"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39 (16%)</w:t>
            </w:r>
          </w:p>
        </w:tc>
      </w:tr>
      <w:tr w:rsidR="00221671" w:rsidRPr="00592231" w14:paraId="5D8A779D" w14:textId="77777777" w:rsidTr="00BF039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7" w:type="pct"/>
            <w:tcBorders>
              <w:left w:val="none" w:sz="0" w:space="0" w:color="auto"/>
              <w:bottom w:val="none" w:sz="0" w:space="0" w:color="auto"/>
              <w:right w:val="none" w:sz="0" w:space="0" w:color="auto"/>
            </w:tcBorders>
            <w:shd w:val="clear" w:color="auto" w:fill="D9D9D9" w:themeFill="background1" w:themeFillShade="D9"/>
            <w:vAlign w:val="bottom"/>
          </w:tcPr>
          <w:p w14:paraId="093583C8" w14:textId="77777777" w:rsidR="00221671" w:rsidRPr="009F5F38" w:rsidRDefault="00221671" w:rsidP="00ED0631">
            <w:pPr>
              <w:spacing w:before="140" w:after="140"/>
              <w:rPr>
                <w:rFonts w:asciiTheme="majorHAnsi" w:hAnsiTheme="majorHAnsi" w:cstheme="majorHAnsi"/>
                <w:color w:val="auto"/>
              </w:rPr>
            </w:pPr>
            <w:r w:rsidRPr="009F5F38">
              <w:rPr>
                <w:rFonts w:asciiTheme="majorHAnsi" w:eastAsia="Times New Roman" w:hAnsiTheme="majorHAnsi" w:cstheme="majorHAnsi"/>
                <w:color w:val="auto"/>
              </w:rPr>
              <w:t>South</w:t>
            </w:r>
          </w:p>
        </w:tc>
        <w:tc>
          <w:tcPr>
            <w:tcW w:w="1184" w:type="pct"/>
            <w:vAlign w:val="bottom"/>
          </w:tcPr>
          <w:p w14:paraId="650D41C8"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118 (51%)</w:t>
            </w:r>
          </w:p>
        </w:tc>
        <w:tc>
          <w:tcPr>
            <w:tcW w:w="1272" w:type="pct"/>
            <w:vAlign w:val="bottom"/>
          </w:tcPr>
          <w:p w14:paraId="48A1835A"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67 (29%)</w:t>
            </w:r>
          </w:p>
        </w:tc>
        <w:tc>
          <w:tcPr>
            <w:tcW w:w="1478" w:type="pct"/>
            <w:vAlign w:val="bottom"/>
          </w:tcPr>
          <w:p w14:paraId="7738EA89" w14:textId="77777777" w:rsidR="00221671" w:rsidRPr="00592231"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45 (20%)</w:t>
            </w:r>
          </w:p>
        </w:tc>
      </w:tr>
      <w:tr w:rsidR="00221671" w:rsidRPr="00592231" w14:paraId="7792332E" w14:textId="77777777" w:rsidTr="00BF0394">
        <w:trPr>
          <w:trHeight w:val="267"/>
        </w:trPr>
        <w:tc>
          <w:tcPr>
            <w:cnfStyle w:val="001000000000" w:firstRow="0" w:lastRow="0" w:firstColumn="1" w:lastColumn="0" w:oddVBand="0" w:evenVBand="0" w:oddHBand="0" w:evenHBand="0" w:firstRowFirstColumn="0" w:firstRowLastColumn="0" w:lastRowFirstColumn="0" w:lastRowLastColumn="0"/>
            <w:tcW w:w="1067" w:type="pct"/>
            <w:tcBorders>
              <w:left w:val="none" w:sz="0" w:space="0" w:color="auto"/>
              <w:bottom w:val="single" w:sz="2" w:space="0" w:color="FFFFFF" w:themeColor="background1"/>
              <w:right w:val="none" w:sz="0" w:space="0" w:color="auto"/>
            </w:tcBorders>
            <w:shd w:val="clear" w:color="auto" w:fill="auto"/>
            <w:vAlign w:val="bottom"/>
          </w:tcPr>
          <w:p w14:paraId="241BA6F7" w14:textId="77777777" w:rsidR="00221671" w:rsidRPr="009F5F38" w:rsidRDefault="00221671" w:rsidP="00ED0631">
            <w:pPr>
              <w:spacing w:before="140" w:after="140"/>
              <w:rPr>
                <w:rFonts w:asciiTheme="majorHAnsi" w:hAnsiTheme="majorHAnsi" w:cstheme="majorHAnsi"/>
                <w:color w:val="auto"/>
              </w:rPr>
            </w:pPr>
            <w:r w:rsidRPr="009F5F38">
              <w:rPr>
                <w:rFonts w:asciiTheme="majorHAnsi" w:eastAsia="Times New Roman" w:hAnsiTheme="majorHAnsi" w:cstheme="majorHAnsi"/>
                <w:color w:val="auto"/>
              </w:rPr>
              <w:t>Linnux</w:t>
            </w:r>
          </w:p>
        </w:tc>
        <w:tc>
          <w:tcPr>
            <w:tcW w:w="1184" w:type="pct"/>
            <w:tcBorders>
              <w:bottom w:val="single" w:sz="2" w:space="0" w:color="FFFFFF" w:themeColor="background1"/>
            </w:tcBorders>
            <w:vAlign w:val="bottom"/>
          </w:tcPr>
          <w:p w14:paraId="53E11EE8"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60 (42%)</w:t>
            </w:r>
          </w:p>
        </w:tc>
        <w:tc>
          <w:tcPr>
            <w:tcW w:w="1272" w:type="pct"/>
            <w:tcBorders>
              <w:bottom w:val="single" w:sz="2" w:space="0" w:color="FFFFFF" w:themeColor="background1"/>
            </w:tcBorders>
            <w:vAlign w:val="bottom"/>
          </w:tcPr>
          <w:p w14:paraId="7E6B8790"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53 (37%)</w:t>
            </w:r>
          </w:p>
        </w:tc>
        <w:tc>
          <w:tcPr>
            <w:tcW w:w="1478" w:type="pct"/>
            <w:tcBorders>
              <w:bottom w:val="single" w:sz="2" w:space="0" w:color="FFFFFF" w:themeColor="background1"/>
            </w:tcBorders>
            <w:vAlign w:val="bottom"/>
          </w:tcPr>
          <w:p w14:paraId="7E3CA4FB" w14:textId="77777777" w:rsidR="00221671" w:rsidRPr="00592231"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29 (21%)</w:t>
            </w:r>
          </w:p>
        </w:tc>
      </w:tr>
      <w:tr w:rsidR="00BF0394" w:rsidRPr="00592231" w14:paraId="73C5CF0E" w14:textId="77777777" w:rsidTr="00BF039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7" w:type="pct"/>
            <w:tcBorders>
              <w:top w:val="single" w:sz="2" w:space="0" w:color="FFFFFF" w:themeColor="background1"/>
              <w:bottom w:val="single" w:sz="2" w:space="0" w:color="FFFFFF" w:themeColor="background1"/>
            </w:tcBorders>
            <w:shd w:val="clear" w:color="auto" w:fill="D9D9D9" w:themeFill="background1" w:themeFillShade="D9"/>
            <w:vAlign w:val="bottom"/>
          </w:tcPr>
          <w:p w14:paraId="3EC2719C" w14:textId="77777777" w:rsidR="00BF0394" w:rsidRPr="00BF0394" w:rsidRDefault="00BF0394" w:rsidP="00BF0394">
            <w:pPr>
              <w:spacing w:before="140" w:after="140"/>
              <w:jc w:val="center"/>
              <w:rPr>
                <w:rFonts w:asciiTheme="majorHAnsi" w:eastAsia="Times New Roman" w:hAnsiTheme="majorHAnsi" w:cstheme="majorHAnsi"/>
                <w:color w:val="000000"/>
              </w:rPr>
            </w:pPr>
            <w:r w:rsidRPr="00BF0394">
              <w:rPr>
                <w:rFonts w:asciiTheme="majorHAnsi" w:eastAsia="Times New Roman" w:hAnsiTheme="majorHAnsi" w:cstheme="majorHAnsi"/>
                <w:color w:val="000000"/>
              </w:rPr>
              <w:t>South Tarawa</w:t>
            </w:r>
          </w:p>
        </w:tc>
        <w:tc>
          <w:tcPr>
            <w:tcW w:w="1184" w:type="pct"/>
            <w:tcBorders>
              <w:top w:val="single" w:sz="2" w:space="0" w:color="FFFFFF" w:themeColor="background1"/>
              <w:bottom w:val="single" w:sz="2" w:space="0" w:color="FFFFFF" w:themeColor="background1"/>
            </w:tcBorders>
            <w:shd w:val="clear" w:color="auto" w:fill="D9D9D9" w:themeFill="background1" w:themeFillShade="D9"/>
            <w:vAlign w:val="bottom"/>
          </w:tcPr>
          <w:p w14:paraId="13B9A4AB" w14:textId="77777777" w:rsidR="00BF0394" w:rsidRPr="00BF0394" w:rsidRDefault="00BF0394" w:rsidP="00BF0394">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592231">
              <w:rPr>
                <w:rFonts w:asciiTheme="majorHAnsi" w:eastAsia="Times New Roman" w:hAnsiTheme="majorHAnsi" w:cstheme="majorHAnsi"/>
                <w:color w:val="000000"/>
              </w:rPr>
              <w:t>228 (41%)</w:t>
            </w:r>
          </w:p>
        </w:tc>
        <w:tc>
          <w:tcPr>
            <w:tcW w:w="1272" w:type="pct"/>
            <w:tcBorders>
              <w:top w:val="single" w:sz="2" w:space="0" w:color="FFFFFF" w:themeColor="background1"/>
              <w:bottom w:val="single" w:sz="2" w:space="0" w:color="FFFFFF" w:themeColor="background1"/>
            </w:tcBorders>
            <w:shd w:val="clear" w:color="auto" w:fill="D9D9D9" w:themeFill="background1" w:themeFillShade="D9"/>
            <w:vAlign w:val="bottom"/>
          </w:tcPr>
          <w:p w14:paraId="448D37ED" w14:textId="5872F8EF" w:rsidR="00BF0394" w:rsidRPr="00592231" w:rsidRDefault="00BF0394"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197 (36%)</w:t>
            </w:r>
          </w:p>
        </w:tc>
        <w:tc>
          <w:tcPr>
            <w:tcW w:w="1478" w:type="pct"/>
            <w:tcBorders>
              <w:top w:val="single" w:sz="2" w:space="0" w:color="FFFFFF" w:themeColor="background1"/>
              <w:bottom w:val="single" w:sz="2" w:space="0" w:color="FFFFFF" w:themeColor="background1"/>
            </w:tcBorders>
            <w:vAlign w:val="bottom"/>
          </w:tcPr>
          <w:p w14:paraId="47146079" w14:textId="77777777" w:rsidR="00BF0394" w:rsidRPr="00592231" w:rsidRDefault="00BF0394"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92231">
              <w:rPr>
                <w:rFonts w:asciiTheme="majorHAnsi" w:eastAsia="Times New Roman" w:hAnsiTheme="majorHAnsi" w:cstheme="majorHAnsi"/>
                <w:color w:val="000000"/>
              </w:rPr>
              <w:t>126 (23%)</w:t>
            </w:r>
          </w:p>
        </w:tc>
      </w:tr>
    </w:tbl>
    <w:p w14:paraId="06A548C5" w14:textId="35E37F51" w:rsidR="00221671" w:rsidRDefault="00DE2506" w:rsidP="00ED0631">
      <w:pPr>
        <w:spacing w:before="140" w:after="140"/>
        <w:jc w:val="both"/>
        <w:rPr>
          <w:rFonts w:cs="Arial"/>
        </w:rPr>
      </w:pPr>
      <w:r w:rsidRPr="00D25E9D">
        <w:rPr>
          <w:rFonts w:cs="Arial"/>
          <w:noProof/>
          <w:lang w:eastAsia="en-AU"/>
        </w:rPr>
        <mc:AlternateContent>
          <mc:Choice Requires="wps">
            <w:drawing>
              <wp:anchor distT="0" distB="0" distL="114300" distR="114300" simplePos="0" relativeHeight="251802623" behindDoc="0" locked="0" layoutInCell="1" allowOverlap="1" wp14:anchorId="4C531BD6" wp14:editId="1CDC35C8">
                <wp:simplePos x="0" y="0"/>
                <wp:positionH relativeFrom="column">
                  <wp:posOffset>3265805</wp:posOffset>
                </wp:positionH>
                <wp:positionV relativeFrom="paragraph">
                  <wp:posOffset>121920</wp:posOffset>
                </wp:positionV>
                <wp:extent cx="2688590" cy="297180"/>
                <wp:effectExtent l="0" t="0" r="0" b="7620"/>
                <wp:wrapSquare wrapText="bothSides"/>
                <wp:docPr id="59" name="Text Box 59"/>
                <wp:cNvGraphicFramePr/>
                <a:graphic xmlns:a="http://schemas.openxmlformats.org/drawingml/2006/main">
                  <a:graphicData uri="http://schemas.microsoft.com/office/word/2010/wordprocessingShape">
                    <wps:wsp>
                      <wps:cNvSpPr txBox="1"/>
                      <wps:spPr>
                        <a:xfrm>
                          <a:off x="0" y="0"/>
                          <a:ext cx="2688590" cy="29718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9BEC91" w14:textId="77777777" w:rsidR="001E5A4B" w:rsidRPr="00752D28" w:rsidRDefault="001E5A4B" w:rsidP="00ED0631">
                            <w:pPr>
                              <w:ind w:left="709" w:hanging="709"/>
                              <w:rPr>
                                <w:b/>
                                <w:i/>
                                <w:sz w:val="18"/>
                                <w:szCs w:val="18"/>
                              </w:rPr>
                            </w:pPr>
                            <w:r w:rsidRPr="00752D28">
                              <w:rPr>
                                <w:b/>
                                <w:i/>
                                <w:sz w:val="18"/>
                                <w:szCs w:val="18"/>
                              </w:rPr>
                              <w:t>Fig 9</w:t>
                            </w:r>
                            <w:r w:rsidRPr="00752D28">
                              <w:rPr>
                                <w:b/>
                                <w:i/>
                                <w:sz w:val="18"/>
                                <w:szCs w:val="18"/>
                              </w:rPr>
                              <w:tab/>
                            </w:r>
                            <w:r w:rsidRPr="00752D28">
                              <w:rPr>
                                <w:i/>
                                <w:sz w:val="18"/>
                                <w:szCs w:val="18"/>
                              </w:rPr>
                              <w:t>Year 8 English performance by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531BD6" id="Text Box 59" o:spid="_x0000_s1032" type="#_x0000_t202" style="position:absolute;left:0;text-align:left;margin-left:257.15pt;margin-top:9.6pt;width:211.7pt;height:23.4pt;z-index:25180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dArwIAAKwFAAAOAAAAZHJzL2Uyb0RvYy54bWysVE1v2zAMvQ/YfxB0T20HSZoYdQo3RYYB&#10;RVusHXpWZKkxJouapCTOhv73UXKcZt0uHXaxKfKJIh8/Li7bRpGtsK4GXdDsLKVEaA5VrZ8L+vVx&#10;OZhS4jzTFVOgRUH3wtHL+ccPFzuTiyGsQVXCEnSiXb4zBV17b/IkcXwtGubOwAiNRgm2YR6P9jmp&#10;LNuh90YlwzSdJDuwlbHAhXOove6MdB79Sym4v5PSCU9UQTE2H782flfhm8wvWP5smVnX/BAG+4co&#10;GlZrfPTo6pp5Rja2/sNVU3MLDqQ/49AkIGXNRcwBs8nSN9k8rJkRMRckx5kjTe7/ueW323tL6qqg&#10;4xklmjVYo0fRenIFLUEV8rMzLkfYg0Ggb1GPde71DpUh7VbaJvwxIYJ2ZHp/ZDd446gcTqbT8QxN&#10;HG3D2Xk2jfQnr7eNdf6TgIYEoaAWqxdJZdsb5zEShPaQ8JiGZa1UrKDSvykQ2GlEbIHuNssxEhQD&#10;MsQUy/NzMT4flufj2WBSjrPBKEung7JMh4PrZZmW6Wi5mI2uXkK66LO/nwRKutSj5PdKBK9KfxES&#10;yYwMBEVsY7FQlmwZNiDjXGgfyYsRIjqgJGbxnosHfMwj5veeyx0j/cug/fFyU2uwke83YVff+pBl&#10;h0cyTvIOom9XbeyiSd8ZK6j22DAWupFzhi9rrOoNc/6eWZwxbATcG/4OP1LBrqBwkChZg/3xN33A&#10;Y+ujlZIdzmxB3fcNs4IS9VnjUMyy0SgMeTyMsLB4sKeW1alFb5oFYFUy3FCGRzHgvepFaaF5wvVS&#10;hlfRxDTHtwvqe3Hhu02C64mLsowgHGvD/I1+MDy4DkUKPfvYPjFrDo3tsZFuoZ9ulr/p7w4bbmoo&#10;Nx5kHZs/8NyxeuAfV0Jsy8P6Cjvn9BxRr0t2/gsAAP//AwBQSwMEFAAGAAgAAAAhAGQ5tRjeAAAA&#10;CQEAAA8AAABkcnMvZG93bnJldi54bWxMj8tOwzAQRfdI/IM1SOyo3VdK0jhVBWILanlI3bnxNIka&#10;j6PYbcLfM6xgObpH957JN6NrxRX70HjSMJ0oEEiltw1VGj7eXx4eQYRoyJrWE2r4xgCb4vYmN5n1&#10;A+3wuo+V4BIKmdFQx9hlUoayRmfCxHdInJ1870zks6+k7c3A5a6VM6US6UxDvFCbDp9qLM/7i9Pw&#10;+Xo6fC3UW/Xslt3gRyXJpVLr+7txuwYRcYx/MPzqszoU7HT0F7JBtBqW08WcUQ7SGQgG0vlqBeKo&#10;IUkUyCKX/z8ofgAAAP//AwBQSwECLQAUAAYACAAAACEAtoM4kv4AAADhAQAAEwAAAAAAAAAAAAAA&#10;AAAAAAAAW0NvbnRlbnRfVHlwZXNdLnhtbFBLAQItABQABgAIAAAAIQA4/SH/1gAAAJQBAAALAAAA&#10;AAAAAAAAAAAAAC8BAABfcmVscy8ucmVsc1BLAQItABQABgAIAAAAIQCiUSdArwIAAKwFAAAOAAAA&#10;AAAAAAAAAAAAAC4CAABkcnMvZTJvRG9jLnhtbFBLAQItABQABgAIAAAAIQBkObUY3gAAAAkBAAAP&#10;AAAAAAAAAAAAAAAAAAkFAABkcnMvZG93bnJldi54bWxQSwUGAAAAAAQABADzAAAAFAYAAAAA&#10;" filled="f" stroked="f">
                <v:textbox>
                  <w:txbxContent>
                    <w:p w14:paraId="379BEC91" w14:textId="77777777" w:rsidR="001E5A4B" w:rsidRPr="00752D28" w:rsidRDefault="001E5A4B" w:rsidP="00ED0631">
                      <w:pPr>
                        <w:ind w:left="709" w:hanging="709"/>
                        <w:rPr>
                          <w:b/>
                          <w:i/>
                          <w:sz w:val="18"/>
                          <w:szCs w:val="18"/>
                        </w:rPr>
                      </w:pPr>
                      <w:r w:rsidRPr="00752D28">
                        <w:rPr>
                          <w:b/>
                          <w:i/>
                          <w:sz w:val="18"/>
                          <w:szCs w:val="18"/>
                        </w:rPr>
                        <w:t>Fig 9</w:t>
                      </w:r>
                      <w:r w:rsidRPr="00752D28">
                        <w:rPr>
                          <w:b/>
                          <w:i/>
                          <w:sz w:val="18"/>
                          <w:szCs w:val="18"/>
                        </w:rPr>
                        <w:tab/>
                      </w:r>
                      <w:r w:rsidRPr="00752D28">
                        <w:rPr>
                          <w:i/>
                          <w:sz w:val="18"/>
                          <w:szCs w:val="18"/>
                        </w:rPr>
                        <w:t>Year 8 English performance by gender</w:t>
                      </w:r>
                    </w:p>
                  </w:txbxContent>
                </v:textbox>
                <w10:wrap type="square"/>
              </v:shape>
            </w:pict>
          </mc:Fallback>
        </mc:AlternateContent>
      </w:r>
      <w:r>
        <w:rPr>
          <w:noProof/>
          <w:lang w:eastAsia="en-AU"/>
        </w:rPr>
        <w:drawing>
          <wp:anchor distT="0" distB="0" distL="114300" distR="114300" simplePos="0" relativeHeight="251805695" behindDoc="0" locked="0" layoutInCell="1" allowOverlap="1" wp14:anchorId="391718A4" wp14:editId="429F1F3A">
            <wp:simplePos x="0" y="0"/>
            <wp:positionH relativeFrom="column">
              <wp:posOffset>3265170</wp:posOffset>
            </wp:positionH>
            <wp:positionV relativeFrom="paragraph">
              <wp:posOffset>363855</wp:posOffset>
            </wp:positionV>
            <wp:extent cx="2743200" cy="2736850"/>
            <wp:effectExtent l="0" t="0" r="0" b="6350"/>
            <wp:wrapThrough wrapText="bothSides">
              <wp:wrapPolygon edited="0">
                <wp:start x="0" y="0"/>
                <wp:lineTo x="0" y="21500"/>
                <wp:lineTo x="21450" y="21500"/>
                <wp:lineTo x="21450" y="0"/>
                <wp:lineTo x="0" y="0"/>
              </wp:wrapPolygon>
            </wp:wrapThrough>
            <wp:docPr id="69" name="Chart 69" descr="The graph shows that females are performing much better, however, over 30% of females are still 'critically below the expected level'. Further description and analysis is in the accompanying text." title="Fig 9 Year 8 English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00221671">
        <w:rPr>
          <w:rFonts w:cs="Arial"/>
        </w:rPr>
        <w:t xml:space="preserve">The Line Islands and South Tarawa stand out as the better performing districts. </w:t>
      </w:r>
    </w:p>
    <w:p w14:paraId="0DE56AA3" w14:textId="22A2DF16" w:rsidR="00221671" w:rsidRDefault="00221671" w:rsidP="00ED0631">
      <w:pPr>
        <w:spacing w:before="140" w:after="140"/>
        <w:jc w:val="both"/>
        <w:rPr>
          <w:rFonts w:cs="Arial"/>
        </w:rPr>
      </w:pPr>
      <w:r w:rsidRPr="00D25E9D">
        <w:rPr>
          <w:rFonts w:cs="Arial"/>
        </w:rPr>
        <w:t>Analysis of the proportions achieving the expected standard by gender shows that girls performed better than boys in the test.</w:t>
      </w:r>
      <w:r>
        <w:rPr>
          <w:rFonts w:cs="Arial"/>
        </w:rPr>
        <w:t xml:space="preserve"> This is a consistent pattern that has been seen in every STAKI test and JSC examination.</w:t>
      </w:r>
    </w:p>
    <w:p w14:paraId="3538A41D" w14:textId="4DF2E57A" w:rsidR="00221671" w:rsidRPr="00D25E9D" w:rsidRDefault="00221671" w:rsidP="00ED0631">
      <w:pPr>
        <w:spacing w:before="140" w:after="140"/>
        <w:jc w:val="both"/>
        <w:rPr>
          <w:rFonts w:cs="Arial"/>
          <w:noProof/>
          <w:lang w:val="en-US"/>
        </w:rPr>
      </w:pPr>
      <w:r w:rsidRPr="00D25E9D">
        <w:rPr>
          <w:rFonts w:cs="Arial"/>
        </w:rPr>
        <w:t xml:space="preserve">The spread of </w:t>
      </w:r>
      <w:r>
        <w:rPr>
          <w:rFonts w:cs="Arial"/>
        </w:rPr>
        <w:t>achievement</w:t>
      </w:r>
      <w:r w:rsidRPr="00D25E9D">
        <w:rPr>
          <w:rFonts w:cs="Arial"/>
        </w:rPr>
        <w:t xml:space="preserve"> f</w:t>
      </w:r>
      <w:r>
        <w:rPr>
          <w:rFonts w:cs="Arial"/>
        </w:rPr>
        <w:t>or each gender is shown in Fig 9</w:t>
      </w:r>
      <w:r w:rsidRPr="00D25E9D">
        <w:rPr>
          <w:rFonts w:cs="Arial"/>
        </w:rPr>
        <w:t>. The variation in performance between the boys and the girls is statistically significant.</w:t>
      </w:r>
    </w:p>
    <w:p w14:paraId="58FCCF84" w14:textId="0ED4730F" w:rsidR="00221671" w:rsidRPr="001D3638" w:rsidRDefault="00221671" w:rsidP="00ED0631">
      <w:pPr>
        <w:spacing w:before="140" w:after="140"/>
        <w:jc w:val="both"/>
        <w:rPr>
          <w:rFonts w:cs="Arial"/>
        </w:rPr>
      </w:pPr>
      <w:r w:rsidRPr="00D25E9D">
        <w:rPr>
          <w:rFonts w:cs="Arial"/>
          <w:noProof/>
          <w:lang w:val="en-US"/>
        </w:rPr>
        <w:t xml:space="preserve">Of particular </w:t>
      </w:r>
      <w:r>
        <w:rPr>
          <w:rFonts w:cs="Arial"/>
          <w:noProof/>
          <w:lang w:val="en-US"/>
        </w:rPr>
        <w:t>concern</w:t>
      </w:r>
      <w:r w:rsidRPr="00D25E9D">
        <w:rPr>
          <w:rFonts w:cs="Arial"/>
          <w:noProof/>
          <w:lang w:val="en-US"/>
        </w:rPr>
        <w:t xml:space="preserve"> is the large difference in the proportion of students</w:t>
      </w:r>
      <w:r>
        <w:rPr>
          <w:rFonts w:cs="Arial"/>
          <w:noProof/>
          <w:lang w:val="en-US"/>
        </w:rPr>
        <w:t xml:space="preserve"> critically underperforming - 57% for boys and 35% for girls.</w:t>
      </w:r>
    </w:p>
    <w:p w14:paraId="75B1D2C4" w14:textId="1EE16DC3" w:rsidR="00221671" w:rsidRPr="001D3638" w:rsidRDefault="00221671" w:rsidP="009F5F38">
      <w:pPr>
        <w:pStyle w:val="Heading3"/>
      </w:pPr>
      <w:r>
        <w:t>General Observations</w:t>
      </w:r>
    </w:p>
    <w:p w14:paraId="41EFA4E9" w14:textId="2421C90E" w:rsidR="00221671" w:rsidRPr="00D25E9D" w:rsidRDefault="00221671" w:rsidP="009F5F38">
      <w:pPr>
        <w:pStyle w:val="ListParagraph"/>
        <w:numPr>
          <w:ilvl w:val="0"/>
          <w:numId w:val="47"/>
        </w:numPr>
        <w:spacing w:before="140" w:beforeAutospacing="0" w:after="140" w:afterAutospacing="0"/>
        <w:contextualSpacing w:val="0"/>
        <w:jc w:val="both"/>
        <w:rPr>
          <w:rFonts w:cs="Arial"/>
          <w:szCs w:val="20"/>
        </w:rPr>
      </w:pPr>
      <w:r>
        <w:rPr>
          <w:rFonts w:cs="Arial"/>
          <w:szCs w:val="20"/>
        </w:rPr>
        <w:t>Only 56</w:t>
      </w:r>
      <w:r w:rsidRPr="00D25E9D">
        <w:rPr>
          <w:rFonts w:cs="Arial"/>
          <w:szCs w:val="20"/>
        </w:rPr>
        <w:t>% of the students are working at a level that can be considered to be 'minimally acceptable' for their year level.</w:t>
      </w:r>
    </w:p>
    <w:p w14:paraId="2196544A" w14:textId="77777777" w:rsidR="00221671" w:rsidRPr="00F574AB" w:rsidRDefault="00221671" w:rsidP="009F5F38">
      <w:pPr>
        <w:pStyle w:val="ListParagraph"/>
        <w:numPr>
          <w:ilvl w:val="0"/>
          <w:numId w:val="47"/>
        </w:numPr>
        <w:spacing w:before="140" w:beforeAutospacing="0" w:after="140" w:afterAutospacing="0"/>
        <w:contextualSpacing w:val="0"/>
        <w:jc w:val="both"/>
        <w:rPr>
          <w:rFonts w:cs="Arial"/>
          <w:szCs w:val="20"/>
        </w:rPr>
      </w:pPr>
      <w:r w:rsidRPr="00D25E9D">
        <w:rPr>
          <w:rFonts w:cs="Arial"/>
          <w:szCs w:val="20"/>
        </w:rPr>
        <w:t xml:space="preserve">Skills in </w:t>
      </w:r>
      <w:r>
        <w:rPr>
          <w:rFonts w:cs="Arial"/>
          <w:szCs w:val="20"/>
        </w:rPr>
        <w:t>understanding and interpreting written instructions</w:t>
      </w:r>
      <w:r w:rsidRPr="00D25E9D">
        <w:rPr>
          <w:rFonts w:cs="Arial"/>
          <w:szCs w:val="20"/>
        </w:rPr>
        <w:t xml:space="preserve"> are the most in need of development.</w:t>
      </w:r>
    </w:p>
    <w:p w14:paraId="1F2C65F7" w14:textId="77777777" w:rsidR="00221671" w:rsidRDefault="00221671" w:rsidP="009F5F38">
      <w:pPr>
        <w:pStyle w:val="ListParagraph"/>
        <w:numPr>
          <w:ilvl w:val="0"/>
          <w:numId w:val="47"/>
        </w:numPr>
        <w:spacing w:before="140" w:beforeAutospacing="0" w:after="140" w:afterAutospacing="0"/>
        <w:contextualSpacing w:val="0"/>
        <w:jc w:val="both"/>
        <w:rPr>
          <w:rFonts w:cs="Arial"/>
          <w:szCs w:val="20"/>
        </w:rPr>
      </w:pPr>
      <w:r w:rsidRPr="00D25E9D">
        <w:rPr>
          <w:rFonts w:cs="Arial"/>
          <w:szCs w:val="20"/>
        </w:rPr>
        <w:t xml:space="preserve">Students in the </w:t>
      </w:r>
      <w:r>
        <w:rPr>
          <w:rFonts w:cs="Arial"/>
          <w:szCs w:val="20"/>
        </w:rPr>
        <w:t>Line Islands and South Tarawa are</w:t>
      </w:r>
      <w:r w:rsidRPr="00D25E9D">
        <w:rPr>
          <w:rFonts w:cs="Arial"/>
          <w:szCs w:val="20"/>
        </w:rPr>
        <w:t xml:space="preserve"> performing </w:t>
      </w:r>
      <w:r>
        <w:rPr>
          <w:rFonts w:cs="Arial"/>
          <w:szCs w:val="20"/>
        </w:rPr>
        <w:t xml:space="preserve">better </w:t>
      </w:r>
      <w:r w:rsidRPr="00D25E9D">
        <w:rPr>
          <w:rFonts w:cs="Arial"/>
          <w:szCs w:val="20"/>
        </w:rPr>
        <w:t>in comparison to their peers in other districts.</w:t>
      </w:r>
    </w:p>
    <w:p w14:paraId="0550685C" w14:textId="77777777" w:rsidR="00221671" w:rsidRDefault="00221671" w:rsidP="009F5F38">
      <w:pPr>
        <w:pStyle w:val="ListParagraph"/>
        <w:numPr>
          <w:ilvl w:val="0"/>
          <w:numId w:val="47"/>
        </w:numPr>
        <w:spacing w:before="140" w:beforeAutospacing="0" w:after="140" w:afterAutospacing="0"/>
        <w:contextualSpacing w:val="0"/>
        <w:jc w:val="both"/>
      </w:pPr>
      <w:r w:rsidRPr="00307C57">
        <w:rPr>
          <w:rFonts w:cs="Arial"/>
          <w:szCs w:val="20"/>
        </w:rPr>
        <w:t>Girls perform better than boys</w:t>
      </w:r>
      <w:r>
        <w:rPr>
          <w:rFonts w:cs="Arial"/>
          <w:szCs w:val="20"/>
        </w:rPr>
        <w:t>.</w:t>
      </w:r>
    </w:p>
    <w:p w14:paraId="03FD5346" w14:textId="387C292B" w:rsidR="00221671" w:rsidRPr="001D3638" w:rsidRDefault="00221671" w:rsidP="009F5F38">
      <w:pPr>
        <w:pStyle w:val="Heading2"/>
      </w:pPr>
      <w:r>
        <w:br w:type="page"/>
      </w:r>
      <w:r>
        <w:lastRenderedPageBreak/>
        <w:t>2.4</w:t>
      </w:r>
      <w:r w:rsidRPr="00B77E55">
        <w:tab/>
        <w:t xml:space="preserve">Year 4 </w:t>
      </w:r>
      <w:r>
        <w:t>te-Kiribati literacy</w:t>
      </w:r>
    </w:p>
    <w:p w14:paraId="28704D1E" w14:textId="1B60F1EF" w:rsidR="00221671" w:rsidRPr="001D3638" w:rsidRDefault="00DE2506" w:rsidP="00ED0631">
      <w:pPr>
        <w:spacing w:before="140" w:after="140"/>
        <w:jc w:val="both"/>
      </w:pPr>
      <w:r>
        <w:rPr>
          <w:noProof/>
          <w:lang w:eastAsia="en-AU"/>
        </w:rPr>
        <mc:AlternateContent>
          <mc:Choice Requires="wps">
            <w:drawing>
              <wp:anchor distT="0" distB="0" distL="114300" distR="114300" simplePos="0" relativeHeight="251834367" behindDoc="0" locked="0" layoutInCell="1" allowOverlap="1" wp14:anchorId="5D10FCCF" wp14:editId="71C597B7">
                <wp:simplePos x="0" y="0"/>
                <wp:positionH relativeFrom="column">
                  <wp:posOffset>2729865</wp:posOffset>
                </wp:positionH>
                <wp:positionV relativeFrom="paragraph">
                  <wp:posOffset>604520</wp:posOffset>
                </wp:positionV>
                <wp:extent cx="32766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766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EA771" w14:textId="77777777" w:rsidR="001E5A4B" w:rsidRPr="00752D28" w:rsidRDefault="001E5A4B" w:rsidP="00DE2506">
                            <w:pPr>
                              <w:spacing w:before="140" w:after="140"/>
                              <w:ind w:left="709" w:hanging="709"/>
                              <w:rPr>
                                <w:i/>
                                <w:sz w:val="18"/>
                                <w:szCs w:val="18"/>
                              </w:rPr>
                            </w:pPr>
                            <w:r w:rsidRPr="00752D28">
                              <w:rPr>
                                <w:b/>
                                <w:i/>
                                <w:sz w:val="18"/>
                                <w:szCs w:val="18"/>
                              </w:rPr>
                              <w:t>Fig 10</w:t>
                            </w:r>
                            <w:r w:rsidRPr="00752D28">
                              <w:rPr>
                                <w:i/>
                                <w:sz w:val="18"/>
                                <w:szCs w:val="18"/>
                              </w:rPr>
                              <w:tab/>
                              <w:t>Year 4 te-Kiribati literacy overall performance 2011-2015</w:t>
                            </w:r>
                          </w:p>
                          <w:p w14:paraId="6571F19A" w14:textId="77777777" w:rsidR="001E5A4B" w:rsidRDefault="001E5A4B" w:rsidP="00DE25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10FCCF" id="Text Box 13" o:spid="_x0000_s1033" type="#_x0000_t202" style="position:absolute;left:0;text-align:left;margin-left:214.95pt;margin-top:47.6pt;width:258pt;height:36pt;z-index:25183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aVfwIAAGsFAAAOAAAAZHJzL2Uyb0RvYy54bWysVE1v2zAMvQ/YfxB0X530I92COkXWosOA&#10;oi3WDj0rstQYk0VNUhJnv35Psp0E3S4ddpFl8pHixyMvLtvGsLXyoSZb8vHRiDNlJVW1fSn596eb&#10;Dx85C1HYShiyquRbFfjl7P27i42bqmNakqmUZ3Biw3TjSr6M0U2LIsilakQ4IqcslJp8IyJ+/UtR&#10;ebGB98YUx6PRpNiQr5wnqUKA9LpT8ln2r7WS8V7roCIzJUdsMZ8+n4t0FrMLMX3xwi1r2Ych/iGK&#10;RtQWj+5cXYso2MrXf7hqaukpkI5HkpqCtK6lyjkgm/HoVTaPS+FUzgXFCW5XpvD/3Mq79YNndYXe&#10;nXBmRYMePak2ss/UMohQn40LU8AeHYCxhRzYQR4gTGm32jfpi4QY9Kj0dlfd5E1CeHJ8PpmMoJLQ&#10;nZ6do33JTbG3dj7EL4oali4l9+heLqpY34bYQQdIeszSTW1M7qCxbFPyycnZKBvsNHBubMKqzIXe&#10;Tcqoizzf4taohDH2m9KoRU4gCTIL1ZXxbC3AHyGlsjHnnv0CnVAaQbzFsMfvo3qLcZfH8DLZuDNu&#10;aks+Z/8q7OrHELLu8Kj5Qd7pGttFm0lwPjR2QdUW/fbUTUxw8qZGU25FiA/CY0TQR4x9vMehDaH4&#10;1N84W5L/9Td5woO50HK2wciVPPxcCa84M18tOP1pfHqaZjT/ZIJw5g81i0ONXTVXhK6MsWCczFcY&#10;+2iGq/bUPGM7zNOrUAkr8XbJ43C9it0iwHaRaj7PIEylE/HWPjqZXKcmJco9tc/Cu56XEYy+o2E4&#10;xfQVPTtssrQ0X0XSdeZuqnNX1b7+mOjM/n77pJVx+J9R+x05+w0AAP//AwBQSwMEFAAGAAgAAAAh&#10;ANZFCbzhAAAACgEAAA8AAABkcnMvZG93bnJldi54bWxMj8FOwzAMhu9IvENkJG4sXbSOtTSdpkoT&#10;EoLDxi7c0iZrqyVOabKt8PSYExxtf/r9/cV6cpZdzBh6jxLmswSYwcbrHlsJh/ftwwpYiAq1sh6N&#10;hC8TYF3e3hQq1/6KO3PZx5ZRCIZcSehiHHLOQ9MZp8LMDwbpdvSjU5HGseV6VFcKd5aLJFlyp3qk&#10;D50aTNWZ5rQ/Owkv1fZN7WrhVt+2en49bobPw0cq5f3dtHkCFs0U/2D41Sd1KMmp9mfUgVkJC5Fl&#10;hErIUgGMgGyR0qImcvkogJcF/1+h/AEAAP//AwBQSwECLQAUAAYACAAAACEAtoM4kv4AAADhAQAA&#10;EwAAAAAAAAAAAAAAAAAAAAAAW0NvbnRlbnRfVHlwZXNdLnhtbFBLAQItABQABgAIAAAAIQA4/SH/&#10;1gAAAJQBAAALAAAAAAAAAAAAAAAAAC8BAABfcmVscy8ucmVsc1BLAQItABQABgAIAAAAIQDSH8aV&#10;fwIAAGsFAAAOAAAAAAAAAAAAAAAAAC4CAABkcnMvZTJvRG9jLnhtbFBLAQItABQABgAIAAAAIQDW&#10;RQm84QAAAAoBAAAPAAAAAAAAAAAAAAAAANkEAABkcnMvZG93bnJldi54bWxQSwUGAAAAAAQABADz&#10;AAAA5wUAAAAA&#10;" filled="f" stroked="f" strokeweight=".5pt">
                <v:textbox>
                  <w:txbxContent>
                    <w:p w14:paraId="376EA771" w14:textId="77777777" w:rsidR="001E5A4B" w:rsidRPr="00752D28" w:rsidRDefault="001E5A4B" w:rsidP="00DE2506">
                      <w:pPr>
                        <w:spacing w:before="140" w:after="140"/>
                        <w:ind w:left="709" w:hanging="709"/>
                        <w:rPr>
                          <w:i/>
                          <w:sz w:val="18"/>
                          <w:szCs w:val="18"/>
                        </w:rPr>
                      </w:pPr>
                      <w:r w:rsidRPr="00752D28">
                        <w:rPr>
                          <w:b/>
                          <w:i/>
                          <w:sz w:val="18"/>
                          <w:szCs w:val="18"/>
                        </w:rPr>
                        <w:t>Fig 10</w:t>
                      </w:r>
                      <w:r w:rsidRPr="00752D28">
                        <w:rPr>
                          <w:i/>
                          <w:sz w:val="18"/>
                          <w:szCs w:val="18"/>
                        </w:rPr>
                        <w:tab/>
                        <w:t>Year 4 te-Kiribati literacy overall performance 2011-2015</w:t>
                      </w:r>
                    </w:p>
                    <w:p w14:paraId="6571F19A" w14:textId="77777777" w:rsidR="001E5A4B" w:rsidRDefault="001E5A4B" w:rsidP="00DE2506"/>
                  </w:txbxContent>
                </v:textbox>
                <w10:wrap type="square"/>
              </v:shape>
            </w:pict>
          </mc:Fallback>
        </mc:AlternateContent>
      </w:r>
      <w:r w:rsidR="00221671" w:rsidRPr="00B943F2">
        <w:t xml:space="preserve">Students in Year 4 in 2015 </w:t>
      </w:r>
      <w:r w:rsidR="00221671">
        <w:t>were</w:t>
      </w:r>
      <w:r w:rsidR="00221671" w:rsidRPr="00B943F2">
        <w:t xml:space="preserve"> the first to have been exposed to the new curriculum. This curriculum has a focus on learning literacy skills in te-Kiribati and then transitioning to English in upper primary and junior secondary levels.</w:t>
      </w:r>
      <w:r w:rsidR="00221671">
        <w:t xml:space="preserve"> Initially the focus is on oral English with reading and writing in English being introduced in Years 3 and 4.</w:t>
      </w:r>
    </w:p>
    <w:p w14:paraId="1D6C49C7" w14:textId="221504AC" w:rsidR="00221671" w:rsidRPr="001D3638" w:rsidRDefault="00DE2506" w:rsidP="00ED0631">
      <w:pPr>
        <w:spacing w:before="140" w:after="140"/>
        <w:jc w:val="both"/>
        <w:rPr>
          <w:b/>
        </w:rPr>
      </w:pPr>
      <w:r>
        <w:rPr>
          <w:noProof/>
          <w:lang w:eastAsia="en-AU"/>
        </w:rPr>
        <w:drawing>
          <wp:anchor distT="0" distB="0" distL="114300" distR="114300" simplePos="0" relativeHeight="251807743" behindDoc="0" locked="0" layoutInCell="1" allowOverlap="1" wp14:anchorId="15881525" wp14:editId="7F246658">
            <wp:simplePos x="0" y="0"/>
            <wp:positionH relativeFrom="margin">
              <wp:posOffset>2727960</wp:posOffset>
            </wp:positionH>
            <wp:positionV relativeFrom="paragraph">
              <wp:posOffset>390525</wp:posOffset>
            </wp:positionV>
            <wp:extent cx="3131820" cy="2247900"/>
            <wp:effectExtent l="0" t="0" r="11430" b="0"/>
            <wp:wrapThrough wrapText="bothSides">
              <wp:wrapPolygon edited="0">
                <wp:start x="0" y="0"/>
                <wp:lineTo x="0" y="21417"/>
                <wp:lineTo x="21547" y="21417"/>
                <wp:lineTo x="21547" y="0"/>
                <wp:lineTo x="0" y="0"/>
              </wp:wrapPolygon>
            </wp:wrapThrough>
            <wp:docPr id="70" name="Chart 70" descr="The graph shows the result for 2011, 2013 and 2015. Description and analysis is in the accompanying text." title="Fig 10 Year 4 te-Kiribati literacy overall performance 201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r w:rsidR="00221671" w:rsidRPr="00EA3CD2">
        <w:t xml:space="preserve">Only 42% of students </w:t>
      </w:r>
      <w:r w:rsidR="00221671">
        <w:t>demonstrated a level of performance that shows they are working at or above the expected level. There has been a steady decline in measured performance since 2011.</w:t>
      </w:r>
    </w:p>
    <w:p w14:paraId="5E571602" w14:textId="7540DA3C" w:rsidR="00221671" w:rsidRPr="001D3638" w:rsidRDefault="00221671" w:rsidP="00ED0631">
      <w:pPr>
        <w:spacing w:before="140" w:after="140"/>
        <w:jc w:val="both"/>
      </w:pPr>
      <w:r>
        <w:t>The test in 2015 is not directly comparable to the 2011 and 2013 tests. There was no listening component in 2015, as the test was used, in translation, across the Pacific region. In 2013, students were most proficient in listening.</w:t>
      </w:r>
    </w:p>
    <w:p w14:paraId="3D5740CF" w14:textId="00BE0506" w:rsidR="00BF0394" w:rsidRDefault="00221671" w:rsidP="00BF0394">
      <w:pPr>
        <w:spacing w:before="140" w:after="0"/>
        <w:jc w:val="both"/>
        <w:rPr>
          <w:noProof/>
          <w:lang w:val="en-US"/>
        </w:rPr>
      </w:pPr>
      <w:r w:rsidRPr="004F4F96">
        <w:t>The test focussed on three components of literacy:</w:t>
      </w:r>
      <w:r w:rsidRPr="004F4F96">
        <w:rPr>
          <w:noProof/>
          <w:lang w:val="en-US"/>
        </w:rPr>
        <w:t xml:space="preserve"> </w:t>
      </w:r>
    </w:p>
    <w:p w14:paraId="7261E8A3" w14:textId="682920C7" w:rsidR="00BF0394" w:rsidRDefault="00221671" w:rsidP="00BF0394">
      <w:pPr>
        <w:pStyle w:val="ListParagraph"/>
        <w:numPr>
          <w:ilvl w:val="0"/>
          <w:numId w:val="49"/>
        </w:numPr>
        <w:spacing w:before="0" w:beforeAutospacing="0" w:after="140"/>
        <w:jc w:val="both"/>
      </w:pPr>
      <w:r w:rsidRPr="00BF0394">
        <w:t>reading,</w:t>
      </w:r>
    </w:p>
    <w:p w14:paraId="1BAB2733" w14:textId="698033B7" w:rsidR="00BF0394" w:rsidRPr="00BF0394" w:rsidRDefault="00221671" w:rsidP="00333EC1">
      <w:pPr>
        <w:pStyle w:val="ListParagraph"/>
        <w:numPr>
          <w:ilvl w:val="0"/>
          <w:numId w:val="49"/>
        </w:numPr>
        <w:spacing w:before="140" w:after="140"/>
        <w:jc w:val="both"/>
        <w:rPr>
          <w:noProof/>
          <w:lang w:val="en-US"/>
        </w:rPr>
      </w:pPr>
      <w:r w:rsidRPr="00BF0394">
        <w:t xml:space="preserve">language elements, and </w:t>
      </w:r>
    </w:p>
    <w:p w14:paraId="396057DD" w14:textId="1EA7FD3D" w:rsidR="00221671" w:rsidRPr="00BF0394" w:rsidRDefault="00BF0394" w:rsidP="00333EC1">
      <w:pPr>
        <w:pStyle w:val="ListParagraph"/>
        <w:numPr>
          <w:ilvl w:val="0"/>
          <w:numId w:val="49"/>
        </w:numPr>
        <w:spacing w:before="140" w:after="140"/>
        <w:jc w:val="both"/>
        <w:rPr>
          <w:noProof/>
          <w:lang w:val="en-US"/>
        </w:rPr>
      </w:pPr>
      <w:r w:rsidRPr="00BF0394">
        <w:rPr>
          <w:noProof/>
          <w:lang w:eastAsia="en-AU"/>
        </w:rPr>
        <mc:AlternateContent>
          <mc:Choice Requires="wps">
            <w:drawing>
              <wp:anchor distT="0" distB="0" distL="114300" distR="114300" simplePos="0" relativeHeight="251836415" behindDoc="0" locked="0" layoutInCell="1" allowOverlap="1" wp14:anchorId="416BFF7D" wp14:editId="6C4B9FD2">
                <wp:simplePos x="0" y="0"/>
                <wp:positionH relativeFrom="column">
                  <wp:posOffset>-211455</wp:posOffset>
                </wp:positionH>
                <wp:positionV relativeFrom="paragraph">
                  <wp:posOffset>349885</wp:posOffset>
                </wp:positionV>
                <wp:extent cx="3909060" cy="2362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909060" cy="236220"/>
                        </a:xfrm>
                        <a:prstGeom prst="rect">
                          <a:avLst/>
                        </a:prstGeom>
                        <a:noFill/>
                        <a:ln w="6350">
                          <a:noFill/>
                        </a:ln>
                        <a:effectLst/>
                      </wps:spPr>
                      <wps:txbx>
                        <w:txbxContent>
                          <w:p w14:paraId="3F8B9F9C" w14:textId="6E13FEEB" w:rsidR="001E5A4B" w:rsidRPr="00752D28" w:rsidRDefault="001E5A4B" w:rsidP="00BF0394">
                            <w:pPr>
                              <w:jc w:val="right"/>
                              <w:rPr>
                                <w:i/>
                              </w:rPr>
                            </w:pPr>
                            <w:r w:rsidRPr="00752D28">
                              <w:rPr>
                                <w:b/>
                                <w:i/>
                                <w:sz w:val="18"/>
                                <w:szCs w:val="18"/>
                              </w:rPr>
                              <w:t>Fig 11</w:t>
                            </w:r>
                            <w:r w:rsidRPr="00752D28">
                              <w:rPr>
                                <w:i/>
                                <w:sz w:val="18"/>
                                <w:szCs w:val="18"/>
                              </w:rPr>
                              <w:tab/>
                              <w:t>Year 4 te-Kiribati literacy component performance 2013 - 2015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BFF7D" id="Text Box 14" o:spid="_x0000_s1034" type="#_x0000_t202" style="position:absolute;left:0;text-align:left;margin-left:-16.65pt;margin-top:27.55pt;width:307.8pt;height:18.6pt;z-index:251836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OAIAAGgEAAAOAAAAZHJzL2Uyb0RvYy54bWysVE1vGjEQvVfqf7B8L7t8hAbEEtFEVJWi&#10;JBJEORuvF1ba9bi2YZf++j57gaC0p6oXM555O555b4bZXVtX7KCsK0lnvN9LOVNaUl7qbcZf18sv&#10;t5w5L3QuKtIq40fl+N3886dZY6ZqQDuqcmUZkmg3bUzGd96baZI4uVO1cD0ySiNYkK2Fx9Vuk9yK&#10;BtnrKhmk6ThpyObGklTOwfvQBfk85i8KJf1zUTjlWZVx1ObjaeO5CWcyn4np1gqzK+WpDPEPVdSi&#10;1Hj0kupBeMH2tvwjVV1KS44K35NUJ1QUpVSxB3TTTz90s9oJo2IvIMeZC03u/6WVT4cXy8oc2o04&#10;06KGRmvVevaNWgYX+GmMmwK2MgD6Fn5gz34HZ2i7LWwdftEQQxxMHy/shmwSzuEknaRjhCRig+F4&#10;MIj0J+9fG+v8d0U1C0bGLdSLpIrDo/OoBNAzJDymaVlWVVSw0qzJ+Hh4k8YPLhF8UemAVXEWTmlC&#10;R13lwfLtpo0M3J672lB+RLOWunFxRi5LVPQonH8RFvOBJjDz/hlHURFeppPF2Y7sr7/5Ax6yIcpZ&#10;g3nLuPu5F1ZxVv3QEHTSH43CgMbL6OYryGH2OrK5juh9fU8Y6T62y8hoBryvzmZhqX7DaizCqwgJ&#10;LfF2xv3ZvPfdFmC1pFosIggjaYR/1CsjQ+rAW+B73b4Ja06ieMj5ROfJFNMP2nTYTp3F3lNRRuEC&#10;zx2rUDFcMM5Rz9PqhX25vkfU+x/E/DcAAAD//wMAUEsDBBQABgAIAAAAIQCgO1E34AAAAAkBAAAP&#10;AAAAZHJzL2Rvd25yZXYueG1sTI/BTsMwDIbvSLxDZCRuW7pWRaXUnaZKExKCw8Yu3NLGayuapDTZ&#10;Vnh6zImdLNuffn8u1rMZxJkm3zuLsFpGIMg2Tve2RTi8bxcZCB+U1WpwlhC+ycO6vL0pVK7dxe7o&#10;vA+t4BDrc4XQhTDmUvqmI6P80o1keXd0k1GB26mVelIXDjeDjKPoQRrVW77QqZGqjprP/ckgvFTb&#10;N7WrY5P9DNXz63Ezfh0+UsT7u3nzBCLQHP5h+NNndSjZqXYnq70YEBZJkjCKkKYrEAykWcyDGuGR&#10;qywLef1B+QsAAP//AwBQSwECLQAUAAYACAAAACEAtoM4kv4AAADhAQAAEwAAAAAAAAAAAAAAAAAA&#10;AAAAW0NvbnRlbnRfVHlwZXNdLnhtbFBLAQItABQABgAIAAAAIQA4/SH/1gAAAJQBAAALAAAAAAAA&#10;AAAAAAAAAC8BAABfcmVscy8ucmVsc1BLAQItABQABgAIAAAAIQD/X/nAOAIAAGgEAAAOAAAAAAAA&#10;AAAAAAAAAC4CAABkcnMvZTJvRG9jLnhtbFBLAQItABQABgAIAAAAIQCgO1E34AAAAAkBAAAPAAAA&#10;AAAAAAAAAAAAAJIEAABkcnMvZG93bnJldi54bWxQSwUGAAAAAAQABADzAAAAnwUAAAAA&#10;" filled="f" stroked="f" strokeweight=".5pt">
                <v:textbox>
                  <w:txbxContent>
                    <w:p w14:paraId="3F8B9F9C" w14:textId="6E13FEEB" w:rsidR="001E5A4B" w:rsidRPr="00752D28" w:rsidRDefault="001E5A4B" w:rsidP="00BF0394">
                      <w:pPr>
                        <w:jc w:val="right"/>
                        <w:rPr>
                          <w:i/>
                        </w:rPr>
                      </w:pPr>
                      <w:r w:rsidRPr="00752D28">
                        <w:rPr>
                          <w:b/>
                          <w:i/>
                          <w:sz w:val="18"/>
                          <w:szCs w:val="18"/>
                        </w:rPr>
                        <w:t>Fig 11</w:t>
                      </w:r>
                      <w:r w:rsidRPr="00752D28">
                        <w:rPr>
                          <w:i/>
                          <w:sz w:val="18"/>
                          <w:szCs w:val="18"/>
                        </w:rPr>
                        <w:tab/>
                        <w:t>Year 4 te-Kiribati literacy component performance 2013 - 2015</w:t>
                      </w:r>
                    </w:p>
                  </w:txbxContent>
                </v:textbox>
                <w10:wrap type="square"/>
              </v:shape>
            </w:pict>
          </mc:Fallback>
        </mc:AlternateContent>
      </w:r>
      <w:r w:rsidR="00221671" w:rsidRPr="00BF0394">
        <w:t>writing.</w:t>
      </w:r>
      <w:r w:rsidR="00221671" w:rsidRPr="00BF0394">
        <w:rPr>
          <w:noProof/>
          <w:lang w:val="en-US"/>
        </w:rPr>
        <w:t xml:space="preserve"> </w:t>
      </w:r>
    </w:p>
    <w:p w14:paraId="40178DE1" w14:textId="2DAAD983" w:rsidR="00221671" w:rsidRPr="001D3638" w:rsidRDefault="00DE2506" w:rsidP="00ED0631">
      <w:pPr>
        <w:spacing w:before="140" w:after="140"/>
        <w:ind w:left="709" w:hanging="709"/>
        <w:rPr>
          <w:i/>
          <w:sz w:val="18"/>
          <w:szCs w:val="18"/>
        </w:rPr>
      </w:pPr>
      <w:r>
        <w:rPr>
          <w:noProof/>
          <w:lang w:eastAsia="en-AU"/>
        </w:rPr>
        <w:drawing>
          <wp:anchor distT="0" distB="0" distL="114300" distR="114300" simplePos="0" relativeHeight="251808767" behindDoc="0" locked="0" layoutInCell="1" allowOverlap="1" wp14:anchorId="31833EDA" wp14:editId="0366FF16">
            <wp:simplePos x="0" y="0"/>
            <wp:positionH relativeFrom="margin">
              <wp:posOffset>-20955</wp:posOffset>
            </wp:positionH>
            <wp:positionV relativeFrom="paragraph">
              <wp:posOffset>261620</wp:posOffset>
            </wp:positionV>
            <wp:extent cx="5805170" cy="1988820"/>
            <wp:effectExtent l="0" t="0" r="5080" b="11430"/>
            <wp:wrapThrough wrapText="bothSides">
              <wp:wrapPolygon edited="0">
                <wp:start x="0" y="0"/>
                <wp:lineTo x="0" y="21517"/>
                <wp:lineTo x="21548" y="21517"/>
                <wp:lineTo x="21548" y="0"/>
                <wp:lineTo x="0" y="0"/>
              </wp:wrapPolygon>
            </wp:wrapThrough>
            <wp:docPr id="71" name="Chart 71" descr="The graph shows the results for 2013 and 2015 for the three literacy components. Description and analysis is in the accompanying text." title="Fig 11 Year 4 te-Kiribati literacy component performance 2013 -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14:paraId="62AACD59" w14:textId="49EE6401" w:rsidR="00221671" w:rsidRPr="00B50808" w:rsidRDefault="00221671" w:rsidP="00ED0631">
      <w:pPr>
        <w:spacing w:before="140" w:after="140"/>
        <w:jc w:val="both"/>
      </w:pPr>
      <w:r w:rsidRPr="00B50808">
        <w:t xml:space="preserve">The proportion of students who are writing at the expected level has improved since 2013 and is now at 68% of the students. Only 5% of students </w:t>
      </w:r>
      <w:r w:rsidR="00BF0394" w:rsidRPr="00B50808">
        <w:t>can</w:t>
      </w:r>
      <w:r w:rsidR="00BF0394">
        <w:t>n</w:t>
      </w:r>
      <w:r w:rsidR="00BF0394" w:rsidRPr="00B50808">
        <w:t>ot</w:t>
      </w:r>
      <w:r w:rsidRPr="00B50808">
        <w:t xml:space="preserve"> demonstrate a minimal </w:t>
      </w:r>
      <w:r>
        <w:t>level of competence in writing.</w:t>
      </w:r>
    </w:p>
    <w:p w14:paraId="4D94BCA7" w14:textId="77777777" w:rsidR="00221671" w:rsidRPr="00B50808" w:rsidRDefault="00221671" w:rsidP="00ED0631">
      <w:pPr>
        <w:spacing w:before="140" w:after="140"/>
        <w:jc w:val="both"/>
      </w:pPr>
      <w:r w:rsidRPr="00B50808">
        <w:t>Whilst the number of students who demonstrate understanding of written texts at the level expected has declined to 44% of students, at 80% of students there is no change in the proportion who can, at least, demonstrate a minimal level of competence in reading.</w:t>
      </w:r>
    </w:p>
    <w:p w14:paraId="0B78BEBC" w14:textId="77777777" w:rsidR="00BF0394" w:rsidRDefault="00BF0394">
      <w:pPr>
        <w:spacing w:line="276" w:lineRule="auto"/>
        <w:rPr>
          <w:rFonts w:asciiTheme="majorHAnsi" w:hAnsiTheme="majorHAnsi" w:cstheme="majorHAnsi"/>
          <w:b/>
        </w:rPr>
      </w:pPr>
      <w:r>
        <w:rPr>
          <w:rFonts w:asciiTheme="majorHAnsi" w:hAnsiTheme="majorHAnsi" w:cstheme="majorHAnsi"/>
          <w:b/>
        </w:rPr>
        <w:br w:type="page"/>
      </w:r>
    </w:p>
    <w:p w14:paraId="05FC60A8" w14:textId="54563D41" w:rsidR="00BF0394" w:rsidRPr="00BF0394" w:rsidRDefault="00BF0394" w:rsidP="00BF0394">
      <w:pPr>
        <w:spacing w:before="140" w:after="140"/>
        <w:ind w:left="709" w:hanging="709"/>
        <w:rPr>
          <w:rFonts w:asciiTheme="majorHAnsi" w:hAnsiTheme="majorHAnsi" w:cstheme="majorHAnsi"/>
          <w:b/>
        </w:rPr>
      </w:pPr>
      <w:r w:rsidRPr="00BF0394">
        <w:rPr>
          <w:rFonts w:asciiTheme="majorHAnsi" w:hAnsiTheme="majorHAnsi" w:cstheme="majorHAnsi"/>
          <w:b/>
        </w:rPr>
        <w:lastRenderedPageBreak/>
        <w:t>Table 5</w:t>
      </w:r>
      <w:r>
        <w:rPr>
          <w:rFonts w:asciiTheme="majorHAnsi" w:hAnsiTheme="majorHAnsi" w:cstheme="majorHAnsi"/>
          <w:b/>
        </w:rPr>
        <w:t xml:space="preserve"> </w:t>
      </w:r>
      <w:r w:rsidRPr="00BF0394">
        <w:rPr>
          <w:rFonts w:asciiTheme="majorHAnsi" w:hAnsiTheme="majorHAnsi" w:cstheme="majorHAnsi"/>
          <w:b/>
        </w:rPr>
        <w:t>Year 4 te-Kiribati literacy performance by district</w:t>
      </w:r>
    </w:p>
    <w:tbl>
      <w:tblPr>
        <w:tblStyle w:val="MediumShading2-Accent1"/>
        <w:tblW w:w="500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Table 5 Year 4 te-Kiribati literacy performance by district"/>
      </w:tblPr>
      <w:tblGrid>
        <w:gridCol w:w="2583"/>
        <w:gridCol w:w="2242"/>
        <w:gridCol w:w="2067"/>
        <w:gridCol w:w="2244"/>
      </w:tblGrid>
      <w:tr w:rsidR="00221671" w:rsidRPr="006A32B0" w14:paraId="75424205" w14:textId="77777777" w:rsidTr="000018A5">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414" w:type="pct"/>
            <w:vMerge w:val="restart"/>
            <w:tcBorders>
              <w:top w:val="none" w:sz="0" w:space="0" w:color="auto"/>
              <w:left w:val="none" w:sz="0" w:space="0" w:color="auto"/>
              <w:bottom w:val="none" w:sz="0" w:space="0" w:color="auto"/>
              <w:right w:val="none" w:sz="0" w:space="0" w:color="auto"/>
            </w:tcBorders>
            <w:shd w:val="clear" w:color="auto" w:fill="A25EA6"/>
          </w:tcPr>
          <w:p w14:paraId="13CA67FF" w14:textId="77777777" w:rsidR="00221671" w:rsidRPr="00BF0394" w:rsidRDefault="00221671" w:rsidP="00ED0631">
            <w:pPr>
              <w:spacing w:before="140" w:after="140"/>
              <w:ind w:left="709" w:hanging="709"/>
              <w:rPr>
                <w:rFonts w:asciiTheme="majorHAnsi" w:hAnsiTheme="majorHAnsi" w:cstheme="majorHAnsi"/>
              </w:rPr>
            </w:pPr>
            <w:r w:rsidRPr="00BF0394">
              <w:rPr>
                <w:rFonts w:asciiTheme="majorHAnsi" w:hAnsiTheme="majorHAnsi" w:cstheme="majorHAnsi"/>
              </w:rPr>
              <w:t>Table 5</w:t>
            </w:r>
          </w:p>
          <w:p w14:paraId="5D9DDB8F" w14:textId="45C57E5A" w:rsidR="00221671" w:rsidRPr="00BF0394" w:rsidRDefault="00221671" w:rsidP="00ED0631">
            <w:pPr>
              <w:spacing w:before="140" w:after="140"/>
              <w:rPr>
                <w:rFonts w:asciiTheme="majorHAnsi" w:hAnsiTheme="majorHAnsi" w:cstheme="majorHAnsi"/>
              </w:rPr>
            </w:pPr>
            <w:r w:rsidRPr="00BF0394">
              <w:rPr>
                <w:rFonts w:asciiTheme="majorHAnsi" w:hAnsiTheme="majorHAnsi" w:cstheme="majorHAnsi"/>
              </w:rPr>
              <w:t>Year 4 te-Kiribati literacy per</w:t>
            </w:r>
            <w:r w:rsidR="000018A5">
              <w:rPr>
                <w:rFonts w:asciiTheme="majorHAnsi" w:hAnsiTheme="majorHAnsi" w:cstheme="majorHAnsi"/>
              </w:rPr>
              <w:t>formance by distri</w:t>
            </w:r>
            <w:r w:rsidR="002D28B3">
              <w:rPr>
                <w:rFonts w:asciiTheme="majorHAnsi" w:hAnsiTheme="majorHAnsi" w:cstheme="majorHAnsi"/>
              </w:rPr>
              <w:t>ct</w:t>
            </w:r>
          </w:p>
        </w:tc>
        <w:tc>
          <w:tcPr>
            <w:tcW w:w="3586" w:type="pct"/>
            <w:gridSpan w:val="3"/>
            <w:tcBorders>
              <w:top w:val="none" w:sz="0" w:space="0" w:color="auto"/>
              <w:left w:val="none" w:sz="0" w:space="0" w:color="auto"/>
              <w:bottom w:val="none" w:sz="0" w:space="0" w:color="auto"/>
              <w:right w:val="none" w:sz="0" w:space="0" w:color="auto"/>
            </w:tcBorders>
            <w:shd w:val="clear" w:color="auto" w:fill="A25EA6"/>
          </w:tcPr>
          <w:p w14:paraId="0BFCD66B" w14:textId="77777777" w:rsidR="00221671" w:rsidRPr="00BF0394"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hAnsiTheme="majorHAnsi" w:cstheme="majorHAnsi"/>
              </w:rPr>
              <w:t>Students in each group</w:t>
            </w:r>
          </w:p>
          <w:p w14:paraId="7DBA75B3" w14:textId="77777777" w:rsidR="00221671" w:rsidRPr="00BF0394"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221671" w:rsidRPr="006A32B0" w14:paraId="7C52AF4E" w14:textId="77777777" w:rsidTr="000018A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14" w:type="pct"/>
            <w:vMerge/>
            <w:tcBorders>
              <w:left w:val="none" w:sz="0" w:space="0" w:color="auto"/>
              <w:bottom w:val="none" w:sz="0" w:space="0" w:color="auto"/>
              <w:right w:val="none" w:sz="0" w:space="0" w:color="auto"/>
            </w:tcBorders>
            <w:shd w:val="clear" w:color="auto" w:fill="A25EA6"/>
          </w:tcPr>
          <w:p w14:paraId="09EBAC89" w14:textId="77777777" w:rsidR="00221671" w:rsidRPr="00BF0394" w:rsidRDefault="00221671" w:rsidP="00ED0631">
            <w:pPr>
              <w:spacing w:before="140" w:after="140"/>
              <w:rPr>
                <w:rFonts w:asciiTheme="majorHAnsi" w:hAnsiTheme="majorHAnsi" w:cstheme="majorHAnsi"/>
              </w:rPr>
            </w:pPr>
          </w:p>
        </w:tc>
        <w:tc>
          <w:tcPr>
            <w:tcW w:w="1227" w:type="pct"/>
          </w:tcPr>
          <w:p w14:paraId="017AB75B" w14:textId="46A5570E" w:rsidR="00221671" w:rsidRPr="00BF0394" w:rsidRDefault="00221671" w:rsidP="00BF0394">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hAnsiTheme="majorHAnsi" w:cstheme="majorHAnsi"/>
              </w:rPr>
              <w:t>no evidence or critically below expected level</w:t>
            </w:r>
          </w:p>
        </w:tc>
        <w:tc>
          <w:tcPr>
            <w:tcW w:w="1131" w:type="pct"/>
          </w:tcPr>
          <w:p w14:paraId="5BD8CB17"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hAnsiTheme="majorHAnsi" w:cstheme="majorHAnsi"/>
              </w:rPr>
              <w:t>working towards expected level</w:t>
            </w:r>
          </w:p>
        </w:tc>
        <w:tc>
          <w:tcPr>
            <w:tcW w:w="1228" w:type="pct"/>
          </w:tcPr>
          <w:p w14:paraId="26F41191"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hAnsiTheme="majorHAnsi" w:cstheme="majorHAnsi"/>
              </w:rPr>
              <w:t xml:space="preserve">working at or above expected level </w:t>
            </w:r>
          </w:p>
        </w:tc>
      </w:tr>
      <w:tr w:rsidR="00221671" w:rsidRPr="006A32B0" w14:paraId="1208DA39" w14:textId="77777777" w:rsidTr="000018A5">
        <w:trPr>
          <w:trHeight w:val="249"/>
        </w:trPr>
        <w:tc>
          <w:tcPr>
            <w:cnfStyle w:val="001000000000" w:firstRow="0" w:lastRow="0" w:firstColumn="1" w:lastColumn="0" w:oddVBand="0" w:evenVBand="0" w:oddHBand="0" w:evenHBand="0" w:firstRowFirstColumn="0" w:firstRowLastColumn="0" w:lastRowFirstColumn="0" w:lastRowLastColumn="0"/>
            <w:tcW w:w="1414" w:type="pct"/>
            <w:tcBorders>
              <w:left w:val="none" w:sz="0" w:space="0" w:color="auto"/>
              <w:bottom w:val="none" w:sz="0" w:space="0" w:color="auto"/>
              <w:right w:val="none" w:sz="0" w:space="0" w:color="auto"/>
            </w:tcBorders>
            <w:shd w:val="clear" w:color="auto" w:fill="auto"/>
          </w:tcPr>
          <w:p w14:paraId="0B1C360E" w14:textId="77777777" w:rsidR="00221671" w:rsidRPr="00BF0394" w:rsidRDefault="00221671" w:rsidP="00ED0631">
            <w:pPr>
              <w:spacing w:before="140" w:after="140"/>
              <w:rPr>
                <w:rFonts w:asciiTheme="majorHAnsi" w:hAnsiTheme="majorHAnsi" w:cstheme="majorHAnsi"/>
                <w:color w:val="auto"/>
              </w:rPr>
            </w:pPr>
            <w:r w:rsidRPr="00BF0394">
              <w:rPr>
                <w:rFonts w:asciiTheme="majorHAnsi" w:eastAsia="Times New Roman" w:hAnsiTheme="majorHAnsi" w:cstheme="majorHAnsi"/>
                <w:color w:val="auto"/>
              </w:rPr>
              <w:t>Total</w:t>
            </w:r>
          </w:p>
        </w:tc>
        <w:tc>
          <w:tcPr>
            <w:tcW w:w="1227" w:type="pct"/>
            <w:vAlign w:val="bottom"/>
          </w:tcPr>
          <w:p w14:paraId="54526E28"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463 (20%)</w:t>
            </w:r>
          </w:p>
        </w:tc>
        <w:tc>
          <w:tcPr>
            <w:tcW w:w="1131" w:type="pct"/>
            <w:vAlign w:val="bottom"/>
          </w:tcPr>
          <w:p w14:paraId="7958E1C6"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884 (38%)</w:t>
            </w:r>
          </w:p>
        </w:tc>
        <w:tc>
          <w:tcPr>
            <w:tcW w:w="1228" w:type="pct"/>
            <w:vAlign w:val="bottom"/>
          </w:tcPr>
          <w:p w14:paraId="61DA62B0"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966 (42%)</w:t>
            </w:r>
          </w:p>
        </w:tc>
      </w:tr>
      <w:tr w:rsidR="00221671" w:rsidRPr="006A32B0" w14:paraId="43F3EBF3" w14:textId="77777777" w:rsidTr="000018A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14" w:type="pct"/>
            <w:tcBorders>
              <w:left w:val="none" w:sz="0" w:space="0" w:color="auto"/>
              <w:bottom w:val="none" w:sz="0" w:space="0" w:color="auto"/>
              <w:right w:val="none" w:sz="0" w:space="0" w:color="auto"/>
            </w:tcBorders>
            <w:shd w:val="clear" w:color="auto" w:fill="D9D9D9" w:themeFill="background1" w:themeFillShade="D9"/>
          </w:tcPr>
          <w:p w14:paraId="78A87FD7" w14:textId="77777777" w:rsidR="00221671" w:rsidRPr="00BF0394" w:rsidRDefault="00221671" w:rsidP="00ED0631">
            <w:pPr>
              <w:spacing w:before="140" w:after="140"/>
              <w:rPr>
                <w:rFonts w:asciiTheme="majorHAnsi" w:hAnsiTheme="majorHAnsi" w:cstheme="majorHAnsi"/>
                <w:color w:val="auto"/>
              </w:rPr>
            </w:pPr>
            <w:r w:rsidRPr="00BF0394">
              <w:rPr>
                <w:rFonts w:asciiTheme="majorHAnsi" w:eastAsia="Times New Roman" w:hAnsiTheme="majorHAnsi" w:cstheme="majorHAnsi"/>
                <w:color w:val="auto"/>
              </w:rPr>
              <w:t>Central</w:t>
            </w:r>
          </w:p>
        </w:tc>
        <w:tc>
          <w:tcPr>
            <w:tcW w:w="1227" w:type="pct"/>
            <w:vAlign w:val="bottom"/>
          </w:tcPr>
          <w:p w14:paraId="733D51B7"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55 (22%)</w:t>
            </w:r>
          </w:p>
        </w:tc>
        <w:tc>
          <w:tcPr>
            <w:tcW w:w="1131" w:type="pct"/>
            <w:vAlign w:val="bottom"/>
          </w:tcPr>
          <w:p w14:paraId="1274C801"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96 (38%)</w:t>
            </w:r>
          </w:p>
        </w:tc>
        <w:tc>
          <w:tcPr>
            <w:tcW w:w="1228" w:type="pct"/>
            <w:vAlign w:val="bottom"/>
          </w:tcPr>
          <w:p w14:paraId="25297ED8"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100 (40%)</w:t>
            </w:r>
          </w:p>
        </w:tc>
      </w:tr>
      <w:tr w:rsidR="00221671" w:rsidRPr="006A32B0" w14:paraId="13D46037" w14:textId="77777777" w:rsidTr="000018A5">
        <w:trPr>
          <w:trHeight w:val="249"/>
        </w:trPr>
        <w:tc>
          <w:tcPr>
            <w:cnfStyle w:val="001000000000" w:firstRow="0" w:lastRow="0" w:firstColumn="1" w:lastColumn="0" w:oddVBand="0" w:evenVBand="0" w:oddHBand="0" w:evenHBand="0" w:firstRowFirstColumn="0" w:firstRowLastColumn="0" w:lastRowFirstColumn="0" w:lastRowLastColumn="0"/>
            <w:tcW w:w="1414" w:type="pct"/>
            <w:tcBorders>
              <w:left w:val="none" w:sz="0" w:space="0" w:color="auto"/>
              <w:bottom w:val="none" w:sz="0" w:space="0" w:color="auto"/>
              <w:right w:val="none" w:sz="0" w:space="0" w:color="auto"/>
            </w:tcBorders>
            <w:shd w:val="clear" w:color="auto" w:fill="auto"/>
          </w:tcPr>
          <w:p w14:paraId="7FAFAE0D" w14:textId="77777777" w:rsidR="00221671" w:rsidRPr="00BF0394" w:rsidRDefault="00221671" w:rsidP="00ED0631">
            <w:pPr>
              <w:spacing w:before="140" w:after="140"/>
              <w:rPr>
                <w:rFonts w:asciiTheme="majorHAnsi" w:hAnsiTheme="majorHAnsi" w:cstheme="majorHAnsi"/>
                <w:color w:val="auto"/>
              </w:rPr>
            </w:pPr>
            <w:r w:rsidRPr="00BF0394">
              <w:rPr>
                <w:rFonts w:asciiTheme="majorHAnsi" w:eastAsia="Times New Roman" w:hAnsiTheme="majorHAnsi" w:cstheme="majorHAnsi"/>
                <w:color w:val="auto"/>
              </w:rPr>
              <w:t>North</w:t>
            </w:r>
          </w:p>
        </w:tc>
        <w:tc>
          <w:tcPr>
            <w:tcW w:w="1227" w:type="pct"/>
            <w:vAlign w:val="bottom"/>
          </w:tcPr>
          <w:p w14:paraId="11B534B1"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89 (20%)</w:t>
            </w:r>
          </w:p>
        </w:tc>
        <w:tc>
          <w:tcPr>
            <w:tcW w:w="1131" w:type="pct"/>
            <w:vAlign w:val="bottom"/>
          </w:tcPr>
          <w:p w14:paraId="6FB32976"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163 (37%)</w:t>
            </w:r>
          </w:p>
        </w:tc>
        <w:tc>
          <w:tcPr>
            <w:tcW w:w="1228" w:type="pct"/>
            <w:vAlign w:val="bottom"/>
          </w:tcPr>
          <w:p w14:paraId="474A98CA"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190 (43%)</w:t>
            </w:r>
          </w:p>
        </w:tc>
      </w:tr>
      <w:tr w:rsidR="00221671" w:rsidRPr="006A32B0" w14:paraId="5AABED8C" w14:textId="77777777" w:rsidTr="000018A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14" w:type="pct"/>
            <w:tcBorders>
              <w:left w:val="none" w:sz="0" w:space="0" w:color="auto"/>
              <w:bottom w:val="none" w:sz="0" w:space="0" w:color="auto"/>
              <w:right w:val="none" w:sz="0" w:space="0" w:color="auto"/>
            </w:tcBorders>
            <w:shd w:val="clear" w:color="auto" w:fill="D9D9D9" w:themeFill="background1" w:themeFillShade="D9"/>
          </w:tcPr>
          <w:p w14:paraId="557BE7DC" w14:textId="77777777" w:rsidR="00221671" w:rsidRPr="00BF0394" w:rsidRDefault="00221671" w:rsidP="00ED0631">
            <w:pPr>
              <w:spacing w:before="140" w:after="140"/>
              <w:rPr>
                <w:rFonts w:asciiTheme="majorHAnsi" w:hAnsiTheme="majorHAnsi" w:cstheme="majorHAnsi"/>
                <w:color w:val="auto"/>
              </w:rPr>
            </w:pPr>
            <w:r w:rsidRPr="00BF0394">
              <w:rPr>
                <w:rFonts w:asciiTheme="majorHAnsi" w:eastAsia="Times New Roman" w:hAnsiTheme="majorHAnsi" w:cstheme="majorHAnsi"/>
                <w:color w:val="auto"/>
              </w:rPr>
              <w:t>South</w:t>
            </w:r>
          </w:p>
        </w:tc>
        <w:tc>
          <w:tcPr>
            <w:tcW w:w="1227" w:type="pct"/>
            <w:vAlign w:val="bottom"/>
          </w:tcPr>
          <w:p w14:paraId="0D7AC083"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50 (18%)</w:t>
            </w:r>
          </w:p>
        </w:tc>
        <w:tc>
          <w:tcPr>
            <w:tcW w:w="1131" w:type="pct"/>
            <w:vAlign w:val="bottom"/>
          </w:tcPr>
          <w:p w14:paraId="3938100C"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113 (40%)</w:t>
            </w:r>
          </w:p>
        </w:tc>
        <w:tc>
          <w:tcPr>
            <w:tcW w:w="1228" w:type="pct"/>
            <w:vAlign w:val="bottom"/>
          </w:tcPr>
          <w:p w14:paraId="36CC6783"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117 (42%)</w:t>
            </w:r>
          </w:p>
        </w:tc>
      </w:tr>
      <w:tr w:rsidR="00221671" w:rsidRPr="006A32B0" w14:paraId="7672C4D2" w14:textId="77777777" w:rsidTr="000018A5">
        <w:trPr>
          <w:trHeight w:val="267"/>
        </w:trPr>
        <w:tc>
          <w:tcPr>
            <w:cnfStyle w:val="001000000000" w:firstRow="0" w:lastRow="0" w:firstColumn="1" w:lastColumn="0" w:oddVBand="0" w:evenVBand="0" w:oddHBand="0" w:evenHBand="0" w:firstRowFirstColumn="0" w:firstRowLastColumn="0" w:lastRowFirstColumn="0" w:lastRowLastColumn="0"/>
            <w:tcW w:w="1414" w:type="pct"/>
            <w:tcBorders>
              <w:left w:val="none" w:sz="0" w:space="0" w:color="auto"/>
              <w:bottom w:val="none" w:sz="0" w:space="0" w:color="auto"/>
              <w:right w:val="none" w:sz="0" w:space="0" w:color="auto"/>
            </w:tcBorders>
            <w:shd w:val="clear" w:color="auto" w:fill="auto"/>
          </w:tcPr>
          <w:p w14:paraId="10C4EF5A" w14:textId="77777777" w:rsidR="00221671" w:rsidRPr="00BF0394" w:rsidRDefault="00221671" w:rsidP="00ED0631">
            <w:pPr>
              <w:spacing w:before="140" w:after="140"/>
              <w:rPr>
                <w:rFonts w:asciiTheme="majorHAnsi" w:hAnsiTheme="majorHAnsi" w:cstheme="majorHAnsi"/>
                <w:color w:val="auto"/>
              </w:rPr>
            </w:pPr>
            <w:r w:rsidRPr="00BF0394">
              <w:rPr>
                <w:rFonts w:asciiTheme="majorHAnsi" w:eastAsia="Times New Roman" w:hAnsiTheme="majorHAnsi" w:cstheme="majorHAnsi"/>
                <w:color w:val="auto"/>
              </w:rPr>
              <w:t>Linnux</w:t>
            </w:r>
          </w:p>
        </w:tc>
        <w:tc>
          <w:tcPr>
            <w:tcW w:w="1227" w:type="pct"/>
            <w:vAlign w:val="bottom"/>
          </w:tcPr>
          <w:p w14:paraId="6E1EFADA"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83 (31%)</w:t>
            </w:r>
          </w:p>
        </w:tc>
        <w:tc>
          <w:tcPr>
            <w:tcW w:w="1131" w:type="pct"/>
            <w:vAlign w:val="bottom"/>
          </w:tcPr>
          <w:p w14:paraId="358A6F03"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100 (38%)</w:t>
            </w:r>
          </w:p>
        </w:tc>
        <w:tc>
          <w:tcPr>
            <w:tcW w:w="1228" w:type="pct"/>
            <w:vAlign w:val="bottom"/>
          </w:tcPr>
          <w:p w14:paraId="1AD19CA2" w14:textId="77777777" w:rsidR="00221671" w:rsidRPr="00BF0394"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82 (31%)</w:t>
            </w:r>
          </w:p>
        </w:tc>
      </w:tr>
      <w:tr w:rsidR="00221671" w:rsidRPr="006A32B0" w14:paraId="369E4FF8" w14:textId="77777777" w:rsidTr="000018A5">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14" w:type="pct"/>
            <w:tcBorders>
              <w:left w:val="none" w:sz="0" w:space="0" w:color="auto"/>
              <w:bottom w:val="none" w:sz="0" w:space="0" w:color="auto"/>
              <w:right w:val="none" w:sz="0" w:space="0" w:color="auto"/>
            </w:tcBorders>
            <w:shd w:val="clear" w:color="auto" w:fill="D9D9D9" w:themeFill="background1" w:themeFillShade="D9"/>
          </w:tcPr>
          <w:p w14:paraId="2BF5A18E" w14:textId="77777777" w:rsidR="00221671" w:rsidRPr="00BF0394" w:rsidRDefault="00221671" w:rsidP="00ED0631">
            <w:pPr>
              <w:spacing w:before="140" w:after="140"/>
              <w:rPr>
                <w:rFonts w:asciiTheme="majorHAnsi" w:hAnsiTheme="majorHAnsi" w:cstheme="majorHAnsi"/>
                <w:color w:val="auto"/>
              </w:rPr>
            </w:pPr>
            <w:r w:rsidRPr="00BF0394">
              <w:rPr>
                <w:rFonts w:asciiTheme="majorHAnsi" w:eastAsia="Times New Roman" w:hAnsiTheme="majorHAnsi" w:cstheme="majorHAnsi"/>
                <w:color w:val="auto"/>
              </w:rPr>
              <w:t>South Tarawa</w:t>
            </w:r>
          </w:p>
        </w:tc>
        <w:tc>
          <w:tcPr>
            <w:tcW w:w="1227" w:type="pct"/>
            <w:vAlign w:val="bottom"/>
          </w:tcPr>
          <w:p w14:paraId="09438268"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186 (17%)</w:t>
            </w:r>
          </w:p>
        </w:tc>
        <w:tc>
          <w:tcPr>
            <w:tcW w:w="1131" w:type="pct"/>
            <w:vAlign w:val="bottom"/>
          </w:tcPr>
          <w:p w14:paraId="7DEE7DA2"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412 (38%)</w:t>
            </w:r>
          </w:p>
        </w:tc>
        <w:tc>
          <w:tcPr>
            <w:tcW w:w="1228" w:type="pct"/>
            <w:vAlign w:val="bottom"/>
          </w:tcPr>
          <w:p w14:paraId="4156B659" w14:textId="77777777" w:rsidR="00221671" w:rsidRPr="00BF0394"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BF0394">
              <w:rPr>
                <w:rFonts w:asciiTheme="majorHAnsi" w:eastAsia="Times New Roman" w:hAnsiTheme="majorHAnsi" w:cstheme="majorHAnsi"/>
                <w:color w:val="000000"/>
              </w:rPr>
              <w:t>477 (44%)</w:t>
            </w:r>
          </w:p>
        </w:tc>
      </w:tr>
    </w:tbl>
    <w:p w14:paraId="715A1D4D" w14:textId="4E493975" w:rsidR="001C47CB" w:rsidRPr="00E928B7" w:rsidRDefault="001C47CB" w:rsidP="00ED0631">
      <w:pPr>
        <w:spacing w:before="140" w:after="140"/>
        <w:ind w:left="709" w:hanging="709"/>
        <w:rPr>
          <w:i/>
          <w:sz w:val="18"/>
          <w:szCs w:val="18"/>
        </w:rPr>
      </w:pPr>
      <w:r>
        <w:rPr>
          <w:b/>
          <w:i/>
          <w:noProof/>
          <w:sz w:val="18"/>
          <w:szCs w:val="18"/>
          <w:lang w:eastAsia="en-AU"/>
        </w:rPr>
        <mc:AlternateContent>
          <mc:Choice Requires="wps">
            <w:drawing>
              <wp:anchor distT="0" distB="0" distL="114300" distR="114300" simplePos="0" relativeHeight="251841535" behindDoc="0" locked="0" layoutInCell="1" allowOverlap="1" wp14:anchorId="25603E19" wp14:editId="3ABEF26A">
                <wp:simplePos x="0" y="0"/>
                <wp:positionH relativeFrom="column">
                  <wp:posOffset>-66675</wp:posOffset>
                </wp:positionH>
                <wp:positionV relativeFrom="paragraph">
                  <wp:posOffset>199390</wp:posOffset>
                </wp:positionV>
                <wp:extent cx="3177540" cy="2743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1775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60492" w14:textId="40DC03DF" w:rsidR="001E5A4B" w:rsidRPr="00752D28" w:rsidRDefault="001E5A4B">
                            <w:pPr>
                              <w:rPr>
                                <w:i/>
                              </w:rPr>
                            </w:pPr>
                            <w:r w:rsidRPr="00752D28">
                              <w:rPr>
                                <w:b/>
                                <w:i/>
                                <w:sz w:val="18"/>
                                <w:szCs w:val="18"/>
                              </w:rPr>
                              <w:t>Fig 12</w:t>
                            </w:r>
                            <w:r w:rsidRPr="00752D28">
                              <w:rPr>
                                <w:i/>
                                <w:sz w:val="18"/>
                                <w:szCs w:val="18"/>
                              </w:rPr>
                              <w:tab/>
                              <w:t>Year 4 te-Kiribati literacy performance by gender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603E19" id="Text Box 19" o:spid="_x0000_s1035" type="#_x0000_t202" style="position:absolute;left:0;text-align:left;margin-left:-5.25pt;margin-top:15.7pt;width:250.2pt;height:21.6pt;z-index:25184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7lgQIAAGsFAAAOAAAAZHJzL2Uyb0RvYy54bWysVE1PGzEQvVfqf7B8L5uEQErEBqUgqkoI&#10;UKHi7HhtsqrX49pOsumv59mbDRHthaoXr3fmzXg+3sz5RdsYtlY+1GRLPjwacKaspKq2zyX/8Xj9&#10;6TNnIQpbCUNWlXyrAr+YffxwvnFTNaIlmUp5Bic2TDeu5MsY3bQoglyqRoQjcspCqck3IuLXPxeV&#10;Fxt4b0wxGgxOiw35ynmSKgRIrzoln2X/WisZ77QOKjJTcsQW8+nzuUhnMTsX02cv3LKWuzDEP0TR&#10;iNri0b2rKxEFW/n6D1dNLT0F0vFIUlOQ1rVUOQdkMxy8yeZhKZzKuaA4we3LFP6fW3m7vvesrtC7&#10;M86saNCjR9VG9oVaBhHqs3FhCtiDAzC2kAPbywOEKe1W+yZ9kRCDHpXe7qubvEkIj4eTyckYKgnd&#10;aDI+HuXyF6/Wzof4VVHD0qXkHt3LRRXrmxARCaA9JD1m6bo2JnfQWLYp+enxySAb7DWwMDZhVebC&#10;zk3KqIs83+LWqIQx9rvSqEVOIAkyC9Wl8WwtwB8hpbIx5579Ap1QGkG8x3CHf43qPcZdHv3LZOPe&#10;uKkt+Zz9m7Crn33IusOjkAd5p2tsF20mwb7hC6q26LenbmKCk9c1mnIjQrwXHiOCPmLs4x0ObQjF&#10;p92NsyX533+TJzyYCy1nG4xcycOvlfCKM/PNgtNnw3GiR8w/45MJ+MH8oWZxqLGr5pLQlSEWjJP5&#10;mvDR9FftqXnCdpinV6ESVuLtksf+ehm7RYDtItV8nkGYSifijX1wMrlOTUqUe2yfhHc7XkYw+pb6&#10;4RTTN/TssMnS0nwVSdeZu6nOXVV39cdEZ0rvtk9aGYf/GfW6I2cvAAAA//8DAFBLAwQUAAYACAAA&#10;ACEAPMm3FuIAAAAJAQAADwAAAGRycy9kb3ducmV2LnhtbEyPwW7CMBBE75X6D9ZW6g2c0EBDiINQ&#10;JFSpKgcoF25OvCRR7XUaG0j79XVP7XE1TzNv8/VoNLvi4DpLAuJpBAyptqqjRsDxfTtJgTkvSUlt&#10;CQV8oYN1cX+Xy0zZG+3xevANCyXkMimg9b7POHd1i0a6qe2RQna2g5E+nEPD1SBvodxoPouiBTey&#10;o7DQyh7LFuuPw8UIeC23O7mvZib91uXL23nTfx5PcyEeH8bNCpjH0f/B8Ksf1KEITpW9kHJMC5jE&#10;0TygAp7iBFgAknS5BFYJeE4WwIuc//+g+AEAAP//AwBQSwECLQAUAAYACAAAACEAtoM4kv4AAADh&#10;AQAAEwAAAAAAAAAAAAAAAAAAAAAAW0NvbnRlbnRfVHlwZXNdLnhtbFBLAQItABQABgAIAAAAIQA4&#10;/SH/1gAAAJQBAAALAAAAAAAAAAAAAAAAAC8BAABfcmVscy8ucmVsc1BLAQItABQABgAIAAAAIQCP&#10;1h7lgQIAAGsFAAAOAAAAAAAAAAAAAAAAAC4CAABkcnMvZTJvRG9jLnhtbFBLAQItABQABgAIAAAA&#10;IQA8ybcW4gAAAAkBAAAPAAAAAAAAAAAAAAAAANsEAABkcnMvZG93bnJldi54bWxQSwUGAAAAAAQA&#10;BADzAAAA6gUAAAAA&#10;" filled="f" stroked="f" strokeweight=".5pt">
                <v:textbox>
                  <w:txbxContent>
                    <w:p w14:paraId="72E60492" w14:textId="40DC03DF" w:rsidR="001E5A4B" w:rsidRPr="00752D28" w:rsidRDefault="001E5A4B">
                      <w:pPr>
                        <w:rPr>
                          <w:i/>
                        </w:rPr>
                      </w:pPr>
                      <w:r w:rsidRPr="00752D28">
                        <w:rPr>
                          <w:b/>
                          <w:i/>
                          <w:sz w:val="18"/>
                          <w:szCs w:val="18"/>
                        </w:rPr>
                        <w:t>Fig 12</w:t>
                      </w:r>
                      <w:r w:rsidRPr="00752D28">
                        <w:rPr>
                          <w:i/>
                          <w:sz w:val="18"/>
                          <w:szCs w:val="18"/>
                        </w:rPr>
                        <w:tab/>
                        <w:t>Year 4 te-Kiribati literacy performance by gender</w:t>
                      </w:r>
                    </w:p>
                  </w:txbxContent>
                </v:textbox>
                <w10:wrap type="square"/>
              </v:shape>
            </w:pict>
          </mc:Fallback>
        </mc:AlternateContent>
      </w:r>
    </w:p>
    <w:p w14:paraId="1D4456CD" w14:textId="7F0C230C" w:rsidR="00221671" w:rsidRDefault="00DE2506" w:rsidP="00ED0631">
      <w:pPr>
        <w:spacing w:before="140" w:after="140"/>
        <w:jc w:val="both"/>
        <w:rPr>
          <w:rFonts w:cs="Arial"/>
        </w:rPr>
      </w:pPr>
      <w:r>
        <w:rPr>
          <w:noProof/>
          <w:lang w:eastAsia="en-AU"/>
        </w:rPr>
        <w:drawing>
          <wp:anchor distT="0" distB="0" distL="114300" distR="114300" simplePos="0" relativeHeight="251809791" behindDoc="0" locked="0" layoutInCell="1" allowOverlap="1" wp14:anchorId="435527DF" wp14:editId="49202789">
            <wp:simplePos x="0" y="0"/>
            <wp:positionH relativeFrom="column">
              <wp:posOffset>-20955</wp:posOffset>
            </wp:positionH>
            <wp:positionV relativeFrom="paragraph">
              <wp:posOffset>149225</wp:posOffset>
            </wp:positionV>
            <wp:extent cx="3131820" cy="2331720"/>
            <wp:effectExtent l="0" t="0" r="11430" b="11430"/>
            <wp:wrapThrough wrapText="bothSides">
              <wp:wrapPolygon edited="0">
                <wp:start x="0" y="0"/>
                <wp:lineTo x="0" y="21529"/>
                <wp:lineTo x="21547" y="21529"/>
                <wp:lineTo x="21547" y="0"/>
                <wp:lineTo x="0" y="0"/>
              </wp:wrapPolygon>
            </wp:wrapThrough>
            <wp:docPr id="72" name="Chart 72" descr="The graph shows the girls outperforming boys. Description and analysis is in the accompanying text." title="Fig 12 Year 4 te-Kiribati literacy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r w:rsidR="00221671">
        <w:rPr>
          <w:rFonts w:cs="Arial"/>
        </w:rPr>
        <w:t>The performance of students in the Line Islands is significantly different to the other districts.</w:t>
      </w:r>
    </w:p>
    <w:p w14:paraId="61C2A766" w14:textId="77777777" w:rsidR="00221671" w:rsidRDefault="00221671" w:rsidP="00ED0631">
      <w:pPr>
        <w:spacing w:before="140" w:after="140"/>
        <w:jc w:val="both"/>
        <w:rPr>
          <w:rFonts w:cs="Arial"/>
        </w:rPr>
      </w:pPr>
      <w:r w:rsidRPr="00D25E9D">
        <w:rPr>
          <w:rFonts w:cs="Arial"/>
        </w:rPr>
        <w:t>Analysis of the proportions achieving the expected standard by gender shows that girls performed better than boys in the test.</w:t>
      </w:r>
      <w:r>
        <w:rPr>
          <w:rFonts w:cs="Arial"/>
        </w:rPr>
        <w:t xml:space="preserve"> This is a consistent pattern that has been seen in every STAKI test.</w:t>
      </w:r>
    </w:p>
    <w:p w14:paraId="039CE55A" w14:textId="77777777" w:rsidR="00221671" w:rsidRDefault="00221671" w:rsidP="00ED0631">
      <w:pPr>
        <w:spacing w:before="140" w:after="140"/>
        <w:jc w:val="both"/>
        <w:rPr>
          <w:rFonts w:cs="Arial"/>
          <w:noProof/>
          <w:lang w:val="en-US"/>
        </w:rPr>
      </w:pPr>
      <w:r w:rsidRPr="00D25E9D">
        <w:rPr>
          <w:rFonts w:cs="Arial"/>
        </w:rPr>
        <w:t xml:space="preserve">The spread of </w:t>
      </w:r>
      <w:r>
        <w:rPr>
          <w:rFonts w:cs="Arial"/>
        </w:rPr>
        <w:t>achievement</w:t>
      </w:r>
      <w:r w:rsidRPr="00D25E9D">
        <w:rPr>
          <w:rFonts w:cs="Arial"/>
        </w:rPr>
        <w:t xml:space="preserve"> f</w:t>
      </w:r>
      <w:r>
        <w:rPr>
          <w:rFonts w:cs="Arial"/>
        </w:rPr>
        <w:t>or each gender is shown in Fig 12</w:t>
      </w:r>
      <w:r w:rsidRPr="00D25E9D">
        <w:rPr>
          <w:rFonts w:cs="Arial"/>
        </w:rPr>
        <w:t>. The variation in performance between the boys and the girls is statistically significant.</w:t>
      </w:r>
    </w:p>
    <w:p w14:paraId="35175363" w14:textId="269C2684" w:rsidR="00221671" w:rsidRPr="001D3638" w:rsidRDefault="00221671" w:rsidP="00ED0631">
      <w:pPr>
        <w:spacing w:before="140" w:after="140"/>
        <w:jc w:val="both"/>
        <w:rPr>
          <w:rFonts w:cs="Arial"/>
          <w:noProof/>
          <w:lang w:val="en-US"/>
        </w:rPr>
      </w:pPr>
      <w:r>
        <w:rPr>
          <w:rFonts w:cs="Arial"/>
          <w:noProof/>
          <w:lang w:val="en-US"/>
        </w:rPr>
        <w:t>The gap between boys and girls working at or above the expected level has grown from 10% in 2013 to 20% in 2015.</w:t>
      </w:r>
    </w:p>
    <w:p w14:paraId="5AE6BE73" w14:textId="77777777" w:rsidR="00221671" w:rsidRPr="001D3638" w:rsidRDefault="00221671" w:rsidP="00BF0394">
      <w:pPr>
        <w:pStyle w:val="Heading3"/>
      </w:pPr>
      <w:r>
        <w:t>General Observations</w:t>
      </w:r>
    </w:p>
    <w:p w14:paraId="61253889" w14:textId="77777777" w:rsidR="00221671" w:rsidRPr="00D25E9D" w:rsidRDefault="00221671" w:rsidP="00DE2506">
      <w:pPr>
        <w:pStyle w:val="ListParagraph"/>
        <w:numPr>
          <w:ilvl w:val="0"/>
          <w:numId w:val="50"/>
        </w:numPr>
        <w:spacing w:before="140" w:beforeAutospacing="0" w:after="140" w:afterAutospacing="0"/>
        <w:contextualSpacing w:val="0"/>
        <w:jc w:val="both"/>
        <w:rPr>
          <w:rFonts w:cs="Arial"/>
          <w:szCs w:val="20"/>
        </w:rPr>
      </w:pPr>
      <w:r>
        <w:rPr>
          <w:rFonts w:cs="Arial"/>
          <w:szCs w:val="20"/>
        </w:rPr>
        <w:t>There appears to have been</w:t>
      </w:r>
      <w:r w:rsidRPr="00D25E9D">
        <w:rPr>
          <w:rFonts w:cs="Arial"/>
          <w:szCs w:val="20"/>
        </w:rPr>
        <w:t xml:space="preserve"> </w:t>
      </w:r>
      <w:r>
        <w:rPr>
          <w:rFonts w:cs="Arial"/>
          <w:szCs w:val="20"/>
        </w:rPr>
        <w:t>a decline</w:t>
      </w:r>
      <w:r w:rsidRPr="00D25E9D">
        <w:rPr>
          <w:rFonts w:cs="Arial"/>
          <w:szCs w:val="20"/>
        </w:rPr>
        <w:t xml:space="preserve"> in the percentage of students achieving the expected overall standard in </w:t>
      </w:r>
      <w:r>
        <w:rPr>
          <w:rFonts w:cs="Arial"/>
          <w:szCs w:val="20"/>
        </w:rPr>
        <w:t>te-Kiribati literacy</w:t>
      </w:r>
      <w:r w:rsidRPr="00D25E9D">
        <w:rPr>
          <w:rFonts w:cs="Arial"/>
          <w:szCs w:val="20"/>
        </w:rPr>
        <w:t xml:space="preserve"> at Year 4 since 2011.</w:t>
      </w:r>
      <w:r>
        <w:rPr>
          <w:rFonts w:cs="Arial"/>
          <w:szCs w:val="20"/>
        </w:rPr>
        <w:t xml:space="preserve"> This is partially explained by changes in the structure of the test.</w:t>
      </w:r>
    </w:p>
    <w:p w14:paraId="6BF6DC26" w14:textId="77777777" w:rsidR="00221671" w:rsidRPr="00D25E9D" w:rsidRDefault="00221671" w:rsidP="00DE2506">
      <w:pPr>
        <w:pStyle w:val="ListParagraph"/>
        <w:numPr>
          <w:ilvl w:val="0"/>
          <w:numId w:val="50"/>
        </w:numPr>
        <w:spacing w:before="140" w:beforeAutospacing="0" w:after="140" w:afterAutospacing="0"/>
        <w:contextualSpacing w:val="0"/>
        <w:jc w:val="both"/>
        <w:rPr>
          <w:rFonts w:cs="Arial"/>
          <w:szCs w:val="20"/>
        </w:rPr>
      </w:pPr>
      <w:r>
        <w:rPr>
          <w:rFonts w:cs="Arial"/>
          <w:szCs w:val="20"/>
        </w:rPr>
        <w:t>80</w:t>
      </w:r>
      <w:r w:rsidRPr="00D25E9D">
        <w:rPr>
          <w:rFonts w:cs="Arial"/>
          <w:szCs w:val="20"/>
        </w:rPr>
        <w:t>% of the students are working at a level that can be considered to be 'minimally acceptable' for their year level.</w:t>
      </w:r>
    </w:p>
    <w:p w14:paraId="78688BB9" w14:textId="77777777" w:rsidR="00221671" w:rsidRDefault="00221671" w:rsidP="00DE2506">
      <w:pPr>
        <w:pStyle w:val="ListParagraph"/>
        <w:numPr>
          <w:ilvl w:val="0"/>
          <w:numId w:val="50"/>
        </w:numPr>
        <w:spacing w:before="140" w:beforeAutospacing="0" w:after="140" w:afterAutospacing="0"/>
        <w:contextualSpacing w:val="0"/>
        <w:jc w:val="both"/>
        <w:rPr>
          <w:rFonts w:cs="Arial"/>
          <w:szCs w:val="20"/>
        </w:rPr>
      </w:pPr>
      <w:r w:rsidRPr="00D25E9D">
        <w:rPr>
          <w:rFonts w:cs="Arial"/>
          <w:szCs w:val="20"/>
        </w:rPr>
        <w:t>Students in the Line Islands are under-performing in comparison to their peers in other districts.</w:t>
      </w:r>
    </w:p>
    <w:p w14:paraId="5DC52407" w14:textId="77777777" w:rsidR="00221671" w:rsidRDefault="00221671" w:rsidP="00DE2506">
      <w:pPr>
        <w:pStyle w:val="ListParagraph"/>
        <w:numPr>
          <w:ilvl w:val="0"/>
          <w:numId w:val="50"/>
        </w:numPr>
        <w:spacing w:before="140" w:beforeAutospacing="0" w:after="140" w:afterAutospacing="0"/>
        <w:contextualSpacing w:val="0"/>
        <w:jc w:val="both"/>
        <w:rPr>
          <w:rFonts w:cs="Arial"/>
          <w:szCs w:val="20"/>
        </w:rPr>
      </w:pPr>
      <w:r>
        <w:rPr>
          <w:rFonts w:cs="Arial"/>
          <w:szCs w:val="20"/>
        </w:rPr>
        <w:t>Given the changes in the structure of test it is difficult to comment on overall comparative performance with 2013.</w:t>
      </w:r>
    </w:p>
    <w:p w14:paraId="6F040911" w14:textId="77777777" w:rsidR="00221671" w:rsidRDefault="00221671" w:rsidP="00DE2506">
      <w:pPr>
        <w:pStyle w:val="ListParagraph"/>
        <w:numPr>
          <w:ilvl w:val="0"/>
          <w:numId w:val="50"/>
        </w:numPr>
        <w:spacing w:before="140" w:beforeAutospacing="0" w:after="140" w:afterAutospacing="0"/>
        <w:contextualSpacing w:val="0"/>
        <w:jc w:val="both"/>
        <w:rPr>
          <w:rFonts w:cs="Arial"/>
          <w:szCs w:val="20"/>
        </w:rPr>
      </w:pPr>
      <w:r>
        <w:rPr>
          <w:rFonts w:cs="Arial"/>
          <w:szCs w:val="20"/>
        </w:rPr>
        <w:t>Writing skills have improved since 2013.</w:t>
      </w:r>
    </w:p>
    <w:p w14:paraId="08DCB9EE" w14:textId="77777777" w:rsidR="00221671" w:rsidRPr="001D3638" w:rsidRDefault="00221671" w:rsidP="00DE2506">
      <w:pPr>
        <w:pStyle w:val="ListParagraph"/>
        <w:numPr>
          <w:ilvl w:val="0"/>
          <w:numId w:val="50"/>
        </w:numPr>
        <w:spacing w:before="140" w:beforeAutospacing="0" w:after="140" w:afterAutospacing="0"/>
        <w:contextualSpacing w:val="0"/>
        <w:jc w:val="both"/>
        <w:rPr>
          <w:rFonts w:cs="Arial"/>
          <w:szCs w:val="20"/>
        </w:rPr>
      </w:pPr>
      <w:r w:rsidRPr="00D25E9D">
        <w:rPr>
          <w:rFonts w:cs="Arial"/>
          <w:szCs w:val="20"/>
        </w:rPr>
        <w:t xml:space="preserve">Girls continue </w:t>
      </w:r>
      <w:r>
        <w:rPr>
          <w:rFonts w:cs="Arial"/>
          <w:szCs w:val="20"/>
        </w:rPr>
        <w:t>to perform better than boys and the gap between the two groups is growing.</w:t>
      </w:r>
    </w:p>
    <w:p w14:paraId="16D5908B" w14:textId="77777777" w:rsidR="00221671" w:rsidRDefault="00221671" w:rsidP="00ED0631">
      <w:pPr>
        <w:spacing w:before="140" w:after="140"/>
        <w:rPr>
          <w:b/>
          <w:color w:val="EB6E08" w:themeColor="text2"/>
        </w:rPr>
      </w:pPr>
      <w:r>
        <w:rPr>
          <w:b/>
          <w:color w:val="EB6E08" w:themeColor="text2"/>
        </w:rPr>
        <w:br w:type="page"/>
      </w:r>
    </w:p>
    <w:p w14:paraId="1A16D700" w14:textId="77777777" w:rsidR="00221671" w:rsidRPr="001D3638" w:rsidRDefault="00221671" w:rsidP="00DE2506">
      <w:pPr>
        <w:pStyle w:val="Heading2"/>
      </w:pPr>
      <w:r>
        <w:lastRenderedPageBreak/>
        <w:t>2.5</w:t>
      </w:r>
      <w:r>
        <w:tab/>
        <w:t>Year 6 and 8</w:t>
      </w:r>
      <w:r w:rsidRPr="00B77E55">
        <w:t xml:space="preserve"> </w:t>
      </w:r>
      <w:r>
        <w:t>te-Kiribati literacy</w:t>
      </w:r>
    </w:p>
    <w:p w14:paraId="7942DECF" w14:textId="77777777" w:rsidR="00221671" w:rsidRDefault="00221671" w:rsidP="00ED0631">
      <w:pPr>
        <w:spacing w:before="140" w:after="140"/>
        <w:jc w:val="both"/>
      </w:pPr>
      <w:r>
        <w:t>Students in Year 8</w:t>
      </w:r>
      <w:r w:rsidRPr="00B943F2">
        <w:t xml:space="preserve"> </w:t>
      </w:r>
      <w:r>
        <w:t>are in the second year of the three year Junior Secondary curriculum. This is the first time in many years that a te-Kiribati literacy test has been held for all students in Year 8. There is an Kiribati Studies examination held at the end of Year 9. It is one of the compulsory components of the Junior Secondary Certificate examinations that mark the end of compulsory education in Kiribati.</w:t>
      </w:r>
    </w:p>
    <w:p w14:paraId="156A93CD" w14:textId="77777777" w:rsidR="00221671" w:rsidRPr="00A244F5" w:rsidRDefault="00221671" w:rsidP="00ED0631">
      <w:pPr>
        <w:spacing w:before="140" w:after="140"/>
        <w:jc w:val="both"/>
      </w:pPr>
      <w:r>
        <w:t>The tests for both Year 6 and Year 8 students used the same construct and were assessed using similar marking schemes. The 'expected level' is set at the end of Year 6 (Primary school).</w:t>
      </w:r>
    </w:p>
    <w:p w14:paraId="34B4E8D4" w14:textId="217DBAD5" w:rsidR="00221671" w:rsidRDefault="00752D28" w:rsidP="00ED0631">
      <w:pPr>
        <w:spacing w:before="140" w:after="140"/>
        <w:jc w:val="both"/>
      </w:pPr>
      <w:r>
        <w:rPr>
          <w:noProof/>
          <w:lang w:eastAsia="en-AU"/>
        </w:rPr>
        <mc:AlternateContent>
          <mc:Choice Requires="wps">
            <w:drawing>
              <wp:anchor distT="0" distB="0" distL="114300" distR="114300" simplePos="0" relativeHeight="251838463" behindDoc="0" locked="0" layoutInCell="1" allowOverlap="1" wp14:anchorId="1744C0F3" wp14:editId="025AFFA2">
                <wp:simplePos x="0" y="0"/>
                <wp:positionH relativeFrom="column">
                  <wp:posOffset>3100705</wp:posOffset>
                </wp:positionH>
                <wp:positionV relativeFrom="paragraph">
                  <wp:posOffset>236220</wp:posOffset>
                </wp:positionV>
                <wp:extent cx="3208020" cy="4648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20802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0DD16" w14:textId="28264551" w:rsidR="001E5A4B" w:rsidRPr="00752D28" w:rsidRDefault="001E5A4B">
                            <w:pPr>
                              <w:rPr>
                                <w:i/>
                              </w:rPr>
                            </w:pPr>
                            <w:r w:rsidRPr="00752D28">
                              <w:rPr>
                                <w:b/>
                                <w:i/>
                                <w:sz w:val="18"/>
                                <w:szCs w:val="18"/>
                              </w:rPr>
                              <w:t>Fig 13</w:t>
                            </w:r>
                            <w:r w:rsidRPr="00752D28">
                              <w:rPr>
                                <w:i/>
                                <w:sz w:val="18"/>
                                <w:szCs w:val="18"/>
                              </w:rPr>
                              <w:tab/>
                              <w:t>te-Kiribati overall performance - Years 6 and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744C0F3" id="Text Box 16" o:spid="_x0000_s1036" type="#_x0000_t202" style="position:absolute;left:0;text-align:left;margin-left:244.15pt;margin-top:18.6pt;width:252.6pt;height:36.6pt;z-index:25183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KIfgIAAGwFAAAOAAAAZHJzL2Uyb0RvYy54bWysVE1PGzEQvVfqf7B8L7sJIaURG5SCqCoh&#10;QIWKs+O1yapej2s7yaa/vs/efIn2QtWLd3bmeTwfb+bismsNWykfGrIVH5yUnCkrqW7sS8W/P918&#10;OOcsRGFrYciqim9U4JfT9+8u1m6ihrQgUyvP4MSGydpVfBGjmxRFkAvVinBCTlkYNflWRPz6l6L2&#10;Yg3vrSmGZTku1uRr50mqEKC97o18mv1rrWS81zqoyEzFEVvMp8/nPJ3F9EJMXrxwi0ZuwxD/EEUr&#10;GotH966uRRRs6Zs/XLWN9BRIxxNJbUFaN1LlHJDNoHyVzeNCOJVzQXGC25cp/D+38m714FlTo3dj&#10;zqxo0aMn1UX2mToGFeqzdmEC2KMDMHbQA7vTByhT2p32bfoiIQY7Kr3ZVzd5k1CeDsvzcgiThG00&#10;Hp1DhvvicNv5EL8oalkSKu7RvVxUsboNsYfuIOkxSzeNMbmDxrJ1xcenZ2W+sLfAubEJqzIXtm5S&#10;Rn3kWYoboxLG2G9KoxY5gaTILFRXxrOVAH+ElMrGnHv2C3RCaQTxlotb/CGqt1zu89i9TDbuL7eN&#10;JZ+zfxV2/WMXsu7xqPlR3kmM3bzrSZBbklRzqjdouKd+ZIKTNw26citCfBAeM4JGYu7jPQ5tCNWn&#10;rcTZgvyvv+kTHtSFlbM1Zq7i4edSeMWZ+WpB6k+D0SgNaf4ZnX1MZPHHlvmxxS7bK0JbBtgwTmYx&#10;4aPZidpT+4z1MEuvwiSsxNsVjzvxKvabAOtFqtksgzCWTsRb++hkcp26lDj31D0L77bEjKD0He2m&#10;U0xe8bPHppuWZstIusnkPVR12wCMdKb/dv2knXH8n1GHJTn9DQAA//8DAFBLAwQUAAYACAAAACEA&#10;87P5UuIAAAAKAQAADwAAAGRycy9kb3ducmV2LnhtbEyPQU+DQBCF7yb+h82YeLNLoVWKLE1D0pgY&#10;PbT24m1gt0BkZ5HdtuivdzzpcfK+vPdNvp5sL85m9J0jBfNZBMJQ7XRHjYLD2/YuBeEDksbekVHw&#10;ZTysi+urHDPtLrQz531oBJeQz1BBG8KQSenr1lj0MzcY4uzoRouBz7GResQLl9texlF0Ly12xAst&#10;DqZsTf2xP1kFz+X2FXdVbNPvvnx6OW6Gz8P7Uqnbm2nzCCKYKfzB8KvP6lCwU+VOpL3oFSzSNGFU&#10;QfIQg2BgtUqWICom59ECZJHL/y8UPwAAAP//AwBQSwECLQAUAAYACAAAACEAtoM4kv4AAADhAQAA&#10;EwAAAAAAAAAAAAAAAAAAAAAAW0NvbnRlbnRfVHlwZXNdLnhtbFBLAQItABQABgAIAAAAIQA4/SH/&#10;1gAAAJQBAAALAAAAAAAAAAAAAAAAAC8BAABfcmVscy8ucmVsc1BLAQItABQABgAIAAAAIQBhaOKI&#10;fgIAAGwFAAAOAAAAAAAAAAAAAAAAAC4CAABkcnMvZTJvRG9jLnhtbFBLAQItABQABgAIAAAAIQDz&#10;s/lS4gAAAAoBAAAPAAAAAAAAAAAAAAAAANgEAABkcnMvZG93bnJldi54bWxQSwUGAAAAAAQABADz&#10;AAAA5wUAAAAA&#10;" filled="f" stroked="f" strokeweight=".5pt">
                <v:textbox>
                  <w:txbxContent>
                    <w:p w14:paraId="3120DD16" w14:textId="28264551" w:rsidR="001E5A4B" w:rsidRPr="00752D28" w:rsidRDefault="001E5A4B">
                      <w:pPr>
                        <w:rPr>
                          <w:i/>
                        </w:rPr>
                      </w:pPr>
                      <w:r w:rsidRPr="00752D28">
                        <w:rPr>
                          <w:b/>
                          <w:i/>
                          <w:sz w:val="18"/>
                          <w:szCs w:val="18"/>
                        </w:rPr>
                        <w:t>Fig 13</w:t>
                      </w:r>
                      <w:r w:rsidRPr="00752D28">
                        <w:rPr>
                          <w:i/>
                          <w:sz w:val="18"/>
                          <w:szCs w:val="18"/>
                        </w:rPr>
                        <w:tab/>
                        <w:t>te-Kiribati overall performance - Years 6 and 8</w:t>
                      </w:r>
                    </w:p>
                  </w:txbxContent>
                </v:textbox>
                <w10:wrap type="square"/>
              </v:shape>
            </w:pict>
          </mc:Fallback>
        </mc:AlternateContent>
      </w:r>
      <w:r w:rsidR="00221671">
        <w:t>Year 6 student performance has improved between 2013 and 2015.</w:t>
      </w:r>
    </w:p>
    <w:p w14:paraId="22295CBE" w14:textId="28D8D55B" w:rsidR="00221671" w:rsidRDefault="001C47CB" w:rsidP="001C47CB">
      <w:pPr>
        <w:spacing w:before="140" w:after="140"/>
      </w:pPr>
      <w:r>
        <w:rPr>
          <w:noProof/>
          <w:lang w:eastAsia="en-AU"/>
        </w:rPr>
        <w:drawing>
          <wp:anchor distT="0" distB="0" distL="114300" distR="114300" simplePos="0" relativeHeight="251822079" behindDoc="0" locked="0" layoutInCell="1" allowOverlap="1" wp14:anchorId="2F477E06" wp14:editId="49F936FB">
            <wp:simplePos x="0" y="0"/>
            <wp:positionH relativeFrom="margin">
              <wp:posOffset>2851785</wp:posOffset>
            </wp:positionH>
            <wp:positionV relativeFrom="paragraph">
              <wp:posOffset>267970</wp:posOffset>
            </wp:positionV>
            <wp:extent cx="3055620" cy="2254250"/>
            <wp:effectExtent l="0" t="0" r="11430" b="12700"/>
            <wp:wrapThrough wrapText="bothSides">
              <wp:wrapPolygon edited="0">
                <wp:start x="0" y="0"/>
                <wp:lineTo x="0" y="21539"/>
                <wp:lineTo x="21546" y="21539"/>
                <wp:lineTo x="21546" y="0"/>
                <wp:lineTo x="0" y="0"/>
              </wp:wrapPolygon>
            </wp:wrapThrough>
            <wp:docPr id="73" name="Chart 73" descr="The graph shows the result for Year 6 in 2013 and 2015, plus Year 8 in 2015. Description and analysis is in the accompanying text." title="Fig 13 te-Kiribati overall performance - Years 6 and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r w:rsidR="00221671">
        <w:t>The students in Year 8 (who were in Year 6 in 2013) have improved markedly, with 28% not having achieved a satisfactory 'end of Primary school' standard by the end of Year 8.</w:t>
      </w:r>
    </w:p>
    <w:p w14:paraId="27D7AD8E" w14:textId="31E30FFC" w:rsidR="00221671" w:rsidRDefault="00221671" w:rsidP="00ED0631">
      <w:pPr>
        <w:spacing w:before="140" w:after="140"/>
        <w:jc w:val="both"/>
      </w:pPr>
      <w:r>
        <w:t>Two years previously 53% of the same students had not met the same standard. Clearly their skills have developed during their time in Junior Secondary school.</w:t>
      </w:r>
    </w:p>
    <w:p w14:paraId="1829F3D6" w14:textId="77777777" w:rsidR="00221671" w:rsidRPr="004F4F96" w:rsidRDefault="00221671" w:rsidP="00ED0631">
      <w:pPr>
        <w:spacing w:before="140" w:after="140"/>
        <w:jc w:val="both"/>
        <w:rPr>
          <w:noProof/>
          <w:lang w:val="en-US"/>
        </w:rPr>
      </w:pPr>
      <w:r w:rsidRPr="004F4F96">
        <w:t xml:space="preserve">The test focussed on </w:t>
      </w:r>
      <w:r>
        <w:t>five</w:t>
      </w:r>
      <w:r w:rsidRPr="004F4F96">
        <w:t xml:space="preserve"> components of literacy:</w:t>
      </w:r>
      <w:r w:rsidRPr="004F4F96">
        <w:rPr>
          <w:noProof/>
          <w:lang w:val="en-US"/>
        </w:rPr>
        <w:t xml:space="preserve"> </w:t>
      </w:r>
    </w:p>
    <w:p w14:paraId="1C7C04A7" w14:textId="188EB5F9" w:rsidR="00221671" w:rsidRDefault="00221671" w:rsidP="001C47CB">
      <w:pPr>
        <w:pStyle w:val="ListParagraph"/>
        <w:numPr>
          <w:ilvl w:val="0"/>
          <w:numId w:val="29"/>
        </w:numPr>
        <w:spacing w:before="0" w:beforeAutospacing="0" w:after="0" w:afterAutospacing="0"/>
        <w:ind w:left="714" w:hanging="357"/>
        <w:contextualSpacing w:val="0"/>
        <w:jc w:val="both"/>
        <w:rPr>
          <w:szCs w:val="20"/>
        </w:rPr>
      </w:pPr>
      <w:r w:rsidRPr="004F4F96">
        <w:rPr>
          <w:szCs w:val="20"/>
        </w:rPr>
        <w:t>listening,</w:t>
      </w:r>
    </w:p>
    <w:p w14:paraId="5CCB3F13" w14:textId="6A683062" w:rsidR="00221671" w:rsidRPr="00167A09" w:rsidRDefault="00221671" w:rsidP="001C47CB">
      <w:pPr>
        <w:pStyle w:val="ListParagraph"/>
        <w:numPr>
          <w:ilvl w:val="0"/>
          <w:numId w:val="29"/>
        </w:numPr>
        <w:spacing w:before="0" w:beforeAutospacing="0" w:after="0" w:afterAutospacing="0"/>
        <w:ind w:left="714" w:hanging="357"/>
        <w:contextualSpacing w:val="0"/>
        <w:jc w:val="both"/>
        <w:rPr>
          <w:szCs w:val="20"/>
        </w:rPr>
      </w:pPr>
      <w:r>
        <w:rPr>
          <w:szCs w:val="20"/>
        </w:rPr>
        <w:t>vocabulary,</w:t>
      </w:r>
    </w:p>
    <w:p w14:paraId="7C3FB5E2" w14:textId="77777777" w:rsidR="00221671" w:rsidRDefault="00221671" w:rsidP="001C47CB">
      <w:pPr>
        <w:pStyle w:val="ListParagraph"/>
        <w:numPr>
          <w:ilvl w:val="0"/>
          <w:numId w:val="29"/>
        </w:numPr>
        <w:spacing w:before="0" w:beforeAutospacing="0" w:after="0" w:afterAutospacing="0"/>
        <w:ind w:left="714" w:hanging="357"/>
        <w:contextualSpacing w:val="0"/>
        <w:jc w:val="both"/>
        <w:rPr>
          <w:szCs w:val="20"/>
        </w:rPr>
      </w:pPr>
      <w:r>
        <w:rPr>
          <w:szCs w:val="20"/>
        </w:rPr>
        <w:t>reading comprehension,</w:t>
      </w:r>
    </w:p>
    <w:p w14:paraId="33319437" w14:textId="77777777" w:rsidR="00221671" w:rsidRPr="004F4F96" w:rsidRDefault="00221671" w:rsidP="001C47CB">
      <w:pPr>
        <w:pStyle w:val="ListParagraph"/>
        <w:numPr>
          <w:ilvl w:val="0"/>
          <w:numId w:val="29"/>
        </w:numPr>
        <w:spacing w:before="0" w:beforeAutospacing="0" w:after="0" w:afterAutospacing="0"/>
        <w:ind w:left="714" w:hanging="357"/>
        <w:contextualSpacing w:val="0"/>
        <w:jc w:val="both"/>
        <w:rPr>
          <w:szCs w:val="20"/>
        </w:rPr>
      </w:pPr>
      <w:r>
        <w:rPr>
          <w:szCs w:val="20"/>
        </w:rPr>
        <w:t xml:space="preserve">grammar, </w:t>
      </w:r>
      <w:r w:rsidRPr="004F4F96">
        <w:rPr>
          <w:szCs w:val="20"/>
        </w:rPr>
        <w:t>and</w:t>
      </w:r>
    </w:p>
    <w:p w14:paraId="100FD83A" w14:textId="77777777" w:rsidR="00221671" w:rsidRPr="001C47CB" w:rsidRDefault="00221671" w:rsidP="001C47CB">
      <w:pPr>
        <w:pStyle w:val="ListParagraph"/>
        <w:numPr>
          <w:ilvl w:val="0"/>
          <w:numId w:val="29"/>
        </w:numPr>
        <w:spacing w:before="0" w:beforeAutospacing="0" w:after="0" w:afterAutospacing="0"/>
        <w:ind w:left="714" w:hanging="357"/>
        <w:contextualSpacing w:val="0"/>
        <w:jc w:val="both"/>
        <w:rPr>
          <w:szCs w:val="20"/>
        </w:rPr>
      </w:pPr>
      <w:r w:rsidRPr="004F4F96">
        <w:rPr>
          <w:szCs w:val="20"/>
        </w:rPr>
        <w:t>writing.</w:t>
      </w:r>
      <w:r w:rsidRPr="00A244F5">
        <w:rPr>
          <w:noProof/>
          <w:lang w:val="en-US"/>
        </w:rPr>
        <w:t xml:space="preserve"> </w:t>
      </w:r>
    </w:p>
    <w:p w14:paraId="7865ED3B" w14:textId="7DC30BAB" w:rsidR="001C47CB" w:rsidRDefault="001C47CB" w:rsidP="001C47CB">
      <w:pPr>
        <w:spacing w:after="0"/>
        <w:jc w:val="both"/>
      </w:pPr>
    </w:p>
    <w:p w14:paraId="160C5402" w14:textId="3DA77B6D" w:rsidR="00221671" w:rsidRDefault="001C47CB" w:rsidP="002D28B3">
      <w:pPr>
        <w:spacing w:before="240" w:after="0"/>
        <w:jc w:val="both"/>
        <w:rPr>
          <w:rFonts w:cs="Arial"/>
        </w:rPr>
      </w:pPr>
      <w:r>
        <w:rPr>
          <w:noProof/>
          <w:lang w:eastAsia="en-AU"/>
        </w:rPr>
        <mc:AlternateContent>
          <mc:Choice Requires="wps">
            <w:drawing>
              <wp:anchor distT="0" distB="0" distL="114300" distR="114300" simplePos="0" relativeHeight="251842559" behindDoc="0" locked="0" layoutInCell="1" allowOverlap="1" wp14:anchorId="7E24356B" wp14:editId="49878696">
                <wp:simplePos x="0" y="0"/>
                <wp:positionH relativeFrom="column">
                  <wp:posOffset>8890</wp:posOffset>
                </wp:positionH>
                <wp:positionV relativeFrom="paragraph">
                  <wp:posOffset>241300</wp:posOffset>
                </wp:positionV>
                <wp:extent cx="5611495" cy="358140"/>
                <wp:effectExtent l="0" t="0" r="0" b="3810"/>
                <wp:wrapSquare wrapText="bothSides"/>
                <wp:docPr id="20" name="Text Box 20"/>
                <wp:cNvGraphicFramePr/>
                <a:graphic xmlns:a="http://schemas.openxmlformats.org/drawingml/2006/main">
                  <a:graphicData uri="http://schemas.microsoft.com/office/word/2010/wordprocessingShape">
                    <wps:wsp>
                      <wps:cNvSpPr txBox="1"/>
                      <wps:spPr>
                        <a:xfrm>
                          <a:off x="0" y="0"/>
                          <a:ext cx="5611495"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66C9F" w14:textId="77777777" w:rsidR="001E5A4B" w:rsidRPr="00752D28" w:rsidRDefault="001E5A4B" w:rsidP="001C47CB">
                            <w:pPr>
                              <w:spacing w:before="140" w:after="140"/>
                              <w:rPr>
                                <w:i/>
                                <w:sz w:val="18"/>
                                <w:szCs w:val="18"/>
                              </w:rPr>
                            </w:pPr>
                            <w:r w:rsidRPr="00752D28">
                              <w:rPr>
                                <w:b/>
                                <w:i/>
                                <w:sz w:val="18"/>
                                <w:szCs w:val="18"/>
                              </w:rPr>
                              <w:t>Fig 14</w:t>
                            </w:r>
                            <w:r w:rsidRPr="00752D28">
                              <w:rPr>
                                <w:i/>
                                <w:sz w:val="18"/>
                                <w:szCs w:val="18"/>
                              </w:rPr>
                              <w:tab/>
                              <w:t>Year 6 and 8 te-Kiribati literacy component performance</w:t>
                            </w:r>
                          </w:p>
                          <w:p w14:paraId="1577C188"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24356B" id="Text Box 20" o:spid="_x0000_s1037" type="#_x0000_t202" style="position:absolute;left:0;text-align:left;margin-left:.7pt;margin-top:19pt;width:441.85pt;height:28.2pt;z-index:251842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RdggIAAGwFAAAOAAAAZHJzL2Uyb0RvYy54bWysVN9P2zAQfp+0/8Hy+0gDLYOKFHUgpkkI&#10;0GDas+vYNJrt8+xrk+6v39lJSsX2wrQXx7n77nw/vruLy84atlUhNuAqXh5NOFNOQt2454p/e7r5&#10;cMZZROFqYcCpiu9U5JeL9+8uWj9Xx7AGU6vAyImL89ZXfI3o50UR5VpZEY/AK0dKDcEKpN/wXNRB&#10;tOTdmuJ4MjktWgi1DyBVjCS97pV8kf1rrSTeax0VMlNxig3zGfK5SmexuBDz5yD8upFDGOIforCi&#10;cfTo3tW1QME2ofnDlW1kgAgajyTYArRupMo5UDbl5FU2j2vhVc6FihP9vkzx/7mVd9uHwJq64sdU&#10;Hics9ehJdcg+QcdIRPVpfZwT7NETEDuSU59HeSRhSrvTwaYvJcRIT652++omb5KEs9OynJ7POJOk&#10;O5mdldPsvnix9iHiZwWWpUvFA3UvF1VsbyNSJAQdIekxBzeNMbmDxrG24qcns0k22GvIwriEVZkL&#10;g5uUUR95vuHOqIQx7qvSVIucQBJkFqorE9hWEH+ElMphzj37JXRCaQriLYYD/iWqtxj3eYwvg8O9&#10;sW0chJz9q7DrH2PIusdTIQ/yTlfsVl0mQbnv7ArqHTU8QD8y0cubhrpyKyI+iEAzQj2mucd7OrQB&#10;qj4MN87WEH79TZ7wRF3SctbSzFU8/tyIoDgzXxyR+rycEicY5p/p7GOiZDjUrA41bmOvgNpS0obx&#10;Ml8THs141QHsd1oPy/QqqYST9HbFcbxeYb8JaL1ItVxmEI2lF3jrHr1MrlOXEueeuu8i+IGYSJS+&#10;g3E6xfwVP3tssnSw3CDoJpM3Fbqv6tAAGunM6WH9pJ1x+J9RL0ty8RsAAP//AwBQSwMEFAAGAAgA&#10;AAAhAEAkP3HeAAAABwEAAA8AAABkcnMvZG93bnJldi54bWxMj8FOwzAQRO9I/IO1SNyo05IiE+JU&#10;VaQKCcGhpRdum9hNIuJ1iN028PUsp3IczWjmTb6aXC9OdgydJw3zWQLCUu1NR42G/fvmToEIEclg&#10;78lq+LYBVsX1VY6Z8Wfa2tMuNoJLKGSooY1xyKQMdWsdhpkfLLF38KPDyHJspBnxzOWul4skeZAO&#10;O+KFFgdbtrb+3B2dhpdy84bbauHUT18+vx7Ww9f+Y6n17c20fgIR7RQvYfjDZ3QomKnyRzJB9KxT&#10;Dmq4V/yIbaWWcxCVhsc0BVnk8j9/8QsAAP//AwBQSwECLQAUAAYACAAAACEAtoM4kv4AAADhAQAA&#10;EwAAAAAAAAAAAAAAAAAAAAAAW0NvbnRlbnRfVHlwZXNdLnhtbFBLAQItABQABgAIAAAAIQA4/SH/&#10;1gAAAJQBAAALAAAAAAAAAAAAAAAAAC8BAABfcmVscy8ucmVsc1BLAQItABQABgAIAAAAIQDajdRd&#10;ggIAAGwFAAAOAAAAAAAAAAAAAAAAAC4CAABkcnMvZTJvRG9jLnhtbFBLAQItABQABgAIAAAAIQBA&#10;JD9x3gAAAAcBAAAPAAAAAAAAAAAAAAAAANwEAABkcnMvZG93bnJldi54bWxQSwUGAAAAAAQABADz&#10;AAAA5wUAAAAA&#10;" filled="f" stroked="f" strokeweight=".5pt">
                <v:textbox>
                  <w:txbxContent>
                    <w:p w14:paraId="67A66C9F" w14:textId="77777777" w:rsidR="001E5A4B" w:rsidRPr="00752D28" w:rsidRDefault="001E5A4B" w:rsidP="001C47CB">
                      <w:pPr>
                        <w:spacing w:before="140" w:after="140"/>
                        <w:rPr>
                          <w:i/>
                          <w:sz w:val="18"/>
                          <w:szCs w:val="18"/>
                        </w:rPr>
                      </w:pPr>
                      <w:r w:rsidRPr="00752D28">
                        <w:rPr>
                          <w:b/>
                          <w:i/>
                          <w:sz w:val="18"/>
                          <w:szCs w:val="18"/>
                        </w:rPr>
                        <w:t>Fig 14</w:t>
                      </w:r>
                      <w:r w:rsidRPr="00752D28">
                        <w:rPr>
                          <w:i/>
                          <w:sz w:val="18"/>
                          <w:szCs w:val="18"/>
                        </w:rPr>
                        <w:tab/>
                        <w:t>Year 6 and 8 te-Kiribati literacy component performance</w:t>
                      </w:r>
                    </w:p>
                    <w:p w14:paraId="1577C188" w14:textId="77777777" w:rsidR="001E5A4B" w:rsidRDefault="001E5A4B"/>
                  </w:txbxContent>
                </v:textbox>
                <w10:wrap type="square"/>
              </v:shape>
            </w:pict>
          </mc:Fallback>
        </mc:AlternateContent>
      </w:r>
      <w:r>
        <w:rPr>
          <w:noProof/>
          <w:lang w:eastAsia="en-AU"/>
        </w:rPr>
        <w:drawing>
          <wp:anchor distT="0" distB="0" distL="114300" distR="114300" simplePos="0" relativeHeight="251810815" behindDoc="0" locked="0" layoutInCell="1" allowOverlap="1" wp14:anchorId="5DE5F6D7" wp14:editId="55A4D78F">
            <wp:simplePos x="0" y="0"/>
            <wp:positionH relativeFrom="margin">
              <wp:posOffset>64135</wp:posOffset>
            </wp:positionH>
            <wp:positionV relativeFrom="paragraph">
              <wp:posOffset>532130</wp:posOffset>
            </wp:positionV>
            <wp:extent cx="5611495" cy="2147570"/>
            <wp:effectExtent l="0" t="0" r="8255" b="5080"/>
            <wp:wrapTopAndBottom/>
            <wp:docPr id="74" name="Chart 74" descr="Graph compares Year 6 and Year 8 results across the five literacy components. Description provided in the text." title="Fig 14 Year 6 and 8 te-Kiribati literacy component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00221671">
        <w:rPr>
          <w:rFonts w:cs="Arial"/>
        </w:rPr>
        <w:t>The greatest improvement between Year 6 and 8 is in comprehension when reading text. Vocabulary and grammar skills also improve. Those students who have trouble understanding spoken te-Kiribati do not appear to improve, at least using this testing approach, in the two years. Skills in composing written texts appear to decline; perhaps as a result of lack of practice. Most written work in Year 7 and 8 is meant to be in English.</w:t>
      </w:r>
    </w:p>
    <w:p w14:paraId="7416462D" w14:textId="21ADD4A5" w:rsidR="001C47CB" w:rsidRDefault="00221671" w:rsidP="007A1DF9">
      <w:pPr>
        <w:spacing w:before="140" w:after="140"/>
        <w:jc w:val="both"/>
        <w:rPr>
          <w:rFonts w:cs="Arial"/>
        </w:rPr>
      </w:pPr>
      <w:r>
        <w:rPr>
          <w:rFonts w:cs="Arial"/>
        </w:rPr>
        <w:t>In Year 6, reading comprehension is by far the weakest skill. This was the also the case in 2013. It may well be due to the lack of suitable written material available in te-Kiribati.</w:t>
      </w:r>
      <w:r w:rsidR="007A1DF9">
        <w:rPr>
          <w:rFonts w:cs="Arial"/>
        </w:rPr>
        <w:t xml:space="preserve"> </w:t>
      </w:r>
    </w:p>
    <w:p w14:paraId="7B4CEBBC" w14:textId="77777777" w:rsidR="007A1DF9" w:rsidRDefault="007A1DF9">
      <w:pPr>
        <w:spacing w:line="276" w:lineRule="auto"/>
        <w:rPr>
          <w:rFonts w:asciiTheme="majorHAnsi" w:eastAsia="Times New Roman" w:hAnsiTheme="majorHAnsi" w:cstheme="majorHAnsi"/>
          <w:b/>
        </w:rPr>
      </w:pPr>
      <w:r>
        <w:rPr>
          <w:rFonts w:asciiTheme="majorHAnsi" w:eastAsia="Times New Roman" w:hAnsiTheme="majorHAnsi" w:cstheme="majorHAnsi"/>
          <w:b/>
        </w:rPr>
        <w:br w:type="page"/>
      </w:r>
    </w:p>
    <w:p w14:paraId="73CFE16E" w14:textId="24C38187" w:rsidR="00221671" w:rsidRPr="001C47CB" w:rsidRDefault="001C47CB" w:rsidP="001C47CB">
      <w:pPr>
        <w:spacing w:before="140" w:after="140"/>
        <w:rPr>
          <w:rFonts w:cs="Arial"/>
          <w:b/>
        </w:rPr>
      </w:pPr>
      <w:r w:rsidRPr="001C47CB">
        <w:rPr>
          <w:rFonts w:asciiTheme="majorHAnsi" w:eastAsia="Times New Roman" w:hAnsiTheme="majorHAnsi" w:cstheme="majorHAnsi"/>
          <w:b/>
        </w:rPr>
        <w:lastRenderedPageBreak/>
        <w:t>Table 6 te-Kiribati performance by district</w:t>
      </w:r>
    </w:p>
    <w:tbl>
      <w:tblPr>
        <w:tblStyle w:val="MediumShading2-Accent1"/>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Table 6 te-Kiribati performance by district"/>
      </w:tblPr>
      <w:tblGrid>
        <w:gridCol w:w="1528"/>
        <w:gridCol w:w="1283"/>
        <w:gridCol w:w="1226"/>
        <w:gridCol w:w="1347"/>
        <w:gridCol w:w="1178"/>
        <w:gridCol w:w="1227"/>
        <w:gridCol w:w="1347"/>
      </w:tblGrid>
      <w:tr w:rsidR="00221671" w:rsidRPr="0025605A" w14:paraId="4D933C6D" w14:textId="77777777" w:rsidTr="00956E4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shd w:val="clear" w:color="auto" w:fill="A25EA6"/>
            <w:noWrap/>
            <w:hideMark/>
          </w:tcPr>
          <w:p w14:paraId="090822FD" w14:textId="77777777" w:rsidR="00221671" w:rsidRDefault="00221671" w:rsidP="001C47CB">
            <w:pPr>
              <w:rPr>
                <w:rFonts w:asciiTheme="majorHAnsi" w:eastAsia="Times New Roman" w:hAnsiTheme="majorHAnsi" w:cstheme="majorHAnsi"/>
              </w:rPr>
            </w:pPr>
            <w:r w:rsidRPr="001C47CB">
              <w:rPr>
                <w:rFonts w:asciiTheme="majorHAnsi" w:eastAsia="Times New Roman" w:hAnsiTheme="majorHAnsi" w:cstheme="majorHAnsi"/>
              </w:rPr>
              <w:t>Table 6</w:t>
            </w:r>
          </w:p>
          <w:p w14:paraId="20359EC1" w14:textId="77777777" w:rsidR="001C47CB" w:rsidRPr="001C47CB" w:rsidRDefault="001C47CB" w:rsidP="001C47CB">
            <w:pPr>
              <w:rPr>
                <w:rFonts w:asciiTheme="majorHAnsi" w:eastAsia="Times New Roman" w:hAnsiTheme="majorHAnsi" w:cstheme="majorHAnsi"/>
              </w:rPr>
            </w:pPr>
          </w:p>
          <w:p w14:paraId="1832F84A" w14:textId="77777777" w:rsidR="00221671" w:rsidRPr="001C47CB" w:rsidRDefault="00221671" w:rsidP="001C47CB">
            <w:pPr>
              <w:rPr>
                <w:rFonts w:asciiTheme="majorHAnsi" w:eastAsia="Times New Roman" w:hAnsiTheme="majorHAnsi" w:cstheme="majorHAnsi"/>
              </w:rPr>
            </w:pPr>
            <w:r w:rsidRPr="001C47CB">
              <w:rPr>
                <w:rFonts w:asciiTheme="majorHAnsi" w:eastAsia="Times New Roman" w:hAnsiTheme="majorHAnsi" w:cstheme="majorHAnsi"/>
              </w:rPr>
              <w:t>te-Kiribati</w:t>
            </w:r>
          </w:p>
          <w:p w14:paraId="766BE115" w14:textId="77777777" w:rsidR="00221671" w:rsidRPr="001C47CB" w:rsidRDefault="00221671" w:rsidP="001C47CB">
            <w:pPr>
              <w:rPr>
                <w:rFonts w:asciiTheme="majorHAnsi" w:eastAsia="Times New Roman" w:hAnsiTheme="majorHAnsi" w:cstheme="majorHAnsi"/>
              </w:rPr>
            </w:pPr>
            <w:r w:rsidRPr="001C47CB">
              <w:rPr>
                <w:rFonts w:asciiTheme="majorHAnsi" w:eastAsia="Times New Roman" w:hAnsiTheme="majorHAnsi" w:cstheme="majorHAnsi"/>
              </w:rPr>
              <w:t>performance</w:t>
            </w:r>
          </w:p>
          <w:p w14:paraId="23A6D74B" w14:textId="77777777" w:rsidR="00221671" w:rsidRPr="001C47CB" w:rsidRDefault="00221671" w:rsidP="001C47CB">
            <w:pPr>
              <w:rPr>
                <w:rFonts w:asciiTheme="majorHAnsi" w:eastAsia="Times New Roman" w:hAnsiTheme="majorHAnsi" w:cstheme="majorHAnsi"/>
              </w:rPr>
            </w:pPr>
            <w:r w:rsidRPr="001C47CB">
              <w:rPr>
                <w:rFonts w:asciiTheme="majorHAnsi" w:eastAsia="Times New Roman" w:hAnsiTheme="majorHAnsi" w:cstheme="majorHAnsi"/>
              </w:rPr>
              <w:t>by district</w:t>
            </w:r>
          </w:p>
        </w:tc>
        <w:tc>
          <w:tcPr>
            <w:tcW w:w="0" w:type="auto"/>
            <w:gridSpan w:val="3"/>
            <w:tcBorders>
              <w:top w:val="none" w:sz="0" w:space="0" w:color="auto"/>
              <w:left w:val="none" w:sz="0" w:space="0" w:color="auto"/>
              <w:bottom w:val="none" w:sz="0" w:space="0" w:color="auto"/>
              <w:right w:val="none" w:sz="0" w:space="0" w:color="auto"/>
            </w:tcBorders>
            <w:shd w:val="clear" w:color="auto" w:fill="A25EA6"/>
            <w:noWrap/>
            <w:hideMark/>
          </w:tcPr>
          <w:p w14:paraId="529E2B0B" w14:textId="77777777" w:rsidR="00221671" w:rsidRPr="001C47CB"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1C47CB">
              <w:rPr>
                <w:rFonts w:asciiTheme="majorHAnsi" w:eastAsia="Times New Roman" w:hAnsiTheme="majorHAnsi" w:cstheme="majorHAnsi"/>
              </w:rPr>
              <w:t>Year 6</w:t>
            </w:r>
          </w:p>
        </w:tc>
        <w:tc>
          <w:tcPr>
            <w:tcW w:w="0" w:type="auto"/>
            <w:gridSpan w:val="3"/>
            <w:tcBorders>
              <w:top w:val="none" w:sz="0" w:space="0" w:color="auto"/>
              <w:left w:val="none" w:sz="0" w:space="0" w:color="auto"/>
              <w:bottom w:val="none" w:sz="0" w:space="0" w:color="auto"/>
              <w:right w:val="none" w:sz="0" w:space="0" w:color="auto"/>
            </w:tcBorders>
            <w:shd w:val="clear" w:color="auto" w:fill="A25EA6"/>
            <w:noWrap/>
            <w:hideMark/>
          </w:tcPr>
          <w:p w14:paraId="18E613D3" w14:textId="77777777" w:rsidR="00221671" w:rsidRPr="001C47CB"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1C47CB">
              <w:rPr>
                <w:rFonts w:asciiTheme="majorHAnsi" w:eastAsia="Times New Roman" w:hAnsiTheme="majorHAnsi" w:cstheme="majorHAnsi"/>
              </w:rPr>
              <w:t>Year 8</w:t>
            </w:r>
          </w:p>
        </w:tc>
      </w:tr>
      <w:tr w:rsidR="00221671" w:rsidRPr="0025605A" w14:paraId="7B48E93A" w14:textId="77777777" w:rsidTr="00956E4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vMerge/>
            <w:tcBorders>
              <w:left w:val="none" w:sz="0" w:space="0" w:color="auto"/>
              <w:bottom w:val="none" w:sz="0" w:space="0" w:color="auto"/>
              <w:right w:val="none" w:sz="0" w:space="0" w:color="auto"/>
            </w:tcBorders>
            <w:noWrap/>
            <w:hideMark/>
          </w:tcPr>
          <w:p w14:paraId="2481F2F9" w14:textId="77777777" w:rsidR="00221671" w:rsidRPr="001C47CB" w:rsidRDefault="00221671" w:rsidP="00ED0631">
            <w:pPr>
              <w:spacing w:before="140" w:after="140"/>
              <w:rPr>
                <w:rFonts w:asciiTheme="majorHAnsi" w:eastAsia="Times New Roman" w:hAnsiTheme="majorHAnsi" w:cstheme="majorHAnsi"/>
              </w:rPr>
            </w:pPr>
          </w:p>
        </w:tc>
        <w:tc>
          <w:tcPr>
            <w:tcW w:w="0" w:type="auto"/>
            <w:hideMark/>
          </w:tcPr>
          <w:p w14:paraId="2852F7FA"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rPr>
            </w:pPr>
            <w:r w:rsidRPr="001C47CB">
              <w:rPr>
                <w:rFonts w:asciiTheme="majorHAnsi" w:eastAsia="Times New Roman" w:hAnsiTheme="majorHAnsi" w:cstheme="majorHAnsi"/>
                <w:bCs/>
              </w:rPr>
              <w:t>no evidence or critically below expected level</w:t>
            </w:r>
          </w:p>
        </w:tc>
        <w:tc>
          <w:tcPr>
            <w:tcW w:w="0" w:type="auto"/>
            <w:hideMark/>
          </w:tcPr>
          <w:p w14:paraId="11FFEA2B"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rPr>
            </w:pPr>
            <w:r w:rsidRPr="001C47CB">
              <w:rPr>
                <w:rFonts w:asciiTheme="majorHAnsi" w:eastAsia="Times New Roman" w:hAnsiTheme="majorHAnsi" w:cstheme="majorHAnsi"/>
                <w:bCs/>
              </w:rPr>
              <w:t>working towards expected level</w:t>
            </w:r>
          </w:p>
        </w:tc>
        <w:tc>
          <w:tcPr>
            <w:tcW w:w="0" w:type="auto"/>
            <w:hideMark/>
          </w:tcPr>
          <w:p w14:paraId="21C73DE1"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rPr>
            </w:pPr>
            <w:r w:rsidRPr="001C47CB">
              <w:rPr>
                <w:rFonts w:asciiTheme="majorHAnsi" w:eastAsia="Times New Roman" w:hAnsiTheme="majorHAnsi" w:cstheme="majorHAnsi"/>
                <w:bCs/>
              </w:rPr>
              <w:t>working at or above expected level</w:t>
            </w:r>
          </w:p>
        </w:tc>
        <w:tc>
          <w:tcPr>
            <w:tcW w:w="0" w:type="auto"/>
            <w:hideMark/>
          </w:tcPr>
          <w:p w14:paraId="739D9470"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rPr>
            </w:pPr>
            <w:r w:rsidRPr="001C47CB">
              <w:rPr>
                <w:rFonts w:asciiTheme="majorHAnsi" w:eastAsia="Times New Roman" w:hAnsiTheme="majorHAnsi" w:cstheme="majorHAnsi"/>
                <w:bCs/>
              </w:rPr>
              <w:t>no evidence or critically below expected level</w:t>
            </w:r>
          </w:p>
        </w:tc>
        <w:tc>
          <w:tcPr>
            <w:tcW w:w="0" w:type="auto"/>
            <w:hideMark/>
          </w:tcPr>
          <w:p w14:paraId="7F547343"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rPr>
            </w:pPr>
            <w:r w:rsidRPr="001C47CB">
              <w:rPr>
                <w:rFonts w:asciiTheme="majorHAnsi" w:eastAsia="Times New Roman" w:hAnsiTheme="majorHAnsi" w:cstheme="majorHAnsi"/>
                <w:bCs/>
              </w:rPr>
              <w:t>working towards expected level</w:t>
            </w:r>
          </w:p>
        </w:tc>
        <w:tc>
          <w:tcPr>
            <w:tcW w:w="0" w:type="auto"/>
            <w:hideMark/>
          </w:tcPr>
          <w:p w14:paraId="65D6C4CD"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Cs/>
              </w:rPr>
            </w:pPr>
            <w:r w:rsidRPr="001C47CB">
              <w:rPr>
                <w:rFonts w:asciiTheme="majorHAnsi" w:eastAsia="Times New Roman" w:hAnsiTheme="majorHAnsi" w:cstheme="majorHAnsi"/>
                <w:bCs/>
              </w:rPr>
              <w:t>working at or above expected level</w:t>
            </w:r>
          </w:p>
        </w:tc>
      </w:tr>
      <w:tr w:rsidR="00221671" w:rsidRPr="0025605A" w14:paraId="590D4A86" w14:textId="77777777" w:rsidTr="00956E4D">
        <w:trPr>
          <w:trHeight w:val="32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auto"/>
            <w:noWrap/>
            <w:hideMark/>
          </w:tcPr>
          <w:p w14:paraId="37284078" w14:textId="77777777" w:rsidR="00221671" w:rsidRPr="00956E4D" w:rsidRDefault="00221671" w:rsidP="00ED0631">
            <w:pPr>
              <w:spacing w:before="140" w:after="140"/>
              <w:rPr>
                <w:rFonts w:asciiTheme="majorHAnsi" w:eastAsia="Times New Roman" w:hAnsiTheme="majorHAnsi" w:cstheme="majorHAnsi"/>
                <w:color w:val="auto"/>
              </w:rPr>
            </w:pPr>
            <w:r w:rsidRPr="00956E4D">
              <w:rPr>
                <w:rFonts w:asciiTheme="majorHAnsi" w:eastAsia="Times New Roman" w:hAnsiTheme="majorHAnsi" w:cstheme="majorHAnsi"/>
                <w:color w:val="auto"/>
              </w:rPr>
              <w:t>Total</w:t>
            </w:r>
          </w:p>
        </w:tc>
        <w:tc>
          <w:tcPr>
            <w:tcW w:w="0" w:type="auto"/>
            <w:noWrap/>
            <w:hideMark/>
          </w:tcPr>
          <w:p w14:paraId="1E3E12BD"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335 (18%)</w:t>
            </w:r>
          </w:p>
        </w:tc>
        <w:tc>
          <w:tcPr>
            <w:tcW w:w="0" w:type="auto"/>
            <w:noWrap/>
            <w:hideMark/>
          </w:tcPr>
          <w:p w14:paraId="4E6199A7"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528 (28%)</w:t>
            </w:r>
          </w:p>
        </w:tc>
        <w:tc>
          <w:tcPr>
            <w:tcW w:w="0" w:type="auto"/>
            <w:noWrap/>
            <w:hideMark/>
          </w:tcPr>
          <w:p w14:paraId="11506FF7"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1019 (54%)</w:t>
            </w:r>
          </w:p>
        </w:tc>
        <w:tc>
          <w:tcPr>
            <w:tcW w:w="0" w:type="auto"/>
            <w:noWrap/>
            <w:hideMark/>
          </w:tcPr>
          <w:p w14:paraId="55E41778"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108 (8%)</w:t>
            </w:r>
          </w:p>
        </w:tc>
        <w:tc>
          <w:tcPr>
            <w:tcW w:w="0" w:type="auto"/>
            <w:noWrap/>
            <w:hideMark/>
          </w:tcPr>
          <w:p w14:paraId="2A652E09"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274 (20%)</w:t>
            </w:r>
          </w:p>
        </w:tc>
        <w:tc>
          <w:tcPr>
            <w:tcW w:w="0" w:type="auto"/>
            <w:noWrap/>
            <w:hideMark/>
          </w:tcPr>
          <w:p w14:paraId="06A3E823"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1005 (72%)</w:t>
            </w:r>
          </w:p>
        </w:tc>
      </w:tr>
      <w:tr w:rsidR="00221671" w:rsidRPr="0025605A" w14:paraId="5099487B" w14:textId="77777777" w:rsidTr="00956E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D9D9D9" w:themeFill="background1" w:themeFillShade="D9"/>
            <w:noWrap/>
            <w:hideMark/>
          </w:tcPr>
          <w:p w14:paraId="6DF0DF47" w14:textId="77777777" w:rsidR="00221671" w:rsidRPr="00956E4D" w:rsidRDefault="00221671" w:rsidP="00ED0631">
            <w:pPr>
              <w:spacing w:before="140" w:after="140"/>
              <w:rPr>
                <w:rFonts w:asciiTheme="majorHAnsi" w:eastAsia="Times New Roman" w:hAnsiTheme="majorHAnsi" w:cstheme="majorHAnsi"/>
                <w:color w:val="auto"/>
              </w:rPr>
            </w:pPr>
            <w:r w:rsidRPr="00956E4D">
              <w:rPr>
                <w:rFonts w:asciiTheme="majorHAnsi" w:eastAsia="Times New Roman" w:hAnsiTheme="majorHAnsi" w:cstheme="majorHAnsi"/>
                <w:color w:val="auto"/>
              </w:rPr>
              <w:t>Central</w:t>
            </w:r>
          </w:p>
        </w:tc>
        <w:tc>
          <w:tcPr>
            <w:tcW w:w="0" w:type="auto"/>
            <w:shd w:val="clear" w:color="auto" w:fill="D9D9D9" w:themeFill="background1" w:themeFillShade="D9"/>
            <w:noWrap/>
            <w:hideMark/>
          </w:tcPr>
          <w:p w14:paraId="4CB29683"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20 (10%)</w:t>
            </w:r>
          </w:p>
        </w:tc>
        <w:tc>
          <w:tcPr>
            <w:tcW w:w="0" w:type="auto"/>
            <w:noWrap/>
            <w:hideMark/>
          </w:tcPr>
          <w:p w14:paraId="7A44F2D5"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65 (31%)</w:t>
            </w:r>
          </w:p>
        </w:tc>
        <w:tc>
          <w:tcPr>
            <w:tcW w:w="0" w:type="auto"/>
            <w:noWrap/>
            <w:hideMark/>
          </w:tcPr>
          <w:p w14:paraId="4224CE03"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125 (60%)</w:t>
            </w:r>
          </w:p>
        </w:tc>
        <w:tc>
          <w:tcPr>
            <w:tcW w:w="0" w:type="auto"/>
            <w:noWrap/>
            <w:hideMark/>
          </w:tcPr>
          <w:p w14:paraId="19003404"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9 (5%)</w:t>
            </w:r>
          </w:p>
        </w:tc>
        <w:tc>
          <w:tcPr>
            <w:tcW w:w="0" w:type="auto"/>
            <w:noWrap/>
            <w:hideMark/>
          </w:tcPr>
          <w:p w14:paraId="37D838A6"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34 (19%)</w:t>
            </w:r>
          </w:p>
        </w:tc>
        <w:tc>
          <w:tcPr>
            <w:tcW w:w="0" w:type="auto"/>
            <w:noWrap/>
            <w:hideMark/>
          </w:tcPr>
          <w:p w14:paraId="7D01FECF"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137 (76%)</w:t>
            </w:r>
          </w:p>
        </w:tc>
      </w:tr>
      <w:tr w:rsidR="00221671" w:rsidRPr="0025605A" w14:paraId="6FBFD5D3" w14:textId="77777777" w:rsidTr="00956E4D">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auto"/>
            <w:noWrap/>
            <w:hideMark/>
          </w:tcPr>
          <w:p w14:paraId="237E6523" w14:textId="77777777" w:rsidR="00221671" w:rsidRPr="00956E4D" w:rsidRDefault="00221671" w:rsidP="00ED0631">
            <w:pPr>
              <w:spacing w:before="140" w:after="140"/>
              <w:rPr>
                <w:rFonts w:asciiTheme="majorHAnsi" w:eastAsia="Times New Roman" w:hAnsiTheme="majorHAnsi" w:cstheme="majorHAnsi"/>
                <w:color w:val="auto"/>
              </w:rPr>
            </w:pPr>
            <w:r w:rsidRPr="00956E4D">
              <w:rPr>
                <w:rFonts w:asciiTheme="majorHAnsi" w:eastAsia="Times New Roman" w:hAnsiTheme="majorHAnsi" w:cstheme="majorHAnsi"/>
                <w:color w:val="auto"/>
              </w:rPr>
              <w:t>North</w:t>
            </w:r>
          </w:p>
        </w:tc>
        <w:tc>
          <w:tcPr>
            <w:tcW w:w="0" w:type="auto"/>
            <w:noWrap/>
            <w:hideMark/>
          </w:tcPr>
          <w:p w14:paraId="42FAAA02"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66 (17%)</w:t>
            </w:r>
          </w:p>
        </w:tc>
        <w:tc>
          <w:tcPr>
            <w:tcW w:w="0" w:type="auto"/>
            <w:noWrap/>
            <w:hideMark/>
          </w:tcPr>
          <w:p w14:paraId="2558F4B5"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103 (27%)</w:t>
            </w:r>
          </w:p>
        </w:tc>
        <w:tc>
          <w:tcPr>
            <w:tcW w:w="0" w:type="auto"/>
            <w:noWrap/>
            <w:hideMark/>
          </w:tcPr>
          <w:p w14:paraId="60B07F65"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214 (56%)</w:t>
            </w:r>
          </w:p>
        </w:tc>
        <w:tc>
          <w:tcPr>
            <w:tcW w:w="0" w:type="auto"/>
            <w:noWrap/>
            <w:hideMark/>
          </w:tcPr>
          <w:p w14:paraId="6E143602"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10 (4%)</w:t>
            </w:r>
          </w:p>
        </w:tc>
        <w:tc>
          <w:tcPr>
            <w:tcW w:w="0" w:type="auto"/>
            <w:noWrap/>
            <w:hideMark/>
          </w:tcPr>
          <w:p w14:paraId="1868CF48"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61 (24%)</w:t>
            </w:r>
          </w:p>
        </w:tc>
        <w:tc>
          <w:tcPr>
            <w:tcW w:w="0" w:type="auto"/>
            <w:noWrap/>
            <w:hideMark/>
          </w:tcPr>
          <w:p w14:paraId="07E4CE02"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185 (72%)</w:t>
            </w:r>
          </w:p>
        </w:tc>
      </w:tr>
      <w:tr w:rsidR="00221671" w:rsidRPr="0025605A" w14:paraId="57C49E4B" w14:textId="77777777" w:rsidTr="00956E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D9D9D9" w:themeFill="background1" w:themeFillShade="D9"/>
            <w:noWrap/>
            <w:hideMark/>
          </w:tcPr>
          <w:p w14:paraId="2D7AFB36" w14:textId="77777777" w:rsidR="00221671" w:rsidRPr="00956E4D" w:rsidRDefault="00221671" w:rsidP="00ED0631">
            <w:pPr>
              <w:spacing w:before="140" w:after="140"/>
              <w:rPr>
                <w:rFonts w:asciiTheme="majorHAnsi" w:eastAsia="Times New Roman" w:hAnsiTheme="majorHAnsi" w:cstheme="majorHAnsi"/>
                <w:color w:val="auto"/>
              </w:rPr>
            </w:pPr>
            <w:r w:rsidRPr="00956E4D">
              <w:rPr>
                <w:rFonts w:asciiTheme="majorHAnsi" w:eastAsia="Times New Roman" w:hAnsiTheme="majorHAnsi" w:cstheme="majorHAnsi"/>
                <w:color w:val="auto"/>
              </w:rPr>
              <w:t>South</w:t>
            </w:r>
          </w:p>
        </w:tc>
        <w:tc>
          <w:tcPr>
            <w:tcW w:w="0" w:type="auto"/>
            <w:noWrap/>
            <w:hideMark/>
          </w:tcPr>
          <w:p w14:paraId="62040E52"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27 (10%)</w:t>
            </w:r>
          </w:p>
        </w:tc>
        <w:tc>
          <w:tcPr>
            <w:tcW w:w="0" w:type="auto"/>
            <w:noWrap/>
            <w:hideMark/>
          </w:tcPr>
          <w:p w14:paraId="50A65979"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70 (26%)</w:t>
            </w:r>
          </w:p>
        </w:tc>
        <w:tc>
          <w:tcPr>
            <w:tcW w:w="0" w:type="auto"/>
            <w:noWrap/>
            <w:hideMark/>
          </w:tcPr>
          <w:p w14:paraId="18C35033"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169 (64%)</w:t>
            </w:r>
          </w:p>
        </w:tc>
        <w:tc>
          <w:tcPr>
            <w:tcW w:w="0" w:type="auto"/>
            <w:noWrap/>
            <w:hideMark/>
          </w:tcPr>
          <w:p w14:paraId="17E874D2"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9 (4%)</w:t>
            </w:r>
          </w:p>
        </w:tc>
        <w:tc>
          <w:tcPr>
            <w:tcW w:w="0" w:type="auto"/>
            <w:noWrap/>
            <w:hideMark/>
          </w:tcPr>
          <w:p w14:paraId="4BD649EC"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36 (15%)</w:t>
            </w:r>
          </w:p>
        </w:tc>
        <w:tc>
          <w:tcPr>
            <w:tcW w:w="0" w:type="auto"/>
            <w:noWrap/>
            <w:hideMark/>
          </w:tcPr>
          <w:p w14:paraId="76DEADF6"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192 (81%)</w:t>
            </w:r>
          </w:p>
        </w:tc>
      </w:tr>
      <w:tr w:rsidR="00221671" w:rsidRPr="0025605A" w14:paraId="3DAC740A" w14:textId="77777777" w:rsidTr="00956E4D">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auto"/>
            <w:noWrap/>
            <w:hideMark/>
          </w:tcPr>
          <w:p w14:paraId="2CF97AB0" w14:textId="77777777" w:rsidR="00221671" w:rsidRPr="00956E4D" w:rsidRDefault="00221671" w:rsidP="00ED0631">
            <w:pPr>
              <w:spacing w:before="140" w:after="140"/>
              <w:rPr>
                <w:rFonts w:asciiTheme="majorHAnsi" w:eastAsia="Times New Roman" w:hAnsiTheme="majorHAnsi" w:cstheme="majorHAnsi"/>
                <w:color w:val="auto"/>
              </w:rPr>
            </w:pPr>
            <w:r w:rsidRPr="00956E4D">
              <w:rPr>
                <w:rFonts w:asciiTheme="majorHAnsi" w:eastAsia="Times New Roman" w:hAnsiTheme="majorHAnsi" w:cstheme="majorHAnsi"/>
                <w:color w:val="auto"/>
              </w:rPr>
              <w:t>Linnux</w:t>
            </w:r>
          </w:p>
        </w:tc>
        <w:tc>
          <w:tcPr>
            <w:tcW w:w="0" w:type="auto"/>
            <w:noWrap/>
            <w:hideMark/>
          </w:tcPr>
          <w:p w14:paraId="79E48ACD"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54 (26%)</w:t>
            </w:r>
          </w:p>
        </w:tc>
        <w:tc>
          <w:tcPr>
            <w:tcW w:w="0" w:type="auto"/>
            <w:noWrap/>
            <w:hideMark/>
          </w:tcPr>
          <w:p w14:paraId="4FADC4A5"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69 (33%)</w:t>
            </w:r>
          </w:p>
        </w:tc>
        <w:tc>
          <w:tcPr>
            <w:tcW w:w="0" w:type="auto"/>
            <w:noWrap/>
            <w:hideMark/>
          </w:tcPr>
          <w:p w14:paraId="585DD69D"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86 (41%)</w:t>
            </w:r>
          </w:p>
        </w:tc>
        <w:tc>
          <w:tcPr>
            <w:tcW w:w="0" w:type="auto"/>
            <w:noWrap/>
            <w:hideMark/>
          </w:tcPr>
          <w:p w14:paraId="22FF3BB9"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12 (8%)</w:t>
            </w:r>
          </w:p>
        </w:tc>
        <w:tc>
          <w:tcPr>
            <w:tcW w:w="0" w:type="auto"/>
            <w:noWrap/>
            <w:hideMark/>
          </w:tcPr>
          <w:p w14:paraId="34A2F742"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29 (20%)</w:t>
            </w:r>
          </w:p>
        </w:tc>
        <w:tc>
          <w:tcPr>
            <w:tcW w:w="0" w:type="auto"/>
            <w:noWrap/>
            <w:hideMark/>
          </w:tcPr>
          <w:p w14:paraId="6AF46AA7" w14:textId="77777777" w:rsidR="00221671" w:rsidRPr="001C47CB"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101 (71%)</w:t>
            </w:r>
          </w:p>
        </w:tc>
      </w:tr>
      <w:tr w:rsidR="00221671" w:rsidRPr="0025605A" w14:paraId="3E56C234" w14:textId="77777777" w:rsidTr="00956E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D9D9D9" w:themeFill="background1" w:themeFillShade="D9"/>
            <w:noWrap/>
            <w:hideMark/>
          </w:tcPr>
          <w:p w14:paraId="1BEC88B7" w14:textId="77777777" w:rsidR="00221671" w:rsidRPr="00956E4D" w:rsidRDefault="00221671" w:rsidP="00ED0631">
            <w:pPr>
              <w:spacing w:before="140" w:after="140"/>
              <w:rPr>
                <w:rFonts w:asciiTheme="majorHAnsi" w:eastAsia="Times New Roman" w:hAnsiTheme="majorHAnsi" w:cstheme="majorHAnsi"/>
                <w:color w:val="auto"/>
              </w:rPr>
            </w:pPr>
            <w:r w:rsidRPr="00956E4D">
              <w:rPr>
                <w:rFonts w:asciiTheme="majorHAnsi" w:eastAsia="Times New Roman" w:hAnsiTheme="majorHAnsi" w:cstheme="majorHAnsi"/>
                <w:color w:val="auto"/>
              </w:rPr>
              <w:t>South Tarawa</w:t>
            </w:r>
          </w:p>
        </w:tc>
        <w:tc>
          <w:tcPr>
            <w:tcW w:w="0" w:type="auto"/>
            <w:noWrap/>
            <w:hideMark/>
          </w:tcPr>
          <w:p w14:paraId="5C45893B"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168 (21%)</w:t>
            </w:r>
          </w:p>
        </w:tc>
        <w:tc>
          <w:tcPr>
            <w:tcW w:w="0" w:type="auto"/>
            <w:noWrap/>
            <w:hideMark/>
          </w:tcPr>
          <w:p w14:paraId="72AE7179"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221 (27%)</w:t>
            </w:r>
          </w:p>
        </w:tc>
        <w:tc>
          <w:tcPr>
            <w:tcW w:w="0" w:type="auto"/>
            <w:noWrap/>
            <w:hideMark/>
          </w:tcPr>
          <w:p w14:paraId="29443561"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425 (52%)</w:t>
            </w:r>
          </w:p>
        </w:tc>
        <w:tc>
          <w:tcPr>
            <w:tcW w:w="0" w:type="auto"/>
            <w:noWrap/>
            <w:hideMark/>
          </w:tcPr>
          <w:p w14:paraId="38C09EFC"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68 (12%)</w:t>
            </w:r>
          </w:p>
        </w:tc>
        <w:tc>
          <w:tcPr>
            <w:tcW w:w="0" w:type="auto"/>
            <w:noWrap/>
            <w:hideMark/>
          </w:tcPr>
          <w:p w14:paraId="509FEDBB"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114 (20%)</w:t>
            </w:r>
          </w:p>
        </w:tc>
        <w:tc>
          <w:tcPr>
            <w:tcW w:w="0" w:type="auto"/>
            <w:noWrap/>
            <w:hideMark/>
          </w:tcPr>
          <w:p w14:paraId="22700404" w14:textId="77777777" w:rsidR="00221671" w:rsidRPr="001C47CB"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1C47CB">
              <w:rPr>
                <w:rFonts w:asciiTheme="majorHAnsi" w:eastAsia="Times New Roman" w:hAnsiTheme="majorHAnsi" w:cstheme="majorHAnsi"/>
                <w:color w:val="000000"/>
              </w:rPr>
              <w:t>390 (68%)</w:t>
            </w:r>
          </w:p>
        </w:tc>
      </w:tr>
    </w:tbl>
    <w:p w14:paraId="216519F0" w14:textId="77777777" w:rsidR="00221671" w:rsidRDefault="00221671" w:rsidP="00ED0631">
      <w:pPr>
        <w:spacing w:before="140" w:after="140"/>
        <w:jc w:val="both"/>
        <w:rPr>
          <w:rFonts w:cs="Arial"/>
        </w:rPr>
      </w:pPr>
      <w:r>
        <w:rPr>
          <w:rFonts w:cs="Arial"/>
        </w:rPr>
        <w:t>Whilst the Line Islands performed worst in Year 6 they recover in year 8 to perform comparably to other districts.</w:t>
      </w:r>
    </w:p>
    <w:p w14:paraId="38D443B2" w14:textId="77777777" w:rsidR="00221671" w:rsidRPr="001D3638" w:rsidRDefault="00221671" w:rsidP="00ED0631">
      <w:pPr>
        <w:spacing w:before="140" w:after="140"/>
        <w:rPr>
          <w:i/>
          <w:sz w:val="18"/>
          <w:szCs w:val="18"/>
        </w:rPr>
      </w:pPr>
      <w:r w:rsidRPr="009201DA">
        <w:rPr>
          <w:b/>
          <w:i/>
          <w:sz w:val="18"/>
          <w:szCs w:val="18"/>
        </w:rPr>
        <w:t xml:space="preserve">Fig </w:t>
      </w:r>
      <w:r>
        <w:rPr>
          <w:b/>
          <w:i/>
          <w:sz w:val="18"/>
          <w:szCs w:val="18"/>
        </w:rPr>
        <w:t>15</w:t>
      </w:r>
      <w:r w:rsidRPr="009201DA">
        <w:rPr>
          <w:i/>
          <w:sz w:val="18"/>
          <w:szCs w:val="18"/>
        </w:rPr>
        <w:tab/>
        <w:t xml:space="preserve">Year </w:t>
      </w:r>
      <w:r>
        <w:rPr>
          <w:i/>
          <w:sz w:val="18"/>
          <w:szCs w:val="18"/>
        </w:rPr>
        <w:t xml:space="preserve">6 and </w:t>
      </w:r>
      <w:r w:rsidRPr="009201DA">
        <w:rPr>
          <w:i/>
          <w:sz w:val="18"/>
          <w:szCs w:val="18"/>
        </w:rPr>
        <w:t xml:space="preserve">8 te-Kiribati </w:t>
      </w:r>
      <w:r>
        <w:rPr>
          <w:i/>
          <w:sz w:val="18"/>
          <w:szCs w:val="18"/>
        </w:rPr>
        <w:t>gender performance</w:t>
      </w:r>
    </w:p>
    <w:p w14:paraId="4235E047" w14:textId="77777777" w:rsidR="00221671" w:rsidRDefault="00221671" w:rsidP="00ED0631">
      <w:pPr>
        <w:spacing w:before="140" w:after="140"/>
        <w:jc w:val="both"/>
        <w:rPr>
          <w:rFonts w:cs="Arial"/>
        </w:rPr>
      </w:pPr>
      <w:r>
        <w:rPr>
          <w:noProof/>
          <w:lang w:eastAsia="en-AU"/>
        </w:rPr>
        <w:drawing>
          <wp:anchor distT="0" distB="0" distL="114300" distR="114300" simplePos="0" relativeHeight="251811839" behindDoc="0" locked="0" layoutInCell="1" allowOverlap="1" wp14:anchorId="350EAAEA" wp14:editId="47CCFD59">
            <wp:simplePos x="0" y="0"/>
            <wp:positionH relativeFrom="margin">
              <wp:align>left</wp:align>
            </wp:positionH>
            <wp:positionV relativeFrom="paragraph">
              <wp:posOffset>36830</wp:posOffset>
            </wp:positionV>
            <wp:extent cx="2780030" cy="2242185"/>
            <wp:effectExtent l="0" t="0" r="1270" b="5715"/>
            <wp:wrapThrough wrapText="bothSides">
              <wp:wrapPolygon edited="0">
                <wp:start x="0" y="0"/>
                <wp:lineTo x="0" y="21472"/>
                <wp:lineTo x="21462" y="21472"/>
                <wp:lineTo x="21462" y="0"/>
                <wp:lineTo x="0" y="0"/>
              </wp:wrapPolygon>
            </wp:wrapThrough>
            <wp:docPr id="75" name="Chart 75" descr="Graph compares the performanace by gender. The results are outlined in the text." title="Year 6 and 8 te-Kiribati gender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r>
        <w:rPr>
          <w:rFonts w:cs="Arial"/>
        </w:rPr>
        <w:t>T</w:t>
      </w:r>
      <w:r w:rsidRPr="00D25E9D">
        <w:rPr>
          <w:rFonts w:cs="Arial"/>
        </w:rPr>
        <w:t xml:space="preserve">he proportions achieving the expected standard by gender shows that girls performed better than boys in </w:t>
      </w:r>
      <w:r>
        <w:rPr>
          <w:rFonts w:cs="Arial"/>
        </w:rPr>
        <w:t>both</w:t>
      </w:r>
      <w:r w:rsidRPr="00D25E9D">
        <w:rPr>
          <w:rFonts w:cs="Arial"/>
        </w:rPr>
        <w:t xml:space="preserve"> test</w:t>
      </w:r>
      <w:r>
        <w:rPr>
          <w:rFonts w:cs="Arial"/>
        </w:rPr>
        <w:t>s</w:t>
      </w:r>
      <w:r w:rsidRPr="00D25E9D">
        <w:rPr>
          <w:rFonts w:cs="Arial"/>
        </w:rPr>
        <w:t>.</w:t>
      </w:r>
      <w:r>
        <w:rPr>
          <w:rFonts w:cs="Arial"/>
        </w:rPr>
        <w:t xml:space="preserve"> This is a consistent pattern that has also been seen in every STAKI test and JSC examination.</w:t>
      </w:r>
    </w:p>
    <w:p w14:paraId="27E9CAC0" w14:textId="77777777" w:rsidR="00221671" w:rsidRPr="00D25E9D" w:rsidRDefault="00221671" w:rsidP="00ED0631">
      <w:pPr>
        <w:spacing w:before="140" w:after="140"/>
        <w:jc w:val="both"/>
        <w:rPr>
          <w:rFonts w:cs="Arial"/>
          <w:noProof/>
          <w:lang w:val="en-US"/>
        </w:rPr>
      </w:pPr>
      <w:r w:rsidRPr="00D25E9D">
        <w:rPr>
          <w:rFonts w:cs="Arial"/>
        </w:rPr>
        <w:t xml:space="preserve">The spread of </w:t>
      </w:r>
      <w:r>
        <w:rPr>
          <w:rFonts w:cs="Arial"/>
        </w:rPr>
        <w:t>achievement</w:t>
      </w:r>
      <w:r w:rsidRPr="00D25E9D">
        <w:rPr>
          <w:rFonts w:cs="Arial"/>
        </w:rPr>
        <w:t xml:space="preserve"> f</w:t>
      </w:r>
      <w:r>
        <w:rPr>
          <w:rFonts w:cs="Arial"/>
        </w:rPr>
        <w:t>or each gender is shown in Fig 15</w:t>
      </w:r>
      <w:r w:rsidRPr="00D25E9D">
        <w:rPr>
          <w:rFonts w:cs="Arial"/>
        </w:rPr>
        <w:t>. The variation in performance between the boys and the girls is significant.</w:t>
      </w:r>
    </w:p>
    <w:p w14:paraId="4F14021D" w14:textId="77777777" w:rsidR="00221671" w:rsidRPr="001D3638" w:rsidRDefault="00221671" w:rsidP="00ED0631">
      <w:pPr>
        <w:spacing w:before="140" w:after="140"/>
        <w:jc w:val="both"/>
        <w:rPr>
          <w:rFonts w:cs="Arial"/>
          <w:noProof/>
          <w:lang w:val="en-US"/>
        </w:rPr>
      </w:pPr>
      <w:r>
        <w:rPr>
          <w:rFonts w:cs="Arial"/>
          <w:noProof/>
          <w:lang w:val="en-US"/>
        </w:rPr>
        <w:t>It is interesting to note that the performance of the boys in Year 8 is similiar to the girls' performace in Year 6.</w:t>
      </w:r>
    </w:p>
    <w:p w14:paraId="6FEE3AC5" w14:textId="77777777" w:rsidR="00956E4D" w:rsidRDefault="00956E4D" w:rsidP="001C47CB">
      <w:pPr>
        <w:pStyle w:val="Heading3"/>
      </w:pPr>
    </w:p>
    <w:p w14:paraId="21517B86" w14:textId="77777777" w:rsidR="00956E4D" w:rsidRDefault="00956E4D" w:rsidP="001C47CB">
      <w:pPr>
        <w:pStyle w:val="Heading3"/>
      </w:pPr>
    </w:p>
    <w:p w14:paraId="4DA1EE9F" w14:textId="77777777" w:rsidR="00221671" w:rsidRPr="001D3638" w:rsidRDefault="00221671" w:rsidP="001C47CB">
      <w:pPr>
        <w:pStyle w:val="Heading3"/>
      </w:pPr>
      <w:r>
        <w:t>General Observations</w:t>
      </w:r>
    </w:p>
    <w:p w14:paraId="584C2CAA" w14:textId="77777777" w:rsidR="00221671" w:rsidRDefault="00221671" w:rsidP="001C47CB">
      <w:pPr>
        <w:pStyle w:val="ListParagraph"/>
        <w:numPr>
          <w:ilvl w:val="0"/>
          <w:numId w:val="51"/>
        </w:numPr>
        <w:spacing w:before="140" w:beforeAutospacing="0" w:after="140" w:afterAutospacing="0"/>
        <w:contextualSpacing w:val="0"/>
        <w:jc w:val="both"/>
        <w:rPr>
          <w:rFonts w:cs="Arial"/>
          <w:szCs w:val="20"/>
        </w:rPr>
      </w:pPr>
      <w:r>
        <w:rPr>
          <w:rFonts w:cs="Arial"/>
          <w:szCs w:val="20"/>
        </w:rPr>
        <w:t>There has been improvement in the percentage of Year 6 students demonstrating both minimal and acceptable levels of performance between 2013 and 2015.</w:t>
      </w:r>
    </w:p>
    <w:p w14:paraId="7D5A6CF7" w14:textId="77777777" w:rsidR="00221671" w:rsidRDefault="00221671" w:rsidP="001C47CB">
      <w:pPr>
        <w:pStyle w:val="ListParagraph"/>
        <w:numPr>
          <w:ilvl w:val="0"/>
          <w:numId w:val="51"/>
        </w:numPr>
        <w:spacing w:before="140" w:beforeAutospacing="0" w:after="140" w:afterAutospacing="0"/>
        <w:contextualSpacing w:val="0"/>
        <w:jc w:val="both"/>
        <w:rPr>
          <w:rFonts w:cs="Arial"/>
          <w:szCs w:val="20"/>
        </w:rPr>
      </w:pPr>
      <w:r>
        <w:rPr>
          <w:rFonts w:cs="Arial"/>
          <w:szCs w:val="20"/>
        </w:rPr>
        <w:t>Reading comprehension continues to be the biggest weakness in Year 6, however shows marked improvement by Year 8.</w:t>
      </w:r>
    </w:p>
    <w:p w14:paraId="11133F90" w14:textId="77777777" w:rsidR="00221671" w:rsidRPr="00D25E9D" w:rsidRDefault="00221671" w:rsidP="001C47CB">
      <w:pPr>
        <w:pStyle w:val="ListParagraph"/>
        <w:numPr>
          <w:ilvl w:val="0"/>
          <w:numId w:val="51"/>
        </w:numPr>
        <w:spacing w:before="140" w:beforeAutospacing="0" w:after="140" w:afterAutospacing="0"/>
        <w:contextualSpacing w:val="0"/>
        <w:jc w:val="both"/>
        <w:rPr>
          <w:rFonts w:cs="Arial"/>
          <w:szCs w:val="20"/>
        </w:rPr>
      </w:pPr>
      <w:r>
        <w:rPr>
          <w:rFonts w:cs="Arial"/>
          <w:szCs w:val="20"/>
        </w:rPr>
        <w:t xml:space="preserve">By the end of Year 6, 55% of students are performing at the level expected for the end of primary school. By Year 8 72% of students are performing at or above the same level. </w:t>
      </w:r>
    </w:p>
    <w:p w14:paraId="3A8A8DE4" w14:textId="77777777" w:rsidR="00DD456C" w:rsidRPr="00DD456C" w:rsidRDefault="00221671" w:rsidP="00145B37">
      <w:pPr>
        <w:pStyle w:val="ListParagraph"/>
        <w:numPr>
          <w:ilvl w:val="0"/>
          <w:numId w:val="51"/>
        </w:numPr>
        <w:spacing w:before="140" w:beforeAutospacing="0" w:after="140" w:afterAutospacing="0"/>
        <w:contextualSpacing w:val="0"/>
        <w:jc w:val="both"/>
        <w:rPr>
          <w:b/>
          <w:sz w:val="22"/>
        </w:rPr>
      </w:pPr>
      <w:r w:rsidRPr="00DD456C">
        <w:rPr>
          <w:rFonts w:cs="Arial"/>
          <w:szCs w:val="20"/>
        </w:rPr>
        <w:t>Girls perform better than boys, showing about a two year development gap between the genders.</w:t>
      </w:r>
      <w:r w:rsidR="00DD456C" w:rsidRPr="00DD456C">
        <w:rPr>
          <w:rFonts w:cs="Arial"/>
          <w:szCs w:val="20"/>
        </w:rPr>
        <w:t xml:space="preserve"> </w:t>
      </w:r>
    </w:p>
    <w:p w14:paraId="678C7609" w14:textId="5230902A" w:rsidR="00221671" w:rsidRPr="00DD456C" w:rsidRDefault="00221671" w:rsidP="00DD456C">
      <w:pPr>
        <w:pStyle w:val="Heading2"/>
        <w:rPr>
          <w:sz w:val="22"/>
        </w:rPr>
      </w:pPr>
      <w:r w:rsidRPr="00DD456C">
        <w:lastRenderedPageBreak/>
        <w:t>2.6</w:t>
      </w:r>
      <w:r w:rsidRPr="00DD456C">
        <w:tab/>
        <w:t>Year 4 Numeracy</w:t>
      </w:r>
    </w:p>
    <w:p w14:paraId="15D6097A" w14:textId="5DC08158" w:rsidR="00221671" w:rsidRPr="001D3638" w:rsidRDefault="00221671" w:rsidP="006C197B">
      <w:pPr>
        <w:spacing w:before="140" w:after="140"/>
      </w:pPr>
      <w:r w:rsidRPr="00B943F2">
        <w:t xml:space="preserve">Students in Year 4 in 2015 </w:t>
      </w:r>
      <w:r>
        <w:t>were</w:t>
      </w:r>
      <w:r w:rsidRPr="00B943F2">
        <w:t xml:space="preserve"> the first to have been exposed to the new curriculum. This curriculum </w:t>
      </w:r>
      <w:r>
        <w:t>has a focus on learning numeracy</w:t>
      </w:r>
      <w:r w:rsidRPr="00B943F2">
        <w:t xml:space="preserve"> skills in te-Kiribati and then transitioning to </w:t>
      </w:r>
      <w:r>
        <w:t xml:space="preserve">using </w:t>
      </w:r>
      <w:r w:rsidRPr="00B943F2">
        <w:t>English in upper primary and junior secondary levels.</w:t>
      </w:r>
      <w:r>
        <w:t xml:space="preserve"> This numeracy assessment was undertaken in te-Kiribati except for students at Rurubao Primary School.</w:t>
      </w:r>
    </w:p>
    <w:p w14:paraId="4F363BA0" w14:textId="28BDF675" w:rsidR="00221671" w:rsidRDefault="002D28B3" w:rsidP="002A1BE2">
      <w:pPr>
        <w:spacing w:before="140" w:after="140"/>
      </w:pPr>
      <w:r>
        <w:rPr>
          <w:noProof/>
          <w:lang w:eastAsia="en-AU"/>
        </w:rPr>
        <mc:AlternateContent>
          <mc:Choice Requires="wps">
            <w:drawing>
              <wp:anchor distT="0" distB="0" distL="114300" distR="114300" simplePos="0" relativeHeight="251843583" behindDoc="0" locked="0" layoutInCell="1" allowOverlap="1" wp14:anchorId="65D0EDD4" wp14:editId="3BE46D03">
                <wp:simplePos x="0" y="0"/>
                <wp:positionH relativeFrom="column">
                  <wp:posOffset>-81915</wp:posOffset>
                </wp:positionH>
                <wp:positionV relativeFrom="paragraph">
                  <wp:posOffset>182880</wp:posOffset>
                </wp:positionV>
                <wp:extent cx="3185160" cy="396240"/>
                <wp:effectExtent l="0" t="0" r="0" b="3810"/>
                <wp:wrapSquare wrapText="bothSides"/>
                <wp:docPr id="11" name="Text Box 11" title="Fig 16 Year 4 numeracy overall performance 2011-2015"/>
                <wp:cNvGraphicFramePr/>
                <a:graphic xmlns:a="http://schemas.openxmlformats.org/drawingml/2006/main">
                  <a:graphicData uri="http://schemas.microsoft.com/office/word/2010/wordprocessingShape">
                    <wps:wsp>
                      <wps:cNvSpPr txBox="1"/>
                      <wps:spPr>
                        <a:xfrm>
                          <a:off x="0" y="0"/>
                          <a:ext cx="31851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33DA" w14:textId="7B24573C" w:rsidR="001E5A4B" w:rsidRPr="00752D28" w:rsidRDefault="001E5A4B" w:rsidP="00DD7102">
                            <w:pPr>
                              <w:tabs>
                                <w:tab w:val="left" w:pos="709"/>
                              </w:tabs>
                              <w:spacing w:before="240" w:after="0"/>
                              <w:ind w:left="709" w:hanging="709"/>
                              <w:rPr>
                                <w:i/>
                              </w:rPr>
                            </w:pPr>
                            <w:r w:rsidRPr="00752D28">
                              <w:rPr>
                                <w:b/>
                                <w:i/>
                                <w:sz w:val="18"/>
                                <w:szCs w:val="18"/>
                              </w:rPr>
                              <w:t>Fig 16</w:t>
                            </w:r>
                            <w:r w:rsidRPr="00752D28">
                              <w:rPr>
                                <w:i/>
                                <w:sz w:val="18"/>
                                <w:szCs w:val="18"/>
                              </w:rPr>
                              <w:tab/>
                              <w:t>Year 4 numeracy overall performance 2011-2015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D0EDD4" id="Text Box 11" o:spid="_x0000_s1038" type="#_x0000_t202" alt="Title: Fig 16 Year 4 numeracy overall performance 2011-2015" style="position:absolute;margin-left:-6.45pt;margin-top:14.4pt;width:250.8pt;height:31.2pt;z-index:251843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CRtwIAANEFAAAOAAAAZHJzL2Uyb0RvYy54bWysVFtv2jAUft6k/QfL720IBdaihoq1YppU&#10;tdXaqdqjcWyI5tiebSDs1++zQ4B1fem0l+T43C/fOZdXTa3IWjhfGV3Q/LRHidDclJVeFPTb0+zk&#10;nBIfmC6ZMloUdCs8vZp8eH+5sWPRN0ujSuEInGg/3tiCLkOw4yzzfClq5k+NFRpCaVzNAp5ukZWO&#10;beC9Vlm/1xtlG+NK6wwX3oN70wrpJPmXUvBwL6UXgaiCIreQvi595/GbTS7ZeOGYXVZ8lwb7hyxq&#10;VmkE3bu6YYGRlav+clVX3BlvZDjlps6MlBUXqQZUk/deVPO4ZFakWtAcb/dt8v/PLb9bPzhSlZhd&#10;TolmNWb0JJpAPpmGRFaoggJvVi1IPnr3XTBHBkSvauEY3xKD0TOliBUuzUhzQVBIfoLPMDZ3Y/0Y&#10;MR4tooQGThGo43swY88a6er4RzcI5BjTdj+amAoH8yw/H+YjiDhkZxej/iDNLjtYW+fDZ2FqEomC&#10;Oow+TYStb31AJlDtVGIwb1RVziql0iPCTVwrR9YMQFEh5QiLP7SUJpuCjs6GveRYm2jeelY6uhEJ&#10;cLtwsfK2wkSFrRJRR+mvQqLhqdBXYjPOhd7HT9pRSyLUWwx3+oes3mLc1gGLFNnosDeuK21cqj5t&#10;6KFl5Y+uZbLVR8OP6o5kaOZNi7R+h4C5KbcAhjPtXnrLZxWmd8t8eGAOi4iBA2HhHh+pDLofARcp&#10;SpbG/XqNH/WxH5BSssFiF9T/XDEnKFFfNDbnIh8AOySkx2D4sY+HO5bMjyVA+rUBJLAJyC6RUT+o&#10;jpTO1M+4QdMYFSKmOWIXNHTkdWjPDfaDi+k0KWH3LQu3+tHy6Dq2OWLzqXlmzu4AHAD9O9OdADZ+&#10;geNWN1pqM10FI6sE8tjotqu7AeBuJOzvblw8TMfvpHW4xJPfAAAA//8DAFBLAwQUAAYACAAAACEA&#10;4NsiDuEAAAAJAQAADwAAAGRycy9kb3ducmV2LnhtbEyPTU+DQBCG7yb+h82YeDHtAlVLkaUxRm3i&#10;zeJHvG3ZEYjsLGG3gP/e8aTHyTx53+fNt7PtxIiDbx0piJcRCKTKmZZqBS/lwyIF4YMmoztHqOAb&#10;PWyL05NcZ8ZN9IzjPtSCQ8hnWkETQp9J6asGrfZL1yPx79MNVgc+h1qaQU8cbjuZRNG1tLolbmh0&#10;j3cNVl/7o1XwcVG/P/n58XVaXa36+91Yrt9MqdT52Xx7AyLgHP5g+NVndSjY6eCOZLzoFCziZMOo&#10;giTlCQxcpukaxEHBJk5AFrn8v6D4AQAA//8DAFBLAQItABQABgAIAAAAIQC2gziS/gAAAOEBAAAT&#10;AAAAAAAAAAAAAAAAAAAAAABbQ29udGVudF9UeXBlc10ueG1sUEsBAi0AFAAGAAgAAAAhADj9If/W&#10;AAAAlAEAAAsAAAAAAAAAAAAAAAAALwEAAF9yZWxzLy5yZWxzUEsBAi0AFAAGAAgAAAAhAC/GMJG3&#10;AgAA0QUAAA4AAAAAAAAAAAAAAAAALgIAAGRycy9lMm9Eb2MueG1sUEsBAi0AFAAGAAgAAAAhAODb&#10;Ig7hAAAACQEAAA8AAAAAAAAAAAAAAAAAEQUAAGRycy9kb3ducmV2LnhtbFBLBQYAAAAABAAEAPMA&#10;AAAfBgAAAAA=&#10;" fillcolor="white [3201]" stroked="f" strokeweight=".5pt">
                <v:textbox>
                  <w:txbxContent>
                    <w:p w14:paraId="1DAA33DA" w14:textId="7B24573C" w:rsidR="001E5A4B" w:rsidRPr="00752D28" w:rsidRDefault="001E5A4B" w:rsidP="00DD7102">
                      <w:pPr>
                        <w:tabs>
                          <w:tab w:val="left" w:pos="709"/>
                        </w:tabs>
                        <w:spacing w:before="240" w:after="0"/>
                        <w:ind w:left="709" w:hanging="709"/>
                        <w:rPr>
                          <w:i/>
                        </w:rPr>
                      </w:pPr>
                      <w:r w:rsidRPr="00752D28">
                        <w:rPr>
                          <w:b/>
                          <w:i/>
                          <w:sz w:val="18"/>
                          <w:szCs w:val="18"/>
                        </w:rPr>
                        <w:t>Fig 16</w:t>
                      </w:r>
                      <w:r w:rsidRPr="00752D28">
                        <w:rPr>
                          <w:i/>
                          <w:sz w:val="18"/>
                          <w:szCs w:val="18"/>
                        </w:rPr>
                        <w:tab/>
                        <w:t>Year 4 numeracy overall performance 2011-2015</w:t>
                      </w:r>
                    </w:p>
                  </w:txbxContent>
                </v:textbox>
                <w10:wrap type="square"/>
              </v:shape>
            </w:pict>
          </mc:Fallback>
        </mc:AlternateContent>
      </w:r>
      <w:r w:rsidR="00221671">
        <w:t>Almost every student engaged with the test and made some type of attempt.</w:t>
      </w:r>
    </w:p>
    <w:p w14:paraId="6E9A4CB4" w14:textId="681FD868" w:rsidR="00221671" w:rsidRDefault="00DD7102" w:rsidP="002A1BE2">
      <w:pPr>
        <w:spacing w:before="140" w:after="140"/>
      </w:pPr>
      <w:r>
        <w:rPr>
          <w:noProof/>
          <w:lang w:eastAsia="en-AU"/>
        </w:rPr>
        <w:drawing>
          <wp:anchor distT="0" distB="0" distL="114300" distR="114300" simplePos="0" relativeHeight="251812863" behindDoc="0" locked="0" layoutInCell="1" allowOverlap="1" wp14:anchorId="69E3D7AD" wp14:editId="4B2D9694">
            <wp:simplePos x="0" y="0"/>
            <wp:positionH relativeFrom="margin">
              <wp:posOffset>1905</wp:posOffset>
            </wp:positionH>
            <wp:positionV relativeFrom="paragraph">
              <wp:posOffset>458470</wp:posOffset>
            </wp:positionV>
            <wp:extent cx="3101340" cy="2659380"/>
            <wp:effectExtent l="0" t="0" r="3810" b="7620"/>
            <wp:wrapThrough wrapText="bothSides">
              <wp:wrapPolygon edited="0">
                <wp:start x="0" y="0"/>
                <wp:lineTo x="0" y="21507"/>
                <wp:lineTo x="21494" y="21507"/>
                <wp:lineTo x="21494" y="0"/>
                <wp:lineTo x="0" y="0"/>
              </wp:wrapPolygon>
            </wp:wrapThrough>
            <wp:docPr id="76" name="Chart 76" descr="Graph shows the results for 2011, 2013 and 2015. Results outlined in text." title="Fig 16 Year 4 numeracy overall performance 201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r w:rsidR="00221671">
        <w:t>78% of students demonstrated that they could perform numeracy tasks at or above the expected standard of performance for students at the end of Year 4.</w:t>
      </w:r>
    </w:p>
    <w:p w14:paraId="307D7E97" w14:textId="4EF72BDD" w:rsidR="00221671" w:rsidRPr="001D3638" w:rsidRDefault="00221671" w:rsidP="002A1BE2">
      <w:pPr>
        <w:spacing w:before="140" w:after="140"/>
      </w:pPr>
      <w:r>
        <w:t xml:space="preserve">This is a massive improvement on the 2013 and 2011 figures. </w:t>
      </w:r>
    </w:p>
    <w:p w14:paraId="75D73CC8" w14:textId="02115151" w:rsidR="00221671" w:rsidRPr="004F4F96" w:rsidRDefault="00221671" w:rsidP="002A1BE2">
      <w:pPr>
        <w:spacing w:before="140" w:after="140"/>
        <w:jc w:val="both"/>
        <w:rPr>
          <w:noProof/>
          <w:lang w:val="en-US"/>
        </w:rPr>
      </w:pPr>
      <w:r w:rsidRPr="004F4F96">
        <w:t xml:space="preserve">The test focussed on three components of </w:t>
      </w:r>
      <w:r>
        <w:t>numeracy</w:t>
      </w:r>
      <w:r w:rsidRPr="004F4F96">
        <w:t>:</w:t>
      </w:r>
      <w:r w:rsidRPr="004F4F96">
        <w:rPr>
          <w:noProof/>
          <w:lang w:val="en-US"/>
        </w:rPr>
        <w:t xml:space="preserve"> </w:t>
      </w:r>
    </w:p>
    <w:p w14:paraId="5D43B951" w14:textId="2CA6C672" w:rsidR="00221671" w:rsidRPr="004F4F96" w:rsidRDefault="00221671" w:rsidP="00DD7102">
      <w:pPr>
        <w:pStyle w:val="ListParagraph"/>
        <w:numPr>
          <w:ilvl w:val="0"/>
          <w:numId w:val="53"/>
        </w:numPr>
        <w:spacing w:before="0" w:beforeAutospacing="0" w:after="0" w:afterAutospacing="0"/>
        <w:ind w:left="284" w:hanging="284"/>
        <w:contextualSpacing w:val="0"/>
        <w:rPr>
          <w:szCs w:val="20"/>
        </w:rPr>
      </w:pPr>
      <w:r>
        <w:rPr>
          <w:szCs w:val="20"/>
        </w:rPr>
        <w:t>number</w:t>
      </w:r>
      <w:r w:rsidRPr="004F4F96">
        <w:rPr>
          <w:szCs w:val="20"/>
        </w:rPr>
        <w:t>,</w:t>
      </w:r>
    </w:p>
    <w:p w14:paraId="0A295197" w14:textId="751D1EC3" w:rsidR="00221671" w:rsidRPr="004F4F96" w:rsidRDefault="00221671" w:rsidP="00DD7102">
      <w:pPr>
        <w:pStyle w:val="ListParagraph"/>
        <w:numPr>
          <w:ilvl w:val="0"/>
          <w:numId w:val="53"/>
        </w:numPr>
        <w:spacing w:before="0" w:beforeAutospacing="0" w:after="0" w:afterAutospacing="0"/>
        <w:ind w:left="284" w:hanging="284"/>
        <w:contextualSpacing w:val="0"/>
        <w:rPr>
          <w:szCs w:val="20"/>
        </w:rPr>
      </w:pPr>
      <w:r>
        <w:rPr>
          <w:szCs w:val="20"/>
        </w:rPr>
        <w:t>operations</w:t>
      </w:r>
      <w:r w:rsidRPr="004F4F96">
        <w:rPr>
          <w:szCs w:val="20"/>
        </w:rPr>
        <w:t>, and</w:t>
      </w:r>
    </w:p>
    <w:p w14:paraId="6E2BB650" w14:textId="65D0E5C4" w:rsidR="00221671" w:rsidRPr="001D3638" w:rsidRDefault="00221671" w:rsidP="00DD7102">
      <w:pPr>
        <w:pStyle w:val="ListParagraph"/>
        <w:numPr>
          <w:ilvl w:val="0"/>
          <w:numId w:val="53"/>
        </w:numPr>
        <w:spacing w:before="0" w:beforeAutospacing="0" w:after="0" w:afterAutospacing="0"/>
        <w:ind w:left="284" w:hanging="284"/>
        <w:contextualSpacing w:val="0"/>
        <w:rPr>
          <w:szCs w:val="20"/>
        </w:rPr>
      </w:pPr>
      <w:r>
        <w:rPr>
          <w:szCs w:val="20"/>
        </w:rPr>
        <w:t>measurement</w:t>
      </w:r>
      <w:r w:rsidRPr="004F4F96">
        <w:rPr>
          <w:szCs w:val="20"/>
        </w:rPr>
        <w:t>.</w:t>
      </w:r>
      <w:r w:rsidRPr="00A244F5">
        <w:rPr>
          <w:noProof/>
          <w:lang w:val="en-US"/>
        </w:rPr>
        <w:t xml:space="preserve"> </w:t>
      </w:r>
    </w:p>
    <w:p w14:paraId="1DFE1E90" w14:textId="689F45DE" w:rsidR="00221671" w:rsidRDefault="00221671" w:rsidP="002A1BE2">
      <w:pPr>
        <w:spacing w:before="140" w:after="140"/>
        <w:rPr>
          <w:rFonts w:cs="Arial"/>
        </w:rPr>
      </w:pPr>
      <w:r>
        <w:rPr>
          <w:rFonts w:cs="Arial"/>
        </w:rPr>
        <w:t xml:space="preserve">The vast majority of students were able to undertake the number and operations tasks to a satisfactory degree. </w:t>
      </w:r>
    </w:p>
    <w:p w14:paraId="38E74BC3" w14:textId="274082D3" w:rsidR="00221671" w:rsidRDefault="00221671" w:rsidP="002A1BE2">
      <w:pPr>
        <w:spacing w:before="140" w:after="140"/>
        <w:rPr>
          <w:rFonts w:cs="Arial"/>
        </w:rPr>
      </w:pPr>
      <w:r>
        <w:rPr>
          <w:rFonts w:cs="Arial"/>
        </w:rPr>
        <w:t>Measurement continues to be a problem, with students having difficulties when they have to use a ruler to measure length and when locating hands on an analogue clock face.</w:t>
      </w:r>
    </w:p>
    <w:p w14:paraId="1C523C54" w14:textId="70E7A347" w:rsidR="00221671" w:rsidRDefault="00DD7102">
      <w:pPr>
        <w:rPr>
          <w:rFonts w:cs="Arial"/>
        </w:rPr>
      </w:pPr>
      <w:r>
        <w:rPr>
          <w:b/>
          <w:i/>
          <w:noProof/>
          <w:sz w:val="18"/>
          <w:szCs w:val="18"/>
          <w:lang w:eastAsia="en-AU"/>
        </w:rPr>
        <mc:AlternateContent>
          <mc:Choice Requires="wps">
            <w:drawing>
              <wp:anchor distT="0" distB="0" distL="114300" distR="114300" simplePos="0" relativeHeight="251844607" behindDoc="0" locked="0" layoutInCell="1" allowOverlap="1" wp14:anchorId="6CFF466E" wp14:editId="6453F48A">
                <wp:simplePos x="0" y="0"/>
                <wp:positionH relativeFrom="column">
                  <wp:posOffset>-81915</wp:posOffset>
                </wp:positionH>
                <wp:positionV relativeFrom="paragraph">
                  <wp:posOffset>8890</wp:posOffset>
                </wp:positionV>
                <wp:extent cx="3073400" cy="44196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07340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42DD1" w14:textId="77777777" w:rsidR="001E5A4B" w:rsidRPr="00752D28" w:rsidRDefault="001E5A4B" w:rsidP="002A1BE2">
                            <w:pPr>
                              <w:spacing w:before="140" w:after="140"/>
                              <w:jc w:val="both"/>
                              <w:rPr>
                                <w:i/>
                              </w:rPr>
                            </w:pPr>
                            <w:r w:rsidRPr="00752D28">
                              <w:rPr>
                                <w:b/>
                                <w:i/>
                                <w:sz w:val="18"/>
                                <w:szCs w:val="18"/>
                              </w:rPr>
                              <w:t>Fig 17</w:t>
                            </w:r>
                            <w:r w:rsidRPr="00752D28">
                              <w:rPr>
                                <w:i/>
                                <w:sz w:val="18"/>
                                <w:szCs w:val="18"/>
                              </w:rPr>
                              <w:tab/>
                              <w:t>Year 4 numeracy component performance</w:t>
                            </w:r>
                          </w:p>
                          <w:p w14:paraId="45115C58"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CFF466E" id="Text Box 15" o:spid="_x0000_s1039" type="#_x0000_t202" style="position:absolute;margin-left:-6.45pt;margin-top:.7pt;width:242pt;height:34.8pt;z-index:251844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cugAIAAGwFAAAOAAAAZHJzL2Uyb0RvYy54bWysVE1PGzEQvVfqf7B8L7shgZaIDUpBVJUQ&#10;oELF2fHaZFWvx7WdZNNf32dvNkS0F6pe7PHMm/F8n190rWFr5UNDtuKjo5IzZSXVjX2u+PfH6w+f&#10;OAtR2FoYsqriWxX4xez9u/ONm6pjWpKplWcwYsN04yq+jNFNiyLIpWpFOCKnLISafCsinv65qL3Y&#10;wHpriuOyPC025GvnSaoQwL3qhXyW7WutZLzTOqjITMXhW8ynz+cincXsXEyfvXDLRu7cEP/gRSsa&#10;i0/3pq5EFGzlmz9MtY30FEjHI0ltQVo3UuUYEM2ofBXNw1I4lWNBcoLbpyn8P7Pydn3vWVOjdiec&#10;WdGiRo+qi+wzdQws5GfjwhSwBwdg7MAHduAHMFPYnfZtuhEQgxyZ3u6zm6xJMMflx/GkhEhCNpmM&#10;zk5z+osXbedD/KKoZYmouEf1clLF+iZEeALoAEmfWbpujMkVNJZtKn46Pimzwl4CDWMTVuVe2JlJ&#10;EfWeZypujUoYY78pjVzkABIjd6G6NJ6tBfpHSKlszLFnu0AnlIYTb1Hc4V+8eotyH8fwM9m4V24b&#10;Sz5H/8rt+sfgsu7xSORB3ImM3aLrm2A8VHZB9RYF99SPTHDyukFVbkSI98JjRlBIzH28w6ENIfu0&#10;ozhbkv/1N37Co3Uh5WyDmat4+LkSXnFmvlo09dloMklDmh+Tk4/HePhDyeJQYlftJaEsI2wYJzOZ&#10;8NEMpPbUPmE9zNOvEAkr8XfF40Bexn4TYL1INZ9nEMbSiXhjH5xMplOVUs89dk/Cu11jRrT0LQ3T&#10;Kaav+rPHJk1L81Uk3eTmTYnus7orAEY69/Ru/aSdcfjOqJclOfsNAAD//wMAUEsDBBQABgAIAAAA&#10;IQDzsg3g4AAAAAgBAAAPAAAAZHJzL2Rvd25yZXYueG1sTI/BTsMwEETvSPyDtUjcWsdRoSXEqapI&#10;FRKCQ0sv3Daxm0TE6xC7beDrWU5wXL3RzNt8PblenO0YOk8a1DwBYan2pqNGw+FtO1uBCBHJYO/J&#10;aviyAdbF9VWOmfEX2tnzPjaCSyhkqKGNccikDHVrHYa5HywxO/rRYeRzbKQZ8cLlrpdpktxLhx3x&#10;QouDLVtbf+xPTsNzuX3FXZW61XdfPr0cN8Pn4f1O69ubafMIItop/oXhV5/VoWCnyp/IBNFrmKn0&#10;gaMMFiCYL5ZKgag0LFUCssjl/weKHwAAAP//AwBQSwECLQAUAAYACAAAACEAtoM4kv4AAADhAQAA&#10;EwAAAAAAAAAAAAAAAAAAAAAAW0NvbnRlbnRfVHlwZXNdLnhtbFBLAQItABQABgAIAAAAIQA4/SH/&#10;1gAAAJQBAAALAAAAAAAAAAAAAAAAAC8BAABfcmVscy8ucmVsc1BLAQItABQABgAIAAAAIQDnMecu&#10;gAIAAGwFAAAOAAAAAAAAAAAAAAAAAC4CAABkcnMvZTJvRG9jLnhtbFBLAQItABQABgAIAAAAIQDz&#10;sg3g4AAAAAgBAAAPAAAAAAAAAAAAAAAAANoEAABkcnMvZG93bnJldi54bWxQSwUGAAAAAAQABADz&#10;AAAA5wUAAAAA&#10;" filled="f" stroked="f" strokeweight=".5pt">
                <v:textbox>
                  <w:txbxContent>
                    <w:p w14:paraId="33142DD1" w14:textId="77777777" w:rsidR="001E5A4B" w:rsidRPr="00752D28" w:rsidRDefault="001E5A4B" w:rsidP="002A1BE2">
                      <w:pPr>
                        <w:spacing w:before="140" w:after="140"/>
                        <w:jc w:val="both"/>
                        <w:rPr>
                          <w:i/>
                        </w:rPr>
                      </w:pPr>
                      <w:r w:rsidRPr="00752D28">
                        <w:rPr>
                          <w:b/>
                          <w:i/>
                          <w:sz w:val="18"/>
                          <w:szCs w:val="18"/>
                        </w:rPr>
                        <w:t>Fig 17</w:t>
                      </w:r>
                      <w:r w:rsidRPr="00752D28">
                        <w:rPr>
                          <w:i/>
                          <w:sz w:val="18"/>
                          <w:szCs w:val="18"/>
                        </w:rPr>
                        <w:tab/>
                        <w:t>Year 4 numeracy component performance</w:t>
                      </w:r>
                    </w:p>
                    <w:p w14:paraId="45115C58" w14:textId="77777777" w:rsidR="001E5A4B" w:rsidRDefault="001E5A4B"/>
                  </w:txbxContent>
                </v:textbox>
                <w10:wrap type="square"/>
              </v:shape>
            </w:pict>
          </mc:Fallback>
        </mc:AlternateContent>
      </w:r>
    </w:p>
    <w:p w14:paraId="19E116BE" w14:textId="216D8018" w:rsidR="00221671" w:rsidRDefault="00DD7102">
      <w:pPr>
        <w:rPr>
          <w:rFonts w:cs="Arial"/>
        </w:rPr>
      </w:pPr>
      <w:r>
        <w:rPr>
          <w:noProof/>
          <w:lang w:eastAsia="en-AU"/>
        </w:rPr>
        <w:drawing>
          <wp:anchor distT="0" distB="0" distL="114300" distR="114300" simplePos="0" relativeHeight="251813887" behindDoc="0" locked="0" layoutInCell="1" allowOverlap="1" wp14:anchorId="7DE39BB9" wp14:editId="188E3D45">
            <wp:simplePos x="0" y="0"/>
            <wp:positionH relativeFrom="margin">
              <wp:posOffset>1905</wp:posOffset>
            </wp:positionH>
            <wp:positionV relativeFrom="paragraph">
              <wp:posOffset>40640</wp:posOffset>
            </wp:positionV>
            <wp:extent cx="3185160" cy="2457450"/>
            <wp:effectExtent l="0" t="0" r="15240" b="0"/>
            <wp:wrapThrough wrapText="bothSides">
              <wp:wrapPolygon edited="0">
                <wp:start x="0" y="0"/>
                <wp:lineTo x="0" y="21433"/>
                <wp:lineTo x="21574" y="21433"/>
                <wp:lineTo x="21574" y="0"/>
                <wp:lineTo x="0" y="0"/>
              </wp:wrapPolygon>
            </wp:wrapThrough>
            <wp:docPr id="77" name="Chart 77" descr="The graph shows the results for numeracy, operations and measurement. Results are outlined in the text." title="Fig 17 Year 4 numeracy component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14:paraId="4C6B1D13" w14:textId="77777777" w:rsidR="002A1BE2" w:rsidRDefault="002A1BE2" w:rsidP="002A1BE2">
      <w:pPr>
        <w:spacing w:before="140" w:after="140"/>
        <w:ind w:left="709" w:hanging="709"/>
        <w:rPr>
          <w:rFonts w:cs="Arial"/>
          <w:i/>
          <w:sz w:val="18"/>
          <w:szCs w:val="18"/>
        </w:rPr>
      </w:pPr>
    </w:p>
    <w:p w14:paraId="3E5E17A0" w14:textId="77777777" w:rsidR="00DD456C" w:rsidRDefault="00DD456C">
      <w:pPr>
        <w:spacing w:line="276" w:lineRule="auto"/>
        <w:rPr>
          <w:rFonts w:asciiTheme="majorHAnsi" w:eastAsia="Times New Roman" w:hAnsiTheme="majorHAnsi" w:cstheme="majorHAnsi"/>
          <w:b/>
        </w:rPr>
      </w:pPr>
      <w:r>
        <w:rPr>
          <w:rFonts w:asciiTheme="majorHAnsi" w:eastAsia="Times New Roman" w:hAnsiTheme="majorHAnsi" w:cstheme="majorHAnsi"/>
          <w:b/>
        </w:rPr>
        <w:br w:type="page"/>
      </w:r>
    </w:p>
    <w:p w14:paraId="3CFABD21" w14:textId="367B9709" w:rsidR="002A1BE2" w:rsidRPr="002A1BE2" w:rsidRDefault="002A1BE2" w:rsidP="002A1BE2">
      <w:pPr>
        <w:spacing w:before="140" w:after="140"/>
        <w:rPr>
          <w:rFonts w:asciiTheme="majorHAnsi" w:eastAsia="Times New Roman" w:hAnsiTheme="majorHAnsi" w:cstheme="majorHAnsi"/>
          <w:b/>
        </w:rPr>
      </w:pPr>
      <w:r w:rsidRPr="002A1BE2">
        <w:rPr>
          <w:rFonts w:asciiTheme="majorHAnsi" w:eastAsia="Times New Roman" w:hAnsiTheme="majorHAnsi" w:cstheme="majorHAnsi"/>
          <w:b/>
        </w:rPr>
        <w:lastRenderedPageBreak/>
        <w:t>Table 7</w:t>
      </w:r>
      <w:r>
        <w:rPr>
          <w:rFonts w:asciiTheme="majorHAnsi" w:eastAsia="Times New Roman" w:hAnsiTheme="majorHAnsi" w:cstheme="majorHAnsi"/>
          <w:b/>
        </w:rPr>
        <w:t xml:space="preserve"> </w:t>
      </w:r>
      <w:r w:rsidRPr="002A1BE2">
        <w:rPr>
          <w:rFonts w:asciiTheme="majorHAnsi" w:eastAsia="Times New Roman" w:hAnsiTheme="majorHAnsi" w:cstheme="majorHAnsi"/>
          <w:b/>
        </w:rPr>
        <w:t>Year 4 numeracy performance by district</w:t>
      </w:r>
    </w:p>
    <w:tbl>
      <w:tblPr>
        <w:tblStyle w:val="MediumShading2-Accent1"/>
        <w:tblW w:w="500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Caption w:val="Table 7 Year 4 numeracy performance by district"/>
      </w:tblPr>
      <w:tblGrid>
        <w:gridCol w:w="2185"/>
        <w:gridCol w:w="2317"/>
        <w:gridCol w:w="2317"/>
        <w:gridCol w:w="2317"/>
      </w:tblGrid>
      <w:tr w:rsidR="00DD456C" w:rsidRPr="00DD456C" w14:paraId="21FBBEA1" w14:textId="77777777" w:rsidTr="00DD456C">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196"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25EA6"/>
          </w:tcPr>
          <w:p w14:paraId="6B3241A6" w14:textId="77777777" w:rsidR="00221671" w:rsidRPr="00DD456C" w:rsidRDefault="00221671" w:rsidP="00ED0631">
            <w:pPr>
              <w:spacing w:before="140" w:after="140"/>
              <w:ind w:left="709" w:hanging="709"/>
              <w:rPr>
                <w:rFonts w:asciiTheme="majorHAnsi" w:hAnsiTheme="majorHAnsi" w:cstheme="majorHAnsi"/>
              </w:rPr>
            </w:pPr>
            <w:r w:rsidRPr="00DD456C">
              <w:rPr>
                <w:rFonts w:asciiTheme="majorHAnsi" w:hAnsiTheme="majorHAnsi" w:cstheme="majorHAnsi"/>
              </w:rPr>
              <w:t>Table 7</w:t>
            </w:r>
          </w:p>
          <w:p w14:paraId="020D7A37" w14:textId="77777777" w:rsidR="00221671" w:rsidRPr="00DD456C" w:rsidRDefault="00221671" w:rsidP="00ED0631">
            <w:pPr>
              <w:spacing w:before="140" w:after="140"/>
              <w:rPr>
                <w:rFonts w:asciiTheme="majorHAnsi" w:hAnsiTheme="majorHAnsi" w:cstheme="majorHAnsi"/>
              </w:rPr>
            </w:pPr>
            <w:r w:rsidRPr="00DD456C">
              <w:rPr>
                <w:rFonts w:asciiTheme="majorHAnsi" w:hAnsiTheme="majorHAnsi" w:cstheme="majorHAnsi"/>
              </w:rPr>
              <w:t>Year 4 numeracy performance by district</w:t>
            </w:r>
          </w:p>
        </w:tc>
        <w:tc>
          <w:tcPr>
            <w:tcW w:w="3804"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25EA6"/>
          </w:tcPr>
          <w:p w14:paraId="5A163BAA" w14:textId="77777777" w:rsidR="00221671" w:rsidRPr="00DD456C"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hAnsiTheme="majorHAnsi" w:cstheme="majorHAnsi"/>
              </w:rPr>
              <w:t>Students in each group</w:t>
            </w:r>
          </w:p>
        </w:tc>
      </w:tr>
      <w:tr w:rsidR="00221671" w:rsidRPr="00DD456C" w14:paraId="490BE4E4" w14:textId="77777777" w:rsidTr="00DD456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vMerge/>
            <w:tcBorders>
              <w:top w:val="single" w:sz="2" w:space="0" w:color="FFFFFF" w:themeColor="background1"/>
              <w:left w:val="none" w:sz="0" w:space="0" w:color="auto"/>
              <w:bottom w:val="none" w:sz="0" w:space="0" w:color="auto"/>
              <w:right w:val="none" w:sz="0" w:space="0" w:color="auto"/>
            </w:tcBorders>
          </w:tcPr>
          <w:p w14:paraId="51CCF71C" w14:textId="77777777" w:rsidR="00221671" w:rsidRPr="00DD456C" w:rsidRDefault="00221671" w:rsidP="00ED0631">
            <w:pPr>
              <w:spacing w:before="140" w:after="140"/>
              <w:rPr>
                <w:rFonts w:asciiTheme="majorHAnsi" w:hAnsiTheme="majorHAnsi" w:cstheme="majorHAnsi"/>
              </w:rPr>
            </w:pPr>
          </w:p>
        </w:tc>
        <w:tc>
          <w:tcPr>
            <w:tcW w:w="1268" w:type="pct"/>
            <w:tcBorders>
              <w:top w:val="single" w:sz="2" w:space="0" w:color="FFFFFF" w:themeColor="background1"/>
            </w:tcBorders>
          </w:tcPr>
          <w:p w14:paraId="3F30D818"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hAnsiTheme="majorHAnsi" w:cstheme="majorHAnsi"/>
              </w:rPr>
              <w:t>no evidence or critically below expected level</w:t>
            </w:r>
          </w:p>
        </w:tc>
        <w:tc>
          <w:tcPr>
            <w:tcW w:w="1268" w:type="pct"/>
            <w:tcBorders>
              <w:top w:val="single" w:sz="2" w:space="0" w:color="FFFFFF" w:themeColor="background1"/>
            </w:tcBorders>
          </w:tcPr>
          <w:p w14:paraId="4FDEF246"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hAnsiTheme="majorHAnsi" w:cstheme="majorHAnsi"/>
              </w:rPr>
              <w:t>working towards expected level</w:t>
            </w:r>
          </w:p>
        </w:tc>
        <w:tc>
          <w:tcPr>
            <w:tcW w:w="1267" w:type="pct"/>
            <w:tcBorders>
              <w:top w:val="single" w:sz="2" w:space="0" w:color="FFFFFF" w:themeColor="background1"/>
            </w:tcBorders>
          </w:tcPr>
          <w:p w14:paraId="3701544D"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hAnsiTheme="majorHAnsi" w:cstheme="majorHAnsi"/>
              </w:rPr>
              <w:t xml:space="preserve">working at or above expected level </w:t>
            </w:r>
          </w:p>
        </w:tc>
      </w:tr>
      <w:tr w:rsidR="00221671" w:rsidRPr="00DD456C" w14:paraId="136A1F38" w14:textId="77777777" w:rsidTr="00DD456C">
        <w:trPr>
          <w:trHeight w:val="249"/>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auto"/>
          </w:tcPr>
          <w:p w14:paraId="6858CD47" w14:textId="77777777" w:rsidR="00221671" w:rsidRPr="00DD456C" w:rsidRDefault="00221671" w:rsidP="00ED0631">
            <w:pPr>
              <w:spacing w:before="140" w:after="140"/>
              <w:rPr>
                <w:rFonts w:asciiTheme="majorHAnsi" w:hAnsiTheme="majorHAnsi" w:cstheme="majorHAnsi"/>
                <w:color w:val="auto"/>
              </w:rPr>
            </w:pPr>
            <w:r w:rsidRPr="00DD456C">
              <w:rPr>
                <w:rFonts w:asciiTheme="majorHAnsi" w:eastAsia="Times New Roman" w:hAnsiTheme="majorHAnsi" w:cstheme="majorHAnsi"/>
                <w:color w:val="auto"/>
              </w:rPr>
              <w:t>Total</w:t>
            </w:r>
          </w:p>
        </w:tc>
        <w:tc>
          <w:tcPr>
            <w:tcW w:w="1268" w:type="pct"/>
            <w:vAlign w:val="bottom"/>
          </w:tcPr>
          <w:p w14:paraId="31C7FD74"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134 (6%)</w:t>
            </w:r>
          </w:p>
        </w:tc>
        <w:tc>
          <w:tcPr>
            <w:tcW w:w="1268" w:type="pct"/>
            <w:vAlign w:val="bottom"/>
          </w:tcPr>
          <w:p w14:paraId="60530AC1"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365 (16%)</w:t>
            </w:r>
          </w:p>
        </w:tc>
        <w:tc>
          <w:tcPr>
            <w:tcW w:w="1267" w:type="pct"/>
            <w:vAlign w:val="bottom"/>
          </w:tcPr>
          <w:p w14:paraId="6CD0701E"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1792 (78%)</w:t>
            </w:r>
          </w:p>
        </w:tc>
      </w:tr>
      <w:tr w:rsidR="00221671" w:rsidRPr="00DD456C" w14:paraId="00DE1748" w14:textId="77777777" w:rsidTr="00DD456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D9D9D9" w:themeFill="background1" w:themeFillShade="D9"/>
          </w:tcPr>
          <w:p w14:paraId="693C659B" w14:textId="77777777" w:rsidR="00221671" w:rsidRPr="00DD456C" w:rsidRDefault="00221671" w:rsidP="00ED0631">
            <w:pPr>
              <w:spacing w:before="140" w:after="140"/>
              <w:rPr>
                <w:rFonts w:asciiTheme="majorHAnsi" w:hAnsiTheme="majorHAnsi" w:cstheme="majorHAnsi"/>
                <w:color w:val="auto"/>
              </w:rPr>
            </w:pPr>
            <w:r w:rsidRPr="00DD456C">
              <w:rPr>
                <w:rFonts w:asciiTheme="majorHAnsi" w:eastAsia="Times New Roman" w:hAnsiTheme="majorHAnsi" w:cstheme="majorHAnsi"/>
                <w:color w:val="auto"/>
              </w:rPr>
              <w:t>Central</w:t>
            </w:r>
          </w:p>
        </w:tc>
        <w:tc>
          <w:tcPr>
            <w:tcW w:w="1268" w:type="pct"/>
            <w:shd w:val="clear" w:color="auto" w:fill="D9D9D9" w:themeFill="background1" w:themeFillShade="D9"/>
            <w:vAlign w:val="bottom"/>
          </w:tcPr>
          <w:p w14:paraId="4D12E956"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12 (5%)</w:t>
            </w:r>
          </w:p>
        </w:tc>
        <w:tc>
          <w:tcPr>
            <w:tcW w:w="1268" w:type="pct"/>
            <w:shd w:val="clear" w:color="auto" w:fill="D9D9D9" w:themeFill="background1" w:themeFillShade="D9"/>
            <w:vAlign w:val="bottom"/>
          </w:tcPr>
          <w:p w14:paraId="698E7603"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53 (21%)</w:t>
            </w:r>
          </w:p>
        </w:tc>
        <w:tc>
          <w:tcPr>
            <w:tcW w:w="1267" w:type="pct"/>
            <w:shd w:val="clear" w:color="auto" w:fill="D9D9D9" w:themeFill="background1" w:themeFillShade="D9"/>
            <w:vAlign w:val="bottom"/>
          </w:tcPr>
          <w:p w14:paraId="19522EE7"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185 (74%)</w:t>
            </w:r>
          </w:p>
        </w:tc>
      </w:tr>
      <w:tr w:rsidR="00221671" w:rsidRPr="00DD456C" w14:paraId="40C1AAF2" w14:textId="77777777" w:rsidTr="00DD456C">
        <w:trPr>
          <w:trHeight w:val="249"/>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auto"/>
          </w:tcPr>
          <w:p w14:paraId="632FE3F2" w14:textId="77777777" w:rsidR="00221671" w:rsidRPr="00DD456C" w:rsidRDefault="00221671" w:rsidP="00ED0631">
            <w:pPr>
              <w:spacing w:before="140" w:after="140"/>
              <w:rPr>
                <w:rFonts w:asciiTheme="majorHAnsi" w:hAnsiTheme="majorHAnsi" w:cstheme="majorHAnsi"/>
                <w:color w:val="auto"/>
              </w:rPr>
            </w:pPr>
            <w:r w:rsidRPr="00DD456C">
              <w:rPr>
                <w:rFonts w:asciiTheme="majorHAnsi" w:eastAsia="Times New Roman" w:hAnsiTheme="majorHAnsi" w:cstheme="majorHAnsi"/>
                <w:color w:val="auto"/>
              </w:rPr>
              <w:t>North</w:t>
            </w:r>
          </w:p>
        </w:tc>
        <w:tc>
          <w:tcPr>
            <w:tcW w:w="1268" w:type="pct"/>
            <w:vAlign w:val="bottom"/>
          </w:tcPr>
          <w:p w14:paraId="3F489CFF"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27 (6%)</w:t>
            </w:r>
          </w:p>
        </w:tc>
        <w:tc>
          <w:tcPr>
            <w:tcW w:w="1268" w:type="pct"/>
            <w:vAlign w:val="bottom"/>
          </w:tcPr>
          <w:p w14:paraId="5FBBBF06"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76 (17%)</w:t>
            </w:r>
          </w:p>
        </w:tc>
        <w:tc>
          <w:tcPr>
            <w:tcW w:w="1267" w:type="pct"/>
            <w:vAlign w:val="bottom"/>
          </w:tcPr>
          <w:p w14:paraId="409C2198"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339 (77%)</w:t>
            </w:r>
          </w:p>
        </w:tc>
      </w:tr>
      <w:tr w:rsidR="00221671" w:rsidRPr="00DD456C" w14:paraId="629540CC" w14:textId="77777777" w:rsidTr="00DD456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D9D9D9" w:themeFill="background1" w:themeFillShade="D9"/>
          </w:tcPr>
          <w:p w14:paraId="60C7E0E0" w14:textId="77777777" w:rsidR="00221671" w:rsidRPr="00DD456C" w:rsidRDefault="00221671" w:rsidP="00ED0631">
            <w:pPr>
              <w:spacing w:before="140" w:after="140"/>
              <w:rPr>
                <w:rFonts w:asciiTheme="majorHAnsi" w:hAnsiTheme="majorHAnsi" w:cstheme="majorHAnsi"/>
                <w:color w:val="auto"/>
              </w:rPr>
            </w:pPr>
            <w:r w:rsidRPr="00DD456C">
              <w:rPr>
                <w:rFonts w:asciiTheme="majorHAnsi" w:eastAsia="Times New Roman" w:hAnsiTheme="majorHAnsi" w:cstheme="majorHAnsi"/>
                <w:color w:val="auto"/>
              </w:rPr>
              <w:t>South</w:t>
            </w:r>
          </w:p>
        </w:tc>
        <w:tc>
          <w:tcPr>
            <w:tcW w:w="1268" w:type="pct"/>
            <w:vAlign w:val="bottom"/>
          </w:tcPr>
          <w:p w14:paraId="6F0ADED8"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22 (8%)</w:t>
            </w:r>
          </w:p>
        </w:tc>
        <w:tc>
          <w:tcPr>
            <w:tcW w:w="1268" w:type="pct"/>
            <w:vAlign w:val="bottom"/>
          </w:tcPr>
          <w:p w14:paraId="0F13ECC6"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43 (15%)</w:t>
            </w:r>
          </w:p>
        </w:tc>
        <w:tc>
          <w:tcPr>
            <w:tcW w:w="1267" w:type="pct"/>
            <w:vAlign w:val="bottom"/>
          </w:tcPr>
          <w:p w14:paraId="0A6F156A"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219 (77%)</w:t>
            </w:r>
          </w:p>
        </w:tc>
      </w:tr>
      <w:tr w:rsidR="00221671" w:rsidRPr="00DD456C" w14:paraId="1D7D290C" w14:textId="77777777" w:rsidTr="00DD456C">
        <w:trPr>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auto"/>
          </w:tcPr>
          <w:p w14:paraId="12E3C248" w14:textId="77777777" w:rsidR="00221671" w:rsidRPr="00DD456C" w:rsidRDefault="00221671" w:rsidP="00ED0631">
            <w:pPr>
              <w:spacing w:before="140" w:after="140"/>
              <w:rPr>
                <w:rFonts w:asciiTheme="majorHAnsi" w:hAnsiTheme="majorHAnsi" w:cstheme="majorHAnsi"/>
                <w:color w:val="auto"/>
              </w:rPr>
            </w:pPr>
            <w:r w:rsidRPr="00DD456C">
              <w:rPr>
                <w:rFonts w:asciiTheme="majorHAnsi" w:eastAsia="Times New Roman" w:hAnsiTheme="majorHAnsi" w:cstheme="majorHAnsi"/>
                <w:color w:val="auto"/>
              </w:rPr>
              <w:t>Linnux</w:t>
            </w:r>
          </w:p>
        </w:tc>
        <w:tc>
          <w:tcPr>
            <w:tcW w:w="1268" w:type="pct"/>
            <w:shd w:val="clear" w:color="auto" w:fill="auto"/>
            <w:vAlign w:val="bottom"/>
          </w:tcPr>
          <w:p w14:paraId="46A0F469"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19 (7%)</w:t>
            </w:r>
          </w:p>
        </w:tc>
        <w:tc>
          <w:tcPr>
            <w:tcW w:w="1268" w:type="pct"/>
            <w:shd w:val="clear" w:color="auto" w:fill="auto"/>
            <w:vAlign w:val="bottom"/>
          </w:tcPr>
          <w:p w14:paraId="27CD3916"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49 (19%)</w:t>
            </w:r>
          </w:p>
        </w:tc>
        <w:tc>
          <w:tcPr>
            <w:tcW w:w="1267" w:type="pct"/>
            <w:shd w:val="clear" w:color="auto" w:fill="auto"/>
            <w:vAlign w:val="bottom"/>
          </w:tcPr>
          <w:p w14:paraId="0713CBC6" w14:textId="77777777" w:rsidR="00221671" w:rsidRPr="00DD456C"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193 (74%)</w:t>
            </w:r>
          </w:p>
        </w:tc>
      </w:tr>
      <w:tr w:rsidR="00221671" w:rsidRPr="00DD456C" w14:paraId="47EE9813" w14:textId="77777777" w:rsidTr="00DD456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6" w:type="pct"/>
            <w:tcBorders>
              <w:left w:val="none" w:sz="0" w:space="0" w:color="auto"/>
              <w:bottom w:val="none" w:sz="0" w:space="0" w:color="auto"/>
              <w:right w:val="none" w:sz="0" w:space="0" w:color="auto"/>
            </w:tcBorders>
            <w:shd w:val="clear" w:color="auto" w:fill="D9D9D9" w:themeFill="background1" w:themeFillShade="D9"/>
          </w:tcPr>
          <w:p w14:paraId="659C7B16" w14:textId="77777777" w:rsidR="00221671" w:rsidRPr="00DD456C" w:rsidRDefault="00221671" w:rsidP="00ED0631">
            <w:pPr>
              <w:spacing w:before="140" w:after="140"/>
              <w:rPr>
                <w:rFonts w:asciiTheme="majorHAnsi" w:hAnsiTheme="majorHAnsi" w:cstheme="majorHAnsi"/>
                <w:color w:val="auto"/>
              </w:rPr>
            </w:pPr>
            <w:r w:rsidRPr="00DD456C">
              <w:rPr>
                <w:rFonts w:asciiTheme="majorHAnsi" w:eastAsia="Times New Roman" w:hAnsiTheme="majorHAnsi" w:cstheme="majorHAnsi"/>
                <w:color w:val="auto"/>
              </w:rPr>
              <w:t>South Tarawa</w:t>
            </w:r>
          </w:p>
        </w:tc>
        <w:tc>
          <w:tcPr>
            <w:tcW w:w="1268" w:type="pct"/>
            <w:shd w:val="clear" w:color="auto" w:fill="D9D9D9" w:themeFill="background1" w:themeFillShade="D9"/>
            <w:vAlign w:val="bottom"/>
          </w:tcPr>
          <w:p w14:paraId="3F2AF101"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54 (5%)</w:t>
            </w:r>
          </w:p>
        </w:tc>
        <w:tc>
          <w:tcPr>
            <w:tcW w:w="1268" w:type="pct"/>
            <w:shd w:val="clear" w:color="auto" w:fill="D9D9D9" w:themeFill="background1" w:themeFillShade="D9"/>
            <w:vAlign w:val="bottom"/>
          </w:tcPr>
          <w:p w14:paraId="6D6C906C"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144 (14%)</w:t>
            </w:r>
          </w:p>
        </w:tc>
        <w:tc>
          <w:tcPr>
            <w:tcW w:w="1267" w:type="pct"/>
            <w:shd w:val="clear" w:color="auto" w:fill="D9D9D9" w:themeFill="background1" w:themeFillShade="D9"/>
            <w:vAlign w:val="bottom"/>
          </w:tcPr>
          <w:p w14:paraId="78ED7000" w14:textId="77777777" w:rsidR="00221671" w:rsidRPr="00DD456C"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D456C">
              <w:rPr>
                <w:rFonts w:asciiTheme="majorHAnsi" w:eastAsia="Times New Roman" w:hAnsiTheme="majorHAnsi" w:cstheme="majorHAnsi"/>
                <w:color w:val="000000"/>
              </w:rPr>
              <w:t>856 (81%)</w:t>
            </w:r>
          </w:p>
        </w:tc>
      </w:tr>
    </w:tbl>
    <w:p w14:paraId="274CF648" w14:textId="77777777" w:rsidR="00221671" w:rsidRDefault="00221671" w:rsidP="00ED0631">
      <w:pPr>
        <w:spacing w:before="140" w:after="140"/>
        <w:jc w:val="both"/>
        <w:rPr>
          <w:rFonts w:cs="Arial"/>
        </w:rPr>
      </w:pPr>
      <w:r>
        <w:rPr>
          <w:rFonts w:cs="Arial"/>
        </w:rPr>
        <w:t>The performance of students in South Tarawa is noticeably better than for the other districts. Schools in South Tarawa undertook two similar numeracy tests at the end of each Term. Their enhanced results may be attributable, at least in part, to familiarity by the students with the testing process and question style used in these numeracy tests.</w:t>
      </w:r>
    </w:p>
    <w:p w14:paraId="4E90F8C7" w14:textId="77777777" w:rsidR="00221671" w:rsidRDefault="00221671" w:rsidP="00ED0631">
      <w:pPr>
        <w:spacing w:before="140" w:after="140"/>
        <w:jc w:val="both"/>
        <w:rPr>
          <w:rFonts w:cs="Arial"/>
        </w:rPr>
      </w:pPr>
      <w:r w:rsidRPr="00D25E9D">
        <w:rPr>
          <w:rFonts w:cs="Arial"/>
        </w:rPr>
        <w:t>Analysis of the proportions achieving the expected standard by gender shows that girls performed better than boys in the test.</w:t>
      </w:r>
      <w:r>
        <w:rPr>
          <w:rFonts w:cs="Arial"/>
        </w:rPr>
        <w:t xml:space="preserve"> This is a consistent pattern that has been seen in every STAKI test.</w:t>
      </w:r>
    </w:p>
    <w:p w14:paraId="2AA4D538" w14:textId="77777777" w:rsidR="00221671" w:rsidRPr="00C40966" w:rsidRDefault="00221671" w:rsidP="00ED0631">
      <w:pPr>
        <w:spacing w:before="140" w:after="140"/>
        <w:jc w:val="both"/>
        <w:rPr>
          <w:rFonts w:cs="Arial"/>
          <w:noProof/>
          <w:lang w:val="en-US"/>
        </w:rPr>
      </w:pPr>
      <w:r w:rsidRPr="00D25E9D">
        <w:rPr>
          <w:rFonts w:cs="Arial"/>
        </w:rPr>
        <w:t xml:space="preserve">The spread of </w:t>
      </w:r>
      <w:r>
        <w:rPr>
          <w:rFonts w:cs="Arial"/>
        </w:rPr>
        <w:t>achievement</w:t>
      </w:r>
      <w:r w:rsidRPr="00D25E9D">
        <w:rPr>
          <w:rFonts w:cs="Arial"/>
        </w:rPr>
        <w:t xml:space="preserve"> f</w:t>
      </w:r>
      <w:r>
        <w:rPr>
          <w:rFonts w:cs="Arial"/>
        </w:rPr>
        <w:t>or each gender is shown in Fig 18</w:t>
      </w:r>
      <w:r w:rsidRPr="00D25E9D">
        <w:rPr>
          <w:rFonts w:cs="Arial"/>
        </w:rPr>
        <w:t xml:space="preserve">. The variation in performance between the boys and the girls is </w:t>
      </w:r>
      <w:r>
        <w:rPr>
          <w:rFonts w:cs="Arial"/>
        </w:rPr>
        <w:t>significant, however is only half the difference seen in Year 4 English literacy</w:t>
      </w:r>
    </w:p>
    <w:p w14:paraId="1094808A" w14:textId="77777777" w:rsidR="00221671" w:rsidRPr="00C40966" w:rsidRDefault="00221671" w:rsidP="00DD456C">
      <w:pPr>
        <w:pStyle w:val="Heading3"/>
      </w:pPr>
      <w:r>
        <w:t>General Observations</w:t>
      </w:r>
    </w:p>
    <w:p w14:paraId="2C13F4A4" w14:textId="77777777" w:rsidR="00221671" w:rsidRPr="00D25E9D" w:rsidRDefault="00221671" w:rsidP="00DD456C">
      <w:pPr>
        <w:pStyle w:val="ListParagraph"/>
        <w:numPr>
          <w:ilvl w:val="0"/>
          <w:numId w:val="52"/>
        </w:numPr>
        <w:spacing w:before="0" w:beforeAutospacing="0" w:after="0" w:afterAutospacing="0"/>
        <w:contextualSpacing w:val="0"/>
        <w:jc w:val="both"/>
        <w:rPr>
          <w:rFonts w:cs="Arial"/>
          <w:szCs w:val="20"/>
        </w:rPr>
      </w:pPr>
      <w:r>
        <w:rPr>
          <w:rFonts w:cs="Arial"/>
          <w:szCs w:val="20"/>
        </w:rPr>
        <w:t>The</w:t>
      </w:r>
      <w:r w:rsidRPr="00D25E9D">
        <w:rPr>
          <w:rFonts w:cs="Arial"/>
          <w:szCs w:val="20"/>
        </w:rPr>
        <w:t xml:space="preserve"> percentage of students achieving the expected overall standard in </w:t>
      </w:r>
      <w:r>
        <w:rPr>
          <w:rFonts w:cs="Arial"/>
          <w:szCs w:val="20"/>
        </w:rPr>
        <w:t>numeracy</w:t>
      </w:r>
      <w:r w:rsidRPr="00D25E9D">
        <w:rPr>
          <w:rFonts w:cs="Arial"/>
          <w:szCs w:val="20"/>
        </w:rPr>
        <w:t xml:space="preserve"> at Year 4 </w:t>
      </w:r>
      <w:r>
        <w:rPr>
          <w:rFonts w:cs="Arial"/>
          <w:szCs w:val="20"/>
        </w:rPr>
        <w:t>has increased dramatically to 78% of students from 26% in 2013.</w:t>
      </w:r>
    </w:p>
    <w:p w14:paraId="149D0E7F" w14:textId="77777777" w:rsidR="00221671" w:rsidRPr="00D25E9D" w:rsidRDefault="00221671" w:rsidP="00DD456C">
      <w:pPr>
        <w:pStyle w:val="ListParagraph"/>
        <w:numPr>
          <w:ilvl w:val="0"/>
          <w:numId w:val="52"/>
        </w:numPr>
        <w:spacing w:before="0" w:beforeAutospacing="0" w:after="0" w:afterAutospacing="0"/>
        <w:contextualSpacing w:val="0"/>
        <w:jc w:val="both"/>
        <w:rPr>
          <w:rFonts w:cs="Arial"/>
          <w:szCs w:val="20"/>
        </w:rPr>
      </w:pPr>
      <w:r>
        <w:rPr>
          <w:rFonts w:cs="Arial"/>
          <w:szCs w:val="20"/>
        </w:rPr>
        <w:t>95</w:t>
      </w:r>
      <w:r w:rsidRPr="00D25E9D">
        <w:rPr>
          <w:rFonts w:cs="Arial"/>
          <w:szCs w:val="20"/>
        </w:rPr>
        <w:t>% of the students are working at a level that can be considered to be 'minimally acceptable' for their year level.</w:t>
      </w:r>
    </w:p>
    <w:p w14:paraId="6841EC96" w14:textId="77777777" w:rsidR="00221671" w:rsidRPr="00D25E9D" w:rsidRDefault="00221671" w:rsidP="00DD456C">
      <w:pPr>
        <w:pStyle w:val="ListParagraph"/>
        <w:numPr>
          <w:ilvl w:val="0"/>
          <w:numId w:val="52"/>
        </w:numPr>
        <w:spacing w:before="0" w:beforeAutospacing="0" w:after="0" w:afterAutospacing="0"/>
        <w:contextualSpacing w:val="0"/>
        <w:jc w:val="both"/>
        <w:rPr>
          <w:rFonts w:cs="Arial"/>
          <w:szCs w:val="20"/>
        </w:rPr>
      </w:pPr>
      <w:r w:rsidRPr="00D25E9D">
        <w:rPr>
          <w:rFonts w:cs="Arial"/>
          <w:szCs w:val="20"/>
        </w:rPr>
        <w:t xml:space="preserve">Skills in </w:t>
      </w:r>
      <w:r>
        <w:rPr>
          <w:rFonts w:cs="Arial"/>
          <w:szCs w:val="20"/>
        </w:rPr>
        <w:t>measurement, especially use of rulers and analogue time faces</w:t>
      </w:r>
      <w:r w:rsidRPr="00D25E9D">
        <w:rPr>
          <w:rFonts w:cs="Arial"/>
          <w:szCs w:val="20"/>
        </w:rPr>
        <w:t xml:space="preserve"> are the most in need of development.</w:t>
      </w:r>
      <w:r>
        <w:rPr>
          <w:rFonts w:cs="Arial"/>
          <w:szCs w:val="20"/>
        </w:rPr>
        <w:t xml:space="preserve"> This is the same as was observed in 2013.</w:t>
      </w:r>
    </w:p>
    <w:p w14:paraId="441E1726" w14:textId="77777777" w:rsidR="00221671" w:rsidRDefault="00221671" w:rsidP="00DD456C">
      <w:pPr>
        <w:pStyle w:val="ListParagraph"/>
        <w:numPr>
          <w:ilvl w:val="0"/>
          <w:numId w:val="52"/>
        </w:numPr>
        <w:spacing w:before="0" w:beforeAutospacing="0" w:after="0" w:afterAutospacing="0"/>
        <w:contextualSpacing w:val="0"/>
        <w:jc w:val="both"/>
        <w:rPr>
          <w:rFonts w:cs="Arial"/>
          <w:szCs w:val="20"/>
        </w:rPr>
      </w:pPr>
      <w:r>
        <w:rPr>
          <w:rFonts w:cs="Arial"/>
          <w:szCs w:val="20"/>
        </w:rPr>
        <w:t>Students in South Tarawa performed better</w:t>
      </w:r>
      <w:r w:rsidRPr="00D25E9D">
        <w:rPr>
          <w:rFonts w:cs="Arial"/>
          <w:szCs w:val="20"/>
        </w:rPr>
        <w:t xml:space="preserve"> in comparison to their peers in other districts.</w:t>
      </w:r>
    </w:p>
    <w:p w14:paraId="516AF2C8" w14:textId="36E86466" w:rsidR="00221671" w:rsidRDefault="00221671" w:rsidP="00DD456C">
      <w:pPr>
        <w:pStyle w:val="ListParagraph"/>
        <w:numPr>
          <w:ilvl w:val="0"/>
          <w:numId w:val="52"/>
        </w:numPr>
        <w:spacing w:before="0" w:beforeAutospacing="0" w:after="0" w:afterAutospacing="0"/>
        <w:contextualSpacing w:val="0"/>
        <w:jc w:val="both"/>
        <w:rPr>
          <w:rFonts w:cs="Arial"/>
          <w:szCs w:val="20"/>
        </w:rPr>
      </w:pPr>
      <w:r w:rsidRPr="00D25E9D">
        <w:rPr>
          <w:rFonts w:cs="Arial"/>
          <w:szCs w:val="20"/>
        </w:rPr>
        <w:t xml:space="preserve">Girls continue </w:t>
      </w:r>
      <w:r>
        <w:rPr>
          <w:rFonts w:cs="Arial"/>
          <w:szCs w:val="20"/>
        </w:rPr>
        <w:t>to perform better than boys. The gap between the two groups has remained steady since 2013.</w:t>
      </w:r>
    </w:p>
    <w:p w14:paraId="45B577B6" w14:textId="7A652862" w:rsidR="00221671" w:rsidRDefault="006C197B" w:rsidP="00ED0631">
      <w:pPr>
        <w:spacing w:before="140" w:after="140"/>
        <w:rPr>
          <w:b/>
          <w:color w:val="EB6E08" w:themeColor="text2"/>
        </w:rPr>
      </w:pPr>
      <w:r>
        <w:rPr>
          <w:noProof/>
          <w:lang w:eastAsia="en-AU"/>
        </w:rPr>
        <w:drawing>
          <wp:anchor distT="0" distB="0" distL="114300" distR="114300" simplePos="0" relativeHeight="251814911" behindDoc="0" locked="0" layoutInCell="1" allowOverlap="1" wp14:anchorId="0C41E1B8" wp14:editId="0DE6BD06">
            <wp:simplePos x="0" y="0"/>
            <wp:positionH relativeFrom="margin">
              <wp:posOffset>-51435</wp:posOffset>
            </wp:positionH>
            <wp:positionV relativeFrom="paragraph">
              <wp:posOffset>379730</wp:posOffset>
            </wp:positionV>
            <wp:extent cx="3032760" cy="2105025"/>
            <wp:effectExtent l="0" t="0" r="15240" b="9525"/>
            <wp:wrapThrough wrapText="bothSides">
              <wp:wrapPolygon edited="0">
                <wp:start x="0" y="0"/>
                <wp:lineTo x="0" y="21502"/>
                <wp:lineTo x="21573" y="21502"/>
                <wp:lineTo x="21573" y="0"/>
                <wp:lineTo x="0" y="0"/>
              </wp:wrapPolygon>
            </wp:wrapThrough>
            <wp:docPr id="78" name="Chart 78" descr="Graph shows girls performing better than boys." title="Fig 18 Year 4 numeracy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sidR="00DD456C">
        <w:rPr>
          <w:rFonts w:cs="Arial"/>
          <w:noProof/>
          <w:lang w:eastAsia="en-AU"/>
        </w:rPr>
        <mc:AlternateContent>
          <mc:Choice Requires="wps">
            <w:drawing>
              <wp:anchor distT="0" distB="0" distL="114300" distR="114300" simplePos="0" relativeHeight="251845631" behindDoc="0" locked="0" layoutInCell="1" allowOverlap="1" wp14:anchorId="7AA94B57" wp14:editId="15CB2AFE">
                <wp:simplePos x="0" y="0"/>
                <wp:positionH relativeFrom="column">
                  <wp:posOffset>-112395</wp:posOffset>
                </wp:positionH>
                <wp:positionV relativeFrom="paragraph">
                  <wp:posOffset>90170</wp:posOffset>
                </wp:positionV>
                <wp:extent cx="5044440" cy="27432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0444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3AA9D" w14:textId="77777777" w:rsidR="001E5A4B" w:rsidRPr="00752D28" w:rsidRDefault="001E5A4B" w:rsidP="00DD456C">
                            <w:pPr>
                              <w:spacing w:after="0"/>
                              <w:rPr>
                                <w:i/>
                                <w:sz w:val="18"/>
                              </w:rPr>
                            </w:pPr>
                            <w:r w:rsidRPr="00752D28">
                              <w:rPr>
                                <w:b/>
                                <w:i/>
                                <w:sz w:val="18"/>
                              </w:rPr>
                              <w:t>Fig 18</w:t>
                            </w:r>
                            <w:r w:rsidRPr="00752D28">
                              <w:rPr>
                                <w:i/>
                                <w:sz w:val="18"/>
                              </w:rPr>
                              <w:tab/>
                              <w:t>Year 4 numeracy performance by gender</w:t>
                            </w:r>
                          </w:p>
                          <w:p w14:paraId="105EE917"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A94B57" id="Text Box 22" o:spid="_x0000_s1040" type="#_x0000_t202" style="position:absolute;margin-left:-8.85pt;margin-top:7.1pt;width:397.2pt;height:21.6pt;z-index:251845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7VgQIAAGwFAAAOAAAAZHJzL2Uyb0RvYy54bWysVE1PGzEQvVfqf7B8L5uEAG3EBqUgqkoI&#10;UKHi7HhtsqrX49pOdtNf32dvNkS0F6rm4MzOvBnPxxufX3SNYRvlQ0225OOjEWfKSqpq+1zy74/X&#10;Hz5yFqKwlTBkVcm3KvCL+ft3562bqQmtyFTKMwSxYda6kq9idLOiCHKlGhGOyCkLoybfiIhP/1xU&#10;XrSI3phiMhqdFi35ynmSKgRor3ojn+f4WisZ77QOKjJTcuQW8+nzuUxnMT8Xs2cv3KqWuzTEP2TR&#10;iNri0n2oKxEFW/v6j1BNLT0F0vFIUlOQ1rVUuQZUMx69quZhJZzKtaA5we3bFP5fWHm7ufesrko+&#10;mXBmRYMZPaouss/UMajQn9aFGWAPDsDYQY85D/oAZSq7075J/yiIwY5Ob/fdTdEklCejKX4wSdgm&#10;Z9PjSW5/8eLtfIhfFDUsCSX3mF5uqtjchIhMAB0g6TJL17UxeYLGsrbkp8cno+ywt8DD2IRVmQu7&#10;MKmiPvMsxa1RCWPsN6XRi1xAUmQWqkvj2UaAP0JKZWOuPccFOqE0kniL4w7/ktVbnPs6hpvJxr1z&#10;U1vyufpXaVc/hpR1j0cjD+pOYuyWXSbBeDpMdknVFgP31K9McPK6xlRuRIj3wmNHMEjsfbzDoQ2h&#10;+7STOFuR//U3fcKDurBy1mLnSh5+roVXnJmvFqT+NM78iPljenIGgjB/aFkeWuy6uSSMZYwXxsks&#10;Jnw0g6g9NU94HhbpVpiElbi75HEQL2P/EuB5kWqxyCCspRPxxj44mUKnKSXOPXZPwrsdMSMofUvD&#10;dorZK3722ORpabGOpOtM3tTovqu7AWClM6d3z096Mw6/M+rlkZz/BgAA//8DAFBLAwQUAAYACAAA&#10;ACEA8BRbKeAAAAAJAQAADwAAAGRycy9kb3ducmV2LnhtbEyPTWvCQBCG7wX/wzJCb7oxqCtpNiIB&#10;KZT2oPXS2yS7JqH7kWZXTfvrOz3V48z78M4z+Xa0hl31EDrvJCzmCTDtaq8610g4ve9nG2AholNo&#10;vNMSvnWAbTF5yDFT/uYO+nqMDaMSFzKU0MbYZ5yHutUWw9z32lF29oPFSOPQcDXgjcqt4WmSrLnF&#10;ztGFFntdtrr+PF6shJdy/4aHKrWbH1M+v553/dfpYyXl43TcPQGLeoz/MPzpkzoU5FT5i1OBGQmz&#10;hRCEUrBMgREgxJoWlYSVWAIvcn7/QfELAAD//wMAUEsBAi0AFAAGAAgAAAAhALaDOJL+AAAA4QEA&#10;ABMAAAAAAAAAAAAAAAAAAAAAAFtDb250ZW50X1R5cGVzXS54bWxQSwECLQAUAAYACAAAACEAOP0h&#10;/9YAAACUAQAACwAAAAAAAAAAAAAAAAAvAQAAX3JlbHMvLnJlbHNQSwECLQAUAAYACAAAACEAXrS+&#10;1YECAABsBQAADgAAAAAAAAAAAAAAAAAuAgAAZHJzL2Uyb0RvYy54bWxQSwECLQAUAAYACAAAACEA&#10;8BRbKeAAAAAJAQAADwAAAAAAAAAAAAAAAADbBAAAZHJzL2Rvd25yZXYueG1sUEsFBgAAAAAEAAQA&#10;8wAAAOgFAAAAAA==&#10;" filled="f" stroked="f" strokeweight=".5pt">
                <v:textbox>
                  <w:txbxContent>
                    <w:p w14:paraId="0F83AA9D" w14:textId="77777777" w:rsidR="001E5A4B" w:rsidRPr="00752D28" w:rsidRDefault="001E5A4B" w:rsidP="00DD456C">
                      <w:pPr>
                        <w:spacing w:after="0"/>
                        <w:rPr>
                          <w:i/>
                          <w:sz w:val="18"/>
                        </w:rPr>
                      </w:pPr>
                      <w:r w:rsidRPr="00752D28">
                        <w:rPr>
                          <w:b/>
                          <w:i/>
                          <w:sz w:val="18"/>
                        </w:rPr>
                        <w:t>Fig 18</w:t>
                      </w:r>
                      <w:r w:rsidRPr="00752D28">
                        <w:rPr>
                          <w:i/>
                          <w:sz w:val="18"/>
                        </w:rPr>
                        <w:tab/>
                        <w:t>Year 4 numeracy performance by gender</w:t>
                      </w:r>
                    </w:p>
                    <w:p w14:paraId="105EE917" w14:textId="77777777" w:rsidR="001E5A4B" w:rsidRDefault="001E5A4B"/>
                  </w:txbxContent>
                </v:textbox>
                <w10:wrap type="square"/>
              </v:shape>
            </w:pict>
          </mc:Fallback>
        </mc:AlternateContent>
      </w:r>
      <w:r w:rsidR="00221671">
        <w:rPr>
          <w:b/>
          <w:color w:val="EB6E08" w:themeColor="text2"/>
        </w:rPr>
        <w:br w:type="page"/>
      </w:r>
    </w:p>
    <w:p w14:paraId="5DBE65AB" w14:textId="1C81D8B3" w:rsidR="00221671" w:rsidRDefault="00221671" w:rsidP="006C197B">
      <w:pPr>
        <w:pStyle w:val="Heading2"/>
      </w:pPr>
      <w:r>
        <w:lastRenderedPageBreak/>
        <w:t>2.7</w:t>
      </w:r>
      <w:r>
        <w:tab/>
        <w:t>Year 6</w:t>
      </w:r>
      <w:r w:rsidRPr="00B77E55">
        <w:t xml:space="preserve"> </w:t>
      </w:r>
      <w:r>
        <w:t>Numeracy</w:t>
      </w:r>
    </w:p>
    <w:p w14:paraId="3890FE9A" w14:textId="05454CAD" w:rsidR="00221671" w:rsidRDefault="00221671" w:rsidP="006C197B">
      <w:pPr>
        <w:spacing w:before="140" w:after="140"/>
      </w:pPr>
      <w:r>
        <w:t>Almost every student engaged with the test and made some type of attempt.</w:t>
      </w:r>
    </w:p>
    <w:p w14:paraId="2D843762" w14:textId="1D3FA130" w:rsidR="00221671" w:rsidRDefault="00221671" w:rsidP="006C197B">
      <w:pPr>
        <w:spacing w:before="140" w:after="140"/>
      </w:pPr>
      <w:r>
        <w:t>There has been a major improvement in the performance of Year 6 students, with 54% performing at or above the expected standard.</w:t>
      </w:r>
    </w:p>
    <w:p w14:paraId="444D717C" w14:textId="1242BF60" w:rsidR="00221671" w:rsidRDefault="00807E7A" w:rsidP="006C197B">
      <w:pPr>
        <w:spacing w:before="140" w:after="140"/>
      </w:pPr>
      <w:r>
        <w:rPr>
          <w:b/>
          <w:noProof/>
          <w:szCs w:val="18"/>
          <w:lang w:eastAsia="en-AU"/>
        </w:rPr>
        <mc:AlternateContent>
          <mc:Choice Requires="wps">
            <w:drawing>
              <wp:anchor distT="0" distB="0" distL="114300" distR="114300" simplePos="0" relativeHeight="251846655" behindDoc="0" locked="0" layoutInCell="1" allowOverlap="1" wp14:anchorId="2E0F71E4" wp14:editId="64E2725A">
                <wp:simplePos x="0" y="0"/>
                <wp:positionH relativeFrom="column">
                  <wp:posOffset>-66675</wp:posOffset>
                </wp:positionH>
                <wp:positionV relativeFrom="paragraph">
                  <wp:posOffset>-3810</wp:posOffset>
                </wp:positionV>
                <wp:extent cx="2674620" cy="38862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6746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3FABD" w14:textId="732AFB54" w:rsidR="001E5A4B" w:rsidRPr="00752D28" w:rsidRDefault="001E5A4B" w:rsidP="006C197B">
                            <w:pPr>
                              <w:spacing w:after="0"/>
                              <w:ind w:left="709" w:hanging="709"/>
                              <w:rPr>
                                <w:i/>
                                <w:sz w:val="18"/>
                                <w:szCs w:val="18"/>
                              </w:rPr>
                            </w:pPr>
                            <w:r w:rsidRPr="00752D28">
                              <w:rPr>
                                <w:b/>
                                <w:i/>
                                <w:sz w:val="18"/>
                                <w:szCs w:val="18"/>
                              </w:rPr>
                              <w:t>Fig 19</w:t>
                            </w:r>
                            <w:r w:rsidRPr="00752D28">
                              <w:rPr>
                                <w:i/>
                                <w:sz w:val="18"/>
                                <w:szCs w:val="18"/>
                              </w:rPr>
                              <w:tab/>
                              <w:t>Year 6 numeracy overall performance 2011-2015</w:t>
                            </w:r>
                          </w:p>
                          <w:p w14:paraId="52BF03A0"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0F71E4" id="Text Box 23" o:spid="_x0000_s1041" type="#_x0000_t202" style="position:absolute;margin-left:-5.25pt;margin-top:-.3pt;width:210.6pt;height:30.6pt;z-index:251846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J/gQIAAGwFAAAOAAAAZHJzL2Uyb0RvYy54bWysVN9P2zAQfp+0/8Hy+0hbSmEVKepATJMQ&#10;oMHEs+vYNJrt8+xrk+6v5+wkpWJ7YdqLc7n7fL4f3935RWsN26oQa3AlHx+NOFNOQlW755L/eLz+&#10;dMZZROEqYcCpku9U5BeLjx/OGz9XE1iDqVRg5MTFeeNLvkb086KIcq2siEfglSOjhmAF0m94Lqog&#10;GvJuTTEZjWZFA6HyAaSKkbRXnZEvsn+tlcQ7raNCZkpOsWE+Qz5X6SwW52L+HIRf17IPQ/xDFFbU&#10;jh7du7oSKNgm1H+4srUMEEHjkQRbgNa1VDkHymY8epPNw1p4lXOh4kS/L1P8f27l7fY+sLoq+eSY&#10;Mycs9ehRtci+QMtIRfVpfJwT7METEFvSU58HfSRlSrvVwaYvJcTITpXe7aubvElSTman09mETJJs&#10;x2dnSSb3xettHyJ+VWBZEkoeqHu5qGJ7E7GDDpD0mIPr2pjcQeNYU/LZ8ckoX9hbyLlxCasyF3o3&#10;KaMu8izhzqiEMe670lSLnEBSZBaqSxPYVhB/hJTKYc49+yV0QmkK4j0Xe/xrVO+53OUxvAwO95dt&#10;7SDk7N+EXf0cQtYdnmp+kHcSsV21mQTjk6GzK6h21PAA3chEL69r6sqNiHgvAs0INZLmHu/o0Aao&#10;+tBLnK0h/P6bPuGJumTlrKGZK3n8tRFBcWa+OSL15/F0moY0/0xPThNZwqFldWhxG3sJ1JYxbRgv&#10;s5jwaAZRB7BPtB6W6VUyCSfp7ZLjIF5itwlovUi1XGYQjaUXeOMevEyuU5cS5x7bJxF8T0wkSt/C&#10;MJ1i/oafHTbddLDcIOg6kzcVuqtq3wAa6Uz/fv2knXH4n1GvS3LxAgAA//8DAFBLAwQUAAYACAAA&#10;ACEAHmnaTOAAAAAIAQAADwAAAGRycy9kb3ducmV2LnhtbEyPwU7DMBBE70j8g7VI3Fo7FQ1ViFNV&#10;kSokBIeWXrht4m0SEa9D7LaBr8ec6G1WM5p5m68n24szjb5zrCGZKxDEtTMdNxoO79vZCoQPyAZ7&#10;x6Thmzysi9ubHDPjLryj8z40Ipawz1BDG8KQSenrliz6uRuIo3d0o8UQz7GRZsRLLLe9XCiVSosd&#10;x4UWBypbqj/3J6vhpdy+4a5a2NVPXz6/HjfD1+FjqfX93bR5AhFoCv9h+MOP6FBEpsqd2HjRa5gl&#10;ahmjUaQgov+QqEcQlYZUpSCLXF4/UPwCAAD//wMAUEsBAi0AFAAGAAgAAAAhALaDOJL+AAAA4QEA&#10;ABMAAAAAAAAAAAAAAAAAAAAAAFtDb250ZW50X1R5cGVzXS54bWxQSwECLQAUAAYACAAAACEAOP0h&#10;/9YAAACUAQAACwAAAAAAAAAAAAAAAAAvAQAAX3JlbHMvLnJlbHNQSwECLQAUAAYACAAAACEA8UZi&#10;f4ECAABsBQAADgAAAAAAAAAAAAAAAAAuAgAAZHJzL2Uyb0RvYy54bWxQSwECLQAUAAYACAAAACEA&#10;HmnaTOAAAAAIAQAADwAAAAAAAAAAAAAAAADbBAAAZHJzL2Rvd25yZXYueG1sUEsFBgAAAAAEAAQA&#10;8wAAAOgFAAAAAA==&#10;" filled="f" stroked="f" strokeweight=".5pt">
                <v:textbox>
                  <w:txbxContent>
                    <w:p w14:paraId="35B3FABD" w14:textId="732AFB54" w:rsidR="001E5A4B" w:rsidRPr="00752D28" w:rsidRDefault="001E5A4B" w:rsidP="006C197B">
                      <w:pPr>
                        <w:spacing w:after="0"/>
                        <w:ind w:left="709" w:hanging="709"/>
                        <w:rPr>
                          <w:i/>
                          <w:sz w:val="18"/>
                          <w:szCs w:val="18"/>
                        </w:rPr>
                      </w:pPr>
                      <w:r w:rsidRPr="00752D28">
                        <w:rPr>
                          <w:b/>
                          <w:i/>
                          <w:sz w:val="18"/>
                          <w:szCs w:val="18"/>
                        </w:rPr>
                        <w:t>Fig 19</w:t>
                      </w:r>
                      <w:r w:rsidRPr="00752D28">
                        <w:rPr>
                          <w:i/>
                          <w:sz w:val="18"/>
                          <w:szCs w:val="18"/>
                        </w:rPr>
                        <w:tab/>
                        <w:t>Year 6 numeracy overall performance 2011-2015</w:t>
                      </w:r>
                    </w:p>
                    <w:p w14:paraId="52BF03A0" w14:textId="77777777" w:rsidR="001E5A4B" w:rsidRDefault="001E5A4B"/>
                  </w:txbxContent>
                </v:textbox>
                <w10:wrap type="square"/>
              </v:shape>
            </w:pict>
          </mc:Fallback>
        </mc:AlternateContent>
      </w:r>
      <w:r w:rsidR="00221671">
        <w:t>This is a significant improvement on the results seen in 2013.</w:t>
      </w:r>
    </w:p>
    <w:p w14:paraId="6A077571" w14:textId="25B492FA" w:rsidR="00221671" w:rsidRPr="00C40966" w:rsidRDefault="00807E7A" w:rsidP="006C197B">
      <w:pPr>
        <w:spacing w:before="140" w:after="140"/>
      </w:pPr>
      <w:r>
        <w:rPr>
          <w:noProof/>
          <w:lang w:eastAsia="en-AU"/>
        </w:rPr>
        <w:drawing>
          <wp:anchor distT="0" distB="0" distL="114300" distR="114300" simplePos="0" relativeHeight="251815935" behindDoc="0" locked="0" layoutInCell="1" allowOverlap="1" wp14:anchorId="1753B72D" wp14:editId="7B714AAB">
            <wp:simplePos x="0" y="0"/>
            <wp:positionH relativeFrom="column">
              <wp:posOffset>-66675</wp:posOffset>
            </wp:positionH>
            <wp:positionV relativeFrom="paragraph">
              <wp:posOffset>3810</wp:posOffset>
            </wp:positionV>
            <wp:extent cx="2674620" cy="2240280"/>
            <wp:effectExtent l="0" t="0" r="11430" b="7620"/>
            <wp:wrapThrough wrapText="bothSides">
              <wp:wrapPolygon edited="0">
                <wp:start x="0" y="0"/>
                <wp:lineTo x="0" y="21490"/>
                <wp:lineTo x="21538" y="21490"/>
                <wp:lineTo x="21538" y="0"/>
                <wp:lineTo x="0" y="0"/>
              </wp:wrapPolygon>
            </wp:wrapThrough>
            <wp:docPr id="79" name="Chart 79" descr="Graphs results described in text" title="Fig 19 Year 6 numeracy overall performance 2011-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sidR="00221671">
        <w:t>85% of students are performing at a minimum standard and demonstrate they can, at least, engage with the expectations, if not demonstrate competence.</w:t>
      </w:r>
    </w:p>
    <w:p w14:paraId="3B315042" w14:textId="6B03AFFD" w:rsidR="00221671" w:rsidRDefault="00221671" w:rsidP="00ED0631">
      <w:pPr>
        <w:spacing w:before="140" w:after="140"/>
        <w:jc w:val="both"/>
      </w:pPr>
      <w:r w:rsidRPr="004F4F96">
        <w:t xml:space="preserve">The test focussed on </w:t>
      </w:r>
      <w:r>
        <w:t>four</w:t>
      </w:r>
      <w:r w:rsidRPr="004F4F96">
        <w:t xml:space="preserve"> components of </w:t>
      </w:r>
      <w:r>
        <w:t>numeracy</w:t>
      </w:r>
      <w:r w:rsidRPr="004F4F96">
        <w:t>:</w:t>
      </w:r>
    </w:p>
    <w:p w14:paraId="65920D98" w14:textId="08C5FCD4" w:rsidR="00221671" w:rsidRPr="004F4F96" w:rsidRDefault="00221671" w:rsidP="009E379A">
      <w:pPr>
        <w:pStyle w:val="ListParagraph"/>
        <w:numPr>
          <w:ilvl w:val="0"/>
          <w:numId w:val="54"/>
        </w:numPr>
        <w:spacing w:before="0" w:beforeAutospacing="0" w:after="0" w:afterAutospacing="0"/>
        <w:contextualSpacing w:val="0"/>
        <w:jc w:val="both"/>
        <w:rPr>
          <w:szCs w:val="20"/>
        </w:rPr>
      </w:pPr>
      <w:r>
        <w:rPr>
          <w:szCs w:val="20"/>
        </w:rPr>
        <w:t>number</w:t>
      </w:r>
      <w:r w:rsidRPr="004F4F96">
        <w:rPr>
          <w:szCs w:val="20"/>
        </w:rPr>
        <w:t>,</w:t>
      </w:r>
    </w:p>
    <w:p w14:paraId="2F206E71" w14:textId="09A5A79B" w:rsidR="00221671" w:rsidRDefault="00221671" w:rsidP="009E379A">
      <w:pPr>
        <w:pStyle w:val="ListParagraph"/>
        <w:numPr>
          <w:ilvl w:val="0"/>
          <w:numId w:val="54"/>
        </w:numPr>
        <w:spacing w:before="0" w:beforeAutospacing="0" w:after="0" w:afterAutospacing="0"/>
        <w:contextualSpacing w:val="0"/>
        <w:jc w:val="both"/>
        <w:rPr>
          <w:szCs w:val="20"/>
        </w:rPr>
      </w:pPr>
      <w:r>
        <w:rPr>
          <w:szCs w:val="20"/>
        </w:rPr>
        <w:t>operations</w:t>
      </w:r>
      <w:r w:rsidRPr="004F4F96">
        <w:rPr>
          <w:szCs w:val="20"/>
        </w:rPr>
        <w:t>,</w:t>
      </w:r>
    </w:p>
    <w:p w14:paraId="0A399FF3" w14:textId="60F7B9A2" w:rsidR="00221671" w:rsidRPr="004F4F96" w:rsidRDefault="00221671" w:rsidP="009E379A">
      <w:pPr>
        <w:pStyle w:val="ListParagraph"/>
        <w:numPr>
          <w:ilvl w:val="0"/>
          <w:numId w:val="54"/>
        </w:numPr>
        <w:spacing w:before="0" w:beforeAutospacing="0" w:after="0" w:afterAutospacing="0"/>
        <w:contextualSpacing w:val="0"/>
        <w:jc w:val="both"/>
        <w:rPr>
          <w:szCs w:val="20"/>
        </w:rPr>
      </w:pPr>
      <w:r>
        <w:rPr>
          <w:szCs w:val="20"/>
        </w:rPr>
        <w:t>measurement,</w:t>
      </w:r>
      <w:r w:rsidRPr="004F4F96">
        <w:rPr>
          <w:szCs w:val="20"/>
        </w:rPr>
        <w:t xml:space="preserve"> and</w:t>
      </w:r>
    </w:p>
    <w:p w14:paraId="5FB9D7E9" w14:textId="5820DFC5" w:rsidR="00221671" w:rsidRPr="00C40966" w:rsidRDefault="00221671" w:rsidP="009E379A">
      <w:pPr>
        <w:pStyle w:val="ListParagraph"/>
        <w:numPr>
          <w:ilvl w:val="0"/>
          <w:numId w:val="54"/>
        </w:numPr>
        <w:spacing w:before="0" w:beforeAutospacing="0" w:after="0" w:afterAutospacing="0"/>
        <w:contextualSpacing w:val="0"/>
        <w:jc w:val="both"/>
        <w:rPr>
          <w:szCs w:val="20"/>
        </w:rPr>
      </w:pPr>
      <w:r>
        <w:rPr>
          <w:szCs w:val="20"/>
        </w:rPr>
        <w:t>data</w:t>
      </w:r>
      <w:r w:rsidRPr="004F4F96">
        <w:rPr>
          <w:szCs w:val="20"/>
        </w:rPr>
        <w:t>.</w:t>
      </w:r>
      <w:r w:rsidRPr="00A244F5">
        <w:rPr>
          <w:noProof/>
          <w:lang w:val="en-US"/>
        </w:rPr>
        <w:t xml:space="preserve"> </w:t>
      </w:r>
    </w:p>
    <w:p w14:paraId="779CED0B" w14:textId="3D9EA516" w:rsidR="00221671" w:rsidRDefault="00221671" w:rsidP="00ED0631">
      <w:pPr>
        <w:spacing w:before="140" w:after="140"/>
        <w:jc w:val="both"/>
        <w:rPr>
          <w:rFonts w:cs="Arial"/>
        </w:rPr>
      </w:pPr>
      <w:r>
        <w:rPr>
          <w:rFonts w:cs="Arial"/>
        </w:rPr>
        <w:t xml:space="preserve">A large majority of students were able to undertake the number, operations and data related tasks to a satisfactory degree. </w:t>
      </w:r>
    </w:p>
    <w:p w14:paraId="5A3EB24F" w14:textId="57D30842" w:rsidR="00221671" w:rsidRDefault="00752D28" w:rsidP="00ED0631">
      <w:pPr>
        <w:spacing w:before="140" w:after="140"/>
        <w:jc w:val="both"/>
        <w:rPr>
          <w:rFonts w:cs="Arial"/>
        </w:rPr>
      </w:pPr>
      <w:r>
        <w:rPr>
          <w:noProof/>
          <w:lang w:eastAsia="en-AU"/>
        </w:rPr>
        <w:drawing>
          <wp:anchor distT="0" distB="0" distL="114300" distR="114300" simplePos="0" relativeHeight="251816959" behindDoc="0" locked="0" layoutInCell="1" allowOverlap="1" wp14:anchorId="7DB276FB" wp14:editId="69877C36">
            <wp:simplePos x="0" y="0"/>
            <wp:positionH relativeFrom="column">
              <wp:posOffset>-66675</wp:posOffset>
            </wp:positionH>
            <wp:positionV relativeFrom="paragraph">
              <wp:posOffset>482600</wp:posOffset>
            </wp:positionV>
            <wp:extent cx="2682240" cy="2141220"/>
            <wp:effectExtent l="0" t="0" r="3810" b="11430"/>
            <wp:wrapThrough wrapText="bothSides">
              <wp:wrapPolygon edited="0">
                <wp:start x="0" y="0"/>
                <wp:lineTo x="0" y="21523"/>
                <wp:lineTo x="21477" y="21523"/>
                <wp:lineTo x="21477" y="0"/>
                <wp:lineTo x="0" y="0"/>
              </wp:wrapPolygon>
            </wp:wrapThrough>
            <wp:docPr id="80" name="Chart 80" descr="Graphs results described in text for the four components, number, operations, measurement and data." title="Fig 20 Year 6 numeracy component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847679" behindDoc="0" locked="0" layoutInCell="1" allowOverlap="1" wp14:anchorId="5FB54481" wp14:editId="55F0B147">
                <wp:simplePos x="0" y="0"/>
                <wp:positionH relativeFrom="column">
                  <wp:posOffset>-173355</wp:posOffset>
                </wp:positionH>
                <wp:positionV relativeFrom="paragraph">
                  <wp:posOffset>147320</wp:posOffset>
                </wp:positionV>
                <wp:extent cx="2781300" cy="33528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27813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26507" w14:textId="77777777" w:rsidR="001E5A4B" w:rsidRPr="00752D28" w:rsidRDefault="001E5A4B" w:rsidP="00DD7102">
                            <w:pPr>
                              <w:spacing w:before="140" w:after="140"/>
                              <w:ind w:left="709" w:hanging="709"/>
                              <w:rPr>
                                <w:i/>
                                <w:sz w:val="18"/>
                                <w:szCs w:val="18"/>
                              </w:rPr>
                            </w:pPr>
                            <w:r w:rsidRPr="00752D28">
                              <w:rPr>
                                <w:b/>
                                <w:i/>
                                <w:sz w:val="18"/>
                                <w:szCs w:val="18"/>
                              </w:rPr>
                              <w:t>Fig 20</w:t>
                            </w:r>
                            <w:r w:rsidRPr="00752D28">
                              <w:rPr>
                                <w:i/>
                                <w:sz w:val="18"/>
                                <w:szCs w:val="18"/>
                              </w:rPr>
                              <w:tab/>
                              <w:t>Year 6 numeracy component performance</w:t>
                            </w:r>
                          </w:p>
                          <w:p w14:paraId="210B41A5"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54481" id="Text Box 24" o:spid="_x0000_s1042" type="#_x0000_t202" style="position:absolute;left:0;text-align:left;margin-left:-13.65pt;margin-top:11.6pt;width:219pt;height:26.4pt;z-index:25184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3ggIAAGwFAAAOAAAAZHJzL2Uyb0RvYy54bWysVEtPGzEQvlfqf7B8L5sXj0ZsUAqiqoQA&#10;FSrOjtcmq3o9ru0km/56PnuzIaK9UPVij2e+Gc/7/KJtDFsrH2qyJR8eDThTVlJV2+eS/3i8/nTG&#10;WYjCVsKQVSXfqsAvZh8/nG/cVI1oSaZSnsGIDdONK/kyRjctiiCXqhHhiJyyEGryjYh4+uei8mID&#10;640pRoPBSbEhXzlPUoUA7lUn5LNsX2sl453WQUVmSg7fYj59PhfpLGbnYvrshVvWcueG+AcvGlFb&#10;fLo3dSWiYCtf/2GqqaWnQDoeSWoK0rqWKseAaIaDN9E8LIVTORYkJ7h9msL/Mytv1/ee1VXJRxPO&#10;rGhQo0fVRvaFWgYW8rNxYQrYgwMwtuCjzj0/gJnCbrVv0o2AGOTI9Haf3WRNgjk6PRuOBxBJyMbj&#10;49FZTn/xqu18iF8VNSwRJfeoXk6qWN+ECE8A7SHpM0vXtTG5gsayTclPxseDrLCXQMPYhFW5F3Zm&#10;UkSd55mKW6MSxtjvSiMXOYDEyF2oLo1na4H+EVIqG3Ps2S7QCaXhxHsUd/hXr96j3MXR/0w27pWb&#10;2pLP0b9xu/rZu6w7PBJ5EHciY7tocxMMT/rKLqjaouCeupEJTl7XqMqNCPFeeMwICom5j3c4tCFk&#10;n3YUZ0vyv//GT3i0LqScbTBzJQ+/VsIrzsw3i6b+PJxM0pDmx+T4dISHP5QsDiV21VwSyjLEhnEy&#10;kwkfTU9qT80T1sM8/QqRsBJ/lzz25GXsNgHWi1TzeQZhLJ2IN/bByWQ6VSn13GP7JLzbNWZES99S&#10;P51i+qY/O2zStDRfRdJ1bt6U6C6ruwJgpHNP79ZP2hmH74x6XZKzFwAAAP//AwBQSwMEFAAGAAgA&#10;AAAhAGP8zMDiAAAACQEAAA8AAABkcnMvZG93bnJldi54bWxMj8FuwjAQRO+V+g/WIvUGNqYlKM0G&#10;oUioUtUeoFx6c+IliYjtNDaQ9uvrnuhxNU8zb7P1aDp2ocG3ziLMZwIY2crp1tYIh4/tdAXMB2W1&#10;6pwlhG/ysM7v7zKVane1O7rsQ81iifWpQmhC6FPOfdWQUX7merIxO7rBqBDPoeZ6UNdYbjouhVhy&#10;o1obFxrVU9FQddqfDcJrsX1Xu1Ka1U9XvLwdN/3X4fMJ8WEybp6BBRrDDYY//agOeXQq3dlqzzqE&#10;qUwWEUWQCwksAo9zkQArEZKlAJ5n/P8H+S8AAAD//wMAUEsBAi0AFAAGAAgAAAAhALaDOJL+AAAA&#10;4QEAABMAAAAAAAAAAAAAAAAAAAAAAFtDb250ZW50X1R5cGVzXS54bWxQSwECLQAUAAYACAAAACEA&#10;OP0h/9YAAACUAQAACwAAAAAAAAAAAAAAAAAvAQAAX3JlbHMvLnJlbHNQSwECLQAUAAYACAAAACEA&#10;DTeP94ICAABsBQAADgAAAAAAAAAAAAAAAAAuAgAAZHJzL2Uyb0RvYy54bWxQSwECLQAUAAYACAAA&#10;ACEAY/zMwOIAAAAJAQAADwAAAAAAAAAAAAAAAADcBAAAZHJzL2Rvd25yZXYueG1sUEsFBgAAAAAE&#10;AAQA8wAAAOsFAAAAAA==&#10;" filled="f" stroked="f" strokeweight=".5pt">
                <v:textbox>
                  <w:txbxContent>
                    <w:p w14:paraId="10E26507" w14:textId="77777777" w:rsidR="001E5A4B" w:rsidRPr="00752D28" w:rsidRDefault="001E5A4B" w:rsidP="00DD7102">
                      <w:pPr>
                        <w:spacing w:before="140" w:after="140"/>
                        <w:ind w:left="709" w:hanging="709"/>
                        <w:rPr>
                          <w:i/>
                          <w:sz w:val="18"/>
                          <w:szCs w:val="18"/>
                        </w:rPr>
                      </w:pPr>
                      <w:r w:rsidRPr="00752D28">
                        <w:rPr>
                          <w:b/>
                          <w:i/>
                          <w:sz w:val="18"/>
                          <w:szCs w:val="18"/>
                        </w:rPr>
                        <w:t>Fig 20</w:t>
                      </w:r>
                      <w:r w:rsidRPr="00752D28">
                        <w:rPr>
                          <w:i/>
                          <w:sz w:val="18"/>
                          <w:szCs w:val="18"/>
                        </w:rPr>
                        <w:tab/>
                        <w:t>Year 6 numeracy component performance</w:t>
                      </w:r>
                    </w:p>
                    <w:p w14:paraId="210B41A5" w14:textId="77777777" w:rsidR="001E5A4B" w:rsidRDefault="001E5A4B"/>
                  </w:txbxContent>
                </v:textbox>
                <w10:wrap type="square"/>
              </v:shape>
            </w:pict>
          </mc:Fallback>
        </mc:AlternateContent>
      </w:r>
      <w:r w:rsidR="00221671">
        <w:rPr>
          <w:rFonts w:cs="Arial"/>
        </w:rPr>
        <w:t>The percentage of students who demonstrate they are working at the expected level with operations has improved from 31% to 67% of students.</w:t>
      </w:r>
    </w:p>
    <w:p w14:paraId="13909A66" w14:textId="15E9EFEF" w:rsidR="009E379A" w:rsidRDefault="00221671" w:rsidP="009E379A">
      <w:pPr>
        <w:spacing w:before="140" w:after="140"/>
        <w:jc w:val="both"/>
        <w:rPr>
          <w:rFonts w:cs="Arial"/>
        </w:rPr>
      </w:pPr>
      <w:r>
        <w:rPr>
          <w:rFonts w:cs="Arial"/>
        </w:rPr>
        <w:t xml:space="preserve">Measurement continues to be a problem, with students having difficulties when they have to use a ruler to measure length and when dealing with time related questions, including reading analogue clock faces. </w:t>
      </w:r>
    </w:p>
    <w:p w14:paraId="584135DC" w14:textId="77777777" w:rsidR="00807E7A" w:rsidRDefault="00807E7A">
      <w:pPr>
        <w:spacing w:line="276" w:lineRule="auto"/>
        <w:rPr>
          <w:rFonts w:cs="Arial"/>
          <w:b/>
        </w:rPr>
      </w:pPr>
      <w:r>
        <w:rPr>
          <w:rFonts w:cs="Arial"/>
          <w:b/>
        </w:rPr>
        <w:br w:type="page"/>
      </w:r>
    </w:p>
    <w:p w14:paraId="3B1E9B72" w14:textId="3BA23111" w:rsidR="009E379A" w:rsidRDefault="00807E7A" w:rsidP="00807E7A">
      <w:pPr>
        <w:spacing w:before="240" w:after="140"/>
        <w:jc w:val="both"/>
        <w:rPr>
          <w:rFonts w:cs="Arial"/>
          <w:b/>
        </w:rPr>
      </w:pPr>
      <w:r w:rsidRPr="00807E7A">
        <w:rPr>
          <w:rFonts w:cs="Arial"/>
          <w:b/>
        </w:rPr>
        <w:lastRenderedPageBreak/>
        <w:t>Table 8</w:t>
      </w:r>
      <w:r>
        <w:rPr>
          <w:rFonts w:cs="Arial"/>
          <w:b/>
        </w:rPr>
        <w:t xml:space="preserve"> </w:t>
      </w:r>
      <w:r w:rsidRPr="00807E7A">
        <w:rPr>
          <w:rFonts w:cs="Arial"/>
          <w:b/>
        </w:rPr>
        <w:t>Year 6 numeracy performance by district</w:t>
      </w:r>
    </w:p>
    <w:tbl>
      <w:tblPr>
        <w:tblStyle w:val="MediumShading2-Accent1"/>
        <w:tblpPr w:leftFromText="180" w:rightFromText="180" w:vertAnchor="text" w:tblpY="187"/>
        <w:tblW w:w="500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183"/>
        <w:gridCol w:w="2317"/>
        <w:gridCol w:w="2317"/>
        <w:gridCol w:w="2319"/>
      </w:tblGrid>
      <w:tr w:rsidR="00221671" w:rsidRPr="009E379A" w14:paraId="6F232AF8" w14:textId="77777777" w:rsidTr="009E379A">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195" w:type="pct"/>
            <w:vMerge w:val="restart"/>
            <w:tcBorders>
              <w:top w:val="none" w:sz="0" w:space="0" w:color="auto"/>
              <w:left w:val="none" w:sz="0" w:space="0" w:color="auto"/>
              <w:bottom w:val="none" w:sz="0" w:space="0" w:color="auto"/>
              <w:right w:val="none" w:sz="0" w:space="0" w:color="auto"/>
            </w:tcBorders>
            <w:shd w:val="clear" w:color="auto" w:fill="A25EA6"/>
          </w:tcPr>
          <w:p w14:paraId="13020D99" w14:textId="77777777" w:rsidR="00221671" w:rsidRPr="009E379A" w:rsidRDefault="00221671" w:rsidP="00ED0631">
            <w:pPr>
              <w:spacing w:before="140" w:after="140"/>
              <w:ind w:left="709" w:hanging="709"/>
              <w:rPr>
                <w:rFonts w:asciiTheme="majorHAnsi" w:hAnsiTheme="majorHAnsi" w:cstheme="majorHAnsi"/>
              </w:rPr>
            </w:pPr>
            <w:r w:rsidRPr="009E379A">
              <w:rPr>
                <w:rFonts w:asciiTheme="majorHAnsi" w:hAnsiTheme="majorHAnsi" w:cstheme="majorHAnsi"/>
              </w:rPr>
              <w:t>Table 8</w:t>
            </w:r>
          </w:p>
          <w:p w14:paraId="63978911" w14:textId="1363463C" w:rsidR="00221671" w:rsidRPr="009E379A" w:rsidRDefault="00221671" w:rsidP="00ED0631">
            <w:pPr>
              <w:spacing w:before="140" w:after="140"/>
              <w:rPr>
                <w:rFonts w:asciiTheme="majorHAnsi" w:hAnsiTheme="majorHAnsi" w:cstheme="majorHAnsi"/>
              </w:rPr>
            </w:pPr>
            <w:r w:rsidRPr="009E379A">
              <w:rPr>
                <w:rFonts w:asciiTheme="majorHAnsi" w:hAnsiTheme="majorHAnsi" w:cstheme="majorHAnsi"/>
              </w:rPr>
              <w:t>Year 6 numeracy performance by district</w:t>
            </w:r>
          </w:p>
        </w:tc>
        <w:tc>
          <w:tcPr>
            <w:tcW w:w="3805" w:type="pct"/>
            <w:gridSpan w:val="3"/>
            <w:tcBorders>
              <w:top w:val="none" w:sz="0" w:space="0" w:color="auto"/>
              <w:left w:val="none" w:sz="0" w:space="0" w:color="auto"/>
              <w:bottom w:val="none" w:sz="0" w:space="0" w:color="auto"/>
              <w:right w:val="none" w:sz="0" w:space="0" w:color="auto"/>
            </w:tcBorders>
            <w:shd w:val="clear" w:color="auto" w:fill="A25EA6"/>
          </w:tcPr>
          <w:p w14:paraId="07414C92" w14:textId="311BD265" w:rsidR="00221671" w:rsidRPr="009E379A" w:rsidRDefault="00221671" w:rsidP="009E379A">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hAnsiTheme="majorHAnsi" w:cstheme="majorHAnsi"/>
              </w:rPr>
              <w:t>Students in each group</w:t>
            </w:r>
          </w:p>
        </w:tc>
      </w:tr>
      <w:tr w:rsidR="00221671" w:rsidRPr="009E379A" w14:paraId="4ACF4D7D" w14:textId="77777777" w:rsidTr="009E379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5" w:type="pct"/>
            <w:vMerge/>
            <w:tcBorders>
              <w:left w:val="none" w:sz="0" w:space="0" w:color="auto"/>
              <w:bottom w:val="none" w:sz="0" w:space="0" w:color="auto"/>
              <w:right w:val="none" w:sz="0" w:space="0" w:color="auto"/>
            </w:tcBorders>
          </w:tcPr>
          <w:p w14:paraId="33345332" w14:textId="77777777" w:rsidR="00221671" w:rsidRPr="009E379A" w:rsidRDefault="00221671" w:rsidP="00ED0631">
            <w:pPr>
              <w:spacing w:before="140" w:after="140"/>
              <w:rPr>
                <w:rFonts w:asciiTheme="majorHAnsi" w:hAnsiTheme="majorHAnsi" w:cstheme="majorHAnsi"/>
              </w:rPr>
            </w:pPr>
          </w:p>
        </w:tc>
        <w:tc>
          <w:tcPr>
            <w:tcW w:w="1268" w:type="pct"/>
          </w:tcPr>
          <w:p w14:paraId="38811F2D" w14:textId="4888E435" w:rsidR="00221671" w:rsidRPr="009E379A" w:rsidRDefault="00221671" w:rsidP="009E379A">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hAnsiTheme="majorHAnsi" w:cstheme="majorHAnsi"/>
              </w:rPr>
              <w:t>no evidence or critically below expected level</w:t>
            </w:r>
          </w:p>
        </w:tc>
        <w:tc>
          <w:tcPr>
            <w:tcW w:w="1268" w:type="pct"/>
          </w:tcPr>
          <w:p w14:paraId="4C95C54F"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hAnsiTheme="majorHAnsi" w:cstheme="majorHAnsi"/>
              </w:rPr>
              <w:t>working towards expected level</w:t>
            </w:r>
          </w:p>
        </w:tc>
        <w:tc>
          <w:tcPr>
            <w:tcW w:w="1268" w:type="pct"/>
          </w:tcPr>
          <w:p w14:paraId="28BF37E0"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hAnsiTheme="majorHAnsi" w:cstheme="majorHAnsi"/>
              </w:rPr>
              <w:t xml:space="preserve">working at or above expected level </w:t>
            </w:r>
          </w:p>
        </w:tc>
      </w:tr>
      <w:tr w:rsidR="00221671" w:rsidRPr="009E379A" w14:paraId="0AFDBACD" w14:textId="77777777" w:rsidTr="009E379A">
        <w:trPr>
          <w:trHeight w:val="249"/>
        </w:trPr>
        <w:tc>
          <w:tcPr>
            <w:cnfStyle w:val="001000000000" w:firstRow="0" w:lastRow="0" w:firstColumn="1" w:lastColumn="0" w:oddVBand="0" w:evenVBand="0" w:oddHBand="0" w:evenHBand="0" w:firstRowFirstColumn="0" w:firstRowLastColumn="0" w:lastRowFirstColumn="0" w:lastRowLastColumn="0"/>
            <w:tcW w:w="1195" w:type="pct"/>
            <w:tcBorders>
              <w:left w:val="none" w:sz="0" w:space="0" w:color="auto"/>
              <w:bottom w:val="none" w:sz="0" w:space="0" w:color="auto"/>
              <w:right w:val="none" w:sz="0" w:space="0" w:color="auto"/>
            </w:tcBorders>
            <w:shd w:val="clear" w:color="auto" w:fill="auto"/>
          </w:tcPr>
          <w:p w14:paraId="0DDC8855" w14:textId="77777777" w:rsidR="00221671" w:rsidRPr="009E379A" w:rsidRDefault="00221671" w:rsidP="00ED0631">
            <w:pPr>
              <w:spacing w:before="140" w:after="140"/>
              <w:rPr>
                <w:rFonts w:asciiTheme="majorHAnsi" w:hAnsiTheme="majorHAnsi" w:cstheme="majorHAnsi"/>
                <w:color w:val="auto"/>
              </w:rPr>
            </w:pPr>
            <w:r w:rsidRPr="009E379A">
              <w:rPr>
                <w:rFonts w:asciiTheme="majorHAnsi" w:eastAsia="Times New Roman" w:hAnsiTheme="majorHAnsi" w:cstheme="majorHAnsi"/>
                <w:color w:val="auto"/>
              </w:rPr>
              <w:t>Total</w:t>
            </w:r>
          </w:p>
        </w:tc>
        <w:tc>
          <w:tcPr>
            <w:tcW w:w="1268" w:type="pct"/>
            <w:shd w:val="clear" w:color="auto" w:fill="auto"/>
            <w:vAlign w:val="bottom"/>
          </w:tcPr>
          <w:p w14:paraId="6066E923"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297 (15%)</w:t>
            </w:r>
          </w:p>
        </w:tc>
        <w:tc>
          <w:tcPr>
            <w:tcW w:w="1268" w:type="pct"/>
            <w:shd w:val="clear" w:color="auto" w:fill="auto"/>
            <w:vAlign w:val="bottom"/>
          </w:tcPr>
          <w:p w14:paraId="670ACFC2"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587 (30%)</w:t>
            </w:r>
          </w:p>
        </w:tc>
        <w:tc>
          <w:tcPr>
            <w:tcW w:w="1268" w:type="pct"/>
            <w:shd w:val="clear" w:color="auto" w:fill="auto"/>
            <w:vAlign w:val="bottom"/>
          </w:tcPr>
          <w:p w14:paraId="24D142D5"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1052 (54%)</w:t>
            </w:r>
          </w:p>
        </w:tc>
      </w:tr>
      <w:tr w:rsidR="00221671" w:rsidRPr="009E379A" w14:paraId="6331B05E" w14:textId="77777777" w:rsidTr="009E379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5" w:type="pct"/>
            <w:tcBorders>
              <w:left w:val="none" w:sz="0" w:space="0" w:color="auto"/>
              <w:bottom w:val="none" w:sz="0" w:space="0" w:color="auto"/>
              <w:right w:val="none" w:sz="0" w:space="0" w:color="auto"/>
            </w:tcBorders>
            <w:shd w:val="clear" w:color="auto" w:fill="D9D9D9" w:themeFill="background1" w:themeFillShade="D9"/>
          </w:tcPr>
          <w:p w14:paraId="42F400A5" w14:textId="77777777" w:rsidR="00221671" w:rsidRPr="009E379A" w:rsidRDefault="00221671" w:rsidP="00ED0631">
            <w:pPr>
              <w:spacing w:before="140" w:after="140"/>
              <w:rPr>
                <w:rFonts w:asciiTheme="majorHAnsi" w:hAnsiTheme="majorHAnsi" w:cstheme="majorHAnsi"/>
                <w:color w:val="auto"/>
              </w:rPr>
            </w:pPr>
            <w:r w:rsidRPr="009E379A">
              <w:rPr>
                <w:rFonts w:asciiTheme="majorHAnsi" w:eastAsia="Times New Roman" w:hAnsiTheme="majorHAnsi" w:cstheme="majorHAnsi"/>
                <w:color w:val="auto"/>
              </w:rPr>
              <w:t>Central</w:t>
            </w:r>
          </w:p>
        </w:tc>
        <w:tc>
          <w:tcPr>
            <w:tcW w:w="1268" w:type="pct"/>
            <w:shd w:val="clear" w:color="auto" w:fill="D9D9D9" w:themeFill="background1" w:themeFillShade="D9"/>
            <w:vAlign w:val="bottom"/>
          </w:tcPr>
          <w:p w14:paraId="25C9A04C"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30 (13%)</w:t>
            </w:r>
          </w:p>
        </w:tc>
        <w:tc>
          <w:tcPr>
            <w:tcW w:w="1268" w:type="pct"/>
            <w:shd w:val="clear" w:color="auto" w:fill="D9D9D9" w:themeFill="background1" w:themeFillShade="D9"/>
            <w:vAlign w:val="bottom"/>
          </w:tcPr>
          <w:p w14:paraId="43173BBB"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79 (34%)</w:t>
            </w:r>
          </w:p>
        </w:tc>
        <w:tc>
          <w:tcPr>
            <w:tcW w:w="1268" w:type="pct"/>
            <w:shd w:val="clear" w:color="auto" w:fill="D9D9D9" w:themeFill="background1" w:themeFillShade="D9"/>
            <w:vAlign w:val="bottom"/>
          </w:tcPr>
          <w:p w14:paraId="6D5B50A5"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123 (53%)</w:t>
            </w:r>
          </w:p>
        </w:tc>
      </w:tr>
      <w:tr w:rsidR="00221671" w:rsidRPr="009E379A" w14:paraId="4A4434D0" w14:textId="77777777" w:rsidTr="009E379A">
        <w:trPr>
          <w:trHeight w:val="249"/>
        </w:trPr>
        <w:tc>
          <w:tcPr>
            <w:cnfStyle w:val="001000000000" w:firstRow="0" w:lastRow="0" w:firstColumn="1" w:lastColumn="0" w:oddVBand="0" w:evenVBand="0" w:oddHBand="0" w:evenHBand="0" w:firstRowFirstColumn="0" w:firstRowLastColumn="0" w:lastRowFirstColumn="0" w:lastRowLastColumn="0"/>
            <w:tcW w:w="1195" w:type="pct"/>
            <w:tcBorders>
              <w:left w:val="none" w:sz="0" w:space="0" w:color="auto"/>
              <w:bottom w:val="none" w:sz="0" w:space="0" w:color="auto"/>
              <w:right w:val="none" w:sz="0" w:space="0" w:color="auto"/>
            </w:tcBorders>
            <w:shd w:val="clear" w:color="auto" w:fill="auto"/>
          </w:tcPr>
          <w:p w14:paraId="0447EBAE" w14:textId="77777777" w:rsidR="00221671" w:rsidRPr="009E379A" w:rsidRDefault="00221671" w:rsidP="00ED0631">
            <w:pPr>
              <w:spacing w:before="140" w:after="140"/>
              <w:rPr>
                <w:rFonts w:asciiTheme="majorHAnsi" w:hAnsiTheme="majorHAnsi" w:cstheme="majorHAnsi"/>
                <w:color w:val="auto"/>
              </w:rPr>
            </w:pPr>
            <w:r w:rsidRPr="009E379A">
              <w:rPr>
                <w:rFonts w:asciiTheme="majorHAnsi" w:eastAsia="Times New Roman" w:hAnsiTheme="majorHAnsi" w:cstheme="majorHAnsi"/>
                <w:color w:val="auto"/>
              </w:rPr>
              <w:t>North</w:t>
            </w:r>
          </w:p>
        </w:tc>
        <w:tc>
          <w:tcPr>
            <w:tcW w:w="1268" w:type="pct"/>
            <w:shd w:val="clear" w:color="auto" w:fill="auto"/>
            <w:vAlign w:val="bottom"/>
          </w:tcPr>
          <w:p w14:paraId="56292A68"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61 (16%)</w:t>
            </w:r>
          </w:p>
        </w:tc>
        <w:tc>
          <w:tcPr>
            <w:tcW w:w="1268" w:type="pct"/>
            <w:shd w:val="clear" w:color="auto" w:fill="auto"/>
            <w:vAlign w:val="bottom"/>
          </w:tcPr>
          <w:p w14:paraId="044CBA77"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117 (30%)</w:t>
            </w:r>
          </w:p>
        </w:tc>
        <w:tc>
          <w:tcPr>
            <w:tcW w:w="1268" w:type="pct"/>
            <w:shd w:val="clear" w:color="auto" w:fill="auto"/>
            <w:vAlign w:val="bottom"/>
          </w:tcPr>
          <w:p w14:paraId="0E9A232D"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215 (55%)</w:t>
            </w:r>
          </w:p>
        </w:tc>
      </w:tr>
      <w:tr w:rsidR="00221671" w:rsidRPr="009E379A" w14:paraId="3EC48560" w14:textId="77777777" w:rsidTr="009E379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5" w:type="pct"/>
            <w:tcBorders>
              <w:left w:val="none" w:sz="0" w:space="0" w:color="auto"/>
              <w:bottom w:val="none" w:sz="0" w:space="0" w:color="auto"/>
              <w:right w:val="none" w:sz="0" w:space="0" w:color="auto"/>
            </w:tcBorders>
            <w:shd w:val="clear" w:color="auto" w:fill="D9D9D9" w:themeFill="background1" w:themeFillShade="D9"/>
          </w:tcPr>
          <w:p w14:paraId="35AAE3A2" w14:textId="77777777" w:rsidR="00221671" w:rsidRPr="009E379A" w:rsidRDefault="00221671" w:rsidP="00ED0631">
            <w:pPr>
              <w:spacing w:before="140" w:after="140"/>
              <w:rPr>
                <w:rFonts w:asciiTheme="majorHAnsi" w:hAnsiTheme="majorHAnsi" w:cstheme="majorHAnsi"/>
                <w:color w:val="auto"/>
              </w:rPr>
            </w:pPr>
            <w:r w:rsidRPr="009E379A">
              <w:rPr>
                <w:rFonts w:asciiTheme="majorHAnsi" w:eastAsia="Times New Roman" w:hAnsiTheme="majorHAnsi" w:cstheme="majorHAnsi"/>
                <w:color w:val="auto"/>
              </w:rPr>
              <w:t>South</w:t>
            </w:r>
          </w:p>
        </w:tc>
        <w:tc>
          <w:tcPr>
            <w:tcW w:w="1268" w:type="pct"/>
            <w:vAlign w:val="bottom"/>
          </w:tcPr>
          <w:p w14:paraId="77EB900B"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50 (19%)</w:t>
            </w:r>
          </w:p>
        </w:tc>
        <w:tc>
          <w:tcPr>
            <w:tcW w:w="1268" w:type="pct"/>
            <w:vAlign w:val="bottom"/>
          </w:tcPr>
          <w:p w14:paraId="2302002A"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83 (32%)</w:t>
            </w:r>
          </w:p>
        </w:tc>
        <w:tc>
          <w:tcPr>
            <w:tcW w:w="1268" w:type="pct"/>
            <w:vAlign w:val="bottom"/>
          </w:tcPr>
          <w:p w14:paraId="1ECD2300"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128 (49%)</w:t>
            </w:r>
          </w:p>
        </w:tc>
      </w:tr>
      <w:tr w:rsidR="00221671" w:rsidRPr="009E379A" w14:paraId="17B7F35D" w14:textId="77777777" w:rsidTr="009E379A">
        <w:trPr>
          <w:trHeight w:val="267"/>
        </w:trPr>
        <w:tc>
          <w:tcPr>
            <w:cnfStyle w:val="001000000000" w:firstRow="0" w:lastRow="0" w:firstColumn="1" w:lastColumn="0" w:oddVBand="0" w:evenVBand="0" w:oddHBand="0" w:evenHBand="0" w:firstRowFirstColumn="0" w:firstRowLastColumn="0" w:lastRowFirstColumn="0" w:lastRowLastColumn="0"/>
            <w:tcW w:w="1195" w:type="pct"/>
            <w:tcBorders>
              <w:left w:val="none" w:sz="0" w:space="0" w:color="auto"/>
              <w:bottom w:val="none" w:sz="0" w:space="0" w:color="auto"/>
              <w:right w:val="none" w:sz="0" w:space="0" w:color="auto"/>
            </w:tcBorders>
            <w:shd w:val="clear" w:color="auto" w:fill="auto"/>
          </w:tcPr>
          <w:p w14:paraId="143D8D91" w14:textId="77777777" w:rsidR="00221671" w:rsidRPr="009E379A" w:rsidRDefault="00221671" w:rsidP="00ED0631">
            <w:pPr>
              <w:spacing w:before="140" w:after="140"/>
              <w:rPr>
                <w:rFonts w:asciiTheme="majorHAnsi" w:hAnsiTheme="majorHAnsi" w:cstheme="majorHAnsi"/>
                <w:color w:val="auto"/>
              </w:rPr>
            </w:pPr>
            <w:r w:rsidRPr="009E379A">
              <w:rPr>
                <w:rFonts w:asciiTheme="majorHAnsi" w:eastAsia="Times New Roman" w:hAnsiTheme="majorHAnsi" w:cstheme="majorHAnsi"/>
                <w:color w:val="auto"/>
              </w:rPr>
              <w:t>Linnux</w:t>
            </w:r>
          </w:p>
        </w:tc>
        <w:tc>
          <w:tcPr>
            <w:tcW w:w="1268" w:type="pct"/>
            <w:shd w:val="clear" w:color="auto" w:fill="auto"/>
            <w:vAlign w:val="bottom"/>
          </w:tcPr>
          <w:p w14:paraId="186CB76A"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44 (22%)</w:t>
            </w:r>
          </w:p>
        </w:tc>
        <w:tc>
          <w:tcPr>
            <w:tcW w:w="1268" w:type="pct"/>
            <w:shd w:val="clear" w:color="auto" w:fill="auto"/>
            <w:vAlign w:val="bottom"/>
          </w:tcPr>
          <w:p w14:paraId="1DC518C7"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66 (33%)</w:t>
            </w:r>
          </w:p>
        </w:tc>
        <w:tc>
          <w:tcPr>
            <w:tcW w:w="1268" w:type="pct"/>
            <w:shd w:val="clear" w:color="auto" w:fill="auto"/>
            <w:vAlign w:val="bottom"/>
          </w:tcPr>
          <w:p w14:paraId="2D5457C5" w14:textId="77777777" w:rsidR="00221671" w:rsidRPr="009E379A"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93 (46%)</w:t>
            </w:r>
          </w:p>
        </w:tc>
      </w:tr>
      <w:tr w:rsidR="00221671" w:rsidRPr="009E379A" w14:paraId="73B69614" w14:textId="77777777" w:rsidTr="009E379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195" w:type="pct"/>
            <w:tcBorders>
              <w:left w:val="none" w:sz="0" w:space="0" w:color="auto"/>
              <w:bottom w:val="none" w:sz="0" w:space="0" w:color="auto"/>
              <w:right w:val="none" w:sz="0" w:space="0" w:color="auto"/>
            </w:tcBorders>
            <w:shd w:val="clear" w:color="auto" w:fill="D9D9D9" w:themeFill="background1" w:themeFillShade="D9"/>
          </w:tcPr>
          <w:p w14:paraId="0700059D" w14:textId="77777777" w:rsidR="00221671" w:rsidRPr="009E379A" w:rsidRDefault="00221671" w:rsidP="00ED0631">
            <w:pPr>
              <w:spacing w:before="140" w:after="140"/>
              <w:rPr>
                <w:rFonts w:asciiTheme="majorHAnsi" w:hAnsiTheme="majorHAnsi" w:cstheme="majorHAnsi"/>
                <w:color w:val="auto"/>
              </w:rPr>
            </w:pPr>
            <w:r w:rsidRPr="009E379A">
              <w:rPr>
                <w:rFonts w:asciiTheme="majorHAnsi" w:eastAsia="Times New Roman" w:hAnsiTheme="majorHAnsi" w:cstheme="majorHAnsi"/>
                <w:color w:val="auto"/>
              </w:rPr>
              <w:t>South Tarawa</w:t>
            </w:r>
          </w:p>
        </w:tc>
        <w:tc>
          <w:tcPr>
            <w:tcW w:w="1268" w:type="pct"/>
            <w:vAlign w:val="bottom"/>
          </w:tcPr>
          <w:p w14:paraId="26E40ECF"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112 (13%)</w:t>
            </w:r>
          </w:p>
        </w:tc>
        <w:tc>
          <w:tcPr>
            <w:tcW w:w="1268" w:type="pct"/>
            <w:vAlign w:val="bottom"/>
          </w:tcPr>
          <w:p w14:paraId="1618EC93"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242 (29%)</w:t>
            </w:r>
          </w:p>
        </w:tc>
        <w:tc>
          <w:tcPr>
            <w:tcW w:w="1268" w:type="pct"/>
            <w:vAlign w:val="bottom"/>
          </w:tcPr>
          <w:p w14:paraId="553880EB" w14:textId="77777777" w:rsidR="00221671" w:rsidRPr="009E379A"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E379A">
              <w:rPr>
                <w:rFonts w:asciiTheme="majorHAnsi" w:eastAsia="Times New Roman" w:hAnsiTheme="majorHAnsi" w:cstheme="majorHAnsi"/>
                <w:color w:val="000000"/>
              </w:rPr>
              <w:t>493 (58%)</w:t>
            </w:r>
          </w:p>
        </w:tc>
      </w:tr>
    </w:tbl>
    <w:p w14:paraId="55016893" w14:textId="77777777" w:rsidR="00221671" w:rsidRPr="00C40966" w:rsidRDefault="00221671" w:rsidP="00ED0631">
      <w:pPr>
        <w:spacing w:before="140" w:after="140"/>
        <w:jc w:val="both"/>
        <w:rPr>
          <w:rFonts w:cs="Arial"/>
        </w:rPr>
      </w:pPr>
      <w:r>
        <w:rPr>
          <w:rFonts w:cs="Arial"/>
        </w:rPr>
        <w:t>The performance of students in South Tarawa is better than for the other districts. This is a change from 2013. Schools in South Tarawa undertook two similar numeracy tests at the end of each Term. Their enhanced results may be attributable, at least in part, to familiarity by the students with the testing process and question style used in these numeracy tests.</w:t>
      </w:r>
    </w:p>
    <w:p w14:paraId="3215A306" w14:textId="77777777" w:rsidR="00221671" w:rsidRDefault="00221671" w:rsidP="00ED0631">
      <w:pPr>
        <w:spacing w:before="140" w:after="140"/>
        <w:jc w:val="both"/>
        <w:rPr>
          <w:rFonts w:cs="Arial"/>
        </w:rPr>
      </w:pPr>
      <w:r>
        <w:rPr>
          <w:rFonts w:cs="Arial"/>
        </w:rPr>
        <w:t>Analysis of t</w:t>
      </w:r>
      <w:r w:rsidRPr="00D25E9D">
        <w:rPr>
          <w:rFonts w:cs="Arial"/>
        </w:rPr>
        <w:t>he proportions achieving the expected standard by gender shows that girls performed better than boys in the test.</w:t>
      </w:r>
      <w:r>
        <w:rPr>
          <w:rFonts w:cs="Arial"/>
        </w:rPr>
        <w:t xml:space="preserve"> This is a consistent pattern that has been seen in every STAKI test.</w:t>
      </w:r>
    </w:p>
    <w:p w14:paraId="031BEBEF" w14:textId="09B55F32" w:rsidR="00221671" w:rsidRPr="00C40966" w:rsidRDefault="00677760" w:rsidP="00ED0631">
      <w:pPr>
        <w:spacing w:before="140" w:after="140"/>
        <w:jc w:val="both"/>
        <w:rPr>
          <w:rFonts w:cs="Arial"/>
          <w:noProof/>
          <w:lang w:val="en-US"/>
        </w:rPr>
      </w:pPr>
      <w:r>
        <w:rPr>
          <w:noProof/>
          <w:lang w:eastAsia="en-AU"/>
        </w:rPr>
        <mc:AlternateContent>
          <mc:Choice Requires="wps">
            <w:drawing>
              <wp:anchor distT="0" distB="0" distL="114300" distR="114300" simplePos="0" relativeHeight="251848703" behindDoc="0" locked="0" layoutInCell="1" allowOverlap="1" wp14:anchorId="4960AFE6" wp14:editId="32CC0B0A">
                <wp:simplePos x="0" y="0"/>
                <wp:positionH relativeFrom="column">
                  <wp:posOffset>-97155</wp:posOffset>
                </wp:positionH>
                <wp:positionV relativeFrom="paragraph">
                  <wp:posOffset>339090</wp:posOffset>
                </wp:positionV>
                <wp:extent cx="3215640" cy="335280"/>
                <wp:effectExtent l="0" t="0" r="3810" b="7620"/>
                <wp:wrapSquare wrapText="bothSides"/>
                <wp:docPr id="25" name="Text Box 25"/>
                <wp:cNvGraphicFramePr/>
                <a:graphic xmlns:a="http://schemas.openxmlformats.org/drawingml/2006/main">
                  <a:graphicData uri="http://schemas.microsoft.com/office/word/2010/wordprocessingShape">
                    <wps:wsp>
                      <wps:cNvSpPr txBox="1"/>
                      <wps:spPr>
                        <a:xfrm>
                          <a:off x="0" y="0"/>
                          <a:ext cx="321564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72340" w14:textId="77777777" w:rsidR="001E5A4B" w:rsidRPr="00752D28" w:rsidRDefault="001E5A4B" w:rsidP="00677760">
                            <w:pPr>
                              <w:pStyle w:val="normalnormalheading1"/>
                              <w:numPr>
                                <w:ilvl w:val="0"/>
                                <w:numId w:val="0"/>
                              </w:numPr>
                              <w:spacing w:before="140" w:after="140"/>
                              <w:rPr>
                                <w:i/>
                                <w:sz w:val="18"/>
                                <w:szCs w:val="20"/>
                              </w:rPr>
                            </w:pPr>
                            <w:r w:rsidRPr="00752D28">
                              <w:rPr>
                                <w:b/>
                                <w:i/>
                                <w:sz w:val="18"/>
                                <w:szCs w:val="20"/>
                              </w:rPr>
                              <w:t>Fig 21</w:t>
                            </w:r>
                            <w:r w:rsidRPr="00752D28">
                              <w:rPr>
                                <w:i/>
                                <w:sz w:val="18"/>
                                <w:szCs w:val="20"/>
                              </w:rPr>
                              <w:tab/>
                              <w:t>Year 6 numeracy performance by gender</w:t>
                            </w:r>
                          </w:p>
                          <w:p w14:paraId="1E2264D1" w14:textId="77777777" w:rsidR="001E5A4B" w:rsidRDefault="001E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960AFE6" id="Text Box 25" o:spid="_x0000_s1043" type="#_x0000_t202" style="position:absolute;left:0;text-align:left;margin-left:-7.65pt;margin-top:26.7pt;width:253.2pt;height:26.4pt;z-index:251848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kAIAAJQFAAAOAAAAZHJzL2Uyb0RvYy54bWysVE1vGyEQvVfqf0Dcm/VHnKSW15GbKFWl&#10;KImaVDljFmxUYChg77q/PgO7a7tpLql62QXmzQzzeDOzy8ZoshU+KLAlHZ4MKBGWQ6XsqqQ/nm4+&#10;XVASIrMV02BFSXci0Mv5xw+z2k3FCNagK+EJBrFhWruSrmN006IIfC0MCyfghEWjBG9YxK1fFZVn&#10;NUY3uhgNBmdFDb5yHrgIAU+vWyOd5/hSCh7vpQwiEl1SvFvMX5+/y/Qt5jM2XXnm1op312D/cAvD&#10;lMWk+1DXLDKy8eqvUEZxDwFkPOFgCpBScZFrwGqGg1fVPK6ZE7kWJCe4PU3h/4Xld9sHT1RV0tGE&#10;EssMvtGTaCL5Ag3BI+SndmGKsEeHwNjgOb5zfx7wMJXdSG/SHwsiaEemd3t2UzSOh+PRcHJ2iiaO&#10;tvF4MrrI9BcHb+dD/CrAkLQoqcfXy6Sy7W2IeBOE9pCULIBW1Y3SOm+SYsSV9mTL8K11zHdEjz9Q&#10;2pK6pGfjySAHtpDc28japjAia6ZLlypvK8yruNMiYbT9LiRylgt9IzfjXNh9/oxOKImp3uPY4Q+3&#10;eo9zWwd65Mxg497ZKAs+V5+b7EBZ9bOnTLZ4JPyo7rSMzbLJYhme9wpYQrVDYXhoWys4fqPw9W5Z&#10;iA/MYy/hg+N8iPf4kRqQfehWlKzB/37rPOFR4milpMbeLGn4tWFeUKK/WRT/5+Fp0lHMm9PJ+Qg3&#10;/tiyPLbYjbkClMQQJ5HjeZnwUfdL6cE84xhZpKxoYpZj7pLGfnkV24mBY4iLxSKDsH0di7f20fEU&#10;OtGctPnUPDPvOgFHlP4d9F3Mpq903GKTp4XFJoJUWeSJ6JbV7gGw9bP2uzGVZsvxPqMOw3T+AgAA&#10;//8DAFBLAwQUAAYACAAAACEAP32YDuIAAAAKAQAADwAAAGRycy9kb3ducmV2LnhtbEyPTU+DQBCG&#10;7yb+h82YeDHtQilVkaUxRm3izeJHvG3ZEYjsLGG3gP/e8aTHyfvkfZ/Jt7PtxIiDbx0piJcRCKTK&#10;mZZqBS/lw+IKhA+ajO4coYJv9LAtTk9ynRk30TOO+1ALLiGfaQVNCH0mpa8atNovXY/E2acbrA58&#10;DrU0g5643HZyFUUbaXVLvNDoHu8arL72R6vg46J+f/Lz4+uUpEl/vxvLyzdTKnV+Nt/egAg4hz8Y&#10;fvVZHQp2OrgjGS86BYs4TRhVkCZrEAysr+MYxIHJaLMCWeTy/wvFDwAAAP//AwBQSwECLQAUAAYA&#10;CAAAACEAtoM4kv4AAADhAQAAEwAAAAAAAAAAAAAAAAAAAAAAW0NvbnRlbnRfVHlwZXNdLnhtbFBL&#10;AQItABQABgAIAAAAIQA4/SH/1gAAAJQBAAALAAAAAAAAAAAAAAAAAC8BAABfcmVscy8ucmVsc1BL&#10;AQItABQABgAIAAAAIQBC/e/pkAIAAJQFAAAOAAAAAAAAAAAAAAAAAC4CAABkcnMvZTJvRG9jLnht&#10;bFBLAQItABQABgAIAAAAIQA/fZgO4gAAAAoBAAAPAAAAAAAAAAAAAAAAAOoEAABkcnMvZG93bnJl&#10;di54bWxQSwUGAAAAAAQABADzAAAA+QUAAAAA&#10;" fillcolor="white [3201]" stroked="f" strokeweight=".5pt">
                <v:textbox>
                  <w:txbxContent>
                    <w:p w14:paraId="4B172340" w14:textId="77777777" w:rsidR="001E5A4B" w:rsidRPr="00752D28" w:rsidRDefault="001E5A4B" w:rsidP="00677760">
                      <w:pPr>
                        <w:pStyle w:val="normalnormalheading1"/>
                        <w:numPr>
                          <w:ilvl w:val="0"/>
                          <w:numId w:val="0"/>
                        </w:numPr>
                        <w:spacing w:before="140" w:after="140"/>
                        <w:rPr>
                          <w:i/>
                          <w:sz w:val="18"/>
                          <w:szCs w:val="20"/>
                        </w:rPr>
                      </w:pPr>
                      <w:r w:rsidRPr="00752D28">
                        <w:rPr>
                          <w:b/>
                          <w:i/>
                          <w:sz w:val="18"/>
                          <w:szCs w:val="20"/>
                        </w:rPr>
                        <w:t>Fig 21</w:t>
                      </w:r>
                      <w:r w:rsidRPr="00752D28">
                        <w:rPr>
                          <w:i/>
                          <w:sz w:val="18"/>
                          <w:szCs w:val="20"/>
                        </w:rPr>
                        <w:tab/>
                        <w:t>Year 6 numeracy performance by gender</w:t>
                      </w:r>
                    </w:p>
                    <w:p w14:paraId="1E2264D1" w14:textId="77777777" w:rsidR="001E5A4B" w:rsidRDefault="001E5A4B"/>
                  </w:txbxContent>
                </v:textbox>
                <w10:wrap type="square"/>
              </v:shape>
            </w:pict>
          </mc:Fallback>
        </mc:AlternateContent>
      </w:r>
      <w:r>
        <w:rPr>
          <w:noProof/>
          <w:lang w:eastAsia="en-AU"/>
        </w:rPr>
        <w:drawing>
          <wp:anchor distT="0" distB="0" distL="114300" distR="114300" simplePos="0" relativeHeight="251817983" behindDoc="0" locked="0" layoutInCell="1" allowOverlap="1" wp14:anchorId="7D8D70B7" wp14:editId="2AF5D2F6">
            <wp:simplePos x="0" y="0"/>
            <wp:positionH relativeFrom="margin">
              <wp:posOffset>-100965</wp:posOffset>
            </wp:positionH>
            <wp:positionV relativeFrom="paragraph">
              <wp:posOffset>671830</wp:posOffset>
            </wp:positionV>
            <wp:extent cx="3215640" cy="2998470"/>
            <wp:effectExtent l="0" t="0" r="3810" b="11430"/>
            <wp:wrapThrough wrapText="bothSides">
              <wp:wrapPolygon edited="0">
                <wp:start x="0" y="0"/>
                <wp:lineTo x="0" y="21545"/>
                <wp:lineTo x="21498" y="21545"/>
                <wp:lineTo x="21498" y="0"/>
                <wp:lineTo x="0" y="0"/>
              </wp:wrapPolygon>
            </wp:wrapThrough>
            <wp:docPr id="81" name="Chart 81" descr="Graphs results described in text" title="Fig 21 Year 6 numeracy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r w:rsidR="00221671" w:rsidRPr="00D25E9D">
        <w:rPr>
          <w:rFonts w:cs="Arial"/>
        </w:rPr>
        <w:t xml:space="preserve">The spread of </w:t>
      </w:r>
      <w:r w:rsidR="00221671">
        <w:rPr>
          <w:rFonts w:cs="Arial"/>
        </w:rPr>
        <w:t>achievement</w:t>
      </w:r>
      <w:r w:rsidR="00221671" w:rsidRPr="00D25E9D">
        <w:rPr>
          <w:rFonts w:cs="Arial"/>
        </w:rPr>
        <w:t xml:space="preserve"> f</w:t>
      </w:r>
      <w:r w:rsidR="00221671">
        <w:rPr>
          <w:rFonts w:cs="Arial"/>
        </w:rPr>
        <w:t>or each gender is shown in Fig 21</w:t>
      </w:r>
      <w:r w:rsidR="00221671" w:rsidRPr="00D25E9D">
        <w:rPr>
          <w:rFonts w:cs="Arial"/>
        </w:rPr>
        <w:t xml:space="preserve">. The variation in performance between the boys and the girls is </w:t>
      </w:r>
      <w:r w:rsidR="00221671">
        <w:rPr>
          <w:rFonts w:cs="Arial"/>
        </w:rPr>
        <w:t>significant.</w:t>
      </w:r>
    </w:p>
    <w:p w14:paraId="6136DFA0" w14:textId="19EBE4CD" w:rsidR="00221671" w:rsidRPr="00C40966" w:rsidRDefault="00221671" w:rsidP="00807E7A">
      <w:pPr>
        <w:pStyle w:val="Heading3"/>
      </w:pPr>
      <w:r>
        <w:t>General Observations</w:t>
      </w:r>
    </w:p>
    <w:p w14:paraId="112DF8FD" w14:textId="58777F48" w:rsidR="00221671" w:rsidRPr="00D25E9D" w:rsidRDefault="00221671" w:rsidP="00677760">
      <w:pPr>
        <w:pStyle w:val="ListParagraph"/>
        <w:numPr>
          <w:ilvl w:val="0"/>
          <w:numId w:val="55"/>
        </w:numPr>
        <w:spacing w:before="140" w:beforeAutospacing="0" w:after="140" w:afterAutospacing="0"/>
        <w:contextualSpacing w:val="0"/>
        <w:jc w:val="both"/>
        <w:rPr>
          <w:rFonts w:cs="Arial"/>
          <w:szCs w:val="20"/>
        </w:rPr>
      </w:pPr>
      <w:r w:rsidRPr="00C40966">
        <w:t>The percentage of students achieving the expected overall standard in numeracy at Year 6 has increased dramatically to 54% of students from 20% in 2013</w:t>
      </w:r>
      <w:r>
        <w:rPr>
          <w:rFonts w:cs="Arial"/>
          <w:szCs w:val="20"/>
        </w:rPr>
        <w:t>.</w:t>
      </w:r>
    </w:p>
    <w:p w14:paraId="2BB5AFB1" w14:textId="4745CDA1" w:rsidR="00221671" w:rsidRPr="00D25E9D" w:rsidRDefault="00221671" w:rsidP="00677760">
      <w:pPr>
        <w:pStyle w:val="ListParagraph"/>
        <w:numPr>
          <w:ilvl w:val="0"/>
          <w:numId w:val="55"/>
        </w:numPr>
        <w:spacing w:before="140" w:beforeAutospacing="0" w:after="140" w:afterAutospacing="0"/>
        <w:contextualSpacing w:val="0"/>
        <w:jc w:val="both"/>
        <w:rPr>
          <w:rFonts w:cs="Arial"/>
          <w:szCs w:val="20"/>
        </w:rPr>
      </w:pPr>
      <w:r>
        <w:rPr>
          <w:rFonts w:cs="Arial"/>
          <w:szCs w:val="20"/>
        </w:rPr>
        <w:t>85</w:t>
      </w:r>
      <w:r w:rsidRPr="00D25E9D">
        <w:rPr>
          <w:rFonts w:cs="Arial"/>
          <w:szCs w:val="20"/>
        </w:rPr>
        <w:t>% of the students are working at a level that can be considered to be 'minimally acceptable' for their year level.</w:t>
      </w:r>
    </w:p>
    <w:p w14:paraId="7421F276" w14:textId="087D5E68" w:rsidR="00221671" w:rsidRPr="00D25E9D" w:rsidRDefault="00221671" w:rsidP="00677760">
      <w:pPr>
        <w:pStyle w:val="ListParagraph"/>
        <w:numPr>
          <w:ilvl w:val="0"/>
          <w:numId w:val="55"/>
        </w:numPr>
        <w:spacing w:before="140" w:beforeAutospacing="0" w:after="140" w:afterAutospacing="0"/>
        <w:contextualSpacing w:val="0"/>
        <w:jc w:val="both"/>
        <w:rPr>
          <w:rFonts w:cs="Arial"/>
          <w:szCs w:val="20"/>
        </w:rPr>
      </w:pPr>
      <w:r w:rsidRPr="00D25E9D">
        <w:rPr>
          <w:rFonts w:cs="Arial"/>
          <w:szCs w:val="20"/>
        </w:rPr>
        <w:t xml:space="preserve">Skills in </w:t>
      </w:r>
      <w:r>
        <w:rPr>
          <w:rFonts w:cs="Arial"/>
          <w:szCs w:val="20"/>
        </w:rPr>
        <w:t>measurement, especially use of rulers and analogue time faces</w:t>
      </w:r>
      <w:r w:rsidRPr="00D25E9D">
        <w:rPr>
          <w:rFonts w:cs="Arial"/>
          <w:szCs w:val="20"/>
        </w:rPr>
        <w:t xml:space="preserve"> are the most in need of development.</w:t>
      </w:r>
      <w:r>
        <w:rPr>
          <w:rFonts w:cs="Arial"/>
          <w:szCs w:val="20"/>
        </w:rPr>
        <w:t xml:space="preserve"> This is the same as was observed in 2013.</w:t>
      </w:r>
    </w:p>
    <w:p w14:paraId="555F9EEA" w14:textId="77777777" w:rsidR="00221671" w:rsidRDefault="00221671" w:rsidP="00677760">
      <w:pPr>
        <w:pStyle w:val="ListParagraph"/>
        <w:numPr>
          <w:ilvl w:val="0"/>
          <w:numId w:val="55"/>
        </w:numPr>
        <w:spacing w:before="140" w:beforeAutospacing="0" w:after="140" w:afterAutospacing="0"/>
        <w:contextualSpacing w:val="0"/>
        <w:jc w:val="both"/>
        <w:rPr>
          <w:rFonts w:cs="Arial"/>
          <w:szCs w:val="20"/>
        </w:rPr>
      </w:pPr>
      <w:r>
        <w:rPr>
          <w:rFonts w:cs="Arial"/>
          <w:szCs w:val="20"/>
        </w:rPr>
        <w:t>Students in South Tarawa performed better</w:t>
      </w:r>
      <w:r w:rsidRPr="00D25E9D">
        <w:rPr>
          <w:rFonts w:cs="Arial"/>
          <w:szCs w:val="20"/>
        </w:rPr>
        <w:t xml:space="preserve"> in comparison to their peers in other districts.</w:t>
      </w:r>
    </w:p>
    <w:p w14:paraId="19CB295A" w14:textId="77777777" w:rsidR="00221671" w:rsidRPr="00C40966" w:rsidRDefault="00221671" w:rsidP="00677760">
      <w:pPr>
        <w:pStyle w:val="ListParagraph"/>
        <w:numPr>
          <w:ilvl w:val="0"/>
          <w:numId w:val="55"/>
        </w:numPr>
        <w:spacing w:before="140" w:beforeAutospacing="0" w:after="140" w:afterAutospacing="0"/>
        <w:contextualSpacing w:val="0"/>
        <w:jc w:val="both"/>
        <w:rPr>
          <w:rFonts w:cs="Arial"/>
          <w:szCs w:val="20"/>
        </w:rPr>
      </w:pPr>
      <w:r w:rsidRPr="00D25E9D">
        <w:rPr>
          <w:rFonts w:cs="Arial"/>
          <w:szCs w:val="20"/>
        </w:rPr>
        <w:t xml:space="preserve">Girls continue </w:t>
      </w:r>
      <w:r>
        <w:rPr>
          <w:rFonts w:cs="Arial"/>
          <w:szCs w:val="20"/>
        </w:rPr>
        <w:t>to perform better than boys. The gap between the two groups has remained steady since 2013.</w:t>
      </w:r>
    </w:p>
    <w:p w14:paraId="21FE22A9" w14:textId="77777777" w:rsidR="00221671" w:rsidRDefault="00221671" w:rsidP="00ED0631">
      <w:pPr>
        <w:spacing w:before="140" w:after="140"/>
        <w:rPr>
          <w:b/>
          <w:color w:val="EB6E08" w:themeColor="text2"/>
        </w:rPr>
      </w:pPr>
      <w:r>
        <w:rPr>
          <w:b/>
          <w:color w:val="EB6E08" w:themeColor="text2"/>
        </w:rPr>
        <w:br w:type="page"/>
      </w:r>
    </w:p>
    <w:p w14:paraId="2D847361" w14:textId="77777777" w:rsidR="00221671" w:rsidRPr="00C40966" w:rsidRDefault="00221671" w:rsidP="002D28B3">
      <w:pPr>
        <w:pStyle w:val="Heading2"/>
      </w:pPr>
      <w:r>
        <w:lastRenderedPageBreak/>
        <w:t>2.8</w:t>
      </w:r>
      <w:r>
        <w:tab/>
        <w:t>Year 8</w:t>
      </w:r>
      <w:r w:rsidRPr="00B77E55">
        <w:t xml:space="preserve"> </w:t>
      </w:r>
      <w:r>
        <w:t>Numeracy</w:t>
      </w:r>
    </w:p>
    <w:p w14:paraId="4D4B1CBD" w14:textId="77777777" w:rsidR="00221671" w:rsidRPr="00752D28" w:rsidRDefault="00221671" w:rsidP="00ED0631">
      <w:pPr>
        <w:spacing w:before="140" w:after="140"/>
        <w:ind w:left="709" w:hanging="709"/>
        <w:rPr>
          <w:i/>
          <w:sz w:val="18"/>
          <w:szCs w:val="18"/>
        </w:rPr>
      </w:pPr>
      <w:r w:rsidRPr="00752D28">
        <w:rPr>
          <w:b/>
          <w:i/>
          <w:sz w:val="18"/>
          <w:szCs w:val="18"/>
        </w:rPr>
        <w:t>Fig 22</w:t>
      </w:r>
      <w:r w:rsidRPr="00752D28">
        <w:rPr>
          <w:i/>
          <w:sz w:val="18"/>
          <w:szCs w:val="18"/>
        </w:rPr>
        <w:tab/>
        <w:t>Year 8 2015 Numeracy overall performance</w:t>
      </w:r>
    </w:p>
    <w:p w14:paraId="559A69F5" w14:textId="77777777" w:rsidR="00221671" w:rsidRDefault="00221671" w:rsidP="00677760">
      <w:pPr>
        <w:spacing w:before="240" w:after="140"/>
        <w:jc w:val="both"/>
      </w:pPr>
      <w:r>
        <w:t>Students in Year 8</w:t>
      </w:r>
      <w:r w:rsidRPr="00B943F2">
        <w:t xml:space="preserve"> </w:t>
      </w:r>
      <w:r>
        <w:t>are in the second year of the three year Junior Secondary curriculum. This is the first time in many years that a numeracy test has been held for all students in Year 8. There is an Mathematics examination held at the end of Year 9. It is one of the compulsory components of the Junior Secondary Certificate examinations that mark the end of compulsory education in Kiribati.</w:t>
      </w:r>
      <w:r>
        <w:rPr>
          <w:noProof/>
          <w:lang w:eastAsia="en-AU"/>
        </w:rPr>
        <w:drawing>
          <wp:anchor distT="0" distB="0" distL="114300" distR="114300" simplePos="0" relativeHeight="251819007" behindDoc="0" locked="0" layoutInCell="1" allowOverlap="1" wp14:anchorId="057EFB39" wp14:editId="529C7B70">
            <wp:simplePos x="0" y="0"/>
            <wp:positionH relativeFrom="column">
              <wp:posOffset>635</wp:posOffset>
            </wp:positionH>
            <wp:positionV relativeFrom="paragraph">
              <wp:posOffset>3175</wp:posOffset>
            </wp:positionV>
            <wp:extent cx="5325745" cy="2180590"/>
            <wp:effectExtent l="0" t="0" r="8255" b="10160"/>
            <wp:wrapThrough wrapText="bothSides">
              <wp:wrapPolygon edited="0">
                <wp:start x="0" y="0"/>
                <wp:lineTo x="0" y="21512"/>
                <wp:lineTo x="21556" y="21512"/>
                <wp:lineTo x="21556" y="0"/>
                <wp:lineTo x="0" y="0"/>
              </wp:wrapPolygon>
            </wp:wrapThrough>
            <wp:docPr id="82" name="Chart 82" descr="Graphs results described in text" title="Fig 22 Year 8 2015 Numeracy overall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14:paraId="1FDFBA0B" w14:textId="77777777" w:rsidR="00221671" w:rsidRDefault="00221671" w:rsidP="00ED0631">
      <w:pPr>
        <w:spacing w:before="140" w:after="140"/>
        <w:jc w:val="both"/>
      </w:pPr>
      <w:r>
        <w:t>The majority of students tested are not demonstrating the level of numeracy skill which is expected of all students at the end of year 8. Only 445 (33%) of students are working at or above the expected level.</w:t>
      </w:r>
    </w:p>
    <w:p w14:paraId="64F0E9E5" w14:textId="77777777" w:rsidR="00221671" w:rsidRPr="00C40966" w:rsidRDefault="00221671" w:rsidP="00ED0631">
      <w:pPr>
        <w:spacing w:before="140" w:after="140"/>
        <w:jc w:val="both"/>
      </w:pPr>
      <w:r>
        <w:t>The results are not surprising as student performance in the Year 9 Mathematics exams shows a similar pattern. Of the 2034 students who sat the Year 9 exam in 2015, only 540 student (27%) achieved a raw mark of 50 or better out of 100 possible marks.</w:t>
      </w:r>
    </w:p>
    <w:p w14:paraId="0949F559" w14:textId="77777777" w:rsidR="00221671" w:rsidRPr="004F4F96" w:rsidRDefault="00221671" w:rsidP="00ED0631">
      <w:pPr>
        <w:spacing w:before="140" w:after="140"/>
        <w:jc w:val="both"/>
        <w:rPr>
          <w:noProof/>
          <w:lang w:val="en-US"/>
        </w:rPr>
      </w:pPr>
      <w:r w:rsidRPr="004F4F96">
        <w:t xml:space="preserve">The test focussed on </w:t>
      </w:r>
      <w:r>
        <w:t>five</w:t>
      </w:r>
      <w:r w:rsidRPr="004F4F96">
        <w:t xml:space="preserve"> </w:t>
      </w:r>
      <w:r>
        <w:t xml:space="preserve">core </w:t>
      </w:r>
      <w:r w:rsidRPr="004F4F96">
        <w:t xml:space="preserve">components of </w:t>
      </w:r>
      <w:r>
        <w:t>numeracy</w:t>
      </w:r>
      <w:r w:rsidRPr="004F4F96">
        <w:t>:</w:t>
      </w:r>
      <w:r w:rsidRPr="004F4F96">
        <w:rPr>
          <w:noProof/>
          <w:lang w:val="en-US"/>
        </w:rPr>
        <w:t xml:space="preserve"> </w:t>
      </w:r>
    </w:p>
    <w:p w14:paraId="7556142C" w14:textId="77777777" w:rsidR="00221671" w:rsidRDefault="00221671" w:rsidP="00677760">
      <w:pPr>
        <w:pStyle w:val="ListParagraph"/>
        <w:numPr>
          <w:ilvl w:val="0"/>
          <w:numId w:val="29"/>
        </w:numPr>
        <w:spacing w:before="0" w:beforeAutospacing="0" w:after="0" w:afterAutospacing="0"/>
        <w:ind w:left="714" w:hanging="357"/>
        <w:contextualSpacing w:val="0"/>
        <w:jc w:val="both"/>
        <w:rPr>
          <w:szCs w:val="20"/>
        </w:rPr>
      </w:pPr>
      <w:r>
        <w:rPr>
          <w:szCs w:val="20"/>
        </w:rPr>
        <w:t>problem solving</w:t>
      </w:r>
      <w:r w:rsidRPr="004F4F96">
        <w:rPr>
          <w:szCs w:val="20"/>
        </w:rPr>
        <w:t>,</w:t>
      </w:r>
    </w:p>
    <w:p w14:paraId="0250C8B6" w14:textId="77777777" w:rsidR="00221671" w:rsidRPr="00167A09" w:rsidRDefault="00221671" w:rsidP="00677760">
      <w:pPr>
        <w:pStyle w:val="ListParagraph"/>
        <w:numPr>
          <w:ilvl w:val="0"/>
          <w:numId w:val="29"/>
        </w:numPr>
        <w:spacing w:before="0" w:beforeAutospacing="0" w:after="0" w:afterAutospacing="0"/>
        <w:ind w:left="714" w:hanging="357"/>
        <w:contextualSpacing w:val="0"/>
        <w:jc w:val="both"/>
        <w:rPr>
          <w:szCs w:val="20"/>
        </w:rPr>
      </w:pPr>
      <w:r>
        <w:rPr>
          <w:szCs w:val="20"/>
        </w:rPr>
        <w:t>operations,</w:t>
      </w:r>
    </w:p>
    <w:p w14:paraId="703090CE" w14:textId="77777777" w:rsidR="00221671" w:rsidRDefault="00221671" w:rsidP="00677760">
      <w:pPr>
        <w:pStyle w:val="ListParagraph"/>
        <w:numPr>
          <w:ilvl w:val="0"/>
          <w:numId w:val="29"/>
        </w:numPr>
        <w:spacing w:before="0" w:beforeAutospacing="0" w:after="0" w:afterAutospacing="0"/>
        <w:ind w:left="714" w:hanging="357"/>
        <w:contextualSpacing w:val="0"/>
        <w:jc w:val="both"/>
        <w:rPr>
          <w:szCs w:val="20"/>
        </w:rPr>
      </w:pPr>
      <w:r>
        <w:rPr>
          <w:szCs w:val="20"/>
        </w:rPr>
        <w:t>measurement,</w:t>
      </w:r>
    </w:p>
    <w:p w14:paraId="123032DD" w14:textId="77777777" w:rsidR="00221671" w:rsidRDefault="00221671" w:rsidP="00677760">
      <w:pPr>
        <w:pStyle w:val="ListParagraph"/>
        <w:numPr>
          <w:ilvl w:val="0"/>
          <w:numId w:val="29"/>
        </w:numPr>
        <w:spacing w:before="0" w:beforeAutospacing="0" w:after="0" w:afterAutospacing="0"/>
        <w:ind w:left="714" w:hanging="357"/>
        <w:contextualSpacing w:val="0"/>
        <w:jc w:val="both"/>
        <w:rPr>
          <w:szCs w:val="20"/>
        </w:rPr>
      </w:pPr>
      <w:r>
        <w:rPr>
          <w:szCs w:val="20"/>
        </w:rPr>
        <w:t>geometry, and</w:t>
      </w:r>
    </w:p>
    <w:p w14:paraId="5E1C14C9" w14:textId="77777777" w:rsidR="00221671" w:rsidRPr="00C40966" w:rsidRDefault="00221671" w:rsidP="00677760">
      <w:pPr>
        <w:pStyle w:val="ListParagraph"/>
        <w:numPr>
          <w:ilvl w:val="0"/>
          <w:numId w:val="29"/>
        </w:numPr>
        <w:spacing w:before="0" w:beforeAutospacing="0" w:after="0" w:afterAutospacing="0"/>
        <w:ind w:left="714" w:hanging="357"/>
        <w:contextualSpacing w:val="0"/>
        <w:jc w:val="both"/>
        <w:rPr>
          <w:szCs w:val="20"/>
        </w:rPr>
      </w:pPr>
      <w:r>
        <w:rPr>
          <w:szCs w:val="20"/>
        </w:rPr>
        <w:t>data</w:t>
      </w:r>
      <w:r w:rsidRPr="004F4F96">
        <w:rPr>
          <w:szCs w:val="20"/>
        </w:rPr>
        <w:t>.</w:t>
      </w:r>
      <w:r w:rsidRPr="00A244F5">
        <w:rPr>
          <w:noProof/>
          <w:lang w:val="en-US"/>
        </w:rPr>
        <w:t xml:space="preserve"> </w:t>
      </w:r>
    </w:p>
    <w:p w14:paraId="76564E50" w14:textId="77777777" w:rsidR="00221671" w:rsidRPr="00752D28" w:rsidRDefault="00221671" w:rsidP="00ED0631">
      <w:pPr>
        <w:spacing w:before="140" w:after="140"/>
        <w:rPr>
          <w:rFonts w:cs="Arial"/>
          <w:i/>
          <w:noProof/>
          <w:lang w:val="en-US"/>
        </w:rPr>
      </w:pPr>
      <w:r w:rsidRPr="00752D28">
        <w:rPr>
          <w:b/>
          <w:i/>
          <w:sz w:val="18"/>
          <w:szCs w:val="18"/>
        </w:rPr>
        <w:t>Fig 23</w:t>
      </w:r>
      <w:r w:rsidRPr="00752D28">
        <w:rPr>
          <w:i/>
          <w:sz w:val="18"/>
          <w:szCs w:val="18"/>
        </w:rPr>
        <w:tab/>
        <w:t>Year 8 2015 numeracy component performance</w:t>
      </w:r>
      <w:r w:rsidRPr="00752D28">
        <w:rPr>
          <w:rFonts w:cs="Arial"/>
          <w:i/>
          <w:noProof/>
          <w:lang w:eastAsia="en-AU"/>
        </w:rPr>
        <w:drawing>
          <wp:anchor distT="0" distB="0" distL="114300" distR="114300" simplePos="0" relativeHeight="251820031" behindDoc="0" locked="0" layoutInCell="1" allowOverlap="1" wp14:anchorId="6E9F8EA1" wp14:editId="434B0BA4">
            <wp:simplePos x="0" y="0"/>
            <wp:positionH relativeFrom="column">
              <wp:posOffset>0</wp:posOffset>
            </wp:positionH>
            <wp:positionV relativeFrom="paragraph">
              <wp:posOffset>222250</wp:posOffset>
            </wp:positionV>
            <wp:extent cx="5590540" cy="1922780"/>
            <wp:effectExtent l="0" t="0" r="10160" b="1270"/>
            <wp:wrapThrough wrapText="bothSides">
              <wp:wrapPolygon edited="0">
                <wp:start x="0" y="0"/>
                <wp:lineTo x="0" y="21400"/>
                <wp:lineTo x="21566" y="21400"/>
                <wp:lineTo x="21566" y="0"/>
                <wp:lineTo x="0" y="0"/>
              </wp:wrapPolygon>
            </wp:wrapThrough>
            <wp:docPr id="83" name="Chart 83" descr="Results on five core components of numeracy; problem solving, operations, measurement, geometry and data. Graphs results described in text" title="Fig 23 Year 8 2015 numeracy component perform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14:paraId="68075775" w14:textId="77777777" w:rsidR="00221671" w:rsidRDefault="00221671" w:rsidP="00ED0631">
      <w:pPr>
        <w:spacing w:before="140" w:after="140"/>
        <w:jc w:val="both"/>
        <w:rPr>
          <w:rFonts w:cs="Arial"/>
          <w:noProof/>
          <w:lang w:val="en-US"/>
        </w:rPr>
      </w:pPr>
      <w:r w:rsidRPr="0010311F">
        <w:rPr>
          <w:rFonts w:cs="Arial"/>
          <w:noProof/>
          <w:lang w:val="en-US"/>
        </w:rPr>
        <w:t xml:space="preserve">The deficiencies identified in this group of students in </w:t>
      </w:r>
      <w:r>
        <w:rPr>
          <w:rFonts w:cs="Arial"/>
          <w:noProof/>
          <w:lang w:val="en-US"/>
        </w:rPr>
        <w:t xml:space="preserve">the STAKI </w:t>
      </w:r>
      <w:r w:rsidRPr="0010311F">
        <w:rPr>
          <w:rFonts w:cs="Arial"/>
          <w:noProof/>
          <w:lang w:val="en-US"/>
        </w:rPr>
        <w:t>2013</w:t>
      </w:r>
      <w:r>
        <w:rPr>
          <w:rFonts w:cs="Arial"/>
          <w:noProof/>
          <w:lang w:val="en-US"/>
        </w:rPr>
        <w:t xml:space="preserve"> National Report p13</w:t>
      </w:r>
      <w:r w:rsidRPr="0010311F">
        <w:rPr>
          <w:rFonts w:cs="Arial"/>
          <w:noProof/>
          <w:lang w:val="en-US"/>
        </w:rPr>
        <w:t xml:space="preserve"> (when they were in year 6)</w:t>
      </w:r>
      <w:r>
        <w:rPr>
          <w:rFonts w:cs="Arial"/>
          <w:noProof/>
          <w:lang w:val="en-US"/>
        </w:rPr>
        <w:t xml:space="preserve"> show that the same weaknesses have continued through Years 7 and 8.</w:t>
      </w:r>
    </w:p>
    <w:p w14:paraId="7CB32234" w14:textId="77777777" w:rsidR="00221671" w:rsidRDefault="00221671" w:rsidP="00ED0631">
      <w:pPr>
        <w:spacing w:before="140" w:after="140"/>
        <w:jc w:val="both"/>
        <w:rPr>
          <w:rFonts w:cs="Arial"/>
          <w:noProof/>
          <w:lang w:val="en-US"/>
        </w:rPr>
      </w:pPr>
      <w:r>
        <w:rPr>
          <w:rFonts w:cs="Arial"/>
          <w:noProof/>
          <w:lang w:val="en-US"/>
        </w:rPr>
        <w:t>Skills in measurement and geometry appear to have not developed at the pace that is expected.</w:t>
      </w:r>
    </w:p>
    <w:p w14:paraId="7F342B02" w14:textId="77777777" w:rsidR="00221671" w:rsidRDefault="00221671" w:rsidP="00ED0631">
      <w:pPr>
        <w:spacing w:before="140" w:after="140"/>
        <w:jc w:val="both"/>
        <w:rPr>
          <w:rFonts w:cs="Arial"/>
          <w:noProof/>
          <w:lang w:val="en-US"/>
        </w:rPr>
      </w:pPr>
      <w:r>
        <w:rPr>
          <w:rFonts w:cs="Arial"/>
          <w:noProof/>
          <w:lang w:val="en-US"/>
        </w:rPr>
        <w:t xml:space="preserve">Students continue to struggle with problem solving tasks. These involve problems described (in English) using words and only 13% of students are competent at dealing with them. It is very likely </w:t>
      </w:r>
      <w:r>
        <w:rPr>
          <w:rFonts w:cs="Arial"/>
          <w:noProof/>
          <w:lang w:val="en-US"/>
        </w:rPr>
        <w:lastRenderedPageBreak/>
        <w:t>that the poor English skills of the students impede their ability to understand the actual tasks as the actual mathematical operations were straight forward.</w:t>
      </w:r>
    </w:p>
    <w:p w14:paraId="76AA979A" w14:textId="3DEFCC9A" w:rsidR="006228D0" w:rsidRPr="006228D0" w:rsidRDefault="006228D0" w:rsidP="006228D0">
      <w:pPr>
        <w:spacing w:before="140" w:after="140"/>
        <w:jc w:val="both"/>
        <w:rPr>
          <w:rFonts w:cs="Arial"/>
          <w:b/>
          <w:noProof/>
          <w:lang w:val="en-US"/>
        </w:rPr>
      </w:pPr>
      <w:r w:rsidRPr="006228D0">
        <w:rPr>
          <w:rFonts w:cs="Arial"/>
          <w:b/>
          <w:noProof/>
          <w:lang w:val="en-US"/>
        </w:rPr>
        <w:t>Table 9 Year 8 Numeracy performance by district</w:t>
      </w:r>
    </w:p>
    <w:tbl>
      <w:tblPr>
        <w:tblStyle w:val="MediumShading2-Accent1"/>
        <w:tblW w:w="500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941"/>
        <w:gridCol w:w="2399"/>
        <w:gridCol w:w="2399"/>
        <w:gridCol w:w="2397"/>
      </w:tblGrid>
      <w:tr w:rsidR="00221671" w:rsidRPr="00AC40CE" w14:paraId="6454BFBD" w14:textId="77777777" w:rsidTr="006228D0">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062" w:type="pct"/>
            <w:vMerge w:val="restart"/>
            <w:tcBorders>
              <w:top w:val="none" w:sz="0" w:space="0" w:color="auto"/>
              <w:left w:val="none" w:sz="0" w:space="0" w:color="auto"/>
              <w:bottom w:val="none" w:sz="0" w:space="0" w:color="auto"/>
              <w:right w:val="none" w:sz="0" w:space="0" w:color="auto"/>
            </w:tcBorders>
            <w:shd w:val="clear" w:color="auto" w:fill="A25EA6"/>
          </w:tcPr>
          <w:p w14:paraId="0F62F154" w14:textId="77777777" w:rsidR="00221671" w:rsidRPr="006228D0" w:rsidRDefault="00221671" w:rsidP="00ED0631">
            <w:pPr>
              <w:spacing w:before="140" w:after="140"/>
              <w:ind w:left="709" w:hanging="709"/>
              <w:rPr>
                <w:rFonts w:asciiTheme="majorHAnsi" w:hAnsiTheme="majorHAnsi" w:cstheme="majorHAnsi"/>
              </w:rPr>
            </w:pPr>
            <w:r w:rsidRPr="006228D0">
              <w:rPr>
                <w:rFonts w:asciiTheme="majorHAnsi" w:hAnsiTheme="majorHAnsi" w:cstheme="majorHAnsi"/>
              </w:rPr>
              <w:t>Table 9</w:t>
            </w:r>
          </w:p>
          <w:p w14:paraId="61D0D1E5" w14:textId="77777777" w:rsidR="00221671" w:rsidRPr="00AC40CE" w:rsidRDefault="00221671" w:rsidP="00ED0631">
            <w:pPr>
              <w:spacing w:before="140" w:after="140"/>
              <w:rPr>
                <w:rFonts w:asciiTheme="majorHAnsi" w:hAnsiTheme="majorHAnsi" w:cstheme="majorHAnsi"/>
              </w:rPr>
            </w:pPr>
            <w:r w:rsidRPr="006228D0">
              <w:rPr>
                <w:rFonts w:asciiTheme="majorHAnsi" w:hAnsiTheme="majorHAnsi" w:cstheme="majorHAnsi"/>
              </w:rPr>
              <w:t>Year 8 Numeracy performance by district</w:t>
            </w:r>
          </w:p>
        </w:tc>
        <w:tc>
          <w:tcPr>
            <w:tcW w:w="3938" w:type="pct"/>
            <w:gridSpan w:val="3"/>
            <w:tcBorders>
              <w:top w:val="none" w:sz="0" w:space="0" w:color="auto"/>
              <w:left w:val="none" w:sz="0" w:space="0" w:color="auto"/>
              <w:bottom w:val="none" w:sz="0" w:space="0" w:color="auto"/>
              <w:right w:val="none" w:sz="0" w:space="0" w:color="auto"/>
            </w:tcBorders>
            <w:shd w:val="clear" w:color="auto" w:fill="A25EA6"/>
          </w:tcPr>
          <w:p w14:paraId="231128BE" w14:textId="77777777" w:rsidR="00221671" w:rsidRPr="00AC40CE"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hAnsiTheme="majorHAnsi" w:cstheme="majorHAnsi"/>
              </w:rPr>
              <w:t>Students in each group</w:t>
            </w:r>
          </w:p>
        </w:tc>
      </w:tr>
      <w:tr w:rsidR="00221671" w:rsidRPr="00AC40CE" w14:paraId="0F460337" w14:textId="77777777" w:rsidTr="00AC40C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2" w:type="pct"/>
            <w:vMerge/>
            <w:tcBorders>
              <w:left w:val="none" w:sz="0" w:space="0" w:color="auto"/>
              <w:bottom w:val="none" w:sz="0" w:space="0" w:color="auto"/>
              <w:right w:val="none" w:sz="0" w:space="0" w:color="auto"/>
            </w:tcBorders>
          </w:tcPr>
          <w:p w14:paraId="224C90C6" w14:textId="77777777" w:rsidR="00221671" w:rsidRPr="00AC40CE" w:rsidRDefault="00221671" w:rsidP="00ED0631">
            <w:pPr>
              <w:spacing w:before="140" w:after="140"/>
              <w:rPr>
                <w:rFonts w:asciiTheme="majorHAnsi" w:hAnsiTheme="majorHAnsi" w:cstheme="majorHAnsi"/>
              </w:rPr>
            </w:pPr>
          </w:p>
        </w:tc>
        <w:tc>
          <w:tcPr>
            <w:tcW w:w="1313" w:type="pct"/>
          </w:tcPr>
          <w:p w14:paraId="6E5AD0F9"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hAnsiTheme="majorHAnsi" w:cstheme="majorHAnsi"/>
              </w:rPr>
              <w:t>no evidence or critically below expected level</w:t>
            </w:r>
          </w:p>
        </w:tc>
        <w:tc>
          <w:tcPr>
            <w:tcW w:w="1313" w:type="pct"/>
          </w:tcPr>
          <w:p w14:paraId="2D0FC084"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hAnsiTheme="majorHAnsi" w:cstheme="majorHAnsi"/>
              </w:rPr>
              <w:t>working towards expected level</w:t>
            </w:r>
          </w:p>
        </w:tc>
        <w:tc>
          <w:tcPr>
            <w:tcW w:w="1313" w:type="pct"/>
          </w:tcPr>
          <w:p w14:paraId="50595CB2"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hAnsiTheme="majorHAnsi" w:cstheme="majorHAnsi"/>
              </w:rPr>
              <w:t xml:space="preserve">working at or above expected level </w:t>
            </w:r>
          </w:p>
        </w:tc>
      </w:tr>
      <w:tr w:rsidR="00221671" w:rsidRPr="00AC40CE" w14:paraId="04F95A71" w14:textId="77777777" w:rsidTr="006228D0">
        <w:trPr>
          <w:trHeight w:val="249"/>
        </w:trPr>
        <w:tc>
          <w:tcPr>
            <w:cnfStyle w:val="001000000000" w:firstRow="0" w:lastRow="0" w:firstColumn="1" w:lastColumn="0" w:oddVBand="0" w:evenVBand="0" w:oddHBand="0" w:evenHBand="0" w:firstRowFirstColumn="0" w:firstRowLastColumn="0" w:lastRowFirstColumn="0" w:lastRowLastColumn="0"/>
            <w:tcW w:w="1062" w:type="pct"/>
            <w:tcBorders>
              <w:left w:val="none" w:sz="0" w:space="0" w:color="auto"/>
              <w:bottom w:val="none" w:sz="0" w:space="0" w:color="auto"/>
              <w:right w:val="none" w:sz="0" w:space="0" w:color="auto"/>
            </w:tcBorders>
            <w:shd w:val="clear" w:color="auto" w:fill="auto"/>
            <w:vAlign w:val="bottom"/>
          </w:tcPr>
          <w:p w14:paraId="0BF613B3" w14:textId="77777777" w:rsidR="00221671" w:rsidRPr="006228D0" w:rsidRDefault="00221671" w:rsidP="00ED0631">
            <w:pPr>
              <w:spacing w:before="140" w:after="140"/>
              <w:rPr>
                <w:rFonts w:asciiTheme="majorHAnsi" w:hAnsiTheme="majorHAnsi" w:cstheme="majorHAnsi"/>
                <w:color w:val="auto"/>
              </w:rPr>
            </w:pPr>
            <w:r w:rsidRPr="006228D0">
              <w:rPr>
                <w:rFonts w:asciiTheme="majorHAnsi" w:eastAsia="Times New Roman" w:hAnsiTheme="majorHAnsi" w:cstheme="majorHAnsi"/>
                <w:color w:val="auto"/>
              </w:rPr>
              <w:t>Total</w:t>
            </w:r>
          </w:p>
        </w:tc>
        <w:tc>
          <w:tcPr>
            <w:tcW w:w="1313" w:type="pct"/>
            <w:vAlign w:val="bottom"/>
          </w:tcPr>
          <w:p w14:paraId="7A5E6EC6"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460 (34%)</w:t>
            </w:r>
          </w:p>
        </w:tc>
        <w:tc>
          <w:tcPr>
            <w:tcW w:w="1313" w:type="pct"/>
            <w:vAlign w:val="bottom"/>
          </w:tcPr>
          <w:p w14:paraId="13CC9D57"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434 (32%)</w:t>
            </w:r>
          </w:p>
        </w:tc>
        <w:tc>
          <w:tcPr>
            <w:tcW w:w="1313" w:type="pct"/>
            <w:vAlign w:val="bottom"/>
          </w:tcPr>
          <w:p w14:paraId="2BBCCC60"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445 (33%)</w:t>
            </w:r>
          </w:p>
        </w:tc>
      </w:tr>
      <w:tr w:rsidR="00221671" w:rsidRPr="00AC40CE" w14:paraId="59EE5D24" w14:textId="77777777" w:rsidTr="006228D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2" w:type="pct"/>
            <w:tcBorders>
              <w:left w:val="none" w:sz="0" w:space="0" w:color="auto"/>
              <w:bottom w:val="none" w:sz="0" w:space="0" w:color="auto"/>
              <w:right w:val="none" w:sz="0" w:space="0" w:color="auto"/>
            </w:tcBorders>
            <w:shd w:val="clear" w:color="auto" w:fill="D9D9D9" w:themeFill="background1" w:themeFillShade="D9"/>
            <w:vAlign w:val="bottom"/>
          </w:tcPr>
          <w:p w14:paraId="6D0F532D" w14:textId="77777777" w:rsidR="00221671" w:rsidRPr="006228D0" w:rsidRDefault="00221671" w:rsidP="00ED0631">
            <w:pPr>
              <w:spacing w:before="140" w:after="140"/>
              <w:rPr>
                <w:rFonts w:asciiTheme="majorHAnsi" w:hAnsiTheme="majorHAnsi" w:cstheme="majorHAnsi"/>
                <w:color w:val="auto"/>
              </w:rPr>
            </w:pPr>
            <w:r w:rsidRPr="006228D0">
              <w:rPr>
                <w:rFonts w:asciiTheme="majorHAnsi" w:eastAsia="Times New Roman" w:hAnsiTheme="majorHAnsi" w:cstheme="majorHAnsi"/>
                <w:color w:val="auto"/>
              </w:rPr>
              <w:t>Central</w:t>
            </w:r>
          </w:p>
        </w:tc>
        <w:tc>
          <w:tcPr>
            <w:tcW w:w="1313" w:type="pct"/>
            <w:vAlign w:val="bottom"/>
          </w:tcPr>
          <w:p w14:paraId="7FF6D30A"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59 (34%)</w:t>
            </w:r>
          </w:p>
        </w:tc>
        <w:tc>
          <w:tcPr>
            <w:tcW w:w="1313" w:type="pct"/>
            <w:vAlign w:val="bottom"/>
          </w:tcPr>
          <w:p w14:paraId="3B0B23D7"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55 (31%)</w:t>
            </w:r>
          </w:p>
        </w:tc>
        <w:tc>
          <w:tcPr>
            <w:tcW w:w="1313" w:type="pct"/>
            <w:vAlign w:val="bottom"/>
          </w:tcPr>
          <w:p w14:paraId="356AB6AA"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61 (35%)</w:t>
            </w:r>
          </w:p>
        </w:tc>
      </w:tr>
      <w:tr w:rsidR="00221671" w:rsidRPr="00AC40CE" w14:paraId="14782232" w14:textId="77777777" w:rsidTr="006228D0">
        <w:trPr>
          <w:trHeight w:val="249"/>
        </w:trPr>
        <w:tc>
          <w:tcPr>
            <w:cnfStyle w:val="001000000000" w:firstRow="0" w:lastRow="0" w:firstColumn="1" w:lastColumn="0" w:oddVBand="0" w:evenVBand="0" w:oddHBand="0" w:evenHBand="0" w:firstRowFirstColumn="0" w:firstRowLastColumn="0" w:lastRowFirstColumn="0" w:lastRowLastColumn="0"/>
            <w:tcW w:w="1062" w:type="pct"/>
            <w:tcBorders>
              <w:left w:val="none" w:sz="0" w:space="0" w:color="auto"/>
              <w:bottom w:val="none" w:sz="0" w:space="0" w:color="auto"/>
              <w:right w:val="none" w:sz="0" w:space="0" w:color="auto"/>
            </w:tcBorders>
            <w:shd w:val="clear" w:color="auto" w:fill="auto"/>
            <w:vAlign w:val="bottom"/>
          </w:tcPr>
          <w:p w14:paraId="28780F90" w14:textId="77777777" w:rsidR="00221671" w:rsidRPr="006228D0" w:rsidRDefault="00221671" w:rsidP="00ED0631">
            <w:pPr>
              <w:spacing w:before="140" w:after="140"/>
              <w:rPr>
                <w:rFonts w:asciiTheme="majorHAnsi" w:hAnsiTheme="majorHAnsi" w:cstheme="majorHAnsi"/>
                <w:color w:val="auto"/>
              </w:rPr>
            </w:pPr>
            <w:r w:rsidRPr="006228D0">
              <w:rPr>
                <w:rFonts w:asciiTheme="majorHAnsi" w:eastAsia="Times New Roman" w:hAnsiTheme="majorHAnsi" w:cstheme="majorHAnsi"/>
                <w:color w:val="auto"/>
              </w:rPr>
              <w:t>North</w:t>
            </w:r>
          </w:p>
        </w:tc>
        <w:tc>
          <w:tcPr>
            <w:tcW w:w="1313" w:type="pct"/>
            <w:vAlign w:val="bottom"/>
          </w:tcPr>
          <w:p w14:paraId="20F9C6DB"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61 (26%)</w:t>
            </w:r>
          </w:p>
        </w:tc>
        <w:tc>
          <w:tcPr>
            <w:tcW w:w="1313" w:type="pct"/>
            <w:vAlign w:val="bottom"/>
          </w:tcPr>
          <w:p w14:paraId="294E743C"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86 (37%)</w:t>
            </w:r>
          </w:p>
        </w:tc>
        <w:tc>
          <w:tcPr>
            <w:tcW w:w="1313" w:type="pct"/>
            <w:vAlign w:val="bottom"/>
          </w:tcPr>
          <w:p w14:paraId="41CDEFDF"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87 (37%)</w:t>
            </w:r>
          </w:p>
        </w:tc>
      </w:tr>
      <w:tr w:rsidR="00221671" w:rsidRPr="00AC40CE" w14:paraId="195A32EB" w14:textId="77777777" w:rsidTr="006228D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2" w:type="pct"/>
            <w:tcBorders>
              <w:left w:val="none" w:sz="0" w:space="0" w:color="auto"/>
              <w:bottom w:val="none" w:sz="0" w:space="0" w:color="auto"/>
              <w:right w:val="none" w:sz="0" w:space="0" w:color="auto"/>
            </w:tcBorders>
            <w:shd w:val="clear" w:color="auto" w:fill="D9D9D9" w:themeFill="background1" w:themeFillShade="D9"/>
            <w:vAlign w:val="bottom"/>
          </w:tcPr>
          <w:p w14:paraId="5FC48605" w14:textId="77777777" w:rsidR="00221671" w:rsidRPr="006228D0" w:rsidRDefault="00221671" w:rsidP="00ED0631">
            <w:pPr>
              <w:spacing w:before="140" w:after="140"/>
              <w:rPr>
                <w:rFonts w:asciiTheme="majorHAnsi" w:hAnsiTheme="majorHAnsi" w:cstheme="majorHAnsi"/>
                <w:color w:val="auto"/>
              </w:rPr>
            </w:pPr>
            <w:r w:rsidRPr="006228D0">
              <w:rPr>
                <w:rFonts w:asciiTheme="majorHAnsi" w:eastAsia="Times New Roman" w:hAnsiTheme="majorHAnsi" w:cstheme="majorHAnsi"/>
                <w:color w:val="auto"/>
              </w:rPr>
              <w:t>South</w:t>
            </w:r>
          </w:p>
        </w:tc>
        <w:tc>
          <w:tcPr>
            <w:tcW w:w="1313" w:type="pct"/>
            <w:vAlign w:val="bottom"/>
          </w:tcPr>
          <w:p w14:paraId="11564DF4"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68 (30%)</w:t>
            </w:r>
          </w:p>
        </w:tc>
        <w:tc>
          <w:tcPr>
            <w:tcW w:w="1313" w:type="pct"/>
            <w:vAlign w:val="bottom"/>
          </w:tcPr>
          <w:p w14:paraId="36F93ED7"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79 (34%)</w:t>
            </w:r>
          </w:p>
        </w:tc>
        <w:tc>
          <w:tcPr>
            <w:tcW w:w="1313" w:type="pct"/>
            <w:vAlign w:val="bottom"/>
          </w:tcPr>
          <w:p w14:paraId="12EC9699"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82 (36%)</w:t>
            </w:r>
          </w:p>
        </w:tc>
      </w:tr>
      <w:tr w:rsidR="00221671" w:rsidRPr="00AC40CE" w14:paraId="61A6FC19" w14:textId="77777777" w:rsidTr="006228D0">
        <w:trPr>
          <w:trHeight w:val="267"/>
        </w:trPr>
        <w:tc>
          <w:tcPr>
            <w:cnfStyle w:val="001000000000" w:firstRow="0" w:lastRow="0" w:firstColumn="1" w:lastColumn="0" w:oddVBand="0" w:evenVBand="0" w:oddHBand="0" w:evenHBand="0" w:firstRowFirstColumn="0" w:firstRowLastColumn="0" w:lastRowFirstColumn="0" w:lastRowLastColumn="0"/>
            <w:tcW w:w="1062" w:type="pct"/>
            <w:tcBorders>
              <w:left w:val="none" w:sz="0" w:space="0" w:color="auto"/>
              <w:bottom w:val="none" w:sz="0" w:space="0" w:color="auto"/>
              <w:right w:val="none" w:sz="0" w:space="0" w:color="auto"/>
            </w:tcBorders>
            <w:shd w:val="clear" w:color="auto" w:fill="auto"/>
            <w:vAlign w:val="bottom"/>
          </w:tcPr>
          <w:p w14:paraId="346011DA" w14:textId="77777777" w:rsidR="00221671" w:rsidRPr="006228D0" w:rsidRDefault="00221671" w:rsidP="00ED0631">
            <w:pPr>
              <w:spacing w:before="140" w:after="140"/>
              <w:rPr>
                <w:rFonts w:asciiTheme="majorHAnsi" w:hAnsiTheme="majorHAnsi" w:cstheme="majorHAnsi"/>
                <w:color w:val="auto"/>
              </w:rPr>
            </w:pPr>
            <w:r w:rsidRPr="006228D0">
              <w:rPr>
                <w:rFonts w:asciiTheme="majorHAnsi" w:eastAsia="Times New Roman" w:hAnsiTheme="majorHAnsi" w:cstheme="majorHAnsi"/>
                <w:color w:val="auto"/>
              </w:rPr>
              <w:t>Linnux</w:t>
            </w:r>
          </w:p>
        </w:tc>
        <w:tc>
          <w:tcPr>
            <w:tcW w:w="1313" w:type="pct"/>
            <w:vAlign w:val="bottom"/>
          </w:tcPr>
          <w:p w14:paraId="64999FAD"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45 (31%)</w:t>
            </w:r>
          </w:p>
        </w:tc>
        <w:tc>
          <w:tcPr>
            <w:tcW w:w="1313" w:type="pct"/>
            <w:vAlign w:val="bottom"/>
          </w:tcPr>
          <w:p w14:paraId="748F94A0"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50 (34%)</w:t>
            </w:r>
          </w:p>
        </w:tc>
        <w:tc>
          <w:tcPr>
            <w:tcW w:w="1313" w:type="pct"/>
            <w:vAlign w:val="bottom"/>
          </w:tcPr>
          <w:p w14:paraId="4345A3BA" w14:textId="77777777" w:rsidR="00221671" w:rsidRPr="00AC40CE"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50 (34%)</w:t>
            </w:r>
          </w:p>
        </w:tc>
      </w:tr>
      <w:tr w:rsidR="00221671" w:rsidRPr="00AC40CE" w14:paraId="0C24679F" w14:textId="77777777" w:rsidTr="006228D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62" w:type="pct"/>
            <w:tcBorders>
              <w:left w:val="none" w:sz="0" w:space="0" w:color="auto"/>
              <w:bottom w:val="none" w:sz="0" w:space="0" w:color="auto"/>
              <w:right w:val="none" w:sz="0" w:space="0" w:color="auto"/>
            </w:tcBorders>
            <w:shd w:val="clear" w:color="auto" w:fill="D9D9D9" w:themeFill="background1" w:themeFillShade="D9"/>
            <w:vAlign w:val="bottom"/>
          </w:tcPr>
          <w:p w14:paraId="5E2229A4" w14:textId="77777777" w:rsidR="00221671" w:rsidRPr="006228D0" w:rsidRDefault="00221671" w:rsidP="00ED0631">
            <w:pPr>
              <w:spacing w:before="140" w:after="140"/>
              <w:rPr>
                <w:rFonts w:asciiTheme="majorHAnsi" w:hAnsiTheme="majorHAnsi" w:cstheme="majorHAnsi"/>
                <w:color w:val="auto"/>
              </w:rPr>
            </w:pPr>
            <w:r w:rsidRPr="006228D0">
              <w:rPr>
                <w:rFonts w:asciiTheme="majorHAnsi" w:eastAsia="Times New Roman" w:hAnsiTheme="majorHAnsi" w:cstheme="majorHAnsi"/>
                <w:color w:val="auto"/>
              </w:rPr>
              <w:t>South Tarawa</w:t>
            </w:r>
          </w:p>
        </w:tc>
        <w:tc>
          <w:tcPr>
            <w:tcW w:w="1313" w:type="pct"/>
            <w:vAlign w:val="bottom"/>
          </w:tcPr>
          <w:p w14:paraId="5FA45B42"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227 (41%)</w:t>
            </w:r>
          </w:p>
        </w:tc>
        <w:tc>
          <w:tcPr>
            <w:tcW w:w="1313" w:type="pct"/>
            <w:vAlign w:val="bottom"/>
          </w:tcPr>
          <w:p w14:paraId="3F4DD548"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164 (29%)</w:t>
            </w:r>
          </w:p>
        </w:tc>
        <w:tc>
          <w:tcPr>
            <w:tcW w:w="1313" w:type="pct"/>
            <w:vAlign w:val="bottom"/>
          </w:tcPr>
          <w:p w14:paraId="27FC10FC" w14:textId="77777777" w:rsidR="00221671" w:rsidRPr="00AC40CE"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AC40CE">
              <w:rPr>
                <w:rFonts w:asciiTheme="majorHAnsi" w:eastAsia="Times New Roman" w:hAnsiTheme="majorHAnsi" w:cstheme="majorHAnsi"/>
                <w:color w:val="000000"/>
              </w:rPr>
              <w:t>165 (30%)</w:t>
            </w:r>
          </w:p>
        </w:tc>
      </w:tr>
    </w:tbl>
    <w:p w14:paraId="6BA7EA98" w14:textId="13C56BB4" w:rsidR="00221671" w:rsidRDefault="00221671" w:rsidP="00ED0631">
      <w:pPr>
        <w:spacing w:before="140" w:after="140"/>
        <w:jc w:val="both"/>
        <w:rPr>
          <w:rFonts w:cs="Arial"/>
        </w:rPr>
      </w:pPr>
      <w:r>
        <w:rPr>
          <w:rFonts w:cs="Arial"/>
        </w:rPr>
        <w:t>South Tarawa stands out as the poorest performing district.</w:t>
      </w:r>
    </w:p>
    <w:p w14:paraId="23DFAD06" w14:textId="77777777" w:rsidR="00221671" w:rsidRDefault="00221671" w:rsidP="00ED0631">
      <w:pPr>
        <w:spacing w:before="140" w:after="140"/>
        <w:jc w:val="both"/>
        <w:rPr>
          <w:rFonts w:cs="Arial"/>
        </w:rPr>
      </w:pPr>
      <w:r>
        <w:rPr>
          <w:rFonts w:cs="Arial"/>
        </w:rPr>
        <w:t>Girls</w:t>
      </w:r>
      <w:r w:rsidRPr="00D25E9D">
        <w:rPr>
          <w:rFonts w:cs="Arial"/>
        </w:rPr>
        <w:t xml:space="preserve"> performed better than boys in the test.</w:t>
      </w:r>
      <w:r>
        <w:rPr>
          <w:rFonts w:cs="Arial"/>
        </w:rPr>
        <w:t xml:space="preserve"> This is a consistent pattern that has been seen in every STAKI test and JSC examination.</w:t>
      </w:r>
    </w:p>
    <w:p w14:paraId="5993AA1C" w14:textId="3476C47F" w:rsidR="00221671" w:rsidRDefault="00221671" w:rsidP="00ED0631">
      <w:pPr>
        <w:spacing w:before="140" w:after="140"/>
        <w:jc w:val="both"/>
        <w:rPr>
          <w:rFonts w:cs="Arial"/>
        </w:rPr>
      </w:pPr>
      <w:r w:rsidRPr="00D25E9D">
        <w:rPr>
          <w:rFonts w:cs="Arial"/>
        </w:rPr>
        <w:t xml:space="preserve">The spread of </w:t>
      </w:r>
      <w:r>
        <w:rPr>
          <w:rFonts w:cs="Arial"/>
        </w:rPr>
        <w:t>achievement</w:t>
      </w:r>
      <w:r w:rsidRPr="00D25E9D">
        <w:rPr>
          <w:rFonts w:cs="Arial"/>
        </w:rPr>
        <w:t xml:space="preserve"> f</w:t>
      </w:r>
      <w:r>
        <w:rPr>
          <w:rFonts w:cs="Arial"/>
        </w:rPr>
        <w:t>or each gender is shown in Fig 24</w:t>
      </w:r>
      <w:r w:rsidRPr="00D25E9D">
        <w:rPr>
          <w:rFonts w:cs="Arial"/>
        </w:rPr>
        <w:t>. The variation in performance between the boys and the girls is statistically significant.</w:t>
      </w:r>
    </w:p>
    <w:p w14:paraId="0F474E74" w14:textId="72ACBE9D" w:rsidR="00AA09C7" w:rsidRPr="00752D28" w:rsidRDefault="00AA09C7" w:rsidP="00AA09C7">
      <w:pPr>
        <w:spacing w:before="140" w:after="140"/>
        <w:ind w:left="709" w:hanging="709"/>
        <w:rPr>
          <w:i/>
          <w:sz w:val="18"/>
          <w:szCs w:val="18"/>
        </w:rPr>
      </w:pPr>
      <w:r w:rsidRPr="00752D28">
        <w:rPr>
          <w:i/>
          <w:noProof/>
          <w:sz w:val="18"/>
          <w:lang w:eastAsia="en-AU"/>
        </w:rPr>
        <w:drawing>
          <wp:anchor distT="0" distB="0" distL="114300" distR="114300" simplePos="0" relativeHeight="251821055" behindDoc="0" locked="0" layoutInCell="1" allowOverlap="1" wp14:anchorId="13F9309E" wp14:editId="1408A557">
            <wp:simplePos x="0" y="0"/>
            <wp:positionH relativeFrom="margin">
              <wp:posOffset>-51435</wp:posOffset>
            </wp:positionH>
            <wp:positionV relativeFrom="paragraph">
              <wp:posOffset>221615</wp:posOffset>
            </wp:positionV>
            <wp:extent cx="3566160" cy="2354580"/>
            <wp:effectExtent l="0" t="0" r="15240" b="7620"/>
            <wp:wrapThrough wrapText="bothSides">
              <wp:wrapPolygon edited="0">
                <wp:start x="0" y="0"/>
                <wp:lineTo x="0" y="21495"/>
                <wp:lineTo x="21577" y="21495"/>
                <wp:lineTo x="21577" y="0"/>
                <wp:lineTo x="0" y="0"/>
              </wp:wrapPolygon>
            </wp:wrapThrough>
            <wp:docPr id="84" name="Chart 84" descr="Results are described in the accompanying text." title="Fig 24 Year 8 numeracy performan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r w:rsidRPr="00752D28">
        <w:rPr>
          <w:b/>
          <w:i/>
          <w:sz w:val="18"/>
          <w:szCs w:val="18"/>
        </w:rPr>
        <w:t>Fig 24</w:t>
      </w:r>
      <w:r w:rsidRPr="00752D28">
        <w:rPr>
          <w:i/>
          <w:sz w:val="18"/>
          <w:szCs w:val="18"/>
        </w:rPr>
        <w:tab/>
        <w:t>Year 8 numeracy performance by gender</w:t>
      </w:r>
    </w:p>
    <w:p w14:paraId="10F1CDDD" w14:textId="27FEBD31" w:rsidR="00221671" w:rsidRPr="00C40966" w:rsidRDefault="00221671" w:rsidP="006228D0">
      <w:pPr>
        <w:pStyle w:val="Heading3"/>
      </w:pPr>
      <w:r>
        <w:t>General Observations</w:t>
      </w:r>
    </w:p>
    <w:p w14:paraId="27735B06" w14:textId="1DFC3641" w:rsidR="00221671" w:rsidRDefault="00221671" w:rsidP="006228D0">
      <w:pPr>
        <w:pStyle w:val="ListParagraph"/>
        <w:numPr>
          <w:ilvl w:val="0"/>
          <w:numId w:val="56"/>
        </w:numPr>
        <w:spacing w:before="140" w:beforeAutospacing="0" w:after="140" w:afterAutospacing="0"/>
        <w:contextualSpacing w:val="0"/>
        <w:jc w:val="both"/>
        <w:rPr>
          <w:rFonts w:cs="Arial"/>
          <w:szCs w:val="20"/>
        </w:rPr>
      </w:pPr>
      <w:r>
        <w:rPr>
          <w:rFonts w:cs="Arial"/>
          <w:szCs w:val="20"/>
        </w:rPr>
        <w:t>Only 66</w:t>
      </w:r>
      <w:r w:rsidRPr="00D25E9D">
        <w:rPr>
          <w:rFonts w:cs="Arial"/>
          <w:szCs w:val="20"/>
        </w:rPr>
        <w:t>% of the students are working at a level that can be considered to be 'minimally acceptable' for their year level.</w:t>
      </w:r>
      <w:r>
        <w:rPr>
          <w:rFonts w:cs="Arial"/>
          <w:szCs w:val="20"/>
        </w:rPr>
        <w:t xml:space="preserve"> 34% are not coping with classroom material and being completely 'left behind'.</w:t>
      </w:r>
    </w:p>
    <w:p w14:paraId="0F77B074" w14:textId="77777777" w:rsidR="00221671" w:rsidRPr="000257C2" w:rsidRDefault="00221671" w:rsidP="006228D0">
      <w:pPr>
        <w:pStyle w:val="ListParagraph"/>
        <w:numPr>
          <w:ilvl w:val="0"/>
          <w:numId w:val="56"/>
        </w:numPr>
        <w:spacing w:before="140" w:beforeAutospacing="0" w:after="140" w:afterAutospacing="0"/>
        <w:contextualSpacing w:val="0"/>
        <w:jc w:val="both"/>
        <w:rPr>
          <w:rFonts w:cs="Arial"/>
          <w:szCs w:val="20"/>
        </w:rPr>
      </w:pPr>
      <w:r>
        <w:rPr>
          <w:rFonts w:cs="Arial"/>
          <w:szCs w:val="20"/>
        </w:rPr>
        <w:t>Only 33% of students are working at or above the expected level of achievement</w:t>
      </w:r>
    </w:p>
    <w:p w14:paraId="7DB8F940" w14:textId="77777777" w:rsidR="00221671" w:rsidRPr="00F574AB" w:rsidRDefault="00221671" w:rsidP="006228D0">
      <w:pPr>
        <w:pStyle w:val="ListParagraph"/>
        <w:numPr>
          <w:ilvl w:val="0"/>
          <w:numId w:val="56"/>
        </w:numPr>
        <w:spacing w:before="140" w:beforeAutospacing="0" w:after="140" w:afterAutospacing="0"/>
        <w:contextualSpacing w:val="0"/>
        <w:jc w:val="both"/>
        <w:rPr>
          <w:rFonts w:cs="Arial"/>
          <w:szCs w:val="20"/>
        </w:rPr>
      </w:pPr>
      <w:r w:rsidRPr="00D25E9D">
        <w:rPr>
          <w:rFonts w:cs="Arial"/>
          <w:szCs w:val="20"/>
        </w:rPr>
        <w:t xml:space="preserve">Skills in </w:t>
      </w:r>
      <w:r>
        <w:rPr>
          <w:rFonts w:cs="Arial"/>
          <w:szCs w:val="20"/>
        </w:rPr>
        <w:t>measurement and data</w:t>
      </w:r>
      <w:r w:rsidRPr="00D25E9D">
        <w:rPr>
          <w:rFonts w:cs="Arial"/>
          <w:szCs w:val="20"/>
        </w:rPr>
        <w:t xml:space="preserve"> are the most in need of development.</w:t>
      </w:r>
      <w:r>
        <w:rPr>
          <w:rFonts w:cs="Arial"/>
          <w:szCs w:val="20"/>
        </w:rPr>
        <w:t xml:space="preserve"> This problem was previously observed in the same cohort of students when they were in Year 6 in 2013.</w:t>
      </w:r>
    </w:p>
    <w:p w14:paraId="3C3F0569" w14:textId="77777777" w:rsidR="00221671" w:rsidRDefault="00221671" w:rsidP="006228D0">
      <w:pPr>
        <w:pStyle w:val="ListParagraph"/>
        <w:numPr>
          <w:ilvl w:val="0"/>
          <w:numId w:val="56"/>
        </w:numPr>
        <w:spacing w:before="140" w:beforeAutospacing="0" w:after="140" w:afterAutospacing="0"/>
        <w:contextualSpacing w:val="0"/>
        <w:jc w:val="both"/>
        <w:rPr>
          <w:rFonts w:cs="Arial"/>
          <w:szCs w:val="20"/>
        </w:rPr>
      </w:pPr>
      <w:r w:rsidRPr="00D25E9D">
        <w:rPr>
          <w:rFonts w:cs="Arial"/>
          <w:szCs w:val="20"/>
        </w:rPr>
        <w:t xml:space="preserve">Students in </w:t>
      </w:r>
      <w:r>
        <w:rPr>
          <w:rFonts w:cs="Arial"/>
          <w:szCs w:val="20"/>
        </w:rPr>
        <w:t>South Tarawa are</w:t>
      </w:r>
      <w:r w:rsidRPr="00D25E9D">
        <w:rPr>
          <w:rFonts w:cs="Arial"/>
          <w:szCs w:val="20"/>
        </w:rPr>
        <w:t xml:space="preserve"> performing </w:t>
      </w:r>
      <w:r>
        <w:rPr>
          <w:rFonts w:cs="Arial"/>
          <w:szCs w:val="20"/>
        </w:rPr>
        <w:t xml:space="preserve">poorly </w:t>
      </w:r>
      <w:r w:rsidRPr="00D25E9D">
        <w:rPr>
          <w:rFonts w:cs="Arial"/>
          <w:szCs w:val="20"/>
        </w:rPr>
        <w:t>in comparison to their peers in other districts.</w:t>
      </w:r>
    </w:p>
    <w:p w14:paraId="58BF5C0B" w14:textId="473CE87E" w:rsidR="00221671" w:rsidRPr="00C40966" w:rsidRDefault="00221671" w:rsidP="006228D0">
      <w:pPr>
        <w:pStyle w:val="ListParagraph"/>
        <w:numPr>
          <w:ilvl w:val="0"/>
          <w:numId w:val="56"/>
        </w:numPr>
        <w:spacing w:before="140" w:beforeAutospacing="0" w:after="140" w:afterAutospacing="0"/>
        <w:contextualSpacing w:val="0"/>
        <w:jc w:val="both"/>
      </w:pPr>
      <w:r w:rsidRPr="00307C57">
        <w:rPr>
          <w:rFonts w:cs="Arial"/>
          <w:szCs w:val="20"/>
        </w:rPr>
        <w:t>Girls perform better than boys</w:t>
      </w:r>
      <w:r>
        <w:rPr>
          <w:rFonts w:cs="Arial"/>
          <w:szCs w:val="20"/>
        </w:rPr>
        <w:t>, although the variation is not as marked as in literacy</w:t>
      </w:r>
      <w:r w:rsidR="00AA09C7">
        <w:rPr>
          <w:rFonts w:cs="Arial"/>
          <w:szCs w:val="20"/>
        </w:rPr>
        <w:t>.</w:t>
      </w:r>
    </w:p>
    <w:p w14:paraId="403AF61A" w14:textId="77777777" w:rsidR="00221671" w:rsidRDefault="00221671" w:rsidP="00ED0631">
      <w:pPr>
        <w:spacing w:before="140" w:after="140"/>
        <w:rPr>
          <w:b/>
          <w:color w:val="EB6E08" w:themeColor="text2"/>
        </w:rPr>
      </w:pPr>
      <w:r>
        <w:rPr>
          <w:b/>
          <w:color w:val="EB6E08" w:themeColor="text2"/>
        </w:rPr>
        <w:br w:type="page"/>
      </w:r>
    </w:p>
    <w:p w14:paraId="310010B3" w14:textId="77777777" w:rsidR="00221671" w:rsidRPr="00C40966" w:rsidRDefault="00221671" w:rsidP="002D28B3">
      <w:pPr>
        <w:pStyle w:val="Heading2"/>
      </w:pPr>
      <w:r>
        <w:lastRenderedPageBreak/>
        <w:t>2.9</w:t>
      </w:r>
      <w:r>
        <w:tab/>
      </w:r>
      <w:r w:rsidRPr="00560278">
        <w:t xml:space="preserve">Overall Test </w:t>
      </w:r>
      <w:r>
        <w:t>Observations</w:t>
      </w:r>
    </w:p>
    <w:p w14:paraId="6A8D60EA" w14:textId="77777777" w:rsidR="00221671" w:rsidRPr="00C40966" w:rsidRDefault="00221671" w:rsidP="00ED0631">
      <w:pPr>
        <w:spacing w:before="140" w:after="140"/>
        <w:jc w:val="both"/>
      </w:pPr>
      <w:r w:rsidRPr="00560278">
        <w:t xml:space="preserve">The proportion of students meeting the expected standard since the 2007 test is shown in Table </w:t>
      </w:r>
      <w:r>
        <w:t>10</w:t>
      </w:r>
      <w:r w:rsidRPr="00560278">
        <w:t xml:space="preserve"> below. </w:t>
      </w:r>
    </w:p>
    <w:tbl>
      <w:tblPr>
        <w:tblStyle w:val="MediumShading2-Accent1"/>
        <w:tblW w:w="5000" w:type="pct"/>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954"/>
        <w:gridCol w:w="2394"/>
        <w:gridCol w:w="2394"/>
        <w:gridCol w:w="2394"/>
      </w:tblGrid>
      <w:tr w:rsidR="00221671" w:rsidRPr="00AA09C7" w14:paraId="29F01A94" w14:textId="77777777" w:rsidTr="00AA09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pct"/>
            <w:tcBorders>
              <w:top w:val="none" w:sz="0" w:space="0" w:color="auto"/>
              <w:left w:val="none" w:sz="0" w:space="0" w:color="auto"/>
              <w:bottom w:val="none" w:sz="0" w:space="0" w:color="auto"/>
              <w:right w:val="none" w:sz="0" w:space="0" w:color="auto"/>
            </w:tcBorders>
            <w:shd w:val="clear" w:color="auto" w:fill="A25EA6"/>
          </w:tcPr>
          <w:p w14:paraId="4CCBF28F" w14:textId="77777777" w:rsidR="00221671" w:rsidRPr="00AA09C7" w:rsidRDefault="00221671" w:rsidP="00ED0631">
            <w:pPr>
              <w:spacing w:before="140" w:after="140"/>
              <w:rPr>
                <w:rFonts w:asciiTheme="minorHAnsi" w:hAnsiTheme="minorHAnsi" w:cstheme="minorHAnsi"/>
              </w:rPr>
            </w:pPr>
            <w:r w:rsidRPr="00AA09C7">
              <w:rPr>
                <w:rFonts w:asciiTheme="minorHAnsi" w:hAnsiTheme="minorHAnsi" w:cstheme="minorHAnsi"/>
              </w:rPr>
              <w:t>Year 4</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472533F6"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English</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7947404D"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Te Kiribati</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3D7AC54E"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Numeracy</w:t>
            </w:r>
          </w:p>
        </w:tc>
      </w:tr>
      <w:tr w:rsidR="00221671" w:rsidRPr="00AA09C7" w14:paraId="15447C4F"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single" w:sz="2" w:space="0" w:color="D9D9D9" w:themeColor="background1" w:themeShade="D9"/>
              <w:right w:val="none" w:sz="0" w:space="0" w:color="auto"/>
            </w:tcBorders>
            <w:shd w:val="clear" w:color="auto" w:fill="D9D9D9" w:themeFill="background1" w:themeFillShade="D9"/>
          </w:tcPr>
          <w:p w14:paraId="7B38600D"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2015</w:t>
            </w:r>
          </w:p>
        </w:tc>
        <w:tc>
          <w:tcPr>
            <w:tcW w:w="1310" w:type="pct"/>
            <w:tcBorders>
              <w:bottom w:val="single" w:sz="2" w:space="0" w:color="D9D9D9" w:themeColor="background1" w:themeShade="D9"/>
            </w:tcBorders>
            <w:shd w:val="clear" w:color="auto" w:fill="D9D9D9" w:themeFill="background1" w:themeFillShade="D9"/>
          </w:tcPr>
          <w:p w14:paraId="3CC9CD15"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27%</w:t>
            </w:r>
          </w:p>
        </w:tc>
        <w:tc>
          <w:tcPr>
            <w:tcW w:w="1310" w:type="pct"/>
            <w:tcBorders>
              <w:bottom w:val="single" w:sz="2" w:space="0" w:color="D9D9D9" w:themeColor="background1" w:themeShade="D9"/>
            </w:tcBorders>
          </w:tcPr>
          <w:p w14:paraId="24CD69EF"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42%*</w:t>
            </w:r>
          </w:p>
        </w:tc>
        <w:tc>
          <w:tcPr>
            <w:tcW w:w="1310" w:type="pct"/>
            <w:tcBorders>
              <w:bottom w:val="single" w:sz="2" w:space="0" w:color="D9D9D9" w:themeColor="background1" w:themeShade="D9"/>
            </w:tcBorders>
          </w:tcPr>
          <w:p w14:paraId="7765BE5A"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78%*</w:t>
            </w:r>
          </w:p>
        </w:tc>
      </w:tr>
      <w:tr w:rsidR="00221671" w:rsidRPr="00AA09C7" w14:paraId="3C44B752" w14:textId="77777777" w:rsidTr="00AA09C7">
        <w:tc>
          <w:tcPr>
            <w:cnfStyle w:val="001000000000" w:firstRow="0" w:lastRow="0" w:firstColumn="1" w:lastColumn="0" w:oddVBand="0" w:evenVBand="0" w:oddHBand="0" w:evenHBand="0" w:firstRowFirstColumn="0" w:firstRowLastColumn="0" w:lastRowFirstColumn="0" w:lastRowLastColumn="0"/>
            <w:tcW w:w="106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Pr>
          <w:p w14:paraId="7F618EAE"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2013</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CAB9AF3"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31%</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E64524A"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59%</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9B5BDF2"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27%</w:t>
            </w:r>
          </w:p>
        </w:tc>
      </w:tr>
      <w:tr w:rsidR="00221671" w:rsidRPr="00AA09C7" w14:paraId="00E1DB08"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339866D"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PILNA 2012</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E6E1EF"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16%</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765B99"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BA4EB3F"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40%</w:t>
            </w:r>
          </w:p>
        </w:tc>
      </w:tr>
      <w:tr w:rsidR="00221671" w:rsidRPr="00AA09C7" w14:paraId="712B312B" w14:textId="77777777" w:rsidTr="00AA09C7">
        <w:tc>
          <w:tcPr>
            <w:cnfStyle w:val="001000000000" w:firstRow="0" w:lastRow="0" w:firstColumn="1" w:lastColumn="0" w:oddVBand="0" w:evenVBand="0" w:oddHBand="0" w:evenHBand="0" w:firstRowFirstColumn="0" w:firstRowLastColumn="0" w:lastRowFirstColumn="0" w:lastRowLastColumn="0"/>
            <w:tcW w:w="106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Pr>
          <w:p w14:paraId="739C8138"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2011</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6162DD7"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29%</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BE97716"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62%</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68A42A3"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38%</w:t>
            </w:r>
          </w:p>
        </w:tc>
      </w:tr>
      <w:tr w:rsidR="00221671" w:rsidRPr="00AA09C7" w14:paraId="3D9AAF35"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10A232D"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2009</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CF44633"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39%</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235C5A0"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60%</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EB86AF"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30%</w:t>
            </w:r>
          </w:p>
        </w:tc>
      </w:tr>
      <w:tr w:rsidR="00221671" w:rsidRPr="00AA09C7" w14:paraId="0F322DA8" w14:textId="77777777" w:rsidTr="00AA09C7">
        <w:tc>
          <w:tcPr>
            <w:cnfStyle w:val="001000000000" w:firstRow="0" w:lastRow="0" w:firstColumn="1" w:lastColumn="0" w:oddVBand="0" w:evenVBand="0" w:oddHBand="0" w:evenHBand="0" w:firstRowFirstColumn="0" w:firstRowLastColumn="0" w:lastRowFirstColumn="0" w:lastRowLastColumn="0"/>
            <w:tcW w:w="1069"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tcPr>
          <w:p w14:paraId="7240509A"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2007</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86127AC"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27%</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23BB18D"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53%</w:t>
            </w:r>
          </w:p>
        </w:tc>
        <w:tc>
          <w:tcPr>
            <w:tcW w:w="131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7172D50"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22%</w:t>
            </w:r>
          </w:p>
        </w:tc>
      </w:tr>
    </w:tbl>
    <w:p w14:paraId="130E4679" w14:textId="77777777" w:rsidR="00221671" w:rsidRPr="00EE63C6" w:rsidRDefault="00221671" w:rsidP="00ED0631">
      <w:pPr>
        <w:spacing w:before="140" w:after="140"/>
        <w:rPr>
          <w:sz w:val="2"/>
          <w:szCs w:val="2"/>
        </w:rPr>
      </w:pPr>
    </w:p>
    <w:tbl>
      <w:tblPr>
        <w:tblStyle w:val="MediumShading2-Accent1"/>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954"/>
        <w:gridCol w:w="2394"/>
        <w:gridCol w:w="2394"/>
        <w:gridCol w:w="2394"/>
      </w:tblGrid>
      <w:tr w:rsidR="00221671" w:rsidRPr="00560278" w14:paraId="7939E12B" w14:textId="77777777" w:rsidTr="00AA09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pct"/>
            <w:tcBorders>
              <w:top w:val="none" w:sz="0" w:space="0" w:color="auto"/>
              <w:left w:val="none" w:sz="0" w:space="0" w:color="auto"/>
              <w:bottom w:val="none" w:sz="0" w:space="0" w:color="auto"/>
              <w:right w:val="none" w:sz="0" w:space="0" w:color="auto"/>
            </w:tcBorders>
            <w:shd w:val="clear" w:color="auto" w:fill="A25EA6"/>
          </w:tcPr>
          <w:p w14:paraId="25B24B87" w14:textId="77777777" w:rsidR="00221671" w:rsidRPr="00AA09C7" w:rsidRDefault="00221671" w:rsidP="00ED0631">
            <w:pPr>
              <w:spacing w:before="140" w:after="140"/>
              <w:rPr>
                <w:rFonts w:asciiTheme="minorHAnsi" w:hAnsiTheme="minorHAnsi" w:cstheme="minorHAnsi"/>
              </w:rPr>
            </w:pPr>
            <w:r w:rsidRPr="00AA09C7">
              <w:rPr>
                <w:rFonts w:asciiTheme="minorHAnsi" w:hAnsiTheme="minorHAnsi" w:cstheme="minorHAnsi"/>
              </w:rPr>
              <w:t>Year 6</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44083D07"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English</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0B1A1E39"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Te Kiribati</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04061AAC"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Numeracy</w:t>
            </w:r>
          </w:p>
        </w:tc>
      </w:tr>
      <w:tr w:rsidR="00221671" w:rsidRPr="00560278" w14:paraId="458B0DA0"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D9D9D9" w:themeFill="background1" w:themeFillShade="D9"/>
          </w:tcPr>
          <w:p w14:paraId="3C8020AA"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2015</w:t>
            </w:r>
          </w:p>
        </w:tc>
        <w:tc>
          <w:tcPr>
            <w:tcW w:w="1310" w:type="pct"/>
          </w:tcPr>
          <w:p w14:paraId="1A71DEEB"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37%*</w:t>
            </w:r>
          </w:p>
        </w:tc>
        <w:tc>
          <w:tcPr>
            <w:tcW w:w="1310" w:type="pct"/>
          </w:tcPr>
          <w:p w14:paraId="1D81A9F3"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55%</w:t>
            </w:r>
          </w:p>
        </w:tc>
        <w:tc>
          <w:tcPr>
            <w:tcW w:w="1310" w:type="pct"/>
          </w:tcPr>
          <w:p w14:paraId="12619B2F"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54%*</w:t>
            </w:r>
          </w:p>
        </w:tc>
      </w:tr>
      <w:tr w:rsidR="00221671" w:rsidRPr="00560278" w14:paraId="2BB9C7BF" w14:textId="77777777" w:rsidTr="00AA09C7">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auto"/>
          </w:tcPr>
          <w:p w14:paraId="02968BC5"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2013</w:t>
            </w:r>
          </w:p>
        </w:tc>
        <w:tc>
          <w:tcPr>
            <w:tcW w:w="1310" w:type="pct"/>
          </w:tcPr>
          <w:p w14:paraId="647CB378"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23%</w:t>
            </w:r>
          </w:p>
        </w:tc>
        <w:tc>
          <w:tcPr>
            <w:tcW w:w="1310" w:type="pct"/>
          </w:tcPr>
          <w:p w14:paraId="1EFDF790"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50%</w:t>
            </w:r>
          </w:p>
        </w:tc>
        <w:tc>
          <w:tcPr>
            <w:tcW w:w="1310" w:type="pct"/>
          </w:tcPr>
          <w:p w14:paraId="100F0830"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20%</w:t>
            </w:r>
          </w:p>
        </w:tc>
      </w:tr>
      <w:tr w:rsidR="00221671" w:rsidRPr="00560278" w14:paraId="78567917"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D9D9D9" w:themeFill="background1" w:themeFillShade="D9"/>
          </w:tcPr>
          <w:p w14:paraId="1130A79B"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PILNA 2012</w:t>
            </w:r>
          </w:p>
        </w:tc>
        <w:tc>
          <w:tcPr>
            <w:tcW w:w="1310" w:type="pct"/>
          </w:tcPr>
          <w:p w14:paraId="129AA826"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23%</w:t>
            </w:r>
          </w:p>
        </w:tc>
        <w:tc>
          <w:tcPr>
            <w:tcW w:w="1310" w:type="pct"/>
          </w:tcPr>
          <w:p w14:paraId="52316E2E"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10" w:type="pct"/>
          </w:tcPr>
          <w:p w14:paraId="4D5CB347"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34%</w:t>
            </w:r>
          </w:p>
        </w:tc>
      </w:tr>
      <w:tr w:rsidR="00221671" w:rsidRPr="00560278" w14:paraId="09793722" w14:textId="77777777" w:rsidTr="00AA09C7">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auto"/>
          </w:tcPr>
          <w:p w14:paraId="28706071"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2011</w:t>
            </w:r>
          </w:p>
        </w:tc>
        <w:tc>
          <w:tcPr>
            <w:tcW w:w="1310" w:type="pct"/>
          </w:tcPr>
          <w:p w14:paraId="7A3096E7"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22%</w:t>
            </w:r>
          </w:p>
        </w:tc>
        <w:tc>
          <w:tcPr>
            <w:tcW w:w="1310" w:type="pct"/>
          </w:tcPr>
          <w:p w14:paraId="351A238A"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60%</w:t>
            </w:r>
          </w:p>
        </w:tc>
        <w:tc>
          <w:tcPr>
            <w:tcW w:w="1310" w:type="pct"/>
          </w:tcPr>
          <w:p w14:paraId="46D23648"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18%</w:t>
            </w:r>
          </w:p>
        </w:tc>
      </w:tr>
      <w:tr w:rsidR="00221671" w:rsidRPr="00560278" w14:paraId="477B6CA5"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D9D9D9" w:themeFill="background1" w:themeFillShade="D9"/>
          </w:tcPr>
          <w:p w14:paraId="0A44D810"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2009</w:t>
            </w:r>
          </w:p>
        </w:tc>
        <w:tc>
          <w:tcPr>
            <w:tcW w:w="1310" w:type="pct"/>
          </w:tcPr>
          <w:p w14:paraId="0E21A6F2"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32%</w:t>
            </w:r>
          </w:p>
        </w:tc>
        <w:tc>
          <w:tcPr>
            <w:tcW w:w="1310" w:type="pct"/>
          </w:tcPr>
          <w:p w14:paraId="3C0E502E"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56%</w:t>
            </w:r>
          </w:p>
        </w:tc>
        <w:tc>
          <w:tcPr>
            <w:tcW w:w="1310" w:type="pct"/>
          </w:tcPr>
          <w:p w14:paraId="0C26CC61"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16%</w:t>
            </w:r>
          </w:p>
        </w:tc>
      </w:tr>
      <w:tr w:rsidR="00221671" w:rsidRPr="00560278" w14:paraId="1D56FF8A" w14:textId="77777777" w:rsidTr="00AA09C7">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auto"/>
          </w:tcPr>
          <w:p w14:paraId="6503D3C0" w14:textId="77777777" w:rsidR="00221671" w:rsidRPr="00AA09C7" w:rsidRDefault="00221671" w:rsidP="00ED0631">
            <w:pPr>
              <w:spacing w:before="140" w:after="140"/>
              <w:rPr>
                <w:rFonts w:asciiTheme="minorHAnsi" w:hAnsiTheme="minorHAnsi" w:cstheme="minorHAnsi"/>
                <w:color w:val="auto"/>
              </w:rPr>
            </w:pPr>
            <w:r w:rsidRPr="00AA09C7">
              <w:rPr>
                <w:rFonts w:asciiTheme="minorHAnsi" w:hAnsiTheme="minorHAnsi" w:cstheme="minorHAnsi"/>
                <w:color w:val="auto"/>
              </w:rPr>
              <w:t>STAKI 2007</w:t>
            </w:r>
          </w:p>
        </w:tc>
        <w:tc>
          <w:tcPr>
            <w:tcW w:w="1310" w:type="pct"/>
          </w:tcPr>
          <w:p w14:paraId="5EDF5679"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A09C7">
              <w:rPr>
                <w:rFonts w:asciiTheme="minorHAnsi" w:hAnsiTheme="minorHAnsi" w:cstheme="minorHAnsi"/>
                <w:b/>
                <w:bCs/>
              </w:rPr>
              <w:t>14%</w:t>
            </w:r>
          </w:p>
        </w:tc>
        <w:tc>
          <w:tcPr>
            <w:tcW w:w="1310" w:type="pct"/>
          </w:tcPr>
          <w:p w14:paraId="3905451C"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A09C7">
              <w:rPr>
                <w:rFonts w:asciiTheme="minorHAnsi" w:hAnsiTheme="minorHAnsi" w:cstheme="minorHAnsi"/>
                <w:b/>
                <w:bCs/>
              </w:rPr>
              <w:t>49%</w:t>
            </w:r>
          </w:p>
        </w:tc>
        <w:tc>
          <w:tcPr>
            <w:tcW w:w="1310" w:type="pct"/>
          </w:tcPr>
          <w:p w14:paraId="1A392541" w14:textId="77777777" w:rsidR="00221671" w:rsidRPr="00AA09C7" w:rsidRDefault="00221671" w:rsidP="00ED0631">
            <w:pPr>
              <w:spacing w:before="140" w:after="1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AA09C7">
              <w:rPr>
                <w:rFonts w:asciiTheme="minorHAnsi" w:hAnsiTheme="minorHAnsi" w:cstheme="minorHAnsi"/>
                <w:b/>
                <w:bCs/>
              </w:rPr>
              <w:t>17%</w:t>
            </w:r>
          </w:p>
        </w:tc>
      </w:tr>
    </w:tbl>
    <w:p w14:paraId="2D960B34" w14:textId="77777777" w:rsidR="00221671" w:rsidRPr="00EE63C6" w:rsidRDefault="00221671" w:rsidP="00ED0631">
      <w:pPr>
        <w:spacing w:before="140" w:after="140"/>
        <w:rPr>
          <w:i/>
          <w:sz w:val="2"/>
          <w:szCs w:val="2"/>
        </w:rPr>
      </w:pPr>
    </w:p>
    <w:tbl>
      <w:tblPr>
        <w:tblStyle w:val="MediumShading2-Accent1"/>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954"/>
        <w:gridCol w:w="2394"/>
        <w:gridCol w:w="2394"/>
        <w:gridCol w:w="2394"/>
      </w:tblGrid>
      <w:tr w:rsidR="00221671" w:rsidRPr="00AA09C7" w14:paraId="4C163315" w14:textId="77777777" w:rsidTr="00AA09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69" w:type="pct"/>
            <w:tcBorders>
              <w:top w:val="none" w:sz="0" w:space="0" w:color="auto"/>
              <w:left w:val="none" w:sz="0" w:space="0" w:color="auto"/>
              <w:bottom w:val="none" w:sz="0" w:space="0" w:color="auto"/>
              <w:right w:val="none" w:sz="0" w:space="0" w:color="auto"/>
            </w:tcBorders>
            <w:shd w:val="clear" w:color="auto" w:fill="A25EA6"/>
          </w:tcPr>
          <w:p w14:paraId="70389AF6" w14:textId="77777777" w:rsidR="00221671" w:rsidRPr="00AA09C7" w:rsidRDefault="00221671" w:rsidP="00ED0631">
            <w:pPr>
              <w:spacing w:before="140" w:after="140"/>
              <w:rPr>
                <w:rFonts w:asciiTheme="minorHAnsi" w:hAnsiTheme="minorHAnsi" w:cstheme="minorHAnsi"/>
              </w:rPr>
            </w:pPr>
            <w:r w:rsidRPr="00AA09C7">
              <w:rPr>
                <w:rFonts w:asciiTheme="minorHAnsi" w:hAnsiTheme="minorHAnsi" w:cstheme="minorHAnsi"/>
              </w:rPr>
              <w:t>Year 8</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469DBDBD"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English</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2C84C491"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Te Kiribati</w:t>
            </w:r>
          </w:p>
        </w:tc>
        <w:tc>
          <w:tcPr>
            <w:tcW w:w="1310" w:type="pct"/>
            <w:tcBorders>
              <w:top w:val="none" w:sz="0" w:space="0" w:color="auto"/>
              <w:left w:val="none" w:sz="0" w:space="0" w:color="auto"/>
              <w:bottom w:val="none" w:sz="0" w:space="0" w:color="auto"/>
              <w:right w:val="none" w:sz="0" w:space="0" w:color="auto"/>
            </w:tcBorders>
            <w:shd w:val="clear" w:color="auto" w:fill="A25EA6"/>
          </w:tcPr>
          <w:p w14:paraId="7C75BE65" w14:textId="77777777" w:rsidR="00221671" w:rsidRPr="00AA09C7"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Numeracy</w:t>
            </w:r>
          </w:p>
        </w:tc>
      </w:tr>
      <w:tr w:rsidR="00221671" w:rsidRPr="00AA09C7" w14:paraId="01826B1F" w14:textId="77777777" w:rsidTr="00AA0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Borders>
              <w:left w:val="none" w:sz="0" w:space="0" w:color="auto"/>
              <w:bottom w:val="none" w:sz="0" w:space="0" w:color="auto"/>
              <w:right w:val="none" w:sz="0" w:space="0" w:color="auto"/>
            </w:tcBorders>
            <w:shd w:val="clear" w:color="auto" w:fill="D9D9D9" w:themeFill="background1" w:themeFillShade="D9"/>
          </w:tcPr>
          <w:p w14:paraId="0AB2995A" w14:textId="77777777" w:rsidR="00221671" w:rsidRPr="00AA09C7" w:rsidRDefault="00221671" w:rsidP="00ED0631">
            <w:pPr>
              <w:spacing w:before="140" w:after="140"/>
              <w:rPr>
                <w:rFonts w:asciiTheme="minorHAnsi" w:hAnsiTheme="minorHAnsi" w:cstheme="minorHAnsi"/>
              </w:rPr>
            </w:pPr>
            <w:r w:rsidRPr="00AA09C7">
              <w:rPr>
                <w:rFonts w:asciiTheme="minorHAnsi" w:hAnsiTheme="minorHAnsi" w:cstheme="minorHAnsi"/>
                <w:color w:val="auto"/>
              </w:rPr>
              <w:t>STAKI 2015</w:t>
            </w:r>
          </w:p>
        </w:tc>
        <w:tc>
          <w:tcPr>
            <w:tcW w:w="1310" w:type="pct"/>
          </w:tcPr>
          <w:p w14:paraId="00B1DAAE"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8"/>
                <w:szCs w:val="8"/>
              </w:rPr>
            </w:pPr>
            <w:r w:rsidRPr="00AA09C7">
              <w:rPr>
                <w:rFonts w:asciiTheme="minorHAnsi" w:hAnsiTheme="minorHAnsi" w:cstheme="minorHAnsi"/>
              </w:rPr>
              <w:t>20%</w:t>
            </w:r>
          </w:p>
        </w:tc>
        <w:tc>
          <w:tcPr>
            <w:tcW w:w="1310" w:type="pct"/>
          </w:tcPr>
          <w:p w14:paraId="421EF58A"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73%</w:t>
            </w:r>
          </w:p>
        </w:tc>
        <w:tc>
          <w:tcPr>
            <w:tcW w:w="1310" w:type="pct"/>
          </w:tcPr>
          <w:p w14:paraId="38BE8F0B" w14:textId="77777777" w:rsidR="00221671" w:rsidRPr="00AA09C7" w:rsidRDefault="00221671" w:rsidP="00ED0631">
            <w:pPr>
              <w:spacing w:before="140" w:after="1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A09C7">
              <w:rPr>
                <w:rFonts w:asciiTheme="minorHAnsi" w:hAnsiTheme="minorHAnsi" w:cstheme="minorHAnsi"/>
              </w:rPr>
              <w:t>33%</w:t>
            </w:r>
          </w:p>
        </w:tc>
      </w:tr>
    </w:tbl>
    <w:p w14:paraId="03543ABD" w14:textId="77777777" w:rsidR="00221671" w:rsidRPr="00C40966" w:rsidRDefault="00221671" w:rsidP="00ED0631">
      <w:pPr>
        <w:spacing w:before="140" w:after="140"/>
        <w:ind w:left="1276" w:right="415" w:hanging="992"/>
        <w:rPr>
          <w:i/>
          <w:sz w:val="18"/>
          <w:szCs w:val="18"/>
        </w:rPr>
      </w:pPr>
      <w:r w:rsidRPr="00BC2781">
        <w:rPr>
          <w:b/>
          <w:i/>
          <w:sz w:val="18"/>
          <w:szCs w:val="18"/>
        </w:rPr>
        <w:t>Table 10</w:t>
      </w:r>
      <w:r w:rsidRPr="00BC2781">
        <w:rPr>
          <w:i/>
          <w:sz w:val="18"/>
          <w:szCs w:val="18"/>
        </w:rPr>
        <w:t>.</w:t>
      </w:r>
      <w:r w:rsidRPr="00BC2781">
        <w:rPr>
          <w:i/>
          <w:sz w:val="18"/>
          <w:szCs w:val="18"/>
        </w:rPr>
        <w:tab/>
        <w:t>Percentage of students demonstrating achievement at t</w:t>
      </w:r>
      <w:r>
        <w:rPr>
          <w:i/>
          <w:sz w:val="18"/>
          <w:szCs w:val="18"/>
        </w:rPr>
        <w:t>he expected standard 2007 -</w:t>
      </w:r>
      <w:r w:rsidRPr="00BC2781">
        <w:rPr>
          <w:i/>
          <w:sz w:val="18"/>
          <w:szCs w:val="18"/>
        </w:rPr>
        <w:t>2015</w:t>
      </w:r>
    </w:p>
    <w:p w14:paraId="515E1A29" w14:textId="77777777" w:rsidR="00221671" w:rsidRDefault="00221671" w:rsidP="00ED0631">
      <w:pPr>
        <w:spacing w:before="140" w:after="140"/>
        <w:jc w:val="both"/>
      </w:pPr>
      <w:r>
        <w:t xml:space="preserve">The results from the numeracy tests indicate a major improvement in student performance at the primary school level. </w:t>
      </w:r>
    </w:p>
    <w:p w14:paraId="221E7065" w14:textId="77777777" w:rsidR="00221671" w:rsidRDefault="00221671" w:rsidP="00ED0631">
      <w:pPr>
        <w:spacing w:before="140" w:after="140"/>
        <w:jc w:val="both"/>
      </w:pPr>
      <w:r>
        <w:t>Primary school literacy is less conclusive, with English stable in Year 4 and improving in Year 6. Te-Kiribati appears stable in year 6 and has declined in Year 4, however there were significant variations between the 2015 test and earlier tests.</w:t>
      </w:r>
    </w:p>
    <w:p w14:paraId="04CAA797" w14:textId="77777777" w:rsidR="00221671" w:rsidRDefault="00221671" w:rsidP="00ED0631">
      <w:pPr>
        <w:spacing w:before="140" w:after="140"/>
        <w:jc w:val="both"/>
      </w:pPr>
      <w:r>
        <w:t>Year 8 results are consistent with the comparable JSC examinations.</w:t>
      </w:r>
    </w:p>
    <w:p w14:paraId="6D8BF79C" w14:textId="77777777" w:rsidR="00221671" w:rsidRPr="00407F1D" w:rsidRDefault="00221671" w:rsidP="00ED0631">
      <w:pPr>
        <w:spacing w:before="140" w:after="140"/>
        <w:ind w:left="720" w:hanging="720"/>
        <w:jc w:val="both"/>
        <w:rPr>
          <w:i/>
        </w:rPr>
      </w:pPr>
      <w:r>
        <w:rPr>
          <w:i/>
        </w:rPr>
        <w:t>Note *</w:t>
      </w:r>
      <w:r>
        <w:rPr>
          <w:i/>
        </w:rPr>
        <w:tab/>
      </w:r>
      <w:r w:rsidRPr="005717F4">
        <w:rPr>
          <w:i/>
        </w:rPr>
        <w:t>The student results of the four tests that were also a part of the PILNA programme have been analysed using standards and expectations set locally. At the time of preparation there was no information available about the expected standards that will be applied by EQAP in their analysis. Accordingly, it is very likely that figures published as a part of the PILNA report will di</w:t>
      </w:r>
      <w:r>
        <w:rPr>
          <w:i/>
        </w:rPr>
        <w:t>ffer from those in this report.</w:t>
      </w:r>
    </w:p>
    <w:p w14:paraId="2DA71EDF" w14:textId="77777777" w:rsidR="00221671" w:rsidRPr="002D28B3" w:rsidRDefault="00221671" w:rsidP="002D28B3">
      <w:pPr>
        <w:pStyle w:val="Heading1"/>
      </w:pPr>
      <w:r w:rsidRPr="00560278">
        <w:br w:type="page"/>
      </w:r>
      <w:r w:rsidRPr="002D28B3">
        <w:lastRenderedPageBreak/>
        <w:t>3.</w:t>
      </w:r>
      <w:r w:rsidRPr="002D28B3">
        <w:tab/>
      </w:r>
      <w:r w:rsidRPr="002D28B3">
        <w:rPr>
          <w:rStyle w:val="Heading2Char"/>
          <w:b/>
          <w:color w:val="A25EA6"/>
          <w:spacing w:val="0"/>
          <w:sz w:val="40"/>
          <w:szCs w:val="40"/>
        </w:rPr>
        <w:t>Findings</w:t>
      </w:r>
    </w:p>
    <w:p w14:paraId="7F582CF2" w14:textId="77777777" w:rsidR="00221671" w:rsidRPr="00E27077" w:rsidRDefault="00221671" w:rsidP="00ED0631">
      <w:pPr>
        <w:spacing w:before="140" w:after="140"/>
        <w:jc w:val="both"/>
        <w:rPr>
          <w:rFonts w:cs="Arial"/>
        </w:rPr>
      </w:pPr>
      <w:r w:rsidRPr="00E27077">
        <w:rPr>
          <w:rFonts w:cs="Arial"/>
        </w:rPr>
        <w:t>The following issues stand out and need to be considered by policy-</w:t>
      </w:r>
      <w:r>
        <w:rPr>
          <w:rFonts w:cs="Arial"/>
        </w:rPr>
        <w:t>makers and other stakeholders -</w:t>
      </w:r>
    </w:p>
    <w:p w14:paraId="74C13B3E" w14:textId="77777777" w:rsidR="00221671" w:rsidRDefault="00221671" w:rsidP="00ED0631">
      <w:pPr>
        <w:spacing w:before="140" w:after="140"/>
        <w:jc w:val="both"/>
        <w:rPr>
          <w:rFonts w:cs="Arial"/>
        </w:rPr>
      </w:pPr>
      <w:r>
        <w:rPr>
          <w:rFonts w:cs="Arial"/>
        </w:rPr>
        <w:t>Girls perform better than boys in all tests. In te-Kiribati, where comparisons were technically possible, Year 6 girls are performing at levels similar to Year 8 boys.</w:t>
      </w:r>
    </w:p>
    <w:p w14:paraId="340AB921" w14:textId="77777777" w:rsidR="00221671" w:rsidRDefault="00221671" w:rsidP="00ED0631">
      <w:pPr>
        <w:spacing w:before="140" w:after="140"/>
        <w:rPr>
          <w:rFonts w:cs="Arial"/>
        </w:rPr>
      </w:pPr>
      <w:r>
        <w:rPr>
          <w:rFonts w:cs="Arial"/>
        </w:rPr>
        <w:t xml:space="preserve">A larger proportion of student enrolments were present for the tests than in 2013. Year 4 attendance increased by 13% as it went from 76% in 2013 to 89% in 2015.  Year 6 improved from 79% to 88%. This suggests that daily attendance is improving. </w:t>
      </w:r>
    </w:p>
    <w:p w14:paraId="1A6CE75B" w14:textId="77777777" w:rsidR="00221671" w:rsidRDefault="00221671" w:rsidP="00ED0631">
      <w:pPr>
        <w:spacing w:before="140" w:after="140"/>
        <w:rPr>
          <w:rFonts w:cs="Arial"/>
        </w:rPr>
      </w:pPr>
      <w:r>
        <w:rPr>
          <w:rFonts w:cs="Arial"/>
        </w:rPr>
        <w:t>English literacy</w:t>
      </w:r>
    </w:p>
    <w:p w14:paraId="5EF442A8" w14:textId="77777777" w:rsidR="00221671" w:rsidRPr="002B4C68"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2B4C68">
        <w:rPr>
          <w:rFonts w:cs="Arial"/>
          <w:szCs w:val="20"/>
        </w:rPr>
        <w:t>In year 4 at 27% there has been little change in the percentage of students achieving the expected overall standard however, 70% of the students are working at a level that can be considered to be 'minimally acceptable' for their year level.</w:t>
      </w:r>
    </w:p>
    <w:p w14:paraId="5BAE1480" w14:textId="77777777" w:rsidR="00221671"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Pr>
          <w:rFonts w:cs="Arial"/>
          <w:szCs w:val="20"/>
        </w:rPr>
        <w:t>t</w:t>
      </w:r>
      <w:r w:rsidRPr="006F7ADB">
        <w:rPr>
          <w:rFonts w:cs="Arial"/>
          <w:szCs w:val="20"/>
        </w:rPr>
        <w:t>he proportion of very weak student performances</w:t>
      </w:r>
      <w:r>
        <w:rPr>
          <w:rFonts w:cs="Arial"/>
          <w:szCs w:val="20"/>
        </w:rPr>
        <w:t xml:space="preserve"> in Year 4 has</w:t>
      </w:r>
      <w:r w:rsidRPr="006F7ADB">
        <w:rPr>
          <w:rFonts w:cs="Arial"/>
          <w:szCs w:val="20"/>
        </w:rPr>
        <w:t xml:space="preserve"> declined. This may reflect improved classroom engagement resulting from improved curriculum and pedagogy; an improved attitude towards and familiarity with testing or a combination of tho</w:t>
      </w:r>
      <w:r>
        <w:rPr>
          <w:rFonts w:cs="Arial"/>
          <w:szCs w:val="20"/>
        </w:rPr>
        <w:t>se and other factors.</w:t>
      </w:r>
    </w:p>
    <w:p w14:paraId="40555ACD" w14:textId="77777777" w:rsidR="00221671" w:rsidRPr="002B4C68"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2B4C68">
        <w:rPr>
          <w:rFonts w:cs="Arial"/>
          <w:szCs w:val="20"/>
        </w:rPr>
        <w:t>In Year 6 the percentage of students achieving the expected overall standard has increased to 37% of students from 21% in 2013 and 81% of the students are working at a level that can be considered to be 'minimally acceptable' for their year level.</w:t>
      </w:r>
    </w:p>
    <w:p w14:paraId="25893E52" w14:textId="77777777" w:rsidR="00221671"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2B4C68">
        <w:rPr>
          <w:rFonts w:cs="Arial"/>
          <w:szCs w:val="20"/>
        </w:rPr>
        <w:t>In Year 8 only</w:t>
      </w:r>
      <w:r>
        <w:rPr>
          <w:rFonts w:cs="Arial"/>
          <w:szCs w:val="20"/>
        </w:rPr>
        <w:t xml:space="preserve"> 20% of students are working at their expected level and just</w:t>
      </w:r>
      <w:r w:rsidRPr="002B4C68">
        <w:rPr>
          <w:rFonts w:cs="Arial"/>
          <w:szCs w:val="20"/>
        </w:rPr>
        <w:t xml:space="preserve"> 56% of the students are working at a level that can be considered to be 'minimally acceptable' for their year level.</w:t>
      </w:r>
    </w:p>
    <w:p w14:paraId="1D288D15" w14:textId="66814EF0" w:rsidR="00221671" w:rsidRPr="00407F1D" w:rsidRDefault="002D28B3" w:rsidP="00AE24CE">
      <w:pPr>
        <w:pStyle w:val="ListParagraph"/>
        <w:numPr>
          <w:ilvl w:val="0"/>
          <w:numId w:val="28"/>
        </w:numPr>
        <w:spacing w:before="140" w:beforeAutospacing="0" w:after="140" w:afterAutospacing="0"/>
        <w:ind w:left="714" w:hanging="357"/>
        <w:contextualSpacing w:val="0"/>
        <w:jc w:val="both"/>
        <w:rPr>
          <w:rFonts w:cs="Arial"/>
          <w:szCs w:val="20"/>
        </w:rPr>
      </w:pPr>
      <w:r>
        <w:rPr>
          <w:rFonts w:cs="Arial"/>
          <w:szCs w:val="20"/>
        </w:rPr>
        <w:t>S</w:t>
      </w:r>
      <w:r w:rsidR="00221671" w:rsidRPr="006F7ADB">
        <w:rPr>
          <w:rFonts w:cs="Arial"/>
          <w:szCs w:val="20"/>
        </w:rPr>
        <w:t xml:space="preserve">kills in understanding and interpreting written </w:t>
      </w:r>
      <w:r w:rsidR="00221671">
        <w:rPr>
          <w:rFonts w:cs="Arial"/>
          <w:szCs w:val="20"/>
        </w:rPr>
        <w:t xml:space="preserve">texts, including </w:t>
      </w:r>
      <w:r w:rsidR="00221671" w:rsidRPr="006F7ADB">
        <w:rPr>
          <w:rFonts w:cs="Arial"/>
          <w:szCs w:val="20"/>
        </w:rPr>
        <w:t>instructions</w:t>
      </w:r>
      <w:r w:rsidR="00221671">
        <w:rPr>
          <w:rFonts w:cs="Arial"/>
          <w:szCs w:val="20"/>
        </w:rPr>
        <w:t>,</w:t>
      </w:r>
      <w:r w:rsidR="00221671" w:rsidRPr="006F7ADB">
        <w:rPr>
          <w:rFonts w:cs="Arial"/>
          <w:szCs w:val="20"/>
        </w:rPr>
        <w:t xml:space="preserve"> are the most in need of development.</w:t>
      </w:r>
    </w:p>
    <w:p w14:paraId="37B9286F" w14:textId="77777777" w:rsidR="00221671" w:rsidRDefault="00221671" w:rsidP="00ED0631">
      <w:pPr>
        <w:spacing w:before="140" w:after="140"/>
        <w:rPr>
          <w:rFonts w:cs="Arial"/>
        </w:rPr>
      </w:pPr>
      <w:r>
        <w:rPr>
          <w:rFonts w:cs="Arial"/>
        </w:rPr>
        <w:t>Te-K</w:t>
      </w:r>
      <w:r w:rsidRPr="006F7ADB">
        <w:rPr>
          <w:rFonts w:cs="Arial"/>
        </w:rPr>
        <w:t>iribati</w:t>
      </w:r>
      <w:r>
        <w:rPr>
          <w:rFonts w:cs="Arial"/>
        </w:rPr>
        <w:t xml:space="preserve"> literacy</w:t>
      </w:r>
    </w:p>
    <w:p w14:paraId="555100F1" w14:textId="62A09E89" w:rsidR="00221671" w:rsidRPr="006F7ADB" w:rsidRDefault="002D28B3" w:rsidP="00AE24CE">
      <w:pPr>
        <w:pStyle w:val="ListParagraph"/>
        <w:numPr>
          <w:ilvl w:val="0"/>
          <w:numId w:val="28"/>
        </w:numPr>
        <w:spacing w:before="140" w:beforeAutospacing="0" w:after="140" w:afterAutospacing="0"/>
        <w:ind w:left="714" w:hanging="357"/>
        <w:contextualSpacing w:val="0"/>
        <w:jc w:val="both"/>
        <w:rPr>
          <w:rFonts w:cs="Arial"/>
          <w:szCs w:val="20"/>
        </w:rPr>
      </w:pPr>
      <w:r>
        <w:rPr>
          <w:rFonts w:cs="Arial"/>
          <w:szCs w:val="20"/>
        </w:rPr>
        <w:t>A</w:t>
      </w:r>
      <w:r w:rsidR="00221671">
        <w:rPr>
          <w:rFonts w:cs="Arial"/>
          <w:szCs w:val="20"/>
        </w:rPr>
        <w:t>t 42% t</w:t>
      </w:r>
      <w:r w:rsidR="00221671" w:rsidRPr="006F7ADB">
        <w:rPr>
          <w:rFonts w:cs="Arial"/>
          <w:szCs w:val="20"/>
        </w:rPr>
        <w:t xml:space="preserve">here appears to have been a decline in the percentage of students achieving the expected overall standard in </w:t>
      </w:r>
      <w:r w:rsidR="00221671">
        <w:rPr>
          <w:rFonts w:cs="Arial"/>
          <w:szCs w:val="20"/>
        </w:rPr>
        <w:t xml:space="preserve">Year 4 </w:t>
      </w:r>
      <w:r w:rsidR="00221671" w:rsidRPr="006F7ADB">
        <w:rPr>
          <w:rFonts w:cs="Arial"/>
          <w:szCs w:val="20"/>
        </w:rPr>
        <w:t>te-Kiribati literacy since 2011</w:t>
      </w:r>
      <w:r w:rsidR="00221671">
        <w:rPr>
          <w:rFonts w:cs="Arial"/>
          <w:szCs w:val="20"/>
        </w:rPr>
        <w:t>.</w:t>
      </w:r>
    </w:p>
    <w:p w14:paraId="1F9DF67E" w14:textId="77777777" w:rsidR="00221671" w:rsidRPr="006F7ADB"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6F7ADB">
        <w:rPr>
          <w:rFonts w:cs="Arial"/>
          <w:szCs w:val="20"/>
        </w:rPr>
        <w:t>There has been improvement in the percentage of Year 6 students demonstrating both minimal and acceptable levels of performance between 2013 and 2015.</w:t>
      </w:r>
    </w:p>
    <w:p w14:paraId="0A060A8E" w14:textId="5485D9A6" w:rsidR="00221671" w:rsidRPr="006F7ADB" w:rsidRDefault="002D28B3" w:rsidP="00AE24CE">
      <w:pPr>
        <w:pStyle w:val="ListParagraph"/>
        <w:numPr>
          <w:ilvl w:val="0"/>
          <w:numId w:val="28"/>
        </w:numPr>
        <w:spacing w:before="140" w:beforeAutospacing="0" w:after="140" w:afterAutospacing="0"/>
        <w:ind w:left="714" w:hanging="357"/>
        <w:contextualSpacing w:val="0"/>
        <w:jc w:val="both"/>
        <w:rPr>
          <w:rFonts w:cs="Arial"/>
          <w:szCs w:val="20"/>
        </w:rPr>
      </w:pPr>
      <w:r>
        <w:rPr>
          <w:rFonts w:cs="Arial"/>
          <w:szCs w:val="20"/>
        </w:rPr>
        <w:t>R</w:t>
      </w:r>
      <w:r w:rsidR="00221671" w:rsidRPr="006F7ADB">
        <w:rPr>
          <w:rFonts w:cs="Arial"/>
          <w:szCs w:val="20"/>
        </w:rPr>
        <w:t>eading comprehension continues to be the biggest weakness in Year 6, however shows marked improvement by Year 8.</w:t>
      </w:r>
    </w:p>
    <w:p w14:paraId="24CFA7B4" w14:textId="77777777" w:rsidR="00221671" w:rsidRPr="006F7ADB"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6F7ADB">
        <w:rPr>
          <w:rFonts w:cs="Arial"/>
          <w:szCs w:val="20"/>
        </w:rPr>
        <w:t xml:space="preserve">By the end of Year 6, 55% of students are performing at the level expected for the end of primary school. By Year 8 72% of students are performing at or above the same level. </w:t>
      </w:r>
    </w:p>
    <w:p w14:paraId="4D616E1F" w14:textId="77777777" w:rsidR="00221671" w:rsidRDefault="00221671" w:rsidP="00ED0631">
      <w:pPr>
        <w:spacing w:before="140" w:after="140"/>
        <w:rPr>
          <w:rFonts w:cs="Arial"/>
        </w:rPr>
      </w:pPr>
      <w:r w:rsidRPr="006F7ADB">
        <w:rPr>
          <w:rFonts w:cs="Arial"/>
        </w:rPr>
        <w:t>Numeracy</w:t>
      </w:r>
    </w:p>
    <w:p w14:paraId="2DCA6AE9" w14:textId="77777777" w:rsidR="00221671"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253856">
        <w:rPr>
          <w:rFonts w:cs="Arial"/>
          <w:szCs w:val="20"/>
        </w:rPr>
        <w:t>In year 4 the percentage of students achieving the expected overall standard in numeracy at Year 4 has increased dramatically to 78% of students from 26% in 2013. Furthermore, 95% of the students are working at a level that can be considered to be 'minimally acceptable' for their year level.</w:t>
      </w:r>
    </w:p>
    <w:p w14:paraId="497449B5" w14:textId="77777777" w:rsidR="00221671" w:rsidRPr="00253856"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253856">
        <w:rPr>
          <w:rFonts w:cs="Arial"/>
          <w:szCs w:val="20"/>
        </w:rPr>
        <w:t>In Year 6 the percentage of students achieving the expected overall standard in numeracy at Year 6 has increased dramatically to 54% of students from 20% in 2013. 85% of the students are working at a level that can be considered to be 'minimally acceptable' for their year level.</w:t>
      </w:r>
    </w:p>
    <w:p w14:paraId="0D3C6F29" w14:textId="77777777" w:rsidR="00221671"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Pr>
          <w:rFonts w:cs="Arial"/>
          <w:szCs w:val="20"/>
        </w:rPr>
        <w:t>In Year 8 o</w:t>
      </w:r>
      <w:r w:rsidRPr="006F7ADB">
        <w:rPr>
          <w:rFonts w:cs="Arial"/>
          <w:szCs w:val="20"/>
        </w:rPr>
        <w:t>nly 33% of students are working at or above the expected level of achievement</w:t>
      </w:r>
      <w:r>
        <w:rPr>
          <w:rFonts w:cs="Arial"/>
          <w:szCs w:val="20"/>
        </w:rPr>
        <w:t xml:space="preserve">. A further </w:t>
      </w:r>
      <w:r w:rsidRPr="00253856">
        <w:rPr>
          <w:rFonts w:cs="Arial"/>
          <w:szCs w:val="20"/>
        </w:rPr>
        <w:t xml:space="preserve">34% are not </w:t>
      </w:r>
      <w:r>
        <w:rPr>
          <w:rFonts w:cs="Arial"/>
          <w:szCs w:val="20"/>
        </w:rPr>
        <w:t xml:space="preserve">at all </w:t>
      </w:r>
      <w:r w:rsidRPr="00253856">
        <w:rPr>
          <w:rFonts w:cs="Arial"/>
          <w:szCs w:val="20"/>
        </w:rPr>
        <w:t>coping with classroom material and being completely 'left behind'.</w:t>
      </w:r>
    </w:p>
    <w:p w14:paraId="62813988" w14:textId="77777777" w:rsidR="00221671" w:rsidRPr="00407F1D" w:rsidRDefault="00221671" w:rsidP="00AE24CE">
      <w:pPr>
        <w:pStyle w:val="ListParagraph"/>
        <w:numPr>
          <w:ilvl w:val="0"/>
          <w:numId w:val="28"/>
        </w:numPr>
        <w:spacing w:before="140" w:beforeAutospacing="0" w:after="140" w:afterAutospacing="0"/>
        <w:ind w:left="714" w:hanging="357"/>
        <w:contextualSpacing w:val="0"/>
        <w:jc w:val="both"/>
        <w:rPr>
          <w:rFonts w:cs="Arial"/>
          <w:szCs w:val="20"/>
        </w:rPr>
      </w:pPr>
      <w:r w:rsidRPr="006F7ADB">
        <w:rPr>
          <w:rFonts w:cs="Arial"/>
          <w:szCs w:val="20"/>
        </w:rPr>
        <w:t>Skills in measurement and data are the most in need of development</w:t>
      </w:r>
      <w:r>
        <w:rPr>
          <w:rFonts w:cs="Arial"/>
          <w:szCs w:val="20"/>
        </w:rPr>
        <w:t>. This issue was also identified in the 2013 report.</w:t>
      </w:r>
    </w:p>
    <w:p w14:paraId="1288F4BE" w14:textId="77777777" w:rsidR="00221671" w:rsidRDefault="00221671" w:rsidP="00ED0631">
      <w:pPr>
        <w:spacing w:before="140" w:after="140"/>
        <w:rPr>
          <w:b/>
        </w:rPr>
      </w:pPr>
      <w:r>
        <w:rPr>
          <w:b/>
        </w:rPr>
        <w:br w:type="page"/>
      </w:r>
    </w:p>
    <w:p w14:paraId="2B21EACD" w14:textId="77777777" w:rsidR="00221671" w:rsidRPr="00407F1D" w:rsidRDefault="00221671" w:rsidP="002D28B3">
      <w:pPr>
        <w:pStyle w:val="Heading2"/>
      </w:pPr>
      <w:r>
        <w:lastRenderedPageBreak/>
        <w:t>Appendix 1</w:t>
      </w:r>
      <w:r w:rsidRPr="00AF1522">
        <w:t>.</w:t>
      </w:r>
      <w:r w:rsidRPr="00AF1522">
        <w:tab/>
      </w:r>
      <w:r>
        <w:t>Overall Achievement Levels</w:t>
      </w:r>
    </w:p>
    <w:p w14:paraId="4F3982C7" w14:textId="6665ED1A" w:rsidR="00221671" w:rsidRDefault="00221671" w:rsidP="00ED0631">
      <w:pPr>
        <w:spacing w:before="140" w:after="140"/>
        <w:rPr>
          <w:szCs w:val="22"/>
        </w:rPr>
      </w:pPr>
      <w:r w:rsidRPr="001F262E">
        <w:rPr>
          <w:szCs w:val="22"/>
        </w:rPr>
        <w:t>The</w:t>
      </w:r>
      <w:r>
        <w:rPr>
          <w:szCs w:val="22"/>
        </w:rPr>
        <w:t xml:space="preserve"> overall achievement level (L0 - L4) for each student test result was determined using the following set of rules</w:t>
      </w:r>
      <w:r w:rsidR="002D28B3">
        <w:rPr>
          <w:szCs w:val="22"/>
        </w:rPr>
        <w:t>:</w:t>
      </w:r>
    </w:p>
    <w:tbl>
      <w:tblPr>
        <w:tblStyle w:val="MediumShading2-Accent1"/>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614"/>
        <w:gridCol w:w="1233"/>
        <w:gridCol w:w="1763"/>
        <w:gridCol w:w="1763"/>
        <w:gridCol w:w="1763"/>
      </w:tblGrid>
      <w:tr w:rsidR="00221671" w:rsidRPr="002D28B3" w14:paraId="585A51CA" w14:textId="77777777" w:rsidTr="00752D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0" w:type="pct"/>
            <w:tcBorders>
              <w:top w:val="none" w:sz="0" w:space="0" w:color="auto"/>
              <w:left w:val="none" w:sz="0" w:space="0" w:color="auto"/>
              <w:bottom w:val="none" w:sz="0" w:space="0" w:color="auto"/>
              <w:right w:val="none" w:sz="0" w:space="0" w:color="auto"/>
            </w:tcBorders>
            <w:shd w:val="clear" w:color="auto" w:fill="A25EA6"/>
          </w:tcPr>
          <w:p w14:paraId="6C5AF0FF" w14:textId="77777777" w:rsidR="00221671" w:rsidRPr="002D28B3" w:rsidRDefault="00221671" w:rsidP="00ED0631">
            <w:pPr>
              <w:spacing w:before="140" w:after="140"/>
              <w:rPr>
                <w:rFonts w:ascii="Arial" w:hAnsi="Arial" w:cs="Arial"/>
                <w:szCs w:val="22"/>
              </w:rPr>
            </w:pPr>
          </w:p>
        </w:tc>
        <w:tc>
          <w:tcPr>
            <w:tcW w:w="3570" w:type="pct"/>
            <w:gridSpan w:val="4"/>
            <w:tcBorders>
              <w:top w:val="none" w:sz="0" w:space="0" w:color="auto"/>
              <w:left w:val="none" w:sz="0" w:space="0" w:color="auto"/>
              <w:bottom w:val="none" w:sz="0" w:space="0" w:color="auto"/>
              <w:right w:val="none" w:sz="0" w:space="0" w:color="auto"/>
            </w:tcBorders>
            <w:shd w:val="clear" w:color="auto" w:fill="A25EA6"/>
          </w:tcPr>
          <w:p w14:paraId="77DC4545" w14:textId="77777777" w:rsidR="00221671" w:rsidRPr="002D28B3" w:rsidRDefault="00221671" w:rsidP="00ED0631">
            <w:pPr>
              <w:spacing w:before="140" w:after="140"/>
              <w:jc w:val="center"/>
              <w:cnfStyle w:val="100000000000" w:firstRow="1"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Minimum profile of levels in each component of the test</w:t>
            </w:r>
          </w:p>
        </w:tc>
      </w:tr>
      <w:tr w:rsidR="00221671" w:rsidRPr="002D28B3" w14:paraId="754D5B8D" w14:textId="77777777" w:rsidTr="0075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pct"/>
            <w:tcBorders>
              <w:left w:val="none" w:sz="0" w:space="0" w:color="auto"/>
              <w:bottom w:val="none" w:sz="0" w:space="0" w:color="auto"/>
              <w:right w:val="none" w:sz="0" w:space="0" w:color="auto"/>
            </w:tcBorders>
            <w:shd w:val="clear" w:color="auto" w:fill="D9D9D9" w:themeFill="background1" w:themeFillShade="D9"/>
          </w:tcPr>
          <w:p w14:paraId="1C00979D" w14:textId="77777777" w:rsidR="00221671" w:rsidRPr="00752D28" w:rsidRDefault="00221671" w:rsidP="00ED0631">
            <w:pPr>
              <w:spacing w:before="140" w:after="140"/>
              <w:rPr>
                <w:rFonts w:ascii="Arial" w:hAnsi="Arial" w:cs="Arial"/>
                <w:b w:val="0"/>
                <w:color w:val="auto"/>
                <w:szCs w:val="22"/>
              </w:rPr>
            </w:pPr>
            <w:r w:rsidRPr="00752D28">
              <w:rPr>
                <w:rFonts w:ascii="Arial" w:hAnsi="Arial" w:cs="Arial"/>
                <w:color w:val="auto"/>
                <w:szCs w:val="22"/>
              </w:rPr>
              <w:t>Number of components in tests</w:t>
            </w:r>
          </w:p>
        </w:tc>
        <w:tc>
          <w:tcPr>
            <w:tcW w:w="675" w:type="pct"/>
          </w:tcPr>
          <w:p w14:paraId="5DC524B8"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b/>
                <w:szCs w:val="22"/>
              </w:rPr>
            </w:pPr>
            <w:r w:rsidRPr="002D28B3">
              <w:rPr>
                <w:rFonts w:ascii="Arial" w:hAnsi="Arial" w:cs="Arial"/>
                <w:b/>
                <w:szCs w:val="22"/>
              </w:rPr>
              <w:t>Level 1</w:t>
            </w:r>
          </w:p>
        </w:tc>
        <w:tc>
          <w:tcPr>
            <w:tcW w:w="965" w:type="pct"/>
          </w:tcPr>
          <w:p w14:paraId="6F1E9A02"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b/>
                <w:szCs w:val="22"/>
              </w:rPr>
            </w:pPr>
            <w:r w:rsidRPr="002D28B3">
              <w:rPr>
                <w:rFonts w:ascii="Arial" w:hAnsi="Arial" w:cs="Arial"/>
                <w:b/>
                <w:szCs w:val="22"/>
              </w:rPr>
              <w:t>Level 2</w:t>
            </w:r>
          </w:p>
        </w:tc>
        <w:tc>
          <w:tcPr>
            <w:tcW w:w="965" w:type="pct"/>
          </w:tcPr>
          <w:p w14:paraId="04071F8A"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b/>
                <w:szCs w:val="22"/>
              </w:rPr>
            </w:pPr>
            <w:r w:rsidRPr="002D28B3">
              <w:rPr>
                <w:rFonts w:ascii="Arial" w:hAnsi="Arial" w:cs="Arial"/>
                <w:b/>
                <w:szCs w:val="22"/>
              </w:rPr>
              <w:t>Level 3</w:t>
            </w:r>
          </w:p>
        </w:tc>
        <w:tc>
          <w:tcPr>
            <w:tcW w:w="966" w:type="pct"/>
          </w:tcPr>
          <w:p w14:paraId="20519853"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b/>
                <w:szCs w:val="22"/>
              </w:rPr>
            </w:pPr>
            <w:r w:rsidRPr="002D28B3">
              <w:rPr>
                <w:rFonts w:ascii="Arial" w:hAnsi="Arial" w:cs="Arial"/>
                <w:b/>
                <w:szCs w:val="22"/>
              </w:rPr>
              <w:t>Level 4</w:t>
            </w:r>
          </w:p>
        </w:tc>
      </w:tr>
      <w:tr w:rsidR="00221671" w:rsidRPr="002D28B3" w14:paraId="571C1F88" w14:textId="77777777" w:rsidTr="00752D28">
        <w:tc>
          <w:tcPr>
            <w:cnfStyle w:val="001000000000" w:firstRow="0" w:lastRow="0" w:firstColumn="1" w:lastColumn="0" w:oddVBand="0" w:evenVBand="0" w:oddHBand="0" w:evenHBand="0" w:firstRowFirstColumn="0" w:firstRowLastColumn="0" w:lastRowFirstColumn="0" w:lastRowLastColumn="0"/>
            <w:tcW w:w="1430" w:type="pct"/>
            <w:tcBorders>
              <w:left w:val="none" w:sz="0" w:space="0" w:color="auto"/>
              <w:bottom w:val="none" w:sz="0" w:space="0" w:color="auto"/>
              <w:right w:val="none" w:sz="0" w:space="0" w:color="auto"/>
            </w:tcBorders>
            <w:shd w:val="clear" w:color="auto" w:fill="auto"/>
          </w:tcPr>
          <w:p w14:paraId="33BE214A" w14:textId="77777777" w:rsidR="00221671" w:rsidRPr="00752D28" w:rsidRDefault="00221671" w:rsidP="00ED0631">
            <w:pPr>
              <w:spacing w:before="140" w:after="140"/>
              <w:rPr>
                <w:rFonts w:ascii="Arial" w:hAnsi="Arial" w:cs="Arial"/>
                <w:color w:val="auto"/>
                <w:szCs w:val="22"/>
              </w:rPr>
            </w:pPr>
            <w:r w:rsidRPr="00752D28">
              <w:rPr>
                <w:rFonts w:ascii="Arial" w:hAnsi="Arial" w:cs="Arial"/>
                <w:color w:val="auto"/>
                <w:szCs w:val="22"/>
              </w:rPr>
              <w:t>3 components</w:t>
            </w:r>
          </w:p>
        </w:tc>
        <w:tc>
          <w:tcPr>
            <w:tcW w:w="675" w:type="pct"/>
          </w:tcPr>
          <w:p w14:paraId="200FF178"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5" w:type="pct"/>
          </w:tcPr>
          <w:p w14:paraId="1EAF5D6A"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L2</w:t>
            </w:r>
          </w:p>
          <w:p w14:paraId="489F76A9"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5" w:type="pct"/>
          </w:tcPr>
          <w:p w14:paraId="2898125A"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L3</w:t>
            </w:r>
          </w:p>
          <w:p w14:paraId="6D04E22E"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L2</w:t>
            </w:r>
          </w:p>
        </w:tc>
        <w:tc>
          <w:tcPr>
            <w:tcW w:w="966" w:type="pct"/>
          </w:tcPr>
          <w:p w14:paraId="6F65F698"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L4</w:t>
            </w:r>
          </w:p>
          <w:p w14:paraId="35B21709"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L3</w:t>
            </w:r>
          </w:p>
          <w:p w14:paraId="0C2A8AD1"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p>
        </w:tc>
      </w:tr>
      <w:tr w:rsidR="00221671" w:rsidRPr="002D28B3" w14:paraId="50975EB8" w14:textId="77777777" w:rsidTr="0075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pct"/>
            <w:tcBorders>
              <w:left w:val="none" w:sz="0" w:space="0" w:color="auto"/>
              <w:bottom w:val="none" w:sz="0" w:space="0" w:color="auto"/>
              <w:right w:val="none" w:sz="0" w:space="0" w:color="auto"/>
            </w:tcBorders>
            <w:shd w:val="clear" w:color="auto" w:fill="D9D9D9" w:themeFill="background1" w:themeFillShade="D9"/>
          </w:tcPr>
          <w:p w14:paraId="6CF299AB" w14:textId="77777777" w:rsidR="00221671" w:rsidRPr="00752D28" w:rsidRDefault="00221671" w:rsidP="00ED0631">
            <w:pPr>
              <w:spacing w:before="140" w:after="140"/>
              <w:rPr>
                <w:rFonts w:ascii="Arial" w:hAnsi="Arial" w:cs="Arial"/>
                <w:color w:val="auto"/>
                <w:szCs w:val="22"/>
              </w:rPr>
            </w:pPr>
            <w:r w:rsidRPr="00752D28">
              <w:rPr>
                <w:rFonts w:ascii="Arial" w:hAnsi="Arial" w:cs="Arial"/>
                <w:color w:val="auto"/>
                <w:szCs w:val="22"/>
              </w:rPr>
              <w:t>4 components</w:t>
            </w:r>
          </w:p>
        </w:tc>
        <w:tc>
          <w:tcPr>
            <w:tcW w:w="675" w:type="pct"/>
          </w:tcPr>
          <w:p w14:paraId="31FE193A"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5" w:type="pct"/>
          </w:tcPr>
          <w:p w14:paraId="7C1A9351"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L2</w:t>
            </w:r>
          </w:p>
          <w:p w14:paraId="2292950C"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L1</w:t>
            </w:r>
          </w:p>
        </w:tc>
        <w:tc>
          <w:tcPr>
            <w:tcW w:w="965" w:type="pct"/>
          </w:tcPr>
          <w:p w14:paraId="6C6CA255"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L3</w:t>
            </w:r>
          </w:p>
          <w:p w14:paraId="1E9C80D4"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L2</w:t>
            </w:r>
          </w:p>
        </w:tc>
        <w:tc>
          <w:tcPr>
            <w:tcW w:w="966" w:type="pct"/>
          </w:tcPr>
          <w:p w14:paraId="750718DC"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L4</w:t>
            </w:r>
          </w:p>
          <w:p w14:paraId="2C519394"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L3</w:t>
            </w:r>
          </w:p>
        </w:tc>
      </w:tr>
      <w:tr w:rsidR="00221671" w:rsidRPr="002D28B3" w14:paraId="2DF9094F" w14:textId="77777777" w:rsidTr="00752D28">
        <w:tc>
          <w:tcPr>
            <w:cnfStyle w:val="001000000000" w:firstRow="0" w:lastRow="0" w:firstColumn="1" w:lastColumn="0" w:oddVBand="0" w:evenVBand="0" w:oddHBand="0" w:evenHBand="0" w:firstRowFirstColumn="0" w:firstRowLastColumn="0" w:lastRowFirstColumn="0" w:lastRowLastColumn="0"/>
            <w:tcW w:w="1430" w:type="pct"/>
            <w:tcBorders>
              <w:left w:val="none" w:sz="0" w:space="0" w:color="auto"/>
              <w:bottom w:val="none" w:sz="0" w:space="0" w:color="auto"/>
              <w:right w:val="none" w:sz="0" w:space="0" w:color="auto"/>
            </w:tcBorders>
            <w:shd w:val="clear" w:color="auto" w:fill="auto"/>
          </w:tcPr>
          <w:p w14:paraId="5A199D65" w14:textId="77777777" w:rsidR="00221671" w:rsidRPr="00752D28" w:rsidRDefault="00221671" w:rsidP="00ED0631">
            <w:pPr>
              <w:spacing w:before="140" w:after="140"/>
              <w:rPr>
                <w:rFonts w:ascii="Arial" w:hAnsi="Arial" w:cs="Arial"/>
                <w:color w:val="auto"/>
                <w:szCs w:val="22"/>
              </w:rPr>
            </w:pPr>
            <w:r w:rsidRPr="00752D28">
              <w:rPr>
                <w:rFonts w:ascii="Arial" w:hAnsi="Arial" w:cs="Arial"/>
                <w:color w:val="auto"/>
                <w:szCs w:val="22"/>
              </w:rPr>
              <w:t>5 components</w:t>
            </w:r>
          </w:p>
        </w:tc>
        <w:tc>
          <w:tcPr>
            <w:tcW w:w="675" w:type="pct"/>
          </w:tcPr>
          <w:p w14:paraId="23B822C1"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5" w:type="pct"/>
          </w:tcPr>
          <w:p w14:paraId="6A1A11A4"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3 x L2</w:t>
            </w:r>
          </w:p>
          <w:p w14:paraId="05239E05"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5" w:type="pct"/>
          </w:tcPr>
          <w:p w14:paraId="4271C656"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L3</w:t>
            </w:r>
          </w:p>
          <w:p w14:paraId="21D2A4A4"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L2</w:t>
            </w:r>
          </w:p>
          <w:p w14:paraId="2902E16D"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6" w:type="pct"/>
          </w:tcPr>
          <w:p w14:paraId="6E8ECEC3"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L4</w:t>
            </w:r>
          </w:p>
          <w:p w14:paraId="779F0992"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2 x L3</w:t>
            </w:r>
          </w:p>
          <w:p w14:paraId="2B3F1443" w14:textId="77777777" w:rsidR="00221671" w:rsidRPr="002D28B3" w:rsidRDefault="00221671" w:rsidP="00ED0631">
            <w:pPr>
              <w:spacing w:before="140" w:after="14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2D28B3">
              <w:rPr>
                <w:rFonts w:ascii="Arial" w:hAnsi="Arial" w:cs="Arial"/>
                <w:szCs w:val="22"/>
              </w:rPr>
              <w:t>1 x L2</w:t>
            </w:r>
          </w:p>
        </w:tc>
      </w:tr>
      <w:tr w:rsidR="00221671" w:rsidRPr="002D28B3" w14:paraId="5F5C4D5C" w14:textId="77777777" w:rsidTr="0075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pct"/>
            <w:tcBorders>
              <w:left w:val="none" w:sz="0" w:space="0" w:color="auto"/>
              <w:bottom w:val="none" w:sz="0" w:space="0" w:color="auto"/>
              <w:right w:val="none" w:sz="0" w:space="0" w:color="auto"/>
            </w:tcBorders>
            <w:shd w:val="clear" w:color="auto" w:fill="D9D9D9" w:themeFill="background1" w:themeFillShade="D9"/>
          </w:tcPr>
          <w:p w14:paraId="45E6F3AA" w14:textId="77777777" w:rsidR="00221671" w:rsidRPr="00752D28" w:rsidRDefault="00221671" w:rsidP="00ED0631">
            <w:pPr>
              <w:spacing w:before="140" w:after="140"/>
              <w:rPr>
                <w:rFonts w:ascii="Arial" w:hAnsi="Arial" w:cs="Arial"/>
                <w:color w:val="auto"/>
                <w:szCs w:val="22"/>
              </w:rPr>
            </w:pPr>
            <w:r w:rsidRPr="00752D28">
              <w:rPr>
                <w:rFonts w:ascii="Arial" w:hAnsi="Arial" w:cs="Arial"/>
                <w:color w:val="auto"/>
                <w:szCs w:val="22"/>
              </w:rPr>
              <w:t>6 components</w:t>
            </w:r>
          </w:p>
        </w:tc>
        <w:tc>
          <w:tcPr>
            <w:tcW w:w="675" w:type="pct"/>
          </w:tcPr>
          <w:p w14:paraId="481EA40A"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5" w:type="pct"/>
          </w:tcPr>
          <w:p w14:paraId="5A87E0F5"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3 x L2</w:t>
            </w:r>
          </w:p>
          <w:p w14:paraId="29CE023A"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L1</w:t>
            </w:r>
          </w:p>
        </w:tc>
        <w:tc>
          <w:tcPr>
            <w:tcW w:w="965" w:type="pct"/>
          </w:tcPr>
          <w:p w14:paraId="5F384223"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3 x L3</w:t>
            </w:r>
          </w:p>
          <w:p w14:paraId="0C4E151B"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L2</w:t>
            </w:r>
          </w:p>
          <w:p w14:paraId="2A8C5EDD"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1 x L1</w:t>
            </w:r>
          </w:p>
        </w:tc>
        <w:tc>
          <w:tcPr>
            <w:tcW w:w="966" w:type="pct"/>
          </w:tcPr>
          <w:p w14:paraId="662004A6"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3 x L4</w:t>
            </w:r>
          </w:p>
          <w:p w14:paraId="755F2F44"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2 x L3</w:t>
            </w:r>
          </w:p>
          <w:p w14:paraId="5FA5312C" w14:textId="77777777" w:rsidR="00221671" w:rsidRPr="002D28B3" w:rsidRDefault="00221671" w:rsidP="00ED0631">
            <w:pPr>
              <w:spacing w:before="140" w:after="140"/>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2D28B3">
              <w:rPr>
                <w:rFonts w:ascii="Arial" w:hAnsi="Arial" w:cs="Arial"/>
                <w:szCs w:val="22"/>
              </w:rPr>
              <w:t>1 x L2</w:t>
            </w:r>
          </w:p>
        </w:tc>
      </w:tr>
    </w:tbl>
    <w:p w14:paraId="73109D3B" w14:textId="77777777" w:rsidR="00221671" w:rsidRPr="00407F1D" w:rsidRDefault="00221671" w:rsidP="002D28B3">
      <w:pPr>
        <w:spacing w:before="140" w:after="140"/>
        <w:rPr>
          <w:i/>
          <w:sz w:val="18"/>
          <w:szCs w:val="18"/>
        </w:rPr>
      </w:pPr>
      <w:r w:rsidRPr="000D7293">
        <w:rPr>
          <w:b/>
          <w:i/>
          <w:sz w:val="18"/>
          <w:szCs w:val="18"/>
        </w:rPr>
        <w:t>T</w:t>
      </w:r>
      <w:r>
        <w:rPr>
          <w:b/>
          <w:i/>
          <w:sz w:val="18"/>
          <w:szCs w:val="18"/>
        </w:rPr>
        <w:t>able 11</w:t>
      </w:r>
      <w:r w:rsidRPr="000D7293">
        <w:rPr>
          <w:b/>
          <w:i/>
          <w:sz w:val="18"/>
          <w:szCs w:val="18"/>
        </w:rPr>
        <w:t>.</w:t>
      </w:r>
      <w:r w:rsidRPr="000D7293">
        <w:rPr>
          <w:i/>
          <w:sz w:val="18"/>
          <w:szCs w:val="18"/>
        </w:rPr>
        <w:tab/>
        <w:t>Requirements for overall levels</w:t>
      </w:r>
    </w:p>
    <w:p w14:paraId="5F6CE654" w14:textId="77777777" w:rsidR="00221671" w:rsidRDefault="00221671" w:rsidP="00ED0631">
      <w:pPr>
        <w:spacing w:before="140" w:after="140"/>
        <w:rPr>
          <w:szCs w:val="22"/>
        </w:rPr>
      </w:pPr>
      <w:r>
        <w:rPr>
          <w:szCs w:val="22"/>
        </w:rPr>
        <w:t>For example, Year 6 te-Kiribati literacy has 5 components -</w:t>
      </w:r>
    </w:p>
    <w:p w14:paraId="6FCD1521" w14:textId="77777777" w:rsidR="00221671" w:rsidRPr="006459B4" w:rsidRDefault="00221671" w:rsidP="002D28B3">
      <w:pPr>
        <w:pStyle w:val="ListParagraph"/>
        <w:numPr>
          <w:ilvl w:val="0"/>
          <w:numId w:val="29"/>
        </w:numPr>
        <w:spacing w:before="0" w:beforeAutospacing="0" w:after="0" w:afterAutospacing="0"/>
        <w:contextualSpacing w:val="0"/>
        <w:jc w:val="both"/>
      </w:pPr>
      <w:r w:rsidRPr="006459B4">
        <w:t>listening,</w:t>
      </w:r>
    </w:p>
    <w:p w14:paraId="29B0936B" w14:textId="77777777" w:rsidR="00221671" w:rsidRPr="006459B4" w:rsidRDefault="00221671" w:rsidP="002D28B3">
      <w:pPr>
        <w:pStyle w:val="ListParagraph"/>
        <w:numPr>
          <w:ilvl w:val="0"/>
          <w:numId w:val="29"/>
        </w:numPr>
        <w:spacing w:before="0" w:beforeAutospacing="0" w:after="0" w:afterAutospacing="0"/>
        <w:contextualSpacing w:val="0"/>
        <w:jc w:val="both"/>
      </w:pPr>
      <w:r w:rsidRPr="006459B4">
        <w:t>vocabulary,</w:t>
      </w:r>
    </w:p>
    <w:p w14:paraId="7614303B" w14:textId="77777777" w:rsidR="00221671" w:rsidRPr="006459B4" w:rsidRDefault="00221671" w:rsidP="002D28B3">
      <w:pPr>
        <w:pStyle w:val="ListParagraph"/>
        <w:numPr>
          <w:ilvl w:val="0"/>
          <w:numId w:val="29"/>
        </w:numPr>
        <w:spacing w:before="0" w:beforeAutospacing="0" w:after="0" w:afterAutospacing="0"/>
        <w:contextualSpacing w:val="0"/>
        <w:jc w:val="both"/>
      </w:pPr>
      <w:r w:rsidRPr="006459B4">
        <w:t>reading comprehension,</w:t>
      </w:r>
    </w:p>
    <w:p w14:paraId="7F8B48C2" w14:textId="77777777" w:rsidR="00221671" w:rsidRPr="006459B4" w:rsidRDefault="00221671" w:rsidP="002D28B3">
      <w:pPr>
        <w:pStyle w:val="ListParagraph"/>
        <w:numPr>
          <w:ilvl w:val="0"/>
          <w:numId w:val="29"/>
        </w:numPr>
        <w:spacing w:before="0" w:beforeAutospacing="0" w:after="0" w:afterAutospacing="0"/>
        <w:contextualSpacing w:val="0"/>
        <w:jc w:val="both"/>
      </w:pPr>
      <w:r w:rsidRPr="006459B4">
        <w:t xml:space="preserve">grammar and </w:t>
      </w:r>
    </w:p>
    <w:p w14:paraId="1D732819" w14:textId="77777777" w:rsidR="00221671" w:rsidRPr="00407F1D" w:rsidRDefault="00221671" w:rsidP="002D28B3">
      <w:pPr>
        <w:pStyle w:val="ListParagraph"/>
        <w:numPr>
          <w:ilvl w:val="0"/>
          <w:numId w:val="29"/>
        </w:numPr>
        <w:spacing w:before="0" w:beforeAutospacing="0" w:after="0" w:afterAutospacing="0"/>
        <w:contextualSpacing w:val="0"/>
        <w:jc w:val="both"/>
      </w:pPr>
      <w:r>
        <w:t>writing.</w:t>
      </w:r>
    </w:p>
    <w:p w14:paraId="65D61707" w14:textId="77777777" w:rsidR="00221671" w:rsidRDefault="00221671" w:rsidP="00ED0631">
      <w:pPr>
        <w:spacing w:before="140" w:after="140"/>
        <w:rPr>
          <w:b/>
          <w:sz w:val="18"/>
          <w:szCs w:val="18"/>
        </w:rPr>
      </w:pPr>
      <w:r>
        <w:rPr>
          <w:b/>
          <w:sz w:val="18"/>
          <w:szCs w:val="18"/>
        </w:rPr>
        <w:br w:type="page"/>
      </w:r>
    </w:p>
    <w:p w14:paraId="613E607A" w14:textId="77777777" w:rsidR="00221671" w:rsidRPr="00AF1522" w:rsidRDefault="00221671" w:rsidP="002D28B3">
      <w:pPr>
        <w:pStyle w:val="Heading2"/>
      </w:pPr>
      <w:r w:rsidRPr="00AF1522">
        <w:lastRenderedPageBreak/>
        <w:t>Appendix 2.</w:t>
      </w:r>
      <w:r w:rsidRPr="00AF1522">
        <w:tab/>
        <w:t>Example of summary reports provided to schools</w:t>
      </w:r>
    </w:p>
    <w:p w14:paraId="3108089B" w14:textId="77777777" w:rsidR="00221671" w:rsidRPr="00407F1D" w:rsidRDefault="00221671" w:rsidP="00ED0631">
      <w:pPr>
        <w:tabs>
          <w:tab w:val="left" w:pos="914"/>
        </w:tabs>
        <w:spacing w:before="140" w:after="140"/>
        <w:jc w:val="both"/>
      </w:pPr>
      <w:r w:rsidRPr="00505B78">
        <w:t>The report below is an example of one page of the reports provided to each school. Schools also receive details of their individual students' performance. Schools are expected to use the information to inform their School Improvement Plans.</w:t>
      </w:r>
    </w:p>
    <w:p w14:paraId="1C3EE572" w14:textId="77777777" w:rsidR="00221671" w:rsidRPr="00F45508" w:rsidRDefault="00221671" w:rsidP="00ED0631">
      <w:pPr>
        <w:tabs>
          <w:tab w:val="left" w:pos="914"/>
        </w:tabs>
        <w:rPr>
          <w:szCs w:val="22"/>
        </w:rPr>
      </w:pPr>
      <w:r>
        <w:rPr>
          <w:noProof/>
          <w:szCs w:val="22"/>
          <w:lang w:eastAsia="en-AU"/>
        </w:rPr>
        <w:drawing>
          <wp:inline distT="0" distB="0" distL="0" distR="0" wp14:anchorId="58878755" wp14:editId="625FBBCB">
            <wp:extent cx="5664200" cy="6636935"/>
            <wp:effectExtent l="114300" t="114300" r="107950" b="145415"/>
            <wp:docPr id="85" name="Picture 1" descr="The report below is an example of one page of the reports provided to each school. Schools also receive details of their individual students' performance. Schools are expected to use the information to inform their School Improvement Plans." title="Example of Summary Reports provided t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4200" cy="6636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141B60" w14:textId="77777777" w:rsidR="006767F7" w:rsidRDefault="006767F7" w:rsidP="0060082A">
      <w:pPr>
        <w:rPr>
          <w:rFonts w:asciiTheme="majorHAnsi" w:hAnsiTheme="majorHAnsi" w:cstheme="majorHAnsi"/>
          <w:color w:val="EB6E08" w:themeColor="text2"/>
        </w:rPr>
        <w:sectPr w:rsidR="006767F7" w:rsidSect="00ED0631">
          <w:pgSz w:w="11900" w:h="16840"/>
          <w:pgMar w:top="1440" w:right="1183" w:bottom="1440" w:left="1797" w:header="709" w:footer="709" w:gutter="0"/>
          <w:pgNumType w:start="1"/>
          <w:cols w:space="708"/>
        </w:sectPr>
      </w:pPr>
    </w:p>
    <w:p w14:paraId="67FACE83" w14:textId="32382DB1" w:rsidR="006767F7" w:rsidRPr="00DC233C" w:rsidRDefault="006767F7" w:rsidP="00956E4D">
      <w:pPr>
        <w:pStyle w:val="Heading1"/>
      </w:pPr>
      <w:r>
        <w:lastRenderedPageBreak/>
        <w:t>Annex 6</w:t>
      </w:r>
    </w:p>
    <w:p w14:paraId="527D5BF7" w14:textId="09377799" w:rsidR="00471606" w:rsidRDefault="006767F7" w:rsidP="00956E4D">
      <w:pPr>
        <w:pStyle w:val="Heading1"/>
        <w:rPr>
          <w:color w:val="EB6E08" w:themeColor="text2"/>
        </w:rPr>
        <w:sectPr w:rsidR="00471606" w:rsidSect="00ED0631">
          <w:headerReference w:type="default" r:id="rId110"/>
          <w:footerReference w:type="default" r:id="rId111"/>
          <w:footerReference w:type="first" r:id="rId112"/>
          <w:pgSz w:w="11900" w:h="16840"/>
          <w:pgMar w:top="1440" w:right="1183" w:bottom="1440" w:left="1797" w:header="709" w:footer="709" w:gutter="0"/>
          <w:pgNumType w:start="1"/>
          <w:cols w:space="708"/>
        </w:sectPr>
      </w:pPr>
      <w:r w:rsidRPr="006767F7">
        <w:t>The KEIP Kitset Classroom Innovation</w:t>
      </w:r>
    </w:p>
    <w:p w14:paraId="02D72D58" w14:textId="77777777" w:rsidR="00471606" w:rsidRPr="00A761AD" w:rsidRDefault="00471606" w:rsidP="00ED0631">
      <w:pPr>
        <w:pStyle w:val="Heading1"/>
      </w:pPr>
      <w:bookmarkStart w:id="308" w:name="_Toc461615893"/>
      <w:r w:rsidRPr="00F542FC">
        <w:lastRenderedPageBreak/>
        <w:t xml:space="preserve">The KEIP Kitset Classroom Evolution </w:t>
      </w:r>
      <w:r>
        <w:t>Story</w:t>
      </w:r>
      <w:bookmarkEnd w:id="308"/>
    </w:p>
    <w:p w14:paraId="13F33ACD"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‘Home grown’ timber kitset classroom buildings have become a feature of schools recently upgraded on South Tarawa. Interestingly, kitsets were trialled and rejected at the beginning of KEIP but have re-emerged and evolved through a series of trials, setbacks and innovations during the first two phases of the Program, as follows:-</w:t>
      </w:r>
    </w:p>
    <w:p w14:paraId="752375EE" w14:textId="77777777" w:rsidR="00471606" w:rsidRPr="00F542FC" w:rsidRDefault="00471606" w:rsidP="00AE24CE">
      <w:pPr>
        <w:pStyle w:val="Heading2"/>
        <w:numPr>
          <w:ilvl w:val="0"/>
          <w:numId w:val="30"/>
        </w:numPr>
        <w:spacing w:after="160" w:line="240" w:lineRule="atLeast"/>
        <w:ind w:left="425" w:hanging="425"/>
      </w:pPr>
      <w:bookmarkStart w:id="309" w:name="_Toc461615894"/>
      <w:r w:rsidRPr="00F542FC">
        <w:t>Trial of imported kitset buildings (2011-12)</w:t>
      </w:r>
      <w:bookmarkEnd w:id="309"/>
    </w:p>
    <w:p w14:paraId="6C7029CA"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KEIP Phase 1 involved the upgrading of six target primary schools in the outer Gilbert Islands using a range of construction and implementation strategies as a pilot project to determine ‘what works where’ in Kiribati. Teeraka primary school on Butaritari was upgraded with a new timber kitset building raised on stumps whilst Kauake primary school on Aranuka was upgraded with two new timber kitset buildings on concrete floor slabs. The buildings were pre-fabricated in Fiji, shipped to Tarawa in containers and then sent as deck cargo to the outer islands. A site engineer was sent by the Fijian supplier to provide instruction during erection. </w:t>
      </w:r>
    </w:p>
    <w:p w14:paraId="26000DD1"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Whilst the finished buildings were high quality and cost competitive, the logistics of delivering pre-fabricated modules (containing a large proportion of void space) from overseas was expensive and the fast on-site erection resulted in less income for the island than alternative systems. For these reasons, the imported kitset system was not considered further.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2921"/>
        <w:gridCol w:w="2718"/>
      </w:tblGrid>
      <w:tr w:rsidR="00471606" w:rsidRPr="00F542FC" w14:paraId="46EDE214" w14:textId="77777777" w:rsidTr="00ED0631">
        <w:tc>
          <w:tcPr>
            <w:tcW w:w="3554" w:type="dxa"/>
          </w:tcPr>
          <w:p w14:paraId="6B1EBFE6" w14:textId="77777777" w:rsidR="00471606" w:rsidRPr="00F542FC" w:rsidRDefault="00471606" w:rsidP="00ED0631">
            <w:pPr>
              <w:spacing w:before="120" w:after="120"/>
              <w:rPr>
                <w:rFonts w:ascii="Arial" w:hAnsi="Arial" w:cs="Arial"/>
                <w:color w:val="FF0000"/>
              </w:rPr>
            </w:pPr>
            <w:r w:rsidRPr="00F542FC">
              <w:rPr>
                <w:rFonts w:ascii="Arial" w:hAnsi="Arial" w:cs="Arial"/>
                <w:noProof/>
                <w:color w:val="FF0000"/>
                <w:lang w:eastAsia="en-AU"/>
              </w:rPr>
              <w:drawing>
                <wp:inline distT="0" distB="0" distL="0" distR="0" wp14:anchorId="518E7A95" wp14:editId="3D2267E8">
                  <wp:extent cx="2275115" cy="1126686"/>
                  <wp:effectExtent l="0" t="0" r="0" b="0"/>
                  <wp:docPr id="86" name="Picture 86" descr="New kitset classrooms raised on timber stumps - Teeraka PS, Butaritari, 2012"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275561" cy="1126907"/>
                          </a:xfrm>
                          <a:prstGeom prst="rect">
                            <a:avLst/>
                          </a:prstGeom>
                          <a:noFill/>
                        </pic:spPr>
                      </pic:pic>
                    </a:graphicData>
                  </a:graphic>
                </wp:inline>
              </w:drawing>
            </w:r>
          </w:p>
          <w:p w14:paraId="15B4C482" w14:textId="77777777" w:rsidR="00471606" w:rsidRPr="00F542FC" w:rsidRDefault="00471606" w:rsidP="00ED0631">
            <w:pPr>
              <w:spacing w:before="120" w:after="120"/>
              <w:rPr>
                <w:rFonts w:ascii="Arial" w:hAnsi="Arial" w:cs="Arial"/>
                <w:color w:val="FF0000"/>
              </w:rPr>
            </w:pPr>
            <w:r w:rsidRPr="00F542FC">
              <w:rPr>
                <w:rFonts w:ascii="Arial" w:hAnsi="Arial" w:cs="Arial"/>
                <w:i/>
                <w:color w:val="808080" w:themeColor="background1" w:themeShade="80"/>
                <w:lang w:val="en-GB"/>
              </w:rPr>
              <w:t>New kitset classrooms raised on timber stumps – Teeraka PS, Butaritari (2012)</w:t>
            </w:r>
          </w:p>
        </w:tc>
        <w:tc>
          <w:tcPr>
            <w:tcW w:w="2969" w:type="dxa"/>
          </w:tcPr>
          <w:p w14:paraId="52E35CB5" w14:textId="77777777" w:rsidR="00471606" w:rsidRPr="00F542FC" w:rsidRDefault="00471606" w:rsidP="00ED0631">
            <w:pPr>
              <w:spacing w:before="120" w:after="120"/>
              <w:rPr>
                <w:rFonts w:ascii="Arial" w:hAnsi="Arial" w:cs="Arial"/>
                <w:color w:val="FF0000"/>
              </w:rPr>
            </w:pPr>
            <w:r w:rsidRPr="00F542FC">
              <w:rPr>
                <w:rFonts w:ascii="Arial" w:hAnsi="Arial" w:cs="Arial"/>
                <w:noProof/>
                <w:color w:val="FF0000"/>
                <w:lang w:eastAsia="en-AU"/>
              </w:rPr>
              <w:drawing>
                <wp:inline distT="0" distB="0" distL="0" distR="0" wp14:anchorId="6F0739B8" wp14:editId="6BF90B4A">
                  <wp:extent cx="1875405" cy="1137557"/>
                  <wp:effectExtent l="0" t="0" r="0" b="5715"/>
                  <wp:docPr id="87" name="Picture 87" descr="New kitset classrooms on a concrete slab - Kauake PS, Aranuka, 2012"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4" cstate="email">
                            <a:extLst>
                              <a:ext uri="{BEBA8EAE-BF5A-486C-A8C5-ECC9F3942E4B}">
                                <a14:imgProps xmlns:a14="http://schemas.microsoft.com/office/drawing/2010/main">
                                  <a14:imgLayer r:embed="rId115">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1874936" cy="1137272"/>
                          </a:xfrm>
                          <a:prstGeom prst="rect">
                            <a:avLst/>
                          </a:prstGeom>
                          <a:noFill/>
                          <a:ln>
                            <a:noFill/>
                          </a:ln>
                          <a:extLst>
                            <a:ext uri="{53640926-AAD7-44D8-BBD7-CCE9431645EC}">
                              <a14:shadowObscured xmlns:a14="http://schemas.microsoft.com/office/drawing/2010/main"/>
                            </a:ext>
                          </a:extLst>
                        </pic:spPr>
                      </pic:pic>
                    </a:graphicData>
                  </a:graphic>
                </wp:inline>
              </w:drawing>
            </w:r>
          </w:p>
          <w:p w14:paraId="77686F68" w14:textId="77777777" w:rsidR="00471606" w:rsidRPr="00F542FC" w:rsidRDefault="00471606" w:rsidP="00ED0631">
            <w:pPr>
              <w:spacing w:before="120" w:after="120"/>
              <w:rPr>
                <w:rFonts w:ascii="Arial" w:hAnsi="Arial" w:cs="Arial"/>
                <w:color w:val="FF0000"/>
              </w:rPr>
            </w:pPr>
            <w:r w:rsidRPr="00F542FC">
              <w:rPr>
                <w:rFonts w:ascii="Arial" w:hAnsi="Arial" w:cs="Arial"/>
                <w:i/>
                <w:color w:val="808080" w:themeColor="background1" w:themeShade="80"/>
                <w:lang w:val="en-GB"/>
              </w:rPr>
              <w:t>New kitset classrooms on a concrete slab – Kauake PS, Aranuka (2012)</w:t>
            </w:r>
          </w:p>
        </w:tc>
        <w:tc>
          <w:tcPr>
            <w:tcW w:w="2763" w:type="dxa"/>
          </w:tcPr>
          <w:p w14:paraId="7C86D8F2" w14:textId="77777777" w:rsidR="00471606" w:rsidRPr="00F542FC" w:rsidRDefault="00471606" w:rsidP="00ED0631">
            <w:pPr>
              <w:spacing w:before="120" w:after="120"/>
              <w:rPr>
                <w:rFonts w:ascii="Arial" w:hAnsi="Arial" w:cs="Arial"/>
                <w:color w:val="FF0000"/>
              </w:rPr>
            </w:pPr>
            <w:r w:rsidRPr="00F542FC">
              <w:rPr>
                <w:rFonts w:ascii="Arial" w:hAnsi="Arial" w:cs="Arial"/>
                <w:noProof/>
                <w:color w:val="FF0000"/>
                <w:lang w:eastAsia="en-AU"/>
              </w:rPr>
              <w:drawing>
                <wp:inline distT="0" distB="0" distL="0" distR="0" wp14:anchorId="0636B35B" wp14:editId="5F33981E">
                  <wp:extent cx="1735213" cy="1132114"/>
                  <wp:effectExtent l="0" t="0" r="0" b="0"/>
                  <wp:docPr id="88" name="Picture 88" descr="New kitset classroom and furniture - Kauake PS, Aranuka, 2012"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6" cstate="email">
                            <a:extLst>
                              <a:ext uri="{BEBA8EAE-BF5A-486C-A8C5-ECC9F3942E4B}">
                                <a14:imgProps xmlns:a14="http://schemas.microsoft.com/office/drawing/2010/main">
                                  <a14:imgLayer r:embed="rId117">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1733550" cy="1131029"/>
                          </a:xfrm>
                          <a:prstGeom prst="rect">
                            <a:avLst/>
                          </a:prstGeom>
                          <a:noFill/>
                          <a:ln>
                            <a:noFill/>
                          </a:ln>
                          <a:extLst>
                            <a:ext uri="{53640926-AAD7-44D8-BBD7-CCE9431645EC}">
                              <a14:shadowObscured xmlns:a14="http://schemas.microsoft.com/office/drawing/2010/main"/>
                            </a:ext>
                          </a:extLst>
                        </pic:spPr>
                      </pic:pic>
                    </a:graphicData>
                  </a:graphic>
                </wp:inline>
              </w:drawing>
            </w:r>
          </w:p>
          <w:p w14:paraId="5C3DB8F8" w14:textId="77777777" w:rsidR="00471606" w:rsidRPr="00F542FC" w:rsidRDefault="00471606" w:rsidP="00ED0631">
            <w:pPr>
              <w:spacing w:before="120" w:after="120"/>
              <w:rPr>
                <w:rFonts w:ascii="Arial" w:hAnsi="Arial" w:cs="Arial"/>
                <w:i/>
                <w:color w:val="808080" w:themeColor="background1" w:themeShade="80"/>
                <w:lang w:val="en-GB"/>
              </w:rPr>
            </w:pPr>
            <w:r w:rsidRPr="00F542FC">
              <w:rPr>
                <w:rFonts w:ascii="Arial" w:hAnsi="Arial" w:cs="Arial"/>
                <w:i/>
                <w:color w:val="808080" w:themeColor="background1" w:themeShade="80"/>
                <w:lang w:val="en-GB"/>
              </w:rPr>
              <w:t>New kitset classroom &amp; furniture – Kauake PS, Aranuka (2012)</w:t>
            </w:r>
          </w:p>
        </w:tc>
      </w:tr>
    </w:tbl>
    <w:p w14:paraId="2F06E6E5" w14:textId="77777777" w:rsidR="00471606" w:rsidRPr="00F542FC" w:rsidRDefault="00471606" w:rsidP="00AE24CE">
      <w:pPr>
        <w:pStyle w:val="Heading2"/>
        <w:numPr>
          <w:ilvl w:val="0"/>
          <w:numId w:val="30"/>
        </w:numPr>
        <w:spacing w:after="160" w:line="240" w:lineRule="atLeast"/>
        <w:ind w:left="425" w:hanging="425"/>
      </w:pPr>
      <w:r w:rsidRPr="00F542FC">
        <w:t xml:space="preserve"> </w:t>
      </w:r>
      <w:bookmarkStart w:id="310" w:name="_Toc461615895"/>
      <w:r w:rsidRPr="00F542FC">
        <w:t>‘Modified’ Traditional Classrooms (2012)</w:t>
      </w:r>
      <w:bookmarkEnd w:id="310"/>
    </w:p>
    <w:p w14:paraId="36D49990"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Given budget limitations and the limited capacity (materials, tools, skills, etc.) for outer islands to maintain permanent buildings, the KEIP Infrastructure Team recommended each outer island school to be upgraded with a single permanent admin block plus ‘modified’ traditional classrooms. Existing traditional classrooms are comfortable, sustainable (constructed and maintained using organic materials, local tools &amp; expertise) and provide income for local communities through on-going maintenance. They are however, not compliant with the National Infrastructure Standards (NIS) in a number of areas. </w:t>
      </w:r>
    </w:p>
    <w:p w14:paraId="1513EFE6"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‘Modified’ traditional classrooms were planned to have a concrete floor slab and disabled access ramp; full height door opening; larger eaves for better weather protection and polycarbonate panels in the roof and gable ends for better natural lighting. </w:t>
      </w:r>
    </w:p>
    <w:p w14:paraId="38E70214"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To comply with the NIS, new classrooms were to be considerably larger than their predecessor. Classrooms were to be built, maintained, demolished and re-built by the local community on permanent reinforced concrete floor slabs. </w:t>
      </w:r>
    </w:p>
    <w:p w14:paraId="11478399"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The sustainable ‘modified’ traditional classroom concept was not developed further due to a strict requirement for all new GoK buildings in the outer islands to be of permanent construction.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3263"/>
        <w:gridCol w:w="2996"/>
      </w:tblGrid>
      <w:tr w:rsidR="00471606" w:rsidRPr="00F542FC" w14:paraId="76906F3E" w14:textId="77777777" w:rsidTr="00ED0631">
        <w:tc>
          <w:tcPr>
            <w:tcW w:w="3191" w:type="dxa"/>
          </w:tcPr>
          <w:p w14:paraId="7F903F3F" w14:textId="77777777" w:rsidR="00471606" w:rsidRPr="00F542FC" w:rsidRDefault="00471606" w:rsidP="00ED0631">
            <w:pPr>
              <w:rPr>
                <w:rFonts w:ascii="Arial" w:hAnsi="Arial" w:cs="Arial"/>
                <w:color w:val="000000"/>
                <w:lang w:val="en-GB"/>
              </w:rPr>
            </w:pPr>
            <w:r w:rsidRPr="00F542FC">
              <w:rPr>
                <w:rFonts w:ascii="Arial" w:hAnsi="Arial" w:cs="Arial"/>
                <w:noProof/>
                <w:color w:val="000000"/>
                <w:lang w:eastAsia="en-AU"/>
              </w:rPr>
              <w:lastRenderedPageBreak/>
              <w:drawing>
                <wp:inline distT="0" distB="0" distL="0" distR="0" wp14:anchorId="2CDDD5F2" wp14:editId="595F96F5">
                  <wp:extent cx="1770492" cy="1611696"/>
                  <wp:effectExtent l="0" t="0" r="1270" b="7620"/>
                  <wp:docPr id="89" name="Picture 89" descr="Modified traditional classroom - floor pla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odified Traditional - Plan.jpg"/>
                          <pic:cNvPicPr/>
                        </pic:nvPicPr>
                        <pic:blipFill>
                          <a:blip r:embed="rId118" cstate="email">
                            <a:extLst>
                              <a:ext uri="{28A0092B-C50C-407E-A947-70E740481C1C}">
                                <a14:useLocalDpi xmlns:a14="http://schemas.microsoft.com/office/drawing/2010/main"/>
                              </a:ext>
                            </a:extLst>
                          </a:blip>
                          <a:stretch>
                            <a:fillRect/>
                          </a:stretch>
                        </pic:blipFill>
                        <pic:spPr>
                          <a:xfrm>
                            <a:off x="0" y="0"/>
                            <a:ext cx="1771644" cy="1612744"/>
                          </a:xfrm>
                          <a:prstGeom prst="rect">
                            <a:avLst/>
                          </a:prstGeom>
                        </pic:spPr>
                      </pic:pic>
                    </a:graphicData>
                  </a:graphic>
                </wp:inline>
              </w:drawing>
            </w:r>
          </w:p>
          <w:p w14:paraId="5BD75CB4" w14:textId="77777777" w:rsidR="00471606" w:rsidRPr="00F542FC" w:rsidRDefault="00471606" w:rsidP="00ED0631">
            <w:pPr>
              <w:rPr>
                <w:rFonts w:ascii="Arial" w:hAnsi="Arial" w:cs="Arial"/>
                <w:i/>
                <w:color w:val="808080" w:themeColor="background1" w:themeShade="80"/>
                <w:lang w:val="en-GB"/>
              </w:rPr>
            </w:pPr>
            <w:r w:rsidRPr="00F542FC">
              <w:rPr>
                <w:rFonts w:ascii="Arial" w:hAnsi="Arial" w:cs="Arial"/>
                <w:i/>
                <w:color w:val="808080" w:themeColor="background1" w:themeShade="80"/>
                <w:lang w:val="en-GB"/>
              </w:rPr>
              <w:t xml:space="preserve">Modified Traditional Classroom - Floor Plan </w:t>
            </w:r>
          </w:p>
        </w:tc>
        <w:tc>
          <w:tcPr>
            <w:tcW w:w="3410" w:type="dxa"/>
          </w:tcPr>
          <w:p w14:paraId="700C594D" w14:textId="77777777" w:rsidR="00471606" w:rsidRPr="00F542FC" w:rsidRDefault="00471606" w:rsidP="00ED0631">
            <w:pPr>
              <w:rPr>
                <w:rFonts w:ascii="Arial" w:hAnsi="Arial" w:cs="Arial"/>
                <w:noProof/>
                <w:color w:val="000000"/>
                <w:lang w:eastAsia="en-AU"/>
              </w:rPr>
            </w:pPr>
          </w:p>
          <w:p w14:paraId="24CADF1A" w14:textId="77777777" w:rsidR="00471606" w:rsidRPr="00F542FC" w:rsidRDefault="00471606" w:rsidP="00ED0631">
            <w:pPr>
              <w:rPr>
                <w:rFonts w:ascii="Arial" w:hAnsi="Arial" w:cs="Arial"/>
                <w:noProof/>
                <w:color w:val="000000"/>
                <w:lang w:eastAsia="en-AU"/>
              </w:rPr>
            </w:pPr>
          </w:p>
          <w:p w14:paraId="15DDB34D" w14:textId="77777777" w:rsidR="00471606" w:rsidRPr="00F542FC" w:rsidRDefault="00471606" w:rsidP="00ED0631">
            <w:pPr>
              <w:rPr>
                <w:rFonts w:ascii="Arial" w:hAnsi="Arial" w:cs="Arial"/>
                <w:color w:val="000000"/>
                <w:lang w:val="en-GB"/>
              </w:rPr>
            </w:pPr>
            <w:r w:rsidRPr="00F542FC">
              <w:rPr>
                <w:rFonts w:ascii="Arial" w:hAnsi="Arial" w:cs="Arial"/>
                <w:noProof/>
                <w:color w:val="000000"/>
                <w:lang w:eastAsia="en-AU"/>
              </w:rPr>
              <w:drawing>
                <wp:inline distT="0" distB="0" distL="0" distR="0" wp14:anchorId="2E9D67BD" wp14:editId="432F0999">
                  <wp:extent cx="2028263" cy="1149350"/>
                  <wp:effectExtent l="0" t="0" r="0" b="0"/>
                  <wp:docPr id="90" name="Picture 90" descr="Modified traditional classroom - typical cross sectio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Modified Traditional - Section.jpg"/>
                          <pic:cNvPicPr/>
                        </pic:nvPicPr>
                        <pic:blipFill>
                          <a:blip r:embed="rId119" cstate="email">
                            <a:extLst>
                              <a:ext uri="{28A0092B-C50C-407E-A947-70E740481C1C}">
                                <a14:useLocalDpi xmlns:a14="http://schemas.microsoft.com/office/drawing/2010/main"/>
                              </a:ext>
                            </a:extLst>
                          </a:blip>
                          <a:stretch>
                            <a:fillRect/>
                          </a:stretch>
                        </pic:blipFill>
                        <pic:spPr>
                          <a:xfrm>
                            <a:off x="0" y="0"/>
                            <a:ext cx="2028094" cy="1149254"/>
                          </a:xfrm>
                          <a:prstGeom prst="rect">
                            <a:avLst/>
                          </a:prstGeom>
                        </pic:spPr>
                      </pic:pic>
                    </a:graphicData>
                  </a:graphic>
                </wp:inline>
              </w:drawing>
            </w:r>
          </w:p>
          <w:p w14:paraId="73D6430E" w14:textId="77777777" w:rsidR="00471606" w:rsidRPr="00F542FC" w:rsidRDefault="00471606" w:rsidP="00ED0631">
            <w:pPr>
              <w:rPr>
                <w:rFonts w:ascii="Arial" w:hAnsi="Arial" w:cs="Arial"/>
                <w:i/>
                <w:color w:val="808080" w:themeColor="background1" w:themeShade="80"/>
                <w:lang w:val="en-GB"/>
              </w:rPr>
            </w:pPr>
            <w:r w:rsidRPr="00F542FC">
              <w:rPr>
                <w:rFonts w:ascii="Arial" w:hAnsi="Arial" w:cs="Arial"/>
                <w:i/>
                <w:color w:val="808080" w:themeColor="background1" w:themeShade="80"/>
                <w:lang w:val="en-GB"/>
              </w:rPr>
              <w:t xml:space="preserve">Modified Traditional Classroom - Typical Cross Section </w:t>
            </w:r>
          </w:p>
        </w:tc>
        <w:tc>
          <w:tcPr>
            <w:tcW w:w="3252" w:type="dxa"/>
          </w:tcPr>
          <w:p w14:paraId="7DD7668B" w14:textId="77777777" w:rsidR="00471606" w:rsidRPr="00F542FC" w:rsidRDefault="00471606" w:rsidP="00ED0631">
            <w:pPr>
              <w:rPr>
                <w:rFonts w:ascii="Arial" w:hAnsi="Arial" w:cs="Arial"/>
                <w:noProof/>
                <w:color w:val="000000"/>
                <w:lang w:eastAsia="en-AU"/>
              </w:rPr>
            </w:pPr>
          </w:p>
          <w:p w14:paraId="4B85E971" w14:textId="77777777" w:rsidR="00471606" w:rsidRPr="00F542FC" w:rsidRDefault="00471606" w:rsidP="00ED0631">
            <w:pPr>
              <w:rPr>
                <w:rFonts w:ascii="Arial" w:hAnsi="Arial" w:cs="Arial"/>
                <w:noProof/>
                <w:color w:val="000000"/>
                <w:lang w:eastAsia="en-AU"/>
              </w:rPr>
            </w:pPr>
          </w:p>
          <w:p w14:paraId="6B597322" w14:textId="77777777" w:rsidR="00471606" w:rsidRPr="00F542FC" w:rsidRDefault="00471606" w:rsidP="00ED0631">
            <w:pPr>
              <w:rPr>
                <w:rFonts w:ascii="Arial" w:hAnsi="Arial" w:cs="Arial"/>
                <w:color w:val="000000"/>
                <w:lang w:val="en-GB"/>
              </w:rPr>
            </w:pPr>
            <w:r w:rsidRPr="00F542FC">
              <w:rPr>
                <w:rFonts w:ascii="Arial" w:hAnsi="Arial" w:cs="Arial"/>
                <w:noProof/>
                <w:color w:val="000000"/>
                <w:lang w:eastAsia="en-AU"/>
              </w:rPr>
              <w:drawing>
                <wp:inline distT="0" distB="0" distL="0" distR="0" wp14:anchorId="3C636500" wp14:editId="4C2690AF">
                  <wp:extent cx="1850572" cy="1176171"/>
                  <wp:effectExtent l="0" t="0" r="0" b="5080"/>
                  <wp:docPr id="91" name="Picture 91" descr="Modified traditional classroom - perspective view"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Modified Traditional - Perspective.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47844" cy="1174437"/>
                          </a:xfrm>
                          <a:prstGeom prst="rect">
                            <a:avLst/>
                          </a:prstGeom>
                        </pic:spPr>
                      </pic:pic>
                    </a:graphicData>
                  </a:graphic>
                </wp:inline>
              </w:drawing>
            </w:r>
          </w:p>
          <w:p w14:paraId="3D8A1D3D" w14:textId="77777777" w:rsidR="00471606" w:rsidRPr="00F542FC" w:rsidRDefault="00471606" w:rsidP="00ED0631">
            <w:pPr>
              <w:rPr>
                <w:rFonts w:ascii="Arial" w:hAnsi="Arial" w:cs="Arial"/>
                <w:i/>
                <w:color w:val="000000"/>
                <w:lang w:val="en-GB"/>
              </w:rPr>
            </w:pPr>
            <w:r w:rsidRPr="00F542FC">
              <w:rPr>
                <w:rFonts w:ascii="Arial" w:hAnsi="Arial" w:cs="Arial"/>
                <w:i/>
                <w:color w:val="808080" w:themeColor="background1" w:themeShade="80"/>
                <w:lang w:val="en-GB"/>
              </w:rPr>
              <w:t>Modified Traditional Classroom – Perspective View</w:t>
            </w:r>
          </w:p>
        </w:tc>
      </w:tr>
    </w:tbl>
    <w:p w14:paraId="1E08A5AC" w14:textId="77777777" w:rsidR="00471606" w:rsidRPr="00F542FC" w:rsidRDefault="00471606" w:rsidP="00AE24CE">
      <w:pPr>
        <w:pStyle w:val="Heading2"/>
        <w:numPr>
          <w:ilvl w:val="0"/>
          <w:numId w:val="30"/>
        </w:numPr>
        <w:spacing w:after="160" w:line="240" w:lineRule="atLeast"/>
        <w:ind w:left="425" w:hanging="425"/>
      </w:pPr>
      <w:bookmarkStart w:id="311" w:name="_Toc461615896"/>
      <w:r w:rsidRPr="00F542FC">
        <w:t>Modified Blockwork Buildings (2013)</w:t>
      </w:r>
      <w:bookmarkEnd w:id="311"/>
    </w:p>
    <w:p w14:paraId="4CC86C9C" w14:textId="77777777"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At the commencement of KEIP in 2011, it was expected that all new urban classrooms would utilise the standard MoE / MPWU design comprising core-filled local concrete blockwork reinforced with steel. Unfortunately, due to sand and gravel from the beach, the salty water supply and the extremely aggressive marine environment, most buildings of this type fail quickly due to ‘concrete cancer’. </w:t>
      </w:r>
    </w:p>
    <w:p w14:paraId="3FFB6E32" w14:textId="77777777" w:rsidR="00471606" w:rsidRPr="00F542FC" w:rsidRDefault="00471606" w:rsidP="00ED0631">
      <w:pPr>
        <w:spacing w:before="120" w:after="120" w:line="240" w:lineRule="atLeast"/>
        <w:rPr>
          <w:rFonts w:ascii="Arial" w:hAnsi="Arial" w:cs="Arial"/>
          <w:spacing w:val="-3"/>
          <w:lang w:val="en-GB"/>
        </w:rPr>
      </w:pPr>
      <w:r w:rsidRPr="00F542FC">
        <w:rPr>
          <w:rFonts w:ascii="Arial" w:hAnsi="Arial" w:cs="Arial"/>
          <w:spacing w:val="-3"/>
          <w:lang w:val="en-GB"/>
        </w:rPr>
        <w:t xml:space="preserve">Determined to eliminate concrete cancer from new blockwork, the KEIP Infrastructure Team replaced steel reinforcing with stainless steel strap and buttressed the walls for greater stability. The MPWU accepted this as a fully ‘engineered’ solution for the upgrading of Abounamou primary school on South Tarawa and all seven primary schools in the Line Islands. Unfortunately at Abounamou there were issues with the builder which resulted in long delays. The buildings were eventually finished to an adequate standard but the process was not ideal for showcasing the innovative structural solutions to Stakeholders. </w:t>
      </w:r>
    </w:p>
    <w:p w14:paraId="2BBF3F9E" w14:textId="77777777"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Outside of KEIP, two new buildings at the Special School on South Tarawa have been constructed using this system and the technique is also being considered for an extension to the Office of the President in Bairiki.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868"/>
        <w:gridCol w:w="5400"/>
      </w:tblGrid>
      <w:tr w:rsidR="00471606" w:rsidRPr="00F542FC" w14:paraId="57723140" w14:textId="77777777" w:rsidTr="00ED0631">
        <w:tc>
          <w:tcPr>
            <w:tcW w:w="1897" w:type="dxa"/>
          </w:tcPr>
          <w:p w14:paraId="62F866DD" w14:textId="77777777" w:rsidR="00471606" w:rsidRPr="00F542FC" w:rsidRDefault="00471606" w:rsidP="00ED0631">
            <w:pPr>
              <w:spacing w:before="120" w:after="120"/>
              <w:rPr>
                <w:rFonts w:ascii="Arial" w:hAnsi="Arial" w:cs="Arial"/>
                <w:color w:val="000000"/>
                <w:lang w:val="en-GB"/>
              </w:rPr>
            </w:pPr>
            <w:r w:rsidRPr="00F542FC">
              <w:rPr>
                <w:rFonts w:ascii="Arial" w:hAnsi="Arial" w:cs="Arial"/>
                <w:noProof/>
                <w:color w:val="000000"/>
                <w:lang w:eastAsia="en-AU"/>
              </w:rPr>
              <w:drawing>
                <wp:inline distT="0" distB="0" distL="0" distR="0" wp14:anchorId="7E8961B0" wp14:editId="7E900F31">
                  <wp:extent cx="1129554" cy="2008094"/>
                  <wp:effectExtent l="0" t="0" r="0" b="0"/>
                  <wp:docPr id="92" name="Picture 92" descr="Stainless steel strap reinforcin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1 (reduced).jpg"/>
                          <pic:cNvPicPr/>
                        </pic:nvPicPr>
                        <pic:blipFill>
                          <a:blip r:embed="rId121" cstate="email">
                            <a:extLst>
                              <a:ext uri="{28A0092B-C50C-407E-A947-70E740481C1C}">
                                <a14:useLocalDpi xmlns:a14="http://schemas.microsoft.com/office/drawing/2010/main"/>
                              </a:ext>
                            </a:extLst>
                          </a:blip>
                          <a:stretch>
                            <a:fillRect/>
                          </a:stretch>
                        </pic:blipFill>
                        <pic:spPr>
                          <a:xfrm>
                            <a:off x="0" y="0"/>
                            <a:ext cx="1131303" cy="2011203"/>
                          </a:xfrm>
                          <a:prstGeom prst="rect">
                            <a:avLst/>
                          </a:prstGeom>
                        </pic:spPr>
                      </pic:pic>
                    </a:graphicData>
                  </a:graphic>
                </wp:inline>
              </w:drawing>
            </w:r>
          </w:p>
          <w:p w14:paraId="6E8F1DA6" w14:textId="77777777" w:rsidR="00471606" w:rsidRPr="00F542FC" w:rsidRDefault="00471606" w:rsidP="00ED0631">
            <w:pPr>
              <w:spacing w:before="120" w:after="120"/>
              <w:rPr>
                <w:rFonts w:ascii="Arial" w:hAnsi="Arial" w:cs="Arial"/>
                <w:color w:val="000000"/>
                <w:lang w:val="en-GB"/>
              </w:rPr>
            </w:pPr>
            <w:r w:rsidRPr="00F542FC">
              <w:rPr>
                <w:rFonts w:ascii="Arial" w:hAnsi="Arial" w:cs="Arial"/>
                <w:i/>
                <w:color w:val="808080" w:themeColor="background1" w:themeShade="80"/>
                <w:lang w:val="en-GB"/>
              </w:rPr>
              <w:t>Stainless steel strap reinforcing</w:t>
            </w:r>
          </w:p>
        </w:tc>
        <w:tc>
          <w:tcPr>
            <w:tcW w:w="1897" w:type="dxa"/>
          </w:tcPr>
          <w:p w14:paraId="037162B1" w14:textId="77777777" w:rsidR="00471606" w:rsidRPr="00F542FC" w:rsidRDefault="00471606" w:rsidP="00ED0631">
            <w:pPr>
              <w:spacing w:before="120" w:after="120"/>
              <w:rPr>
                <w:rFonts w:ascii="Arial" w:hAnsi="Arial" w:cs="Arial"/>
                <w:color w:val="000000"/>
                <w:lang w:val="en-GB"/>
              </w:rPr>
            </w:pPr>
            <w:r w:rsidRPr="00F542FC">
              <w:rPr>
                <w:rFonts w:ascii="Arial" w:hAnsi="Arial" w:cs="Arial"/>
                <w:noProof/>
                <w:color w:val="000000"/>
                <w:lang w:eastAsia="en-AU"/>
              </w:rPr>
              <w:drawing>
                <wp:inline distT="0" distB="0" distL="0" distR="0" wp14:anchorId="73DB59B0" wp14:editId="77A3B81E">
                  <wp:extent cx="1129553" cy="2008093"/>
                  <wp:effectExtent l="0" t="0" r="0" b="0"/>
                  <wp:docPr id="93" name="Picture 93" descr="Buttressed wall with integral bookshelf"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Buttressed Blockwork - Abounamou PS.jpg"/>
                          <pic:cNvPicPr/>
                        </pic:nvPicPr>
                        <pic:blipFill>
                          <a:blip r:embed="rId122" cstate="email">
                            <a:extLst>
                              <a:ext uri="{28A0092B-C50C-407E-A947-70E740481C1C}">
                                <a14:useLocalDpi xmlns:a14="http://schemas.microsoft.com/office/drawing/2010/main"/>
                              </a:ext>
                            </a:extLst>
                          </a:blip>
                          <a:stretch>
                            <a:fillRect/>
                          </a:stretch>
                        </pic:blipFill>
                        <pic:spPr>
                          <a:xfrm>
                            <a:off x="0" y="0"/>
                            <a:ext cx="1131035" cy="2010727"/>
                          </a:xfrm>
                          <a:prstGeom prst="rect">
                            <a:avLst/>
                          </a:prstGeom>
                        </pic:spPr>
                      </pic:pic>
                    </a:graphicData>
                  </a:graphic>
                </wp:inline>
              </w:drawing>
            </w:r>
          </w:p>
          <w:p w14:paraId="2FE3DDAB" w14:textId="77777777" w:rsidR="00471606" w:rsidRPr="00F542FC" w:rsidRDefault="00471606" w:rsidP="00ED0631">
            <w:pPr>
              <w:spacing w:before="120" w:after="120"/>
              <w:rPr>
                <w:rFonts w:ascii="Arial" w:hAnsi="Arial" w:cs="Arial"/>
                <w:color w:val="000000"/>
                <w:lang w:val="en-GB"/>
              </w:rPr>
            </w:pPr>
            <w:r w:rsidRPr="00F542FC">
              <w:rPr>
                <w:rFonts w:ascii="Arial" w:hAnsi="Arial" w:cs="Arial"/>
                <w:i/>
                <w:color w:val="808080" w:themeColor="background1" w:themeShade="80"/>
                <w:lang w:val="en-GB"/>
              </w:rPr>
              <w:t>Buttressed wall with integral bookshelf</w:t>
            </w:r>
          </w:p>
        </w:tc>
        <w:tc>
          <w:tcPr>
            <w:tcW w:w="5492" w:type="dxa"/>
          </w:tcPr>
          <w:p w14:paraId="53BBB9E5" w14:textId="77777777" w:rsidR="00471606" w:rsidRPr="00F542FC" w:rsidRDefault="00471606" w:rsidP="00ED0631">
            <w:pPr>
              <w:spacing w:before="120" w:after="120"/>
              <w:rPr>
                <w:rFonts w:ascii="Arial" w:hAnsi="Arial" w:cs="Arial"/>
                <w:color w:val="000000"/>
                <w:lang w:val="en-GB"/>
              </w:rPr>
            </w:pPr>
            <w:r w:rsidRPr="00F542FC">
              <w:rPr>
                <w:rFonts w:ascii="Arial" w:hAnsi="Arial" w:cs="Arial"/>
                <w:noProof/>
                <w:color w:val="000000"/>
                <w:lang w:eastAsia="en-AU"/>
              </w:rPr>
              <w:drawing>
                <wp:inline distT="0" distB="0" distL="0" distR="0" wp14:anchorId="1D940E97" wp14:editId="5EDB57B3">
                  <wp:extent cx="3537948" cy="1990165"/>
                  <wp:effectExtent l="0" t="0" r="5715" b="0"/>
                  <wp:docPr id="94" name="Picture 94" descr="New blockwork buildings at Abounamou Primary Scho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uttressed Blockwork - Abounamou PS.jpg"/>
                          <pic:cNvPicPr/>
                        </pic:nvPicPr>
                        <pic:blipFill>
                          <a:blip r:embed="rId123" cstate="email">
                            <a:extLst>
                              <a:ext uri="{28A0092B-C50C-407E-A947-70E740481C1C}">
                                <a14:useLocalDpi xmlns:a14="http://schemas.microsoft.com/office/drawing/2010/main"/>
                              </a:ext>
                            </a:extLst>
                          </a:blip>
                          <a:stretch>
                            <a:fillRect/>
                          </a:stretch>
                        </pic:blipFill>
                        <pic:spPr>
                          <a:xfrm>
                            <a:off x="0" y="0"/>
                            <a:ext cx="3548701" cy="1996214"/>
                          </a:xfrm>
                          <a:prstGeom prst="rect">
                            <a:avLst/>
                          </a:prstGeom>
                        </pic:spPr>
                      </pic:pic>
                    </a:graphicData>
                  </a:graphic>
                </wp:inline>
              </w:drawing>
            </w:r>
          </w:p>
          <w:p w14:paraId="63D758B0" w14:textId="77777777" w:rsidR="00471606" w:rsidRPr="00F542FC" w:rsidRDefault="00471606" w:rsidP="00ED0631">
            <w:pPr>
              <w:spacing w:before="120" w:after="120"/>
              <w:rPr>
                <w:rFonts w:ascii="Arial" w:hAnsi="Arial" w:cs="Arial"/>
                <w:color w:val="000000"/>
                <w:lang w:val="en-GB"/>
              </w:rPr>
            </w:pPr>
            <w:r w:rsidRPr="00F542FC">
              <w:rPr>
                <w:rFonts w:ascii="Arial" w:hAnsi="Arial" w:cs="Arial"/>
                <w:i/>
                <w:color w:val="808080" w:themeColor="background1" w:themeShade="80"/>
                <w:lang w:val="en-GB"/>
              </w:rPr>
              <w:t>New blockwork buildings at Abounamou Primary School</w:t>
            </w:r>
          </w:p>
        </w:tc>
      </w:tr>
    </w:tbl>
    <w:p w14:paraId="52D851DF" w14:textId="77777777" w:rsidR="00471606" w:rsidRPr="00F542FC" w:rsidRDefault="00471606" w:rsidP="00AE24CE">
      <w:pPr>
        <w:pStyle w:val="Heading2"/>
        <w:numPr>
          <w:ilvl w:val="0"/>
          <w:numId w:val="30"/>
        </w:numPr>
        <w:spacing w:after="160" w:line="240" w:lineRule="atLeast"/>
        <w:ind w:left="425" w:hanging="425"/>
      </w:pPr>
      <w:bookmarkStart w:id="312" w:name="_Toc461615897"/>
      <w:r w:rsidRPr="00F542FC">
        <w:t>Semi-Permanent Kitset Classrooms (Nov 2013)</w:t>
      </w:r>
      <w:bookmarkEnd w:id="312"/>
    </w:p>
    <w:p w14:paraId="4FC9A7E2" w14:textId="4BD616C6"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At the request of the Minister for Education, the KEIP Infrastructure Team designed a ‘semi-permanent’ double classroom block for the outer islands. The system would comprise a raised timber floor or concrete slab-on-ground; pre-fabricated timber wall, window and door panels; plywood lining and </w:t>
      </w:r>
      <w:r w:rsidR="00956E4D">
        <w:rPr>
          <w:rFonts w:ascii="Arial" w:hAnsi="Arial" w:cs="Arial"/>
          <w:lang w:val="en-GB"/>
        </w:rPr>
        <w:t>C</w:t>
      </w:r>
      <w:r w:rsidRPr="00F542FC">
        <w:rPr>
          <w:rFonts w:ascii="Arial" w:hAnsi="Arial" w:cs="Arial"/>
          <w:lang w:val="en-GB"/>
        </w:rPr>
        <w:t xml:space="preserve">olorbond steel cladding; timber scissor-trusses; polycarbonate gable cladding </w:t>
      </w:r>
      <w:r w:rsidRPr="00F542FC">
        <w:rPr>
          <w:rFonts w:ascii="Arial" w:hAnsi="Arial" w:cs="Arial"/>
          <w:lang w:val="en-GB"/>
        </w:rPr>
        <w:lastRenderedPageBreak/>
        <w:t xml:space="preserve">(for natural lighting) and traditional leaf roof for insulation and to ensure continued community involvement in the school through maintenance and replacement of traditional materials. </w:t>
      </w:r>
    </w:p>
    <w:p w14:paraId="063A7B12" w14:textId="77777777"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The Minister presented this solution to Cabinet but the system was ruled unacceptable because it was not fully permanent.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7"/>
        <w:gridCol w:w="1341"/>
        <w:gridCol w:w="2048"/>
      </w:tblGrid>
      <w:tr w:rsidR="00471606" w:rsidRPr="00F542FC" w14:paraId="0380B1FF" w14:textId="77777777" w:rsidTr="00ED0631">
        <w:tc>
          <w:tcPr>
            <w:tcW w:w="5920" w:type="dxa"/>
          </w:tcPr>
          <w:p w14:paraId="0C901F95" w14:textId="77777777" w:rsidR="00471606" w:rsidRPr="00F542FC" w:rsidRDefault="00471606" w:rsidP="00ED0631">
            <w:pPr>
              <w:spacing w:before="120" w:after="120"/>
              <w:rPr>
                <w:rFonts w:ascii="Arial" w:hAnsi="Arial" w:cs="Arial"/>
                <w:color w:val="000000"/>
                <w:lang w:val="en-GB"/>
              </w:rPr>
            </w:pPr>
            <w:r w:rsidRPr="00F542FC">
              <w:rPr>
                <w:rFonts w:ascii="Arial" w:hAnsi="Arial" w:cs="Arial"/>
                <w:noProof/>
                <w:color w:val="000000"/>
                <w:lang w:eastAsia="en-AU"/>
              </w:rPr>
              <w:drawing>
                <wp:inline distT="0" distB="0" distL="0" distR="0" wp14:anchorId="2F6C2B82" wp14:editId="1FC05129">
                  <wp:extent cx="2911929" cy="1555528"/>
                  <wp:effectExtent l="0" t="0" r="3175" b="6985"/>
                  <wp:docPr id="95" name="Picture 95" descr="Typical semi-permanent kitset classroom bloc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8 Semi Perm Class Room Kit 2.jpg"/>
                          <pic:cNvPicPr/>
                        </pic:nvPicPr>
                        <pic:blipFill>
                          <a:blip r:embed="rId124" cstate="email">
                            <a:extLst>
                              <a:ext uri="{28A0092B-C50C-407E-A947-70E740481C1C}">
                                <a14:useLocalDpi xmlns:a14="http://schemas.microsoft.com/office/drawing/2010/main"/>
                              </a:ext>
                            </a:extLst>
                          </a:blip>
                          <a:stretch>
                            <a:fillRect/>
                          </a:stretch>
                        </pic:blipFill>
                        <pic:spPr>
                          <a:xfrm>
                            <a:off x="0" y="0"/>
                            <a:ext cx="2918509" cy="1559043"/>
                          </a:xfrm>
                          <a:prstGeom prst="rect">
                            <a:avLst/>
                          </a:prstGeom>
                        </pic:spPr>
                      </pic:pic>
                    </a:graphicData>
                  </a:graphic>
                </wp:inline>
              </w:drawing>
            </w:r>
          </w:p>
          <w:p w14:paraId="101859E5" w14:textId="77777777" w:rsidR="00471606" w:rsidRPr="00F542FC" w:rsidRDefault="00471606" w:rsidP="00ED0631">
            <w:pPr>
              <w:spacing w:before="120" w:after="120"/>
              <w:rPr>
                <w:rFonts w:ascii="Arial" w:hAnsi="Arial" w:cs="Arial"/>
                <w:color w:val="000000"/>
                <w:lang w:val="en-GB"/>
              </w:rPr>
            </w:pPr>
            <w:r w:rsidRPr="00F542FC">
              <w:rPr>
                <w:rFonts w:ascii="Arial" w:hAnsi="Arial" w:cs="Arial"/>
                <w:i/>
                <w:color w:val="808080" w:themeColor="background1" w:themeShade="80"/>
                <w:lang w:val="en-GB"/>
              </w:rPr>
              <w:t>Typical semi-permanent kitset classroom block</w:t>
            </w:r>
          </w:p>
        </w:tc>
        <w:tc>
          <w:tcPr>
            <w:tcW w:w="1548" w:type="dxa"/>
          </w:tcPr>
          <w:p w14:paraId="113D539A" w14:textId="77777777" w:rsidR="00471606" w:rsidRPr="00F542FC" w:rsidRDefault="00471606" w:rsidP="00ED0631">
            <w:pPr>
              <w:rPr>
                <w:rFonts w:ascii="Arial" w:hAnsi="Arial" w:cs="Arial"/>
                <w:color w:val="000000"/>
                <w:lang w:val="en-GB"/>
              </w:rPr>
            </w:pPr>
          </w:p>
        </w:tc>
        <w:tc>
          <w:tcPr>
            <w:tcW w:w="2385" w:type="dxa"/>
          </w:tcPr>
          <w:p w14:paraId="78BCF144" w14:textId="77777777" w:rsidR="00471606" w:rsidRPr="00F542FC" w:rsidRDefault="00471606" w:rsidP="00ED0631">
            <w:pPr>
              <w:rPr>
                <w:rFonts w:ascii="Arial" w:hAnsi="Arial" w:cs="Arial"/>
                <w:color w:val="000000"/>
                <w:lang w:val="en-GB"/>
              </w:rPr>
            </w:pPr>
          </w:p>
        </w:tc>
      </w:tr>
    </w:tbl>
    <w:p w14:paraId="7B393383" w14:textId="77777777" w:rsidR="00471606" w:rsidRPr="00F542FC" w:rsidRDefault="00471606" w:rsidP="00AE24CE">
      <w:pPr>
        <w:pStyle w:val="Heading2"/>
        <w:numPr>
          <w:ilvl w:val="0"/>
          <w:numId w:val="30"/>
        </w:numPr>
        <w:spacing w:after="160" w:line="240" w:lineRule="atLeast"/>
        <w:ind w:left="425" w:hanging="425"/>
      </w:pPr>
      <w:bookmarkStart w:id="313" w:name="_Toc461615898"/>
      <w:r w:rsidRPr="00F542FC">
        <w:t>Permanent Kitset Prototype (2014)</w:t>
      </w:r>
      <w:bookmarkEnd w:id="313"/>
    </w:p>
    <w:p w14:paraId="5C7A2B6A" w14:textId="77777777"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In order to fully satisfy GoK requirements for ‘permanent’ buildings, the KEIP Infrastructure Team further developed the kitset concept to include standard timber roof trusses, raking plywood ceilings and a colorbond steel roof. A promotional document titled ‘New Kitset Designs for Kiribati Primary Schools’ was presented to Cabinet and was endorsed as a suitable ‘permanent’ solution for Kiribati primary schools. </w:t>
      </w:r>
    </w:p>
    <w:p w14:paraId="55E0610A" w14:textId="77777777"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Prototype buildings were then constructed at Bareaumai primary school to test and fine-tune the concept. Six classrooms were built with raised timber floors and two classrooms were built on a concrete slab. The new prototype ‘kitset’ buildings involved a contract for supply of materials, a contract for pre-fabrication of kitset ‘modules’ and a contract for erection of the buildings on site. </w:t>
      </w:r>
    </w:p>
    <w:p w14:paraId="1BF7AD2D" w14:textId="77777777" w:rsidR="00471606" w:rsidRPr="00F542FC" w:rsidRDefault="00471606" w:rsidP="00ED0631">
      <w:pPr>
        <w:spacing w:before="120" w:after="120" w:line="240" w:lineRule="atLeast"/>
        <w:rPr>
          <w:rFonts w:ascii="Arial" w:hAnsi="Arial" w:cs="Arial"/>
          <w:color w:val="FF0000"/>
          <w:lang w:val="en-GB"/>
        </w:rPr>
      </w:pPr>
      <w:r w:rsidRPr="00F542FC">
        <w:rPr>
          <w:rFonts w:ascii="Arial" w:hAnsi="Arial" w:cs="Arial"/>
          <w:lang w:val="en-GB"/>
        </w:rPr>
        <w:t xml:space="preserve">As local contractors were largely unfamiliar with the systems and costs involved, both pre-fabrication and erection were carried out using ‘open-book’ contracts, where all times and costs were collected to inform the on-going KEF construction program and budgeting. The finished buildings were well received by all Stakeholders and have become a model for the upgrading of urban schools.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055"/>
        <w:gridCol w:w="3055"/>
      </w:tblGrid>
      <w:tr w:rsidR="00471606" w:rsidRPr="00F542FC" w14:paraId="01BC8809" w14:textId="77777777" w:rsidTr="00ED0631">
        <w:tc>
          <w:tcPr>
            <w:tcW w:w="3284" w:type="dxa"/>
          </w:tcPr>
          <w:p w14:paraId="07BB6A72" w14:textId="77777777" w:rsidR="00471606" w:rsidRPr="00F542FC" w:rsidRDefault="00471606" w:rsidP="00ED0631">
            <w:pPr>
              <w:spacing w:before="120"/>
              <w:rPr>
                <w:rFonts w:ascii="Arial" w:hAnsi="Arial" w:cs="Arial"/>
                <w:color w:val="000000"/>
                <w:lang w:val="en-GB"/>
              </w:rPr>
            </w:pPr>
            <w:r w:rsidRPr="00F542FC">
              <w:rPr>
                <w:rFonts w:ascii="Arial" w:hAnsi="Arial" w:cs="Arial"/>
                <w:noProof/>
                <w:color w:val="000000"/>
                <w:lang w:eastAsia="en-AU"/>
              </w:rPr>
              <w:drawing>
                <wp:inline distT="0" distB="0" distL="0" distR="0" wp14:anchorId="6DF0EF2A" wp14:editId="2FF65149">
                  <wp:extent cx="1915885" cy="1436914"/>
                  <wp:effectExtent l="0" t="0" r="8255" b="0"/>
                  <wp:docPr id="96" name="Picture 96" descr="Kitset window module under fabrication at the Kitset Factory"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set Window Panel.jpg"/>
                          <pic:cNvPicPr/>
                        </pic:nvPicPr>
                        <pic:blipFill>
                          <a:blip r:embed="rId125" cstate="email">
                            <a:extLst>
                              <a:ext uri="{28A0092B-C50C-407E-A947-70E740481C1C}">
                                <a14:useLocalDpi xmlns:a14="http://schemas.microsoft.com/office/drawing/2010/main"/>
                              </a:ext>
                            </a:extLst>
                          </a:blip>
                          <a:stretch>
                            <a:fillRect/>
                          </a:stretch>
                        </pic:blipFill>
                        <pic:spPr>
                          <a:xfrm>
                            <a:off x="0" y="0"/>
                            <a:ext cx="1914020" cy="1435515"/>
                          </a:xfrm>
                          <a:prstGeom prst="rect">
                            <a:avLst/>
                          </a:prstGeom>
                        </pic:spPr>
                      </pic:pic>
                    </a:graphicData>
                  </a:graphic>
                </wp:inline>
              </w:drawing>
            </w:r>
          </w:p>
          <w:p w14:paraId="3BEF5BC0" w14:textId="77777777" w:rsidR="00471606" w:rsidRPr="00F542FC" w:rsidRDefault="00471606" w:rsidP="00ED0631">
            <w:pPr>
              <w:spacing w:before="120"/>
              <w:rPr>
                <w:rFonts w:ascii="Arial" w:hAnsi="Arial" w:cs="Arial"/>
                <w:color w:val="000000"/>
                <w:lang w:val="en-GB"/>
              </w:rPr>
            </w:pPr>
            <w:r w:rsidRPr="00F542FC">
              <w:rPr>
                <w:rFonts w:ascii="Arial" w:hAnsi="Arial" w:cs="Arial"/>
                <w:i/>
                <w:color w:val="808080" w:themeColor="background1" w:themeShade="80"/>
                <w:lang w:val="en-GB"/>
              </w:rPr>
              <w:t>Kitset window module under fabrication at the Kitset Factory</w:t>
            </w:r>
          </w:p>
        </w:tc>
        <w:tc>
          <w:tcPr>
            <w:tcW w:w="3284" w:type="dxa"/>
          </w:tcPr>
          <w:p w14:paraId="689FA166" w14:textId="77777777" w:rsidR="00471606" w:rsidRPr="00F542FC" w:rsidRDefault="00471606" w:rsidP="00ED0631">
            <w:pPr>
              <w:spacing w:before="120"/>
              <w:rPr>
                <w:rFonts w:ascii="Arial" w:hAnsi="Arial" w:cs="Arial"/>
                <w:color w:val="000000"/>
                <w:lang w:val="en-GB"/>
              </w:rPr>
            </w:pPr>
            <w:r w:rsidRPr="00F542FC">
              <w:rPr>
                <w:rFonts w:ascii="Arial" w:hAnsi="Arial" w:cs="Arial"/>
                <w:noProof/>
                <w:color w:val="000000"/>
                <w:lang w:eastAsia="en-AU"/>
              </w:rPr>
              <w:drawing>
                <wp:inline distT="0" distB="0" distL="0" distR="0" wp14:anchorId="522F0332" wp14:editId="17992AA0">
                  <wp:extent cx="1937658" cy="1453243"/>
                  <wp:effectExtent l="0" t="0" r="5715" b="0"/>
                  <wp:docPr id="97" name="Picture 97" descr="Delivery of kitset modules to Bareaumai primary scho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Bareaumai PS - Delivery of Kitset Modules to site.jpg"/>
                          <pic:cNvPicPr/>
                        </pic:nvPicPr>
                        <pic:blipFill>
                          <a:blip r:embed="rId126" cstate="email">
                            <a:extLst>
                              <a:ext uri="{28A0092B-C50C-407E-A947-70E740481C1C}">
                                <a14:useLocalDpi xmlns:a14="http://schemas.microsoft.com/office/drawing/2010/main"/>
                              </a:ext>
                            </a:extLst>
                          </a:blip>
                          <a:stretch>
                            <a:fillRect/>
                          </a:stretch>
                        </pic:blipFill>
                        <pic:spPr>
                          <a:xfrm>
                            <a:off x="0" y="0"/>
                            <a:ext cx="1944837" cy="1458627"/>
                          </a:xfrm>
                          <a:prstGeom prst="rect">
                            <a:avLst/>
                          </a:prstGeom>
                        </pic:spPr>
                      </pic:pic>
                    </a:graphicData>
                  </a:graphic>
                </wp:inline>
              </w:drawing>
            </w:r>
          </w:p>
          <w:p w14:paraId="4EFFBF4A" w14:textId="77777777" w:rsidR="00471606" w:rsidRPr="00F542FC" w:rsidRDefault="00471606" w:rsidP="00ED0631">
            <w:pPr>
              <w:spacing w:before="120"/>
              <w:rPr>
                <w:rFonts w:ascii="Arial" w:hAnsi="Arial" w:cs="Arial"/>
                <w:color w:val="000000"/>
                <w:lang w:val="en-GB"/>
              </w:rPr>
            </w:pPr>
            <w:r w:rsidRPr="00F542FC">
              <w:rPr>
                <w:rFonts w:ascii="Arial" w:hAnsi="Arial" w:cs="Arial"/>
                <w:i/>
                <w:color w:val="808080" w:themeColor="background1" w:themeShade="80"/>
                <w:lang w:val="en-GB"/>
              </w:rPr>
              <w:t>Delivery of kitset modules to Bareaumai primary school</w:t>
            </w:r>
          </w:p>
        </w:tc>
        <w:tc>
          <w:tcPr>
            <w:tcW w:w="3285" w:type="dxa"/>
          </w:tcPr>
          <w:p w14:paraId="445A4FAD" w14:textId="77777777" w:rsidR="00471606" w:rsidRPr="00F542FC" w:rsidRDefault="00471606" w:rsidP="00ED0631">
            <w:pPr>
              <w:spacing w:before="120"/>
              <w:rPr>
                <w:rFonts w:ascii="Arial" w:hAnsi="Arial" w:cs="Arial"/>
                <w:color w:val="000000"/>
                <w:lang w:val="en-GB"/>
              </w:rPr>
            </w:pPr>
            <w:r w:rsidRPr="00F542FC">
              <w:rPr>
                <w:rFonts w:ascii="Arial" w:hAnsi="Arial" w:cs="Arial"/>
                <w:noProof/>
                <w:color w:val="000000"/>
                <w:lang w:eastAsia="en-AU"/>
              </w:rPr>
              <w:drawing>
                <wp:inline distT="0" distB="0" distL="0" distR="0" wp14:anchorId="72394D28" wp14:editId="6A04EC14">
                  <wp:extent cx="1937658" cy="1453243"/>
                  <wp:effectExtent l="0" t="0" r="5715" b="0"/>
                  <wp:docPr id="98" name="Picture 98" descr="Kitset classroom block under construction at Bareaumai Primary Scho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30 (1024x768).jpg"/>
                          <pic:cNvPicPr/>
                        </pic:nvPicPr>
                        <pic:blipFill>
                          <a:blip r:embed="rId127" cstate="email">
                            <a:extLst>
                              <a:ext uri="{BEBA8EAE-BF5A-486C-A8C5-ECC9F3942E4B}">
                                <a14:imgProps xmlns:a14="http://schemas.microsoft.com/office/drawing/2010/main">
                                  <a14:imgLayer r:embed="rId128">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939263" cy="1454447"/>
                          </a:xfrm>
                          <a:prstGeom prst="rect">
                            <a:avLst/>
                          </a:prstGeom>
                        </pic:spPr>
                      </pic:pic>
                    </a:graphicData>
                  </a:graphic>
                </wp:inline>
              </w:drawing>
            </w:r>
          </w:p>
          <w:p w14:paraId="57AF78DD" w14:textId="77777777" w:rsidR="00471606" w:rsidRPr="00F542FC" w:rsidRDefault="00471606" w:rsidP="00ED0631">
            <w:pPr>
              <w:spacing w:before="120"/>
              <w:rPr>
                <w:rFonts w:ascii="Arial" w:hAnsi="Arial" w:cs="Arial"/>
                <w:color w:val="000000"/>
                <w:lang w:val="en-GB"/>
              </w:rPr>
            </w:pPr>
            <w:r w:rsidRPr="00F542FC">
              <w:rPr>
                <w:rFonts w:ascii="Arial" w:hAnsi="Arial" w:cs="Arial"/>
                <w:i/>
                <w:color w:val="808080" w:themeColor="background1" w:themeShade="80"/>
                <w:lang w:val="en-GB"/>
              </w:rPr>
              <w:t>Kitset classroom block under construction at Bareaumai PS</w:t>
            </w:r>
          </w:p>
        </w:tc>
      </w:tr>
    </w:tbl>
    <w:p w14:paraId="38BB7B44" w14:textId="77777777" w:rsidR="00471606" w:rsidRPr="00F542FC" w:rsidRDefault="00471606" w:rsidP="00AE24CE">
      <w:pPr>
        <w:pStyle w:val="Heading2"/>
        <w:numPr>
          <w:ilvl w:val="0"/>
          <w:numId w:val="30"/>
        </w:numPr>
        <w:spacing w:after="160" w:line="240" w:lineRule="atLeast"/>
        <w:ind w:left="425" w:hanging="425"/>
      </w:pPr>
      <w:bookmarkStart w:id="314" w:name="_Toc461615899"/>
      <w:r w:rsidRPr="00F542FC">
        <w:t>Labour-Only Construction Contracts (2014)</w:t>
      </w:r>
      <w:bookmarkEnd w:id="314"/>
    </w:p>
    <w:p w14:paraId="0B74A9D0" w14:textId="77777777" w:rsidR="00471606" w:rsidRPr="00F542FC" w:rsidRDefault="00471606" w:rsidP="00ED0631">
      <w:pPr>
        <w:spacing w:before="120" w:after="120" w:line="240" w:lineRule="atLeast"/>
        <w:rPr>
          <w:rFonts w:ascii="Arial" w:hAnsi="Arial" w:cs="Arial"/>
          <w:lang w:val="en-GB"/>
        </w:rPr>
      </w:pPr>
      <w:r w:rsidRPr="00F542FC">
        <w:rPr>
          <w:rFonts w:ascii="Arial" w:hAnsi="Arial" w:cs="Arial"/>
          <w:lang w:val="en-GB"/>
        </w:rPr>
        <w:t xml:space="preserve">Most builders in Kiribati do not have the technical capacity to accurately calculate building material quantities or the financial backing to cover the expense of paying for materials up to 3 months before construction. Since moving to kitset construction in 2014, KEIP has engaged all contractors on ‘labour-only’ (or erect-only) contracts – allowing them to quote on labour and local materials (sand, gravel, etc.) only without the concerns of meeting the high cost of ‘up-front’ supply.  </w:t>
      </w:r>
    </w:p>
    <w:p w14:paraId="15A34D55" w14:textId="77777777" w:rsidR="00471606" w:rsidRPr="00F542FC" w:rsidRDefault="00471606" w:rsidP="00AE24CE">
      <w:pPr>
        <w:pStyle w:val="Heading2"/>
        <w:numPr>
          <w:ilvl w:val="0"/>
          <w:numId w:val="30"/>
        </w:numPr>
        <w:spacing w:after="160" w:line="240" w:lineRule="atLeast"/>
        <w:ind w:left="425" w:hanging="425"/>
      </w:pPr>
      <w:bookmarkStart w:id="315" w:name="_Toc461615900"/>
      <w:r w:rsidRPr="00F542FC">
        <w:t>International Materials Supply Contracts (2014)</w:t>
      </w:r>
      <w:bookmarkEnd w:id="315"/>
    </w:p>
    <w:p w14:paraId="34DA7545"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lastRenderedPageBreak/>
        <w:t xml:space="preserve">In KEIP Phase 1, the Infrastructure Team made a point of utilising local systems and supporting local businesses. Building materials were procured locally by ‘shopping’ for small quantities or tendering out the supply of larger quantities. However, local hardware stores rarely kept adequate quantities and larger suppliers struggled to provide the required quality and consistency. </w:t>
      </w:r>
    </w:p>
    <w:p w14:paraId="3BD1A52B" w14:textId="77777777"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 xml:space="preserve">In KEIP Phase 2, the contracting of Fijian firms for large supply contracts proved problematic due to concerns over reliability, quality, under-supply, delays, origin of materials and difficulty in determining if timber products were from sustainable sources. The Bareaumai permanent kitset prototype buildings were constructed with materials sourced from Fiji. The lack of dimensional accuracy in timber products caused cumulative errors to occur during assembly and stainless steel window security mesh rusted and was replaced by KEIP at the supplier’s expense. </w:t>
      </w:r>
    </w:p>
    <w:p w14:paraId="74BA38F0" w14:textId="0DA61088" w:rsidR="00471606" w:rsidRPr="00F542FC" w:rsidRDefault="00471606" w:rsidP="00ED0631">
      <w:pPr>
        <w:spacing w:before="100" w:after="100" w:line="240" w:lineRule="atLeast"/>
        <w:rPr>
          <w:rFonts w:ascii="Arial" w:hAnsi="Arial" w:cs="Arial"/>
          <w:lang w:val="en-GB"/>
        </w:rPr>
      </w:pPr>
      <w:r w:rsidRPr="00F542FC">
        <w:rPr>
          <w:rFonts w:ascii="Arial" w:hAnsi="Arial" w:cs="Arial"/>
          <w:lang w:val="en-GB"/>
        </w:rPr>
        <w:t>In 2014, KEIP moved to sourcing materials internationally (Australia or New Zealand) and materials for all recent kitset projects have been supplied directly from NZ and to date has resulted in excellent quality, reliability, dimensional accuracy and value-for-money.</w:t>
      </w:r>
    </w:p>
    <w:p w14:paraId="2727329F" w14:textId="227D78BA" w:rsidR="00471606" w:rsidRPr="00F542FC" w:rsidRDefault="00471606" w:rsidP="00AE24CE">
      <w:pPr>
        <w:pStyle w:val="Heading2"/>
        <w:numPr>
          <w:ilvl w:val="0"/>
          <w:numId w:val="30"/>
        </w:numPr>
        <w:spacing w:after="160" w:line="240" w:lineRule="atLeast"/>
        <w:ind w:left="425" w:hanging="425"/>
      </w:pPr>
      <w:bookmarkStart w:id="316" w:name="_Toc461615901"/>
      <w:r w:rsidRPr="00F542FC">
        <w:t>‘Home Grown’ Kitset Classrooms (2015-16)</w:t>
      </w:r>
      <w:bookmarkEnd w:id="316"/>
    </w:p>
    <w:p w14:paraId="25CDB2BD" w14:textId="77777777" w:rsidR="00471606" w:rsidRPr="00F542FC" w:rsidRDefault="00471606" w:rsidP="00ED0631">
      <w:pPr>
        <w:spacing w:before="100" w:after="100" w:line="240" w:lineRule="atLeast"/>
        <w:rPr>
          <w:rFonts w:ascii="Arial" w:hAnsi="Arial" w:cs="Arial"/>
          <w:noProof/>
          <w:color w:val="000000"/>
          <w:lang w:eastAsia="en-AU"/>
        </w:rPr>
      </w:pPr>
      <w:r w:rsidRPr="00F542FC">
        <w:rPr>
          <w:rFonts w:ascii="Arial" w:hAnsi="Arial" w:cs="Arial"/>
          <w:lang w:val="en-GB"/>
        </w:rPr>
        <w:t>Following the success of prototype kitset classrooms at Bareaumai primary school, the KEIP Infrastructure Team</w:t>
      </w:r>
      <w:r w:rsidRPr="00F542FC">
        <w:rPr>
          <w:rFonts w:ascii="Arial" w:hAnsi="Arial" w:cs="Arial"/>
          <w:noProof/>
          <w:color w:val="000000"/>
          <w:lang w:eastAsia="en-AU"/>
        </w:rPr>
        <w:t xml:space="preserve"> has further developed and fine-tuned the system. A number of single storey buildings were installed at St John Bosco primary school in 2015 and a two storey 8 classroom kitset building - developed to address over-crowding issues – was completed in time for the 2016 school year at Rurubao primary school. </w:t>
      </w:r>
    </w:p>
    <w:p w14:paraId="5F4EC03E" w14:textId="77777777" w:rsidR="00471606" w:rsidRPr="00F542FC" w:rsidRDefault="00471606" w:rsidP="00ED0631">
      <w:pPr>
        <w:spacing w:before="100" w:after="100" w:line="240" w:lineRule="atLeast"/>
        <w:rPr>
          <w:rFonts w:ascii="Arial" w:hAnsi="Arial" w:cs="Arial"/>
          <w:noProof/>
          <w:color w:val="000000"/>
          <w:lang w:eastAsia="en-AU"/>
        </w:rPr>
      </w:pPr>
      <w:r w:rsidRPr="00F542FC">
        <w:rPr>
          <w:rFonts w:ascii="Arial" w:hAnsi="Arial" w:cs="Arial"/>
          <w:noProof/>
          <w:color w:val="000000"/>
          <w:lang w:eastAsia="en-AU"/>
        </w:rPr>
        <w:t xml:space="preserve">Two similar buildings are almost complete at Dai Nippon primary school. The two storey building has been so successful that it has recently been extended to 10 classrooms to address overcrowding issues at Temwanoku, Taken Bairiki, Tebanimaneka and War memorial primary schools.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2992"/>
        <w:gridCol w:w="3075"/>
      </w:tblGrid>
      <w:tr w:rsidR="00471606" w:rsidRPr="00F542FC" w14:paraId="2DB5F7F3" w14:textId="77777777" w:rsidTr="00ED0631">
        <w:tc>
          <w:tcPr>
            <w:tcW w:w="3311" w:type="dxa"/>
          </w:tcPr>
          <w:p w14:paraId="6B320494" w14:textId="77777777" w:rsidR="00471606" w:rsidRPr="00F542FC" w:rsidRDefault="00471606" w:rsidP="00ED0631">
            <w:pPr>
              <w:spacing w:before="120" w:after="120"/>
              <w:rPr>
                <w:rFonts w:ascii="Arial" w:hAnsi="Arial" w:cs="Arial"/>
                <w:color w:val="000000"/>
                <w:spacing w:val="-2"/>
                <w:lang w:val="en-GB"/>
              </w:rPr>
            </w:pPr>
            <w:r w:rsidRPr="00F542FC">
              <w:rPr>
                <w:rFonts w:ascii="Arial" w:hAnsi="Arial" w:cs="Arial"/>
                <w:noProof/>
                <w:color w:val="000000"/>
                <w:spacing w:val="-2"/>
                <w:lang w:eastAsia="en-AU"/>
              </w:rPr>
              <w:drawing>
                <wp:inline distT="0" distB="0" distL="0" distR="0" wp14:anchorId="339C6D68" wp14:editId="59E19EB2">
                  <wp:extent cx="2090058" cy="1175658"/>
                  <wp:effectExtent l="0" t="0" r="5715" b="5715"/>
                  <wp:docPr id="99" name="Picture 99" descr="Saint John Bosco Primary School - single storey kitset with raised timber floor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836 (reduced).jpg"/>
                          <pic:cNvPicPr/>
                        </pic:nvPicPr>
                        <pic:blipFill>
                          <a:blip r:embed="rId129" cstate="email">
                            <a:extLst>
                              <a:ext uri="{28A0092B-C50C-407E-A947-70E740481C1C}">
                                <a14:useLocalDpi xmlns:a14="http://schemas.microsoft.com/office/drawing/2010/main"/>
                              </a:ext>
                            </a:extLst>
                          </a:blip>
                          <a:stretch>
                            <a:fillRect/>
                          </a:stretch>
                        </pic:blipFill>
                        <pic:spPr>
                          <a:xfrm>
                            <a:off x="0" y="0"/>
                            <a:ext cx="2088018" cy="1174511"/>
                          </a:xfrm>
                          <a:prstGeom prst="rect">
                            <a:avLst/>
                          </a:prstGeom>
                        </pic:spPr>
                      </pic:pic>
                    </a:graphicData>
                  </a:graphic>
                </wp:inline>
              </w:drawing>
            </w:r>
          </w:p>
          <w:p w14:paraId="78E69DD8" w14:textId="77777777" w:rsidR="00471606" w:rsidRPr="00F542FC" w:rsidRDefault="00471606" w:rsidP="00ED0631">
            <w:pPr>
              <w:spacing w:before="120" w:after="120"/>
              <w:rPr>
                <w:rFonts w:ascii="Arial" w:hAnsi="Arial" w:cs="Arial"/>
                <w:color w:val="000000"/>
                <w:spacing w:val="-2"/>
                <w:lang w:val="en-GB"/>
              </w:rPr>
            </w:pPr>
            <w:r w:rsidRPr="00F542FC">
              <w:rPr>
                <w:rFonts w:ascii="Arial" w:hAnsi="Arial" w:cs="Arial"/>
                <w:i/>
                <w:color w:val="808080" w:themeColor="background1" w:themeShade="80"/>
                <w:spacing w:val="-2"/>
                <w:lang w:val="en-GB"/>
              </w:rPr>
              <w:t>St John Bosco PS - single storey kitset with raised  timber floors</w:t>
            </w:r>
          </w:p>
        </w:tc>
        <w:tc>
          <w:tcPr>
            <w:tcW w:w="3226" w:type="dxa"/>
          </w:tcPr>
          <w:p w14:paraId="42425FE1" w14:textId="77777777" w:rsidR="00471606" w:rsidRPr="00F542FC" w:rsidRDefault="00471606" w:rsidP="00ED0631">
            <w:pPr>
              <w:spacing w:before="120" w:after="120"/>
              <w:rPr>
                <w:rFonts w:ascii="Arial" w:hAnsi="Arial" w:cs="Arial"/>
                <w:color w:val="000000"/>
                <w:lang w:val="en-GB"/>
              </w:rPr>
            </w:pPr>
            <w:r w:rsidRPr="00F542FC">
              <w:rPr>
                <w:rFonts w:ascii="Arial" w:hAnsi="Arial" w:cs="Arial"/>
                <w:noProof/>
                <w:color w:val="000000"/>
                <w:lang w:eastAsia="en-AU"/>
              </w:rPr>
              <w:drawing>
                <wp:inline distT="0" distB="0" distL="0" distR="0" wp14:anchorId="7F608E68" wp14:editId="3F91EDED">
                  <wp:extent cx="1943100" cy="1181099"/>
                  <wp:effectExtent l="0" t="0" r="0" b="635"/>
                  <wp:docPr id="100" name="Picture 100" descr="Saint John Bosco Primary School - typical new single storey kitset building"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37 (reduced).jpg"/>
                          <pic:cNvPicPr/>
                        </pic:nvPicPr>
                        <pic:blipFill rotWithShape="1">
                          <a:blip r:embed="rId130" cstate="email">
                            <a:extLst>
                              <a:ext uri="{28A0092B-C50C-407E-A947-70E740481C1C}">
                                <a14:useLocalDpi xmlns:a14="http://schemas.microsoft.com/office/drawing/2010/main"/>
                              </a:ext>
                            </a:extLst>
                          </a:blip>
                          <a:srcRect/>
                          <a:stretch/>
                        </pic:blipFill>
                        <pic:spPr bwMode="auto">
                          <a:xfrm>
                            <a:off x="0" y="0"/>
                            <a:ext cx="1941204" cy="1179947"/>
                          </a:xfrm>
                          <a:prstGeom prst="rect">
                            <a:avLst/>
                          </a:prstGeom>
                          <a:ln>
                            <a:noFill/>
                          </a:ln>
                          <a:extLst>
                            <a:ext uri="{53640926-AAD7-44D8-BBD7-CCE9431645EC}">
                              <a14:shadowObscured xmlns:a14="http://schemas.microsoft.com/office/drawing/2010/main"/>
                            </a:ext>
                          </a:extLst>
                        </pic:spPr>
                      </pic:pic>
                    </a:graphicData>
                  </a:graphic>
                </wp:inline>
              </w:drawing>
            </w:r>
          </w:p>
          <w:p w14:paraId="076510AF" w14:textId="77777777" w:rsidR="00471606" w:rsidRPr="00F542FC" w:rsidRDefault="00471606" w:rsidP="00ED0631">
            <w:pPr>
              <w:spacing w:before="120" w:after="120"/>
              <w:rPr>
                <w:rFonts w:ascii="Arial" w:hAnsi="Arial" w:cs="Arial"/>
                <w:color w:val="000000"/>
                <w:lang w:val="en-GB"/>
              </w:rPr>
            </w:pPr>
            <w:r w:rsidRPr="00F542FC">
              <w:rPr>
                <w:rFonts w:ascii="Arial" w:hAnsi="Arial" w:cs="Arial"/>
                <w:i/>
                <w:color w:val="808080" w:themeColor="background1" w:themeShade="80"/>
                <w:lang w:val="en-GB"/>
              </w:rPr>
              <w:t>St John Bosco PS – typical new single storey kitset building</w:t>
            </w:r>
          </w:p>
        </w:tc>
        <w:tc>
          <w:tcPr>
            <w:tcW w:w="3316" w:type="dxa"/>
          </w:tcPr>
          <w:p w14:paraId="4B3DCA29" w14:textId="77777777" w:rsidR="00471606" w:rsidRPr="00F542FC" w:rsidRDefault="00471606" w:rsidP="00ED0631">
            <w:pPr>
              <w:spacing w:before="120" w:after="120"/>
              <w:rPr>
                <w:rFonts w:ascii="Arial" w:hAnsi="Arial" w:cs="Arial"/>
                <w:color w:val="000000"/>
                <w:lang w:val="en-GB"/>
              </w:rPr>
            </w:pPr>
            <w:r w:rsidRPr="00F542FC">
              <w:rPr>
                <w:rFonts w:ascii="Arial" w:hAnsi="Arial" w:cs="Arial"/>
                <w:noProof/>
                <w:color w:val="000000"/>
                <w:lang w:eastAsia="en-AU"/>
              </w:rPr>
              <w:drawing>
                <wp:inline distT="0" distB="0" distL="0" distR="0" wp14:anchorId="7288BB26" wp14:editId="5C618014">
                  <wp:extent cx="2099733" cy="1181100"/>
                  <wp:effectExtent l="0" t="0" r="0" b="0"/>
                  <wp:docPr id="101" name="Picture 101" descr="Saint John Bosco Primary School - typical new kitset classroom"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31 (reduced).jpg"/>
                          <pic:cNvPicPr/>
                        </pic:nvPicPr>
                        <pic:blipFill>
                          <a:blip r:embed="rId131" cstate="email">
                            <a:extLst>
                              <a:ext uri="{28A0092B-C50C-407E-A947-70E740481C1C}">
                                <a14:useLocalDpi xmlns:a14="http://schemas.microsoft.com/office/drawing/2010/main"/>
                              </a:ext>
                            </a:extLst>
                          </a:blip>
                          <a:stretch>
                            <a:fillRect/>
                          </a:stretch>
                        </pic:blipFill>
                        <pic:spPr>
                          <a:xfrm>
                            <a:off x="0" y="0"/>
                            <a:ext cx="2097684" cy="1179948"/>
                          </a:xfrm>
                          <a:prstGeom prst="rect">
                            <a:avLst/>
                          </a:prstGeom>
                        </pic:spPr>
                      </pic:pic>
                    </a:graphicData>
                  </a:graphic>
                </wp:inline>
              </w:drawing>
            </w:r>
          </w:p>
          <w:p w14:paraId="1C8176C4" w14:textId="77777777" w:rsidR="00471606" w:rsidRPr="00F542FC" w:rsidRDefault="00471606" w:rsidP="00ED0631">
            <w:pPr>
              <w:spacing w:before="120" w:after="120"/>
              <w:rPr>
                <w:rFonts w:ascii="Arial" w:hAnsi="Arial" w:cs="Arial"/>
                <w:color w:val="000000"/>
                <w:lang w:val="en-GB"/>
              </w:rPr>
            </w:pPr>
            <w:r w:rsidRPr="00F542FC">
              <w:rPr>
                <w:rFonts w:ascii="Arial" w:hAnsi="Arial" w:cs="Arial"/>
                <w:i/>
                <w:color w:val="808080" w:themeColor="background1" w:themeShade="80"/>
                <w:lang w:val="en-GB"/>
              </w:rPr>
              <w:t>St John Bosco PS – typical new kitset classroom</w:t>
            </w:r>
          </w:p>
        </w:tc>
      </w:tr>
      <w:tr w:rsidR="00471606" w:rsidRPr="00F542FC" w14:paraId="6565698B" w14:textId="77777777" w:rsidTr="00ED0631">
        <w:tc>
          <w:tcPr>
            <w:tcW w:w="3311" w:type="dxa"/>
          </w:tcPr>
          <w:p w14:paraId="38F5E857" w14:textId="77777777" w:rsidR="00471606" w:rsidRPr="00F542FC" w:rsidRDefault="00471606" w:rsidP="00ED0631">
            <w:pPr>
              <w:spacing w:before="120"/>
              <w:rPr>
                <w:rFonts w:ascii="Arial" w:hAnsi="Arial" w:cs="Arial"/>
                <w:noProof/>
                <w:color w:val="000000"/>
                <w:lang w:eastAsia="en-AU"/>
              </w:rPr>
            </w:pPr>
            <w:r w:rsidRPr="00F542FC">
              <w:rPr>
                <w:rFonts w:ascii="Arial" w:hAnsi="Arial" w:cs="Arial"/>
                <w:noProof/>
                <w:color w:val="000000"/>
                <w:lang w:eastAsia="en-AU"/>
              </w:rPr>
              <w:drawing>
                <wp:inline distT="0" distB="0" distL="0" distR="0" wp14:anchorId="1840E2FF" wp14:editId="237B5715">
                  <wp:extent cx="2030186" cy="1141979"/>
                  <wp:effectExtent l="0" t="0" r="8255" b="1270"/>
                  <wp:docPr id="102" name="Picture 102" descr="Image of a two storey classroom with Rurubao Primary Scho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36 reduced.jpg"/>
                          <pic:cNvPicPr/>
                        </pic:nvPicPr>
                        <pic:blipFill>
                          <a:blip r:embed="rId132" cstate="email">
                            <a:extLst>
                              <a:ext uri="{28A0092B-C50C-407E-A947-70E740481C1C}">
                                <a14:useLocalDpi xmlns:a14="http://schemas.microsoft.com/office/drawing/2010/main"/>
                              </a:ext>
                            </a:extLst>
                          </a:blip>
                          <a:stretch>
                            <a:fillRect/>
                          </a:stretch>
                        </pic:blipFill>
                        <pic:spPr>
                          <a:xfrm>
                            <a:off x="0" y="0"/>
                            <a:ext cx="2028206" cy="1140865"/>
                          </a:xfrm>
                          <a:prstGeom prst="rect">
                            <a:avLst/>
                          </a:prstGeom>
                        </pic:spPr>
                      </pic:pic>
                    </a:graphicData>
                  </a:graphic>
                </wp:inline>
              </w:drawing>
            </w:r>
          </w:p>
        </w:tc>
        <w:tc>
          <w:tcPr>
            <w:tcW w:w="3226" w:type="dxa"/>
          </w:tcPr>
          <w:p w14:paraId="4CDF1AE3" w14:textId="77777777" w:rsidR="00471606" w:rsidRPr="00F542FC" w:rsidRDefault="00471606" w:rsidP="00ED0631">
            <w:pPr>
              <w:spacing w:before="120"/>
              <w:rPr>
                <w:rFonts w:ascii="Arial" w:hAnsi="Arial" w:cs="Arial"/>
                <w:color w:val="000000"/>
                <w:lang w:val="en-GB"/>
              </w:rPr>
            </w:pPr>
            <w:r w:rsidRPr="00F542FC">
              <w:rPr>
                <w:rFonts w:ascii="Arial" w:hAnsi="Arial" w:cs="Arial"/>
                <w:noProof/>
                <w:color w:val="000000"/>
                <w:lang w:eastAsia="en-AU"/>
              </w:rPr>
              <w:drawing>
                <wp:inline distT="0" distB="0" distL="0" distR="0" wp14:anchorId="1BC14D95" wp14:editId="4DC895F9">
                  <wp:extent cx="2032000" cy="1143000"/>
                  <wp:effectExtent l="0" t="0" r="6350" b="0"/>
                  <wp:docPr id="103" name="Picture 103" descr="Image of two storey classroom at Dai Dippo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34 reduced.jpg"/>
                          <pic:cNvPicPr/>
                        </pic:nvPicPr>
                        <pic:blipFill>
                          <a:blip r:embed="rId133" cstate="email">
                            <a:extLst>
                              <a:ext uri="{28A0092B-C50C-407E-A947-70E740481C1C}">
                                <a14:useLocalDpi xmlns:a14="http://schemas.microsoft.com/office/drawing/2010/main"/>
                              </a:ext>
                            </a:extLst>
                          </a:blip>
                          <a:stretch>
                            <a:fillRect/>
                          </a:stretch>
                        </pic:blipFill>
                        <pic:spPr>
                          <a:xfrm>
                            <a:off x="0" y="0"/>
                            <a:ext cx="2030017" cy="1141885"/>
                          </a:xfrm>
                          <a:prstGeom prst="rect">
                            <a:avLst/>
                          </a:prstGeom>
                        </pic:spPr>
                      </pic:pic>
                    </a:graphicData>
                  </a:graphic>
                </wp:inline>
              </w:drawing>
            </w:r>
          </w:p>
        </w:tc>
        <w:tc>
          <w:tcPr>
            <w:tcW w:w="3316" w:type="dxa"/>
            <w:vMerge w:val="restart"/>
          </w:tcPr>
          <w:p w14:paraId="261742AB" w14:textId="77777777" w:rsidR="00471606" w:rsidRPr="00F542FC" w:rsidRDefault="00471606" w:rsidP="00ED0631">
            <w:pPr>
              <w:spacing w:before="120"/>
              <w:rPr>
                <w:rFonts w:ascii="Arial" w:hAnsi="Arial" w:cs="Arial"/>
                <w:color w:val="000000"/>
                <w:lang w:val="en-GB"/>
              </w:rPr>
            </w:pPr>
            <w:r w:rsidRPr="00F542FC">
              <w:rPr>
                <w:rFonts w:ascii="Arial" w:hAnsi="Arial" w:cs="Arial"/>
                <w:noProof/>
                <w:color w:val="000000"/>
                <w:lang w:eastAsia="en-AU"/>
              </w:rPr>
              <w:drawing>
                <wp:inline distT="0" distB="0" distL="0" distR="0" wp14:anchorId="1FE77091" wp14:editId="232E4707">
                  <wp:extent cx="1460385" cy="2596242"/>
                  <wp:effectExtent l="0" t="0" r="6985" b="0"/>
                  <wp:docPr id="104" name="Picture 104" descr="Two storey classroom"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33 reduced.jpg"/>
                          <pic:cNvPicPr/>
                        </pic:nvPicPr>
                        <pic:blipFill>
                          <a:blip r:embed="rId134" cstate="email">
                            <a:extLst>
                              <a:ext uri="{28A0092B-C50C-407E-A947-70E740481C1C}">
                                <a14:useLocalDpi xmlns:a14="http://schemas.microsoft.com/office/drawing/2010/main"/>
                              </a:ext>
                            </a:extLst>
                          </a:blip>
                          <a:stretch>
                            <a:fillRect/>
                          </a:stretch>
                        </pic:blipFill>
                        <pic:spPr>
                          <a:xfrm>
                            <a:off x="0" y="0"/>
                            <a:ext cx="1461276" cy="2597827"/>
                          </a:xfrm>
                          <a:prstGeom prst="rect">
                            <a:avLst/>
                          </a:prstGeom>
                        </pic:spPr>
                      </pic:pic>
                    </a:graphicData>
                  </a:graphic>
                </wp:inline>
              </w:drawing>
            </w:r>
          </w:p>
        </w:tc>
      </w:tr>
      <w:tr w:rsidR="00471606" w:rsidRPr="00F542FC" w14:paraId="2A40C3FD" w14:textId="77777777" w:rsidTr="00ED0631">
        <w:tc>
          <w:tcPr>
            <w:tcW w:w="6537" w:type="dxa"/>
            <w:gridSpan w:val="2"/>
          </w:tcPr>
          <w:p w14:paraId="7E8EE803" w14:textId="77777777" w:rsidR="00471606" w:rsidRPr="00F542FC" w:rsidRDefault="00471606" w:rsidP="00ED0631">
            <w:pPr>
              <w:spacing w:before="120"/>
              <w:rPr>
                <w:rFonts w:ascii="Arial" w:hAnsi="Arial" w:cs="Arial"/>
                <w:color w:val="000000"/>
                <w:lang w:val="en-GB"/>
              </w:rPr>
            </w:pPr>
            <w:r w:rsidRPr="00F542FC">
              <w:rPr>
                <w:rFonts w:ascii="Arial" w:hAnsi="Arial" w:cs="Arial"/>
                <w:noProof/>
                <w:color w:val="000000"/>
                <w:lang w:eastAsia="en-AU"/>
              </w:rPr>
              <w:drawing>
                <wp:inline distT="0" distB="0" distL="0" distR="0" wp14:anchorId="0E8BC19E" wp14:editId="75126BF8">
                  <wp:extent cx="3083169" cy="1067252"/>
                  <wp:effectExtent l="0" t="0" r="3175" b="0"/>
                  <wp:docPr id="105" name="Picture 105" descr="Rurubao Primary School - Two storey 8 classroom kitset on a contrete slab" title="Computer Generat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lassroom Kitset - Image A.jpg"/>
                          <pic:cNvPicPr/>
                        </pic:nvPicPr>
                        <pic:blipFill>
                          <a:blip r:embed="rId135">
                            <a:extLst>
                              <a:ext uri="{28A0092B-C50C-407E-A947-70E740481C1C}">
                                <a14:useLocalDpi xmlns:a14="http://schemas.microsoft.com/office/drawing/2010/main" val="0"/>
                              </a:ext>
                            </a:extLst>
                          </a:blip>
                          <a:stretch>
                            <a:fillRect/>
                          </a:stretch>
                        </pic:blipFill>
                        <pic:spPr>
                          <a:xfrm>
                            <a:off x="0" y="0"/>
                            <a:ext cx="3087406" cy="1068719"/>
                          </a:xfrm>
                          <a:prstGeom prst="rect">
                            <a:avLst/>
                          </a:prstGeom>
                        </pic:spPr>
                      </pic:pic>
                    </a:graphicData>
                  </a:graphic>
                </wp:inline>
              </w:drawing>
            </w:r>
          </w:p>
          <w:p w14:paraId="4B67B838" w14:textId="77777777" w:rsidR="00471606" w:rsidRPr="00F542FC" w:rsidRDefault="00471606" w:rsidP="00ED0631">
            <w:pPr>
              <w:spacing w:before="120"/>
              <w:rPr>
                <w:rFonts w:ascii="Arial" w:hAnsi="Arial" w:cs="Arial"/>
                <w:color w:val="000000"/>
                <w:lang w:val="en-GB"/>
              </w:rPr>
            </w:pPr>
            <w:r w:rsidRPr="00F542FC">
              <w:rPr>
                <w:rFonts w:ascii="Arial" w:hAnsi="Arial" w:cs="Arial"/>
                <w:i/>
                <w:color w:val="808080" w:themeColor="background1" w:themeShade="80"/>
                <w:lang w:val="en-GB"/>
              </w:rPr>
              <w:t>Rurubao PS - two storey 8 classroom kitset on a concrete slab</w:t>
            </w:r>
          </w:p>
        </w:tc>
        <w:tc>
          <w:tcPr>
            <w:tcW w:w="3316" w:type="dxa"/>
            <w:vMerge/>
          </w:tcPr>
          <w:p w14:paraId="6513235E" w14:textId="77777777" w:rsidR="00471606" w:rsidRPr="00F542FC" w:rsidRDefault="00471606" w:rsidP="00ED0631">
            <w:pPr>
              <w:spacing w:before="120"/>
              <w:rPr>
                <w:rFonts w:ascii="Arial" w:hAnsi="Arial" w:cs="Arial"/>
                <w:color w:val="000000"/>
                <w:lang w:val="en-GB"/>
              </w:rPr>
            </w:pPr>
          </w:p>
        </w:tc>
      </w:tr>
    </w:tbl>
    <w:p w14:paraId="11AB7789" w14:textId="37B712B9" w:rsidR="00471606" w:rsidRPr="00F542FC" w:rsidRDefault="00471606" w:rsidP="00333EC1">
      <w:pPr>
        <w:pStyle w:val="Heading1"/>
        <w:ind w:left="0" w:firstLine="0"/>
      </w:pPr>
      <w:bookmarkStart w:id="317" w:name="_Toc461615902"/>
      <w:r w:rsidRPr="00F542FC">
        <w:lastRenderedPageBreak/>
        <w:t xml:space="preserve">Summary – The </w:t>
      </w:r>
      <w:r w:rsidR="00333EC1">
        <w:t>a</w:t>
      </w:r>
      <w:r w:rsidRPr="00F542FC">
        <w:t>dvantages of KEIP Kitset Innovation</w:t>
      </w:r>
      <w:bookmarkEnd w:id="317"/>
      <w:r w:rsidRPr="00F542FC">
        <w:t xml:space="preserve">  </w:t>
      </w:r>
    </w:p>
    <w:p w14:paraId="7A158634"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Designed, fabricated and erected in Kiribati; </w:t>
      </w:r>
    </w:p>
    <w:p w14:paraId="26CA6504"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Fully engineered, tested and endorsed by the MPWU;  </w:t>
      </w:r>
    </w:p>
    <w:p w14:paraId="3D920220" w14:textId="3C46CAF2"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Low maintenance: Treated timber</w:t>
      </w:r>
      <w:r w:rsidR="00333EC1">
        <w:rPr>
          <w:rFonts w:ascii="Arial" w:hAnsi="Arial" w:cs="Arial"/>
          <w:szCs w:val="20"/>
          <w:lang w:val="en-GB"/>
        </w:rPr>
        <w:t xml:space="preserve"> and plywood, 316 grade SS mesh, C</w:t>
      </w:r>
      <w:r w:rsidRPr="00F542FC">
        <w:rPr>
          <w:rFonts w:ascii="Arial" w:hAnsi="Arial" w:cs="Arial"/>
          <w:szCs w:val="20"/>
          <w:lang w:val="en-GB"/>
        </w:rPr>
        <w:t>olorbond steel cladding;</w:t>
      </w:r>
    </w:p>
    <w:p w14:paraId="25685DE4"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Cost effective, balancing the quality of materials; savings through assembly of the component parts in Kiribati; the relative ease and lower cost to transport and assemble the KitSets; the employment of local labour employed to assemble the buildings; the capacity of Kiribati contractors to complete the school buildings to a high level of quality; and the lower cost of maintenance over the life cycle. </w:t>
      </w:r>
    </w:p>
    <w:p w14:paraId="2FE6CC9F"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Suitable for both Urban and Rural schools (certified as ‘permanent’ by the GoK);  </w:t>
      </w:r>
    </w:p>
    <w:p w14:paraId="4444AC9B"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Concrete filled plastic piers &amp; columns with SS strap reinforcing = no concrete cancer; </w:t>
      </w:r>
    </w:p>
    <w:p w14:paraId="199E7CAB"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Raised timber floors suitable for low-lying sites and those areas vulnerable to inundation; </w:t>
      </w:r>
    </w:p>
    <w:p w14:paraId="70217519"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Two-storey classroom blocks suitable for over-crowded urban schools; </w:t>
      </w:r>
    </w:p>
    <w:p w14:paraId="4E963D23" w14:textId="01C45DE3"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Greater quality control, as much of the work completed in a  Kiribati factory under controlled conditions;</w:t>
      </w:r>
    </w:p>
    <w:p w14:paraId="74B447B2"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Fewer weather delays on site, through the pre-fabrication in factory, so that assembly on-site is very fast; </w:t>
      </w:r>
    </w:p>
    <w:p w14:paraId="432F6BA7"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Opportunities for women to be involved in the building component management and manufacturing work ; </w:t>
      </w:r>
    </w:p>
    <w:p w14:paraId="0D41C667"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Single storey buildings are 100% accessible (ramp access to elevated timber floor); </w:t>
      </w:r>
    </w:p>
    <w:p w14:paraId="2F652400"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Two storey buildings are 50% accessible (in accordance with the NIS – Version 4.1)</w:t>
      </w:r>
      <w:r w:rsidRPr="00F542FC">
        <w:rPr>
          <w:rStyle w:val="FootnoteReference"/>
          <w:rFonts w:ascii="Arial" w:hAnsi="Arial" w:cs="Arial"/>
          <w:szCs w:val="20"/>
          <w:lang w:val="en-GB"/>
        </w:rPr>
        <w:footnoteReference w:id="52"/>
      </w:r>
      <w:r w:rsidRPr="00F542FC">
        <w:rPr>
          <w:rFonts w:ascii="Arial" w:hAnsi="Arial" w:cs="Arial"/>
          <w:szCs w:val="20"/>
          <w:lang w:val="en-GB"/>
        </w:rPr>
        <w:t xml:space="preserve">; </w:t>
      </w:r>
    </w:p>
    <w:p w14:paraId="5622F1E2"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Less concrete used in the building structure, so limiting material taken from Kiribati beaches as can happen in other local standard local building practice; </w:t>
      </w:r>
    </w:p>
    <w:p w14:paraId="15A65BCC"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Low energy, including excellent natural light and ventilation for all classrooms;</w:t>
      </w:r>
    </w:p>
    <w:p w14:paraId="2A1C5BC8"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Can be erected by smaller Kiribati building companies and can increase the skills and capacity of local tradespeople and semi-skilled workers; </w:t>
      </w:r>
    </w:p>
    <w:p w14:paraId="1CF9C3C0" w14:textId="77777777"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szCs w:val="20"/>
          <w:lang w:val="en-GB"/>
        </w:rPr>
      </w:pPr>
      <w:r w:rsidRPr="00F542FC">
        <w:rPr>
          <w:rFonts w:ascii="Arial" w:hAnsi="Arial" w:cs="Arial"/>
          <w:szCs w:val="20"/>
          <w:lang w:val="en-GB"/>
        </w:rPr>
        <w:t xml:space="preserve">Builds the capacity of local tradespeople;  </w:t>
      </w:r>
    </w:p>
    <w:p w14:paraId="34D76A27" w14:textId="7862CFA1" w:rsidR="00471606" w:rsidRPr="00F542FC" w:rsidRDefault="00471606" w:rsidP="00E91B91">
      <w:pPr>
        <w:pStyle w:val="ListParagraph"/>
        <w:numPr>
          <w:ilvl w:val="0"/>
          <w:numId w:val="3"/>
        </w:numPr>
        <w:spacing w:before="120" w:beforeAutospacing="0" w:after="120" w:afterAutospacing="0" w:line="240" w:lineRule="atLeast"/>
        <w:ind w:left="426"/>
        <w:contextualSpacing w:val="0"/>
        <w:rPr>
          <w:rFonts w:ascii="Arial" w:hAnsi="Arial" w:cs="Arial"/>
          <w:color w:val="000000"/>
          <w:szCs w:val="20"/>
          <w:lang w:val="en-GB"/>
        </w:rPr>
      </w:pPr>
      <w:r w:rsidRPr="00F542FC">
        <w:rPr>
          <w:rFonts w:ascii="Arial" w:hAnsi="Arial" w:cs="Arial"/>
          <w:szCs w:val="20"/>
          <w:lang w:val="en-GB"/>
        </w:rPr>
        <w:t>May translate to other public infrastructure sectors in Kiribati  and the region (health, housing, education)</w:t>
      </w:r>
      <w:r w:rsidR="00333EC1">
        <w:rPr>
          <w:rFonts w:ascii="Arial" w:hAnsi="Arial" w:cs="Arial"/>
          <w:szCs w:val="20"/>
          <w:lang w:val="en-GB"/>
        </w:rPr>
        <w:t>.</w:t>
      </w:r>
    </w:p>
    <w:p w14:paraId="7CCDA923" w14:textId="18DF07E8" w:rsidR="00DA3529" w:rsidRPr="00DA3529" w:rsidRDefault="00471606" w:rsidP="00BD1E07">
      <w:pPr>
        <w:pStyle w:val="BodyCopy"/>
        <w:rPr>
          <w:rFonts w:asciiTheme="majorHAnsi" w:hAnsiTheme="majorHAnsi" w:cstheme="majorHAnsi"/>
          <w:color w:val="EB6E08" w:themeColor="text2"/>
        </w:rPr>
      </w:pPr>
      <w:r w:rsidRPr="00F542FC">
        <w:rPr>
          <w:rFonts w:cs="Arial"/>
          <w:b/>
          <w:i/>
        </w:rPr>
        <w:t>NOTE:</w:t>
      </w:r>
      <w:r w:rsidRPr="00F542FC">
        <w:rPr>
          <w:rFonts w:cs="Arial"/>
          <w:i/>
        </w:rPr>
        <w:t xml:space="preserve"> The successful design and manufacturing / delivery method for the provision of quality classrooms (single and - where specifically requested due to local land or school population conditions - two storey) will continue through KEIP Phase III.</w:t>
      </w:r>
    </w:p>
    <w:sectPr w:rsidR="00DA3529" w:rsidRPr="00DA3529" w:rsidSect="00ED0631">
      <w:footerReference w:type="default" r:id="rId136"/>
      <w:pgSz w:w="11900" w:h="16840"/>
      <w:pgMar w:top="1440" w:right="1183" w:bottom="1440" w:left="1797"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DCFB4" w14:textId="77777777" w:rsidR="001E5A4B" w:rsidRDefault="001E5A4B" w:rsidP="000222BA">
      <w:pPr>
        <w:spacing w:after="0"/>
      </w:pPr>
      <w:r>
        <w:separator/>
      </w:r>
    </w:p>
  </w:endnote>
  <w:endnote w:type="continuationSeparator" w:id="0">
    <w:p w14:paraId="458E682D" w14:textId="77777777" w:rsidR="001E5A4B" w:rsidRDefault="001E5A4B" w:rsidP="000222BA">
      <w:pPr>
        <w:spacing w:after="0"/>
      </w:pPr>
      <w:r>
        <w:continuationSeparator/>
      </w:r>
    </w:p>
  </w:endnote>
  <w:endnote w:type="continuationNotice" w:id="1">
    <w:p w14:paraId="325117FD" w14:textId="77777777" w:rsidR="001E5A4B" w:rsidRDefault="001E5A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TT)">
    <w:panose1 w:val="00000000000000000000"/>
    <w:charset w:val="00"/>
    <w:family w:val="auto"/>
    <w:notTrueType/>
    <w:pitch w:val="default"/>
    <w:sig w:usb0="00000003" w:usb1="00000000" w:usb2="00000000" w:usb3="00000000" w:csb0="00000001" w:csb1="00000000"/>
  </w:font>
  <w:font w:name="Helvetica LT Std">
    <w:panose1 w:val="00000000000000000000"/>
    <w:charset w:val="00"/>
    <w:family w:val="swiss"/>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NeueLT St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Sabon LT Std">
    <w:altName w:val="Sabon LT Std"/>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4379E" w14:textId="77777777" w:rsidR="00AA3F58" w:rsidRDefault="00AA3F5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F1852" w14:textId="2E23F1A3" w:rsidR="001E5A4B" w:rsidRPr="00C317A4" w:rsidRDefault="001E5A4B" w:rsidP="006767F7">
    <w:pPr>
      <w:pStyle w:val="Footer"/>
      <w:jc w:val="center"/>
      <w:rPr>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304A" w14:textId="77777777" w:rsidR="001E5A4B" w:rsidRDefault="001E5A4B" w:rsidP="00ED0631">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413001"/>
      <w:docPartObj>
        <w:docPartGallery w:val="Page Numbers (Bottom of Page)"/>
        <w:docPartUnique/>
      </w:docPartObj>
    </w:sdtPr>
    <w:sdtEndPr>
      <w:rPr>
        <w:noProof/>
      </w:rPr>
    </w:sdtEndPr>
    <w:sdtContent>
      <w:p w14:paraId="23BFA574" w14:textId="0D7B042A" w:rsidR="001E5A4B" w:rsidRPr="006767F7" w:rsidRDefault="001E5A4B" w:rsidP="006767F7">
        <w:pPr>
          <w:pStyle w:val="Footer"/>
          <w:jc w:val="right"/>
        </w:pPr>
        <w:r>
          <w:fldChar w:fldCharType="begin"/>
        </w:r>
        <w:r>
          <w:instrText xml:space="preserve"> PAGE   \* MERGEFORMAT </w:instrText>
        </w:r>
        <w:r>
          <w:fldChar w:fldCharType="separate"/>
        </w:r>
        <w:r w:rsidR="00B951C4">
          <w:rPr>
            <w:noProof/>
          </w:rPr>
          <w:t>14</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117628"/>
      <w:docPartObj>
        <w:docPartGallery w:val="Page Numbers (Bottom of Page)"/>
        <w:docPartUnique/>
      </w:docPartObj>
    </w:sdtPr>
    <w:sdtEndPr>
      <w:rPr>
        <w:noProof/>
        <w:sz w:val="16"/>
      </w:rPr>
    </w:sdtEndPr>
    <w:sdtContent>
      <w:p w14:paraId="1C3DA606" w14:textId="77777777" w:rsidR="001E5A4B" w:rsidRPr="00C317A4" w:rsidRDefault="001E5A4B" w:rsidP="00ED0631">
        <w:pPr>
          <w:pStyle w:val="Footer"/>
          <w:jc w:val="right"/>
          <w:rPr>
            <w:sz w:val="16"/>
          </w:rPr>
        </w:pPr>
        <w:r w:rsidRPr="00C317A4">
          <w:rPr>
            <w:sz w:val="16"/>
          </w:rPr>
          <w:fldChar w:fldCharType="begin"/>
        </w:r>
        <w:r w:rsidRPr="00C317A4">
          <w:rPr>
            <w:sz w:val="16"/>
          </w:rPr>
          <w:instrText xml:space="preserve"> PAGE   \* MERGEFORMAT </w:instrText>
        </w:r>
        <w:r w:rsidRPr="00C317A4">
          <w:rPr>
            <w:sz w:val="16"/>
          </w:rPr>
          <w:fldChar w:fldCharType="separate"/>
        </w:r>
        <w:r w:rsidR="00B951C4">
          <w:rPr>
            <w:noProof/>
            <w:sz w:val="16"/>
          </w:rPr>
          <w:t>i</w:t>
        </w:r>
        <w:r w:rsidRPr="00C317A4">
          <w:rPr>
            <w:noProof/>
            <w:sz w:val="16"/>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891844"/>
      <w:docPartObj>
        <w:docPartGallery w:val="Page Numbers (Bottom of Page)"/>
        <w:docPartUnique/>
      </w:docPartObj>
    </w:sdtPr>
    <w:sdtEndPr>
      <w:rPr>
        <w:noProof/>
      </w:rPr>
    </w:sdtEndPr>
    <w:sdtContent>
      <w:p w14:paraId="1E946590" w14:textId="3E090766" w:rsidR="001E5A4B" w:rsidRPr="006767F7" w:rsidRDefault="00B951C4" w:rsidP="006767F7">
        <w:pPr>
          <w:pStyle w:val="Footer"/>
          <w:jc w:val="right"/>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140811"/>
      <w:docPartObj>
        <w:docPartGallery w:val="Page Numbers (Bottom of Page)"/>
        <w:docPartUnique/>
      </w:docPartObj>
    </w:sdtPr>
    <w:sdtEndPr>
      <w:rPr>
        <w:rFonts w:ascii="Arial" w:hAnsi="Arial" w:cs="Arial"/>
        <w:noProof/>
        <w:sz w:val="18"/>
        <w:szCs w:val="18"/>
      </w:rPr>
    </w:sdtEndPr>
    <w:sdtContent>
      <w:p w14:paraId="5BD42A35" w14:textId="77777777" w:rsidR="001E5A4B" w:rsidRPr="00FF5E82" w:rsidRDefault="001E5A4B" w:rsidP="00ED0631">
        <w:pPr>
          <w:pStyle w:val="Footer"/>
          <w:jc w:val="right"/>
          <w:rPr>
            <w:rFonts w:ascii="Arial" w:hAnsi="Arial" w:cs="Arial"/>
            <w:sz w:val="18"/>
            <w:szCs w:val="18"/>
          </w:rPr>
        </w:pPr>
        <w:r w:rsidRPr="00FF5E82">
          <w:rPr>
            <w:rFonts w:ascii="Arial" w:hAnsi="Arial" w:cs="Arial"/>
            <w:sz w:val="18"/>
            <w:szCs w:val="18"/>
          </w:rPr>
          <w:fldChar w:fldCharType="begin"/>
        </w:r>
        <w:r w:rsidRPr="00FF5E82">
          <w:rPr>
            <w:rFonts w:ascii="Arial" w:hAnsi="Arial" w:cs="Arial"/>
            <w:sz w:val="18"/>
            <w:szCs w:val="18"/>
          </w:rPr>
          <w:instrText xml:space="preserve"> PAGE   \* MERGEFORMAT </w:instrText>
        </w:r>
        <w:r w:rsidRPr="00FF5E82">
          <w:rPr>
            <w:rFonts w:ascii="Arial" w:hAnsi="Arial" w:cs="Arial"/>
            <w:sz w:val="18"/>
            <w:szCs w:val="18"/>
          </w:rPr>
          <w:fldChar w:fldCharType="separate"/>
        </w:r>
        <w:r w:rsidR="00B951C4">
          <w:rPr>
            <w:rFonts w:ascii="Arial" w:hAnsi="Arial" w:cs="Arial"/>
            <w:noProof/>
            <w:sz w:val="18"/>
            <w:szCs w:val="18"/>
          </w:rPr>
          <w:t>1</w:t>
        </w:r>
        <w:r w:rsidRPr="00FF5E82">
          <w:rPr>
            <w:rFonts w:ascii="Arial" w:hAnsi="Arial" w:cs="Arial"/>
            <w:noProof/>
            <w:sz w:val="18"/>
            <w:szCs w:val="18"/>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6B61E" w14:textId="368F54CF" w:rsidR="001E5A4B" w:rsidRPr="00FF5E82" w:rsidRDefault="001E5A4B" w:rsidP="00ED0631">
    <w:pPr>
      <w:pStyle w:val="Footer"/>
      <w:jc w:val="right"/>
      <w:rPr>
        <w:rFonts w:ascii="Arial" w:hAnsi="Arial" w:cs="Arial"/>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872086"/>
      <w:docPartObj>
        <w:docPartGallery w:val="Page Numbers (Bottom of Page)"/>
        <w:docPartUnique/>
      </w:docPartObj>
    </w:sdtPr>
    <w:sdtEndPr>
      <w:rPr>
        <w:noProof/>
      </w:rPr>
    </w:sdtEndPr>
    <w:sdtContent>
      <w:p w14:paraId="63514CAA" w14:textId="77777777" w:rsidR="001E5A4B" w:rsidRDefault="001E5A4B" w:rsidP="00ED0631">
        <w:pPr>
          <w:pStyle w:val="Footer"/>
          <w:jc w:val="right"/>
        </w:pPr>
        <w:r>
          <w:fldChar w:fldCharType="begin"/>
        </w:r>
        <w:r>
          <w:instrText xml:space="preserve"> PAGE   \* MERGEFORMAT </w:instrText>
        </w:r>
        <w:r>
          <w:fldChar w:fldCharType="separate"/>
        </w:r>
        <w:r w:rsidR="00B951C4">
          <w:rPr>
            <w:noProof/>
          </w:rPr>
          <w:t>iv</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51812"/>
      <w:docPartObj>
        <w:docPartGallery w:val="Page Numbers (Bottom of Page)"/>
        <w:docPartUnique/>
      </w:docPartObj>
    </w:sdtPr>
    <w:sdtEndPr>
      <w:rPr>
        <w:noProof/>
      </w:rPr>
    </w:sdtEndPr>
    <w:sdtContent>
      <w:p w14:paraId="5D7D84CD" w14:textId="77777777" w:rsidR="001E5A4B" w:rsidRDefault="001E5A4B">
        <w:pPr>
          <w:pStyle w:val="Footer"/>
          <w:jc w:val="right"/>
        </w:pPr>
        <w:r>
          <w:fldChar w:fldCharType="begin"/>
        </w:r>
        <w:r>
          <w:instrText xml:space="preserve"> PAGE   \* MERGEFORMAT </w:instrText>
        </w:r>
        <w:r>
          <w:fldChar w:fldCharType="separate"/>
        </w:r>
        <w:r w:rsidR="00B951C4">
          <w:rPr>
            <w:noProof/>
          </w:rPr>
          <w:t>v</w:t>
        </w:r>
        <w:r>
          <w:rPr>
            <w:noProof/>
          </w:rPr>
          <w:fldChar w:fldCharType="end"/>
        </w:r>
      </w:p>
    </w:sdtContent>
  </w:sdt>
  <w:p w14:paraId="335CA5A2" w14:textId="77777777" w:rsidR="001E5A4B" w:rsidRDefault="001E5A4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66070"/>
      <w:docPartObj>
        <w:docPartGallery w:val="Page Numbers (Bottom of Page)"/>
        <w:docPartUnique/>
      </w:docPartObj>
    </w:sdtPr>
    <w:sdtEndPr>
      <w:rPr>
        <w:noProof/>
      </w:rPr>
    </w:sdtEndPr>
    <w:sdtContent>
      <w:p w14:paraId="4D4BF7FC" w14:textId="77777777" w:rsidR="001E5A4B" w:rsidRDefault="001E5A4B">
        <w:pPr>
          <w:pStyle w:val="Footer"/>
          <w:jc w:val="right"/>
        </w:pPr>
        <w:r>
          <w:fldChar w:fldCharType="begin"/>
        </w:r>
        <w:r>
          <w:instrText xml:space="preserve"> PAGE   \* MERGEFORMAT </w:instrText>
        </w:r>
        <w:r>
          <w:fldChar w:fldCharType="separate"/>
        </w:r>
        <w:r w:rsidR="00B951C4">
          <w:rPr>
            <w:noProof/>
          </w:rPr>
          <w:t>vii</w:t>
        </w:r>
        <w:r>
          <w:rPr>
            <w:noProof/>
          </w:rPr>
          <w:fldChar w:fldCharType="end"/>
        </w:r>
      </w:p>
    </w:sdtContent>
  </w:sdt>
  <w:p w14:paraId="76754FEA" w14:textId="77777777" w:rsidR="001E5A4B" w:rsidRDefault="001E5A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9EC79" w14:textId="77777777" w:rsidR="00AA3F58" w:rsidRDefault="00AA3F5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754302"/>
      <w:docPartObj>
        <w:docPartGallery w:val="Page Numbers (Bottom of Page)"/>
        <w:docPartUnique/>
      </w:docPartObj>
    </w:sdtPr>
    <w:sdtEndPr>
      <w:rPr>
        <w:noProof/>
      </w:rPr>
    </w:sdtEndPr>
    <w:sdtContent>
      <w:p w14:paraId="2E004C09" w14:textId="77777777" w:rsidR="001E5A4B" w:rsidRDefault="001E5A4B" w:rsidP="00ED0631">
        <w:pPr>
          <w:pStyle w:val="Footer"/>
          <w:jc w:val="right"/>
        </w:pPr>
        <w:r>
          <w:fldChar w:fldCharType="begin"/>
        </w:r>
        <w:r>
          <w:instrText xml:space="preserve"> PAGE   \* MERGEFORMAT </w:instrText>
        </w:r>
        <w:r>
          <w:fldChar w:fldCharType="separate"/>
        </w:r>
        <w:r w:rsidR="00B951C4">
          <w:rPr>
            <w:noProof/>
          </w:rPr>
          <w:t>23</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956731"/>
      <w:docPartObj>
        <w:docPartGallery w:val="Page Numbers (Bottom of Page)"/>
        <w:docPartUnique/>
      </w:docPartObj>
    </w:sdtPr>
    <w:sdtEndPr>
      <w:rPr>
        <w:noProof/>
      </w:rPr>
    </w:sdtEndPr>
    <w:sdtContent>
      <w:p w14:paraId="13D8A5B8" w14:textId="77777777" w:rsidR="001E5A4B" w:rsidRDefault="001E5A4B" w:rsidP="00ED0631">
        <w:pPr>
          <w:pStyle w:val="Footer"/>
          <w:jc w:val="right"/>
        </w:pPr>
        <w:r>
          <w:fldChar w:fldCharType="begin"/>
        </w:r>
        <w:r>
          <w:instrText xml:space="preserve"> PAGE   \* MERGEFORMAT </w:instrText>
        </w:r>
        <w:r>
          <w:fldChar w:fldCharType="separate"/>
        </w:r>
        <w:r w:rsidR="00B951C4">
          <w:rPr>
            <w:noProof/>
          </w:rPr>
          <w:t>24</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199028"/>
      <w:docPartObj>
        <w:docPartGallery w:val="Page Numbers (Bottom of Page)"/>
        <w:docPartUnique/>
      </w:docPartObj>
    </w:sdtPr>
    <w:sdtEndPr>
      <w:rPr>
        <w:noProof/>
      </w:rPr>
    </w:sdtEndPr>
    <w:sdtContent>
      <w:p w14:paraId="17001FD5" w14:textId="77777777" w:rsidR="001E5A4B" w:rsidRDefault="00B951C4" w:rsidP="00ED0631">
        <w:pPr>
          <w:pStyle w:val="Footer"/>
          <w:jc w:val="right"/>
        </w:pP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077916"/>
      <w:docPartObj>
        <w:docPartGallery w:val="Page Numbers (Bottom of Page)"/>
        <w:docPartUnique/>
      </w:docPartObj>
    </w:sdtPr>
    <w:sdtEndPr>
      <w:rPr>
        <w:noProof/>
      </w:rPr>
    </w:sdtEndPr>
    <w:sdtContent>
      <w:p w14:paraId="61EC138E" w14:textId="77777777" w:rsidR="001E5A4B" w:rsidRPr="007E79C9" w:rsidRDefault="001E5A4B" w:rsidP="00ED0631">
        <w:pPr>
          <w:pStyle w:val="Footer"/>
          <w:jc w:val="right"/>
        </w:pPr>
        <w:r>
          <w:fldChar w:fldCharType="begin"/>
        </w:r>
        <w:r>
          <w:instrText xml:space="preserve"> PAGE   \* MERGEFORMAT </w:instrText>
        </w:r>
        <w:r>
          <w:fldChar w:fldCharType="separate"/>
        </w:r>
        <w:r w:rsidR="00B951C4">
          <w:rPr>
            <w:noProof/>
          </w:rPr>
          <w:t>10</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405901"/>
      <w:docPartObj>
        <w:docPartGallery w:val="Page Numbers (Bottom of Page)"/>
        <w:docPartUnique/>
      </w:docPartObj>
    </w:sdtPr>
    <w:sdtEndPr>
      <w:rPr>
        <w:noProof/>
      </w:rPr>
    </w:sdtEndPr>
    <w:sdtContent>
      <w:p w14:paraId="08867D96" w14:textId="77777777" w:rsidR="001E5A4B" w:rsidRPr="007E79C9" w:rsidRDefault="00B951C4" w:rsidP="00ED0631">
        <w:pPr>
          <w:pStyle w:val="Footer"/>
          <w:jc w:val="right"/>
        </w:pP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964503"/>
      <w:docPartObj>
        <w:docPartGallery w:val="Page Numbers (Bottom of Page)"/>
        <w:docPartUnique/>
      </w:docPartObj>
    </w:sdtPr>
    <w:sdtEndPr>
      <w:rPr>
        <w:noProof/>
      </w:rPr>
    </w:sdtEndPr>
    <w:sdtContent>
      <w:p w14:paraId="7CD413FC" w14:textId="77777777" w:rsidR="001E5A4B" w:rsidRPr="007E79C9" w:rsidRDefault="001E5A4B" w:rsidP="00ED0631">
        <w:pPr>
          <w:pStyle w:val="Footer"/>
          <w:jc w:val="right"/>
        </w:pPr>
        <w:r>
          <w:fldChar w:fldCharType="begin"/>
        </w:r>
        <w:r>
          <w:instrText xml:space="preserve"> PAGE   \* MERGEFORMAT </w:instrText>
        </w:r>
        <w:r>
          <w:fldChar w:fldCharType="separate"/>
        </w:r>
        <w:r w:rsidR="00B951C4">
          <w:rPr>
            <w:noProof/>
          </w:rPr>
          <w:t>20</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2080" w14:textId="77777777" w:rsidR="001E5A4B" w:rsidRPr="007E79C9" w:rsidRDefault="001E5A4B" w:rsidP="00ED0631">
    <w:pPr>
      <w:pStyle w:val="Footer"/>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930916"/>
      <w:docPartObj>
        <w:docPartGallery w:val="Page Numbers (Bottom of Page)"/>
        <w:docPartUnique/>
      </w:docPartObj>
    </w:sdtPr>
    <w:sdtEndPr>
      <w:rPr>
        <w:noProof/>
      </w:rPr>
    </w:sdtEndPr>
    <w:sdtContent>
      <w:p w14:paraId="76F6F7F7" w14:textId="77777777" w:rsidR="001E5A4B" w:rsidRDefault="001E5A4B" w:rsidP="00ED0631">
        <w:pPr>
          <w:pStyle w:val="Footer"/>
          <w:jc w:val="right"/>
        </w:pPr>
        <w:r>
          <w:fldChar w:fldCharType="begin"/>
        </w:r>
        <w:r>
          <w:instrText xml:space="preserve"> PAGE   \* MERGEFORMAT </w:instrText>
        </w:r>
        <w:r>
          <w:fldChar w:fldCharType="separate"/>
        </w:r>
        <w:r w:rsidR="00B951C4">
          <w:rPr>
            <w:noProof/>
          </w:rPr>
          <w:t>34</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35CEE" w14:textId="77777777" w:rsidR="001E5A4B" w:rsidRDefault="001E5A4B" w:rsidP="00ED0631">
    <w:pPr>
      <w:pStyle w:val="Footer"/>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661728"/>
      <w:docPartObj>
        <w:docPartGallery w:val="Page Numbers (Bottom of Page)"/>
        <w:docPartUnique/>
      </w:docPartObj>
    </w:sdtPr>
    <w:sdtEndPr>
      <w:rPr>
        <w:noProof/>
      </w:rPr>
    </w:sdtEndPr>
    <w:sdtContent>
      <w:p w14:paraId="57552A5A" w14:textId="77777777" w:rsidR="001E5A4B" w:rsidRDefault="001E5A4B" w:rsidP="00ED0631">
        <w:pPr>
          <w:pStyle w:val="Footer"/>
          <w:jc w:val="right"/>
        </w:pPr>
        <w:r>
          <w:fldChar w:fldCharType="begin"/>
        </w:r>
        <w:r>
          <w:instrText xml:space="preserve"> PAGE   \* MERGEFORMAT </w:instrText>
        </w:r>
        <w:r>
          <w:fldChar w:fldCharType="separate"/>
        </w:r>
        <w:r w:rsidR="00B951C4">
          <w:rPr>
            <w:noProof/>
          </w:rPr>
          <w:t>28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01F0C" w14:textId="77777777" w:rsidR="00AA3F58" w:rsidRDefault="00AA3F5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705396"/>
      <w:docPartObj>
        <w:docPartGallery w:val="Page Numbers (Bottom of Page)"/>
        <w:docPartUnique/>
      </w:docPartObj>
    </w:sdtPr>
    <w:sdtEndPr>
      <w:rPr>
        <w:noProof/>
      </w:rPr>
    </w:sdtEndPr>
    <w:sdtContent>
      <w:p w14:paraId="2C4B6EB7" w14:textId="77777777" w:rsidR="001E5A4B" w:rsidRPr="006767F7" w:rsidRDefault="00B951C4" w:rsidP="006767F7">
        <w:pPr>
          <w:pStyle w:val="Footer"/>
          <w:jc w:val="right"/>
        </w:pP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84522"/>
      <w:docPartObj>
        <w:docPartGallery w:val="Page Numbers (Bottom of Page)"/>
        <w:docPartUnique/>
      </w:docPartObj>
    </w:sdtPr>
    <w:sdtEndPr>
      <w:rPr>
        <w:rFonts w:ascii="Arial" w:hAnsi="Arial" w:cs="Arial"/>
        <w:noProof/>
        <w:sz w:val="18"/>
        <w:szCs w:val="18"/>
      </w:rPr>
    </w:sdtEndPr>
    <w:sdtContent>
      <w:p w14:paraId="7AA81D50" w14:textId="77777777" w:rsidR="001E5A4B" w:rsidRPr="00FF5E82" w:rsidRDefault="001E5A4B" w:rsidP="00ED0631">
        <w:pPr>
          <w:pStyle w:val="Footer"/>
          <w:jc w:val="right"/>
          <w:rPr>
            <w:rFonts w:ascii="Arial" w:hAnsi="Arial" w:cs="Arial"/>
            <w:sz w:val="18"/>
            <w:szCs w:val="18"/>
          </w:rPr>
        </w:pPr>
        <w:r w:rsidRPr="00FF5E82">
          <w:rPr>
            <w:rFonts w:ascii="Arial" w:hAnsi="Arial" w:cs="Arial"/>
            <w:sz w:val="18"/>
            <w:szCs w:val="18"/>
          </w:rPr>
          <w:fldChar w:fldCharType="begin"/>
        </w:r>
        <w:r w:rsidRPr="00FF5E82">
          <w:rPr>
            <w:rFonts w:ascii="Arial" w:hAnsi="Arial" w:cs="Arial"/>
            <w:sz w:val="18"/>
            <w:szCs w:val="18"/>
          </w:rPr>
          <w:instrText xml:space="preserve"> PAGE   \* MERGEFORMAT </w:instrText>
        </w:r>
        <w:r w:rsidRPr="00FF5E82">
          <w:rPr>
            <w:rFonts w:ascii="Arial" w:hAnsi="Arial" w:cs="Arial"/>
            <w:sz w:val="18"/>
            <w:szCs w:val="18"/>
          </w:rPr>
          <w:fldChar w:fldCharType="separate"/>
        </w:r>
        <w:r>
          <w:rPr>
            <w:rFonts w:ascii="Arial" w:hAnsi="Arial" w:cs="Arial"/>
            <w:noProof/>
            <w:sz w:val="18"/>
            <w:szCs w:val="18"/>
          </w:rPr>
          <w:t>1</w:t>
        </w:r>
        <w:r w:rsidRPr="00FF5E82">
          <w:rPr>
            <w:rFonts w:ascii="Arial" w:hAnsi="Arial" w:cs="Arial"/>
            <w:noProof/>
            <w:sz w:val="18"/>
            <w:szCs w:val="18"/>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82AC1" w14:textId="77777777" w:rsidR="001E5A4B" w:rsidRDefault="001E5A4B" w:rsidP="00ED06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1D2254" w14:textId="77777777" w:rsidR="001E5A4B" w:rsidRDefault="001E5A4B" w:rsidP="00ED06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BABFCA" w14:textId="77777777" w:rsidR="001E5A4B" w:rsidRDefault="001E5A4B">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4ABD" w14:textId="37A4DA35" w:rsidR="001E5A4B" w:rsidRPr="00D44548" w:rsidRDefault="001E5A4B" w:rsidP="00ED0631">
    <w:pPr>
      <w:pStyle w:val="Footer"/>
      <w:jc w:val="center"/>
      <w:rPr>
        <w:rFonts w:cs="Arial"/>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780F6" w14:textId="77777777" w:rsidR="001E5A4B" w:rsidRPr="00E700FC" w:rsidRDefault="001E5A4B" w:rsidP="00ED0631">
    <w:pPr>
      <w:pBdr>
        <w:top w:val="single" w:sz="4" w:space="1" w:color="auto"/>
      </w:pBdr>
      <w:rPr>
        <w:b/>
        <w:color w:val="404040" w:themeColor="text1" w:themeTint="BF"/>
      </w:rPr>
    </w:pPr>
    <w:r w:rsidRPr="00E700FC">
      <w:rPr>
        <w:b/>
        <w:color w:val="404040" w:themeColor="text1" w:themeTint="BF"/>
      </w:rPr>
      <w:t>Examinations and Assessment Unit, Ministry of Education</w:t>
    </w:r>
  </w:p>
  <w:p w14:paraId="536B4571" w14:textId="77777777" w:rsidR="001E5A4B" w:rsidRPr="00D44548" w:rsidRDefault="001E5A4B" w:rsidP="00ED0631">
    <w:pPr>
      <w:rPr>
        <w:b/>
        <w:color w:val="404040" w:themeColor="text1" w:themeTint="BF"/>
      </w:rPr>
    </w:pPr>
    <w:r>
      <w:rPr>
        <w:b/>
        <w:color w:val="404040" w:themeColor="text1" w:themeTint="BF"/>
      </w:rPr>
      <w:t>February 2016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84606"/>
      <w:docPartObj>
        <w:docPartGallery w:val="Page Numbers (Bottom of Page)"/>
        <w:docPartUnique/>
      </w:docPartObj>
    </w:sdtPr>
    <w:sdtEndPr>
      <w:rPr>
        <w:noProof/>
      </w:rPr>
    </w:sdtEndPr>
    <w:sdtContent>
      <w:p w14:paraId="37442B5D" w14:textId="485D87B5" w:rsidR="001E5A4B" w:rsidRPr="006767F7" w:rsidRDefault="001E5A4B" w:rsidP="006767F7">
        <w:pPr>
          <w:pStyle w:val="Footer"/>
          <w:jc w:val="right"/>
        </w:pPr>
        <w:r>
          <w:fldChar w:fldCharType="begin"/>
        </w:r>
        <w:r>
          <w:instrText xml:space="preserve"> PAGE   \* MERGEFORMAT </w:instrText>
        </w:r>
        <w:r>
          <w:fldChar w:fldCharType="separate"/>
        </w:r>
        <w:r w:rsidR="00B951C4">
          <w:rPr>
            <w:noProof/>
          </w:rPr>
          <w:t>24</w:t>
        </w:r>
        <w:r>
          <w:rPr>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3D689" w14:textId="2F4AD3C6" w:rsidR="001E5A4B" w:rsidRPr="006767F7" w:rsidRDefault="001E5A4B" w:rsidP="006767F7">
    <w:pPr>
      <w:pStyle w:val="Footer"/>
      <w:jc w:val="righ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547136"/>
      <w:docPartObj>
        <w:docPartGallery w:val="Page Numbers (Bottom of Page)"/>
        <w:docPartUnique/>
      </w:docPartObj>
    </w:sdtPr>
    <w:sdtEndPr>
      <w:rPr>
        <w:rFonts w:ascii="Arial" w:hAnsi="Arial" w:cs="Arial"/>
        <w:noProof/>
        <w:sz w:val="18"/>
        <w:szCs w:val="18"/>
      </w:rPr>
    </w:sdtEndPr>
    <w:sdtContent>
      <w:p w14:paraId="2F8661E5" w14:textId="77777777" w:rsidR="001E5A4B" w:rsidRPr="00FF5E82" w:rsidRDefault="001E5A4B" w:rsidP="00ED0631">
        <w:pPr>
          <w:pStyle w:val="Footer"/>
          <w:jc w:val="right"/>
          <w:rPr>
            <w:rFonts w:ascii="Arial" w:hAnsi="Arial" w:cs="Arial"/>
            <w:sz w:val="18"/>
            <w:szCs w:val="18"/>
          </w:rPr>
        </w:pPr>
        <w:r w:rsidRPr="00FF5E82">
          <w:rPr>
            <w:rFonts w:ascii="Arial" w:hAnsi="Arial" w:cs="Arial"/>
            <w:sz w:val="18"/>
            <w:szCs w:val="18"/>
          </w:rPr>
          <w:fldChar w:fldCharType="begin"/>
        </w:r>
        <w:r w:rsidRPr="00FF5E82">
          <w:rPr>
            <w:rFonts w:ascii="Arial" w:hAnsi="Arial" w:cs="Arial"/>
            <w:sz w:val="18"/>
            <w:szCs w:val="18"/>
          </w:rPr>
          <w:instrText xml:space="preserve"> PAGE   \* MERGEFORMAT </w:instrText>
        </w:r>
        <w:r w:rsidRPr="00FF5E82">
          <w:rPr>
            <w:rFonts w:ascii="Arial" w:hAnsi="Arial" w:cs="Arial"/>
            <w:sz w:val="18"/>
            <w:szCs w:val="18"/>
          </w:rPr>
          <w:fldChar w:fldCharType="separate"/>
        </w:r>
        <w:r>
          <w:rPr>
            <w:rFonts w:ascii="Arial" w:hAnsi="Arial" w:cs="Arial"/>
            <w:noProof/>
            <w:sz w:val="18"/>
            <w:szCs w:val="18"/>
          </w:rPr>
          <w:t>1</w:t>
        </w:r>
        <w:r w:rsidRPr="00FF5E82">
          <w:rPr>
            <w:rFonts w:ascii="Arial" w:hAnsi="Arial" w:cs="Arial"/>
            <w:noProof/>
            <w:sz w:val="18"/>
            <w:szCs w:val="18"/>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801028"/>
      <w:docPartObj>
        <w:docPartGallery w:val="Page Numbers (Bottom of Page)"/>
        <w:docPartUnique/>
      </w:docPartObj>
    </w:sdtPr>
    <w:sdtEndPr>
      <w:rPr>
        <w:noProof/>
      </w:rPr>
    </w:sdtEndPr>
    <w:sdtContent>
      <w:p w14:paraId="0C831F05" w14:textId="57028A9F" w:rsidR="001E5A4B" w:rsidRPr="006767F7" w:rsidRDefault="001E5A4B" w:rsidP="00ED0631">
        <w:pPr>
          <w:pStyle w:val="Footer"/>
          <w:jc w:val="right"/>
        </w:pPr>
        <w:r>
          <w:fldChar w:fldCharType="begin"/>
        </w:r>
        <w:r>
          <w:instrText xml:space="preserve"> PAGE   \* MERGEFORMAT </w:instrText>
        </w:r>
        <w:r>
          <w:fldChar w:fldCharType="separate"/>
        </w:r>
        <w:r w:rsidR="00B951C4">
          <w:rPr>
            <w:noProof/>
          </w:rPr>
          <w:t>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22170988"/>
      <w:docPartObj>
        <w:docPartGallery w:val="Page Numbers (Bottom of Page)"/>
        <w:docPartUnique/>
      </w:docPartObj>
    </w:sdtPr>
    <w:sdtEndPr>
      <w:rPr>
        <w:noProof/>
      </w:rPr>
    </w:sdtEndPr>
    <w:sdtContent>
      <w:p w14:paraId="0C736EB6" w14:textId="10B1EDBD" w:rsidR="001E5A4B" w:rsidRPr="0060082A" w:rsidRDefault="001E5A4B" w:rsidP="0060082A">
        <w:pPr>
          <w:pStyle w:val="Footer"/>
          <w:tabs>
            <w:tab w:val="clear" w:pos="4513"/>
            <w:tab w:val="clear" w:pos="9026"/>
            <w:tab w:val="right" w:pos="9214"/>
          </w:tabs>
          <w:rPr>
            <w:sz w:val="16"/>
            <w:szCs w:val="16"/>
          </w:rPr>
        </w:pPr>
        <w:r w:rsidRPr="0060082A">
          <w:rPr>
            <w:sz w:val="16"/>
            <w:szCs w:val="16"/>
          </w:rPr>
          <w:t>Kiribati Education Improvement Program Phase 2 - Completion Report</w:t>
        </w:r>
        <w:r w:rsidRPr="0060082A">
          <w:rPr>
            <w:sz w:val="16"/>
            <w:szCs w:val="16"/>
          </w:rPr>
          <w:tab/>
        </w:r>
        <w:r w:rsidRPr="0060082A">
          <w:rPr>
            <w:sz w:val="16"/>
            <w:szCs w:val="16"/>
          </w:rPr>
          <w:fldChar w:fldCharType="begin"/>
        </w:r>
        <w:r w:rsidRPr="0060082A">
          <w:rPr>
            <w:sz w:val="16"/>
            <w:szCs w:val="16"/>
          </w:rPr>
          <w:instrText xml:space="preserve"> PAGE   \* MERGEFORMAT </w:instrText>
        </w:r>
        <w:r w:rsidRPr="0060082A">
          <w:rPr>
            <w:sz w:val="16"/>
            <w:szCs w:val="16"/>
          </w:rPr>
          <w:fldChar w:fldCharType="separate"/>
        </w:r>
        <w:r w:rsidR="00B951C4">
          <w:rPr>
            <w:noProof/>
            <w:sz w:val="16"/>
            <w:szCs w:val="16"/>
          </w:rPr>
          <w:t>iv</w:t>
        </w:r>
        <w:r w:rsidRPr="0060082A">
          <w:rPr>
            <w:noProof/>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67372090"/>
      <w:docPartObj>
        <w:docPartGallery w:val="Page Numbers (Bottom of Page)"/>
        <w:docPartUnique/>
      </w:docPartObj>
    </w:sdtPr>
    <w:sdtEndPr>
      <w:rPr>
        <w:noProof/>
      </w:rPr>
    </w:sdtEndPr>
    <w:sdtContent>
      <w:sdt>
        <w:sdtPr>
          <w:rPr>
            <w:sz w:val="16"/>
            <w:szCs w:val="16"/>
          </w:rPr>
          <w:id w:val="-290286978"/>
          <w:docPartObj>
            <w:docPartGallery w:val="Page Numbers (Bottom of Page)"/>
            <w:docPartUnique/>
          </w:docPartObj>
        </w:sdtPr>
        <w:sdtEndPr>
          <w:rPr>
            <w:noProof/>
          </w:rPr>
        </w:sdtEndPr>
        <w:sdtContent>
          <w:p w14:paraId="1B5C146C" w14:textId="649CAD8E" w:rsidR="001E5A4B" w:rsidRPr="0060082A" w:rsidRDefault="00B951C4" w:rsidP="0060082A">
            <w:pPr>
              <w:pStyle w:val="Header"/>
              <w:rPr>
                <w:noProof/>
                <w:sz w:val="16"/>
                <w:szCs w:val="16"/>
              </w:rPr>
            </w:pPr>
            <w:sdt>
              <w:sdtPr>
                <w:rPr>
                  <w:sz w:val="16"/>
                  <w:szCs w:val="16"/>
                </w:rPr>
                <w:id w:val="-2027009546"/>
                <w:docPartObj>
                  <w:docPartGallery w:val="Page Numbers (Bottom of Page)"/>
                  <w:docPartUnique/>
                </w:docPartObj>
              </w:sdtPr>
              <w:sdtEndPr>
                <w:rPr>
                  <w:noProof/>
                </w:rPr>
              </w:sdtEndPr>
              <w:sdtContent>
                <w:r w:rsidR="001E5A4B" w:rsidRPr="0060082A">
                  <w:rPr>
                    <w:sz w:val="16"/>
                    <w:szCs w:val="16"/>
                  </w:rPr>
                  <w:t>Kiribati Education Improvement Program Phase 2 - Completion Report</w:t>
                </w:r>
                <w:r w:rsidR="001E5A4B" w:rsidRPr="0060082A">
                  <w:rPr>
                    <w:sz w:val="16"/>
                    <w:szCs w:val="16"/>
                  </w:rPr>
                  <w:tab/>
                </w:r>
                <w:r w:rsidR="001E5A4B" w:rsidRPr="0060082A">
                  <w:rPr>
                    <w:sz w:val="16"/>
                    <w:szCs w:val="16"/>
                  </w:rPr>
                  <w:fldChar w:fldCharType="begin"/>
                </w:r>
                <w:r w:rsidR="001E5A4B" w:rsidRPr="0060082A">
                  <w:rPr>
                    <w:sz w:val="16"/>
                    <w:szCs w:val="16"/>
                  </w:rPr>
                  <w:instrText xml:space="preserve"> PAGE   \* MERGEFORMAT </w:instrText>
                </w:r>
                <w:r w:rsidR="001E5A4B" w:rsidRPr="0060082A">
                  <w:rPr>
                    <w:sz w:val="16"/>
                    <w:szCs w:val="16"/>
                  </w:rPr>
                  <w:fldChar w:fldCharType="separate"/>
                </w:r>
                <w:r>
                  <w:rPr>
                    <w:noProof/>
                    <w:sz w:val="16"/>
                    <w:szCs w:val="16"/>
                  </w:rPr>
                  <w:t>7</w:t>
                </w:r>
                <w:r w:rsidR="001E5A4B" w:rsidRPr="0060082A">
                  <w:rPr>
                    <w:noProof/>
                    <w:sz w:val="16"/>
                    <w:szCs w:val="16"/>
                  </w:rPr>
                  <w:fldChar w:fldCharType="end"/>
                </w:r>
              </w:sdtContent>
            </w:sdt>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83795565"/>
      <w:docPartObj>
        <w:docPartGallery w:val="Page Numbers (Bottom of Page)"/>
        <w:docPartUnique/>
      </w:docPartObj>
    </w:sdtPr>
    <w:sdtEndPr>
      <w:rPr>
        <w:noProof/>
        <w:sz w:val="20"/>
        <w:szCs w:val="20"/>
      </w:rPr>
    </w:sdtEndPr>
    <w:sdtContent>
      <w:sdt>
        <w:sdtPr>
          <w:rPr>
            <w:sz w:val="16"/>
            <w:szCs w:val="16"/>
          </w:rPr>
          <w:id w:val="917914040"/>
          <w:docPartObj>
            <w:docPartGallery w:val="Page Numbers (Bottom of Page)"/>
            <w:docPartUnique/>
          </w:docPartObj>
        </w:sdtPr>
        <w:sdtEndPr>
          <w:rPr>
            <w:noProof/>
            <w:sz w:val="20"/>
            <w:szCs w:val="20"/>
          </w:rPr>
        </w:sdtEndPr>
        <w:sdtContent>
          <w:p w14:paraId="1C4ECD8A" w14:textId="1A5A26B0" w:rsidR="001E5A4B" w:rsidRPr="0060082A" w:rsidRDefault="00B951C4" w:rsidP="0060082A">
            <w:pPr>
              <w:pStyle w:val="Header"/>
              <w:tabs>
                <w:tab w:val="clear" w:pos="9026"/>
                <w:tab w:val="right" w:pos="13438"/>
              </w:tabs>
              <w:rPr>
                <w:noProof/>
              </w:rPr>
            </w:pPr>
            <w:sdt>
              <w:sdtPr>
                <w:rPr>
                  <w:sz w:val="16"/>
                  <w:szCs w:val="16"/>
                </w:rPr>
                <w:id w:val="2132432068"/>
                <w:docPartObj>
                  <w:docPartGallery w:val="Page Numbers (Bottom of Page)"/>
                  <w:docPartUnique/>
                </w:docPartObj>
              </w:sdtPr>
              <w:sdtEndPr>
                <w:rPr>
                  <w:noProof/>
                </w:rPr>
              </w:sdtEndPr>
              <w:sdtContent>
                <w:r w:rsidR="001E5A4B" w:rsidRPr="0060082A">
                  <w:rPr>
                    <w:sz w:val="16"/>
                    <w:szCs w:val="16"/>
                  </w:rPr>
                  <w:t>Kiribati Education Improvement Program Phase 2 - Completion Report</w:t>
                </w:r>
                <w:r w:rsidR="001E5A4B" w:rsidRPr="0060082A">
                  <w:rPr>
                    <w:sz w:val="16"/>
                    <w:szCs w:val="16"/>
                  </w:rPr>
                  <w:tab/>
                </w:r>
                <w:r w:rsidR="001E5A4B" w:rsidRPr="0060082A">
                  <w:rPr>
                    <w:sz w:val="16"/>
                    <w:szCs w:val="16"/>
                  </w:rPr>
                  <w:fldChar w:fldCharType="begin"/>
                </w:r>
                <w:r w:rsidR="001E5A4B" w:rsidRPr="0060082A">
                  <w:rPr>
                    <w:sz w:val="16"/>
                    <w:szCs w:val="16"/>
                  </w:rPr>
                  <w:instrText xml:space="preserve"> PAGE   \* MERGEFORMAT </w:instrText>
                </w:r>
                <w:r w:rsidR="001E5A4B" w:rsidRPr="0060082A">
                  <w:rPr>
                    <w:sz w:val="16"/>
                    <w:szCs w:val="16"/>
                  </w:rPr>
                  <w:fldChar w:fldCharType="separate"/>
                </w:r>
                <w:r>
                  <w:rPr>
                    <w:noProof/>
                    <w:sz w:val="16"/>
                    <w:szCs w:val="16"/>
                  </w:rPr>
                  <w:t>8</w:t>
                </w:r>
                <w:r w:rsidR="001E5A4B" w:rsidRPr="0060082A">
                  <w:rPr>
                    <w:noProof/>
                    <w:sz w:val="16"/>
                    <w:szCs w:val="16"/>
                  </w:rPr>
                  <w:fldChar w:fldCharType="end"/>
                </w:r>
              </w:sdtContent>
            </w:sdt>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4F880" w14:textId="061209B8" w:rsidR="001E5A4B" w:rsidRPr="0060082A" w:rsidRDefault="00B951C4" w:rsidP="0060082A">
    <w:pPr>
      <w:pStyle w:val="Footer"/>
      <w:tabs>
        <w:tab w:val="clear" w:pos="4513"/>
        <w:tab w:val="clear" w:pos="9026"/>
        <w:tab w:val="right" w:pos="9214"/>
      </w:tabs>
      <w:spacing w:before="240" w:after="240"/>
      <w:rPr>
        <w:noProof/>
        <w:sz w:val="16"/>
        <w:szCs w:val="16"/>
      </w:rPr>
    </w:pPr>
    <w:sdt>
      <w:sdtPr>
        <w:rPr>
          <w:sz w:val="18"/>
          <w:szCs w:val="18"/>
        </w:rPr>
        <w:id w:val="1899548422"/>
        <w:docPartObj>
          <w:docPartGallery w:val="Page Numbers (Bottom of Page)"/>
          <w:docPartUnique/>
        </w:docPartObj>
      </w:sdtPr>
      <w:sdtEndPr>
        <w:rPr>
          <w:noProof/>
          <w:sz w:val="16"/>
          <w:szCs w:val="16"/>
        </w:rPr>
      </w:sdtEndPr>
      <w:sdtContent>
        <w:r w:rsidR="001E5A4B" w:rsidRPr="0060082A">
          <w:rPr>
            <w:sz w:val="16"/>
            <w:szCs w:val="16"/>
          </w:rPr>
          <w:t>Kiribati Education Improvement Program Phase 2 - Completion Report</w:t>
        </w:r>
        <w:r w:rsidR="001E5A4B" w:rsidRPr="0060082A">
          <w:rPr>
            <w:sz w:val="16"/>
            <w:szCs w:val="16"/>
          </w:rPr>
          <w:tab/>
        </w:r>
        <w:r w:rsidR="001E5A4B" w:rsidRPr="0060082A">
          <w:rPr>
            <w:sz w:val="16"/>
            <w:szCs w:val="16"/>
          </w:rPr>
          <w:fldChar w:fldCharType="begin"/>
        </w:r>
        <w:r w:rsidR="001E5A4B" w:rsidRPr="0060082A">
          <w:rPr>
            <w:sz w:val="16"/>
            <w:szCs w:val="16"/>
          </w:rPr>
          <w:instrText xml:space="preserve"> PAGE   \* MERGEFORMAT </w:instrText>
        </w:r>
        <w:r w:rsidR="001E5A4B" w:rsidRPr="0060082A">
          <w:rPr>
            <w:sz w:val="16"/>
            <w:szCs w:val="16"/>
          </w:rPr>
          <w:fldChar w:fldCharType="separate"/>
        </w:r>
        <w:r>
          <w:rPr>
            <w:noProof/>
            <w:sz w:val="16"/>
            <w:szCs w:val="16"/>
          </w:rPr>
          <w:t>9</w:t>
        </w:r>
        <w:r w:rsidR="001E5A4B" w:rsidRPr="0060082A">
          <w:rPr>
            <w:noProof/>
            <w:sz w:val="16"/>
            <w:szCs w:val="16"/>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7204"/>
      <w:docPartObj>
        <w:docPartGallery w:val="Page Numbers (Bottom of Page)"/>
        <w:docPartUnique/>
      </w:docPartObj>
    </w:sdtPr>
    <w:sdtEndPr>
      <w:rPr>
        <w:rFonts w:ascii="Arial" w:hAnsi="Arial" w:cs="Arial"/>
        <w:noProof/>
        <w:sz w:val="18"/>
        <w:szCs w:val="18"/>
      </w:rPr>
    </w:sdtEndPr>
    <w:sdtContent>
      <w:p w14:paraId="77B9EE88" w14:textId="0CD724D0" w:rsidR="001E5A4B" w:rsidRPr="00871EDA" w:rsidRDefault="00B951C4" w:rsidP="00ED0631">
        <w:pPr>
          <w:pStyle w:val="Footer"/>
          <w:jc w:val="right"/>
          <w:rPr>
            <w:rFonts w:ascii="Arial" w:hAnsi="Arial" w:cs="Arial"/>
            <w:sz w:val="18"/>
            <w:szCs w:val="18"/>
          </w:rP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847570"/>
      <w:docPartObj>
        <w:docPartGallery w:val="Page Numbers (Bottom of Page)"/>
        <w:docPartUnique/>
      </w:docPartObj>
    </w:sdtPr>
    <w:sdtEndPr>
      <w:rPr>
        <w:noProof/>
      </w:rPr>
    </w:sdtEndPr>
    <w:sdtContent>
      <w:p w14:paraId="362782A9" w14:textId="229AD2FA" w:rsidR="001E5A4B" w:rsidRPr="00B458B0" w:rsidRDefault="001E5A4B" w:rsidP="00B458B0">
        <w:pPr>
          <w:pStyle w:val="Footer"/>
          <w:jc w:val="right"/>
        </w:pPr>
        <w:r>
          <w:fldChar w:fldCharType="begin"/>
        </w:r>
        <w:r>
          <w:instrText xml:space="preserve"> PAGE   \* MERGEFORMAT </w:instrText>
        </w:r>
        <w:r>
          <w:fldChar w:fldCharType="separate"/>
        </w:r>
        <w:r w:rsidR="00B951C4">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4730A" w14:textId="77777777" w:rsidR="001E5A4B" w:rsidRDefault="001E5A4B" w:rsidP="000222BA">
      <w:pPr>
        <w:spacing w:after="0"/>
      </w:pPr>
      <w:r>
        <w:separator/>
      </w:r>
    </w:p>
  </w:footnote>
  <w:footnote w:type="continuationSeparator" w:id="0">
    <w:p w14:paraId="6270DA18" w14:textId="77777777" w:rsidR="001E5A4B" w:rsidRDefault="001E5A4B" w:rsidP="000222BA">
      <w:pPr>
        <w:spacing w:after="0"/>
      </w:pPr>
      <w:r>
        <w:continuationSeparator/>
      </w:r>
    </w:p>
  </w:footnote>
  <w:footnote w:type="continuationNotice" w:id="1">
    <w:p w14:paraId="24A5BBD4" w14:textId="77777777" w:rsidR="001E5A4B" w:rsidRDefault="001E5A4B">
      <w:pPr>
        <w:spacing w:after="0"/>
      </w:pPr>
    </w:p>
  </w:footnote>
  <w:footnote w:id="2">
    <w:p w14:paraId="2A12893B" w14:textId="6158CFC0" w:rsidR="001E5A4B" w:rsidRPr="00BE0FE1" w:rsidRDefault="001E5A4B" w:rsidP="0039620C">
      <w:pPr>
        <w:pStyle w:val="FootnoteText"/>
        <w:spacing w:before="40" w:after="40"/>
        <w:ind w:left="284" w:hanging="284"/>
        <w:rPr>
          <w:rFonts w:ascii="Arial" w:hAnsi="Arial" w:cs="Arial"/>
          <w:sz w:val="16"/>
          <w:szCs w:val="16"/>
        </w:rPr>
      </w:pPr>
      <w:r w:rsidRPr="00BE0FE1">
        <w:rPr>
          <w:rStyle w:val="FootnoteReference"/>
          <w:rFonts w:ascii="Arial" w:hAnsi="Arial" w:cs="Arial"/>
          <w:sz w:val="16"/>
          <w:szCs w:val="16"/>
        </w:rPr>
        <w:footnoteRef/>
      </w:r>
      <w:r w:rsidRPr="00BE0FE1">
        <w:rPr>
          <w:rFonts w:ascii="Arial" w:hAnsi="Arial" w:cs="Arial"/>
          <w:sz w:val="16"/>
          <w:szCs w:val="16"/>
        </w:rPr>
        <w:t xml:space="preserve"> </w:t>
      </w:r>
      <w:r w:rsidRPr="00BE0FE1">
        <w:rPr>
          <w:rFonts w:ascii="Arial" w:hAnsi="Arial" w:cs="Arial"/>
          <w:sz w:val="16"/>
          <w:szCs w:val="16"/>
        </w:rPr>
        <w:tab/>
        <w:t>DFAT’s KEIP investment over Phase I and Phase II is AUD 38,082,281.</w:t>
      </w:r>
    </w:p>
  </w:footnote>
  <w:footnote w:id="3">
    <w:p w14:paraId="242762F1" w14:textId="28EC8FC0" w:rsidR="001E5A4B" w:rsidRPr="00A82C90" w:rsidRDefault="001E5A4B" w:rsidP="00A82C90">
      <w:pPr>
        <w:pStyle w:val="FootnoteText"/>
        <w:spacing w:before="40" w:after="40"/>
        <w:ind w:left="284" w:hanging="284"/>
        <w:rPr>
          <w:rFonts w:asciiTheme="majorHAnsi" w:hAnsiTheme="majorHAnsi" w:cstheme="majorHAnsi"/>
          <w:sz w:val="18"/>
          <w:szCs w:val="18"/>
        </w:rPr>
      </w:pPr>
      <w:r w:rsidRPr="00A82C90">
        <w:rPr>
          <w:rFonts w:asciiTheme="majorHAnsi" w:hAnsiTheme="majorHAnsi" w:cstheme="majorHAnsi"/>
          <w:sz w:val="18"/>
          <w:szCs w:val="18"/>
          <w:vertAlign w:val="superscript"/>
        </w:rPr>
        <w:footnoteRef/>
      </w:r>
      <w:r w:rsidRPr="00A82C90">
        <w:rPr>
          <w:rFonts w:asciiTheme="majorHAnsi" w:hAnsiTheme="majorHAnsi" w:cstheme="majorHAnsi"/>
          <w:sz w:val="18"/>
          <w:szCs w:val="18"/>
        </w:rPr>
        <w:t xml:space="preserve"> </w:t>
      </w:r>
      <w:r>
        <w:rPr>
          <w:rFonts w:asciiTheme="majorHAnsi" w:hAnsiTheme="majorHAnsi" w:cstheme="majorHAnsi"/>
          <w:sz w:val="18"/>
          <w:szCs w:val="18"/>
        </w:rPr>
        <w:tab/>
      </w:r>
      <w:r w:rsidRPr="00A82C90">
        <w:rPr>
          <w:rFonts w:asciiTheme="majorHAnsi" w:hAnsiTheme="majorHAnsi" w:cstheme="majorHAnsi"/>
          <w:sz w:val="18"/>
          <w:szCs w:val="18"/>
        </w:rPr>
        <w:t>The first two objectives of the PESDA are: i) Ensuring all Pacific children have access to a basic education ii) Making sure that education is of an acceptable quality, particularly to guarantee literacy and numeracy and to provide a basis for learning beyond primary school</w:t>
      </w:r>
    </w:p>
  </w:footnote>
  <w:footnote w:id="4">
    <w:p w14:paraId="25C9BBC8" w14:textId="4E993E4F" w:rsidR="001E5A4B" w:rsidRPr="00A82C90" w:rsidRDefault="001E5A4B" w:rsidP="00A82C90">
      <w:pPr>
        <w:pStyle w:val="FootnoteText"/>
        <w:ind w:left="284" w:hanging="284"/>
        <w:rPr>
          <w:rFonts w:asciiTheme="majorHAnsi" w:hAnsiTheme="majorHAnsi" w:cstheme="majorHAnsi"/>
          <w:color w:val="000000" w:themeColor="text1"/>
          <w:sz w:val="18"/>
          <w:szCs w:val="18"/>
        </w:rPr>
      </w:pPr>
      <w:r w:rsidRPr="00A82C90">
        <w:rPr>
          <w:rStyle w:val="FootnoteReference"/>
          <w:rFonts w:asciiTheme="majorHAnsi" w:hAnsiTheme="majorHAnsi" w:cstheme="majorHAnsi"/>
          <w:color w:val="000000" w:themeColor="text1"/>
          <w:sz w:val="18"/>
          <w:szCs w:val="18"/>
        </w:rPr>
        <w:footnoteRef/>
      </w:r>
      <w:r w:rsidRPr="00A82C90">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ab/>
      </w:r>
      <w:r w:rsidRPr="00A82C90">
        <w:rPr>
          <w:rFonts w:asciiTheme="majorHAnsi" w:hAnsiTheme="majorHAnsi" w:cstheme="majorHAnsi"/>
          <w:color w:val="000000" w:themeColor="text1"/>
          <w:sz w:val="18"/>
          <w:szCs w:val="18"/>
        </w:rPr>
        <w:t xml:space="preserve">DFAT 2014 KEIP Phase </w:t>
      </w:r>
      <w:r w:rsidRPr="00A82C90">
        <w:rPr>
          <w:rFonts w:asciiTheme="majorHAnsi" w:hAnsiTheme="majorHAnsi" w:cstheme="majorHAnsi"/>
          <w:sz w:val="18"/>
          <w:szCs w:val="18"/>
        </w:rPr>
        <w:t xml:space="preserve">II Independent </w:t>
      </w:r>
      <w:r w:rsidRPr="00A82C90">
        <w:rPr>
          <w:rFonts w:asciiTheme="majorHAnsi" w:hAnsiTheme="majorHAnsi" w:cstheme="majorHAnsi"/>
          <w:color w:val="000000" w:themeColor="text1"/>
          <w:sz w:val="18"/>
          <w:szCs w:val="18"/>
        </w:rPr>
        <w:t>Evaluation, p.7.</w:t>
      </w:r>
    </w:p>
  </w:footnote>
  <w:footnote w:id="5">
    <w:p w14:paraId="06235A88" w14:textId="43AA0C18" w:rsidR="001E5A4B" w:rsidRPr="00A82C90" w:rsidRDefault="001E5A4B" w:rsidP="00A82C90">
      <w:pPr>
        <w:pStyle w:val="FootnoteText"/>
        <w:ind w:left="284" w:hanging="284"/>
        <w:rPr>
          <w:rFonts w:asciiTheme="majorHAnsi" w:hAnsiTheme="majorHAnsi" w:cstheme="majorHAnsi"/>
          <w:sz w:val="18"/>
          <w:szCs w:val="18"/>
        </w:rPr>
      </w:pPr>
      <w:r w:rsidRPr="00A82C90">
        <w:rPr>
          <w:rStyle w:val="FootnoteReference"/>
          <w:rFonts w:asciiTheme="majorHAnsi" w:hAnsiTheme="majorHAnsi" w:cstheme="majorHAnsi"/>
          <w:sz w:val="18"/>
          <w:szCs w:val="18"/>
        </w:rPr>
        <w:footnoteRef/>
      </w:r>
      <w:r w:rsidRPr="00A82C90">
        <w:rPr>
          <w:rFonts w:asciiTheme="majorHAnsi" w:hAnsiTheme="majorHAnsi" w:cstheme="majorHAnsi"/>
          <w:sz w:val="18"/>
          <w:szCs w:val="18"/>
        </w:rPr>
        <w:t xml:space="preserve"> </w:t>
      </w:r>
      <w:r>
        <w:rPr>
          <w:rFonts w:asciiTheme="majorHAnsi" w:hAnsiTheme="majorHAnsi" w:cstheme="majorHAnsi"/>
          <w:sz w:val="18"/>
          <w:szCs w:val="18"/>
        </w:rPr>
        <w:tab/>
      </w:r>
      <w:r w:rsidRPr="00A82C90">
        <w:rPr>
          <w:rFonts w:asciiTheme="majorHAnsi" w:hAnsiTheme="majorHAnsi" w:cstheme="majorHAnsi"/>
          <w:sz w:val="18"/>
          <w:szCs w:val="18"/>
        </w:rPr>
        <w:t>For PILNA, the sample size across each Pacific country is around 2.000 students in the cohort. This number represents the approximate student population in Kiribati primary schools, so is a reflection of the complete population and system.</w:t>
      </w:r>
    </w:p>
  </w:footnote>
  <w:footnote w:id="6">
    <w:p w14:paraId="03FD1679" w14:textId="77777777" w:rsidR="001E5A4B" w:rsidRPr="00A82C90" w:rsidRDefault="001E5A4B" w:rsidP="00C32532">
      <w:pPr>
        <w:pStyle w:val="FootnoteText"/>
        <w:ind w:left="284" w:hanging="284"/>
        <w:rPr>
          <w:rFonts w:asciiTheme="majorHAnsi" w:hAnsiTheme="majorHAnsi" w:cstheme="majorHAnsi"/>
          <w:sz w:val="18"/>
          <w:szCs w:val="18"/>
        </w:rPr>
      </w:pPr>
      <w:r w:rsidRPr="00A82C90">
        <w:rPr>
          <w:rStyle w:val="FootnoteReference"/>
          <w:rFonts w:asciiTheme="majorHAnsi" w:hAnsiTheme="majorHAnsi" w:cstheme="majorHAnsi"/>
          <w:sz w:val="18"/>
          <w:szCs w:val="18"/>
        </w:rPr>
        <w:footnoteRef/>
      </w:r>
      <w:r w:rsidRPr="00A82C90">
        <w:rPr>
          <w:rFonts w:asciiTheme="majorHAnsi" w:hAnsiTheme="majorHAnsi" w:cstheme="majorHAnsi"/>
          <w:sz w:val="18"/>
          <w:szCs w:val="18"/>
        </w:rPr>
        <w:t xml:space="preserve"> </w:t>
      </w:r>
      <w:r>
        <w:rPr>
          <w:rFonts w:asciiTheme="majorHAnsi" w:hAnsiTheme="majorHAnsi" w:cstheme="majorHAnsi"/>
          <w:sz w:val="18"/>
          <w:szCs w:val="18"/>
        </w:rPr>
        <w:tab/>
      </w:r>
      <w:r w:rsidRPr="00A82C90">
        <w:rPr>
          <w:rFonts w:asciiTheme="majorHAnsi" w:hAnsiTheme="majorHAnsi" w:cstheme="majorHAnsi"/>
          <w:sz w:val="18"/>
          <w:szCs w:val="18"/>
        </w:rPr>
        <w:t xml:space="preserve">The new curriculum was introduced to Years 1 and 2 primary students in 2013. So those boys and girls attending Year 4 in 20156 had been exposed to the new curriculum for a maximum of three years. The Year 4 cohort in 2016 will be the first that has been fully exposed to the new curriculum. </w:t>
      </w:r>
    </w:p>
  </w:footnote>
  <w:footnote w:id="7">
    <w:p w14:paraId="5465600B" w14:textId="77777777" w:rsidR="001E5A4B" w:rsidRPr="00BE0FE1" w:rsidRDefault="001E5A4B" w:rsidP="00A82C90">
      <w:pPr>
        <w:pStyle w:val="FootnoteText"/>
        <w:ind w:left="284" w:hanging="284"/>
        <w:rPr>
          <w:rFonts w:asciiTheme="majorHAnsi" w:hAnsiTheme="majorHAnsi" w:cstheme="majorHAnsi"/>
          <w:sz w:val="16"/>
          <w:szCs w:val="16"/>
        </w:rPr>
      </w:pPr>
      <w:r w:rsidRPr="00A82C90">
        <w:rPr>
          <w:rFonts w:asciiTheme="majorHAnsi" w:hAnsiTheme="majorHAnsi" w:cstheme="majorHAnsi"/>
          <w:sz w:val="18"/>
          <w:szCs w:val="18"/>
          <w:vertAlign w:val="superscript"/>
        </w:rPr>
        <w:footnoteRef/>
      </w:r>
      <w:r w:rsidRPr="00A82C90">
        <w:rPr>
          <w:rFonts w:asciiTheme="majorHAnsi" w:hAnsiTheme="majorHAnsi" w:cstheme="majorHAnsi"/>
          <w:sz w:val="18"/>
          <w:szCs w:val="18"/>
          <w:vertAlign w:val="superscript"/>
        </w:rPr>
        <w:t xml:space="preserve"> </w:t>
      </w:r>
      <w:r w:rsidRPr="00A82C90">
        <w:rPr>
          <w:rFonts w:asciiTheme="majorHAnsi" w:hAnsiTheme="majorHAnsi" w:cstheme="majorHAnsi"/>
          <w:sz w:val="18"/>
          <w:szCs w:val="18"/>
          <w:vertAlign w:val="superscript"/>
        </w:rPr>
        <w:tab/>
      </w:r>
      <w:r w:rsidRPr="00A82C90">
        <w:rPr>
          <w:rFonts w:asciiTheme="majorHAnsi" w:hAnsiTheme="majorHAnsi" w:cstheme="majorHAnsi"/>
          <w:sz w:val="18"/>
          <w:szCs w:val="18"/>
        </w:rPr>
        <w:t>This applies to permanent MoE teachers. The case studies showed there to be a large level of contract teachers most of whom did not participate in PD and had little knowledge of the new curriculum or new teaching approaches, which needs to be addressed through MoE.</w:t>
      </w:r>
    </w:p>
  </w:footnote>
  <w:footnote w:id="8">
    <w:p w14:paraId="502266A7" w14:textId="77777777" w:rsidR="001E5A4B" w:rsidRPr="006671BF" w:rsidRDefault="001E5A4B" w:rsidP="00403567">
      <w:pPr>
        <w:pStyle w:val="FootnoteText"/>
        <w:ind w:left="284" w:hanging="284"/>
        <w:rPr>
          <w:rFonts w:asciiTheme="majorHAnsi" w:hAnsiTheme="majorHAnsi" w:cstheme="majorHAnsi"/>
          <w:sz w:val="18"/>
          <w:szCs w:val="18"/>
        </w:rPr>
      </w:pPr>
      <w:r w:rsidRPr="006671BF">
        <w:rPr>
          <w:rFonts w:asciiTheme="majorHAnsi" w:hAnsiTheme="majorHAnsi" w:cstheme="majorHAnsi"/>
          <w:sz w:val="18"/>
          <w:szCs w:val="18"/>
          <w:vertAlign w:val="superscript"/>
        </w:rPr>
        <w:footnoteRef/>
      </w:r>
      <w:r w:rsidRPr="006671BF">
        <w:rPr>
          <w:rFonts w:asciiTheme="majorHAnsi" w:hAnsiTheme="majorHAnsi" w:cstheme="majorHAnsi"/>
          <w:sz w:val="18"/>
          <w:szCs w:val="18"/>
          <w:vertAlign w:val="superscript"/>
        </w:rPr>
        <w:t xml:space="preserve"> </w:t>
      </w:r>
      <w:r w:rsidRPr="006671BF">
        <w:rPr>
          <w:rFonts w:asciiTheme="majorHAnsi" w:hAnsiTheme="majorHAnsi" w:cstheme="majorHAnsi"/>
          <w:sz w:val="18"/>
          <w:szCs w:val="18"/>
          <w:vertAlign w:val="superscript"/>
        </w:rPr>
        <w:tab/>
      </w:r>
      <w:r w:rsidRPr="006671BF">
        <w:rPr>
          <w:rFonts w:asciiTheme="majorHAnsi" w:hAnsiTheme="majorHAnsi" w:cstheme="majorHAnsi"/>
          <w:sz w:val="18"/>
          <w:szCs w:val="18"/>
        </w:rPr>
        <w:t>This may well represent a related impact, in that communities are now proud of their renovated schools and this has encouraged their further support and engagement.</w:t>
      </w:r>
    </w:p>
  </w:footnote>
  <w:footnote w:id="9">
    <w:p w14:paraId="52C8FAA5" w14:textId="77777777" w:rsidR="001E5A4B" w:rsidRPr="006671BF" w:rsidRDefault="001E5A4B" w:rsidP="00403567">
      <w:pPr>
        <w:pStyle w:val="FootnoteText"/>
        <w:ind w:left="284" w:hanging="284"/>
        <w:rPr>
          <w:rFonts w:asciiTheme="majorHAnsi" w:hAnsiTheme="majorHAnsi" w:cstheme="majorHAnsi"/>
          <w:sz w:val="18"/>
          <w:szCs w:val="18"/>
        </w:rPr>
      </w:pPr>
      <w:r w:rsidRPr="006671BF">
        <w:rPr>
          <w:rFonts w:asciiTheme="majorHAnsi" w:hAnsiTheme="majorHAnsi" w:cstheme="majorHAnsi"/>
          <w:sz w:val="18"/>
          <w:szCs w:val="18"/>
          <w:vertAlign w:val="superscript"/>
        </w:rPr>
        <w:footnoteRef/>
      </w:r>
      <w:r w:rsidRPr="006671BF">
        <w:rPr>
          <w:rFonts w:asciiTheme="majorHAnsi" w:hAnsiTheme="majorHAnsi" w:cstheme="majorHAnsi"/>
          <w:sz w:val="18"/>
          <w:szCs w:val="18"/>
          <w:vertAlign w:val="superscript"/>
        </w:rPr>
        <w:t xml:space="preserve"> </w:t>
      </w:r>
      <w:r w:rsidRPr="006671BF">
        <w:rPr>
          <w:rFonts w:asciiTheme="majorHAnsi" w:hAnsiTheme="majorHAnsi" w:cstheme="majorHAnsi"/>
          <w:sz w:val="18"/>
          <w:szCs w:val="18"/>
          <w:vertAlign w:val="superscript"/>
        </w:rPr>
        <w:tab/>
      </w:r>
      <w:r w:rsidRPr="006671BF">
        <w:rPr>
          <w:rFonts w:asciiTheme="majorHAnsi" w:hAnsiTheme="majorHAnsi" w:cstheme="majorHAnsi"/>
          <w:sz w:val="18"/>
          <w:szCs w:val="18"/>
        </w:rPr>
        <w:t xml:space="preserve">More detail on the research to determine the rate of non-enrolment can be found in Annex 6 – Research Synthesis Report. </w:t>
      </w:r>
    </w:p>
  </w:footnote>
  <w:footnote w:id="10">
    <w:p w14:paraId="03446DF4" w14:textId="77777777" w:rsidR="001E5A4B" w:rsidRPr="00BE0FE1" w:rsidRDefault="001E5A4B" w:rsidP="006C528A">
      <w:pPr>
        <w:pStyle w:val="FootnoteText"/>
        <w:spacing w:before="40" w:after="40"/>
        <w:ind w:left="284" w:hanging="284"/>
        <w:rPr>
          <w:sz w:val="16"/>
          <w:szCs w:val="16"/>
        </w:rPr>
      </w:pPr>
      <w:r w:rsidRPr="006671BF">
        <w:rPr>
          <w:rFonts w:asciiTheme="majorHAnsi" w:hAnsiTheme="majorHAnsi" w:cstheme="majorHAnsi"/>
          <w:sz w:val="18"/>
          <w:szCs w:val="18"/>
          <w:vertAlign w:val="superscript"/>
        </w:rPr>
        <w:footnoteRef/>
      </w:r>
      <w:r w:rsidRPr="006671BF">
        <w:rPr>
          <w:rFonts w:asciiTheme="majorHAnsi" w:hAnsiTheme="majorHAnsi" w:cstheme="majorHAnsi"/>
          <w:sz w:val="18"/>
          <w:szCs w:val="18"/>
          <w:vertAlign w:val="superscript"/>
        </w:rPr>
        <w:t xml:space="preserve"> </w:t>
      </w:r>
      <w:r w:rsidRPr="006671BF">
        <w:rPr>
          <w:rFonts w:asciiTheme="majorHAnsi" w:hAnsiTheme="majorHAnsi" w:cstheme="majorHAnsi"/>
          <w:sz w:val="18"/>
          <w:szCs w:val="18"/>
        </w:rPr>
        <w:tab/>
        <w:t>From current MoE data on basic education statistics.</w:t>
      </w:r>
    </w:p>
  </w:footnote>
  <w:footnote w:id="11">
    <w:p w14:paraId="31E034FE" w14:textId="77777777" w:rsidR="001E5A4B" w:rsidRPr="006671BF" w:rsidRDefault="001E5A4B" w:rsidP="003964E1">
      <w:pPr>
        <w:pStyle w:val="FootnoteText"/>
        <w:spacing w:after="40"/>
        <w:ind w:left="284" w:hanging="284"/>
        <w:rPr>
          <w:rFonts w:asciiTheme="majorHAnsi" w:hAnsiTheme="majorHAnsi" w:cstheme="majorHAnsi"/>
          <w:sz w:val="18"/>
          <w:szCs w:val="18"/>
        </w:rPr>
      </w:pPr>
      <w:r w:rsidRPr="006671BF">
        <w:rPr>
          <w:rFonts w:asciiTheme="majorHAnsi" w:hAnsiTheme="majorHAnsi" w:cstheme="majorHAnsi"/>
          <w:sz w:val="18"/>
          <w:szCs w:val="18"/>
          <w:vertAlign w:val="superscript"/>
        </w:rPr>
        <w:footnoteRef/>
      </w:r>
      <w:r w:rsidRPr="006671BF">
        <w:rPr>
          <w:rFonts w:asciiTheme="majorHAnsi" w:hAnsiTheme="majorHAnsi" w:cstheme="majorHAnsi"/>
          <w:sz w:val="18"/>
          <w:szCs w:val="18"/>
          <w:vertAlign w:val="superscript"/>
        </w:rPr>
        <w:t xml:space="preserve"> </w:t>
      </w:r>
      <w:r w:rsidRPr="006671BF">
        <w:rPr>
          <w:rFonts w:asciiTheme="majorHAnsi" w:hAnsiTheme="majorHAnsi" w:cstheme="majorHAnsi"/>
          <w:sz w:val="18"/>
          <w:szCs w:val="18"/>
        </w:rPr>
        <w:tab/>
        <w:t>The curriculum and resources for first semester Year 5 is complete, with Year 6 in the early stages.</w:t>
      </w:r>
    </w:p>
  </w:footnote>
  <w:footnote w:id="12">
    <w:p w14:paraId="030FEA5F" w14:textId="77777777" w:rsidR="001E5A4B" w:rsidRPr="006671BF" w:rsidRDefault="001E5A4B" w:rsidP="003964E1">
      <w:pPr>
        <w:pStyle w:val="FootnoteText"/>
        <w:spacing w:after="40"/>
        <w:ind w:left="284" w:hanging="284"/>
        <w:rPr>
          <w:rFonts w:asciiTheme="majorHAnsi" w:hAnsiTheme="majorHAnsi" w:cstheme="majorHAnsi"/>
          <w:sz w:val="18"/>
          <w:szCs w:val="18"/>
        </w:rPr>
      </w:pPr>
      <w:r w:rsidRPr="006671BF">
        <w:rPr>
          <w:rFonts w:asciiTheme="majorHAnsi" w:hAnsiTheme="majorHAnsi" w:cstheme="majorHAnsi"/>
          <w:sz w:val="18"/>
          <w:szCs w:val="18"/>
          <w:vertAlign w:val="superscript"/>
        </w:rPr>
        <w:footnoteRef/>
      </w:r>
      <w:r w:rsidRPr="006671BF">
        <w:rPr>
          <w:rFonts w:asciiTheme="majorHAnsi" w:hAnsiTheme="majorHAnsi" w:cstheme="majorHAnsi"/>
          <w:sz w:val="18"/>
          <w:szCs w:val="18"/>
        </w:rPr>
        <w:t xml:space="preserve"> </w:t>
      </w:r>
      <w:r w:rsidRPr="006671BF">
        <w:rPr>
          <w:rFonts w:asciiTheme="majorHAnsi" w:hAnsiTheme="majorHAnsi" w:cstheme="majorHAnsi"/>
          <w:sz w:val="18"/>
          <w:szCs w:val="18"/>
        </w:rPr>
        <w:tab/>
        <w:t>The rationale for mother tongue instruction in the early years is still not sufficiently understood by some MOE teachers and parents and will require further reinforcement through KEIP Phase III.</w:t>
      </w:r>
    </w:p>
  </w:footnote>
  <w:footnote w:id="13">
    <w:p w14:paraId="149EF24B" w14:textId="37E05A50" w:rsidR="001E5A4B" w:rsidRDefault="001E5A4B" w:rsidP="00BE0FE1">
      <w:pPr>
        <w:pStyle w:val="FootnoteText"/>
        <w:spacing w:after="40"/>
        <w:ind w:left="284" w:hanging="284"/>
      </w:pPr>
      <w:r w:rsidRPr="006671BF">
        <w:rPr>
          <w:rStyle w:val="FootnoteReference"/>
          <w:rFonts w:asciiTheme="majorHAnsi" w:hAnsiTheme="majorHAnsi" w:cstheme="majorHAnsi"/>
          <w:sz w:val="18"/>
          <w:szCs w:val="18"/>
        </w:rPr>
        <w:footnoteRef/>
      </w:r>
      <w:r w:rsidRPr="006671BF">
        <w:rPr>
          <w:rFonts w:asciiTheme="majorHAnsi" w:hAnsiTheme="majorHAnsi" w:cstheme="majorHAnsi"/>
          <w:sz w:val="18"/>
          <w:szCs w:val="18"/>
        </w:rPr>
        <w:t xml:space="preserve"> </w:t>
      </w:r>
      <w:r w:rsidRPr="006671BF">
        <w:rPr>
          <w:rFonts w:asciiTheme="majorHAnsi" w:hAnsiTheme="majorHAnsi" w:cstheme="majorHAnsi"/>
          <w:sz w:val="18"/>
          <w:szCs w:val="18"/>
        </w:rPr>
        <w:tab/>
        <w:t>One option that will be piloted in KEIP Phase III is the potential to provide classroom and student information in another form, so that there is a rich source of materials, resources and activities through pre-loaded computing devices. The pilot will be a rigorous process, and issues of teaching and learning, pilot and control grouping, sampling and testing, learning outcomes, the use of devices and their maintenance, the use in classrooms and the security, how best to apply in the classroom will be factored in.</w:t>
      </w:r>
    </w:p>
  </w:footnote>
  <w:footnote w:id="14">
    <w:p w14:paraId="30C1D391" w14:textId="77777777" w:rsidR="001E5A4B" w:rsidRPr="006671BF" w:rsidRDefault="001E5A4B" w:rsidP="009C226E">
      <w:pPr>
        <w:pStyle w:val="FootnoteText"/>
        <w:spacing w:before="40" w:after="40"/>
        <w:ind w:left="284" w:hanging="284"/>
        <w:rPr>
          <w:rFonts w:asciiTheme="majorHAnsi" w:hAnsiTheme="majorHAnsi" w:cstheme="majorHAnsi"/>
          <w:sz w:val="18"/>
          <w:szCs w:val="18"/>
        </w:rPr>
      </w:pPr>
      <w:r w:rsidRPr="006671BF">
        <w:rPr>
          <w:rFonts w:asciiTheme="majorHAnsi" w:hAnsiTheme="majorHAnsi" w:cstheme="majorHAnsi"/>
          <w:sz w:val="18"/>
          <w:szCs w:val="18"/>
          <w:vertAlign w:val="superscript"/>
        </w:rPr>
        <w:footnoteRef/>
      </w:r>
      <w:r w:rsidRPr="006671BF">
        <w:rPr>
          <w:rFonts w:asciiTheme="majorHAnsi" w:hAnsiTheme="majorHAnsi" w:cstheme="majorHAnsi"/>
          <w:sz w:val="18"/>
          <w:szCs w:val="18"/>
          <w:vertAlign w:val="superscript"/>
        </w:rPr>
        <w:t xml:space="preserve"> </w:t>
      </w:r>
      <w:r w:rsidRPr="006671BF">
        <w:rPr>
          <w:rFonts w:asciiTheme="majorHAnsi" w:hAnsiTheme="majorHAnsi" w:cstheme="majorHAnsi"/>
          <w:sz w:val="18"/>
          <w:szCs w:val="18"/>
        </w:rPr>
        <w:tab/>
        <w:t>The test to assess the teachers was the ISLPR, an adaptive test that can be used to assess proficiency in any language for both general proficiency and proficiency in any specific purpose area.</w:t>
      </w:r>
    </w:p>
  </w:footnote>
  <w:footnote w:id="15">
    <w:p w14:paraId="16DE223B" w14:textId="6A8E10FE" w:rsidR="001E5A4B" w:rsidRPr="006671BF" w:rsidRDefault="001E5A4B" w:rsidP="00BE0FE1">
      <w:pPr>
        <w:pStyle w:val="FootnoteText"/>
        <w:spacing w:after="40"/>
        <w:ind w:left="284" w:hanging="284"/>
        <w:rPr>
          <w:rFonts w:asciiTheme="majorHAnsi" w:hAnsiTheme="majorHAnsi" w:cstheme="majorHAnsi"/>
          <w:sz w:val="18"/>
          <w:szCs w:val="18"/>
        </w:rPr>
      </w:pPr>
      <w:r w:rsidRPr="006671BF">
        <w:rPr>
          <w:rStyle w:val="FootnoteReference"/>
          <w:rFonts w:asciiTheme="majorHAnsi" w:hAnsiTheme="majorHAnsi" w:cstheme="majorHAnsi"/>
          <w:sz w:val="18"/>
          <w:szCs w:val="18"/>
        </w:rPr>
        <w:footnoteRef/>
      </w:r>
      <w:r w:rsidRPr="006671BF">
        <w:rPr>
          <w:rFonts w:asciiTheme="majorHAnsi" w:hAnsiTheme="majorHAnsi" w:cstheme="majorHAnsi"/>
          <w:sz w:val="18"/>
          <w:szCs w:val="18"/>
        </w:rPr>
        <w:t xml:space="preserve"> </w:t>
      </w:r>
      <w:r w:rsidRPr="006671BF">
        <w:rPr>
          <w:rFonts w:asciiTheme="majorHAnsi" w:hAnsiTheme="majorHAnsi" w:cstheme="majorHAnsi"/>
          <w:sz w:val="18"/>
          <w:szCs w:val="18"/>
        </w:rPr>
        <w:tab/>
        <w:t xml:space="preserve">USP was considered but not favoured by the MoE. When MoE approached the fees were considered too high (about $600 per participant) and the courses were not tailor made. </w:t>
      </w:r>
    </w:p>
  </w:footnote>
  <w:footnote w:id="16">
    <w:p w14:paraId="62D3E445" w14:textId="7092673F" w:rsidR="001E5A4B" w:rsidRPr="00BE0FE1" w:rsidRDefault="001E5A4B" w:rsidP="00BE0FE1">
      <w:pPr>
        <w:shd w:val="clear" w:color="auto" w:fill="FFFFFF"/>
        <w:spacing w:after="40"/>
        <w:ind w:left="284" w:hanging="284"/>
        <w:rPr>
          <w:rFonts w:asciiTheme="majorHAnsi" w:hAnsiTheme="majorHAnsi" w:cstheme="majorHAnsi"/>
          <w:sz w:val="16"/>
          <w:szCs w:val="16"/>
        </w:rPr>
      </w:pPr>
      <w:r w:rsidRPr="006671BF">
        <w:rPr>
          <w:rStyle w:val="FootnoteReference"/>
          <w:rFonts w:asciiTheme="majorHAnsi" w:hAnsiTheme="majorHAnsi" w:cstheme="majorHAnsi"/>
          <w:sz w:val="18"/>
          <w:szCs w:val="18"/>
        </w:rPr>
        <w:footnoteRef/>
      </w:r>
      <w:r w:rsidRPr="006671BF">
        <w:rPr>
          <w:rFonts w:asciiTheme="majorHAnsi" w:hAnsiTheme="majorHAnsi" w:cstheme="majorHAnsi"/>
          <w:sz w:val="18"/>
          <w:szCs w:val="18"/>
        </w:rPr>
        <w:t xml:space="preserve"> </w:t>
      </w:r>
      <w:r w:rsidRPr="006671BF">
        <w:rPr>
          <w:rFonts w:asciiTheme="majorHAnsi" w:hAnsiTheme="majorHAnsi" w:cstheme="majorHAnsi"/>
          <w:sz w:val="18"/>
          <w:szCs w:val="18"/>
        </w:rPr>
        <w:tab/>
      </w:r>
      <w:r w:rsidRPr="006671BF">
        <w:rPr>
          <w:rFonts w:asciiTheme="majorHAnsi" w:eastAsia="Calibri" w:hAnsiTheme="majorHAnsi" w:cstheme="majorHAnsi"/>
          <w:sz w:val="18"/>
          <w:szCs w:val="18"/>
        </w:rPr>
        <w:t>Research on teacher cognition, a relatively new field that includes the nature of teacher knowledge and ways to develop it, is limited. Such studies are rare in the area of teacher preparation for working with students learning a second language. Akyel, A. (1997). Experienced and student EFL teachers’ instructional thoughts and actions. Canadian Modern Language Review, 53, 678-704. In 2009 MoE commenced the Language Education Pilot Project (LEPP) which was completed in June 2010. The Pilot Program was designed and delivered by Griffith University in association with International Second Language Proficiency Rating (ISLPR) Language Services. As a pilot project, its scope was limited: apart from providing training in TESOL and English Language to lecturers in the KTC.</w:t>
      </w:r>
    </w:p>
  </w:footnote>
  <w:footnote w:id="17">
    <w:p w14:paraId="75E9216A" w14:textId="34F8058D" w:rsidR="001E5A4B" w:rsidRPr="006671BF" w:rsidRDefault="001E5A4B" w:rsidP="00BE0FE1">
      <w:pPr>
        <w:pStyle w:val="FootnoteText"/>
        <w:spacing w:after="40"/>
        <w:ind w:left="284" w:hanging="284"/>
        <w:rPr>
          <w:sz w:val="18"/>
          <w:szCs w:val="18"/>
        </w:rPr>
      </w:pPr>
      <w:r w:rsidRPr="006671BF">
        <w:rPr>
          <w:rStyle w:val="FootnoteReference"/>
          <w:rFonts w:asciiTheme="majorHAnsi" w:hAnsiTheme="majorHAnsi" w:cstheme="majorHAnsi"/>
          <w:sz w:val="18"/>
          <w:szCs w:val="18"/>
        </w:rPr>
        <w:footnoteRef/>
      </w:r>
      <w:r w:rsidRPr="006671BF">
        <w:rPr>
          <w:rFonts w:asciiTheme="majorHAnsi" w:hAnsiTheme="majorHAnsi" w:cstheme="majorHAnsi"/>
          <w:sz w:val="18"/>
          <w:szCs w:val="18"/>
        </w:rPr>
        <w:t xml:space="preserve"> </w:t>
      </w:r>
      <w:r w:rsidRPr="006671BF">
        <w:rPr>
          <w:rFonts w:asciiTheme="majorHAnsi" w:hAnsiTheme="majorHAnsi" w:cstheme="majorHAnsi"/>
          <w:sz w:val="18"/>
          <w:szCs w:val="18"/>
        </w:rPr>
        <w:tab/>
        <w:t>ISLPR 4 is the level in all macro skills required to teach in Australian schools</w:t>
      </w:r>
    </w:p>
  </w:footnote>
  <w:footnote w:id="18">
    <w:p w14:paraId="0BB3C8B6" w14:textId="77777777" w:rsidR="001E5A4B" w:rsidRPr="006671BF" w:rsidRDefault="001E5A4B" w:rsidP="00E212F9">
      <w:pPr>
        <w:pStyle w:val="FootnoteText"/>
        <w:spacing w:before="40" w:after="40"/>
        <w:ind w:left="284" w:hanging="284"/>
        <w:rPr>
          <w:rFonts w:ascii="Arial" w:hAnsi="Arial" w:cs="Arial"/>
          <w:sz w:val="18"/>
          <w:szCs w:val="18"/>
        </w:rPr>
      </w:pPr>
      <w:r w:rsidRPr="006671BF">
        <w:rPr>
          <w:rFonts w:ascii="Arial" w:hAnsi="Arial" w:cs="Arial"/>
          <w:sz w:val="18"/>
          <w:szCs w:val="18"/>
          <w:vertAlign w:val="superscript"/>
        </w:rPr>
        <w:footnoteRef/>
      </w:r>
      <w:r w:rsidRPr="006671BF">
        <w:rPr>
          <w:rFonts w:ascii="Arial" w:hAnsi="Arial" w:cs="Arial"/>
          <w:sz w:val="18"/>
          <w:szCs w:val="18"/>
          <w:vertAlign w:val="superscript"/>
        </w:rPr>
        <w:t xml:space="preserve"> </w:t>
      </w:r>
      <w:r w:rsidRPr="006671BF">
        <w:rPr>
          <w:rFonts w:ascii="Arial" w:hAnsi="Arial" w:cs="Arial"/>
          <w:sz w:val="18"/>
          <w:szCs w:val="18"/>
          <w:vertAlign w:val="superscript"/>
        </w:rPr>
        <w:tab/>
      </w:r>
      <w:r w:rsidRPr="006671BF">
        <w:rPr>
          <w:rFonts w:ascii="Arial" w:hAnsi="Arial" w:cs="Arial"/>
          <w:sz w:val="18"/>
          <w:szCs w:val="18"/>
        </w:rPr>
        <w:t>The KEIP Phase II case study research noted examples of older students who had returned to school in almost every case study location.</w:t>
      </w:r>
    </w:p>
  </w:footnote>
  <w:footnote w:id="19">
    <w:p w14:paraId="0B27A27F" w14:textId="77777777" w:rsidR="001E5A4B" w:rsidRPr="006671BF" w:rsidRDefault="001E5A4B" w:rsidP="00E212F9">
      <w:pPr>
        <w:pStyle w:val="FootnoteText"/>
        <w:spacing w:before="40" w:after="40"/>
        <w:ind w:left="284" w:hanging="284"/>
        <w:rPr>
          <w:rFonts w:asciiTheme="minorHAnsi" w:hAnsiTheme="minorHAnsi"/>
          <w:sz w:val="18"/>
          <w:szCs w:val="18"/>
        </w:rPr>
      </w:pPr>
      <w:r w:rsidRPr="006671BF">
        <w:rPr>
          <w:rFonts w:ascii="Arial" w:hAnsi="Arial" w:cs="Arial"/>
          <w:sz w:val="18"/>
          <w:szCs w:val="18"/>
          <w:vertAlign w:val="superscript"/>
        </w:rPr>
        <w:footnoteRef/>
      </w:r>
      <w:r w:rsidRPr="006671BF">
        <w:rPr>
          <w:rFonts w:ascii="Arial" w:hAnsi="Arial" w:cs="Arial"/>
          <w:sz w:val="18"/>
          <w:szCs w:val="18"/>
          <w:vertAlign w:val="superscript"/>
        </w:rPr>
        <w:t xml:space="preserve"> </w:t>
      </w:r>
      <w:r w:rsidRPr="006671BF">
        <w:rPr>
          <w:rFonts w:ascii="Arial" w:hAnsi="Arial" w:cs="Arial"/>
          <w:sz w:val="18"/>
          <w:szCs w:val="18"/>
          <w:vertAlign w:val="superscript"/>
        </w:rPr>
        <w:tab/>
      </w:r>
      <w:r w:rsidRPr="006671BF">
        <w:rPr>
          <w:rFonts w:ascii="Arial" w:hAnsi="Arial" w:cs="Arial"/>
          <w:sz w:val="18"/>
          <w:szCs w:val="18"/>
        </w:rPr>
        <w:t>Cited April 2016, Keeping kids in school: What research tells us about preventing dropouts - http://www.centerforpubliceducation.org/</w:t>
      </w:r>
    </w:p>
  </w:footnote>
  <w:footnote w:id="20">
    <w:p w14:paraId="0A919458" w14:textId="77777777" w:rsidR="001E5A4B" w:rsidRPr="00C31A43" w:rsidRDefault="001E5A4B" w:rsidP="00556B22">
      <w:pPr>
        <w:pStyle w:val="footertext"/>
        <w:rPr>
          <w:rFonts w:asciiTheme="majorHAnsi" w:eastAsiaTheme="minorHAnsi" w:hAnsiTheme="majorHAnsi" w:cstheme="majorHAnsi"/>
          <w:color w:val="000000" w:themeColor="text1"/>
        </w:rPr>
      </w:pPr>
      <w:r w:rsidRPr="00C31A43">
        <w:rPr>
          <w:rStyle w:val="FootnoteReference"/>
          <w:rFonts w:asciiTheme="majorHAnsi" w:hAnsiTheme="majorHAnsi" w:cstheme="majorHAnsi"/>
          <w:color w:val="000000" w:themeColor="text1"/>
        </w:rPr>
        <w:footnoteRef/>
      </w:r>
      <w:r w:rsidRPr="00C31A43">
        <w:rPr>
          <w:rFonts w:asciiTheme="majorHAnsi" w:hAnsiTheme="majorHAnsi" w:cstheme="majorHAnsi"/>
          <w:color w:val="000000" w:themeColor="text1"/>
        </w:rPr>
        <w:t xml:space="preserve"> </w:t>
      </w:r>
      <w:r w:rsidRPr="00C31A43">
        <w:rPr>
          <w:rFonts w:asciiTheme="majorHAnsi" w:eastAsiaTheme="minorHAnsi" w:hAnsiTheme="majorHAnsi" w:cstheme="majorHAnsi"/>
          <w:color w:val="000000" w:themeColor="text1"/>
          <w:lang w:val="en-AU" w:eastAsia="en-US"/>
        </w:rPr>
        <w:t>DFAT 2014. KEIP Phase II Independent Evaluation</w:t>
      </w:r>
    </w:p>
  </w:footnote>
  <w:footnote w:id="21">
    <w:p w14:paraId="0DF49BE9" w14:textId="77777777" w:rsidR="001E5A4B" w:rsidRPr="00AE3917" w:rsidRDefault="001E5A4B" w:rsidP="00AE3917">
      <w:pPr>
        <w:pStyle w:val="FootnoteText"/>
        <w:spacing w:after="40"/>
        <w:rPr>
          <w:rFonts w:ascii="Arial Narrow" w:hAnsi="Arial Narrow" w:cstheme="majorHAnsi"/>
          <w:color w:val="000000" w:themeColor="text1"/>
          <w:sz w:val="18"/>
          <w:szCs w:val="18"/>
        </w:rPr>
      </w:pPr>
      <w:r w:rsidRPr="00C31A43">
        <w:rPr>
          <w:rStyle w:val="FootnoteReference"/>
          <w:rFonts w:asciiTheme="majorHAnsi" w:hAnsiTheme="majorHAnsi" w:cstheme="majorHAnsi"/>
          <w:color w:val="000000" w:themeColor="text1"/>
          <w:sz w:val="18"/>
          <w:szCs w:val="18"/>
        </w:rPr>
        <w:footnoteRef/>
      </w:r>
      <w:r w:rsidRPr="00C31A43">
        <w:rPr>
          <w:rFonts w:asciiTheme="majorHAnsi" w:hAnsiTheme="majorHAnsi" w:cstheme="majorHAnsi"/>
          <w:color w:val="000000" w:themeColor="text1"/>
          <w:sz w:val="18"/>
          <w:szCs w:val="18"/>
        </w:rPr>
        <w:t xml:space="preserve"> Agatha van Ginkel, SIL International, Transitions.</w:t>
      </w:r>
    </w:p>
  </w:footnote>
  <w:footnote w:id="22">
    <w:p w14:paraId="7C0DE600" w14:textId="77777777" w:rsidR="001E5A4B" w:rsidRPr="00C31A43" w:rsidRDefault="001E5A4B" w:rsidP="00AE3917">
      <w:pPr>
        <w:pStyle w:val="footertext"/>
        <w:spacing w:after="40"/>
        <w:rPr>
          <w:rFonts w:asciiTheme="majorHAnsi" w:hAnsiTheme="majorHAnsi" w:cstheme="majorHAnsi"/>
          <w:color w:val="000000" w:themeColor="text1"/>
        </w:rPr>
      </w:pPr>
      <w:r w:rsidRPr="00C31A43">
        <w:rPr>
          <w:rStyle w:val="FootnoteReference"/>
          <w:rFonts w:asciiTheme="majorHAnsi" w:hAnsiTheme="majorHAnsi" w:cstheme="majorHAnsi"/>
          <w:color w:val="000000" w:themeColor="text1"/>
        </w:rPr>
        <w:footnoteRef/>
      </w:r>
      <w:r w:rsidRPr="00C31A43">
        <w:rPr>
          <w:rFonts w:asciiTheme="majorHAnsi" w:hAnsiTheme="majorHAnsi" w:cstheme="majorHAnsi"/>
          <w:color w:val="000000" w:themeColor="text1"/>
        </w:rPr>
        <w:t xml:space="preserve"> </w:t>
      </w:r>
      <w:r w:rsidRPr="00C31A43">
        <w:rPr>
          <w:rFonts w:asciiTheme="majorHAnsi" w:eastAsiaTheme="minorHAnsi" w:hAnsiTheme="majorHAnsi" w:cstheme="majorHAnsi"/>
          <w:color w:val="000000" w:themeColor="text1"/>
          <w:lang w:val="en-AU" w:eastAsia="en-US"/>
        </w:rPr>
        <w:t xml:space="preserve">DFAT 2014. KEIP Phase II Independent Evaluation, p.38 </w:t>
      </w:r>
    </w:p>
  </w:footnote>
  <w:footnote w:id="23">
    <w:p w14:paraId="533A1EBC" w14:textId="77777777" w:rsidR="001E5A4B" w:rsidRPr="00DD37E1" w:rsidRDefault="001E5A4B">
      <w:pPr>
        <w:pStyle w:val="FootnoteText"/>
        <w:rPr>
          <w:rFonts w:ascii="Arial" w:hAnsi="Arial" w:cs="Arial"/>
          <w:sz w:val="16"/>
          <w:szCs w:val="16"/>
        </w:rPr>
      </w:pPr>
      <w:r w:rsidRPr="00DD37E1">
        <w:rPr>
          <w:rStyle w:val="FootnoteReference"/>
          <w:rFonts w:ascii="Arial" w:hAnsi="Arial" w:cs="Arial"/>
          <w:sz w:val="16"/>
          <w:szCs w:val="16"/>
        </w:rPr>
        <w:footnoteRef/>
      </w:r>
      <w:r w:rsidRPr="00DD37E1">
        <w:rPr>
          <w:rFonts w:ascii="Arial" w:hAnsi="Arial" w:cs="Arial"/>
          <w:sz w:val="16"/>
          <w:szCs w:val="16"/>
        </w:rPr>
        <w:t xml:space="preserve"> </w:t>
      </w:r>
      <w:r w:rsidRPr="00DD37E1">
        <w:rPr>
          <w:rFonts w:ascii="Arial" w:eastAsia="Times New Roman" w:hAnsi="Arial" w:cs="Arial"/>
          <w:color w:val="000000"/>
          <w:spacing w:val="-2"/>
          <w:sz w:val="16"/>
          <w:szCs w:val="16"/>
          <w:lang w:eastAsia="en-AU"/>
        </w:rPr>
        <w:t>The accuracy of population estimates impacts on the accuracy of these results as NER cannot be &gt; 100%. The population estimates may have not been well estimated, meaning the baseline figure may have been higher or lower than reported.</w:t>
      </w:r>
    </w:p>
  </w:footnote>
  <w:footnote w:id="24">
    <w:p w14:paraId="4604006F" w14:textId="77777777" w:rsidR="001E5A4B" w:rsidRPr="00DD2CE2" w:rsidRDefault="001E5A4B" w:rsidP="00ED0631">
      <w:pPr>
        <w:pStyle w:val="FootnoteText"/>
        <w:ind w:left="284" w:hanging="284"/>
        <w:rPr>
          <w:rFonts w:asciiTheme="majorHAnsi" w:hAnsiTheme="majorHAnsi" w:cstheme="majorHAnsi"/>
          <w:sz w:val="15"/>
          <w:szCs w:val="15"/>
        </w:rPr>
      </w:pPr>
      <w:r w:rsidRPr="00DD2CE2">
        <w:rPr>
          <w:rStyle w:val="FootnoteReference"/>
          <w:rFonts w:asciiTheme="majorHAnsi" w:hAnsiTheme="majorHAnsi" w:cstheme="majorHAnsi"/>
          <w:sz w:val="16"/>
          <w:szCs w:val="15"/>
        </w:rPr>
        <w:footnoteRef/>
      </w:r>
      <w:r w:rsidRPr="00DD2CE2">
        <w:rPr>
          <w:rFonts w:asciiTheme="majorHAnsi" w:hAnsiTheme="majorHAnsi" w:cstheme="majorHAnsi"/>
          <w:sz w:val="16"/>
          <w:szCs w:val="15"/>
        </w:rPr>
        <w:t xml:space="preserve"> </w:t>
      </w:r>
      <w:r w:rsidRPr="00DD2CE2">
        <w:rPr>
          <w:rFonts w:asciiTheme="majorHAnsi" w:hAnsiTheme="majorHAnsi" w:cstheme="majorHAnsi"/>
          <w:sz w:val="16"/>
          <w:szCs w:val="15"/>
        </w:rPr>
        <w:tab/>
        <w:t>Participating donors in KEIP II are DFAT, UNESCO and UNICEF, with various other donors including for example New Zealand, Japan and Taiwan also making contributions to the education sector</w:t>
      </w:r>
    </w:p>
  </w:footnote>
  <w:footnote w:id="25">
    <w:p w14:paraId="22917340" w14:textId="77777777" w:rsidR="001E5A4B" w:rsidRPr="00DD2CE2" w:rsidRDefault="001E5A4B" w:rsidP="00ED0631">
      <w:pPr>
        <w:pStyle w:val="FootnoteText"/>
        <w:ind w:left="284" w:hanging="284"/>
        <w:rPr>
          <w:rFonts w:asciiTheme="majorHAnsi" w:hAnsiTheme="majorHAnsi" w:cstheme="majorHAnsi"/>
          <w:sz w:val="15"/>
          <w:szCs w:val="15"/>
        </w:rPr>
      </w:pPr>
      <w:r w:rsidRPr="00DD2CE2">
        <w:rPr>
          <w:rStyle w:val="FootnoteReference"/>
          <w:rFonts w:asciiTheme="majorHAnsi" w:hAnsiTheme="majorHAnsi" w:cstheme="majorHAnsi"/>
          <w:sz w:val="16"/>
          <w:szCs w:val="15"/>
        </w:rPr>
        <w:footnoteRef/>
      </w:r>
      <w:r w:rsidRPr="00DD2CE2">
        <w:rPr>
          <w:rFonts w:asciiTheme="majorHAnsi" w:hAnsiTheme="majorHAnsi" w:cstheme="majorHAnsi"/>
          <w:sz w:val="16"/>
          <w:szCs w:val="15"/>
        </w:rPr>
        <w:t xml:space="preserve"> </w:t>
      </w:r>
      <w:r w:rsidRPr="00DD2CE2">
        <w:rPr>
          <w:rFonts w:asciiTheme="majorHAnsi" w:hAnsiTheme="majorHAnsi" w:cstheme="majorHAnsi"/>
          <w:sz w:val="16"/>
          <w:szCs w:val="15"/>
        </w:rPr>
        <w:tab/>
        <w:t xml:space="preserve">Accessible and adequate toilets at school can reduce absenteeism for both boys and girls and separate toilets for boys and girls encourages attendance by girls at school. </w:t>
      </w:r>
    </w:p>
  </w:footnote>
  <w:footnote w:id="26">
    <w:p w14:paraId="24841686" w14:textId="77777777" w:rsidR="001E5A4B" w:rsidRPr="00FF2C50" w:rsidRDefault="001E5A4B">
      <w:pPr>
        <w:pStyle w:val="FootnoteText"/>
        <w:rPr>
          <w:rFonts w:asciiTheme="majorHAnsi" w:hAnsiTheme="majorHAnsi" w:cstheme="majorHAnsi"/>
        </w:rPr>
      </w:pPr>
      <w:r w:rsidRPr="00FF2C50">
        <w:rPr>
          <w:rStyle w:val="FootnoteReference"/>
          <w:rFonts w:asciiTheme="majorHAnsi" w:hAnsiTheme="majorHAnsi" w:cstheme="majorHAnsi"/>
          <w:sz w:val="16"/>
        </w:rPr>
        <w:footnoteRef/>
      </w:r>
      <w:r w:rsidRPr="00FF2C50">
        <w:rPr>
          <w:rFonts w:asciiTheme="majorHAnsi" w:hAnsiTheme="majorHAnsi" w:cstheme="majorHAnsi"/>
          <w:sz w:val="16"/>
        </w:rPr>
        <w:t xml:space="preserve"> DFAT, Evaluation Report, Kiribati Education Improvement Program 16 September 2014.</w:t>
      </w:r>
    </w:p>
  </w:footnote>
  <w:footnote w:id="27">
    <w:p w14:paraId="7A60CF5E" w14:textId="77777777" w:rsidR="001E5A4B" w:rsidRDefault="001E5A4B">
      <w:pPr>
        <w:pStyle w:val="FootnoteText"/>
      </w:pPr>
      <w:r>
        <w:rPr>
          <w:rStyle w:val="FootnoteReference"/>
        </w:rPr>
        <w:footnoteRef/>
      </w:r>
      <w:r>
        <w:t xml:space="preserve"> This report concerns itself only with primary schools and primary teachers while the full data set includes junior secondary teachers as well.  Junior secondary teachers are relevant to KEIP Phase III but are not the subject of this report.  The number of primary teachers included in the data for this report was 204.</w:t>
      </w:r>
    </w:p>
  </w:footnote>
  <w:footnote w:id="28">
    <w:p w14:paraId="6F004E4B" w14:textId="77777777" w:rsidR="001E5A4B" w:rsidRPr="00FF2C50" w:rsidRDefault="001E5A4B">
      <w:pPr>
        <w:pStyle w:val="FootnoteText"/>
        <w:rPr>
          <w:rFonts w:asciiTheme="majorHAnsi" w:hAnsiTheme="majorHAnsi" w:cstheme="majorHAnsi"/>
          <w:sz w:val="16"/>
          <w:lang w:val="en-GB"/>
        </w:rPr>
      </w:pPr>
      <w:r w:rsidRPr="00FF2C50">
        <w:rPr>
          <w:rStyle w:val="FootnoteReference"/>
          <w:rFonts w:asciiTheme="majorHAnsi" w:hAnsiTheme="majorHAnsi" w:cstheme="majorHAnsi"/>
          <w:sz w:val="16"/>
        </w:rPr>
        <w:footnoteRef/>
      </w:r>
      <w:r w:rsidRPr="00FF2C50">
        <w:rPr>
          <w:rFonts w:asciiTheme="majorHAnsi" w:hAnsiTheme="majorHAnsi" w:cstheme="majorHAnsi"/>
          <w:sz w:val="16"/>
        </w:rPr>
        <w:t xml:space="preserve"> </w:t>
      </w:r>
      <w:r w:rsidRPr="00FF2C50">
        <w:rPr>
          <w:rFonts w:asciiTheme="majorHAnsi" w:hAnsiTheme="majorHAnsi" w:cstheme="majorHAnsi"/>
          <w:sz w:val="16"/>
          <w:lang w:val="en-GB"/>
        </w:rPr>
        <w:t>Every effort has been made to protect the confidentiality of individuals interviewed, however, given that it would be potentially possible for individual Head Teachers to be identified all Head Teachers were informed that prior to interview that their comments should be regarded as being on the record and they were asked to identify any comments they did not wish to have on the record but wanted to otherwise relay.</w:t>
      </w:r>
    </w:p>
  </w:footnote>
  <w:footnote w:id="29">
    <w:p w14:paraId="79C88AE7" w14:textId="77777777" w:rsidR="001E5A4B" w:rsidRDefault="001E5A4B">
      <w:pPr>
        <w:pStyle w:val="FootnoteText"/>
      </w:pPr>
      <w:r w:rsidRPr="00FF2C50">
        <w:rPr>
          <w:rStyle w:val="FootnoteReference"/>
          <w:rFonts w:asciiTheme="majorHAnsi" w:hAnsiTheme="majorHAnsi" w:cstheme="majorHAnsi"/>
          <w:sz w:val="16"/>
        </w:rPr>
        <w:footnoteRef/>
      </w:r>
      <w:r w:rsidRPr="00FF2C50">
        <w:rPr>
          <w:rFonts w:asciiTheme="majorHAnsi" w:hAnsiTheme="majorHAnsi" w:cstheme="majorHAnsi"/>
          <w:sz w:val="16"/>
        </w:rPr>
        <w:t xml:space="preserve"> For simplicity and comparability tables in this section contrast three island types, Large islands, Small Islands and South Tarawa.  A more comprehensive breakdown of these tables by individual islands is provided in Annex 3</w:t>
      </w:r>
    </w:p>
  </w:footnote>
  <w:footnote w:id="30">
    <w:p w14:paraId="1D85C345" w14:textId="77777777" w:rsidR="001E5A4B" w:rsidRPr="00FF2C50" w:rsidRDefault="001E5A4B">
      <w:pPr>
        <w:pStyle w:val="FootnoteText"/>
        <w:rPr>
          <w:rFonts w:asciiTheme="majorHAnsi" w:hAnsiTheme="majorHAnsi" w:cstheme="majorHAnsi"/>
        </w:rPr>
      </w:pPr>
      <w:r w:rsidRPr="00FF2C50">
        <w:rPr>
          <w:rStyle w:val="FootnoteReference"/>
          <w:rFonts w:asciiTheme="majorHAnsi" w:hAnsiTheme="majorHAnsi" w:cstheme="majorHAnsi"/>
          <w:sz w:val="16"/>
        </w:rPr>
        <w:footnoteRef/>
      </w:r>
      <w:r w:rsidRPr="00FF2C50">
        <w:rPr>
          <w:rFonts w:asciiTheme="majorHAnsi" w:hAnsiTheme="majorHAnsi" w:cstheme="majorHAnsi"/>
          <w:sz w:val="16"/>
        </w:rPr>
        <w:t xml:space="preserve"> The Case Studies found that it was not only teachers but also parents who had this concern. The Literature Review noted that such community concerns were common in bilingual programs.  “</w:t>
      </w:r>
      <w:r w:rsidRPr="00FF2C50">
        <w:rPr>
          <w:rFonts w:asciiTheme="majorHAnsi" w:hAnsiTheme="majorHAnsi" w:cstheme="majorHAnsi"/>
          <w:i/>
          <w:sz w:val="16"/>
        </w:rPr>
        <w:t>L</w:t>
      </w:r>
      <w:r w:rsidRPr="00FF2C50">
        <w:rPr>
          <w:rFonts w:asciiTheme="majorHAnsi" w:eastAsia="MinionPro-Regular" w:hAnsiTheme="majorHAnsi" w:cstheme="majorHAnsi"/>
          <w:i/>
          <w:sz w:val="16"/>
        </w:rPr>
        <w:t>iterature suggests that parents need to be assisted, through parent education, demonstration projects, and community-wide awareness raising campaigns, to see the value for children to continue to develop proficiency in L1</w:t>
      </w:r>
      <w:r w:rsidRPr="00FF2C50">
        <w:rPr>
          <w:rFonts w:asciiTheme="majorHAnsi" w:eastAsia="MinionPro-Regular" w:hAnsiTheme="majorHAnsi" w:cstheme="majorHAnsi"/>
          <w:sz w:val="16"/>
        </w:rPr>
        <w:t xml:space="preserve"> [</w:t>
      </w:r>
      <w:r w:rsidRPr="00FF2C50">
        <w:rPr>
          <w:rFonts w:asciiTheme="majorHAnsi" w:hAnsiTheme="majorHAnsi" w:cstheme="majorHAnsi"/>
          <w:sz w:val="16"/>
        </w:rPr>
        <w:t>Mother Tongue</w:t>
      </w:r>
      <w:r w:rsidRPr="00FF2C50">
        <w:rPr>
          <w:rFonts w:asciiTheme="majorHAnsi" w:eastAsia="MinionPro-Regular" w:hAnsiTheme="majorHAnsi" w:cstheme="majorHAnsi"/>
          <w:sz w:val="16"/>
        </w:rPr>
        <w:t>]”.</w:t>
      </w:r>
    </w:p>
  </w:footnote>
  <w:footnote w:id="31">
    <w:p w14:paraId="2FA0F194" w14:textId="77777777" w:rsidR="001E5A4B" w:rsidRPr="00491EF1" w:rsidRDefault="001E5A4B">
      <w:pPr>
        <w:pStyle w:val="FootnoteText"/>
        <w:rPr>
          <w:rFonts w:asciiTheme="majorHAnsi" w:hAnsiTheme="majorHAnsi" w:cstheme="majorHAnsi"/>
        </w:rPr>
      </w:pPr>
      <w:r w:rsidRPr="00491EF1">
        <w:rPr>
          <w:rStyle w:val="FootnoteReference"/>
          <w:rFonts w:asciiTheme="majorHAnsi" w:hAnsiTheme="majorHAnsi" w:cstheme="majorHAnsi"/>
          <w:sz w:val="16"/>
        </w:rPr>
        <w:footnoteRef/>
      </w:r>
      <w:r w:rsidRPr="00491EF1">
        <w:rPr>
          <w:rFonts w:asciiTheme="majorHAnsi" w:hAnsiTheme="majorHAnsi" w:cstheme="majorHAnsi"/>
          <w:sz w:val="16"/>
        </w:rPr>
        <w:t xml:space="preserve"> It is important to note that this is a rating of expectation and not a reflection of actual achievement. It is not clear how this relates to performance before the new curriculum was introduced.</w:t>
      </w:r>
    </w:p>
  </w:footnote>
  <w:footnote w:id="32">
    <w:p w14:paraId="4C60877E" w14:textId="77777777" w:rsidR="001E5A4B" w:rsidRPr="00491EF1" w:rsidRDefault="001E5A4B">
      <w:pPr>
        <w:pStyle w:val="FootnoteText"/>
        <w:rPr>
          <w:rFonts w:asciiTheme="majorHAnsi" w:hAnsiTheme="majorHAnsi" w:cstheme="majorHAnsi"/>
          <w:sz w:val="16"/>
        </w:rPr>
      </w:pPr>
      <w:r w:rsidRPr="00491EF1">
        <w:rPr>
          <w:rStyle w:val="FootnoteReference"/>
          <w:rFonts w:asciiTheme="majorHAnsi" w:hAnsiTheme="majorHAnsi" w:cstheme="majorHAnsi"/>
          <w:sz w:val="16"/>
        </w:rPr>
        <w:footnoteRef/>
      </w:r>
      <w:r w:rsidRPr="00491EF1">
        <w:rPr>
          <w:rFonts w:asciiTheme="majorHAnsi" w:hAnsiTheme="majorHAnsi" w:cstheme="majorHAnsi"/>
          <w:sz w:val="16"/>
        </w:rPr>
        <w:t xml:space="preserve"> In one school permanent and contract teachers were using the KTC format but monitors were required to use the MOE format because it was judged to be a more effective tool for developing the monitors teaching skills.</w:t>
      </w:r>
    </w:p>
  </w:footnote>
  <w:footnote w:id="33">
    <w:p w14:paraId="2E3AC69D" w14:textId="77777777" w:rsidR="001E5A4B" w:rsidRDefault="001E5A4B">
      <w:pPr>
        <w:pStyle w:val="FootnoteText"/>
      </w:pPr>
      <w:r w:rsidRPr="00491EF1">
        <w:rPr>
          <w:rStyle w:val="FootnoteReference"/>
          <w:rFonts w:asciiTheme="majorHAnsi" w:hAnsiTheme="majorHAnsi" w:cstheme="majorHAnsi"/>
          <w:sz w:val="16"/>
        </w:rPr>
        <w:footnoteRef/>
      </w:r>
      <w:r w:rsidRPr="00491EF1">
        <w:rPr>
          <w:rFonts w:asciiTheme="majorHAnsi" w:hAnsiTheme="majorHAnsi" w:cstheme="majorHAnsi"/>
          <w:sz w:val="16"/>
        </w:rPr>
        <w:t xml:space="preserve"> It is understood that this issue was discussed in an MOE meeting and a policy formulated but it was clear that the policy was not yet understood in the case study schools visited.</w:t>
      </w:r>
    </w:p>
  </w:footnote>
  <w:footnote w:id="34">
    <w:p w14:paraId="1FE246B6" w14:textId="77777777" w:rsidR="001E5A4B" w:rsidRPr="00491EF1" w:rsidRDefault="001E5A4B">
      <w:pPr>
        <w:pStyle w:val="FootnoteText"/>
        <w:rPr>
          <w:rFonts w:asciiTheme="majorHAnsi" w:hAnsiTheme="majorHAnsi" w:cstheme="majorHAnsi"/>
        </w:rPr>
      </w:pPr>
      <w:r w:rsidRPr="00491EF1">
        <w:rPr>
          <w:rStyle w:val="FootnoteReference"/>
          <w:rFonts w:asciiTheme="majorHAnsi" w:hAnsiTheme="majorHAnsi" w:cstheme="majorHAnsi"/>
          <w:sz w:val="16"/>
        </w:rPr>
        <w:footnoteRef/>
      </w:r>
      <w:r w:rsidRPr="00491EF1">
        <w:rPr>
          <w:rFonts w:asciiTheme="majorHAnsi" w:hAnsiTheme="majorHAnsi" w:cstheme="majorHAnsi"/>
          <w:sz w:val="16"/>
        </w:rPr>
        <w:t xml:space="preserve"> The smaller response numbers in this table appear to indicate that many teachers did their English language training more than 4 years ago.</w:t>
      </w:r>
    </w:p>
  </w:footnote>
  <w:footnote w:id="35">
    <w:p w14:paraId="46BF6725" w14:textId="77777777" w:rsidR="001E5A4B" w:rsidRDefault="001E5A4B" w:rsidP="00ED0631">
      <w:pPr>
        <w:spacing w:before="240"/>
        <w:rPr>
          <w:lang w:eastAsia="en-AU"/>
        </w:rPr>
      </w:pPr>
      <w:r w:rsidRPr="00491EF1">
        <w:rPr>
          <w:rStyle w:val="FootnoteReference"/>
          <w:sz w:val="16"/>
        </w:rPr>
        <w:footnoteRef/>
      </w:r>
      <w:r w:rsidRPr="00491EF1">
        <w:rPr>
          <w:sz w:val="16"/>
        </w:rPr>
        <w:t xml:space="preserve"> </w:t>
      </w:r>
      <w:r w:rsidRPr="00491EF1">
        <w:rPr>
          <w:rFonts w:cs="Arial"/>
          <w:sz w:val="16"/>
        </w:rPr>
        <w:t>According to the School Leadership and Management Handbook: A guide for Kiribati Primary and Secondary School Principals, Teachers, School Committees and Island Education Coordinators (2014) part of a School Leader’s duties as an Educational Leader are to “</w:t>
      </w:r>
      <w:r w:rsidRPr="00491EF1">
        <w:rPr>
          <w:rFonts w:cs="Arial"/>
          <w:i/>
          <w:sz w:val="16"/>
        </w:rPr>
        <w:t>Transform the school to a professional learning community</w:t>
      </w:r>
      <w:r w:rsidRPr="00491EF1">
        <w:rPr>
          <w:rFonts w:cs="Arial"/>
          <w:sz w:val="16"/>
        </w:rPr>
        <w:t>”.</w:t>
      </w:r>
    </w:p>
  </w:footnote>
  <w:footnote w:id="36">
    <w:p w14:paraId="37E4C4AB" w14:textId="77777777" w:rsidR="001E5A4B" w:rsidRPr="007A5872" w:rsidRDefault="001E5A4B">
      <w:pPr>
        <w:pStyle w:val="FootnoteText"/>
        <w:rPr>
          <w:rFonts w:asciiTheme="majorHAnsi" w:hAnsiTheme="majorHAnsi" w:cstheme="majorHAnsi"/>
        </w:rPr>
      </w:pPr>
      <w:r w:rsidRPr="00491EF1">
        <w:rPr>
          <w:rStyle w:val="FootnoteReference"/>
          <w:rFonts w:asciiTheme="majorHAnsi" w:hAnsiTheme="majorHAnsi" w:cstheme="majorHAnsi"/>
          <w:sz w:val="16"/>
        </w:rPr>
        <w:footnoteRef/>
      </w:r>
      <w:r w:rsidRPr="00491EF1">
        <w:rPr>
          <w:rFonts w:asciiTheme="majorHAnsi" w:hAnsiTheme="majorHAnsi" w:cstheme="majorHAnsi"/>
          <w:sz w:val="16"/>
        </w:rPr>
        <w:t xml:space="preserve"> The disparity in Teacher and School Leader Estimates in small islands is a result of very low estimates by teachers in Nonouti (0%) and South Tabiteuea (3%) which would seem to reflect a data collection/entry issue with this data. The idea that no parents attended parent teacher interviews in Nonouti does not seem credible.</w:t>
      </w:r>
    </w:p>
  </w:footnote>
  <w:footnote w:id="37">
    <w:p w14:paraId="5E599FDF" w14:textId="77777777" w:rsidR="001E5A4B" w:rsidRPr="007A5872" w:rsidRDefault="001E5A4B" w:rsidP="00ED0631">
      <w:pPr>
        <w:pStyle w:val="FootnoteText"/>
        <w:rPr>
          <w:rFonts w:asciiTheme="majorHAnsi" w:hAnsiTheme="majorHAnsi" w:cstheme="majorHAnsi"/>
        </w:rPr>
      </w:pPr>
      <w:r w:rsidRPr="007A5872">
        <w:rPr>
          <w:rStyle w:val="FootnoteReference"/>
          <w:rFonts w:asciiTheme="majorHAnsi" w:hAnsiTheme="majorHAnsi" w:cstheme="majorHAnsi"/>
          <w:sz w:val="16"/>
        </w:rPr>
        <w:footnoteRef/>
      </w:r>
      <w:r w:rsidRPr="007A5872">
        <w:rPr>
          <w:rFonts w:asciiTheme="majorHAnsi" w:hAnsiTheme="majorHAnsi" w:cstheme="majorHAnsi"/>
          <w:sz w:val="16"/>
        </w:rPr>
        <w:t xml:space="preserve"> Details of the calculation by island are given in Annex 3.</w:t>
      </w:r>
    </w:p>
  </w:footnote>
  <w:footnote w:id="38">
    <w:p w14:paraId="2F57205B" w14:textId="77777777" w:rsidR="001E5A4B" w:rsidRPr="0078330D" w:rsidRDefault="001E5A4B">
      <w:pPr>
        <w:pStyle w:val="FootnoteText"/>
        <w:rPr>
          <w:rFonts w:asciiTheme="majorHAnsi" w:hAnsiTheme="majorHAnsi" w:cstheme="majorHAnsi"/>
          <w:sz w:val="16"/>
          <w:szCs w:val="16"/>
        </w:rPr>
      </w:pPr>
      <w:r w:rsidRPr="0078330D">
        <w:rPr>
          <w:rStyle w:val="FootnoteReference"/>
          <w:rFonts w:asciiTheme="majorHAnsi" w:hAnsiTheme="majorHAnsi" w:cstheme="majorHAnsi"/>
          <w:sz w:val="16"/>
          <w:szCs w:val="16"/>
        </w:rPr>
        <w:footnoteRef/>
      </w:r>
      <w:r w:rsidRPr="0078330D">
        <w:rPr>
          <w:rFonts w:asciiTheme="majorHAnsi" w:hAnsiTheme="majorHAnsi" w:cstheme="majorHAnsi"/>
          <w:sz w:val="16"/>
          <w:szCs w:val="16"/>
        </w:rPr>
        <w:t xml:space="preserve"> National Statistics 2012 calculated a gross enrolment ratio of 84% for primary schools.  </w:t>
      </w:r>
      <w:r w:rsidRPr="0078330D">
        <w:rPr>
          <w:rFonts w:asciiTheme="majorHAnsi" w:hAnsiTheme="majorHAnsi" w:cstheme="majorHAnsi"/>
          <w:i/>
          <w:sz w:val="16"/>
          <w:szCs w:val="16"/>
        </w:rPr>
        <w:t>Kiribati Statistics Digest 2012.</w:t>
      </w:r>
    </w:p>
  </w:footnote>
  <w:footnote w:id="39">
    <w:p w14:paraId="3C80FD94" w14:textId="77777777" w:rsidR="001E5A4B" w:rsidRPr="007A5872" w:rsidRDefault="001E5A4B">
      <w:pPr>
        <w:pStyle w:val="FootnoteText"/>
        <w:rPr>
          <w:rFonts w:asciiTheme="majorHAnsi" w:hAnsiTheme="majorHAnsi" w:cstheme="majorHAnsi"/>
          <w:sz w:val="16"/>
          <w:szCs w:val="16"/>
        </w:rPr>
      </w:pPr>
      <w:r w:rsidRPr="007A5872">
        <w:rPr>
          <w:rFonts w:asciiTheme="majorHAnsi" w:hAnsiTheme="majorHAnsi" w:cstheme="majorHAnsi"/>
          <w:sz w:val="16"/>
          <w:szCs w:val="16"/>
          <w:vertAlign w:val="superscript"/>
        </w:rPr>
        <w:footnoteRef/>
      </w:r>
      <w:r w:rsidRPr="007A5872">
        <w:rPr>
          <w:rFonts w:asciiTheme="majorHAnsi" w:hAnsiTheme="majorHAnsi" w:cstheme="majorHAnsi"/>
          <w:sz w:val="16"/>
          <w:szCs w:val="16"/>
          <w:vertAlign w:val="superscript"/>
        </w:rPr>
        <w:t xml:space="preserve"> </w:t>
      </w:r>
      <w:r w:rsidRPr="007A5872">
        <w:rPr>
          <w:rFonts w:asciiTheme="majorHAnsi" w:hAnsiTheme="majorHAnsi" w:cstheme="majorHAnsi"/>
          <w:sz w:val="16"/>
          <w:szCs w:val="16"/>
        </w:rPr>
        <w:t xml:space="preserve">According to </w:t>
      </w:r>
      <w:r w:rsidRPr="007A5872">
        <w:rPr>
          <w:rFonts w:asciiTheme="majorHAnsi" w:hAnsiTheme="majorHAnsi" w:cstheme="majorHAnsi"/>
          <w:i/>
          <w:sz w:val="16"/>
          <w:szCs w:val="16"/>
        </w:rPr>
        <w:t>Operational Research on Disability and Inclusive Education in Kiribati (KEIP)</w:t>
      </w:r>
      <w:r w:rsidRPr="007A5872">
        <w:rPr>
          <w:rFonts w:asciiTheme="majorHAnsi" w:hAnsiTheme="majorHAnsi" w:cstheme="majorHAnsi"/>
          <w:sz w:val="16"/>
          <w:szCs w:val="16"/>
        </w:rPr>
        <w:t xml:space="preserve"> “conservative estimates predict a minimum of 5% of children in Kiribati with a Disability”.</w:t>
      </w:r>
    </w:p>
  </w:footnote>
  <w:footnote w:id="40">
    <w:p w14:paraId="3B8CEB49" w14:textId="77777777" w:rsidR="001E5A4B" w:rsidRDefault="001E5A4B">
      <w:pPr>
        <w:pStyle w:val="FootnoteText"/>
      </w:pPr>
      <w:r w:rsidRPr="007A5872">
        <w:rPr>
          <w:rStyle w:val="FootnoteReference"/>
          <w:rFonts w:asciiTheme="majorHAnsi" w:hAnsiTheme="majorHAnsi" w:cstheme="majorHAnsi"/>
          <w:sz w:val="16"/>
          <w:szCs w:val="16"/>
        </w:rPr>
        <w:footnoteRef/>
      </w:r>
      <w:r w:rsidRPr="007A5872">
        <w:rPr>
          <w:rFonts w:asciiTheme="majorHAnsi" w:hAnsiTheme="majorHAnsi" w:cstheme="majorHAnsi"/>
          <w:sz w:val="16"/>
          <w:szCs w:val="16"/>
        </w:rPr>
        <w:t xml:space="preserve"> There are likely to have been more than were observed by the Case Study Team.</w:t>
      </w:r>
    </w:p>
  </w:footnote>
  <w:footnote w:id="41">
    <w:p w14:paraId="282B252A" w14:textId="77777777" w:rsidR="001E5A4B" w:rsidRPr="007A5872" w:rsidRDefault="001E5A4B" w:rsidP="00ED0631">
      <w:pPr>
        <w:pStyle w:val="FootnoteText"/>
        <w:rPr>
          <w:rFonts w:asciiTheme="majorHAnsi" w:hAnsiTheme="majorHAnsi" w:cstheme="majorHAnsi"/>
          <w:sz w:val="16"/>
        </w:rPr>
      </w:pPr>
      <w:r w:rsidRPr="007A5872">
        <w:rPr>
          <w:rStyle w:val="FootnoteReference"/>
          <w:rFonts w:asciiTheme="majorHAnsi" w:hAnsiTheme="majorHAnsi" w:cstheme="majorHAnsi"/>
          <w:sz w:val="16"/>
        </w:rPr>
        <w:footnoteRef/>
      </w:r>
      <w:r w:rsidRPr="007A5872">
        <w:rPr>
          <w:rFonts w:asciiTheme="majorHAnsi" w:hAnsiTheme="majorHAnsi" w:cstheme="majorHAnsi"/>
          <w:sz w:val="16"/>
        </w:rPr>
        <w:t xml:space="preserve"> Some information currently available will be validated through the research.</w:t>
      </w:r>
    </w:p>
  </w:footnote>
  <w:footnote w:id="42">
    <w:p w14:paraId="1A3D8757" w14:textId="77777777" w:rsidR="001E5A4B" w:rsidRDefault="001E5A4B" w:rsidP="00ED0631">
      <w:pPr>
        <w:pStyle w:val="FootnoteText"/>
      </w:pPr>
      <w:r w:rsidRPr="007A5872">
        <w:rPr>
          <w:rStyle w:val="FootnoteReference"/>
          <w:rFonts w:asciiTheme="majorHAnsi" w:hAnsiTheme="majorHAnsi" w:cstheme="majorHAnsi"/>
          <w:sz w:val="16"/>
        </w:rPr>
        <w:footnoteRef/>
      </w:r>
      <w:r w:rsidRPr="007A5872">
        <w:rPr>
          <w:rFonts w:asciiTheme="majorHAnsi" w:hAnsiTheme="majorHAnsi" w:cstheme="majorHAnsi"/>
          <w:sz w:val="16"/>
        </w:rPr>
        <w:t xml:space="preserve"> The statistics for minors will reflect that parents are answering on-behalf of children.</w:t>
      </w:r>
    </w:p>
  </w:footnote>
  <w:footnote w:id="43">
    <w:p w14:paraId="457DC83B" w14:textId="77777777" w:rsidR="001E5A4B" w:rsidRPr="007A5872" w:rsidRDefault="001E5A4B" w:rsidP="00ED0631">
      <w:pPr>
        <w:pStyle w:val="FootnoteText"/>
        <w:rPr>
          <w:rFonts w:asciiTheme="minorHAnsi" w:hAnsiTheme="minorHAnsi" w:cstheme="minorHAnsi"/>
          <w:sz w:val="16"/>
        </w:rPr>
      </w:pPr>
      <w:r w:rsidRPr="007A5872">
        <w:rPr>
          <w:rStyle w:val="FootnoteReference"/>
          <w:rFonts w:asciiTheme="minorHAnsi" w:hAnsiTheme="minorHAnsi" w:cstheme="minorHAnsi"/>
          <w:sz w:val="16"/>
        </w:rPr>
        <w:footnoteRef/>
      </w:r>
      <w:r w:rsidRPr="007A5872">
        <w:rPr>
          <w:rFonts w:asciiTheme="minorHAnsi" w:hAnsiTheme="minorHAnsi" w:cstheme="minorHAnsi"/>
          <w:sz w:val="16"/>
        </w:rPr>
        <w:t xml:space="preserve"> This will allow for some ongoing estimates of system changes/improvements using administrative data.</w:t>
      </w:r>
    </w:p>
  </w:footnote>
  <w:footnote w:id="44">
    <w:p w14:paraId="05775F0C" w14:textId="77777777" w:rsidR="001E5A4B" w:rsidRPr="007A5872" w:rsidRDefault="001E5A4B" w:rsidP="00ED0631">
      <w:pPr>
        <w:pStyle w:val="FootnoteText"/>
        <w:rPr>
          <w:rFonts w:asciiTheme="minorHAnsi" w:hAnsiTheme="minorHAnsi" w:cstheme="minorHAnsi"/>
          <w:sz w:val="16"/>
        </w:rPr>
      </w:pPr>
      <w:r w:rsidRPr="007A5872">
        <w:rPr>
          <w:rStyle w:val="FootnoteReference"/>
          <w:rFonts w:asciiTheme="minorHAnsi" w:hAnsiTheme="minorHAnsi" w:cstheme="minorHAnsi"/>
          <w:sz w:val="16"/>
        </w:rPr>
        <w:footnoteRef/>
      </w:r>
      <w:r w:rsidRPr="007A5872">
        <w:rPr>
          <w:rFonts w:asciiTheme="minorHAnsi" w:hAnsiTheme="minorHAnsi" w:cstheme="minorHAnsi"/>
          <w:sz w:val="16"/>
        </w:rPr>
        <w:t xml:space="preserve"> Over-estimation is a known effect e.g. head teachers overestimate how often their students attend schools, as do teachers (slightly less), parents (slightly less again) and members of a community (slightly less again).</w:t>
      </w:r>
    </w:p>
  </w:footnote>
  <w:footnote w:id="45">
    <w:p w14:paraId="4F85FA25" w14:textId="77777777" w:rsidR="001E5A4B" w:rsidRPr="007A5872" w:rsidRDefault="001E5A4B" w:rsidP="00ED0631">
      <w:pPr>
        <w:pStyle w:val="FootnoteText"/>
        <w:rPr>
          <w:rFonts w:asciiTheme="minorHAnsi" w:hAnsiTheme="minorHAnsi" w:cstheme="minorHAnsi"/>
          <w:sz w:val="16"/>
        </w:rPr>
      </w:pPr>
      <w:r w:rsidRPr="007A5872">
        <w:rPr>
          <w:rStyle w:val="FootnoteReference"/>
          <w:rFonts w:asciiTheme="minorHAnsi" w:hAnsiTheme="minorHAnsi" w:cstheme="minorHAnsi"/>
          <w:sz w:val="16"/>
        </w:rPr>
        <w:footnoteRef/>
      </w:r>
      <w:r w:rsidRPr="007A5872">
        <w:rPr>
          <w:rFonts w:asciiTheme="minorHAnsi" w:hAnsiTheme="minorHAnsi" w:cstheme="minorHAnsi"/>
          <w:sz w:val="16"/>
        </w:rPr>
        <w:t xml:space="preserve"> The CSR will look at a selection of cases and the barriers children face, the causal factors, and preventative and remedial actions/options.</w:t>
      </w:r>
    </w:p>
  </w:footnote>
  <w:footnote w:id="46">
    <w:p w14:paraId="61DA2C6A" w14:textId="77777777" w:rsidR="001E5A4B" w:rsidRDefault="001E5A4B" w:rsidP="00ED0631">
      <w:pPr>
        <w:pStyle w:val="FootnoteText"/>
      </w:pPr>
      <w:r w:rsidRPr="007A5872">
        <w:rPr>
          <w:rStyle w:val="FootnoteReference"/>
          <w:rFonts w:asciiTheme="minorHAnsi" w:hAnsiTheme="minorHAnsi" w:cstheme="minorHAnsi"/>
          <w:sz w:val="16"/>
        </w:rPr>
        <w:footnoteRef/>
      </w:r>
      <w:r w:rsidRPr="007A5872">
        <w:rPr>
          <w:rFonts w:asciiTheme="minorHAnsi" w:hAnsiTheme="minorHAnsi" w:cstheme="minorHAnsi"/>
          <w:sz w:val="16"/>
        </w:rPr>
        <w:t xml:space="preserve"> Due to time and resourcing, identification of physical disability rather than learning difficulties are much more likely to be identified.  Identification of learning difficulties would require a specialised psychological testing and assessments.</w:t>
      </w:r>
    </w:p>
  </w:footnote>
  <w:footnote w:id="47">
    <w:p w14:paraId="09E6C995" w14:textId="77777777" w:rsidR="001E5A4B" w:rsidRPr="0078330D" w:rsidRDefault="001E5A4B" w:rsidP="00ED0631">
      <w:pPr>
        <w:pStyle w:val="FootnoteText"/>
        <w:rPr>
          <w:rFonts w:asciiTheme="majorHAnsi" w:hAnsiTheme="majorHAnsi" w:cstheme="majorHAnsi"/>
        </w:rPr>
      </w:pPr>
      <w:r w:rsidRPr="0078330D">
        <w:rPr>
          <w:rStyle w:val="FootnoteReference"/>
          <w:rFonts w:asciiTheme="majorHAnsi" w:hAnsiTheme="majorHAnsi" w:cstheme="majorHAnsi"/>
          <w:sz w:val="16"/>
        </w:rPr>
        <w:footnoteRef/>
      </w:r>
      <w:r w:rsidRPr="0078330D">
        <w:rPr>
          <w:rFonts w:asciiTheme="majorHAnsi" w:hAnsiTheme="majorHAnsi" w:cstheme="majorHAnsi"/>
          <w:sz w:val="16"/>
        </w:rPr>
        <w:t xml:space="preserve"> The CSR will be undertaken near the end of 2015 to maximise the opportunity of identifying likely changes resulting from KEIP II. As such, the research report will not be ready until quarter four but in-time for close-out reporting.</w:t>
      </w:r>
    </w:p>
  </w:footnote>
  <w:footnote w:id="48">
    <w:p w14:paraId="75D02242" w14:textId="77777777" w:rsidR="001E5A4B" w:rsidRPr="00257F87" w:rsidRDefault="001E5A4B" w:rsidP="00ED0631">
      <w:pPr>
        <w:pStyle w:val="FootnoteText"/>
        <w:rPr>
          <w:rFonts w:asciiTheme="majorHAnsi" w:hAnsiTheme="majorHAnsi" w:cstheme="majorHAnsi"/>
          <w:sz w:val="16"/>
        </w:rPr>
      </w:pPr>
      <w:r w:rsidRPr="00257F87">
        <w:rPr>
          <w:rStyle w:val="FootnoteReference"/>
          <w:rFonts w:asciiTheme="majorHAnsi" w:hAnsiTheme="majorHAnsi" w:cstheme="majorHAnsi"/>
          <w:sz w:val="16"/>
        </w:rPr>
        <w:footnoteRef/>
      </w:r>
      <w:r w:rsidRPr="00257F87">
        <w:rPr>
          <w:rFonts w:asciiTheme="majorHAnsi" w:hAnsiTheme="majorHAnsi" w:cstheme="majorHAnsi"/>
          <w:sz w:val="16"/>
        </w:rPr>
        <w:t xml:space="preserve"> The SED data is a rich dataset. Additional analysis beyond the tables presented in this annex are warranted.</w:t>
      </w:r>
    </w:p>
  </w:footnote>
  <w:footnote w:id="49">
    <w:p w14:paraId="4CBF229B" w14:textId="54FD7D77" w:rsidR="001E5A4B" w:rsidRPr="00257F87" w:rsidRDefault="001E5A4B" w:rsidP="00ED0631">
      <w:pPr>
        <w:pStyle w:val="FootnoteText"/>
        <w:rPr>
          <w:rFonts w:asciiTheme="majorHAnsi" w:hAnsiTheme="majorHAnsi" w:cstheme="majorHAnsi"/>
          <w:sz w:val="16"/>
          <w:szCs w:val="16"/>
        </w:rPr>
      </w:pPr>
      <w:r w:rsidRPr="00257F87">
        <w:rPr>
          <w:rStyle w:val="FootnoteReference"/>
          <w:rFonts w:asciiTheme="majorHAnsi" w:hAnsiTheme="majorHAnsi" w:cstheme="majorHAnsi"/>
          <w:sz w:val="16"/>
          <w:szCs w:val="16"/>
        </w:rPr>
        <w:footnoteRef/>
      </w:r>
      <w:r w:rsidRPr="00257F87">
        <w:rPr>
          <w:rFonts w:asciiTheme="majorHAnsi" w:hAnsiTheme="majorHAnsi" w:cstheme="majorHAnsi"/>
          <w:sz w:val="16"/>
          <w:szCs w:val="16"/>
        </w:rPr>
        <w:t xml:space="preserve"> Weighted refers to data being adjusted in accordance with national census data.</w:t>
      </w:r>
      <w:r>
        <w:rPr>
          <w:rFonts w:asciiTheme="majorHAnsi" w:hAnsiTheme="majorHAnsi" w:cstheme="majorHAnsi"/>
          <w:sz w:val="16"/>
          <w:szCs w:val="16"/>
        </w:rPr>
        <w:t xml:space="preserve"> </w:t>
      </w:r>
      <w:r w:rsidRPr="00257F87">
        <w:rPr>
          <w:rFonts w:asciiTheme="majorHAnsi" w:hAnsiTheme="majorHAnsi" w:cstheme="majorHAnsi"/>
          <w:sz w:val="16"/>
          <w:szCs w:val="16"/>
        </w:rPr>
        <w:t>The second column shows the weighting applied.</w:t>
      </w:r>
    </w:p>
  </w:footnote>
  <w:footnote w:id="50">
    <w:p w14:paraId="5B9F6C0C" w14:textId="77777777" w:rsidR="001E5A4B" w:rsidRPr="006007DE" w:rsidRDefault="001E5A4B" w:rsidP="00ED0631">
      <w:pPr>
        <w:pStyle w:val="FootnoteText"/>
        <w:rPr>
          <w:rFonts w:asciiTheme="majorHAnsi" w:hAnsiTheme="majorHAnsi" w:cstheme="majorHAnsi"/>
          <w:spacing w:val="-2"/>
          <w:sz w:val="16"/>
        </w:rPr>
      </w:pPr>
      <w:r w:rsidRPr="006007DE">
        <w:rPr>
          <w:rStyle w:val="FootnoteReference"/>
          <w:rFonts w:asciiTheme="majorHAnsi" w:hAnsiTheme="majorHAnsi" w:cstheme="majorHAnsi"/>
          <w:spacing w:val="-2"/>
          <w:sz w:val="16"/>
        </w:rPr>
        <w:footnoteRef/>
      </w:r>
      <w:r w:rsidRPr="006007DE">
        <w:rPr>
          <w:rFonts w:asciiTheme="majorHAnsi" w:hAnsiTheme="majorHAnsi" w:cstheme="majorHAnsi"/>
          <w:spacing w:val="-2"/>
          <w:sz w:val="16"/>
        </w:rPr>
        <w:t xml:space="preserve"> It is likely that the case study team paid insufficient attention to this comment as this was the first multigrade school visited.  Subsequent school visits revealed significant problems with multigrade teaching.  Although no such problems were observed at Tabonuea it may simply be that the team was not alert to this issue at the time.</w:t>
      </w:r>
    </w:p>
  </w:footnote>
  <w:footnote w:id="51">
    <w:p w14:paraId="0E00FD1A" w14:textId="77777777" w:rsidR="001E5A4B" w:rsidRPr="00AA335E" w:rsidRDefault="001E5A4B" w:rsidP="00ED0631">
      <w:pPr>
        <w:rPr>
          <w:sz w:val="16"/>
        </w:rPr>
      </w:pPr>
      <w:r w:rsidRPr="00AA335E">
        <w:rPr>
          <w:rStyle w:val="FootnoteReference"/>
          <w:sz w:val="16"/>
        </w:rPr>
        <w:footnoteRef/>
      </w:r>
      <w:r w:rsidRPr="00AA335E">
        <w:rPr>
          <w:sz w:val="16"/>
        </w:rPr>
        <w:t xml:space="preserve"> </w:t>
      </w:r>
      <w:r w:rsidRPr="00AA335E">
        <w:rPr>
          <w:rFonts w:ascii="Arial" w:hAnsi="Arial"/>
          <w:sz w:val="16"/>
        </w:rPr>
        <w:t>Note that the team were not able to observe teaching in the Year 4 class because students were undergoing the PILNA exam.  Years 1-3 were observed.</w:t>
      </w:r>
    </w:p>
    <w:p w14:paraId="56FA81C5" w14:textId="77777777" w:rsidR="001E5A4B" w:rsidRDefault="001E5A4B" w:rsidP="00ED0631">
      <w:pPr>
        <w:pStyle w:val="FootnoteText"/>
      </w:pPr>
    </w:p>
  </w:footnote>
  <w:footnote w:id="52">
    <w:p w14:paraId="76D9C0AA" w14:textId="77777777" w:rsidR="001E5A4B" w:rsidRPr="002703C1" w:rsidRDefault="001E5A4B" w:rsidP="00ED0631">
      <w:pPr>
        <w:spacing w:before="120" w:after="0"/>
        <w:rPr>
          <w:rFonts w:ascii="Arial" w:hAnsi="Arial" w:cs="Arial"/>
          <w:noProof/>
          <w:color w:val="000000"/>
          <w:spacing w:val="2"/>
          <w:sz w:val="16"/>
          <w:szCs w:val="16"/>
          <w:lang w:eastAsia="en-AU"/>
        </w:rPr>
      </w:pPr>
      <w:r w:rsidRPr="002703C1">
        <w:rPr>
          <w:rStyle w:val="FootnoteReference"/>
          <w:rFonts w:ascii="Arial" w:hAnsi="Arial" w:cs="Arial"/>
          <w:spacing w:val="2"/>
          <w:szCs w:val="16"/>
        </w:rPr>
        <w:footnoteRef/>
      </w:r>
      <w:r w:rsidRPr="002703C1">
        <w:rPr>
          <w:rFonts w:ascii="Arial" w:hAnsi="Arial" w:cs="Arial"/>
          <w:spacing w:val="2"/>
          <w:sz w:val="16"/>
          <w:szCs w:val="16"/>
        </w:rPr>
        <w:t xml:space="preserve"> </w:t>
      </w:r>
      <w:r w:rsidRPr="002703C1">
        <w:rPr>
          <w:rFonts w:ascii="Arial" w:hAnsi="Arial" w:cs="Arial"/>
          <w:noProof/>
          <w:color w:val="000000"/>
          <w:spacing w:val="2"/>
          <w:sz w:val="16"/>
          <w:szCs w:val="16"/>
          <w:lang w:eastAsia="en-AU"/>
        </w:rPr>
        <w:t xml:space="preserve">The two storey building concept has been so successful that it has recently been extended to 10 classrooms to address overcrowding issues at Temwanoku, Taken Bairiki, Tebanimaneka and War memorial primary schools. </w:t>
      </w:r>
      <w:r w:rsidRPr="002703C1">
        <w:rPr>
          <w:rFonts w:ascii="Arial" w:hAnsi="Arial" w:cs="Arial"/>
          <w:spacing w:val="2"/>
          <w:sz w:val="16"/>
          <w:szCs w:val="16"/>
        </w:rPr>
        <w:t>Where two level school buildings are requested and constructed (for those schools where school land is at a premium and there are many more students than can be accommodated in single level buildings) the ground level is accessible to students with disability. In those locations where two storey school construction has been requested and approved, there will remain a need to de discussions with school leadership on how best to accommodate and mainstream students with disabilities in the school and classrooms;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F5B58" w14:textId="77777777" w:rsidR="00AA3F58" w:rsidRDefault="00AA3F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A52F1" w14:textId="77777777" w:rsidR="00AA3F58" w:rsidRDefault="00AA3F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49410" w14:textId="77777777" w:rsidR="00AA3F58" w:rsidRDefault="00AA3F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1F3EA" w14:textId="77777777" w:rsidR="001E5A4B" w:rsidRDefault="001E5A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170BF" w14:textId="77777777" w:rsidR="001E5A4B" w:rsidRDefault="001E5A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43483" w14:textId="77777777" w:rsidR="001E5A4B" w:rsidRPr="00E700FC" w:rsidRDefault="001E5A4B" w:rsidP="00ED0631">
    <w:pPr>
      <w:pStyle w:val="Header"/>
      <w:jc w:val="right"/>
      <w:rPr>
        <w:sz w:val="18"/>
        <w:szCs w:val="18"/>
      </w:rPr>
    </w:pPr>
    <w:r w:rsidRPr="00E700FC">
      <w:rPr>
        <w:sz w:val="18"/>
        <w:szCs w:val="18"/>
      </w:rPr>
      <w:t>S</w:t>
    </w:r>
    <w:r>
      <w:rPr>
        <w:sz w:val="18"/>
        <w:szCs w:val="18"/>
      </w:rPr>
      <w:t>TAKI 2015</w:t>
    </w:r>
    <w:r w:rsidRPr="00E700FC">
      <w:rPr>
        <w:sz w:val="18"/>
        <w:szCs w:val="18"/>
      </w:rPr>
      <w:t xml:space="preserve"> National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F407F" w14:textId="226A3A1B" w:rsidR="001E5A4B" w:rsidRPr="00956E4D" w:rsidRDefault="001E5A4B" w:rsidP="00956E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5E29"/>
    <w:multiLevelType w:val="multilevel"/>
    <w:tmpl w:val="A77E0C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2BD437F"/>
    <w:multiLevelType w:val="hybridMultilevel"/>
    <w:tmpl w:val="9B42B074"/>
    <w:lvl w:ilvl="0" w:tplc="EF3E9E9E">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E456B3"/>
    <w:multiLevelType w:val="hybridMultilevel"/>
    <w:tmpl w:val="A3D83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2E5D81"/>
    <w:multiLevelType w:val="hybridMultilevel"/>
    <w:tmpl w:val="B1441C72"/>
    <w:lvl w:ilvl="0" w:tplc="8BD4AB9A">
      <w:start w:val="1"/>
      <w:numFmt w:val="bullet"/>
      <w:lvlText w:val=""/>
      <w:lvlJc w:val="left"/>
      <w:pPr>
        <w:ind w:left="1434" w:hanging="360"/>
      </w:pPr>
      <w:rPr>
        <w:rFonts w:ascii="Symbol" w:hAnsi="Symbol" w:hint="default"/>
        <w:color w:val="auto"/>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
    <w:nsid w:val="061B6F29"/>
    <w:multiLevelType w:val="hybridMultilevel"/>
    <w:tmpl w:val="82043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B10782"/>
    <w:multiLevelType w:val="hybridMultilevel"/>
    <w:tmpl w:val="62E2D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E103F75"/>
    <w:multiLevelType w:val="hybridMultilevel"/>
    <w:tmpl w:val="BCB881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4507F44"/>
    <w:multiLevelType w:val="hybridMultilevel"/>
    <w:tmpl w:val="2E2C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9907E6"/>
    <w:multiLevelType w:val="hybridMultilevel"/>
    <w:tmpl w:val="5936C32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F70A2"/>
    <w:multiLevelType w:val="multilevel"/>
    <w:tmpl w:val="C16002BE"/>
    <w:styleLink w:val="ListBullets"/>
    <w:lvl w:ilvl="0">
      <w:start w:val="1"/>
      <w:numFmt w:val="bullet"/>
      <w:pStyle w:val="ListBullet"/>
      <w:lvlText w:val=""/>
      <w:lvlJc w:val="left"/>
      <w:pPr>
        <w:ind w:left="714" w:hanging="357"/>
      </w:pPr>
      <w:rPr>
        <w:rFonts w:ascii="Symbol" w:hAnsi="Symbol" w:hint="default"/>
      </w:rPr>
    </w:lvl>
    <w:lvl w:ilvl="1">
      <w:start w:val="1"/>
      <w:numFmt w:val="bullet"/>
      <w:pStyle w:val="ListBullet2"/>
      <w:lvlText w:val=""/>
      <w:lvlJc w:val="left"/>
      <w:pPr>
        <w:ind w:left="1071" w:hanging="357"/>
      </w:pPr>
      <w:rPr>
        <w:rFonts w:ascii="Wingdings" w:hAnsi="Wingdings" w:hint="default"/>
      </w:rPr>
    </w:lvl>
    <w:lvl w:ilvl="2">
      <w:start w:val="1"/>
      <w:numFmt w:val="bullet"/>
      <w:pStyle w:val="ListBullet3"/>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10">
    <w:nsid w:val="1EF13C06"/>
    <w:multiLevelType w:val="hybridMultilevel"/>
    <w:tmpl w:val="F44CACD4"/>
    <w:lvl w:ilvl="0" w:tplc="8BD4AB9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12">
    <w:nsid w:val="1F95453F"/>
    <w:multiLevelType w:val="hybridMultilevel"/>
    <w:tmpl w:val="7D3A8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05754DD"/>
    <w:multiLevelType w:val="hybridMultilevel"/>
    <w:tmpl w:val="A37ECBF4"/>
    <w:lvl w:ilvl="0" w:tplc="0922DE06">
      <w:start w:val="1"/>
      <w:numFmt w:val="bullet"/>
      <w:pStyle w:val="normalnormalheading1"/>
      <w:lvlText w:val=""/>
      <w:lvlJc w:val="left"/>
      <w:pPr>
        <w:ind w:left="1434" w:hanging="360"/>
      </w:pPr>
      <w:rPr>
        <w:rFonts w:ascii="Wingdings" w:hAnsi="Wingdings"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nsid w:val="23867CDB"/>
    <w:multiLevelType w:val="hybridMultilevel"/>
    <w:tmpl w:val="51BE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D81B34"/>
    <w:multiLevelType w:val="hybridMultilevel"/>
    <w:tmpl w:val="91E225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5B53F93"/>
    <w:multiLevelType w:val="hybridMultilevel"/>
    <w:tmpl w:val="7074AD36"/>
    <w:lvl w:ilvl="0" w:tplc="8BD4AB9A">
      <w:start w:val="1"/>
      <w:numFmt w:val="bullet"/>
      <w:lvlText w:val=""/>
      <w:lvlJc w:val="left"/>
      <w:pPr>
        <w:ind w:left="1434" w:hanging="360"/>
      </w:pPr>
      <w:rPr>
        <w:rFonts w:ascii="Symbol" w:hAnsi="Symbol" w:hint="default"/>
        <w:color w:val="auto"/>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7">
    <w:nsid w:val="26A24D10"/>
    <w:multiLevelType w:val="hybridMultilevel"/>
    <w:tmpl w:val="2766C87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81C664B"/>
    <w:multiLevelType w:val="multilevel"/>
    <w:tmpl w:val="D6E6B5BC"/>
    <w:styleLink w:val="CoffeyBullets"/>
    <w:lvl w:ilvl="0">
      <w:start w:val="1"/>
      <w:numFmt w:val="bullet"/>
      <w:pStyle w:val="CoffeyBulletsL1"/>
      <w:lvlText w:val=""/>
      <w:lvlJc w:val="left"/>
      <w:pPr>
        <w:tabs>
          <w:tab w:val="num" w:pos="357"/>
        </w:tabs>
        <w:ind w:left="360" w:hanging="360"/>
      </w:pPr>
      <w:rPr>
        <w:rFonts w:ascii="Symbol" w:hAnsi="Symbol" w:hint="default"/>
        <w:color w:val="auto"/>
      </w:rPr>
    </w:lvl>
    <w:lvl w:ilvl="1">
      <w:start w:val="1"/>
      <w:numFmt w:val="bullet"/>
      <w:pStyle w:val="CoffeyBulletsL2"/>
      <w:lvlText w:val=""/>
      <w:lvlJc w:val="left"/>
      <w:pPr>
        <w:tabs>
          <w:tab w:val="num" w:pos="720"/>
        </w:tabs>
        <w:ind w:left="720" w:hanging="360"/>
      </w:pPr>
      <w:rPr>
        <w:rFonts w:ascii="Wingdings" w:hAnsi="Wingdings" w:hint="default"/>
        <w:color w:val="auto"/>
        <w:sz w:val="12"/>
      </w:rPr>
    </w:lvl>
    <w:lvl w:ilvl="2">
      <w:start w:val="1"/>
      <w:numFmt w:val="bullet"/>
      <w:pStyle w:val="CoffeyBulletsL3"/>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A217667"/>
    <w:multiLevelType w:val="multilevel"/>
    <w:tmpl w:val="FA58B8FC"/>
    <w:numStyleLink w:val="ListNumbers"/>
  </w:abstractNum>
  <w:abstractNum w:abstractNumId="20">
    <w:nsid w:val="2C1D0ED7"/>
    <w:multiLevelType w:val="hybridMultilevel"/>
    <w:tmpl w:val="DFCE8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EDA17FA"/>
    <w:multiLevelType w:val="hybridMultilevel"/>
    <w:tmpl w:val="1AD00816"/>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EFC29CC"/>
    <w:multiLevelType w:val="hybridMultilevel"/>
    <w:tmpl w:val="060091F8"/>
    <w:lvl w:ilvl="0" w:tplc="C50AA5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08A5DDF"/>
    <w:multiLevelType w:val="hybridMultilevel"/>
    <w:tmpl w:val="069E4EDC"/>
    <w:lvl w:ilvl="0" w:tplc="1DBCB826">
      <w:start w:val="1"/>
      <w:numFmt w:val="bullet"/>
      <w:pStyle w:val="tablelis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30E757A1"/>
    <w:multiLevelType w:val="hybridMultilevel"/>
    <w:tmpl w:val="4D1ECF98"/>
    <w:lvl w:ilvl="0" w:tplc="0C090013">
      <w:start w:val="1"/>
      <w:numFmt w:val="upp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33503DC7"/>
    <w:multiLevelType w:val="hybridMultilevel"/>
    <w:tmpl w:val="97983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4E706B"/>
    <w:multiLevelType w:val="hybridMultilevel"/>
    <w:tmpl w:val="0E88B41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2344D5"/>
    <w:multiLevelType w:val="hybridMultilevel"/>
    <w:tmpl w:val="B8B458B4"/>
    <w:lvl w:ilvl="0" w:tplc="7968248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D8963D8"/>
    <w:multiLevelType w:val="hybridMultilevel"/>
    <w:tmpl w:val="A1FCC7C2"/>
    <w:lvl w:ilvl="0" w:tplc="D9DA3C70">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28A7134"/>
    <w:multiLevelType w:val="multilevel"/>
    <w:tmpl w:val="013E07A8"/>
    <w:lvl w:ilvl="0">
      <w:start w:val="1"/>
      <w:numFmt w:val="decimal"/>
      <w:lvlText w:val="%1."/>
      <w:lvlJc w:val="left"/>
      <w:pPr>
        <w:tabs>
          <w:tab w:val="num" w:pos="360"/>
        </w:tabs>
        <w:ind w:left="360" w:hanging="360"/>
      </w:pPr>
    </w:lvl>
    <w:lvl w:ilvl="1">
      <w:start w:val="1"/>
      <w:numFmt w:val="decimal"/>
      <w:pStyle w:val="PGstyle"/>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nsid w:val="42F2003B"/>
    <w:multiLevelType w:val="hybridMultilevel"/>
    <w:tmpl w:val="0382D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87B68B9"/>
    <w:multiLevelType w:val="hybridMultilevel"/>
    <w:tmpl w:val="8DD6C29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2">
    <w:nsid w:val="496976BC"/>
    <w:multiLevelType w:val="hybridMultilevel"/>
    <w:tmpl w:val="CE5ACB12"/>
    <w:lvl w:ilvl="0" w:tplc="8BD4AB9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B07B06"/>
    <w:multiLevelType w:val="multilevel"/>
    <w:tmpl w:val="7F963E1A"/>
    <w:styleLink w:val="CoffeyNumbers"/>
    <w:lvl w:ilvl="0">
      <w:start w:val="1"/>
      <w:numFmt w:val="decimal"/>
      <w:pStyle w:val="CoffeyNumbersL1"/>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DE338DE"/>
    <w:multiLevelType w:val="multilevel"/>
    <w:tmpl w:val="C16002BE"/>
    <w:numStyleLink w:val="ListBullets"/>
  </w:abstractNum>
  <w:abstractNum w:abstractNumId="35">
    <w:nsid w:val="4E78136E"/>
    <w:multiLevelType w:val="hybridMultilevel"/>
    <w:tmpl w:val="24761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03122B8"/>
    <w:multiLevelType w:val="hybridMultilevel"/>
    <w:tmpl w:val="4D7E7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2153B43"/>
    <w:multiLevelType w:val="hybridMultilevel"/>
    <w:tmpl w:val="866C641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2C87F4B"/>
    <w:multiLevelType w:val="hybridMultilevel"/>
    <w:tmpl w:val="57105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72151DA"/>
    <w:multiLevelType w:val="hybridMultilevel"/>
    <w:tmpl w:val="8578CA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pStyle w:val="AppendixHeading"/>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41">
    <w:nsid w:val="5D2C28F2"/>
    <w:multiLevelType w:val="hybridMultilevel"/>
    <w:tmpl w:val="FEB4FB8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3143EC3"/>
    <w:multiLevelType w:val="hybridMultilevel"/>
    <w:tmpl w:val="F4E6D1A6"/>
    <w:lvl w:ilvl="0" w:tplc="5AC0E2C6">
      <w:start w:val="1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3766C8E"/>
    <w:multiLevelType w:val="hybridMultilevel"/>
    <w:tmpl w:val="66BCD5AC"/>
    <w:lvl w:ilvl="0" w:tplc="5AC0E2C6">
      <w:start w:val="1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43E5C87"/>
    <w:multiLevelType w:val="multilevel"/>
    <w:tmpl w:val="FA58B8FC"/>
    <w:styleLink w:val="ListNumbers"/>
    <w:lvl w:ilvl="0">
      <w:start w:val="1"/>
      <w:numFmt w:val="decimal"/>
      <w:pStyle w:val="ListNumber"/>
      <w:lvlText w:val="%1."/>
      <w:lvlJc w:val="left"/>
      <w:pPr>
        <w:ind w:left="714" w:hanging="357"/>
      </w:pPr>
      <w:rPr>
        <w:rFonts w:hint="default"/>
      </w:rPr>
    </w:lvl>
    <w:lvl w:ilvl="1">
      <w:start w:val="1"/>
      <w:numFmt w:val="lowerLetter"/>
      <w:pStyle w:val="ListNumber2"/>
      <w:lvlText w:val="%2."/>
      <w:lvlJc w:val="left"/>
      <w:pPr>
        <w:ind w:left="1071" w:hanging="357"/>
      </w:pPr>
      <w:rPr>
        <w:rFonts w:hint="default"/>
      </w:rPr>
    </w:lvl>
    <w:lvl w:ilvl="2">
      <w:start w:val="1"/>
      <w:numFmt w:val="lowerRoman"/>
      <w:pStyle w:val="ListNumber3"/>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45">
    <w:nsid w:val="65874B47"/>
    <w:multiLevelType w:val="hybridMultilevel"/>
    <w:tmpl w:val="6BA4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9DA21F1"/>
    <w:multiLevelType w:val="hybridMultilevel"/>
    <w:tmpl w:val="893C3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B306D2C"/>
    <w:multiLevelType w:val="hybridMultilevel"/>
    <w:tmpl w:val="F1DC3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C64198C"/>
    <w:multiLevelType w:val="hybridMultilevel"/>
    <w:tmpl w:val="ABF67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E3374A9"/>
    <w:multiLevelType w:val="hybridMultilevel"/>
    <w:tmpl w:val="0FA80B4C"/>
    <w:lvl w:ilvl="0" w:tplc="D7905C62">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F107592"/>
    <w:multiLevelType w:val="hybridMultilevel"/>
    <w:tmpl w:val="79E0EE2E"/>
    <w:lvl w:ilvl="0" w:tplc="FF805B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F2540BE"/>
    <w:multiLevelType w:val="hybridMultilevel"/>
    <w:tmpl w:val="3184FDC0"/>
    <w:lvl w:ilvl="0" w:tplc="36BAD34E">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061181B"/>
    <w:multiLevelType w:val="hybridMultilevel"/>
    <w:tmpl w:val="F6FA5D08"/>
    <w:lvl w:ilvl="0" w:tplc="8BD4AB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0400BB"/>
    <w:multiLevelType w:val="hybridMultilevel"/>
    <w:tmpl w:val="540CC26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C1A4F52"/>
    <w:multiLevelType w:val="hybridMultilevel"/>
    <w:tmpl w:val="7090C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46"/>
  </w:num>
  <w:num w:numId="3">
    <w:abstractNumId w:val="47"/>
  </w:num>
  <w:num w:numId="4">
    <w:abstractNumId w:val="9"/>
  </w:num>
  <w:num w:numId="5">
    <w:abstractNumId w:val="34"/>
    <w:lvlOverride w:ilvl="0">
      <w:lvl w:ilvl="0">
        <w:start w:val="1"/>
        <w:numFmt w:val="bullet"/>
        <w:pStyle w:val="ListBullet"/>
        <w:lvlText w:val=""/>
        <w:lvlJc w:val="left"/>
        <w:pPr>
          <w:ind w:left="714" w:hanging="357"/>
        </w:pPr>
        <w:rPr>
          <w:rFonts w:ascii="Symbol" w:hAnsi="Symbol" w:hint="default"/>
          <w:color w:val="auto"/>
          <w:sz w:val="16"/>
        </w:rPr>
      </w:lvl>
    </w:lvlOverride>
  </w:num>
  <w:num w:numId="6">
    <w:abstractNumId w:val="35"/>
  </w:num>
  <w:num w:numId="7">
    <w:abstractNumId w:val="14"/>
  </w:num>
  <w:num w:numId="8">
    <w:abstractNumId w:val="39"/>
  </w:num>
  <w:num w:numId="9">
    <w:abstractNumId w:val="51"/>
  </w:num>
  <w:num w:numId="10">
    <w:abstractNumId w:val="24"/>
  </w:num>
  <w:num w:numId="11">
    <w:abstractNumId w:val="20"/>
  </w:num>
  <w:num w:numId="12">
    <w:abstractNumId w:val="7"/>
  </w:num>
  <w:num w:numId="13">
    <w:abstractNumId w:val="45"/>
  </w:num>
  <w:num w:numId="14">
    <w:abstractNumId w:val="38"/>
  </w:num>
  <w:num w:numId="15">
    <w:abstractNumId w:val="36"/>
  </w:num>
  <w:num w:numId="16">
    <w:abstractNumId w:val="42"/>
  </w:num>
  <w:num w:numId="17">
    <w:abstractNumId w:val="22"/>
  </w:num>
  <w:num w:numId="18">
    <w:abstractNumId w:val="43"/>
  </w:num>
  <w:num w:numId="19">
    <w:abstractNumId w:val="27"/>
  </w:num>
  <w:num w:numId="20">
    <w:abstractNumId w:val="6"/>
  </w:num>
  <w:num w:numId="21">
    <w:abstractNumId w:val="1"/>
  </w:num>
  <w:num w:numId="22">
    <w:abstractNumId w:val="5"/>
  </w:num>
  <w:num w:numId="23">
    <w:abstractNumId w:val="48"/>
  </w:num>
  <w:num w:numId="24">
    <w:abstractNumId w:val="2"/>
  </w:num>
  <w:num w:numId="25">
    <w:abstractNumId w:val="25"/>
  </w:num>
  <w:num w:numId="26">
    <w:abstractNumId w:val="29"/>
  </w:num>
  <w:num w:numId="27">
    <w:abstractNumId w:val="23"/>
  </w:num>
  <w:num w:numId="28">
    <w:abstractNumId w:val="13"/>
  </w:num>
  <w:num w:numId="29">
    <w:abstractNumId w:val="54"/>
  </w:num>
  <w:num w:numId="30">
    <w:abstractNumId w:val="50"/>
  </w:num>
  <w:num w:numId="31">
    <w:abstractNumId w:val="11"/>
  </w:num>
  <w:num w:numId="32">
    <w:abstractNumId w:val="28"/>
  </w:num>
  <w:num w:numId="33">
    <w:abstractNumId w:val="44"/>
  </w:num>
  <w:num w:numId="34">
    <w:abstractNumId w:val="34"/>
    <w:lvlOverride w:ilvl="0">
      <w:lvl w:ilvl="0">
        <w:start w:val="1"/>
        <w:numFmt w:val="bullet"/>
        <w:pStyle w:val="ListBullet"/>
        <w:lvlText w:val=""/>
        <w:lvlJc w:val="left"/>
        <w:pPr>
          <w:ind w:left="714" w:hanging="357"/>
        </w:pPr>
        <w:rPr>
          <w:rFonts w:ascii="Symbol" w:hAnsi="Symbol" w:hint="default"/>
          <w:color w:val="auto"/>
          <w:sz w:val="16"/>
        </w:rPr>
      </w:lvl>
    </w:lvlOverride>
    <w:lvlOverride w:ilvl="1">
      <w:lvl w:ilvl="1">
        <w:start w:val="1"/>
        <w:numFmt w:val="bullet"/>
        <w:pStyle w:val="ListBullet2"/>
        <w:lvlText w:val=""/>
        <w:lvlJc w:val="left"/>
        <w:pPr>
          <w:ind w:left="1071" w:hanging="357"/>
        </w:pPr>
        <w:rPr>
          <w:rFonts w:ascii="Wingdings" w:hAnsi="Wingdings" w:hint="default"/>
        </w:rPr>
      </w:lvl>
    </w:lvlOverride>
    <w:lvlOverride w:ilvl="2">
      <w:lvl w:ilvl="2">
        <w:start w:val="1"/>
        <w:numFmt w:val="bullet"/>
        <w:pStyle w:val="ListBullet3"/>
        <w:lvlText w:val=""/>
        <w:lvlJc w:val="left"/>
        <w:pPr>
          <w:ind w:left="1428" w:hanging="357"/>
        </w:pPr>
        <w:rPr>
          <w:rFonts w:ascii="Symbol" w:hAnsi="Symbol" w:hint="default"/>
        </w:rPr>
      </w:lvl>
    </w:lvlOverride>
    <w:lvlOverride w:ilvl="3">
      <w:lvl w:ilvl="3">
        <w:start w:val="1"/>
        <w:numFmt w:val="none"/>
        <w:lvlText w:val=""/>
        <w:lvlJc w:val="left"/>
        <w:pPr>
          <w:ind w:left="1785" w:hanging="357"/>
        </w:pPr>
        <w:rPr>
          <w:rFonts w:hint="default"/>
        </w:rPr>
      </w:lvl>
    </w:lvlOverride>
    <w:lvlOverride w:ilvl="4">
      <w:lvl w:ilvl="4">
        <w:start w:val="1"/>
        <w:numFmt w:val="none"/>
        <w:lvlText w:val=""/>
        <w:lvlJc w:val="left"/>
        <w:pPr>
          <w:ind w:left="2142" w:hanging="357"/>
        </w:pPr>
        <w:rPr>
          <w:rFonts w:hint="default"/>
        </w:rPr>
      </w:lvl>
    </w:lvlOverride>
    <w:lvlOverride w:ilvl="5">
      <w:lvl w:ilvl="5">
        <w:start w:val="1"/>
        <w:numFmt w:val="none"/>
        <w:lvlText w:val=""/>
        <w:lvlJc w:val="left"/>
        <w:pPr>
          <w:ind w:left="2499" w:hanging="357"/>
        </w:pPr>
        <w:rPr>
          <w:rFonts w:hint="default"/>
        </w:rPr>
      </w:lvl>
    </w:lvlOverride>
    <w:lvlOverride w:ilvl="6">
      <w:lvl w:ilvl="6">
        <w:start w:val="1"/>
        <w:numFmt w:val="none"/>
        <w:lvlText w:val="%7"/>
        <w:lvlJc w:val="left"/>
        <w:pPr>
          <w:ind w:left="2856" w:hanging="357"/>
        </w:pPr>
        <w:rPr>
          <w:rFonts w:hint="default"/>
        </w:rPr>
      </w:lvl>
    </w:lvlOverride>
    <w:lvlOverride w:ilvl="7">
      <w:lvl w:ilvl="7">
        <w:start w:val="1"/>
        <w:numFmt w:val="none"/>
        <w:lvlText w:val="%8"/>
        <w:lvlJc w:val="left"/>
        <w:pPr>
          <w:ind w:left="3213" w:hanging="357"/>
        </w:pPr>
        <w:rPr>
          <w:rFonts w:hint="default"/>
        </w:rPr>
      </w:lvl>
    </w:lvlOverride>
    <w:lvlOverride w:ilvl="8">
      <w:lvl w:ilvl="8">
        <w:start w:val="1"/>
        <w:numFmt w:val="none"/>
        <w:lvlText w:val="%9"/>
        <w:lvlJc w:val="left"/>
        <w:pPr>
          <w:ind w:left="3570" w:hanging="357"/>
        </w:pPr>
        <w:rPr>
          <w:rFonts w:hint="default"/>
        </w:rPr>
      </w:lvl>
    </w:lvlOverride>
  </w:num>
  <w:num w:numId="35">
    <w:abstractNumId w:val="19"/>
  </w:num>
  <w:num w:numId="36">
    <w:abstractNumId w:val="18"/>
  </w:num>
  <w:num w:numId="37">
    <w:abstractNumId w:val="33"/>
  </w:num>
  <w:num w:numId="38">
    <w:abstractNumId w:val="40"/>
  </w:num>
  <w:num w:numId="39">
    <w:abstractNumId w:val="0"/>
  </w:num>
  <w:num w:numId="40">
    <w:abstractNumId w:val="8"/>
  </w:num>
  <w:num w:numId="41">
    <w:abstractNumId w:val="12"/>
  </w:num>
  <w:num w:numId="42">
    <w:abstractNumId w:val="15"/>
  </w:num>
  <w:num w:numId="43">
    <w:abstractNumId w:val="21"/>
  </w:num>
  <w:num w:numId="44">
    <w:abstractNumId w:val="37"/>
  </w:num>
  <w:num w:numId="45">
    <w:abstractNumId w:val="30"/>
  </w:num>
  <w:num w:numId="46">
    <w:abstractNumId w:val="26"/>
  </w:num>
  <w:num w:numId="47">
    <w:abstractNumId w:val="41"/>
  </w:num>
  <w:num w:numId="48">
    <w:abstractNumId w:val="31"/>
  </w:num>
  <w:num w:numId="49">
    <w:abstractNumId w:val="4"/>
  </w:num>
  <w:num w:numId="50">
    <w:abstractNumId w:val="17"/>
  </w:num>
  <w:num w:numId="51">
    <w:abstractNumId w:val="53"/>
  </w:num>
  <w:num w:numId="52">
    <w:abstractNumId w:val="10"/>
  </w:num>
  <w:num w:numId="53">
    <w:abstractNumId w:val="32"/>
  </w:num>
  <w:num w:numId="54">
    <w:abstractNumId w:val="52"/>
  </w:num>
  <w:num w:numId="55">
    <w:abstractNumId w:val="3"/>
  </w:num>
  <w:num w:numId="56">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PersonalInformation/>
  <w:removeDateAndTim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2BA"/>
    <w:rsid w:val="000018A5"/>
    <w:rsid w:val="00001C6D"/>
    <w:rsid w:val="00005EE9"/>
    <w:rsid w:val="000110F3"/>
    <w:rsid w:val="00011CBA"/>
    <w:rsid w:val="00015D39"/>
    <w:rsid w:val="00015F15"/>
    <w:rsid w:val="0001672F"/>
    <w:rsid w:val="00016F14"/>
    <w:rsid w:val="00020215"/>
    <w:rsid w:val="0002167C"/>
    <w:rsid w:val="00021D44"/>
    <w:rsid w:val="000222BA"/>
    <w:rsid w:val="00022721"/>
    <w:rsid w:val="0002487E"/>
    <w:rsid w:val="00025A0B"/>
    <w:rsid w:val="00025D4F"/>
    <w:rsid w:val="0003148F"/>
    <w:rsid w:val="00035E32"/>
    <w:rsid w:val="000362D9"/>
    <w:rsid w:val="000363F1"/>
    <w:rsid w:val="00036EDA"/>
    <w:rsid w:val="00040CDE"/>
    <w:rsid w:val="000411AB"/>
    <w:rsid w:val="000459F8"/>
    <w:rsid w:val="000510E4"/>
    <w:rsid w:val="00052452"/>
    <w:rsid w:val="00061C69"/>
    <w:rsid w:val="000634BE"/>
    <w:rsid w:val="00066F1F"/>
    <w:rsid w:val="00070DB7"/>
    <w:rsid w:val="00072091"/>
    <w:rsid w:val="00072A9E"/>
    <w:rsid w:val="00073423"/>
    <w:rsid w:val="0007408C"/>
    <w:rsid w:val="0007474B"/>
    <w:rsid w:val="0007491A"/>
    <w:rsid w:val="00074C2F"/>
    <w:rsid w:val="00074EEF"/>
    <w:rsid w:val="00075C17"/>
    <w:rsid w:val="00076E72"/>
    <w:rsid w:val="000775D1"/>
    <w:rsid w:val="00080738"/>
    <w:rsid w:val="0008441B"/>
    <w:rsid w:val="000872DA"/>
    <w:rsid w:val="00087C92"/>
    <w:rsid w:val="00091A57"/>
    <w:rsid w:val="00096C85"/>
    <w:rsid w:val="00096D0F"/>
    <w:rsid w:val="00097633"/>
    <w:rsid w:val="000977D0"/>
    <w:rsid w:val="000A11C4"/>
    <w:rsid w:val="000A18E2"/>
    <w:rsid w:val="000A49FE"/>
    <w:rsid w:val="000B14FC"/>
    <w:rsid w:val="000B252F"/>
    <w:rsid w:val="000B2567"/>
    <w:rsid w:val="000B70C5"/>
    <w:rsid w:val="000C1AAE"/>
    <w:rsid w:val="000C405A"/>
    <w:rsid w:val="000C54AD"/>
    <w:rsid w:val="000C5C86"/>
    <w:rsid w:val="000C7ABD"/>
    <w:rsid w:val="000D0FF4"/>
    <w:rsid w:val="000D187F"/>
    <w:rsid w:val="000D1BC6"/>
    <w:rsid w:val="000D4E30"/>
    <w:rsid w:val="000D60F2"/>
    <w:rsid w:val="000E41C8"/>
    <w:rsid w:val="000E44D4"/>
    <w:rsid w:val="000E564B"/>
    <w:rsid w:val="000F32D9"/>
    <w:rsid w:val="000F32DB"/>
    <w:rsid w:val="000F7510"/>
    <w:rsid w:val="00101916"/>
    <w:rsid w:val="001020DB"/>
    <w:rsid w:val="00105322"/>
    <w:rsid w:val="00110B2A"/>
    <w:rsid w:val="00112E5D"/>
    <w:rsid w:val="00115D0B"/>
    <w:rsid w:val="001175B4"/>
    <w:rsid w:val="001176D8"/>
    <w:rsid w:val="00117BE6"/>
    <w:rsid w:val="00117C65"/>
    <w:rsid w:val="001238A8"/>
    <w:rsid w:val="00130431"/>
    <w:rsid w:val="0013189B"/>
    <w:rsid w:val="0013555F"/>
    <w:rsid w:val="001401FE"/>
    <w:rsid w:val="00140A6B"/>
    <w:rsid w:val="001413EF"/>
    <w:rsid w:val="00142AE1"/>
    <w:rsid w:val="00145B37"/>
    <w:rsid w:val="001469D7"/>
    <w:rsid w:val="0015210F"/>
    <w:rsid w:val="0015386C"/>
    <w:rsid w:val="00156AD9"/>
    <w:rsid w:val="0016031F"/>
    <w:rsid w:val="001678EA"/>
    <w:rsid w:val="00171656"/>
    <w:rsid w:val="001735D6"/>
    <w:rsid w:val="00176C2B"/>
    <w:rsid w:val="001776DC"/>
    <w:rsid w:val="00177E62"/>
    <w:rsid w:val="00180909"/>
    <w:rsid w:val="00182971"/>
    <w:rsid w:val="00182A8A"/>
    <w:rsid w:val="00182B5B"/>
    <w:rsid w:val="00184429"/>
    <w:rsid w:val="0018593B"/>
    <w:rsid w:val="00190752"/>
    <w:rsid w:val="00194779"/>
    <w:rsid w:val="001A0734"/>
    <w:rsid w:val="001A50F8"/>
    <w:rsid w:val="001B3203"/>
    <w:rsid w:val="001B3DCE"/>
    <w:rsid w:val="001B51B5"/>
    <w:rsid w:val="001C47CB"/>
    <w:rsid w:val="001C49F4"/>
    <w:rsid w:val="001C51AD"/>
    <w:rsid w:val="001C6CA4"/>
    <w:rsid w:val="001D0531"/>
    <w:rsid w:val="001D196C"/>
    <w:rsid w:val="001D417F"/>
    <w:rsid w:val="001D5932"/>
    <w:rsid w:val="001E5A4B"/>
    <w:rsid w:val="001E7D19"/>
    <w:rsid w:val="001F1F27"/>
    <w:rsid w:val="001F2950"/>
    <w:rsid w:val="001F3961"/>
    <w:rsid w:val="001F3D27"/>
    <w:rsid w:val="001F4804"/>
    <w:rsid w:val="002005F4"/>
    <w:rsid w:val="002013E2"/>
    <w:rsid w:val="0020497E"/>
    <w:rsid w:val="0020728A"/>
    <w:rsid w:val="00210DD5"/>
    <w:rsid w:val="002125D2"/>
    <w:rsid w:val="0021539C"/>
    <w:rsid w:val="0021660C"/>
    <w:rsid w:val="00217FF5"/>
    <w:rsid w:val="00220B81"/>
    <w:rsid w:val="00221671"/>
    <w:rsid w:val="00221AE8"/>
    <w:rsid w:val="00222807"/>
    <w:rsid w:val="00223809"/>
    <w:rsid w:val="0022644D"/>
    <w:rsid w:val="00230A43"/>
    <w:rsid w:val="00232DF9"/>
    <w:rsid w:val="00236856"/>
    <w:rsid w:val="00240A04"/>
    <w:rsid w:val="00242BD6"/>
    <w:rsid w:val="00243CDD"/>
    <w:rsid w:val="0024652B"/>
    <w:rsid w:val="00250C88"/>
    <w:rsid w:val="00250E08"/>
    <w:rsid w:val="00252EFA"/>
    <w:rsid w:val="00255D6C"/>
    <w:rsid w:val="00257F87"/>
    <w:rsid w:val="00261392"/>
    <w:rsid w:val="0026224E"/>
    <w:rsid w:val="00266D29"/>
    <w:rsid w:val="002675A3"/>
    <w:rsid w:val="002676FC"/>
    <w:rsid w:val="00267FF6"/>
    <w:rsid w:val="002703C1"/>
    <w:rsid w:val="00272DB6"/>
    <w:rsid w:val="00273F6A"/>
    <w:rsid w:val="00274533"/>
    <w:rsid w:val="002746DE"/>
    <w:rsid w:val="00277B39"/>
    <w:rsid w:val="002852F3"/>
    <w:rsid w:val="0028734A"/>
    <w:rsid w:val="002903C8"/>
    <w:rsid w:val="00291796"/>
    <w:rsid w:val="00293148"/>
    <w:rsid w:val="00296CBA"/>
    <w:rsid w:val="002A1BE2"/>
    <w:rsid w:val="002A5681"/>
    <w:rsid w:val="002A58F4"/>
    <w:rsid w:val="002A59A2"/>
    <w:rsid w:val="002A70E7"/>
    <w:rsid w:val="002B1FCA"/>
    <w:rsid w:val="002B269A"/>
    <w:rsid w:val="002B3ABE"/>
    <w:rsid w:val="002B3CD9"/>
    <w:rsid w:val="002B55BB"/>
    <w:rsid w:val="002B65EB"/>
    <w:rsid w:val="002B73D1"/>
    <w:rsid w:val="002C0257"/>
    <w:rsid w:val="002C131A"/>
    <w:rsid w:val="002C3C54"/>
    <w:rsid w:val="002C76CE"/>
    <w:rsid w:val="002D28B3"/>
    <w:rsid w:val="002D5563"/>
    <w:rsid w:val="002D56C7"/>
    <w:rsid w:val="002E01D6"/>
    <w:rsid w:val="002E0B9D"/>
    <w:rsid w:val="002E3CC4"/>
    <w:rsid w:val="002E3DE4"/>
    <w:rsid w:val="002E56A6"/>
    <w:rsid w:val="002F067B"/>
    <w:rsid w:val="002F0708"/>
    <w:rsid w:val="002F1CE7"/>
    <w:rsid w:val="002F29A1"/>
    <w:rsid w:val="002F2A81"/>
    <w:rsid w:val="002F3301"/>
    <w:rsid w:val="002F41F8"/>
    <w:rsid w:val="002F442F"/>
    <w:rsid w:val="002F4E91"/>
    <w:rsid w:val="002F4FD9"/>
    <w:rsid w:val="002F5C47"/>
    <w:rsid w:val="002F6667"/>
    <w:rsid w:val="003027E0"/>
    <w:rsid w:val="00302A6B"/>
    <w:rsid w:val="00304658"/>
    <w:rsid w:val="00304D59"/>
    <w:rsid w:val="003152F4"/>
    <w:rsid w:val="0031614F"/>
    <w:rsid w:val="003167CB"/>
    <w:rsid w:val="003257D9"/>
    <w:rsid w:val="00326449"/>
    <w:rsid w:val="00327646"/>
    <w:rsid w:val="00333EC1"/>
    <w:rsid w:val="00334F1D"/>
    <w:rsid w:val="00335AF3"/>
    <w:rsid w:val="00335F17"/>
    <w:rsid w:val="003446FC"/>
    <w:rsid w:val="0034691D"/>
    <w:rsid w:val="00353459"/>
    <w:rsid w:val="00355A10"/>
    <w:rsid w:val="0035682D"/>
    <w:rsid w:val="0035767B"/>
    <w:rsid w:val="003606C8"/>
    <w:rsid w:val="003609C3"/>
    <w:rsid w:val="00360D89"/>
    <w:rsid w:val="0036207B"/>
    <w:rsid w:val="00363B38"/>
    <w:rsid w:val="00363EDE"/>
    <w:rsid w:val="00366406"/>
    <w:rsid w:val="0036676E"/>
    <w:rsid w:val="00366943"/>
    <w:rsid w:val="00366F11"/>
    <w:rsid w:val="003678C1"/>
    <w:rsid w:val="00370418"/>
    <w:rsid w:val="00371AAF"/>
    <w:rsid w:val="00373CE0"/>
    <w:rsid w:val="00374AE9"/>
    <w:rsid w:val="00376445"/>
    <w:rsid w:val="0037695F"/>
    <w:rsid w:val="003771C3"/>
    <w:rsid w:val="00377DFD"/>
    <w:rsid w:val="003828EE"/>
    <w:rsid w:val="00385495"/>
    <w:rsid w:val="0038699A"/>
    <w:rsid w:val="003917FB"/>
    <w:rsid w:val="0039620C"/>
    <w:rsid w:val="003964E1"/>
    <w:rsid w:val="00396D5D"/>
    <w:rsid w:val="00397FD6"/>
    <w:rsid w:val="003A1B77"/>
    <w:rsid w:val="003A4076"/>
    <w:rsid w:val="003A46EA"/>
    <w:rsid w:val="003A60A5"/>
    <w:rsid w:val="003B1DEF"/>
    <w:rsid w:val="003B2DF9"/>
    <w:rsid w:val="003B3C45"/>
    <w:rsid w:val="003B463A"/>
    <w:rsid w:val="003B5F97"/>
    <w:rsid w:val="003C0615"/>
    <w:rsid w:val="003C34A6"/>
    <w:rsid w:val="003C3AF4"/>
    <w:rsid w:val="003C48D4"/>
    <w:rsid w:val="003C5989"/>
    <w:rsid w:val="003D3AAE"/>
    <w:rsid w:val="003D6790"/>
    <w:rsid w:val="003E0141"/>
    <w:rsid w:val="003E0B89"/>
    <w:rsid w:val="003E1F80"/>
    <w:rsid w:val="003E2A6D"/>
    <w:rsid w:val="003E4FC1"/>
    <w:rsid w:val="003F0469"/>
    <w:rsid w:val="003F0BFC"/>
    <w:rsid w:val="003F4D91"/>
    <w:rsid w:val="003F568E"/>
    <w:rsid w:val="0040002F"/>
    <w:rsid w:val="004011AE"/>
    <w:rsid w:val="0040148A"/>
    <w:rsid w:val="004024AF"/>
    <w:rsid w:val="00403567"/>
    <w:rsid w:val="00406213"/>
    <w:rsid w:val="004065B0"/>
    <w:rsid w:val="00407B77"/>
    <w:rsid w:val="00407F75"/>
    <w:rsid w:val="00411D65"/>
    <w:rsid w:val="00412867"/>
    <w:rsid w:val="00412BAC"/>
    <w:rsid w:val="0041441A"/>
    <w:rsid w:val="004158BD"/>
    <w:rsid w:val="00416BA1"/>
    <w:rsid w:val="0041727A"/>
    <w:rsid w:val="00417F7F"/>
    <w:rsid w:val="00421278"/>
    <w:rsid w:val="00436891"/>
    <w:rsid w:val="0043732A"/>
    <w:rsid w:val="00440193"/>
    <w:rsid w:val="00441D69"/>
    <w:rsid w:val="00455601"/>
    <w:rsid w:val="004603C4"/>
    <w:rsid w:val="00463508"/>
    <w:rsid w:val="00464B72"/>
    <w:rsid w:val="00467B37"/>
    <w:rsid w:val="00470803"/>
    <w:rsid w:val="00471345"/>
    <w:rsid w:val="00471606"/>
    <w:rsid w:val="0047658F"/>
    <w:rsid w:val="0047777D"/>
    <w:rsid w:val="00481F11"/>
    <w:rsid w:val="004828D1"/>
    <w:rsid w:val="00482D83"/>
    <w:rsid w:val="00483770"/>
    <w:rsid w:val="00483ABC"/>
    <w:rsid w:val="004855CD"/>
    <w:rsid w:val="00485628"/>
    <w:rsid w:val="00490FE2"/>
    <w:rsid w:val="00491EF1"/>
    <w:rsid w:val="00492E61"/>
    <w:rsid w:val="00493C77"/>
    <w:rsid w:val="00493CAB"/>
    <w:rsid w:val="00496088"/>
    <w:rsid w:val="00496310"/>
    <w:rsid w:val="0049635C"/>
    <w:rsid w:val="00496E8C"/>
    <w:rsid w:val="004A0479"/>
    <w:rsid w:val="004A0684"/>
    <w:rsid w:val="004A1122"/>
    <w:rsid w:val="004A377C"/>
    <w:rsid w:val="004B2976"/>
    <w:rsid w:val="004B4DBB"/>
    <w:rsid w:val="004B7330"/>
    <w:rsid w:val="004C0C29"/>
    <w:rsid w:val="004C10CD"/>
    <w:rsid w:val="004C2319"/>
    <w:rsid w:val="004C524A"/>
    <w:rsid w:val="004C53AF"/>
    <w:rsid w:val="004C6A39"/>
    <w:rsid w:val="004D031D"/>
    <w:rsid w:val="004D0A85"/>
    <w:rsid w:val="004D1A21"/>
    <w:rsid w:val="004D1CB9"/>
    <w:rsid w:val="004D2471"/>
    <w:rsid w:val="004D252D"/>
    <w:rsid w:val="004D2798"/>
    <w:rsid w:val="004D370F"/>
    <w:rsid w:val="004D3CC5"/>
    <w:rsid w:val="004D468B"/>
    <w:rsid w:val="004D4D1C"/>
    <w:rsid w:val="004D5223"/>
    <w:rsid w:val="004D549B"/>
    <w:rsid w:val="004E104B"/>
    <w:rsid w:val="004E1BF2"/>
    <w:rsid w:val="004E3703"/>
    <w:rsid w:val="004E50C5"/>
    <w:rsid w:val="004F0E14"/>
    <w:rsid w:val="004F514A"/>
    <w:rsid w:val="00502083"/>
    <w:rsid w:val="00502C97"/>
    <w:rsid w:val="005037AC"/>
    <w:rsid w:val="00504E5F"/>
    <w:rsid w:val="0050606E"/>
    <w:rsid w:val="0050685A"/>
    <w:rsid w:val="00507342"/>
    <w:rsid w:val="00510F8B"/>
    <w:rsid w:val="00512A02"/>
    <w:rsid w:val="00514B49"/>
    <w:rsid w:val="005250DB"/>
    <w:rsid w:val="00526933"/>
    <w:rsid w:val="00530DD1"/>
    <w:rsid w:val="00531683"/>
    <w:rsid w:val="005336B2"/>
    <w:rsid w:val="00545535"/>
    <w:rsid w:val="00546539"/>
    <w:rsid w:val="00551D83"/>
    <w:rsid w:val="005557FC"/>
    <w:rsid w:val="00556B22"/>
    <w:rsid w:val="005609F5"/>
    <w:rsid w:val="00563079"/>
    <w:rsid w:val="00566412"/>
    <w:rsid w:val="00571078"/>
    <w:rsid w:val="00571113"/>
    <w:rsid w:val="005756F6"/>
    <w:rsid w:val="0057623D"/>
    <w:rsid w:val="005765D4"/>
    <w:rsid w:val="00580763"/>
    <w:rsid w:val="0058571E"/>
    <w:rsid w:val="00587950"/>
    <w:rsid w:val="00587FC0"/>
    <w:rsid w:val="005902B2"/>
    <w:rsid w:val="00591792"/>
    <w:rsid w:val="00592231"/>
    <w:rsid w:val="0059451B"/>
    <w:rsid w:val="00596DBE"/>
    <w:rsid w:val="005977AB"/>
    <w:rsid w:val="005A3E94"/>
    <w:rsid w:val="005A4157"/>
    <w:rsid w:val="005A7345"/>
    <w:rsid w:val="005B02C5"/>
    <w:rsid w:val="005B081C"/>
    <w:rsid w:val="005B29D3"/>
    <w:rsid w:val="005B31DC"/>
    <w:rsid w:val="005B743F"/>
    <w:rsid w:val="005C09A2"/>
    <w:rsid w:val="005C1926"/>
    <w:rsid w:val="005C1E82"/>
    <w:rsid w:val="005C22C8"/>
    <w:rsid w:val="005C3B59"/>
    <w:rsid w:val="005C579C"/>
    <w:rsid w:val="005C6629"/>
    <w:rsid w:val="005C725A"/>
    <w:rsid w:val="005C762F"/>
    <w:rsid w:val="005C7A1C"/>
    <w:rsid w:val="005D1242"/>
    <w:rsid w:val="005D1BB3"/>
    <w:rsid w:val="005D220E"/>
    <w:rsid w:val="005D32E3"/>
    <w:rsid w:val="005D392C"/>
    <w:rsid w:val="005D4846"/>
    <w:rsid w:val="005D64E3"/>
    <w:rsid w:val="005D7F9B"/>
    <w:rsid w:val="005E273B"/>
    <w:rsid w:val="005E409A"/>
    <w:rsid w:val="005E4650"/>
    <w:rsid w:val="005E55C1"/>
    <w:rsid w:val="005E6B2F"/>
    <w:rsid w:val="005F3610"/>
    <w:rsid w:val="005F38CC"/>
    <w:rsid w:val="005F6159"/>
    <w:rsid w:val="005F6FC2"/>
    <w:rsid w:val="006007DE"/>
    <w:rsid w:val="0060082A"/>
    <w:rsid w:val="00602887"/>
    <w:rsid w:val="00612FB4"/>
    <w:rsid w:val="00615217"/>
    <w:rsid w:val="00616724"/>
    <w:rsid w:val="00620341"/>
    <w:rsid w:val="006228D0"/>
    <w:rsid w:val="0062302B"/>
    <w:rsid w:val="00631DBE"/>
    <w:rsid w:val="00632EE5"/>
    <w:rsid w:val="00636112"/>
    <w:rsid w:val="00642655"/>
    <w:rsid w:val="00643560"/>
    <w:rsid w:val="00644002"/>
    <w:rsid w:val="0064689D"/>
    <w:rsid w:val="00647821"/>
    <w:rsid w:val="00647D45"/>
    <w:rsid w:val="006601AF"/>
    <w:rsid w:val="00661B26"/>
    <w:rsid w:val="006634C8"/>
    <w:rsid w:val="00664E34"/>
    <w:rsid w:val="00666B0E"/>
    <w:rsid w:val="006671BF"/>
    <w:rsid w:val="0067676D"/>
    <w:rsid w:val="006767F7"/>
    <w:rsid w:val="00677760"/>
    <w:rsid w:val="006809D5"/>
    <w:rsid w:val="00680AEC"/>
    <w:rsid w:val="00684DDB"/>
    <w:rsid w:val="00685D04"/>
    <w:rsid w:val="0068635B"/>
    <w:rsid w:val="006907EC"/>
    <w:rsid w:val="00690CEF"/>
    <w:rsid w:val="00695FE7"/>
    <w:rsid w:val="0069699A"/>
    <w:rsid w:val="006A70B7"/>
    <w:rsid w:val="006B2DF9"/>
    <w:rsid w:val="006B63B4"/>
    <w:rsid w:val="006B744E"/>
    <w:rsid w:val="006C0488"/>
    <w:rsid w:val="006C16F5"/>
    <w:rsid w:val="006C197B"/>
    <w:rsid w:val="006C29AA"/>
    <w:rsid w:val="006C30B9"/>
    <w:rsid w:val="006C528A"/>
    <w:rsid w:val="006C7CB2"/>
    <w:rsid w:val="006D1511"/>
    <w:rsid w:val="006D2DD8"/>
    <w:rsid w:val="006D2EEF"/>
    <w:rsid w:val="006D31C5"/>
    <w:rsid w:val="006D4DEC"/>
    <w:rsid w:val="006D6088"/>
    <w:rsid w:val="006D6332"/>
    <w:rsid w:val="006E1F14"/>
    <w:rsid w:val="006E1FA2"/>
    <w:rsid w:val="006E40B4"/>
    <w:rsid w:val="006E448B"/>
    <w:rsid w:val="006E4E8B"/>
    <w:rsid w:val="006E6B10"/>
    <w:rsid w:val="006F5A87"/>
    <w:rsid w:val="006F637A"/>
    <w:rsid w:val="006F6B8C"/>
    <w:rsid w:val="00700F40"/>
    <w:rsid w:val="007074E2"/>
    <w:rsid w:val="007127A7"/>
    <w:rsid w:val="007144D2"/>
    <w:rsid w:val="00714FC4"/>
    <w:rsid w:val="007211BA"/>
    <w:rsid w:val="007236F0"/>
    <w:rsid w:val="007237FC"/>
    <w:rsid w:val="00724E23"/>
    <w:rsid w:val="00725067"/>
    <w:rsid w:val="007256C3"/>
    <w:rsid w:val="007257E3"/>
    <w:rsid w:val="00730B1A"/>
    <w:rsid w:val="00733085"/>
    <w:rsid w:val="00734353"/>
    <w:rsid w:val="00741E2E"/>
    <w:rsid w:val="00743616"/>
    <w:rsid w:val="00746432"/>
    <w:rsid w:val="00752D28"/>
    <w:rsid w:val="00752D6F"/>
    <w:rsid w:val="00754F17"/>
    <w:rsid w:val="00756DA4"/>
    <w:rsid w:val="00761931"/>
    <w:rsid w:val="007627F4"/>
    <w:rsid w:val="00767435"/>
    <w:rsid w:val="007731F5"/>
    <w:rsid w:val="007738F2"/>
    <w:rsid w:val="00774012"/>
    <w:rsid w:val="00774DF9"/>
    <w:rsid w:val="007750E6"/>
    <w:rsid w:val="00776F3C"/>
    <w:rsid w:val="00780A90"/>
    <w:rsid w:val="00781345"/>
    <w:rsid w:val="0078330D"/>
    <w:rsid w:val="0078408A"/>
    <w:rsid w:val="00787D4F"/>
    <w:rsid w:val="00791332"/>
    <w:rsid w:val="0079466C"/>
    <w:rsid w:val="007968AA"/>
    <w:rsid w:val="00797B47"/>
    <w:rsid w:val="007A1DF9"/>
    <w:rsid w:val="007A2288"/>
    <w:rsid w:val="007A2F05"/>
    <w:rsid w:val="007A45DE"/>
    <w:rsid w:val="007A50EB"/>
    <w:rsid w:val="007A5872"/>
    <w:rsid w:val="007B0B59"/>
    <w:rsid w:val="007B3BF9"/>
    <w:rsid w:val="007B3DA0"/>
    <w:rsid w:val="007B597C"/>
    <w:rsid w:val="007C0A8D"/>
    <w:rsid w:val="007C1B43"/>
    <w:rsid w:val="007C50DE"/>
    <w:rsid w:val="007C52D5"/>
    <w:rsid w:val="007C563F"/>
    <w:rsid w:val="007C627B"/>
    <w:rsid w:val="007D0236"/>
    <w:rsid w:val="007D0F99"/>
    <w:rsid w:val="007D1824"/>
    <w:rsid w:val="007D5E00"/>
    <w:rsid w:val="007D6A72"/>
    <w:rsid w:val="007D6ED4"/>
    <w:rsid w:val="007E03CA"/>
    <w:rsid w:val="007E04A6"/>
    <w:rsid w:val="007E15F9"/>
    <w:rsid w:val="007E21D2"/>
    <w:rsid w:val="007E3BA1"/>
    <w:rsid w:val="007E4832"/>
    <w:rsid w:val="007E4D6F"/>
    <w:rsid w:val="007E7C59"/>
    <w:rsid w:val="007F1588"/>
    <w:rsid w:val="007F2F91"/>
    <w:rsid w:val="007F7496"/>
    <w:rsid w:val="00800081"/>
    <w:rsid w:val="008026D1"/>
    <w:rsid w:val="00804F62"/>
    <w:rsid w:val="00807215"/>
    <w:rsid w:val="00807E7A"/>
    <w:rsid w:val="00810B16"/>
    <w:rsid w:val="008141DE"/>
    <w:rsid w:val="00814472"/>
    <w:rsid w:val="0082068A"/>
    <w:rsid w:val="00820811"/>
    <w:rsid w:val="00821D25"/>
    <w:rsid w:val="008225AE"/>
    <w:rsid w:val="008227F9"/>
    <w:rsid w:val="00827105"/>
    <w:rsid w:val="0082759F"/>
    <w:rsid w:val="0083074E"/>
    <w:rsid w:val="008307D4"/>
    <w:rsid w:val="00833A36"/>
    <w:rsid w:val="00833CE6"/>
    <w:rsid w:val="00834772"/>
    <w:rsid w:val="00837957"/>
    <w:rsid w:val="008428F1"/>
    <w:rsid w:val="008429C8"/>
    <w:rsid w:val="00843719"/>
    <w:rsid w:val="008437B5"/>
    <w:rsid w:val="00845128"/>
    <w:rsid w:val="00845533"/>
    <w:rsid w:val="00846C0E"/>
    <w:rsid w:val="008507AC"/>
    <w:rsid w:val="0085161D"/>
    <w:rsid w:val="00852D1F"/>
    <w:rsid w:val="00854042"/>
    <w:rsid w:val="00854F6B"/>
    <w:rsid w:val="00856642"/>
    <w:rsid w:val="00863136"/>
    <w:rsid w:val="00863E71"/>
    <w:rsid w:val="008701A7"/>
    <w:rsid w:val="008721E4"/>
    <w:rsid w:val="008733D1"/>
    <w:rsid w:val="00874AF9"/>
    <w:rsid w:val="00877E47"/>
    <w:rsid w:val="008827CB"/>
    <w:rsid w:val="00882DCA"/>
    <w:rsid w:val="0088550F"/>
    <w:rsid w:val="00887774"/>
    <w:rsid w:val="00890352"/>
    <w:rsid w:val="0089082B"/>
    <w:rsid w:val="00892B10"/>
    <w:rsid w:val="00896821"/>
    <w:rsid w:val="00897852"/>
    <w:rsid w:val="008A1826"/>
    <w:rsid w:val="008A357F"/>
    <w:rsid w:val="008A5042"/>
    <w:rsid w:val="008A7386"/>
    <w:rsid w:val="008B3069"/>
    <w:rsid w:val="008B7EF7"/>
    <w:rsid w:val="008D5E82"/>
    <w:rsid w:val="008D6DA5"/>
    <w:rsid w:val="008E10E6"/>
    <w:rsid w:val="008E4FBA"/>
    <w:rsid w:val="008E74D4"/>
    <w:rsid w:val="008F19BB"/>
    <w:rsid w:val="008F3937"/>
    <w:rsid w:val="008F3A38"/>
    <w:rsid w:val="008F4410"/>
    <w:rsid w:val="008F4FC6"/>
    <w:rsid w:val="008F7B0C"/>
    <w:rsid w:val="009003AF"/>
    <w:rsid w:val="009076D8"/>
    <w:rsid w:val="0091479F"/>
    <w:rsid w:val="00914EA4"/>
    <w:rsid w:val="009155B5"/>
    <w:rsid w:val="00916DE6"/>
    <w:rsid w:val="00920565"/>
    <w:rsid w:val="009207CB"/>
    <w:rsid w:val="009229A1"/>
    <w:rsid w:val="00923745"/>
    <w:rsid w:val="00925187"/>
    <w:rsid w:val="00927FF5"/>
    <w:rsid w:val="0093179B"/>
    <w:rsid w:val="0093531A"/>
    <w:rsid w:val="009400EB"/>
    <w:rsid w:val="00942E1B"/>
    <w:rsid w:val="0095314A"/>
    <w:rsid w:val="00953F04"/>
    <w:rsid w:val="00956E4D"/>
    <w:rsid w:val="0096107A"/>
    <w:rsid w:val="00963E2D"/>
    <w:rsid w:val="00964A24"/>
    <w:rsid w:val="009652CA"/>
    <w:rsid w:val="009671BC"/>
    <w:rsid w:val="00972F55"/>
    <w:rsid w:val="00974B35"/>
    <w:rsid w:val="0097541C"/>
    <w:rsid w:val="00977455"/>
    <w:rsid w:val="00977859"/>
    <w:rsid w:val="00984521"/>
    <w:rsid w:val="00985ACD"/>
    <w:rsid w:val="00985B38"/>
    <w:rsid w:val="00994C8F"/>
    <w:rsid w:val="00994E1A"/>
    <w:rsid w:val="009A1F5F"/>
    <w:rsid w:val="009A458A"/>
    <w:rsid w:val="009B0F91"/>
    <w:rsid w:val="009B4F62"/>
    <w:rsid w:val="009C226E"/>
    <w:rsid w:val="009C284C"/>
    <w:rsid w:val="009C3FBE"/>
    <w:rsid w:val="009C55C1"/>
    <w:rsid w:val="009C64BF"/>
    <w:rsid w:val="009D0405"/>
    <w:rsid w:val="009D14A4"/>
    <w:rsid w:val="009D51DB"/>
    <w:rsid w:val="009D7798"/>
    <w:rsid w:val="009E2D44"/>
    <w:rsid w:val="009E3068"/>
    <w:rsid w:val="009E379A"/>
    <w:rsid w:val="009E3BE5"/>
    <w:rsid w:val="009E413A"/>
    <w:rsid w:val="009F0544"/>
    <w:rsid w:val="009F44D2"/>
    <w:rsid w:val="009F5F38"/>
    <w:rsid w:val="00A0185C"/>
    <w:rsid w:val="00A03193"/>
    <w:rsid w:val="00A05C2A"/>
    <w:rsid w:val="00A06603"/>
    <w:rsid w:val="00A1016A"/>
    <w:rsid w:val="00A10653"/>
    <w:rsid w:val="00A11CBD"/>
    <w:rsid w:val="00A130CF"/>
    <w:rsid w:val="00A2129B"/>
    <w:rsid w:val="00A22D17"/>
    <w:rsid w:val="00A24E3C"/>
    <w:rsid w:val="00A26946"/>
    <w:rsid w:val="00A27114"/>
    <w:rsid w:val="00A3173E"/>
    <w:rsid w:val="00A329F3"/>
    <w:rsid w:val="00A45D19"/>
    <w:rsid w:val="00A46DCE"/>
    <w:rsid w:val="00A52510"/>
    <w:rsid w:val="00A53A00"/>
    <w:rsid w:val="00A53E22"/>
    <w:rsid w:val="00A546F2"/>
    <w:rsid w:val="00A55D4F"/>
    <w:rsid w:val="00A610DB"/>
    <w:rsid w:val="00A629A7"/>
    <w:rsid w:val="00A65D75"/>
    <w:rsid w:val="00A661F0"/>
    <w:rsid w:val="00A70DA6"/>
    <w:rsid w:val="00A771D9"/>
    <w:rsid w:val="00A80FDA"/>
    <w:rsid w:val="00A82C90"/>
    <w:rsid w:val="00A92571"/>
    <w:rsid w:val="00A937A2"/>
    <w:rsid w:val="00A94561"/>
    <w:rsid w:val="00A96DAA"/>
    <w:rsid w:val="00A97208"/>
    <w:rsid w:val="00AA09C7"/>
    <w:rsid w:val="00AA2282"/>
    <w:rsid w:val="00AA31BA"/>
    <w:rsid w:val="00AA335E"/>
    <w:rsid w:val="00AA3F58"/>
    <w:rsid w:val="00AA4912"/>
    <w:rsid w:val="00AA73E1"/>
    <w:rsid w:val="00AA7F79"/>
    <w:rsid w:val="00AB3393"/>
    <w:rsid w:val="00AB7379"/>
    <w:rsid w:val="00AC3160"/>
    <w:rsid w:val="00AC31BB"/>
    <w:rsid w:val="00AC362E"/>
    <w:rsid w:val="00AC3805"/>
    <w:rsid w:val="00AC40CE"/>
    <w:rsid w:val="00AD0C0E"/>
    <w:rsid w:val="00AD2068"/>
    <w:rsid w:val="00AD637C"/>
    <w:rsid w:val="00AD706B"/>
    <w:rsid w:val="00AE1AC2"/>
    <w:rsid w:val="00AE24CE"/>
    <w:rsid w:val="00AE3917"/>
    <w:rsid w:val="00AE51E7"/>
    <w:rsid w:val="00AF16F8"/>
    <w:rsid w:val="00AF2EEB"/>
    <w:rsid w:val="00AF51CF"/>
    <w:rsid w:val="00AF6795"/>
    <w:rsid w:val="00B01DC1"/>
    <w:rsid w:val="00B045BD"/>
    <w:rsid w:val="00B04FD3"/>
    <w:rsid w:val="00B07F6D"/>
    <w:rsid w:val="00B10D12"/>
    <w:rsid w:val="00B11A82"/>
    <w:rsid w:val="00B11B52"/>
    <w:rsid w:val="00B12FC9"/>
    <w:rsid w:val="00B14F3C"/>
    <w:rsid w:val="00B16784"/>
    <w:rsid w:val="00B17147"/>
    <w:rsid w:val="00B17C41"/>
    <w:rsid w:val="00B24E2B"/>
    <w:rsid w:val="00B255D2"/>
    <w:rsid w:val="00B26421"/>
    <w:rsid w:val="00B32A54"/>
    <w:rsid w:val="00B33936"/>
    <w:rsid w:val="00B35694"/>
    <w:rsid w:val="00B36CC3"/>
    <w:rsid w:val="00B37262"/>
    <w:rsid w:val="00B37873"/>
    <w:rsid w:val="00B458B0"/>
    <w:rsid w:val="00B47E58"/>
    <w:rsid w:val="00B510B9"/>
    <w:rsid w:val="00B513EF"/>
    <w:rsid w:val="00B51ECB"/>
    <w:rsid w:val="00B53ABB"/>
    <w:rsid w:val="00B54987"/>
    <w:rsid w:val="00B55D9B"/>
    <w:rsid w:val="00B5793A"/>
    <w:rsid w:val="00B610C8"/>
    <w:rsid w:val="00B62F39"/>
    <w:rsid w:val="00B635AA"/>
    <w:rsid w:val="00B64C36"/>
    <w:rsid w:val="00B65538"/>
    <w:rsid w:val="00B6644B"/>
    <w:rsid w:val="00B67E4D"/>
    <w:rsid w:val="00B70324"/>
    <w:rsid w:val="00B7168F"/>
    <w:rsid w:val="00B716FC"/>
    <w:rsid w:val="00B71C98"/>
    <w:rsid w:val="00B72C41"/>
    <w:rsid w:val="00B73B78"/>
    <w:rsid w:val="00B7498F"/>
    <w:rsid w:val="00B75F62"/>
    <w:rsid w:val="00B765AC"/>
    <w:rsid w:val="00B80C5B"/>
    <w:rsid w:val="00B81CB1"/>
    <w:rsid w:val="00B839BC"/>
    <w:rsid w:val="00B8462C"/>
    <w:rsid w:val="00B87345"/>
    <w:rsid w:val="00B87C7D"/>
    <w:rsid w:val="00B93123"/>
    <w:rsid w:val="00B93D08"/>
    <w:rsid w:val="00B951C4"/>
    <w:rsid w:val="00B9577E"/>
    <w:rsid w:val="00B96168"/>
    <w:rsid w:val="00B9639B"/>
    <w:rsid w:val="00B97856"/>
    <w:rsid w:val="00BA00C3"/>
    <w:rsid w:val="00BA10FD"/>
    <w:rsid w:val="00BA6FE6"/>
    <w:rsid w:val="00BB0686"/>
    <w:rsid w:val="00BB11C3"/>
    <w:rsid w:val="00BB42A0"/>
    <w:rsid w:val="00BB612F"/>
    <w:rsid w:val="00BC026E"/>
    <w:rsid w:val="00BC0293"/>
    <w:rsid w:val="00BC4938"/>
    <w:rsid w:val="00BC4B6D"/>
    <w:rsid w:val="00BC777B"/>
    <w:rsid w:val="00BC7EAB"/>
    <w:rsid w:val="00BD005B"/>
    <w:rsid w:val="00BD1E07"/>
    <w:rsid w:val="00BE041A"/>
    <w:rsid w:val="00BE0FE1"/>
    <w:rsid w:val="00BE2B71"/>
    <w:rsid w:val="00BE31EB"/>
    <w:rsid w:val="00BE7365"/>
    <w:rsid w:val="00BF0394"/>
    <w:rsid w:val="00BF132F"/>
    <w:rsid w:val="00BF26B9"/>
    <w:rsid w:val="00BF3466"/>
    <w:rsid w:val="00BF4884"/>
    <w:rsid w:val="00BF7B24"/>
    <w:rsid w:val="00C04502"/>
    <w:rsid w:val="00C05654"/>
    <w:rsid w:val="00C10460"/>
    <w:rsid w:val="00C11ABA"/>
    <w:rsid w:val="00C1235A"/>
    <w:rsid w:val="00C17054"/>
    <w:rsid w:val="00C20A3E"/>
    <w:rsid w:val="00C20A65"/>
    <w:rsid w:val="00C30464"/>
    <w:rsid w:val="00C31A43"/>
    <w:rsid w:val="00C32532"/>
    <w:rsid w:val="00C32791"/>
    <w:rsid w:val="00C35407"/>
    <w:rsid w:val="00C37662"/>
    <w:rsid w:val="00C40590"/>
    <w:rsid w:val="00C463BF"/>
    <w:rsid w:val="00C46E35"/>
    <w:rsid w:val="00C52773"/>
    <w:rsid w:val="00C532F5"/>
    <w:rsid w:val="00C55C0C"/>
    <w:rsid w:val="00C56641"/>
    <w:rsid w:val="00C56BB6"/>
    <w:rsid w:val="00C603A0"/>
    <w:rsid w:val="00C603D3"/>
    <w:rsid w:val="00C60974"/>
    <w:rsid w:val="00C61DAF"/>
    <w:rsid w:val="00C62393"/>
    <w:rsid w:val="00C64778"/>
    <w:rsid w:val="00C649A0"/>
    <w:rsid w:val="00C669A4"/>
    <w:rsid w:val="00C66FBB"/>
    <w:rsid w:val="00C70DE3"/>
    <w:rsid w:val="00C72DE8"/>
    <w:rsid w:val="00C74540"/>
    <w:rsid w:val="00C761BB"/>
    <w:rsid w:val="00C76D29"/>
    <w:rsid w:val="00C76DB9"/>
    <w:rsid w:val="00C7730D"/>
    <w:rsid w:val="00C80D07"/>
    <w:rsid w:val="00C821C3"/>
    <w:rsid w:val="00C9113F"/>
    <w:rsid w:val="00C918BF"/>
    <w:rsid w:val="00C92F03"/>
    <w:rsid w:val="00C93C20"/>
    <w:rsid w:val="00C93D77"/>
    <w:rsid w:val="00C96136"/>
    <w:rsid w:val="00C96C94"/>
    <w:rsid w:val="00C9732F"/>
    <w:rsid w:val="00CA155B"/>
    <w:rsid w:val="00CA21D3"/>
    <w:rsid w:val="00CA664C"/>
    <w:rsid w:val="00CA6773"/>
    <w:rsid w:val="00CB0248"/>
    <w:rsid w:val="00CB327C"/>
    <w:rsid w:val="00CB3E20"/>
    <w:rsid w:val="00CB472B"/>
    <w:rsid w:val="00CB6C29"/>
    <w:rsid w:val="00CC24DE"/>
    <w:rsid w:val="00CC43F4"/>
    <w:rsid w:val="00CD0063"/>
    <w:rsid w:val="00CD3455"/>
    <w:rsid w:val="00CD34F9"/>
    <w:rsid w:val="00CD3B9F"/>
    <w:rsid w:val="00CD46FC"/>
    <w:rsid w:val="00CD488B"/>
    <w:rsid w:val="00CD6138"/>
    <w:rsid w:val="00CE7C9B"/>
    <w:rsid w:val="00CF03B6"/>
    <w:rsid w:val="00CF70EA"/>
    <w:rsid w:val="00D00285"/>
    <w:rsid w:val="00D01A11"/>
    <w:rsid w:val="00D02244"/>
    <w:rsid w:val="00D02E3A"/>
    <w:rsid w:val="00D04D3E"/>
    <w:rsid w:val="00D06A82"/>
    <w:rsid w:val="00D06E0B"/>
    <w:rsid w:val="00D12DE8"/>
    <w:rsid w:val="00D1349E"/>
    <w:rsid w:val="00D158E6"/>
    <w:rsid w:val="00D22E6F"/>
    <w:rsid w:val="00D23B7B"/>
    <w:rsid w:val="00D24916"/>
    <w:rsid w:val="00D31428"/>
    <w:rsid w:val="00D33957"/>
    <w:rsid w:val="00D345D5"/>
    <w:rsid w:val="00D41980"/>
    <w:rsid w:val="00D41BA1"/>
    <w:rsid w:val="00D42A8A"/>
    <w:rsid w:val="00D43412"/>
    <w:rsid w:val="00D46C5A"/>
    <w:rsid w:val="00D47D4B"/>
    <w:rsid w:val="00D5115C"/>
    <w:rsid w:val="00D54536"/>
    <w:rsid w:val="00D545A0"/>
    <w:rsid w:val="00D56E68"/>
    <w:rsid w:val="00D6066D"/>
    <w:rsid w:val="00D62856"/>
    <w:rsid w:val="00D639CD"/>
    <w:rsid w:val="00D64CF5"/>
    <w:rsid w:val="00D70702"/>
    <w:rsid w:val="00D70730"/>
    <w:rsid w:val="00D70C8B"/>
    <w:rsid w:val="00D70F0C"/>
    <w:rsid w:val="00D71736"/>
    <w:rsid w:val="00D722F0"/>
    <w:rsid w:val="00D73189"/>
    <w:rsid w:val="00D73340"/>
    <w:rsid w:val="00D75530"/>
    <w:rsid w:val="00D7790B"/>
    <w:rsid w:val="00D8534C"/>
    <w:rsid w:val="00D860CA"/>
    <w:rsid w:val="00D8659B"/>
    <w:rsid w:val="00D902DF"/>
    <w:rsid w:val="00D91F30"/>
    <w:rsid w:val="00D92F47"/>
    <w:rsid w:val="00D9326B"/>
    <w:rsid w:val="00D9555E"/>
    <w:rsid w:val="00D976D9"/>
    <w:rsid w:val="00D97955"/>
    <w:rsid w:val="00D97A93"/>
    <w:rsid w:val="00DA096D"/>
    <w:rsid w:val="00DA3529"/>
    <w:rsid w:val="00DA4F93"/>
    <w:rsid w:val="00DA77B3"/>
    <w:rsid w:val="00DB3903"/>
    <w:rsid w:val="00DB6E50"/>
    <w:rsid w:val="00DC2CBD"/>
    <w:rsid w:val="00DC45E3"/>
    <w:rsid w:val="00DC4A15"/>
    <w:rsid w:val="00DC7018"/>
    <w:rsid w:val="00DD2CE2"/>
    <w:rsid w:val="00DD2E5F"/>
    <w:rsid w:val="00DD456C"/>
    <w:rsid w:val="00DD7102"/>
    <w:rsid w:val="00DE1CB5"/>
    <w:rsid w:val="00DE1EF6"/>
    <w:rsid w:val="00DE2506"/>
    <w:rsid w:val="00DE2CB7"/>
    <w:rsid w:val="00DE4728"/>
    <w:rsid w:val="00DE54C2"/>
    <w:rsid w:val="00DE57F5"/>
    <w:rsid w:val="00DE584A"/>
    <w:rsid w:val="00DE711F"/>
    <w:rsid w:val="00DF17DE"/>
    <w:rsid w:val="00DF6FE1"/>
    <w:rsid w:val="00E012F6"/>
    <w:rsid w:val="00E0185A"/>
    <w:rsid w:val="00E05661"/>
    <w:rsid w:val="00E062B9"/>
    <w:rsid w:val="00E104F0"/>
    <w:rsid w:val="00E212F9"/>
    <w:rsid w:val="00E224EE"/>
    <w:rsid w:val="00E23F48"/>
    <w:rsid w:val="00E24C01"/>
    <w:rsid w:val="00E25671"/>
    <w:rsid w:val="00E27EBB"/>
    <w:rsid w:val="00E327D4"/>
    <w:rsid w:val="00E33B0A"/>
    <w:rsid w:val="00E34677"/>
    <w:rsid w:val="00E357A3"/>
    <w:rsid w:val="00E3672A"/>
    <w:rsid w:val="00E36E32"/>
    <w:rsid w:val="00E42168"/>
    <w:rsid w:val="00E44EB0"/>
    <w:rsid w:val="00E45F6B"/>
    <w:rsid w:val="00E51E88"/>
    <w:rsid w:val="00E52A87"/>
    <w:rsid w:val="00E536AC"/>
    <w:rsid w:val="00E54FEE"/>
    <w:rsid w:val="00E56869"/>
    <w:rsid w:val="00E60963"/>
    <w:rsid w:val="00E61CB6"/>
    <w:rsid w:val="00E634E6"/>
    <w:rsid w:val="00E66AD0"/>
    <w:rsid w:val="00E72FBC"/>
    <w:rsid w:val="00E7399D"/>
    <w:rsid w:val="00E74C0C"/>
    <w:rsid w:val="00E80383"/>
    <w:rsid w:val="00E80EFE"/>
    <w:rsid w:val="00E845D9"/>
    <w:rsid w:val="00E84C26"/>
    <w:rsid w:val="00E90528"/>
    <w:rsid w:val="00E91B91"/>
    <w:rsid w:val="00E978AB"/>
    <w:rsid w:val="00EA05E5"/>
    <w:rsid w:val="00EA135C"/>
    <w:rsid w:val="00EA1897"/>
    <w:rsid w:val="00EA7255"/>
    <w:rsid w:val="00EA7841"/>
    <w:rsid w:val="00EA7B42"/>
    <w:rsid w:val="00EB077F"/>
    <w:rsid w:val="00EB1C5E"/>
    <w:rsid w:val="00EB2E5B"/>
    <w:rsid w:val="00EB2F5C"/>
    <w:rsid w:val="00EB3277"/>
    <w:rsid w:val="00EB7BC1"/>
    <w:rsid w:val="00EB7BFE"/>
    <w:rsid w:val="00EC036F"/>
    <w:rsid w:val="00EC5BAF"/>
    <w:rsid w:val="00EC73A2"/>
    <w:rsid w:val="00EC7E72"/>
    <w:rsid w:val="00ED0631"/>
    <w:rsid w:val="00ED3683"/>
    <w:rsid w:val="00ED39DA"/>
    <w:rsid w:val="00ED419B"/>
    <w:rsid w:val="00ED5BFB"/>
    <w:rsid w:val="00EE0A2C"/>
    <w:rsid w:val="00EE0B01"/>
    <w:rsid w:val="00EE176E"/>
    <w:rsid w:val="00EE3D43"/>
    <w:rsid w:val="00EF0880"/>
    <w:rsid w:val="00EF4618"/>
    <w:rsid w:val="00EF4D9D"/>
    <w:rsid w:val="00EF5B0A"/>
    <w:rsid w:val="00EF5FE5"/>
    <w:rsid w:val="00EF6191"/>
    <w:rsid w:val="00EF6F2C"/>
    <w:rsid w:val="00F06B21"/>
    <w:rsid w:val="00F12E0B"/>
    <w:rsid w:val="00F13DFB"/>
    <w:rsid w:val="00F169E3"/>
    <w:rsid w:val="00F26BF1"/>
    <w:rsid w:val="00F3121C"/>
    <w:rsid w:val="00F3136D"/>
    <w:rsid w:val="00F42169"/>
    <w:rsid w:val="00F45AA4"/>
    <w:rsid w:val="00F504DA"/>
    <w:rsid w:val="00F52E8C"/>
    <w:rsid w:val="00F557DF"/>
    <w:rsid w:val="00F56AB8"/>
    <w:rsid w:val="00F5719E"/>
    <w:rsid w:val="00F573BA"/>
    <w:rsid w:val="00F61CC3"/>
    <w:rsid w:val="00F64520"/>
    <w:rsid w:val="00F670E6"/>
    <w:rsid w:val="00F757E3"/>
    <w:rsid w:val="00F774FC"/>
    <w:rsid w:val="00F80546"/>
    <w:rsid w:val="00F84410"/>
    <w:rsid w:val="00F86A63"/>
    <w:rsid w:val="00F86BDB"/>
    <w:rsid w:val="00F92E70"/>
    <w:rsid w:val="00F93613"/>
    <w:rsid w:val="00F9579F"/>
    <w:rsid w:val="00F96A3F"/>
    <w:rsid w:val="00FA0E80"/>
    <w:rsid w:val="00FA28BE"/>
    <w:rsid w:val="00FA36EC"/>
    <w:rsid w:val="00FA39C8"/>
    <w:rsid w:val="00FA52A3"/>
    <w:rsid w:val="00FA59B4"/>
    <w:rsid w:val="00FA6425"/>
    <w:rsid w:val="00FB0C1D"/>
    <w:rsid w:val="00FB3198"/>
    <w:rsid w:val="00FC1412"/>
    <w:rsid w:val="00FC34DA"/>
    <w:rsid w:val="00FC699A"/>
    <w:rsid w:val="00FD02E5"/>
    <w:rsid w:val="00FD5E8F"/>
    <w:rsid w:val="00FE2498"/>
    <w:rsid w:val="00FE523E"/>
    <w:rsid w:val="00FE6CAB"/>
    <w:rsid w:val="00FF2C50"/>
    <w:rsid w:val="00FF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EF1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4" w:qFormat="1"/>
    <w:lsdException w:name="List Bullet" w:uiPriority="2" w:qFormat="1"/>
    <w:lsdException w:name="List Number" w:uiPriority="73"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nhideWhenUsed="0" w:qFormat="1"/>
    <w:lsdException w:name="Table 3D effects 1" w:uiPriority="0"/>
    <w:lsdException w:name="Table 3D effects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uiPriority w:val="99"/>
    <w:rsid w:val="001C47CB"/>
    <w:pPr>
      <w:spacing w:line="240" w:lineRule="auto"/>
    </w:pPr>
    <w:rPr>
      <w:sz w:val="20"/>
      <w:szCs w:val="20"/>
    </w:rPr>
  </w:style>
  <w:style w:type="paragraph" w:styleId="Heading1">
    <w:name w:val="heading 1"/>
    <w:aliases w:val="Heading 1-KEIP"/>
    <w:basedOn w:val="Normal"/>
    <w:next w:val="BodyText"/>
    <w:link w:val="Heading1Char"/>
    <w:uiPriority w:val="1"/>
    <w:qFormat/>
    <w:rsid w:val="00D02244"/>
    <w:pPr>
      <w:spacing w:before="200"/>
      <w:ind w:left="567" w:hanging="567"/>
      <w:outlineLvl w:val="0"/>
    </w:pPr>
    <w:rPr>
      <w:rFonts w:asciiTheme="majorHAnsi" w:hAnsiTheme="majorHAnsi" w:cstheme="majorHAnsi"/>
      <w:b/>
      <w:color w:val="A25EA6"/>
      <w:sz w:val="40"/>
      <w:szCs w:val="40"/>
    </w:rPr>
  </w:style>
  <w:style w:type="paragraph" w:styleId="Heading2">
    <w:name w:val="heading 2"/>
    <w:basedOn w:val="Heading1"/>
    <w:next w:val="Normal"/>
    <w:link w:val="Heading2Char"/>
    <w:uiPriority w:val="1"/>
    <w:qFormat/>
    <w:rsid w:val="0039620C"/>
    <w:pPr>
      <w:numPr>
        <w:ilvl w:val="1"/>
      </w:numPr>
      <w:spacing w:before="240"/>
      <w:ind w:left="709" w:hanging="709"/>
      <w:outlineLvl w:val="1"/>
    </w:pPr>
    <w:rPr>
      <w:color w:val="000000" w:themeColor="text1"/>
      <w:spacing w:val="2"/>
      <w:sz w:val="24"/>
      <w:szCs w:val="36"/>
    </w:rPr>
  </w:style>
  <w:style w:type="paragraph" w:styleId="Heading3">
    <w:name w:val="heading 3"/>
    <w:basedOn w:val="Heading2"/>
    <w:next w:val="Normal"/>
    <w:link w:val="Heading3Char"/>
    <w:uiPriority w:val="1"/>
    <w:qFormat/>
    <w:rsid w:val="007627F4"/>
    <w:pPr>
      <w:numPr>
        <w:ilvl w:val="2"/>
      </w:numPr>
      <w:ind w:left="709" w:hanging="709"/>
      <w:outlineLvl w:val="2"/>
    </w:pPr>
    <w:rPr>
      <w:sz w:val="20"/>
      <w:szCs w:val="32"/>
    </w:rPr>
  </w:style>
  <w:style w:type="paragraph" w:styleId="Heading4">
    <w:name w:val="heading 4"/>
    <w:basedOn w:val="Heading3"/>
    <w:next w:val="Normal"/>
    <w:link w:val="Heading4Char"/>
    <w:uiPriority w:val="1"/>
    <w:qFormat/>
    <w:rsid w:val="007627F4"/>
    <w:pPr>
      <w:numPr>
        <w:ilvl w:val="3"/>
      </w:numPr>
      <w:ind w:left="709" w:hanging="709"/>
      <w:outlineLvl w:val="3"/>
    </w:pPr>
    <w:rPr>
      <w:sz w:val="24"/>
      <w:szCs w:val="28"/>
    </w:rPr>
  </w:style>
  <w:style w:type="paragraph" w:styleId="Heading5">
    <w:name w:val="heading 5"/>
    <w:basedOn w:val="Heading4"/>
    <w:next w:val="Normal"/>
    <w:link w:val="Heading5Char"/>
    <w:uiPriority w:val="1"/>
    <w:qFormat/>
    <w:rsid w:val="007627F4"/>
    <w:pPr>
      <w:numPr>
        <w:ilvl w:val="4"/>
      </w:numPr>
      <w:ind w:left="709" w:hanging="709"/>
      <w:outlineLvl w:val="4"/>
    </w:pPr>
    <w:rPr>
      <w:sz w:val="22"/>
      <w:szCs w:val="24"/>
    </w:rPr>
  </w:style>
  <w:style w:type="paragraph" w:styleId="Heading6">
    <w:name w:val="heading 6"/>
    <w:basedOn w:val="Heading5"/>
    <w:next w:val="Normal"/>
    <w:link w:val="Heading6Char"/>
    <w:uiPriority w:val="9"/>
    <w:rsid w:val="007627F4"/>
    <w:pPr>
      <w:numPr>
        <w:ilvl w:val="5"/>
      </w:numPr>
      <w:spacing w:before="200"/>
      <w:ind w:left="709" w:hanging="709"/>
      <w:outlineLvl w:val="5"/>
    </w:pPr>
    <w:rPr>
      <w:rFonts w:eastAsiaTheme="majorEastAsia" w:cstheme="majorBidi"/>
      <w:iCs/>
      <w:sz w:val="16"/>
    </w:rPr>
  </w:style>
  <w:style w:type="paragraph" w:styleId="Heading7">
    <w:name w:val="heading 7"/>
    <w:basedOn w:val="Heading6"/>
    <w:next w:val="Normal"/>
    <w:link w:val="Heading7Char"/>
    <w:uiPriority w:val="99"/>
    <w:semiHidden/>
    <w:rsid w:val="007627F4"/>
    <w:pPr>
      <w:numPr>
        <w:ilvl w:val="6"/>
      </w:numPr>
      <w:ind w:left="709" w:hanging="709"/>
      <w:outlineLvl w:val="6"/>
    </w:pPr>
    <w:rPr>
      <w:i/>
      <w:iCs w:val="0"/>
      <w:color w:val="404040" w:themeColor="text1" w:themeTint="BF"/>
    </w:rPr>
  </w:style>
  <w:style w:type="paragraph" w:styleId="Heading8">
    <w:name w:val="heading 8"/>
    <w:basedOn w:val="Heading7"/>
    <w:next w:val="Normal"/>
    <w:link w:val="Heading8Char"/>
    <w:uiPriority w:val="99"/>
    <w:semiHidden/>
    <w:rsid w:val="007627F4"/>
    <w:pPr>
      <w:numPr>
        <w:ilvl w:val="7"/>
      </w:numPr>
      <w:ind w:left="709" w:hanging="709"/>
      <w:outlineLvl w:val="7"/>
    </w:pPr>
    <w:rPr>
      <w:color w:val="6CCE7D" w:themeColor="accent1"/>
    </w:rPr>
  </w:style>
  <w:style w:type="paragraph" w:styleId="Heading9">
    <w:name w:val="heading 9"/>
    <w:basedOn w:val="Heading8"/>
    <w:next w:val="Normal"/>
    <w:link w:val="Heading9Char"/>
    <w:uiPriority w:val="99"/>
    <w:semiHidden/>
    <w:rsid w:val="007627F4"/>
    <w:pPr>
      <w:numPr>
        <w:ilvl w:val="8"/>
      </w:numPr>
      <w:ind w:left="709" w:hanging="709"/>
      <w:outlineLvl w:val="8"/>
    </w:pPr>
    <w:rPr>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2BA"/>
    <w:pPr>
      <w:tabs>
        <w:tab w:val="center" w:pos="4513"/>
        <w:tab w:val="right" w:pos="9026"/>
      </w:tabs>
      <w:spacing w:after="0"/>
    </w:pPr>
  </w:style>
  <w:style w:type="character" w:customStyle="1" w:styleId="HeaderChar">
    <w:name w:val="Header Char"/>
    <w:basedOn w:val="DefaultParagraphFont"/>
    <w:link w:val="Header"/>
    <w:uiPriority w:val="99"/>
    <w:rsid w:val="000222BA"/>
  </w:style>
  <w:style w:type="paragraph" w:styleId="Footer">
    <w:name w:val="footer"/>
    <w:basedOn w:val="Normal"/>
    <w:link w:val="FooterChar"/>
    <w:uiPriority w:val="99"/>
    <w:unhideWhenUsed/>
    <w:rsid w:val="000222BA"/>
    <w:pPr>
      <w:tabs>
        <w:tab w:val="center" w:pos="4513"/>
        <w:tab w:val="right" w:pos="9026"/>
      </w:tabs>
      <w:spacing w:after="0"/>
    </w:pPr>
  </w:style>
  <w:style w:type="character" w:customStyle="1" w:styleId="FooterChar">
    <w:name w:val="Footer Char"/>
    <w:basedOn w:val="DefaultParagraphFont"/>
    <w:link w:val="Footer"/>
    <w:uiPriority w:val="99"/>
    <w:rsid w:val="000222BA"/>
  </w:style>
  <w:style w:type="character" w:customStyle="1" w:styleId="Heading1Char">
    <w:name w:val="Heading 1 Char"/>
    <w:aliases w:val="Heading 1-KEIP Char"/>
    <w:basedOn w:val="DefaultParagraphFont"/>
    <w:link w:val="Heading1"/>
    <w:uiPriority w:val="1"/>
    <w:rsid w:val="00D02244"/>
    <w:rPr>
      <w:rFonts w:asciiTheme="majorHAnsi" w:hAnsiTheme="majorHAnsi" w:cstheme="majorHAnsi"/>
      <w:b/>
      <w:color w:val="A25EA6"/>
      <w:sz w:val="40"/>
      <w:szCs w:val="40"/>
    </w:rPr>
  </w:style>
  <w:style w:type="character" w:customStyle="1" w:styleId="Heading2Char">
    <w:name w:val="Heading 2 Char"/>
    <w:basedOn w:val="DefaultParagraphFont"/>
    <w:link w:val="Heading2"/>
    <w:uiPriority w:val="1"/>
    <w:rsid w:val="0039620C"/>
    <w:rPr>
      <w:rFonts w:asciiTheme="majorHAnsi" w:hAnsiTheme="majorHAnsi" w:cstheme="majorHAnsi"/>
      <w:b/>
      <w:color w:val="000000" w:themeColor="text1"/>
      <w:spacing w:val="2"/>
      <w:sz w:val="24"/>
      <w:szCs w:val="36"/>
    </w:rPr>
  </w:style>
  <w:style w:type="character" w:customStyle="1" w:styleId="Heading3Char">
    <w:name w:val="Heading 3 Char"/>
    <w:basedOn w:val="DefaultParagraphFont"/>
    <w:link w:val="Heading3"/>
    <w:uiPriority w:val="1"/>
    <w:rsid w:val="007627F4"/>
    <w:rPr>
      <w:rFonts w:ascii="Calibri" w:hAnsi="Calibri"/>
      <w:b/>
      <w:color w:val="000000" w:themeColor="text1"/>
      <w:sz w:val="20"/>
      <w:szCs w:val="32"/>
    </w:rPr>
  </w:style>
  <w:style w:type="character" w:customStyle="1" w:styleId="Heading4Char">
    <w:name w:val="Heading 4 Char"/>
    <w:basedOn w:val="DefaultParagraphFont"/>
    <w:link w:val="Heading4"/>
    <w:uiPriority w:val="1"/>
    <w:rsid w:val="007627F4"/>
    <w:rPr>
      <w:rFonts w:ascii="Calibri" w:hAnsi="Calibri"/>
      <w:b/>
      <w:color w:val="000000" w:themeColor="text1"/>
      <w:sz w:val="24"/>
      <w:szCs w:val="28"/>
    </w:rPr>
  </w:style>
  <w:style w:type="character" w:customStyle="1" w:styleId="Heading5Char">
    <w:name w:val="Heading 5 Char"/>
    <w:basedOn w:val="DefaultParagraphFont"/>
    <w:link w:val="Heading5"/>
    <w:uiPriority w:val="1"/>
    <w:rsid w:val="007627F4"/>
    <w:rPr>
      <w:rFonts w:ascii="Calibri" w:hAnsi="Calibri"/>
      <w:b/>
      <w:color w:val="000000" w:themeColor="text1"/>
      <w:szCs w:val="24"/>
    </w:rPr>
  </w:style>
  <w:style w:type="character" w:customStyle="1" w:styleId="Heading6Char">
    <w:name w:val="Heading 6 Char"/>
    <w:basedOn w:val="DefaultParagraphFont"/>
    <w:link w:val="Heading6"/>
    <w:uiPriority w:val="9"/>
    <w:rsid w:val="007627F4"/>
    <w:rPr>
      <w:rFonts w:asciiTheme="majorHAnsi" w:eastAsiaTheme="majorEastAsia" w:hAnsiTheme="majorHAnsi" w:cstheme="majorBidi"/>
      <w:b/>
      <w:iCs/>
      <w:color w:val="000000" w:themeColor="text1"/>
      <w:sz w:val="16"/>
      <w:szCs w:val="24"/>
    </w:rPr>
  </w:style>
  <w:style w:type="character" w:customStyle="1" w:styleId="Heading7Char">
    <w:name w:val="Heading 7 Char"/>
    <w:basedOn w:val="DefaultParagraphFont"/>
    <w:link w:val="Heading7"/>
    <w:uiPriority w:val="99"/>
    <w:semiHidden/>
    <w:rsid w:val="007627F4"/>
    <w:rPr>
      <w:rFonts w:asciiTheme="majorHAnsi" w:eastAsiaTheme="majorEastAsia" w:hAnsiTheme="majorHAnsi" w:cstheme="majorBidi"/>
      <w:b/>
      <w:i/>
      <w:color w:val="404040" w:themeColor="text1" w:themeTint="BF"/>
      <w:sz w:val="16"/>
      <w:szCs w:val="24"/>
    </w:rPr>
  </w:style>
  <w:style w:type="character" w:customStyle="1" w:styleId="Heading8Char">
    <w:name w:val="Heading 8 Char"/>
    <w:basedOn w:val="DefaultParagraphFont"/>
    <w:link w:val="Heading8"/>
    <w:uiPriority w:val="99"/>
    <w:semiHidden/>
    <w:rsid w:val="007627F4"/>
    <w:rPr>
      <w:rFonts w:asciiTheme="majorHAnsi" w:eastAsiaTheme="majorEastAsia" w:hAnsiTheme="majorHAnsi" w:cstheme="majorBidi"/>
      <w:b/>
      <w:i/>
      <w:color w:val="6CCE7D" w:themeColor="accent1"/>
      <w:sz w:val="16"/>
      <w:szCs w:val="24"/>
    </w:rPr>
  </w:style>
  <w:style w:type="character" w:customStyle="1" w:styleId="Heading9Char">
    <w:name w:val="Heading 9 Char"/>
    <w:basedOn w:val="DefaultParagraphFont"/>
    <w:link w:val="Heading9"/>
    <w:uiPriority w:val="99"/>
    <w:semiHidden/>
    <w:rsid w:val="007627F4"/>
    <w:rPr>
      <w:rFonts w:asciiTheme="majorHAnsi" w:eastAsiaTheme="majorEastAsia" w:hAnsiTheme="majorHAnsi" w:cstheme="majorBidi"/>
      <w:b/>
      <w:iCs/>
      <w:color w:val="404040" w:themeColor="text1" w:themeTint="BF"/>
      <w:sz w:val="16"/>
      <w:szCs w:val="24"/>
    </w:rPr>
  </w:style>
  <w:style w:type="paragraph" w:customStyle="1" w:styleId="BodyBullets">
    <w:name w:val="Body Bullets"/>
    <w:qFormat/>
    <w:rsid w:val="00DB3903"/>
    <w:pPr>
      <w:numPr>
        <w:numId w:val="1"/>
      </w:numPr>
      <w:tabs>
        <w:tab w:val="clear" w:pos="0"/>
      </w:tabs>
      <w:spacing w:before="57" w:after="113" w:line="250" w:lineRule="atLeast"/>
      <w:ind w:hanging="284"/>
    </w:pPr>
    <w:rPr>
      <w:rFonts w:ascii="Arial" w:hAnsi="Arial"/>
      <w:color w:val="000000"/>
      <w:sz w:val="20"/>
      <w:szCs w:val="20"/>
    </w:rPr>
  </w:style>
  <w:style w:type="character" w:styleId="Hyperlink">
    <w:name w:val="Hyperlink"/>
    <w:basedOn w:val="DefaultParagraphFont"/>
    <w:uiPriority w:val="99"/>
    <w:rsid w:val="007627F4"/>
    <w:rPr>
      <w:color w:val="0000FF"/>
      <w:u w:val="single"/>
    </w:rPr>
  </w:style>
  <w:style w:type="paragraph" w:styleId="TOC1">
    <w:name w:val="toc 1"/>
    <w:basedOn w:val="Normal"/>
    <w:next w:val="BodyText"/>
    <w:uiPriority w:val="39"/>
    <w:rsid w:val="004D5223"/>
    <w:pPr>
      <w:tabs>
        <w:tab w:val="left" w:pos="425"/>
        <w:tab w:val="right" w:leader="dot" w:pos="9214"/>
      </w:tabs>
      <w:spacing w:before="120" w:after="120"/>
    </w:pPr>
    <w:rPr>
      <w:b/>
      <w:noProof/>
      <w:szCs w:val="22"/>
    </w:rPr>
  </w:style>
  <w:style w:type="paragraph" w:customStyle="1" w:styleId="Re">
    <w:name w:val="Re"/>
    <w:basedOn w:val="Normal"/>
    <w:next w:val="Normal"/>
    <w:uiPriority w:val="99"/>
    <w:semiHidden/>
    <w:rsid w:val="007627F4"/>
    <w:pPr>
      <w:tabs>
        <w:tab w:val="left" w:pos="567"/>
      </w:tabs>
      <w:suppressAutoHyphens/>
      <w:autoSpaceDE w:val="0"/>
      <w:autoSpaceDN w:val="0"/>
      <w:adjustRightInd w:val="0"/>
      <w:spacing w:line="250" w:lineRule="atLeast"/>
      <w:ind w:left="567" w:hanging="567"/>
      <w:textAlignment w:val="center"/>
    </w:pPr>
    <w:rPr>
      <w:rFonts w:cs="Arial (TT)"/>
      <w:b/>
      <w:color w:val="000000"/>
      <w:lang w:val="en-GB"/>
    </w:rPr>
  </w:style>
  <w:style w:type="table" w:styleId="TableGrid">
    <w:name w:val="Table Grid"/>
    <w:aliases w:val="Basic Table,McLL Table General Text,DPS Table Grid"/>
    <w:basedOn w:val="TableNormal"/>
    <w:uiPriority w:val="59"/>
    <w:rsid w:val="007627F4"/>
    <w:pPr>
      <w:spacing w:before="77" w:after="113" w:line="25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627F4"/>
    <w:pPr>
      <w:spacing w:before="100" w:beforeAutospacing="1" w:after="100" w:afterAutospacing="1"/>
      <w:ind w:left="720"/>
      <w:contextualSpacing/>
    </w:pPr>
    <w:rPr>
      <w:szCs w:val="22"/>
    </w:rPr>
  </w:style>
  <w:style w:type="paragraph" w:styleId="TOCHeading">
    <w:name w:val="TOC Heading"/>
    <w:basedOn w:val="Heading1"/>
    <w:next w:val="Normal"/>
    <w:uiPriority w:val="99"/>
    <w:qFormat/>
    <w:rsid w:val="007627F4"/>
    <w:pPr>
      <w:spacing w:before="100" w:beforeAutospacing="1" w:after="480"/>
      <w:outlineLvl w:val="9"/>
    </w:pPr>
  </w:style>
  <w:style w:type="paragraph" w:styleId="BodyText">
    <w:name w:val="Body Text"/>
    <w:basedOn w:val="Normal"/>
    <w:link w:val="BodyTextChar"/>
    <w:qFormat/>
    <w:rsid w:val="007627F4"/>
    <w:pPr>
      <w:spacing w:before="200"/>
    </w:pPr>
    <w:rPr>
      <w:szCs w:val="22"/>
    </w:rPr>
  </w:style>
  <w:style w:type="character" w:customStyle="1" w:styleId="BodyTextChar">
    <w:name w:val="Body Text Char"/>
    <w:basedOn w:val="DefaultParagraphFont"/>
    <w:link w:val="BodyText"/>
    <w:rsid w:val="007627F4"/>
    <w:rPr>
      <w:sz w:val="20"/>
    </w:rPr>
  </w:style>
  <w:style w:type="table" w:customStyle="1" w:styleId="Coffey">
    <w:name w:val="Coffey"/>
    <w:basedOn w:val="TableNormal"/>
    <w:uiPriority w:val="99"/>
    <w:rsid w:val="007627F4"/>
    <w:pPr>
      <w:spacing w:before="100" w:beforeAutospacing="1" w:after="100" w:afterAutospacing="1" w:line="240" w:lineRule="auto"/>
    </w:pPr>
    <w:rPr>
      <w:sz w:val="18"/>
      <w:szCs w:val="20"/>
    </w:rPr>
    <w:tblPr>
      <w:tblStyleRowBandSize w:val="1"/>
      <w:tblStyleColBandSize w:val="1"/>
      <w:tblBorders>
        <w:top w:val="single" w:sz="4" w:space="0" w:color="A6E1B0" w:themeColor="accent1" w:themeTint="99"/>
        <w:left w:val="single" w:sz="4" w:space="0" w:color="A6E1B0" w:themeColor="accent1" w:themeTint="99"/>
        <w:bottom w:val="single" w:sz="4" w:space="0" w:color="A6E1B0" w:themeColor="accent1" w:themeTint="99"/>
        <w:right w:val="single" w:sz="4" w:space="0" w:color="A6E1B0" w:themeColor="accent1" w:themeTint="99"/>
        <w:insideH w:val="single" w:sz="4" w:space="0" w:color="A6E1B0" w:themeColor="accent1" w:themeTint="99"/>
        <w:insideV w:val="single" w:sz="4" w:space="0" w:color="A6E1B0"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A6E1B0" w:themeColor="accent1" w:themeTint="99"/>
          <w:left w:val="single" w:sz="4" w:space="0" w:color="A6E1B0" w:themeColor="accent1" w:themeTint="99"/>
          <w:bottom w:val="single" w:sz="4" w:space="0" w:color="A6E1B0" w:themeColor="accent1" w:themeTint="99"/>
          <w:right w:val="single" w:sz="4" w:space="0" w:color="A6E1B0" w:themeColor="accent1" w:themeTint="99"/>
          <w:insideH w:val="single" w:sz="4" w:space="0" w:color="A6E1B0" w:themeColor="accent1" w:themeTint="99"/>
          <w:insideV w:val="single" w:sz="4" w:space="0" w:color="A6E1B0" w:themeColor="accent1" w:themeTint="99"/>
          <w:tl2br w:val="nil"/>
          <w:tr2bl w:val="nil"/>
        </w:tcBorders>
        <w:shd w:val="clear" w:color="auto" w:fill="6CCE7D" w:themeFill="accent1"/>
      </w:tcPr>
    </w:tblStylePr>
    <w:tblStylePr w:type="lastRow">
      <w:tblPr/>
      <w:tcPr>
        <w:tcBorders>
          <w:top w:val="double" w:sz="4" w:space="0" w:color="A6E1B0" w:themeColor="accent1" w:themeTint="99"/>
          <w:left w:val="double" w:sz="4" w:space="0" w:color="A6E1B0" w:themeColor="accent1" w:themeTint="99"/>
          <w:bottom w:val="double" w:sz="4" w:space="0" w:color="A6E1B0" w:themeColor="accent1" w:themeTint="99"/>
          <w:right w:val="double" w:sz="4" w:space="0" w:color="A6E1B0" w:themeColor="accent1" w:themeTint="99"/>
          <w:insideH w:val="double" w:sz="4" w:space="0" w:color="A6E1B0" w:themeColor="accent1" w:themeTint="99"/>
          <w:insideV w:val="double" w:sz="4" w:space="0" w:color="A6E1B0" w:themeColor="accent1" w:themeTint="99"/>
          <w:tl2br w:val="nil"/>
          <w:tr2bl w:val="nil"/>
        </w:tcBorders>
        <w:shd w:val="clear" w:color="auto" w:fill="auto"/>
      </w:tcPr>
    </w:tblStylePr>
    <w:tblStylePr w:type="firstCol">
      <w:rPr>
        <w:b/>
        <w:i w:val="0"/>
        <w:color w:val="FFFFFF" w:themeColor="background1"/>
      </w:rPr>
      <w:tblPr/>
      <w:tcPr>
        <w:tcBorders>
          <w:top w:val="single" w:sz="4" w:space="0" w:color="A6E1B0" w:themeColor="accent1" w:themeTint="99"/>
          <w:left w:val="single" w:sz="4" w:space="0" w:color="A6E1B0" w:themeColor="accent1" w:themeTint="99"/>
          <w:bottom w:val="single" w:sz="4" w:space="0" w:color="A6E1B0" w:themeColor="accent1" w:themeTint="99"/>
          <w:right w:val="single" w:sz="4" w:space="0" w:color="A6E1B0" w:themeColor="accent1" w:themeTint="99"/>
          <w:insideH w:val="nil"/>
          <w:insideV w:val="nil"/>
          <w:tl2br w:val="nil"/>
          <w:tr2bl w:val="nil"/>
        </w:tcBorders>
        <w:shd w:val="clear" w:color="auto" w:fill="6CCE7D" w:themeFill="accent1"/>
      </w:tcPr>
    </w:tblStylePr>
    <w:tblStylePr w:type="lastCol">
      <w:tblPr/>
      <w:tcPr>
        <w:tcBorders>
          <w:top w:val="double" w:sz="4" w:space="0" w:color="A6E1B0" w:themeColor="accent1" w:themeTint="99"/>
          <w:left w:val="double" w:sz="4" w:space="0" w:color="A6E1B0" w:themeColor="accent1" w:themeTint="99"/>
          <w:bottom w:val="double" w:sz="4" w:space="0" w:color="A6E1B0" w:themeColor="accent1" w:themeTint="99"/>
          <w:right w:val="double" w:sz="4" w:space="0" w:color="A6E1B0" w:themeColor="accent1" w:themeTint="99"/>
          <w:insideH w:val="nil"/>
          <w:insideV w:val="nil"/>
          <w:tl2br w:val="nil"/>
          <w:tr2bl w:val="nil"/>
        </w:tcBorders>
        <w:shd w:val="clear" w:color="auto" w:fill="auto"/>
      </w:tcPr>
    </w:tblStylePr>
    <w:tblStylePr w:type="band1Vert">
      <w:tblPr/>
      <w:tcPr>
        <w:shd w:val="clear" w:color="auto" w:fill="E1F5E4" w:themeFill="accent1" w:themeFillTint="33"/>
      </w:tcPr>
    </w:tblStylePr>
    <w:tblStylePr w:type="band1Horz">
      <w:tblPr/>
      <w:tcPr>
        <w:shd w:val="clear" w:color="auto" w:fill="E1F5E4" w:themeFill="accent1" w:themeFillTint="33"/>
      </w:tcPr>
    </w:tblStylePr>
    <w:tblStylePr w:type="neCell">
      <w:tblPr/>
      <w:tcPr>
        <w:tcBorders>
          <w:top w:val="double" w:sz="4" w:space="0" w:color="A6E1B0" w:themeColor="accent1" w:themeTint="99"/>
          <w:left w:val="double" w:sz="4" w:space="0" w:color="A6E1B0" w:themeColor="accent1" w:themeTint="99"/>
          <w:bottom w:val="double" w:sz="4" w:space="0" w:color="A6E1B0" w:themeColor="accent1" w:themeTint="99"/>
          <w:right w:val="double" w:sz="4" w:space="0" w:color="A6E1B0" w:themeColor="accent1" w:themeTint="99"/>
          <w:insideH w:val="nil"/>
          <w:insideV w:val="nil"/>
          <w:tl2br w:val="nil"/>
          <w:tr2bl w:val="nil"/>
        </w:tcBorders>
        <w:shd w:val="clear" w:color="auto" w:fill="6CCE7D" w:themeFill="accent1"/>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6CCE7D" w:themeFill="accent1"/>
      </w:tcPr>
    </w:tblStylePr>
  </w:style>
  <w:style w:type="character" w:styleId="CommentReference">
    <w:name w:val="annotation reference"/>
    <w:basedOn w:val="DefaultParagraphFont"/>
    <w:uiPriority w:val="99"/>
    <w:semiHidden/>
    <w:unhideWhenUsed/>
    <w:rsid w:val="007627F4"/>
    <w:rPr>
      <w:sz w:val="16"/>
      <w:szCs w:val="16"/>
    </w:rPr>
  </w:style>
  <w:style w:type="paragraph" w:styleId="CommentText">
    <w:name w:val="annotation text"/>
    <w:basedOn w:val="Normal"/>
    <w:link w:val="CommentTextChar"/>
    <w:uiPriority w:val="99"/>
    <w:rsid w:val="007627F4"/>
  </w:style>
  <w:style w:type="character" w:customStyle="1" w:styleId="CommentTextChar">
    <w:name w:val="Comment Text Char"/>
    <w:basedOn w:val="DefaultParagraphFont"/>
    <w:link w:val="CommentText"/>
    <w:uiPriority w:val="99"/>
    <w:rsid w:val="007627F4"/>
    <w:rPr>
      <w:sz w:val="20"/>
      <w:szCs w:val="20"/>
    </w:rPr>
  </w:style>
  <w:style w:type="character" w:customStyle="1" w:styleId="ListParagraphChar">
    <w:name w:val="List Paragraph Char"/>
    <w:basedOn w:val="DefaultParagraphFont"/>
    <w:link w:val="ListParagraph"/>
    <w:uiPriority w:val="34"/>
    <w:rsid w:val="007627F4"/>
    <w:rPr>
      <w:sz w:val="20"/>
    </w:rPr>
  </w:style>
  <w:style w:type="paragraph" w:customStyle="1" w:styleId="Pa4">
    <w:name w:val="Pa4"/>
    <w:basedOn w:val="Normal"/>
    <w:next w:val="Normal"/>
    <w:uiPriority w:val="99"/>
    <w:rsid w:val="007627F4"/>
    <w:pPr>
      <w:autoSpaceDE w:val="0"/>
      <w:autoSpaceDN w:val="0"/>
      <w:adjustRightInd w:val="0"/>
      <w:spacing w:after="0" w:line="221" w:lineRule="atLeast"/>
    </w:pPr>
    <w:rPr>
      <w:rFonts w:ascii="Helvetica LT Std" w:hAnsi="Helvetica LT Std"/>
      <w:sz w:val="24"/>
      <w:szCs w:val="24"/>
    </w:rPr>
  </w:style>
  <w:style w:type="paragraph" w:customStyle="1" w:styleId="IntroBodyText">
    <w:name w:val="Intro Body Text"/>
    <w:basedOn w:val="BodyText"/>
    <w:rsid w:val="007627F4"/>
    <w:pPr>
      <w:spacing w:before="120" w:after="120"/>
    </w:pPr>
    <w:rPr>
      <w:rFonts w:eastAsia="Batang" w:cs="Arial"/>
      <w:b/>
      <w:color w:val="EB6E08" w:themeColor="text2"/>
      <w:sz w:val="22"/>
      <w:szCs w:val="20"/>
      <w:lang w:eastAsia="ko-KR"/>
    </w:rPr>
  </w:style>
  <w:style w:type="paragraph" w:customStyle="1" w:styleId="HeadingLevel1NoNumber">
    <w:name w:val="HeadingLevel1NoNumber"/>
    <w:basedOn w:val="Heading1"/>
    <w:rsid w:val="007627F4"/>
    <w:pPr>
      <w:spacing w:before="240"/>
      <w:ind w:left="0" w:firstLine="0"/>
    </w:pPr>
    <w:rPr>
      <w:rFonts w:asciiTheme="minorHAnsi" w:eastAsia="Batang" w:hAnsiTheme="minorHAnsi" w:cs="Arial"/>
      <w:color w:val="002983"/>
      <w:sz w:val="44"/>
      <w:szCs w:val="80"/>
      <w:lang w:eastAsia="ko-KR"/>
    </w:rPr>
  </w:style>
  <w:style w:type="paragraph" w:styleId="BalloonText">
    <w:name w:val="Balloon Text"/>
    <w:basedOn w:val="Normal"/>
    <w:link w:val="BalloonTextChar"/>
    <w:uiPriority w:val="99"/>
    <w:semiHidden/>
    <w:unhideWhenUsed/>
    <w:rsid w:val="007627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7F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627F4"/>
    <w:rPr>
      <w:b/>
      <w:bCs/>
    </w:rPr>
  </w:style>
  <w:style w:type="character" w:customStyle="1" w:styleId="CommentSubjectChar">
    <w:name w:val="Comment Subject Char"/>
    <w:basedOn w:val="CommentTextChar"/>
    <w:link w:val="CommentSubject"/>
    <w:uiPriority w:val="99"/>
    <w:semiHidden/>
    <w:rsid w:val="007627F4"/>
    <w:rPr>
      <w:b/>
      <w:bCs/>
      <w:sz w:val="20"/>
      <w:szCs w:val="20"/>
    </w:rPr>
  </w:style>
  <w:style w:type="paragraph" w:styleId="NormalWeb">
    <w:name w:val="Normal (Web)"/>
    <w:basedOn w:val="Normal"/>
    <w:uiPriority w:val="99"/>
    <w:semiHidden/>
    <w:unhideWhenUsed/>
    <w:rsid w:val="00D22E6F"/>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22E6F"/>
    <w:rPr>
      <w:b/>
      <w:bCs/>
    </w:rPr>
  </w:style>
  <w:style w:type="character" w:customStyle="1" w:styleId="apple-converted-space">
    <w:name w:val="apple-converted-space"/>
    <w:basedOn w:val="DefaultParagraphFont"/>
    <w:rsid w:val="00D22E6F"/>
  </w:style>
  <w:style w:type="paragraph" w:customStyle="1" w:styleId="Default">
    <w:name w:val="Default"/>
    <w:uiPriority w:val="99"/>
    <w:rsid w:val="00FC699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t,Footnote Text Char Char Char,Footnote Text Char Char,Footnote,single space,ALTS FOOTNOTE,fn,FOOTNOTES,ADB,footnote text,Footnote Text Char2,Footnote Text Char1 Char,Footnote Text Char1 Char Char Char1,Footnote Text Char1 Char1 Char"/>
    <w:basedOn w:val="Normal"/>
    <w:link w:val="FootnoteTextChar"/>
    <w:unhideWhenUsed/>
    <w:qFormat/>
    <w:rsid w:val="00FB3198"/>
    <w:pPr>
      <w:spacing w:after="0"/>
    </w:pPr>
    <w:rPr>
      <w:rFonts w:ascii="Calibri" w:eastAsia="Calibri" w:hAnsi="Calibri" w:cs="Times New Roman"/>
    </w:rPr>
  </w:style>
  <w:style w:type="character" w:customStyle="1" w:styleId="FootnoteTextChar">
    <w:name w:val="Footnote Text Char"/>
    <w:aliases w:val="ft Char,Footnote Text Char Char Char Char,Footnote Text Char Char Char1,Footnote Char,single space Char,ALTS FOOTNOTE Char,fn Char,FOOTNOTES Char,ADB Char,footnote text Char,Footnote Text Char2 Char,Footnote Text Char1 Char Char"/>
    <w:basedOn w:val="DefaultParagraphFont"/>
    <w:link w:val="FootnoteText"/>
    <w:rsid w:val="00FB3198"/>
    <w:rPr>
      <w:rFonts w:ascii="Calibri" w:eastAsia="Calibri" w:hAnsi="Calibri" w:cs="Times New Roman"/>
      <w:sz w:val="20"/>
      <w:szCs w:val="20"/>
    </w:rPr>
  </w:style>
  <w:style w:type="character" w:styleId="FootnoteReference">
    <w:name w:val="footnote reference"/>
    <w:aliases w:val="Normal + Font:9 Point,Superscript 3 Point Times,ftref,fr,16 Point,Superscript 6 Point,Ref,de nota al pie,(NECG) Footnote Reference,footnote ref,Fußnotenzeichen DISS,BVI fnr,Char Char Char Char Car Char"/>
    <w:uiPriority w:val="99"/>
    <w:unhideWhenUsed/>
    <w:rsid w:val="00FB3198"/>
    <w:rPr>
      <w:vertAlign w:val="superscript"/>
    </w:rPr>
  </w:style>
  <w:style w:type="paragraph" w:customStyle="1" w:styleId="BodyCopy">
    <w:name w:val="Body Copy"/>
    <w:link w:val="BodyCopyChar"/>
    <w:qFormat/>
    <w:rsid w:val="00BC026E"/>
    <w:pPr>
      <w:suppressAutoHyphens/>
      <w:autoSpaceDE w:val="0"/>
      <w:autoSpaceDN w:val="0"/>
      <w:adjustRightInd w:val="0"/>
      <w:spacing w:before="160" w:after="160" w:line="240" w:lineRule="auto"/>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rsid w:val="00BC026E"/>
    <w:rPr>
      <w:rFonts w:ascii="Arial" w:hAnsi="Arial" w:cs="Arial (TT)"/>
      <w:color w:val="000000"/>
      <w:sz w:val="20"/>
      <w:szCs w:val="20"/>
      <w:lang w:val="en-GB"/>
    </w:rPr>
  </w:style>
  <w:style w:type="paragraph" w:styleId="Revision">
    <w:name w:val="Revision"/>
    <w:hidden/>
    <w:uiPriority w:val="99"/>
    <w:semiHidden/>
    <w:rsid w:val="00F52E8C"/>
    <w:pPr>
      <w:spacing w:after="0" w:line="240" w:lineRule="auto"/>
    </w:pPr>
    <w:rPr>
      <w:sz w:val="20"/>
      <w:szCs w:val="20"/>
    </w:rPr>
  </w:style>
  <w:style w:type="table" w:styleId="LightList-Accent1">
    <w:name w:val="Light List Accent 1"/>
    <w:basedOn w:val="TableNormal"/>
    <w:uiPriority w:val="61"/>
    <w:rsid w:val="00D158E6"/>
    <w:pPr>
      <w:spacing w:after="0" w:line="240" w:lineRule="auto"/>
    </w:pPr>
    <w:rPr>
      <w:rFonts w:eastAsiaTheme="minorEastAsia"/>
      <w:sz w:val="24"/>
      <w:szCs w:val="24"/>
      <w:lang w:val="en-US"/>
    </w:rPr>
    <w:tblPr>
      <w:tblStyleRowBandSize w:val="1"/>
      <w:tblStyleColBandSize w:val="1"/>
      <w:tblBorders>
        <w:top w:val="single" w:sz="8" w:space="0" w:color="6CCE7D" w:themeColor="accent1"/>
        <w:left w:val="single" w:sz="8" w:space="0" w:color="6CCE7D" w:themeColor="accent1"/>
        <w:bottom w:val="single" w:sz="8" w:space="0" w:color="6CCE7D" w:themeColor="accent1"/>
        <w:right w:val="single" w:sz="8" w:space="0" w:color="6CCE7D" w:themeColor="accent1"/>
      </w:tblBorders>
    </w:tblPr>
    <w:tblStylePr w:type="firstRow">
      <w:pPr>
        <w:spacing w:before="0" w:after="0" w:line="240" w:lineRule="auto"/>
      </w:pPr>
      <w:rPr>
        <w:b/>
        <w:bCs/>
        <w:color w:val="FFFFFF" w:themeColor="background1"/>
      </w:rPr>
      <w:tblPr/>
      <w:tcPr>
        <w:shd w:val="clear" w:color="auto" w:fill="6CCE7D" w:themeFill="accent1"/>
      </w:tcPr>
    </w:tblStylePr>
    <w:tblStylePr w:type="lastRow">
      <w:pPr>
        <w:spacing w:before="0" w:after="0" w:line="240" w:lineRule="auto"/>
      </w:pPr>
      <w:rPr>
        <w:b/>
        <w:bCs/>
      </w:rPr>
      <w:tblPr/>
      <w:tcPr>
        <w:tcBorders>
          <w:top w:val="double" w:sz="6" w:space="0" w:color="6CCE7D" w:themeColor="accent1"/>
          <w:left w:val="single" w:sz="8" w:space="0" w:color="6CCE7D" w:themeColor="accent1"/>
          <w:bottom w:val="single" w:sz="8" w:space="0" w:color="6CCE7D" w:themeColor="accent1"/>
          <w:right w:val="single" w:sz="8" w:space="0" w:color="6CCE7D" w:themeColor="accent1"/>
        </w:tcBorders>
      </w:tcPr>
    </w:tblStylePr>
    <w:tblStylePr w:type="firstCol">
      <w:rPr>
        <w:b/>
        <w:bCs/>
      </w:rPr>
    </w:tblStylePr>
    <w:tblStylePr w:type="lastCol">
      <w:rPr>
        <w:b/>
        <w:bCs/>
      </w:rPr>
    </w:tblStylePr>
    <w:tblStylePr w:type="band1Vert">
      <w:tblPr/>
      <w:tcPr>
        <w:tcBorders>
          <w:top w:val="single" w:sz="8" w:space="0" w:color="6CCE7D" w:themeColor="accent1"/>
          <w:left w:val="single" w:sz="8" w:space="0" w:color="6CCE7D" w:themeColor="accent1"/>
          <w:bottom w:val="single" w:sz="8" w:space="0" w:color="6CCE7D" w:themeColor="accent1"/>
          <w:right w:val="single" w:sz="8" w:space="0" w:color="6CCE7D" w:themeColor="accent1"/>
        </w:tcBorders>
      </w:tcPr>
    </w:tblStylePr>
    <w:tblStylePr w:type="band1Horz">
      <w:tblPr/>
      <w:tcPr>
        <w:tcBorders>
          <w:top w:val="single" w:sz="8" w:space="0" w:color="6CCE7D" w:themeColor="accent1"/>
          <w:left w:val="single" w:sz="8" w:space="0" w:color="6CCE7D" w:themeColor="accent1"/>
          <w:bottom w:val="single" w:sz="8" w:space="0" w:color="6CCE7D" w:themeColor="accent1"/>
          <w:right w:val="single" w:sz="8" w:space="0" w:color="6CCE7D" w:themeColor="accent1"/>
        </w:tcBorders>
      </w:tcPr>
    </w:tblStylePr>
  </w:style>
  <w:style w:type="paragraph" w:customStyle="1" w:styleId="Tableheading">
    <w:name w:val="Table heading"/>
    <w:basedOn w:val="BodyText"/>
    <w:qFormat/>
    <w:rsid w:val="00BF4884"/>
    <w:pPr>
      <w:spacing w:after="120" w:line="264" w:lineRule="auto"/>
    </w:pPr>
    <w:rPr>
      <w:rFonts w:cs="Times New Roman"/>
      <w:b/>
      <w:szCs w:val="20"/>
    </w:rPr>
  </w:style>
  <w:style w:type="paragraph" w:customStyle="1" w:styleId="BodyCopyBold">
    <w:name w:val="Body Copy Bold"/>
    <w:basedOn w:val="BodyCopy"/>
    <w:uiPriority w:val="99"/>
    <w:rsid w:val="00BC026E"/>
    <w:rPr>
      <w:b/>
    </w:rPr>
  </w:style>
  <w:style w:type="paragraph" w:styleId="TOC2">
    <w:name w:val="toc 2"/>
    <w:basedOn w:val="Normal"/>
    <w:next w:val="Normal"/>
    <w:autoRedefine/>
    <w:uiPriority w:val="39"/>
    <w:unhideWhenUsed/>
    <w:rsid w:val="00814472"/>
    <w:pPr>
      <w:tabs>
        <w:tab w:val="right" w:leader="dot" w:pos="9214"/>
        <w:tab w:val="right" w:leader="dot" w:pos="9288"/>
      </w:tabs>
      <w:spacing w:after="100"/>
      <w:ind w:left="851" w:hanging="425"/>
    </w:pPr>
    <w:rPr>
      <w:noProof/>
      <w:spacing w:val="-2"/>
    </w:rPr>
  </w:style>
  <w:style w:type="paragraph" w:styleId="TOC3">
    <w:name w:val="toc 3"/>
    <w:basedOn w:val="Normal"/>
    <w:next w:val="Normal"/>
    <w:autoRedefine/>
    <w:uiPriority w:val="39"/>
    <w:unhideWhenUsed/>
    <w:rsid w:val="004D5223"/>
    <w:pPr>
      <w:tabs>
        <w:tab w:val="right" w:leader="dot" w:pos="9214"/>
        <w:tab w:val="right" w:leader="dot" w:pos="9288"/>
      </w:tabs>
      <w:spacing w:after="100"/>
      <w:ind w:left="1418" w:hanging="567"/>
    </w:pPr>
    <w:rPr>
      <w:rFonts w:eastAsiaTheme="minorEastAsia"/>
      <w:noProof/>
      <w:lang w:eastAsia="ko-KR"/>
    </w:rPr>
  </w:style>
  <w:style w:type="paragraph" w:customStyle="1" w:styleId="BODY">
    <w:name w:val="BODY"/>
    <w:basedOn w:val="Normal"/>
    <w:uiPriority w:val="99"/>
    <w:rsid w:val="0093531A"/>
    <w:pPr>
      <w:suppressAutoHyphens/>
      <w:autoSpaceDE w:val="0"/>
      <w:autoSpaceDN w:val="0"/>
      <w:adjustRightInd w:val="0"/>
      <w:spacing w:after="170" w:line="480" w:lineRule="atLeast"/>
      <w:textAlignment w:val="center"/>
    </w:pPr>
    <w:rPr>
      <w:rFonts w:ascii="HelveticaNeueLT Std" w:hAnsi="HelveticaNeueLT Std" w:cs="HelveticaNeueLT Std"/>
      <w:color w:val="000000"/>
      <w:spacing w:val="4"/>
      <w:sz w:val="40"/>
      <w:szCs w:val="40"/>
      <w:lang w:val="en-GB"/>
    </w:rPr>
  </w:style>
  <w:style w:type="paragraph" w:styleId="Quote">
    <w:name w:val="Quote"/>
    <w:basedOn w:val="BODY"/>
    <w:link w:val="QuoteChar"/>
    <w:uiPriority w:val="3"/>
    <w:qFormat/>
    <w:rsid w:val="0093531A"/>
    <w:pPr>
      <w:spacing w:line="840" w:lineRule="atLeast"/>
    </w:pPr>
    <w:rPr>
      <w:b/>
      <w:bCs/>
      <w:color w:val="A9599E"/>
      <w:spacing w:val="8"/>
      <w:sz w:val="76"/>
      <w:szCs w:val="76"/>
    </w:rPr>
  </w:style>
  <w:style w:type="character" w:customStyle="1" w:styleId="QuoteChar">
    <w:name w:val="Quote Char"/>
    <w:basedOn w:val="DefaultParagraphFont"/>
    <w:link w:val="Quote"/>
    <w:uiPriority w:val="3"/>
    <w:rsid w:val="0093531A"/>
    <w:rPr>
      <w:rFonts w:ascii="HelveticaNeueLT Std" w:hAnsi="HelveticaNeueLT Std" w:cs="HelveticaNeueLT Std"/>
      <w:b/>
      <w:bCs/>
      <w:color w:val="A9599E"/>
      <w:spacing w:val="8"/>
      <w:sz w:val="76"/>
      <w:szCs w:val="76"/>
      <w:lang w:val="en-GB"/>
    </w:rPr>
  </w:style>
  <w:style w:type="paragraph" w:customStyle="1" w:styleId="footertext">
    <w:name w:val="footer text"/>
    <w:basedOn w:val="FootnoteText"/>
    <w:qFormat/>
    <w:rsid w:val="00556B22"/>
    <w:rPr>
      <w:rFonts w:ascii="Arial" w:eastAsia="Cambria" w:hAnsi="Arial" w:cs="Arial"/>
      <w:sz w:val="18"/>
      <w:szCs w:val="18"/>
      <w:lang w:val="x-none" w:eastAsia="x-none"/>
    </w:rPr>
  </w:style>
  <w:style w:type="paragraph" w:styleId="ListBullet">
    <w:name w:val="List Bullet"/>
    <w:basedOn w:val="BodyText"/>
    <w:uiPriority w:val="2"/>
    <w:qFormat/>
    <w:rsid w:val="00353459"/>
    <w:pPr>
      <w:numPr>
        <w:numId w:val="5"/>
      </w:numPr>
      <w:spacing w:before="100" w:after="100" w:line="240" w:lineRule="atLeast"/>
      <w:ind w:left="318" w:hanging="284"/>
    </w:pPr>
    <w:rPr>
      <w:rFonts w:ascii="Arial" w:eastAsia="Arial" w:hAnsi="Arial" w:cs="Arial"/>
      <w:color w:val="000000"/>
      <w:spacing w:val="-4"/>
    </w:rPr>
  </w:style>
  <w:style w:type="paragraph" w:styleId="ListBullet2">
    <w:name w:val="List Bullet 2"/>
    <w:basedOn w:val="BodyText"/>
    <w:uiPriority w:val="2"/>
    <w:qFormat/>
    <w:rsid w:val="00353459"/>
    <w:pPr>
      <w:numPr>
        <w:ilvl w:val="1"/>
        <w:numId w:val="5"/>
      </w:numPr>
      <w:spacing w:before="100" w:beforeAutospacing="1" w:after="100" w:afterAutospacing="1" w:line="264" w:lineRule="auto"/>
      <w:contextualSpacing/>
    </w:pPr>
    <w:rPr>
      <w:rFonts w:ascii="Arial" w:eastAsia="Arial" w:hAnsi="Arial" w:cs="Times New Roman"/>
    </w:rPr>
  </w:style>
  <w:style w:type="paragraph" w:styleId="ListBullet3">
    <w:name w:val="List Bullet 3"/>
    <w:basedOn w:val="BodyText"/>
    <w:uiPriority w:val="2"/>
    <w:qFormat/>
    <w:rsid w:val="00353459"/>
    <w:pPr>
      <w:numPr>
        <w:ilvl w:val="2"/>
        <w:numId w:val="5"/>
      </w:numPr>
      <w:spacing w:before="100" w:beforeAutospacing="1" w:after="100" w:afterAutospacing="1" w:line="264" w:lineRule="auto"/>
      <w:contextualSpacing/>
    </w:pPr>
    <w:rPr>
      <w:rFonts w:ascii="Arial" w:eastAsia="Arial" w:hAnsi="Arial" w:cs="Times New Roman"/>
    </w:rPr>
  </w:style>
  <w:style w:type="numbering" w:customStyle="1" w:styleId="ListBullets">
    <w:name w:val="ListBullets"/>
    <w:uiPriority w:val="99"/>
    <w:rsid w:val="00353459"/>
    <w:pPr>
      <w:numPr>
        <w:numId w:val="4"/>
      </w:numPr>
    </w:pPr>
  </w:style>
  <w:style w:type="character" w:styleId="Emphasis">
    <w:name w:val="Emphasis"/>
    <w:basedOn w:val="DefaultParagraphFont"/>
    <w:uiPriority w:val="99"/>
    <w:qFormat/>
    <w:rsid w:val="00DA3529"/>
    <w:rPr>
      <w:i/>
      <w:iCs/>
    </w:rPr>
  </w:style>
  <w:style w:type="character" w:customStyle="1" w:styleId="hvr">
    <w:name w:val="hvr"/>
    <w:basedOn w:val="DefaultParagraphFont"/>
    <w:rsid w:val="00DA3529"/>
  </w:style>
  <w:style w:type="paragraph" w:styleId="NoSpacing">
    <w:name w:val="No Spacing"/>
    <w:uiPriority w:val="99"/>
    <w:qFormat/>
    <w:rsid w:val="00AC362E"/>
    <w:pPr>
      <w:spacing w:after="0" w:line="240" w:lineRule="auto"/>
    </w:pPr>
  </w:style>
  <w:style w:type="table" w:customStyle="1" w:styleId="ListTable3-Accent31">
    <w:name w:val="List Table 3 - Accent 31"/>
    <w:basedOn w:val="TableNormal"/>
    <w:uiPriority w:val="48"/>
    <w:rsid w:val="00AC362E"/>
    <w:pPr>
      <w:spacing w:after="0" w:line="240" w:lineRule="auto"/>
    </w:pPr>
    <w:tblPr>
      <w:tblStyleRowBandSize w:val="1"/>
      <w:tblStyleColBandSize w:val="1"/>
      <w:tblBorders>
        <w:top w:val="single" w:sz="4" w:space="0" w:color="5F5CB6" w:themeColor="accent3"/>
        <w:left w:val="single" w:sz="4" w:space="0" w:color="5F5CB6" w:themeColor="accent3"/>
        <w:bottom w:val="single" w:sz="4" w:space="0" w:color="5F5CB6" w:themeColor="accent3"/>
        <w:right w:val="single" w:sz="4" w:space="0" w:color="5F5CB6" w:themeColor="accent3"/>
      </w:tblBorders>
    </w:tblPr>
    <w:tblStylePr w:type="firstRow">
      <w:rPr>
        <w:b/>
        <w:bCs/>
        <w:color w:val="FFFFFF" w:themeColor="background1"/>
      </w:rPr>
      <w:tblPr/>
      <w:tcPr>
        <w:shd w:val="clear" w:color="auto" w:fill="5F5CB6" w:themeFill="accent3"/>
      </w:tcPr>
    </w:tblStylePr>
    <w:tblStylePr w:type="lastRow">
      <w:rPr>
        <w:b/>
        <w:bCs/>
      </w:rPr>
      <w:tblPr/>
      <w:tcPr>
        <w:tcBorders>
          <w:top w:val="double" w:sz="4" w:space="0" w:color="5F5CB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CB6" w:themeColor="accent3"/>
          <w:right w:val="single" w:sz="4" w:space="0" w:color="5F5CB6" w:themeColor="accent3"/>
        </w:tcBorders>
      </w:tcPr>
    </w:tblStylePr>
    <w:tblStylePr w:type="band1Horz">
      <w:tblPr/>
      <w:tcPr>
        <w:tcBorders>
          <w:top w:val="single" w:sz="4" w:space="0" w:color="5F5CB6" w:themeColor="accent3"/>
          <w:bottom w:val="single" w:sz="4" w:space="0" w:color="5F5CB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CB6" w:themeColor="accent3"/>
          <w:left w:val="nil"/>
        </w:tcBorders>
      </w:tcPr>
    </w:tblStylePr>
    <w:tblStylePr w:type="swCell">
      <w:tblPr/>
      <w:tcPr>
        <w:tcBorders>
          <w:top w:val="double" w:sz="4" w:space="0" w:color="5F5CB6" w:themeColor="accent3"/>
          <w:right w:val="nil"/>
        </w:tcBorders>
      </w:tcPr>
    </w:tblStylePr>
  </w:style>
  <w:style w:type="numbering" w:customStyle="1" w:styleId="NoList1">
    <w:name w:val="No List1"/>
    <w:next w:val="NoList"/>
    <w:uiPriority w:val="99"/>
    <w:semiHidden/>
    <w:unhideWhenUsed/>
    <w:rsid w:val="00AC362E"/>
  </w:style>
  <w:style w:type="table" w:customStyle="1" w:styleId="TableGrid1">
    <w:name w:val="Table Grid1"/>
    <w:basedOn w:val="TableNormal"/>
    <w:next w:val="TableGrid"/>
    <w:rsid w:val="00AC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AC362E"/>
    <w:rPr>
      <w:rFonts w:cs="Sabon LT Std"/>
      <w:color w:val="000000"/>
      <w:sz w:val="20"/>
      <w:szCs w:val="20"/>
    </w:rPr>
  </w:style>
  <w:style w:type="character" w:customStyle="1" w:styleId="style35">
    <w:name w:val="style35"/>
    <w:basedOn w:val="DefaultParagraphFont"/>
    <w:rsid w:val="00AC362E"/>
  </w:style>
  <w:style w:type="character" w:customStyle="1" w:styleId="A5">
    <w:name w:val="A5"/>
    <w:uiPriority w:val="99"/>
    <w:rsid w:val="00AC362E"/>
    <w:rPr>
      <w:rFonts w:cs="Adobe Garamond Pro"/>
      <w:color w:val="000000"/>
      <w:sz w:val="20"/>
      <w:szCs w:val="20"/>
    </w:rPr>
  </w:style>
  <w:style w:type="paragraph" w:customStyle="1" w:styleId="Pa7">
    <w:name w:val="Pa7"/>
    <w:basedOn w:val="Default"/>
    <w:next w:val="Default"/>
    <w:uiPriority w:val="99"/>
    <w:rsid w:val="00AC362E"/>
    <w:pPr>
      <w:spacing w:line="241" w:lineRule="atLeast"/>
    </w:pPr>
    <w:rPr>
      <w:rFonts w:ascii="Adobe Garamond Pro" w:hAnsi="Adobe Garamond Pro" w:cstheme="minorBidi"/>
      <w:color w:val="auto"/>
    </w:rPr>
  </w:style>
  <w:style w:type="character" w:customStyle="1" w:styleId="A3">
    <w:name w:val="A3"/>
    <w:uiPriority w:val="99"/>
    <w:rsid w:val="00AC362E"/>
    <w:rPr>
      <w:rFonts w:cs="Adobe Garamond Pro"/>
      <w:color w:val="000000"/>
      <w:sz w:val="22"/>
      <w:szCs w:val="22"/>
    </w:rPr>
  </w:style>
  <w:style w:type="paragraph" w:customStyle="1" w:styleId="Pa1">
    <w:name w:val="Pa1"/>
    <w:basedOn w:val="Default"/>
    <w:next w:val="Default"/>
    <w:uiPriority w:val="99"/>
    <w:rsid w:val="00AC362E"/>
    <w:pPr>
      <w:spacing w:line="241" w:lineRule="atLeast"/>
    </w:pPr>
    <w:rPr>
      <w:rFonts w:ascii="Adobe Garamond Pro" w:hAnsi="Adobe Garamond Pro" w:cstheme="minorBidi"/>
      <w:color w:val="auto"/>
    </w:rPr>
  </w:style>
  <w:style w:type="character" w:customStyle="1" w:styleId="updated-short-citation1">
    <w:name w:val="updated-short-citation1"/>
    <w:rsid w:val="00AC362E"/>
    <w:rPr>
      <w:i w:val="0"/>
      <w:iCs w:val="0"/>
    </w:rPr>
  </w:style>
  <w:style w:type="character" w:customStyle="1" w:styleId="refauth2">
    <w:name w:val="refauth2"/>
    <w:basedOn w:val="DefaultParagraphFont"/>
    <w:rsid w:val="00AC362E"/>
    <w:rPr>
      <w:b/>
      <w:bCs/>
      <w:color w:val="111188"/>
    </w:rPr>
  </w:style>
  <w:style w:type="character" w:customStyle="1" w:styleId="refyear1">
    <w:name w:val="refyear1"/>
    <w:basedOn w:val="DefaultParagraphFont"/>
    <w:rsid w:val="00AC362E"/>
    <w:rPr>
      <w:color w:val="881111"/>
    </w:rPr>
  </w:style>
  <w:style w:type="character" w:customStyle="1" w:styleId="refsource1">
    <w:name w:val="refsource1"/>
    <w:basedOn w:val="DefaultParagraphFont"/>
    <w:rsid w:val="00AC362E"/>
    <w:rPr>
      <w:i/>
      <w:iCs/>
    </w:rPr>
  </w:style>
  <w:style w:type="paragraph" w:styleId="PlainText">
    <w:name w:val="Plain Text"/>
    <w:aliases w:val="Char"/>
    <w:basedOn w:val="Normal"/>
    <w:link w:val="PlainTextChar"/>
    <w:uiPriority w:val="99"/>
    <w:unhideWhenUsed/>
    <w:rsid w:val="00AC362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PlainTextChar">
    <w:name w:val="Plain Text Char"/>
    <w:aliases w:val="Char Char"/>
    <w:basedOn w:val="DefaultParagraphFont"/>
    <w:link w:val="PlainText"/>
    <w:uiPriority w:val="99"/>
    <w:rsid w:val="00AC362E"/>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99"/>
    <w:qFormat/>
    <w:rsid w:val="00AC362E"/>
    <w:pPr>
      <w:pBdr>
        <w:bottom w:val="single" w:sz="8" w:space="4" w:color="6CCE7D" w:themeColor="accent1"/>
      </w:pBdr>
      <w:spacing w:after="300"/>
      <w:contextualSpacing/>
    </w:pPr>
    <w:rPr>
      <w:rFonts w:asciiTheme="majorHAnsi" w:eastAsiaTheme="majorEastAsia" w:hAnsiTheme="majorHAnsi" w:cstheme="majorBidi"/>
      <w:color w:val="AF5206" w:themeColor="text2" w:themeShade="BF"/>
      <w:spacing w:val="5"/>
      <w:kern w:val="28"/>
      <w:sz w:val="52"/>
      <w:szCs w:val="52"/>
    </w:rPr>
  </w:style>
  <w:style w:type="character" w:customStyle="1" w:styleId="TitleChar">
    <w:name w:val="Title Char"/>
    <w:basedOn w:val="DefaultParagraphFont"/>
    <w:link w:val="Title"/>
    <w:uiPriority w:val="99"/>
    <w:rsid w:val="00AC362E"/>
    <w:rPr>
      <w:rFonts w:asciiTheme="majorHAnsi" w:eastAsiaTheme="majorEastAsia" w:hAnsiTheme="majorHAnsi" w:cstheme="majorBidi"/>
      <w:color w:val="AF5206" w:themeColor="text2" w:themeShade="BF"/>
      <w:spacing w:val="5"/>
      <w:kern w:val="28"/>
      <w:sz w:val="52"/>
      <w:szCs w:val="52"/>
    </w:rPr>
  </w:style>
  <w:style w:type="paragraph" w:styleId="Subtitle">
    <w:name w:val="Subtitle"/>
    <w:basedOn w:val="Normal"/>
    <w:next w:val="Normal"/>
    <w:link w:val="SubtitleChar"/>
    <w:uiPriority w:val="99"/>
    <w:qFormat/>
    <w:rsid w:val="00AC362E"/>
    <w:pPr>
      <w:numPr>
        <w:ilvl w:val="1"/>
      </w:numPr>
      <w:spacing w:line="276" w:lineRule="auto"/>
    </w:pPr>
    <w:rPr>
      <w:rFonts w:asciiTheme="majorHAnsi" w:eastAsiaTheme="majorEastAsia" w:hAnsiTheme="majorHAnsi" w:cstheme="majorBidi"/>
      <w:i/>
      <w:iCs/>
      <w:color w:val="6CCE7D" w:themeColor="accent1"/>
      <w:spacing w:val="15"/>
      <w:sz w:val="24"/>
      <w:szCs w:val="24"/>
    </w:rPr>
  </w:style>
  <w:style w:type="character" w:customStyle="1" w:styleId="SubtitleChar">
    <w:name w:val="Subtitle Char"/>
    <w:basedOn w:val="DefaultParagraphFont"/>
    <w:link w:val="Subtitle"/>
    <w:uiPriority w:val="99"/>
    <w:rsid w:val="00AC362E"/>
    <w:rPr>
      <w:rFonts w:asciiTheme="majorHAnsi" w:eastAsiaTheme="majorEastAsia" w:hAnsiTheme="majorHAnsi" w:cstheme="majorBidi"/>
      <w:i/>
      <w:iCs/>
      <w:color w:val="6CCE7D" w:themeColor="accent1"/>
      <w:spacing w:val="15"/>
      <w:sz w:val="24"/>
      <w:szCs w:val="24"/>
    </w:rPr>
  </w:style>
  <w:style w:type="table" w:styleId="MediumGrid1-Accent5">
    <w:name w:val="Medium Grid 1 Accent 5"/>
    <w:basedOn w:val="TableNormal"/>
    <w:uiPriority w:val="67"/>
    <w:rsid w:val="00AC362E"/>
    <w:pPr>
      <w:spacing w:after="0" w:line="240" w:lineRule="auto"/>
    </w:pPr>
    <w:tblPr>
      <w:tblStyleRowBandSize w:val="1"/>
      <w:tblStyleColBandSize w:val="1"/>
      <w:tbl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single" w:sz="8" w:space="0" w:color="CAD7DF" w:themeColor="accent5" w:themeTint="BF"/>
        <w:insideV w:val="single" w:sz="8" w:space="0" w:color="CAD7DF" w:themeColor="accent5" w:themeTint="BF"/>
      </w:tblBorders>
    </w:tblPr>
    <w:tcPr>
      <w:shd w:val="clear" w:color="auto" w:fill="EDF1F4" w:themeFill="accent5" w:themeFillTint="3F"/>
    </w:tcPr>
    <w:tblStylePr w:type="firstRow">
      <w:rPr>
        <w:b/>
        <w:bCs/>
      </w:rPr>
    </w:tblStylePr>
    <w:tblStylePr w:type="lastRow">
      <w:rPr>
        <w:b/>
        <w:bCs/>
      </w:rPr>
      <w:tblPr/>
      <w:tcPr>
        <w:tcBorders>
          <w:top w:val="single" w:sz="18" w:space="0" w:color="CAD7DF" w:themeColor="accent5" w:themeTint="BF"/>
        </w:tcBorders>
      </w:tcPr>
    </w:tblStylePr>
    <w:tblStylePr w:type="firstCol">
      <w:rPr>
        <w:b/>
        <w:bCs/>
      </w:rPr>
    </w:tblStylePr>
    <w:tblStylePr w:type="lastCol">
      <w:rPr>
        <w:b/>
        <w:bCs/>
      </w:rPr>
    </w:tblStylePr>
    <w:tblStylePr w:type="band1Vert">
      <w:tblPr/>
      <w:tcPr>
        <w:shd w:val="clear" w:color="auto" w:fill="DCE4EA" w:themeFill="accent5" w:themeFillTint="7F"/>
      </w:tcPr>
    </w:tblStylePr>
    <w:tblStylePr w:type="band1Horz">
      <w:tblPr/>
      <w:tcPr>
        <w:shd w:val="clear" w:color="auto" w:fill="DCE4EA" w:themeFill="accent5" w:themeFillTint="7F"/>
      </w:tcPr>
    </w:tblStylePr>
  </w:style>
  <w:style w:type="table" w:styleId="MediumGrid2-Accent1">
    <w:name w:val="Medium Grid 2 Accent 1"/>
    <w:basedOn w:val="TableNormal"/>
    <w:uiPriority w:val="68"/>
    <w:rsid w:val="00AC362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CCE7D" w:themeColor="accent1"/>
        <w:left w:val="single" w:sz="8" w:space="0" w:color="6CCE7D" w:themeColor="accent1"/>
        <w:bottom w:val="single" w:sz="8" w:space="0" w:color="6CCE7D" w:themeColor="accent1"/>
        <w:right w:val="single" w:sz="8" w:space="0" w:color="6CCE7D" w:themeColor="accent1"/>
        <w:insideH w:val="single" w:sz="8" w:space="0" w:color="6CCE7D" w:themeColor="accent1"/>
        <w:insideV w:val="single" w:sz="8" w:space="0" w:color="6CCE7D" w:themeColor="accent1"/>
      </w:tblBorders>
    </w:tblPr>
    <w:tcPr>
      <w:shd w:val="clear" w:color="auto" w:fill="DAF2DE" w:themeFill="accent1" w:themeFillTint="3F"/>
    </w:tcPr>
    <w:tblStylePr w:type="firstRow">
      <w:rPr>
        <w:b/>
        <w:bCs/>
        <w:color w:val="000000" w:themeColor="text1"/>
      </w:rPr>
      <w:tblPr/>
      <w:tcPr>
        <w:shd w:val="clear" w:color="auto" w:fill="F0F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5E4" w:themeFill="accent1" w:themeFillTint="33"/>
      </w:tcPr>
    </w:tblStylePr>
    <w:tblStylePr w:type="band1Vert">
      <w:tblPr/>
      <w:tcPr>
        <w:shd w:val="clear" w:color="auto" w:fill="B5E6BE" w:themeFill="accent1" w:themeFillTint="7F"/>
      </w:tcPr>
    </w:tblStylePr>
    <w:tblStylePr w:type="band1Horz">
      <w:tblPr/>
      <w:tcPr>
        <w:tcBorders>
          <w:insideH w:val="single" w:sz="6" w:space="0" w:color="6CCE7D" w:themeColor="accent1"/>
          <w:insideV w:val="single" w:sz="6" w:space="0" w:color="6CCE7D" w:themeColor="accent1"/>
        </w:tcBorders>
        <w:shd w:val="clear" w:color="auto" w:fill="B5E6BE" w:themeFill="accent1"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AC36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9C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9C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9C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9C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E4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E4EA" w:themeFill="accent5" w:themeFillTint="7F"/>
      </w:tcPr>
    </w:tblStylePr>
  </w:style>
  <w:style w:type="table" w:styleId="MediumShading1-Accent5">
    <w:name w:val="Medium Shading 1 Accent 5"/>
    <w:basedOn w:val="TableNormal"/>
    <w:uiPriority w:val="63"/>
    <w:rsid w:val="00AC362E"/>
    <w:pPr>
      <w:spacing w:after="0" w:line="240" w:lineRule="auto"/>
    </w:pPr>
    <w:tblPr>
      <w:tblStyleRowBandSize w:val="1"/>
      <w:tblStyleColBandSize w:val="1"/>
      <w:tbl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single" w:sz="8" w:space="0" w:color="CAD7DF" w:themeColor="accent5" w:themeTint="BF"/>
      </w:tblBorders>
    </w:tblPr>
    <w:tblStylePr w:type="firstRow">
      <w:pPr>
        <w:spacing w:before="0" w:after="0" w:line="240" w:lineRule="auto"/>
      </w:pPr>
      <w:rPr>
        <w:b/>
        <w:bCs/>
        <w:color w:val="FFFFFF" w:themeColor="background1"/>
      </w:rPr>
      <w:tblPr/>
      <w:tcPr>
        <w:tc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nil"/>
          <w:insideV w:val="nil"/>
        </w:tcBorders>
        <w:shd w:val="clear" w:color="auto" w:fill="B9CBD5" w:themeFill="accent5"/>
      </w:tcPr>
    </w:tblStylePr>
    <w:tblStylePr w:type="lastRow">
      <w:pPr>
        <w:spacing w:before="0" w:after="0" w:line="240" w:lineRule="auto"/>
      </w:pPr>
      <w:rPr>
        <w:b/>
        <w:bCs/>
      </w:rPr>
      <w:tblPr/>
      <w:tcPr>
        <w:tcBorders>
          <w:top w:val="double" w:sz="6"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F1F4" w:themeFill="accent5" w:themeFillTint="3F"/>
      </w:tcPr>
    </w:tblStylePr>
    <w:tblStylePr w:type="band1Horz">
      <w:tblPr/>
      <w:tcPr>
        <w:tcBorders>
          <w:insideH w:val="nil"/>
          <w:insideV w:val="nil"/>
        </w:tcBorders>
        <w:shd w:val="clear" w:color="auto" w:fill="EDF1F4" w:themeFill="accent5" w:themeFillTint="3F"/>
      </w:tcPr>
    </w:tblStylePr>
    <w:tblStylePr w:type="band2Horz">
      <w:tblPr/>
      <w:tcPr>
        <w:tcBorders>
          <w:insideH w:val="nil"/>
          <w:insideV w:val="nil"/>
        </w:tcBorders>
      </w:tcPr>
    </w:tblStylePr>
  </w:style>
  <w:style w:type="paragraph" w:customStyle="1" w:styleId="author1">
    <w:name w:val="author1"/>
    <w:basedOn w:val="Normal"/>
    <w:rsid w:val="00AC362E"/>
    <w:pPr>
      <w:spacing w:after="0" w:line="270" w:lineRule="atLeast"/>
    </w:pPr>
    <w:rPr>
      <w:rFonts w:ascii="Arial" w:eastAsia="Times New Roman" w:hAnsi="Arial" w:cs="Arial"/>
      <w:i/>
      <w:iCs/>
      <w:color w:val="000000"/>
      <w:sz w:val="18"/>
      <w:szCs w:val="18"/>
      <w:lang w:eastAsia="en-AU"/>
    </w:rPr>
  </w:style>
  <w:style w:type="table" w:customStyle="1" w:styleId="TableGrid2">
    <w:name w:val="Table Grid2"/>
    <w:basedOn w:val="TableNormal"/>
    <w:next w:val="TableGrid"/>
    <w:uiPriority w:val="59"/>
    <w:rsid w:val="00AC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style">
    <w:name w:val="PG style"/>
    <w:basedOn w:val="Normal"/>
    <w:rsid w:val="00221671"/>
    <w:pPr>
      <w:numPr>
        <w:ilvl w:val="1"/>
        <w:numId w:val="26"/>
      </w:numPr>
      <w:spacing w:after="0"/>
    </w:pPr>
    <w:rPr>
      <w:rFonts w:ascii="Arial" w:eastAsiaTheme="minorEastAsia" w:hAnsi="Arial" w:cs="Arial"/>
      <w:szCs w:val="24"/>
    </w:rPr>
  </w:style>
  <w:style w:type="paragraph" w:customStyle="1" w:styleId="tablelist">
    <w:name w:val="table list"/>
    <w:basedOn w:val="Normal"/>
    <w:rsid w:val="00221671"/>
    <w:pPr>
      <w:numPr>
        <w:numId w:val="27"/>
      </w:numPr>
      <w:spacing w:after="0"/>
    </w:pPr>
    <w:rPr>
      <w:rFonts w:ascii="Arial" w:eastAsia="Cambria" w:hAnsi="Arial" w:cs="Times New Roman"/>
      <w:sz w:val="14"/>
      <w:szCs w:val="24"/>
      <w:lang w:val="en-US"/>
    </w:rPr>
  </w:style>
  <w:style w:type="paragraph" w:customStyle="1" w:styleId="tablebullets">
    <w:name w:val="table bullets"/>
    <w:next w:val="BalloonText"/>
    <w:qFormat/>
    <w:rsid w:val="00221671"/>
    <w:pPr>
      <w:spacing w:after="0" w:line="240" w:lineRule="auto"/>
      <w:ind w:left="142" w:hanging="142"/>
    </w:pPr>
    <w:rPr>
      <w:rFonts w:asciiTheme="majorHAnsi" w:eastAsia="Times New Roman" w:hAnsiTheme="majorHAnsi" w:cs="Times New Roman"/>
      <w:sz w:val="16"/>
      <w:szCs w:val="16"/>
      <w:lang w:val="en-US"/>
    </w:rPr>
  </w:style>
  <w:style w:type="paragraph" w:customStyle="1" w:styleId="aaCalibri8">
    <w:name w:val="aa_Calibri 8"/>
    <w:qFormat/>
    <w:rsid w:val="00221671"/>
    <w:pPr>
      <w:spacing w:after="0" w:line="240" w:lineRule="auto"/>
    </w:pPr>
    <w:rPr>
      <w:rFonts w:asciiTheme="majorHAnsi" w:eastAsia="Times New Roman" w:hAnsiTheme="majorHAnsi" w:cs="Times New Roman"/>
      <w:sz w:val="16"/>
      <w:szCs w:val="16"/>
      <w:lang w:val="en-US"/>
    </w:rPr>
  </w:style>
  <w:style w:type="character" w:styleId="PageNumber">
    <w:name w:val="page number"/>
    <w:basedOn w:val="DefaultParagraphFont"/>
    <w:uiPriority w:val="99"/>
    <w:semiHidden/>
    <w:unhideWhenUsed/>
    <w:rsid w:val="00221671"/>
  </w:style>
  <w:style w:type="table" w:styleId="ColorfulGrid-Accent1">
    <w:name w:val="Colorful Grid Accent 1"/>
    <w:basedOn w:val="TableNormal"/>
    <w:uiPriority w:val="73"/>
    <w:rsid w:val="00221671"/>
    <w:pPr>
      <w:spacing w:after="0" w:line="240" w:lineRule="auto"/>
    </w:pPr>
    <w:rPr>
      <w:rFonts w:ascii="Times New Roman" w:eastAsiaTheme="minorEastAsia" w:hAnsi="Times New Roman" w:cs="Times New Roman"/>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E1F5E4" w:themeFill="accent1" w:themeFillTint="33"/>
    </w:tcPr>
    <w:tblStylePr w:type="firstRow">
      <w:rPr>
        <w:b/>
        <w:bCs/>
      </w:rPr>
      <w:tblPr/>
      <w:tcPr>
        <w:shd w:val="clear" w:color="auto" w:fill="C4EBCA" w:themeFill="accent1" w:themeFillTint="66"/>
      </w:tcPr>
    </w:tblStylePr>
    <w:tblStylePr w:type="lastRow">
      <w:rPr>
        <w:b/>
        <w:bCs/>
        <w:color w:val="000000" w:themeColor="text1"/>
      </w:rPr>
      <w:tblPr/>
      <w:tcPr>
        <w:shd w:val="clear" w:color="auto" w:fill="C4EBCA" w:themeFill="accent1" w:themeFillTint="66"/>
      </w:tcPr>
    </w:tblStylePr>
    <w:tblStylePr w:type="firstCol">
      <w:rPr>
        <w:color w:val="FFFFFF" w:themeColor="background1"/>
      </w:rPr>
      <w:tblPr/>
      <w:tcPr>
        <w:shd w:val="clear" w:color="auto" w:fill="3AB04F" w:themeFill="accent1" w:themeFillShade="BF"/>
      </w:tcPr>
    </w:tblStylePr>
    <w:tblStylePr w:type="lastCol">
      <w:rPr>
        <w:color w:val="FFFFFF" w:themeColor="background1"/>
      </w:rPr>
      <w:tblPr/>
      <w:tcPr>
        <w:shd w:val="clear" w:color="auto" w:fill="3AB04F" w:themeFill="accent1" w:themeFillShade="BF"/>
      </w:tcPr>
    </w:tblStylePr>
    <w:tblStylePr w:type="band1Vert">
      <w:tblPr/>
      <w:tcPr>
        <w:shd w:val="clear" w:color="auto" w:fill="B5E6BE" w:themeFill="accent1" w:themeFillTint="7F"/>
      </w:tcPr>
    </w:tblStylePr>
    <w:tblStylePr w:type="band1Horz">
      <w:tblPr/>
      <w:tcPr>
        <w:shd w:val="clear" w:color="auto" w:fill="B5E6BE" w:themeFill="accent1" w:themeFillTint="7F"/>
      </w:tcPr>
    </w:tblStylePr>
  </w:style>
  <w:style w:type="table" w:styleId="MediumShading2-Accent1">
    <w:name w:val="Medium Shading 2 Accent 1"/>
    <w:basedOn w:val="TableNormal"/>
    <w:uiPriority w:val="64"/>
    <w:rsid w:val="00221671"/>
    <w:pPr>
      <w:spacing w:after="0" w:line="240" w:lineRule="auto"/>
    </w:pPr>
    <w:rPr>
      <w:rFonts w:ascii="Times New Roman" w:eastAsiaTheme="minorEastAsia" w:hAnsi="Times New Roman" w:cs="Times New Roman"/>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CE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CE7D" w:themeFill="accent1"/>
      </w:tcPr>
    </w:tblStylePr>
    <w:tblStylePr w:type="lastCol">
      <w:rPr>
        <w:b/>
        <w:bCs/>
        <w:color w:val="FFFFFF" w:themeColor="background1"/>
      </w:rPr>
      <w:tblPr/>
      <w:tcPr>
        <w:tcBorders>
          <w:left w:val="nil"/>
          <w:right w:val="nil"/>
          <w:insideH w:val="nil"/>
          <w:insideV w:val="nil"/>
        </w:tcBorders>
        <w:shd w:val="clear" w:color="auto" w:fill="6CCE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221671"/>
    <w:pPr>
      <w:spacing w:after="0" w:line="240" w:lineRule="auto"/>
    </w:pPr>
    <w:rPr>
      <w:rFonts w:ascii="Times New Roman" w:eastAsiaTheme="minorEastAsia" w:hAnsi="Times New Roman" w:cs="Times New Roman"/>
      <w:color w:val="3AB04F" w:themeColor="accent1" w:themeShade="BF"/>
      <w:sz w:val="20"/>
      <w:szCs w:val="20"/>
      <w:lang w:val="en-US" w:eastAsia="ja-JP"/>
    </w:rPr>
    <w:tblPr>
      <w:tblStyleRowBandSize w:val="1"/>
      <w:tblStyleColBandSize w:val="1"/>
      <w:tblBorders>
        <w:top w:val="single" w:sz="8" w:space="0" w:color="6CCE7D" w:themeColor="accent1"/>
        <w:bottom w:val="single" w:sz="8" w:space="0" w:color="6CCE7D" w:themeColor="accent1"/>
      </w:tblBorders>
    </w:tblPr>
    <w:tblStylePr w:type="firstRow">
      <w:pPr>
        <w:spacing w:before="0" w:after="0" w:line="240" w:lineRule="auto"/>
      </w:pPr>
      <w:rPr>
        <w:b/>
        <w:bCs/>
      </w:rPr>
      <w:tblPr/>
      <w:tcPr>
        <w:tcBorders>
          <w:top w:val="single" w:sz="8" w:space="0" w:color="6CCE7D" w:themeColor="accent1"/>
          <w:left w:val="nil"/>
          <w:bottom w:val="single" w:sz="8" w:space="0" w:color="6CCE7D" w:themeColor="accent1"/>
          <w:right w:val="nil"/>
          <w:insideH w:val="nil"/>
          <w:insideV w:val="nil"/>
        </w:tcBorders>
      </w:tcPr>
    </w:tblStylePr>
    <w:tblStylePr w:type="lastRow">
      <w:pPr>
        <w:spacing w:before="0" w:after="0" w:line="240" w:lineRule="auto"/>
      </w:pPr>
      <w:rPr>
        <w:b/>
        <w:bCs/>
      </w:rPr>
      <w:tblPr/>
      <w:tcPr>
        <w:tcBorders>
          <w:top w:val="single" w:sz="8" w:space="0" w:color="6CCE7D" w:themeColor="accent1"/>
          <w:left w:val="nil"/>
          <w:bottom w:val="single" w:sz="8" w:space="0" w:color="6CCE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2DE" w:themeFill="accent1" w:themeFillTint="3F"/>
      </w:tcPr>
    </w:tblStylePr>
    <w:tblStylePr w:type="band1Horz">
      <w:tblPr/>
      <w:tcPr>
        <w:tcBorders>
          <w:left w:val="nil"/>
          <w:right w:val="nil"/>
          <w:insideH w:val="nil"/>
          <w:insideV w:val="nil"/>
        </w:tcBorders>
        <w:shd w:val="clear" w:color="auto" w:fill="DAF2DE" w:themeFill="accent1" w:themeFillTint="3F"/>
      </w:tcPr>
    </w:tblStylePr>
  </w:style>
  <w:style w:type="paragraph" w:customStyle="1" w:styleId="normalnormalheading1">
    <w:name w:val="normal normal heading 1"/>
    <w:basedOn w:val="ListParagraph"/>
    <w:qFormat/>
    <w:rsid w:val="00221671"/>
    <w:pPr>
      <w:numPr>
        <w:numId w:val="28"/>
      </w:numPr>
      <w:spacing w:before="0" w:beforeAutospacing="0" w:after="120" w:afterAutospacing="0"/>
      <w:ind w:left="993" w:hanging="284"/>
      <w:contextualSpacing w:val="0"/>
      <w:jc w:val="both"/>
    </w:pPr>
    <w:rPr>
      <w:rFonts w:ascii="Arial" w:eastAsiaTheme="minorEastAsia" w:hAnsi="Arial" w:cs="Arial"/>
      <w:sz w:val="22"/>
    </w:rPr>
  </w:style>
  <w:style w:type="paragraph" w:customStyle="1" w:styleId="Address">
    <w:name w:val="Address"/>
    <w:link w:val="AddressChar"/>
    <w:uiPriority w:val="99"/>
    <w:semiHidden/>
    <w:rsid w:val="007E04A6"/>
    <w:pPr>
      <w:spacing w:line="210" w:lineRule="exact"/>
    </w:pPr>
    <w:rPr>
      <w:rFonts w:ascii="Arial" w:hAnsi="Arial" w:cs="Arial"/>
      <w:sz w:val="18"/>
      <w:szCs w:val="18"/>
    </w:rPr>
  </w:style>
  <w:style w:type="character" w:customStyle="1" w:styleId="AddressChar">
    <w:name w:val="Address Char"/>
    <w:basedOn w:val="DefaultParagraphFont"/>
    <w:link w:val="Address"/>
    <w:uiPriority w:val="99"/>
    <w:semiHidden/>
    <w:rsid w:val="007E04A6"/>
    <w:rPr>
      <w:rFonts w:ascii="Arial" w:hAnsi="Arial" w:cs="Arial"/>
      <w:sz w:val="18"/>
      <w:szCs w:val="18"/>
    </w:rPr>
  </w:style>
  <w:style w:type="paragraph" w:customStyle="1" w:styleId="Company">
    <w:name w:val="Company"/>
    <w:link w:val="CompanyChar"/>
    <w:uiPriority w:val="99"/>
    <w:semiHidden/>
    <w:rsid w:val="007E04A6"/>
    <w:pPr>
      <w:spacing w:line="240" w:lineRule="auto"/>
    </w:pPr>
    <w:rPr>
      <w:rFonts w:ascii="Arial" w:hAnsi="Arial" w:cs="Arial"/>
      <w:b/>
      <w:sz w:val="18"/>
      <w:szCs w:val="18"/>
    </w:rPr>
  </w:style>
  <w:style w:type="character" w:customStyle="1" w:styleId="CompanyChar">
    <w:name w:val="Company Char"/>
    <w:basedOn w:val="AddressChar"/>
    <w:link w:val="Company"/>
    <w:uiPriority w:val="99"/>
    <w:semiHidden/>
    <w:rsid w:val="007E04A6"/>
    <w:rPr>
      <w:rFonts w:ascii="Arial" w:hAnsi="Arial" w:cs="Arial"/>
      <w:b/>
      <w:sz w:val="18"/>
      <w:szCs w:val="18"/>
    </w:rPr>
  </w:style>
  <w:style w:type="paragraph" w:customStyle="1" w:styleId="Name">
    <w:name w:val="Name"/>
    <w:uiPriority w:val="99"/>
    <w:semiHidden/>
    <w:rsid w:val="007E04A6"/>
    <w:pPr>
      <w:spacing w:line="240" w:lineRule="exact"/>
    </w:pPr>
    <w:rPr>
      <w:rFonts w:ascii="Arial" w:hAnsi="Arial" w:cs="Arial"/>
      <w:b/>
      <w:sz w:val="18"/>
      <w:szCs w:val="18"/>
    </w:rPr>
  </w:style>
  <w:style w:type="paragraph" w:customStyle="1" w:styleId="FeatureText">
    <w:name w:val="Feature Text"/>
    <w:uiPriority w:val="99"/>
    <w:semiHidden/>
    <w:rsid w:val="007E04A6"/>
    <w:pPr>
      <w:spacing w:line="600" w:lineRule="exact"/>
    </w:pPr>
    <w:rPr>
      <w:rFonts w:ascii="Arial" w:hAnsi="Arial"/>
      <w:color w:val="000000"/>
      <w:sz w:val="48"/>
      <w:szCs w:val="48"/>
    </w:rPr>
  </w:style>
  <w:style w:type="paragraph" w:customStyle="1" w:styleId="AppendixHead">
    <w:name w:val="Appendix Head"/>
    <w:uiPriority w:val="99"/>
    <w:semiHidden/>
    <w:rsid w:val="007E04A6"/>
    <w:pPr>
      <w:pageBreakBefore/>
      <w:spacing w:before="5387" w:line="240" w:lineRule="auto"/>
      <w:jc w:val="right"/>
    </w:pPr>
    <w:rPr>
      <w:rFonts w:ascii="Arial" w:hAnsi="Arial"/>
      <w:color w:val="000000"/>
      <w:sz w:val="48"/>
      <w:szCs w:val="48"/>
    </w:rPr>
  </w:style>
  <w:style w:type="paragraph" w:customStyle="1" w:styleId="ReportInfo">
    <w:name w:val="Report Info"/>
    <w:uiPriority w:val="99"/>
    <w:semiHidden/>
    <w:rsid w:val="007E04A6"/>
    <w:pPr>
      <w:spacing w:before="227" w:line="230" w:lineRule="exact"/>
    </w:pPr>
    <w:rPr>
      <w:rFonts w:ascii="Arial" w:hAnsi="Arial"/>
      <w:sz w:val="24"/>
      <w:szCs w:val="24"/>
    </w:rPr>
  </w:style>
  <w:style w:type="paragraph" w:customStyle="1" w:styleId="AppendixTitle">
    <w:name w:val="Appendix Title"/>
    <w:uiPriority w:val="99"/>
    <w:semiHidden/>
    <w:rsid w:val="007E04A6"/>
    <w:pPr>
      <w:spacing w:before="227" w:line="240" w:lineRule="auto"/>
      <w:ind w:left="181" w:hanging="181"/>
      <w:jc w:val="right"/>
    </w:pPr>
    <w:rPr>
      <w:rFonts w:ascii="Arial" w:hAnsi="Arial"/>
      <w:b/>
      <w:sz w:val="24"/>
      <w:szCs w:val="24"/>
    </w:rPr>
  </w:style>
  <w:style w:type="table" w:styleId="MediumShading1">
    <w:name w:val="Medium Shading 1"/>
    <w:basedOn w:val="TableNormal"/>
    <w:uiPriority w:val="63"/>
    <w:rsid w:val="007E04A6"/>
    <w:pPr>
      <w:spacing w:after="0" w:line="240" w:lineRule="auto"/>
    </w:pPr>
    <w:rPr>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2">
    <w:name w:val="Body Bullets 2"/>
    <w:basedOn w:val="Normal"/>
    <w:next w:val="ListBullet"/>
    <w:uiPriority w:val="99"/>
    <w:semiHidden/>
    <w:rsid w:val="007E04A6"/>
    <w:pPr>
      <w:tabs>
        <w:tab w:val="left" w:pos="567"/>
      </w:tabs>
      <w:spacing w:after="0" w:line="264" w:lineRule="auto"/>
      <w:ind w:left="568"/>
    </w:pPr>
    <w:rPr>
      <w:rFonts w:ascii="Arial" w:eastAsia="Arial" w:hAnsi="Arial" w:cs="Times New Roman"/>
    </w:rPr>
  </w:style>
  <w:style w:type="paragraph" w:customStyle="1" w:styleId="BodyBullets3">
    <w:name w:val="Body Bullets 3"/>
    <w:basedOn w:val="Normal"/>
    <w:next w:val="ListBullet"/>
    <w:uiPriority w:val="99"/>
    <w:semiHidden/>
    <w:rsid w:val="007E04A6"/>
    <w:pPr>
      <w:tabs>
        <w:tab w:val="left" w:pos="851"/>
      </w:tabs>
      <w:spacing w:after="0" w:line="264" w:lineRule="auto"/>
      <w:ind w:left="851"/>
    </w:pPr>
    <w:rPr>
      <w:rFonts w:ascii="Arial" w:eastAsia="Arial" w:hAnsi="Arial" w:cs="Times New Roman"/>
    </w:rPr>
  </w:style>
  <w:style w:type="paragraph" w:styleId="TableofFigures">
    <w:name w:val="table of figures"/>
    <w:basedOn w:val="Normal"/>
    <w:next w:val="Normal"/>
    <w:uiPriority w:val="99"/>
    <w:semiHidden/>
    <w:rsid w:val="007E04A6"/>
    <w:pPr>
      <w:keepLines/>
      <w:spacing w:before="60" w:after="60" w:line="264" w:lineRule="auto"/>
      <w:ind w:left="1985" w:hanging="1985"/>
      <w:jc w:val="both"/>
    </w:pPr>
    <w:rPr>
      <w:rFonts w:ascii="Arial" w:eastAsia="Arial" w:hAnsi="Arial" w:cs="Times New Roman"/>
    </w:rPr>
  </w:style>
  <w:style w:type="paragraph" w:customStyle="1" w:styleId="Nameaddress">
    <w:name w:val="Name address"/>
    <w:uiPriority w:val="99"/>
    <w:semiHidden/>
    <w:rsid w:val="007E04A6"/>
    <w:pPr>
      <w:spacing w:line="240" w:lineRule="auto"/>
    </w:pPr>
    <w:rPr>
      <w:rFonts w:ascii="Arial" w:hAnsi="Arial" w:cs="Arial (TT)"/>
      <w:color w:val="000000"/>
      <w:sz w:val="20"/>
      <w:szCs w:val="20"/>
      <w:lang w:val="en-GB"/>
    </w:rPr>
  </w:style>
  <w:style w:type="paragraph" w:customStyle="1" w:styleId="Cc">
    <w:name w:val="Cc"/>
    <w:uiPriority w:val="99"/>
    <w:semiHidden/>
    <w:rsid w:val="007E04A6"/>
    <w:pPr>
      <w:spacing w:before="57" w:after="113" w:line="230" w:lineRule="atLeast"/>
      <w:ind w:left="284" w:hanging="284"/>
    </w:pPr>
    <w:rPr>
      <w:rFonts w:ascii="Arial" w:hAnsi="Arial" w:cs="Arial (TT)"/>
      <w:color w:val="000000"/>
      <w:sz w:val="18"/>
      <w:szCs w:val="18"/>
      <w:lang w:val="en-GB"/>
    </w:rPr>
  </w:style>
  <w:style w:type="paragraph" w:customStyle="1" w:styleId="Attachments">
    <w:name w:val="Attachments"/>
    <w:uiPriority w:val="99"/>
    <w:semiHidden/>
    <w:rsid w:val="007E04A6"/>
    <w:pPr>
      <w:spacing w:before="57" w:after="113" w:line="230" w:lineRule="atLeast"/>
      <w:ind w:left="1276" w:hanging="1276"/>
    </w:pPr>
    <w:rPr>
      <w:rFonts w:ascii="Arial" w:hAnsi="Arial" w:cs="Arial (TT)"/>
      <w:color w:val="000000"/>
      <w:sz w:val="18"/>
      <w:szCs w:val="18"/>
      <w:lang w:val="en-GB"/>
    </w:rPr>
  </w:style>
  <w:style w:type="paragraph" w:customStyle="1" w:styleId="Disclaimer">
    <w:name w:val="Disclaimer"/>
    <w:uiPriority w:val="99"/>
    <w:semiHidden/>
    <w:rsid w:val="007E04A6"/>
    <w:pPr>
      <w:autoSpaceDE w:val="0"/>
      <w:autoSpaceDN w:val="0"/>
      <w:adjustRightInd w:val="0"/>
      <w:spacing w:before="113" w:line="180" w:lineRule="atLeast"/>
      <w:textAlignment w:val="center"/>
    </w:pPr>
    <w:rPr>
      <w:rFonts w:ascii="Arial" w:hAnsi="Arial" w:cs="Arial"/>
      <w:color w:val="000000"/>
      <w:sz w:val="14"/>
      <w:szCs w:val="14"/>
      <w:lang w:val="en-GB"/>
    </w:rPr>
  </w:style>
  <w:style w:type="paragraph" w:customStyle="1" w:styleId="Fax">
    <w:name w:val="Fax"/>
    <w:uiPriority w:val="99"/>
    <w:semiHidden/>
    <w:rsid w:val="007E04A6"/>
    <w:pPr>
      <w:spacing w:before="80" w:after="80" w:line="240" w:lineRule="auto"/>
    </w:pPr>
    <w:rPr>
      <w:rFonts w:ascii="Arial" w:hAnsi="Arial" w:cs="Arial"/>
      <w:b/>
      <w:sz w:val="20"/>
      <w:szCs w:val="20"/>
    </w:rPr>
  </w:style>
  <w:style w:type="paragraph" w:customStyle="1" w:styleId="Info">
    <w:name w:val="Info"/>
    <w:uiPriority w:val="99"/>
    <w:semiHidden/>
    <w:rsid w:val="007E04A6"/>
    <w:pPr>
      <w:spacing w:line="240" w:lineRule="auto"/>
    </w:pPr>
    <w:rPr>
      <w:rFonts w:ascii="Arial" w:hAnsi="Arial" w:cs="Arial (TT)"/>
      <w:color w:val="000000"/>
      <w:sz w:val="14"/>
      <w:szCs w:val="20"/>
    </w:rPr>
  </w:style>
  <w:style w:type="paragraph" w:customStyle="1" w:styleId="Logo">
    <w:name w:val="Logo"/>
    <w:basedOn w:val="Normal"/>
    <w:uiPriority w:val="99"/>
    <w:semiHidden/>
    <w:rsid w:val="007E04A6"/>
    <w:pPr>
      <w:spacing w:after="0" w:line="264" w:lineRule="auto"/>
    </w:pPr>
    <w:rPr>
      <w:rFonts w:ascii="Arial" w:eastAsia="Arial" w:hAnsi="Arial" w:cs="Times New Roman"/>
    </w:rPr>
  </w:style>
  <w:style w:type="paragraph" w:customStyle="1" w:styleId="TableContent">
    <w:name w:val="Table Content"/>
    <w:uiPriority w:val="99"/>
    <w:semiHidden/>
    <w:rsid w:val="007E04A6"/>
    <w:pPr>
      <w:spacing w:line="320" w:lineRule="exact"/>
    </w:pPr>
    <w:rPr>
      <w:rFonts w:ascii="Arial" w:hAnsi="Arial" w:cs="Arial"/>
      <w:b/>
      <w:sz w:val="20"/>
      <w:szCs w:val="20"/>
    </w:rPr>
  </w:style>
  <w:style w:type="paragraph" w:customStyle="1" w:styleId="Tablesubhead">
    <w:name w:val="Table subhead"/>
    <w:uiPriority w:val="99"/>
    <w:semiHidden/>
    <w:rsid w:val="007E04A6"/>
    <w:pPr>
      <w:spacing w:line="320" w:lineRule="exact"/>
    </w:pPr>
    <w:rPr>
      <w:rFonts w:ascii="Arial" w:hAnsi="Arial" w:cs="Arial"/>
      <w:sz w:val="20"/>
      <w:szCs w:val="20"/>
    </w:rPr>
  </w:style>
  <w:style w:type="paragraph" w:styleId="Date">
    <w:name w:val="Date"/>
    <w:basedOn w:val="Normal"/>
    <w:next w:val="Normal"/>
    <w:link w:val="DateChar"/>
    <w:uiPriority w:val="99"/>
    <w:semiHidden/>
    <w:rsid w:val="007E04A6"/>
    <w:pPr>
      <w:spacing w:before="1797" w:after="0" w:line="264" w:lineRule="auto"/>
    </w:pPr>
    <w:rPr>
      <w:rFonts w:ascii="Arial" w:eastAsia="Arial" w:hAnsi="Arial" w:cs="Times New Roman"/>
    </w:rPr>
  </w:style>
  <w:style w:type="character" w:customStyle="1" w:styleId="DateChar">
    <w:name w:val="Date Char"/>
    <w:basedOn w:val="DefaultParagraphFont"/>
    <w:link w:val="Date"/>
    <w:uiPriority w:val="99"/>
    <w:semiHidden/>
    <w:rsid w:val="007E04A6"/>
    <w:rPr>
      <w:rFonts w:ascii="Arial" w:eastAsia="Arial" w:hAnsi="Arial" w:cs="Times New Roman"/>
      <w:sz w:val="20"/>
      <w:szCs w:val="20"/>
    </w:rPr>
  </w:style>
  <w:style w:type="paragraph" w:styleId="Caption">
    <w:name w:val="caption"/>
    <w:basedOn w:val="BodyText"/>
    <w:next w:val="BodyText"/>
    <w:uiPriority w:val="4"/>
    <w:qFormat/>
    <w:rsid w:val="007E04A6"/>
    <w:pPr>
      <w:spacing w:before="100" w:beforeAutospacing="1" w:after="100" w:afterAutospacing="1" w:line="264" w:lineRule="auto"/>
      <w:contextualSpacing/>
    </w:pPr>
    <w:rPr>
      <w:rFonts w:ascii="Arial" w:eastAsia="Arial" w:hAnsi="Arial" w:cs="Times New Roman"/>
      <w:bCs/>
      <w:sz w:val="18"/>
      <w:szCs w:val="18"/>
    </w:rPr>
  </w:style>
  <w:style w:type="numbering" w:customStyle="1" w:styleId="NewBullet">
    <w:name w:val="New Bullet"/>
    <w:uiPriority w:val="99"/>
    <w:rsid w:val="007E04A6"/>
    <w:pPr>
      <w:numPr>
        <w:numId w:val="31"/>
      </w:numPr>
    </w:pPr>
  </w:style>
  <w:style w:type="paragraph" w:styleId="IntenseQuote">
    <w:name w:val="Intense Quote"/>
    <w:basedOn w:val="Normal"/>
    <w:next w:val="Normal"/>
    <w:link w:val="IntenseQuoteChar"/>
    <w:uiPriority w:val="99"/>
    <w:rsid w:val="007E04A6"/>
    <w:pPr>
      <w:pBdr>
        <w:bottom w:val="single" w:sz="4" w:space="4" w:color="6CCE7D" w:themeColor="accent1"/>
      </w:pBdr>
      <w:spacing w:before="200" w:after="280" w:line="264" w:lineRule="auto"/>
      <w:ind w:left="936" w:right="936"/>
    </w:pPr>
    <w:rPr>
      <w:rFonts w:ascii="Arial" w:eastAsia="Arial" w:hAnsi="Arial" w:cs="Times New Roman"/>
      <w:b/>
      <w:bCs/>
      <w:i/>
      <w:iCs/>
      <w:color w:val="6CCE7D" w:themeColor="accent1"/>
    </w:rPr>
  </w:style>
  <w:style w:type="character" w:customStyle="1" w:styleId="IntenseQuoteChar">
    <w:name w:val="Intense Quote Char"/>
    <w:basedOn w:val="DefaultParagraphFont"/>
    <w:link w:val="IntenseQuote"/>
    <w:uiPriority w:val="99"/>
    <w:rsid w:val="007E04A6"/>
    <w:rPr>
      <w:rFonts w:ascii="Arial" w:eastAsia="Arial" w:hAnsi="Arial" w:cs="Times New Roman"/>
      <w:b/>
      <w:bCs/>
      <w:i/>
      <w:iCs/>
      <w:color w:val="6CCE7D" w:themeColor="accent1"/>
      <w:sz w:val="20"/>
      <w:szCs w:val="20"/>
    </w:rPr>
  </w:style>
  <w:style w:type="character" w:styleId="SubtleEmphasis">
    <w:name w:val="Subtle Emphasis"/>
    <w:basedOn w:val="DefaultParagraphFont"/>
    <w:uiPriority w:val="99"/>
    <w:rsid w:val="007E04A6"/>
    <w:rPr>
      <w:i/>
      <w:iCs/>
      <w:color w:val="808080" w:themeColor="text1" w:themeTint="7F"/>
    </w:rPr>
  </w:style>
  <w:style w:type="character" w:styleId="IntenseEmphasis">
    <w:name w:val="Intense Emphasis"/>
    <w:basedOn w:val="DefaultParagraphFont"/>
    <w:uiPriority w:val="99"/>
    <w:rsid w:val="007E04A6"/>
    <w:rPr>
      <w:b/>
      <w:bCs/>
      <w:i/>
      <w:iCs/>
      <w:color w:val="6CCE7D" w:themeColor="accent1"/>
    </w:rPr>
  </w:style>
  <w:style w:type="character" w:styleId="SubtleReference">
    <w:name w:val="Subtle Reference"/>
    <w:basedOn w:val="DefaultParagraphFont"/>
    <w:uiPriority w:val="99"/>
    <w:rsid w:val="007E04A6"/>
    <w:rPr>
      <w:smallCaps/>
      <w:color w:val="04C3D5" w:themeColor="accent2"/>
      <w:u w:val="single"/>
    </w:rPr>
  </w:style>
  <w:style w:type="character" w:styleId="IntenseReference">
    <w:name w:val="Intense Reference"/>
    <w:basedOn w:val="DefaultParagraphFont"/>
    <w:uiPriority w:val="99"/>
    <w:rsid w:val="007E04A6"/>
    <w:rPr>
      <w:b/>
      <w:bCs/>
      <w:smallCaps/>
      <w:color w:val="04C3D5" w:themeColor="accent2"/>
      <w:spacing w:val="5"/>
      <w:u w:val="single"/>
    </w:rPr>
  </w:style>
  <w:style w:type="character" w:styleId="BookTitle">
    <w:name w:val="Book Title"/>
    <w:basedOn w:val="DefaultParagraphFont"/>
    <w:uiPriority w:val="99"/>
    <w:rsid w:val="007E04A6"/>
    <w:rPr>
      <w:b/>
      <w:bCs/>
      <w:smallCaps/>
      <w:spacing w:val="5"/>
    </w:rPr>
  </w:style>
  <w:style w:type="paragraph" w:customStyle="1" w:styleId="TableBullet">
    <w:name w:val="Table Bullet"/>
    <w:basedOn w:val="Normal"/>
    <w:uiPriority w:val="99"/>
    <w:semiHidden/>
    <w:rsid w:val="007E04A6"/>
    <w:pPr>
      <w:numPr>
        <w:numId w:val="32"/>
      </w:numPr>
      <w:spacing w:before="60" w:after="60" w:line="264" w:lineRule="auto"/>
    </w:pPr>
    <w:rPr>
      <w:rFonts w:ascii="Arial" w:eastAsia="Arial" w:hAnsi="Arial" w:cs="Times New Roman"/>
      <w:sz w:val="18"/>
      <w:szCs w:val="14"/>
    </w:rPr>
  </w:style>
  <w:style w:type="paragraph" w:customStyle="1" w:styleId="TableHeading0">
    <w:name w:val="Table Heading"/>
    <w:basedOn w:val="Normal"/>
    <w:uiPriority w:val="2"/>
    <w:qFormat/>
    <w:rsid w:val="007E04A6"/>
    <w:pPr>
      <w:keepNext/>
      <w:keepLines/>
      <w:spacing w:before="240" w:after="120" w:line="264" w:lineRule="auto"/>
      <w:contextualSpacing/>
    </w:pPr>
    <w:rPr>
      <w:rFonts w:ascii="Arial" w:eastAsia="Arial" w:hAnsi="Arial" w:cs="Times New Roman"/>
      <w:b/>
    </w:rPr>
  </w:style>
  <w:style w:type="paragraph" w:customStyle="1" w:styleId="TableText">
    <w:name w:val="Table Text"/>
    <w:basedOn w:val="Normal"/>
    <w:uiPriority w:val="99"/>
    <w:semiHidden/>
    <w:rsid w:val="007E04A6"/>
    <w:pPr>
      <w:spacing w:before="60" w:after="60" w:line="264" w:lineRule="auto"/>
    </w:pPr>
    <w:rPr>
      <w:rFonts w:ascii="Arial" w:eastAsia="Arial" w:hAnsi="Arial" w:cs="Times New Roman"/>
      <w:sz w:val="18"/>
      <w:szCs w:val="14"/>
    </w:rPr>
  </w:style>
  <w:style w:type="paragraph" w:customStyle="1" w:styleId="BigText">
    <w:name w:val="Big Text"/>
    <w:basedOn w:val="BodyText"/>
    <w:uiPriority w:val="3"/>
    <w:qFormat/>
    <w:rsid w:val="007E04A6"/>
  </w:style>
  <w:style w:type="paragraph" w:customStyle="1" w:styleId="Calloutbox">
    <w:name w:val="Call out box"/>
    <w:basedOn w:val="Normal"/>
    <w:next w:val="BodyText"/>
    <w:uiPriority w:val="99"/>
    <w:semiHidden/>
    <w:rsid w:val="007E04A6"/>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spacing w:after="0" w:line="264" w:lineRule="auto"/>
    </w:pPr>
    <w:rPr>
      <w:rFonts w:ascii="Arial" w:eastAsia="Calibri" w:hAnsi="Arial" w:cstheme="minorHAnsi"/>
      <w:b/>
      <w:i/>
    </w:rPr>
  </w:style>
  <w:style w:type="paragraph" w:customStyle="1" w:styleId="SourceText">
    <w:name w:val="Source Text"/>
    <w:basedOn w:val="Normal"/>
    <w:next w:val="BodyText"/>
    <w:uiPriority w:val="3"/>
    <w:qFormat/>
    <w:rsid w:val="007E04A6"/>
    <w:pPr>
      <w:spacing w:before="120" w:after="240" w:line="264" w:lineRule="auto"/>
    </w:pPr>
    <w:rPr>
      <w:rFonts w:ascii="Arial" w:eastAsia="Arial" w:hAnsi="Arial" w:cs="Times New Roman"/>
      <w:sz w:val="18"/>
      <w:szCs w:val="14"/>
    </w:rPr>
  </w:style>
  <w:style w:type="paragraph" w:styleId="ListNumber">
    <w:name w:val="List Number"/>
    <w:basedOn w:val="BodyText"/>
    <w:uiPriority w:val="73"/>
    <w:qFormat/>
    <w:rsid w:val="007E04A6"/>
    <w:pPr>
      <w:numPr>
        <w:numId w:val="35"/>
      </w:numPr>
      <w:spacing w:before="100" w:beforeAutospacing="1" w:after="100" w:afterAutospacing="1" w:line="264" w:lineRule="auto"/>
      <w:contextualSpacing/>
    </w:pPr>
    <w:rPr>
      <w:rFonts w:ascii="Arial" w:eastAsia="Arial" w:hAnsi="Arial" w:cs="Times New Roman"/>
    </w:rPr>
  </w:style>
  <w:style w:type="paragraph" w:customStyle="1" w:styleId="AppendixHeading">
    <w:name w:val="Appendix Heading"/>
    <w:basedOn w:val="BodyText"/>
    <w:next w:val="BodyText"/>
    <w:uiPriority w:val="99"/>
    <w:qFormat/>
    <w:rsid w:val="007E04A6"/>
    <w:pPr>
      <w:numPr>
        <w:ilvl w:val="6"/>
        <w:numId w:val="38"/>
      </w:numPr>
    </w:pPr>
  </w:style>
  <w:style w:type="numbering" w:customStyle="1" w:styleId="Headings">
    <w:name w:val="Headings"/>
    <w:uiPriority w:val="99"/>
    <w:rsid w:val="007E04A6"/>
    <w:pPr>
      <w:numPr>
        <w:numId w:val="38"/>
      </w:numPr>
    </w:pPr>
  </w:style>
  <w:style w:type="numbering" w:customStyle="1" w:styleId="ListNumbers">
    <w:name w:val="ListNumbers"/>
    <w:uiPriority w:val="99"/>
    <w:rsid w:val="007E04A6"/>
    <w:pPr>
      <w:numPr>
        <w:numId w:val="33"/>
      </w:numPr>
    </w:pPr>
  </w:style>
  <w:style w:type="paragraph" w:styleId="ListNumber2">
    <w:name w:val="List Number 2"/>
    <w:basedOn w:val="BodyText"/>
    <w:uiPriority w:val="2"/>
    <w:rsid w:val="007E04A6"/>
    <w:pPr>
      <w:numPr>
        <w:ilvl w:val="1"/>
        <w:numId w:val="35"/>
      </w:numPr>
      <w:spacing w:before="100" w:beforeAutospacing="1" w:after="100" w:afterAutospacing="1" w:line="264" w:lineRule="auto"/>
      <w:contextualSpacing/>
    </w:pPr>
    <w:rPr>
      <w:rFonts w:ascii="Arial" w:eastAsia="Arial" w:hAnsi="Arial" w:cs="Times New Roman"/>
    </w:rPr>
  </w:style>
  <w:style w:type="paragraph" w:styleId="ListNumber3">
    <w:name w:val="List Number 3"/>
    <w:basedOn w:val="BodyText"/>
    <w:uiPriority w:val="2"/>
    <w:rsid w:val="007E04A6"/>
    <w:pPr>
      <w:numPr>
        <w:ilvl w:val="2"/>
        <w:numId w:val="35"/>
      </w:numPr>
      <w:spacing w:before="100" w:beforeAutospacing="1" w:after="100" w:afterAutospacing="1" w:line="264" w:lineRule="auto"/>
      <w:contextualSpacing/>
    </w:pPr>
    <w:rPr>
      <w:rFonts w:ascii="Arial" w:eastAsia="Arial" w:hAnsi="Arial" w:cs="Times New Roman"/>
    </w:rPr>
  </w:style>
  <w:style w:type="table" w:styleId="Table3Deffects1">
    <w:name w:val="Table 3D effects 1"/>
    <w:basedOn w:val="TableNormal"/>
    <w:rsid w:val="007E04A6"/>
    <w:pPr>
      <w:spacing w:line="240" w:lineRule="auto"/>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E04A6"/>
    <w:pPr>
      <w:spacing w:line="240" w:lineRule="auto"/>
    </w:pPr>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7E04A6"/>
    <w:pPr>
      <w:spacing w:after="0" w:line="240" w:lineRule="auto"/>
    </w:pPr>
    <w:rPr>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E04A6"/>
    <w:pPr>
      <w:spacing w:after="0" w:line="240" w:lineRule="auto"/>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2Green">
    <w:name w:val="Coffey Colour 2 (Green)"/>
    <w:basedOn w:val="Coffey"/>
    <w:uiPriority w:val="99"/>
    <w:rsid w:val="007E04A6"/>
    <w:pPr>
      <w:spacing w:after="0"/>
    </w:pPr>
    <w:tblPr>
      <w:tbl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blBorders>
    </w:tblPr>
    <w:tcPr>
      <w:shd w:val="clear" w:color="auto" w:fill="auto"/>
    </w:tcPr>
    <w:tblStylePr w:type="firstRow">
      <w:pPr>
        <w:wordWrap/>
      </w:pPr>
      <w:rPr>
        <w:b/>
        <w:color w:val="FFFFFF" w:themeColor="background1"/>
      </w:rPr>
      <w:tblPr/>
      <w:tcPr>
        <w:tcBorders>
          <w:top w:val="nil"/>
          <w:left w:val="single" w:sz="4" w:space="0" w:color="6CCE7D" w:themeColor="accent1"/>
          <w:bottom w:val="nil"/>
          <w:right w:val="single" w:sz="4" w:space="0" w:color="6CCE7D" w:themeColor="accent1"/>
          <w:insideH w:val="single" w:sz="4" w:space="0" w:color="6CCE7D" w:themeColor="accent1"/>
          <w:insideV w:val="single" w:sz="4" w:space="0" w:color="FFFFFF" w:themeColor="background1"/>
          <w:tl2br w:val="nil"/>
          <w:tr2bl w:val="nil"/>
        </w:tcBorders>
        <w:shd w:val="clear" w:color="auto" w:fill="04C3D5" w:themeFill="accent2"/>
      </w:tcPr>
    </w:tblStylePr>
    <w:tblStylePr w:type="lastRow">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double" w:sz="4" w:space="0" w:color="6CCE7D" w:themeColor="accent1"/>
          <w:insideV w:val="double" w:sz="4" w:space="0" w:color="6CCE7D" w:themeColor="accent1"/>
          <w:tl2br w:val="nil"/>
          <w:tr2bl w:val="nil"/>
        </w:tcBorders>
        <w:shd w:val="clear" w:color="auto" w:fill="auto"/>
      </w:tcPr>
    </w:tblStylePr>
    <w:tblStylePr w:type="firstCol">
      <w:rPr>
        <w:b w:val="0"/>
        <w:i w:val="0"/>
        <w:color w:val="FFFFFF" w:themeColor="background1"/>
      </w:rPr>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04C3D5" w:themeFill="accent2"/>
      </w:tcPr>
    </w:tblStylePr>
    <w:tblStylePr w:type="lastCo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band1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C5F9FE" w:themeFill="accent2" w:themeFillTint="33"/>
      </w:tcPr>
    </w:tblStylePr>
    <w:tblStylePr w:type="band1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C5F9FE" w:themeFill="accent2" w:themeFillTint="33"/>
      </w:tcPr>
    </w:tblStylePr>
    <w:tblStylePr w:type="band2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auto"/>
      </w:tcPr>
    </w:tblStylePr>
    <w:tblStylePr w:type="n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04C3D5" w:themeFill="accent2"/>
      </w:tcPr>
    </w:tblStylePr>
    <w:tblStylePr w:type="nwCell">
      <w:tblPr/>
      <w:tcPr>
        <w:tcBorders>
          <w:top w:val="nil"/>
          <w:left w:val="single" w:sz="4" w:space="0" w:color="6CCE7D" w:themeColor="accent1"/>
          <w:bottom w:val="nil"/>
          <w:right w:val="nil"/>
          <w:insideH w:val="nil"/>
          <w:insideV w:val="nil"/>
          <w:tl2br w:val="nil"/>
          <w:tr2bl w:val="nil"/>
        </w:tcBorders>
        <w:shd w:val="clear" w:color="auto" w:fill="04C3D5" w:themeFill="accent2"/>
      </w:tcPr>
    </w:tblStylePr>
    <w:tblStylePr w:type="s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04C3D5" w:themeFill="accent2"/>
      </w:tcPr>
    </w:tblStylePr>
  </w:style>
  <w:style w:type="table" w:customStyle="1" w:styleId="CoffeyColour3Blue">
    <w:name w:val="Coffey Colour 3 (Blue)"/>
    <w:basedOn w:val="Coffey"/>
    <w:uiPriority w:val="99"/>
    <w:rsid w:val="007E04A6"/>
    <w:pPr>
      <w:spacing w:after="0"/>
    </w:pPr>
    <w:tblPr>
      <w:tbl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blBorders>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5F5CB6" w:themeFill="accent3"/>
      </w:tcPr>
    </w:tblStylePr>
    <w:tblStylePr w:type="lastRow">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double" w:sz="4" w:space="0" w:color="6CCE7D" w:themeColor="accent1"/>
          <w:insideV w:val="double" w:sz="4" w:space="0" w:color="6CCE7D" w:themeColor="accent1"/>
          <w:tl2br w:val="nil"/>
          <w:tr2bl w:val="nil"/>
        </w:tcBorders>
        <w:shd w:val="clear" w:color="auto" w:fill="auto"/>
      </w:tcPr>
    </w:tblStylePr>
    <w:tblStylePr w:type="firstCol">
      <w:rPr>
        <w:b/>
        <w:i w:val="0"/>
        <w:color w:val="FFFFFF" w:themeColor="background1"/>
      </w:rPr>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5F5CB6" w:themeFill="accent3"/>
      </w:tcPr>
    </w:tblStylePr>
    <w:tblStylePr w:type="lastCo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band1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DEDEF0" w:themeFill="accent3" w:themeFillTint="33"/>
      </w:tcPr>
    </w:tblStylePr>
    <w:tblStylePr w:type="band1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DEDEF0" w:themeFill="accent3" w:themeFillTint="33"/>
      </w:tcPr>
    </w:tblStylePr>
    <w:tblStylePr w:type="band2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auto"/>
      </w:tcPr>
    </w:tblStylePr>
    <w:tblStylePr w:type="n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5F5CB6" w:themeFill="accent3"/>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5F5CB6" w:themeFill="accent3"/>
      </w:tcPr>
    </w:tblStylePr>
  </w:style>
  <w:style w:type="table" w:customStyle="1" w:styleId="CoffeyColour4Purple">
    <w:name w:val="Coffey Colour 4 (Purple)"/>
    <w:basedOn w:val="Coffey"/>
    <w:uiPriority w:val="99"/>
    <w:rsid w:val="007E04A6"/>
    <w:pPr>
      <w:spacing w:after="0"/>
    </w:pPr>
    <w:tblPr>
      <w:tbl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blBorders>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EEF0F2" w:themeColor="background2"/>
          <w:tl2br w:val="nil"/>
          <w:tr2bl w:val="nil"/>
        </w:tcBorders>
        <w:shd w:val="clear" w:color="auto" w:fill="C17E9E" w:themeFill="accent4"/>
      </w:tcPr>
    </w:tblStylePr>
    <w:tblStylePr w:type="lastRow">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double" w:sz="4" w:space="0" w:color="6CCE7D" w:themeColor="accent1"/>
          <w:insideV w:val="double" w:sz="4" w:space="0" w:color="6CCE7D" w:themeColor="accent1"/>
          <w:tl2br w:val="nil"/>
          <w:tr2bl w:val="nil"/>
        </w:tcBorders>
        <w:shd w:val="clear" w:color="auto" w:fill="auto"/>
      </w:tcPr>
    </w:tblStylePr>
    <w:tblStylePr w:type="firstCol">
      <w:rPr>
        <w:b w:val="0"/>
        <w:i w:val="0"/>
        <w:color w:val="FFFFFF" w:themeColor="background1"/>
      </w:rPr>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C17E9E" w:themeFill="accent4"/>
      </w:tcPr>
    </w:tblStylePr>
    <w:tblStylePr w:type="lastCo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band1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F2E5EB" w:themeFill="accent4" w:themeFillTint="33"/>
      </w:tcPr>
    </w:tblStylePr>
    <w:tblStylePr w:type="band2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auto"/>
      </w:tcPr>
    </w:tblStylePr>
    <w:tblStylePr w:type="band1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F2E5EB" w:themeFill="accent4" w:themeFillTint="33"/>
      </w:tcPr>
    </w:tblStylePr>
    <w:tblStylePr w:type="band2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auto"/>
      </w:tcPr>
    </w:tblStylePr>
    <w:tblStylePr w:type="n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C17E9E" w:themeFill="accent4"/>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C17E9E" w:themeFill="accent4"/>
      </w:tcPr>
    </w:tblStylePr>
  </w:style>
  <w:style w:type="paragraph" w:customStyle="1" w:styleId="Heading1NoNumbers">
    <w:name w:val="Heading 1 No Numbers"/>
    <w:basedOn w:val="Heading1"/>
    <w:next w:val="BodyText"/>
    <w:link w:val="Heading1NoNumbersChar"/>
    <w:uiPriority w:val="2"/>
    <w:qFormat/>
    <w:rsid w:val="007E04A6"/>
    <w:pPr>
      <w:spacing w:before="120" w:after="240" w:line="240" w:lineRule="atLeast"/>
      <w:ind w:left="0" w:firstLine="0"/>
    </w:pPr>
    <w:rPr>
      <w:rFonts w:ascii="Arial" w:eastAsia="Arial" w:hAnsi="Arial" w:cs="Times New Roman"/>
      <w:spacing w:val="-4"/>
      <w:sz w:val="36"/>
    </w:rPr>
  </w:style>
  <w:style w:type="character" w:customStyle="1" w:styleId="Heading1NoNumbersChar">
    <w:name w:val="Heading 1 No Numbers Char"/>
    <w:basedOn w:val="Heading1Char"/>
    <w:link w:val="Heading1NoNumbers"/>
    <w:uiPriority w:val="2"/>
    <w:rsid w:val="007E04A6"/>
    <w:rPr>
      <w:rFonts w:ascii="Arial" w:eastAsia="Arial" w:hAnsi="Arial" w:cs="Times New Roman"/>
      <w:b/>
      <w:color w:val="A25EA6"/>
      <w:spacing w:val="-4"/>
      <w:sz w:val="36"/>
      <w:szCs w:val="40"/>
    </w:rPr>
  </w:style>
  <w:style w:type="paragraph" w:customStyle="1" w:styleId="Heading2NoNumbers">
    <w:name w:val="Heading 2 No Numbers"/>
    <w:basedOn w:val="Heading2"/>
    <w:next w:val="BodyText"/>
    <w:link w:val="Heading2NoNumbersChar"/>
    <w:uiPriority w:val="2"/>
    <w:qFormat/>
    <w:rsid w:val="007E04A6"/>
    <w:pPr>
      <w:numPr>
        <w:ilvl w:val="0"/>
      </w:numPr>
      <w:spacing w:after="240" w:line="240" w:lineRule="atLeast"/>
      <w:ind w:left="709" w:hanging="709"/>
    </w:pPr>
    <w:rPr>
      <w:rFonts w:ascii="Arial" w:eastAsia="Arial" w:hAnsi="Arial" w:cs="Times New Roman"/>
      <w:spacing w:val="-4"/>
      <w:sz w:val="32"/>
    </w:rPr>
  </w:style>
  <w:style w:type="character" w:customStyle="1" w:styleId="Heading2NoNumbersChar">
    <w:name w:val="Heading 2 No Numbers Char"/>
    <w:basedOn w:val="Heading2Char"/>
    <w:link w:val="Heading2NoNumbers"/>
    <w:uiPriority w:val="2"/>
    <w:rsid w:val="007E04A6"/>
    <w:rPr>
      <w:rFonts w:ascii="Arial" w:eastAsia="Arial" w:hAnsi="Arial" w:cs="Times New Roman"/>
      <w:b/>
      <w:color w:val="000000" w:themeColor="text1"/>
      <w:spacing w:val="-4"/>
      <w:sz w:val="32"/>
      <w:szCs w:val="36"/>
    </w:rPr>
  </w:style>
  <w:style w:type="paragraph" w:customStyle="1" w:styleId="Heading3NoNumbers">
    <w:name w:val="Heading 3 No Numbers"/>
    <w:basedOn w:val="Heading3"/>
    <w:next w:val="BodyText"/>
    <w:link w:val="Heading3NoNumbersChar"/>
    <w:uiPriority w:val="2"/>
    <w:qFormat/>
    <w:rsid w:val="007E04A6"/>
    <w:pPr>
      <w:numPr>
        <w:ilvl w:val="0"/>
      </w:numPr>
      <w:spacing w:after="240" w:line="240" w:lineRule="atLeast"/>
      <w:ind w:left="709" w:hanging="709"/>
    </w:pPr>
    <w:rPr>
      <w:rFonts w:ascii="Arial" w:eastAsia="Arial" w:hAnsi="Arial" w:cs="Times New Roman"/>
      <w:spacing w:val="-4"/>
      <w:sz w:val="28"/>
    </w:rPr>
  </w:style>
  <w:style w:type="character" w:customStyle="1" w:styleId="Heading3NoNumbersChar">
    <w:name w:val="Heading 3 No Numbers Char"/>
    <w:basedOn w:val="Heading3Char"/>
    <w:link w:val="Heading3NoNumbers"/>
    <w:uiPriority w:val="2"/>
    <w:rsid w:val="007E04A6"/>
    <w:rPr>
      <w:rFonts w:ascii="Arial" w:eastAsia="Arial" w:hAnsi="Arial" w:cs="Times New Roman"/>
      <w:b/>
      <w:color w:val="000000" w:themeColor="text1"/>
      <w:spacing w:val="-4"/>
      <w:sz w:val="28"/>
      <w:szCs w:val="32"/>
    </w:rPr>
  </w:style>
  <w:style w:type="paragraph" w:customStyle="1" w:styleId="CoffeyBulletsL1">
    <w:name w:val="Coffey Bullets L1"/>
    <w:basedOn w:val="Normal"/>
    <w:link w:val="CoffeyBulletsL1Char"/>
    <w:uiPriority w:val="99"/>
    <w:qFormat/>
    <w:rsid w:val="007E04A6"/>
    <w:pPr>
      <w:numPr>
        <w:numId w:val="36"/>
      </w:numPr>
      <w:spacing w:after="0" w:line="264" w:lineRule="auto"/>
      <w:ind w:left="357" w:hanging="357"/>
      <w:contextualSpacing/>
    </w:pPr>
    <w:rPr>
      <w:rFonts w:ascii="Arial" w:eastAsia="Arial" w:hAnsi="Arial" w:cs="Times New Roman"/>
    </w:rPr>
  </w:style>
  <w:style w:type="paragraph" w:customStyle="1" w:styleId="CoffeyBulletsL2">
    <w:name w:val="Coffey Bullets L2"/>
    <w:basedOn w:val="CoffeyBulletsL1"/>
    <w:link w:val="CoffeyBulletsL2Char"/>
    <w:uiPriority w:val="99"/>
    <w:qFormat/>
    <w:rsid w:val="007E04A6"/>
    <w:pPr>
      <w:numPr>
        <w:ilvl w:val="1"/>
      </w:numPr>
      <w:ind w:left="714" w:hanging="357"/>
    </w:pPr>
  </w:style>
  <w:style w:type="character" w:customStyle="1" w:styleId="CoffeyBulletsL1Char">
    <w:name w:val="Coffey Bullets L1 Char"/>
    <w:basedOn w:val="BodyTextChar"/>
    <w:link w:val="CoffeyBulletsL1"/>
    <w:uiPriority w:val="99"/>
    <w:rsid w:val="007E04A6"/>
    <w:rPr>
      <w:rFonts w:ascii="Arial" w:eastAsia="Arial" w:hAnsi="Arial" w:cs="Times New Roman"/>
      <w:sz w:val="20"/>
      <w:szCs w:val="20"/>
    </w:rPr>
  </w:style>
  <w:style w:type="paragraph" w:customStyle="1" w:styleId="CoffeyBulletsL3">
    <w:name w:val="Coffey Bullets L3"/>
    <w:basedOn w:val="CoffeyBulletsL2"/>
    <w:link w:val="CoffeyBulletsL3Char"/>
    <w:uiPriority w:val="99"/>
    <w:qFormat/>
    <w:rsid w:val="007E04A6"/>
    <w:pPr>
      <w:numPr>
        <w:ilvl w:val="2"/>
      </w:numPr>
      <w:ind w:left="1077" w:hanging="357"/>
    </w:pPr>
  </w:style>
  <w:style w:type="character" w:customStyle="1" w:styleId="CoffeyBulletsL2Char">
    <w:name w:val="Coffey Bullets L2 Char"/>
    <w:basedOn w:val="DefaultParagraphFont"/>
    <w:link w:val="CoffeyBulletsL2"/>
    <w:uiPriority w:val="99"/>
    <w:rsid w:val="007E04A6"/>
    <w:rPr>
      <w:rFonts w:ascii="Arial" w:eastAsia="Arial" w:hAnsi="Arial" w:cs="Times New Roman"/>
      <w:sz w:val="20"/>
      <w:szCs w:val="20"/>
    </w:rPr>
  </w:style>
  <w:style w:type="paragraph" w:customStyle="1" w:styleId="CoffeyNumbersL1">
    <w:name w:val="Coffey Numbers L1"/>
    <w:basedOn w:val="Normal"/>
    <w:link w:val="CoffeyNumbersL1Char"/>
    <w:uiPriority w:val="99"/>
    <w:qFormat/>
    <w:rsid w:val="007E04A6"/>
    <w:pPr>
      <w:numPr>
        <w:numId w:val="37"/>
      </w:numPr>
      <w:spacing w:after="0" w:line="264" w:lineRule="auto"/>
      <w:ind w:left="357" w:hanging="357"/>
      <w:contextualSpacing/>
    </w:pPr>
    <w:rPr>
      <w:rFonts w:ascii="Arial" w:eastAsia="Arial" w:hAnsi="Arial" w:cs="Times New Roman"/>
    </w:rPr>
  </w:style>
  <w:style w:type="character" w:customStyle="1" w:styleId="CoffeyBulletsL3Char">
    <w:name w:val="Coffey Bullets L3 Char"/>
    <w:basedOn w:val="DefaultParagraphFont"/>
    <w:link w:val="CoffeyBulletsL3"/>
    <w:uiPriority w:val="99"/>
    <w:rsid w:val="007E04A6"/>
    <w:rPr>
      <w:rFonts w:ascii="Arial" w:eastAsia="Arial" w:hAnsi="Arial" w:cs="Times New Roman"/>
      <w:sz w:val="20"/>
      <w:szCs w:val="20"/>
    </w:rPr>
  </w:style>
  <w:style w:type="paragraph" w:customStyle="1" w:styleId="CoffeyNumbersL2">
    <w:name w:val="Coffey Numbers L2"/>
    <w:basedOn w:val="CoffeyNumbersL1"/>
    <w:link w:val="CoffeyNumbersL2Char"/>
    <w:uiPriority w:val="99"/>
    <w:qFormat/>
    <w:rsid w:val="007E04A6"/>
    <w:pPr>
      <w:numPr>
        <w:ilvl w:val="1"/>
      </w:numPr>
      <w:ind w:left="714" w:hanging="357"/>
    </w:pPr>
  </w:style>
  <w:style w:type="character" w:customStyle="1" w:styleId="CoffeyNumbersL1Char">
    <w:name w:val="Coffey Numbers L1 Char"/>
    <w:basedOn w:val="DefaultParagraphFont"/>
    <w:link w:val="CoffeyNumbersL1"/>
    <w:uiPriority w:val="99"/>
    <w:rsid w:val="007E04A6"/>
    <w:rPr>
      <w:rFonts w:ascii="Arial" w:eastAsia="Arial" w:hAnsi="Arial" w:cs="Times New Roman"/>
      <w:sz w:val="20"/>
      <w:szCs w:val="20"/>
    </w:rPr>
  </w:style>
  <w:style w:type="paragraph" w:customStyle="1" w:styleId="CoffeyNumbersL3">
    <w:name w:val="Coffey Numbers L3"/>
    <w:basedOn w:val="CoffeyNumbersL2"/>
    <w:link w:val="CoffeyNumbersL3Char"/>
    <w:uiPriority w:val="99"/>
    <w:qFormat/>
    <w:rsid w:val="007E04A6"/>
    <w:pPr>
      <w:numPr>
        <w:ilvl w:val="2"/>
      </w:numPr>
      <w:ind w:left="1077" w:hanging="357"/>
    </w:pPr>
  </w:style>
  <w:style w:type="character" w:customStyle="1" w:styleId="CoffeyNumbersL2Char">
    <w:name w:val="Coffey Numbers L2 Char"/>
    <w:basedOn w:val="DefaultParagraphFont"/>
    <w:link w:val="CoffeyNumbersL2"/>
    <w:uiPriority w:val="99"/>
    <w:rsid w:val="007E04A6"/>
    <w:rPr>
      <w:rFonts w:ascii="Arial" w:eastAsia="Arial" w:hAnsi="Arial" w:cs="Times New Roman"/>
      <w:sz w:val="20"/>
      <w:szCs w:val="20"/>
    </w:rPr>
  </w:style>
  <w:style w:type="numbering" w:customStyle="1" w:styleId="CoffeyBullets">
    <w:name w:val="Coffey Bullets"/>
    <w:uiPriority w:val="99"/>
    <w:rsid w:val="007E04A6"/>
    <w:pPr>
      <w:numPr>
        <w:numId w:val="36"/>
      </w:numPr>
    </w:pPr>
  </w:style>
  <w:style w:type="character" w:customStyle="1" w:styleId="CoffeyNumbersL3Char">
    <w:name w:val="Coffey Numbers L3 Char"/>
    <w:basedOn w:val="DefaultParagraphFont"/>
    <w:link w:val="CoffeyNumbersL3"/>
    <w:uiPriority w:val="99"/>
    <w:rsid w:val="007E04A6"/>
    <w:rPr>
      <w:rFonts w:ascii="Arial" w:eastAsia="Arial" w:hAnsi="Arial" w:cs="Times New Roman"/>
      <w:sz w:val="20"/>
      <w:szCs w:val="20"/>
    </w:rPr>
  </w:style>
  <w:style w:type="numbering" w:customStyle="1" w:styleId="CoffeyNumbers">
    <w:name w:val="Coffey Numbers"/>
    <w:uiPriority w:val="99"/>
    <w:rsid w:val="007E04A6"/>
    <w:pPr>
      <w:numPr>
        <w:numId w:val="37"/>
      </w:numPr>
    </w:pPr>
  </w:style>
  <w:style w:type="paragraph" w:customStyle="1" w:styleId="CoffeyBlankPageText">
    <w:name w:val="Coffey Blank Page Text"/>
    <w:basedOn w:val="BodyText"/>
    <w:next w:val="BodyText"/>
    <w:link w:val="CoffeyBlankPageTextChar"/>
    <w:uiPriority w:val="99"/>
    <w:rsid w:val="007E04A6"/>
    <w:pPr>
      <w:keepLines/>
      <w:pageBreakBefore/>
      <w:spacing w:before="2000" w:after="0" w:line="264" w:lineRule="auto"/>
      <w:jc w:val="center"/>
    </w:pPr>
    <w:rPr>
      <w:rFonts w:ascii="Arial" w:eastAsia="Arial" w:hAnsi="Arial" w:cs="Times New Roman"/>
      <w:color w:val="A6E1B0" w:themeColor="accent1" w:themeTint="99"/>
    </w:rPr>
  </w:style>
  <w:style w:type="character" w:customStyle="1" w:styleId="CoffeyBlankPageTextChar">
    <w:name w:val="Coffey Blank Page Text Char"/>
    <w:basedOn w:val="BodyTextChar"/>
    <w:link w:val="CoffeyBlankPageText"/>
    <w:uiPriority w:val="99"/>
    <w:rsid w:val="007E04A6"/>
    <w:rPr>
      <w:rFonts w:ascii="Arial" w:eastAsia="Arial" w:hAnsi="Arial" w:cs="Times New Roman"/>
      <w:color w:val="A6E1B0" w:themeColor="accent1" w:themeTint="99"/>
      <w:sz w:val="20"/>
    </w:rPr>
  </w:style>
  <w:style w:type="paragraph" w:styleId="TOC7">
    <w:name w:val="toc 7"/>
    <w:basedOn w:val="Normal"/>
    <w:next w:val="Normal"/>
    <w:uiPriority w:val="39"/>
    <w:rsid w:val="007E04A6"/>
    <w:pPr>
      <w:spacing w:after="100" w:line="264" w:lineRule="auto"/>
    </w:pPr>
    <w:rPr>
      <w:rFonts w:ascii="Arial" w:eastAsia="Arial" w:hAnsi="Arial" w:cs="Times New Roman"/>
    </w:rPr>
  </w:style>
  <w:style w:type="paragraph" w:customStyle="1" w:styleId="ContentsHeading">
    <w:name w:val="Contents Heading"/>
    <w:basedOn w:val="Normal"/>
    <w:next w:val="BodyText"/>
    <w:uiPriority w:val="99"/>
    <w:rsid w:val="007E04A6"/>
    <w:pPr>
      <w:spacing w:before="480" w:after="240" w:line="264" w:lineRule="auto"/>
    </w:pPr>
    <w:rPr>
      <w:rFonts w:ascii="Arial" w:eastAsia="Arial" w:hAnsi="Arial" w:cs="Times New Roman"/>
      <w:b/>
      <w:sz w:val="44"/>
      <w:szCs w:val="40"/>
    </w:rPr>
  </w:style>
  <w:style w:type="paragraph" w:styleId="TOC4">
    <w:name w:val="toc 4"/>
    <w:basedOn w:val="Normal"/>
    <w:next w:val="Normal"/>
    <w:autoRedefine/>
    <w:uiPriority w:val="39"/>
    <w:unhideWhenUsed/>
    <w:rsid w:val="007E04A6"/>
    <w:pPr>
      <w:tabs>
        <w:tab w:val="left" w:pos="1843"/>
        <w:tab w:val="right" w:leader="dot" w:pos="9026"/>
      </w:tabs>
      <w:spacing w:before="120" w:after="100" w:line="240" w:lineRule="atLeast"/>
      <w:ind w:left="851"/>
    </w:pPr>
    <w:rPr>
      <w:rFonts w:ascii="Arial" w:eastAsia="Arial" w:hAnsi="Arial" w:cs="Times New Roman"/>
    </w:rPr>
  </w:style>
  <w:style w:type="paragraph" w:customStyle="1" w:styleId="Annexheading">
    <w:name w:val="Annex heading"/>
    <w:basedOn w:val="Normal"/>
    <w:next w:val="BodyText"/>
    <w:uiPriority w:val="99"/>
    <w:qFormat/>
    <w:rsid w:val="007E04A6"/>
    <w:pPr>
      <w:spacing w:before="480" w:after="120" w:line="264" w:lineRule="auto"/>
    </w:pPr>
    <w:rPr>
      <w:rFonts w:ascii="Arial" w:eastAsia="Arial" w:hAnsi="Arial" w:cs="Times New Roman"/>
      <w:b/>
      <w:sz w:val="40"/>
      <w:szCs w:val="40"/>
    </w:rPr>
  </w:style>
  <w:style w:type="character" w:styleId="PlaceholderText">
    <w:name w:val="Placeholder Text"/>
    <w:basedOn w:val="DefaultParagraphFont"/>
    <w:uiPriority w:val="99"/>
    <w:semiHidden/>
    <w:rsid w:val="007E04A6"/>
    <w:rPr>
      <w:color w:val="808080"/>
    </w:rPr>
  </w:style>
  <w:style w:type="character" w:customStyle="1" w:styleId="st1">
    <w:name w:val="st1"/>
    <w:basedOn w:val="DefaultParagraphFont"/>
    <w:rsid w:val="007E04A6"/>
  </w:style>
  <w:style w:type="character" w:customStyle="1" w:styleId="FootnoteTextChar1">
    <w:name w:val="Footnote Text Char1"/>
    <w:basedOn w:val="DefaultParagraphFont"/>
    <w:uiPriority w:val="99"/>
    <w:semiHidden/>
    <w:rsid w:val="007E04A6"/>
    <w:rPr>
      <w:rFonts w:ascii="Arial" w:eastAsia="Arial" w:hAnsi="Arial" w:cs="Times New Roman"/>
    </w:rPr>
  </w:style>
  <w:style w:type="character" w:customStyle="1" w:styleId="PlainTextChar1">
    <w:name w:val="Plain Text Char1"/>
    <w:basedOn w:val="DefaultParagraphFont"/>
    <w:uiPriority w:val="99"/>
    <w:semiHidden/>
    <w:rsid w:val="007E04A6"/>
    <w:rPr>
      <w:rFonts w:ascii="Consolas" w:eastAsia="Arial" w:hAnsi="Consolas" w:cs="Consolas"/>
      <w:sz w:val="21"/>
      <w:szCs w:val="21"/>
    </w:rPr>
  </w:style>
  <w:style w:type="paragraph" w:styleId="TOC5">
    <w:name w:val="toc 5"/>
    <w:basedOn w:val="Normal"/>
    <w:next w:val="Normal"/>
    <w:autoRedefine/>
    <w:uiPriority w:val="39"/>
    <w:unhideWhenUsed/>
    <w:rsid w:val="00471345"/>
    <w:pPr>
      <w:spacing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471345"/>
    <w:pPr>
      <w:spacing w:after="100" w:line="259" w:lineRule="auto"/>
      <w:ind w:left="1100"/>
    </w:pPr>
    <w:rPr>
      <w:rFonts w:eastAsiaTheme="minorEastAsia"/>
      <w:sz w:val="22"/>
      <w:szCs w:val="22"/>
      <w:lang w:eastAsia="en-AU"/>
    </w:rPr>
  </w:style>
  <w:style w:type="paragraph" w:styleId="TOC8">
    <w:name w:val="toc 8"/>
    <w:basedOn w:val="Normal"/>
    <w:next w:val="Normal"/>
    <w:autoRedefine/>
    <w:uiPriority w:val="39"/>
    <w:unhideWhenUsed/>
    <w:rsid w:val="00471345"/>
    <w:pPr>
      <w:spacing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471345"/>
    <w:pPr>
      <w:spacing w:after="100" w:line="259" w:lineRule="auto"/>
      <w:ind w:left="1760"/>
    </w:pPr>
    <w:rPr>
      <w:rFonts w:eastAsiaTheme="minorEastAsia"/>
      <w:sz w:val="22"/>
      <w:szCs w:val="22"/>
      <w:lang w:eastAsia="en-AU"/>
    </w:rPr>
  </w:style>
  <w:style w:type="character" w:styleId="FollowedHyperlink">
    <w:name w:val="FollowedHyperlink"/>
    <w:basedOn w:val="DefaultParagraphFont"/>
    <w:uiPriority w:val="99"/>
    <w:semiHidden/>
    <w:unhideWhenUsed/>
    <w:rsid w:val="00D545A0"/>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4" w:qFormat="1"/>
    <w:lsdException w:name="List Bullet" w:uiPriority="2" w:qFormat="1"/>
    <w:lsdException w:name="List Number" w:uiPriority="73"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nhideWhenUsed="0" w:qFormat="1"/>
    <w:lsdException w:name="Table 3D effects 1" w:uiPriority="0"/>
    <w:lsdException w:name="Table 3D effects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uiPriority w:val="99"/>
    <w:rsid w:val="001C47CB"/>
    <w:pPr>
      <w:spacing w:line="240" w:lineRule="auto"/>
    </w:pPr>
    <w:rPr>
      <w:sz w:val="20"/>
      <w:szCs w:val="20"/>
    </w:rPr>
  </w:style>
  <w:style w:type="paragraph" w:styleId="Heading1">
    <w:name w:val="heading 1"/>
    <w:aliases w:val="Heading 1-KEIP"/>
    <w:basedOn w:val="Normal"/>
    <w:next w:val="BodyText"/>
    <w:link w:val="Heading1Char"/>
    <w:uiPriority w:val="1"/>
    <w:qFormat/>
    <w:rsid w:val="00D02244"/>
    <w:pPr>
      <w:spacing w:before="200"/>
      <w:ind w:left="567" w:hanging="567"/>
      <w:outlineLvl w:val="0"/>
    </w:pPr>
    <w:rPr>
      <w:rFonts w:asciiTheme="majorHAnsi" w:hAnsiTheme="majorHAnsi" w:cstheme="majorHAnsi"/>
      <w:b/>
      <w:color w:val="A25EA6"/>
      <w:sz w:val="40"/>
      <w:szCs w:val="40"/>
    </w:rPr>
  </w:style>
  <w:style w:type="paragraph" w:styleId="Heading2">
    <w:name w:val="heading 2"/>
    <w:basedOn w:val="Heading1"/>
    <w:next w:val="Normal"/>
    <w:link w:val="Heading2Char"/>
    <w:uiPriority w:val="1"/>
    <w:qFormat/>
    <w:rsid w:val="0039620C"/>
    <w:pPr>
      <w:numPr>
        <w:ilvl w:val="1"/>
      </w:numPr>
      <w:spacing w:before="240"/>
      <w:ind w:left="709" w:hanging="709"/>
      <w:outlineLvl w:val="1"/>
    </w:pPr>
    <w:rPr>
      <w:color w:val="000000" w:themeColor="text1"/>
      <w:spacing w:val="2"/>
      <w:sz w:val="24"/>
      <w:szCs w:val="36"/>
    </w:rPr>
  </w:style>
  <w:style w:type="paragraph" w:styleId="Heading3">
    <w:name w:val="heading 3"/>
    <w:basedOn w:val="Heading2"/>
    <w:next w:val="Normal"/>
    <w:link w:val="Heading3Char"/>
    <w:uiPriority w:val="1"/>
    <w:qFormat/>
    <w:rsid w:val="007627F4"/>
    <w:pPr>
      <w:numPr>
        <w:ilvl w:val="2"/>
      </w:numPr>
      <w:ind w:left="709" w:hanging="709"/>
      <w:outlineLvl w:val="2"/>
    </w:pPr>
    <w:rPr>
      <w:sz w:val="20"/>
      <w:szCs w:val="32"/>
    </w:rPr>
  </w:style>
  <w:style w:type="paragraph" w:styleId="Heading4">
    <w:name w:val="heading 4"/>
    <w:basedOn w:val="Heading3"/>
    <w:next w:val="Normal"/>
    <w:link w:val="Heading4Char"/>
    <w:uiPriority w:val="1"/>
    <w:qFormat/>
    <w:rsid w:val="007627F4"/>
    <w:pPr>
      <w:numPr>
        <w:ilvl w:val="3"/>
      </w:numPr>
      <w:ind w:left="709" w:hanging="709"/>
      <w:outlineLvl w:val="3"/>
    </w:pPr>
    <w:rPr>
      <w:sz w:val="24"/>
      <w:szCs w:val="28"/>
    </w:rPr>
  </w:style>
  <w:style w:type="paragraph" w:styleId="Heading5">
    <w:name w:val="heading 5"/>
    <w:basedOn w:val="Heading4"/>
    <w:next w:val="Normal"/>
    <w:link w:val="Heading5Char"/>
    <w:uiPriority w:val="1"/>
    <w:qFormat/>
    <w:rsid w:val="007627F4"/>
    <w:pPr>
      <w:numPr>
        <w:ilvl w:val="4"/>
      </w:numPr>
      <w:ind w:left="709" w:hanging="709"/>
      <w:outlineLvl w:val="4"/>
    </w:pPr>
    <w:rPr>
      <w:sz w:val="22"/>
      <w:szCs w:val="24"/>
    </w:rPr>
  </w:style>
  <w:style w:type="paragraph" w:styleId="Heading6">
    <w:name w:val="heading 6"/>
    <w:basedOn w:val="Heading5"/>
    <w:next w:val="Normal"/>
    <w:link w:val="Heading6Char"/>
    <w:uiPriority w:val="9"/>
    <w:rsid w:val="007627F4"/>
    <w:pPr>
      <w:numPr>
        <w:ilvl w:val="5"/>
      </w:numPr>
      <w:spacing w:before="200"/>
      <w:ind w:left="709" w:hanging="709"/>
      <w:outlineLvl w:val="5"/>
    </w:pPr>
    <w:rPr>
      <w:rFonts w:eastAsiaTheme="majorEastAsia" w:cstheme="majorBidi"/>
      <w:iCs/>
      <w:sz w:val="16"/>
    </w:rPr>
  </w:style>
  <w:style w:type="paragraph" w:styleId="Heading7">
    <w:name w:val="heading 7"/>
    <w:basedOn w:val="Heading6"/>
    <w:next w:val="Normal"/>
    <w:link w:val="Heading7Char"/>
    <w:uiPriority w:val="99"/>
    <w:semiHidden/>
    <w:rsid w:val="007627F4"/>
    <w:pPr>
      <w:numPr>
        <w:ilvl w:val="6"/>
      </w:numPr>
      <w:ind w:left="709" w:hanging="709"/>
      <w:outlineLvl w:val="6"/>
    </w:pPr>
    <w:rPr>
      <w:i/>
      <w:iCs w:val="0"/>
      <w:color w:val="404040" w:themeColor="text1" w:themeTint="BF"/>
    </w:rPr>
  </w:style>
  <w:style w:type="paragraph" w:styleId="Heading8">
    <w:name w:val="heading 8"/>
    <w:basedOn w:val="Heading7"/>
    <w:next w:val="Normal"/>
    <w:link w:val="Heading8Char"/>
    <w:uiPriority w:val="99"/>
    <w:semiHidden/>
    <w:rsid w:val="007627F4"/>
    <w:pPr>
      <w:numPr>
        <w:ilvl w:val="7"/>
      </w:numPr>
      <w:ind w:left="709" w:hanging="709"/>
      <w:outlineLvl w:val="7"/>
    </w:pPr>
    <w:rPr>
      <w:color w:val="6CCE7D" w:themeColor="accent1"/>
    </w:rPr>
  </w:style>
  <w:style w:type="paragraph" w:styleId="Heading9">
    <w:name w:val="heading 9"/>
    <w:basedOn w:val="Heading8"/>
    <w:next w:val="Normal"/>
    <w:link w:val="Heading9Char"/>
    <w:uiPriority w:val="99"/>
    <w:semiHidden/>
    <w:rsid w:val="007627F4"/>
    <w:pPr>
      <w:numPr>
        <w:ilvl w:val="8"/>
      </w:numPr>
      <w:ind w:left="709" w:hanging="709"/>
      <w:outlineLvl w:val="8"/>
    </w:pPr>
    <w:rPr>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2BA"/>
    <w:pPr>
      <w:tabs>
        <w:tab w:val="center" w:pos="4513"/>
        <w:tab w:val="right" w:pos="9026"/>
      </w:tabs>
      <w:spacing w:after="0"/>
    </w:pPr>
  </w:style>
  <w:style w:type="character" w:customStyle="1" w:styleId="HeaderChar">
    <w:name w:val="Header Char"/>
    <w:basedOn w:val="DefaultParagraphFont"/>
    <w:link w:val="Header"/>
    <w:uiPriority w:val="99"/>
    <w:rsid w:val="000222BA"/>
  </w:style>
  <w:style w:type="paragraph" w:styleId="Footer">
    <w:name w:val="footer"/>
    <w:basedOn w:val="Normal"/>
    <w:link w:val="FooterChar"/>
    <w:uiPriority w:val="99"/>
    <w:unhideWhenUsed/>
    <w:rsid w:val="000222BA"/>
    <w:pPr>
      <w:tabs>
        <w:tab w:val="center" w:pos="4513"/>
        <w:tab w:val="right" w:pos="9026"/>
      </w:tabs>
      <w:spacing w:after="0"/>
    </w:pPr>
  </w:style>
  <w:style w:type="character" w:customStyle="1" w:styleId="FooterChar">
    <w:name w:val="Footer Char"/>
    <w:basedOn w:val="DefaultParagraphFont"/>
    <w:link w:val="Footer"/>
    <w:uiPriority w:val="99"/>
    <w:rsid w:val="000222BA"/>
  </w:style>
  <w:style w:type="character" w:customStyle="1" w:styleId="Heading1Char">
    <w:name w:val="Heading 1 Char"/>
    <w:aliases w:val="Heading 1-KEIP Char"/>
    <w:basedOn w:val="DefaultParagraphFont"/>
    <w:link w:val="Heading1"/>
    <w:uiPriority w:val="1"/>
    <w:rsid w:val="00D02244"/>
    <w:rPr>
      <w:rFonts w:asciiTheme="majorHAnsi" w:hAnsiTheme="majorHAnsi" w:cstheme="majorHAnsi"/>
      <w:b/>
      <w:color w:val="A25EA6"/>
      <w:sz w:val="40"/>
      <w:szCs w:val="40"/>
    </w:rPr>
  </w:style>
  <w:style w:type="character" w:customStyle="1" w:styleId="Heading2Char">
    <w:name w:val="Heading 2 Char"/>
    <w:basedOn w:val="DefaultParagraphFont"/>
    <w:link w:val="Heading2"/>
    <w:uiPriority w:val="1"/>
    <w:rsid w:val="0039620C"/>
    <w:rPr>
      <w:rFonts w:asciiTheme="majorHAnsi" w:hAnsiTheme="majorHAnsi" w:cstheme="majorHAnsi"/>
      <w:b/>
      <w:color w:val="000000" w:themeColor="text1"/>
      <w:spacing w:val="2"/>
      <w:sz w:val="24"/>
      <w:szCs w:val="36"/>
    </w:rPr>
  </w:style>
  <w:style w:type="character" w:customStyle="1" w:styleId="Heading3Char">
    <w:name w:val="Heading 3 Char"/>
    <w:basedOn w:val="DefaultParagraphFont"/>
    <w:link w:val="Heading3"/>
    <w:uiPriority w:val="1"/>
    <w:rsid w:val="007627F4"/>
    <w:rPr>
      <w:rFonts w:ascii="Calibri" w:hAnsi="Calibri"/>
      <w:b/>
      <w:color w:val="000000" w:themeColor="text1"/>
      <w:sz w:val="20"/>
      <w:szCs w:val="32"/>
    </w:rPr>
  </w:style>
  <w:style w:type="character" w:customStyle="1" w:styleId="Heading4Char">
    <w:name w:val="Heading 4 Char"/>
    <w:basedOn w:val="DefaultParagraphFont"/>
    <w:link w:val="Heading4"/>
    <w:uiPriority w:val="1"/>
    <w:rsid w:val="007627F4"/>
    <w:rPr>
      <w:rFonts w:ascii="Calibri" w:hAnsi="Calibri"/>
      <w:b/>
      <w:color w:val="000000" w:themeColor="text1"/>
      <w:sz w:val="24"/>
      <w:szCs w:val="28"/>
    </w:rPr>
  </w:style>
  <w:style w:type="character" w:customStyle="1" w:styleId="Heading5Char">
    <w:name w:val="Heading 5 Char"/>
    <w:basedOn w:val="DefaultParagraphFont"/>
    <w:link w:val="Heading5"/>
    <w:uiPriority w:val="1"/>
    <w:rsid w:val="007627F4"/>
    <w:rPr>
      <w:rFonts w:ascii="Calibri" w:hAnsi="Calibri"/>
      <w:b/>
      <w:color w:val="000000" w:themeColor="text1"/>
      <w:szCs w:val="24"/>
    </w:rPr>
  </w:style>
  <w:style w:type="character" w:customStyle="1" w:styleId="Heading6Char">
    <w:name w:val="Heading 6 Char"/>
    <w:basedOn w:val="DefaultParagraphFont"/>
    <w:link w:val="Heading6"/>
    <w:uiPriority w:val="9"/>
    <w:rsid w:val="007627F4"/>
    <w:rPr>
      <w:rFonts w:asciiTheme="majorHAnsi" w:eastAsiaTheme="majorEastAsia" w:hAnsiTheme="majorHAnsi" w:cstheme="majorBidi"/>
      <w:b/>
      <w:iCs/>
      <w:color w:val="000000" w:themeColor="text1"/>
      <w:sz w:val="16"/>
      <w:szCs w:val="24"/>
    </w:rPr>
  </w:style>
  <w:style w:type="character" w:customStyle="1" w:styleId="Heading7Char">
    <w:name w:val="Heading 7 Char"/>
    <w:basedOn w:val="DefaultParagraphFont"/>
    <w:link w:val="Heading7"/>
    <w:uiPriority w:val="99"/>
    <w:semiHidden/>
    <w:rsid w:val="007627F4"/>
    <w:rPr>
      <w:rFonts w:asciiTheme="majorHAnsi" w:eastAsiaTheme="majorEastAsia" w:hAnsiTheme="majorHAnsi" w:cstheme="majorBidi"/>
      <w:b/>
      <w:i/>
      <w:color w:val="404040" w:themeColor="text1" w:themeTint="BF"/>
      <w:sz w:val="16"/>
      <w:szCs w:val="24"/>
    </w:rPr>
  </w:style>
  <w:style w:type="character" w:customStyle="1" w:styleId="Heading8Char">
    <w:name w:val="Heading 8 Char"/>
    <w:basedOn w:val="DefaultParagraphFont"/>
    <w:link w:val="Heading8"/>
    <w:uiPriority w:val="99"/>
    <w:semiHidden/>
    <w:rsid w:val="007627F4"/>
    <w:rPr>
      <w:rFonts w:asciiTheme="majorHAnsi" w:eastAsiaTheme="majorEastAsia" w:hAnsiTheme="majorHAnsi" w:cstheme="majorBidi"/>
      <w:b/>
      <w:i/>
      <w:color w:val="6CCE7D" w:themeColor="accent1"/>
      <w:sz w:val="16"/>
      <w:szCs w:val="24"/>
    </w:rPr>
  </w:style>
  <w:style w:type="character" w:customStyle="1" w:styleId="Heading9Char">
    <w:name w:val="Heading 9 Char"/>
    <w:basedOn w:val="DefaultParagraphFont"/>
    <w:link w:val="Heading9"/>
    <w:uiPriority w:val="99"/>
    <w:semiHidden/>
    <w:rsid w:val="007627F4"/>
    <w:rPr>
      <w:rFonts w:asciiTheme="majorHAnsi" w:eastAsiaTheme="majorEastAsia" w:hAnsiTheme="majorHAnsi" w:cstheme="majorBidi"/>
      <w:b/>
      <w:iCs/>
      <w:color w:val="404040" w:themeColor="text1" w:themeTint="BF"/>
      <w:sz w:val="16"/>
      <w:szCs w:val="24"/>
    </w:rPr>
  </w:style>
  <w:style w:type="paragraph" w:customStyle="1" w:styleId="BodyBullets">
    <w:name w:val="Body Bullets"/>
    <w:qFormat/>
    <w:rsid w:val="00DB3903"/>
    <w:pPr>
      <w:numPr>
        <w:numId w:val="1"/>
      </w:numPr>
      <w:tabs>
        <w:tab w:val="clear" w:pos="0"/>
      </w:tabs>
      <w:spacing w:before="57" w:after="113" w:line="250" w:lineRule="atLeast"/>
      <w:ind w:hanging="284"/>
    </w:pPr>
    <w:rPr>
      <w:rFonts w:ascii="Arial" w:hAnsi="Arial"/>
      <w:color w:val="000000"/>
      <w:sz w:val="20"/>
      <w:szCs w:val="20"/>
    </w:rPr>
  </w:style>
  <w:style w:type="character" w:styleId="Hyperlink">
    <w:name w:val="Hyperlink"/>
    <w:basedOn w:val="DefaultParagraphFont"/>
    <w:uiPriority w:val="99"/>
    <w:rsid w:val="007627F4"/>
    <w:rPr>
      <w:color w:val="0000FF"/>
      <w:u w:val="single"/>
    </w:rPr>
  </w:style>
  <w:style w:type="paragraph" w:styleId="TOC1">
    <w:name w:val="toc 1"/>
    <w:basedOn w:val="Normal"/>
    <w:next w:val="BodyText"/>
    <w:uiPriority w:val="39"/>
    <w:rsid w:val="004D5223"/>
    <w:pPr>
      <w:tabs>
        <w:tab w:val="left" w:pos="425"/>
        <w:tab w:val="right" w:leader="dot" w:pos="9214"/>
      </w:tabs>
      <w:spacing w:before="120" w:after="120"/>
    </w:pPr>
    <w:rPr>
      <w:b/>
      <w:noProof/>
      <w:szCs w:val="22"/>
    </w:rPr>
  </w:style>
  <w:style w:type="paragraph" w:customStyle="1" w:styleId="Re">
    <w:name w:val="Re"/>
    <w:basedOn w:val="Normal"/>
    <w:next w:val="Normal"/>
    <w:uiPriority w:val="99"/>
    <w:semiHidden/>
    <w:rsid w:val="007627F4"/>
    <w:pPr>
      <w:tabs>
        <w:tab w:val="left" w:pos="567"/>
      </w:tabs>
      <w:suppressAutoHyphens/>
      <w:autoSpaceDE w:val="0"/>
      <w:autoSpaceDN w:val="0"/>
      <w:adjustRightInd w:val="0"/>
      <w:spacing w:line="250" w:lineRule="atLeast"/>
      <w:ind w:left="567" w:hanging="567"/>
      <w:textAlignment w:val="center"/>
    </w:pPr>
    <w:rPr>
      <w:rFonts w:cs="Arial (TT)"/>
      <w:b/>
      <w:color w:val="000000"/>
      <w:lang w:val="en-GB"/>
    </w:rPr>
  </w:style>
  <w:style w:type="table" w:styleId="TableGrid">
    <w:name w:val="Table Grid"/>
    <w:aliases w:val="Basic Table,McLL Table General Text,DPS Table Grid"/>
    <w:basedOn w:val="TableNormal"/>
    <w:uiPriority w:val="59"/>
    <w:rsid w:val="007627F4"/>
    <w:pPr>
      <w:spacing w:before="77" w:after="113" w:line="25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627F4"/>
    <w:pPr>
      <w:spacing w:before="100" w:beforeAutospacing="1" w:after="100" w:afterAutospacing="1"/>
      <w:ind w:left="720"/>
      <w:contextualSpacing/>
    </w:pPr>
    <w:rPr>
      <w:szCs w:val="22"/>
    </w:rPr>
  </w:style>
  <w:style w:type="paragraph" w:styleId="TOCHeading">
    <w:name w:val="TOC Heading"/>
    <w:basedOn w:val="Heading1"/>
    <w:next w:val="Normal"/>
    <w:uiPriority w:val="99"/>
    <w:qFormat/>
    <w:rsid w:val="007627F4"/>
    <w:pPr>
      <w:spacing w:before="100" w:beforeAutospacing="1" w:after="480"/>
      <w:outlineLvl w:val="9"/>
    </w:pPr>
  </w:style>
  <w:style w:type="paragraph" w:styleId="BodyText">
    <w:name w:val="Body Text"/>
    <w:basedOn w:val="Normal"/>
    <w:link w:val="BodyTextChar"/>
    <w:qFormat/>
    <w:rsid w:val="007627F4"/>
    <w:pPr>
      <w:spacing w:before="200"/>
    </w:pPr>
    <w:rPr>
      <w:szCs w:val="22"/>
    </w:rPr>
  </w:style>
  <w:style w:type="character" w:customStyle="1" w:styleId="BodyTextChar">
    <w:name w:val="Body Text Char"/>
    <w:basedOn w:val="DefaultParagraphFont"/>
    <w:link w:val="BodyText"/>
    <w:rsid w:val="007627F4"/>
    <w:rPr>
      <w:sz w:val="20"/>
    </w:rPr>
  </w:style>
  <w:style w:type="table" w:customStyle="1" w:styleId="Coffey">
    <w:name w:val="Coffey"/>
    <w:basedOn w:val="TableNormal"/>
    <w:uiPriority w:val="99"/>
    <w:rsid w:val="007627F4"/>
    <w:pPr>
      <w:spacing w:before="100" w:beforeAutospacing="1" w:after="100" w:afterAutospacing="1" w:line="240" w:lineRule="auto"/>
    </w:pPr>
    <w:rPr>
      <w:sz w:val="18"/>
      <w:szCs w:val="20"/>
    </w:rPr>
    <w:tblPr>
      <w:tblStyleRowBandSize w:val="1"/>
      <w:tblStyleColBandSize w:val="1"/>
      <w:tblBorders>
        <w:top w:val="single" w:sz="4" w:space="0" w:color="A6E1B0" w:themeColor="accent1" w:themeTint="99"/>
        <w:left w:val="single" w:sz="4" w:space="0" w:color="A6E1B0" w:themeColor="accent1" w:themeTint="99"/>
        <w:bottom w:val="single" w:sz="4" w:space="0" w:color="A6E1B0" w:themeColor="accent1" w:themeTint="99"/>
        <w:right w:val="single" w:sz="4" w:space="0" w:color="A6E1B0" w:themeColor="accent1" w:themeTint="99"/>
        <w:insideH w:val="single" w:sz="4" w:space="0" w:color="A6E1B0" w:themeColor="accent1" w:themeTint="99"/>
        <w:insideV w:val="single" w:sz="4" w:space="0" w:color="A6E1B0"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A6E1B0" w:themeColor="accent1" w:themeTint="99"/>
          <w:left w:val="single" w:sz="4" w:space="0" w:color="A6E1B0" w:themeColor="accent1" w:themeTint="99"/>
          <w:bottom w:val="single" w:sz="4" w:space="0" w:color="A6E1B0" w:themeColor="accent1" w:themeTint="99"/>
          <w:right w:val="single" w:sz="4" w:space="0" w:color="A6E1B0" w:themeColor="accent1" w:themeTint="99"/>
          <w:insideH w:val="single" w:sz="4" w:space="0" w:color="A6E1B0" w:themeColor="accent1" w:themeTint="99"/>
          <w:insideV w:val="single" w:sz="4" w:space="0" w:color="A6E1B0" w:themeColor="accent1" w:themeTint="99"/>
          <w:tl2br w:val="nil"/>
          <w:tr2bl w:val="nil"/>
        </w:tcBorders>
        <w:shd w:val="clear" w:color="auto" w:fill="6CCE7D" w:themeFill="accent1"/>
      </w:tcPr>
    </w:tblStylePr>
    <w:tblStylePr w:type="lastRow">
      <w:tblPr/>
      <w:tcPr>
        <w:tcBorders>
          <w:top w:val="double" w:sz="4" w:space="0" w:color="A6E1B0" w:themeColor="accent1" w:themeTint="99"/>
          <w:left w:val="double" w:sz="4" w:space="0" w:color="A6E1B0" w:themeColor="accent1" w:themeTint="99"/>
          <w:bottom w:val="double" w:sz="4" w:space="0" w:color="A6E1B0" w:themeColor="accent1" w:themeTint="99"/>
          <w:right w:val="double" w:sz="4" w:space="0" w:color="A6E1B0" w:themeColor="accent1" w:themeTint="99"/>
          <w:insideH w:val="double" w:sz="4" w:space="0" w:color="A6E1B0" w:themeColor="accent1" w:themeTint="99"/>
          <w:insideV w:val="double" w:sz="4" w:space="0" w:color="A6E1B0" w:themeColor="accent1" w:themeTint="99"/>
          <w:tl2br w:val="nil"/>
          <w:tr2bl w:val="nil"/>
        </w:tcBorders>
        <w:shd w:val="clear" w:color="auto" w:fill="auto"/>
      </w:tcPr>
    </w:tblStylePr>
    <w:tblStylePr w:type="firstCol">
      <w:rPr>
        <w:b/>
        <w:i w:val="0"/>
        <w:color w:val="FFFFFF" w:themeColor="background1"/>
      </w:rPr>
      <w:tblPr/>
      <w:tcPr>
        <w:tcBorders>
          <w:top w:val="single" w:sz="4" w:space="0" w:color="A6E1B0" w:themeColor="accent1" w:themeTint="99"/>
          <w:left w:val="single" w:sz="4" w:space="0" w:color="A6E1B0" w:themeColor="accent1" w:themeTint="99"/>
          <w:bottom w:val="single" w:sz="4" w:space="0" w:color="A6E1B0" w:themeColor="accent1" w:themeTint="99"/>
          <w:right w:val="single" w:sz="4" w:space="0" w:color="A6E1B0" w:themeColor="accent1" w:themeTint="99"/>
          <w:insideH w:val="nil"/>
          <w:insideV w:val="nil"/>
          <w:tl2br w:val="nil"/>
          <w:tr2bl w:val="nil"/>
        </w:tcBorders>
        <w:shd w:val="clear" w:color="auto" w:fill="6CCE7D" w:themeFill="accent1"/>
      </w:tcPr>
    </w:tblStylePr>
    <w:tblStylePr w:type="lastCol">
      <w:tblPr/>
      <w:tcPr>
        <w:tcBorders>
          <w:top w:val="double" w:sz="4" w:space="0" w:color="A6E1B0" w:themeColor="accent1" w:themeTint="99"/>
          <w:left w:val="double" w:sz="4" w:space="0" w:color="A6E1B0" w:themeColor="accent1" w:themeTint="99"/>
          <w:bottom w:val="double" w:sz="4" w:space="0" w:color="A6E1B0" w:themeColor="accent1" w:themeTint="99"/>
          <w:right w:val="double" w:sz="4" w:space="0" w:color="A6E1B0" w:themeColor="accent1" w:themeTint="99"/>
          <w:insideH w:val="nil"/>
          <w:insideV w:val="nil"/>
          <w:tl2br w:val="nil"/>
          <w:tr2bl w:val="nil"/>
        </w:tcBorders>
        <w:shd w:val="clear" w:color="auto" w:fill="auto"/>
      </w:tcPr>
    </w:tblStylePr>
    <w:tblStylePr w:type="band1Vert">
      <w:tblPr/>
      <w:tcPr>
        <w:shd w:val="clear" w:color="auto" w:fill="E1F5E4" w:themeFill="accent1" w:themeFillTint="33"/>
      </w:tcPr>
    </w:tblStylePr>
    <w:tblStylePr w:type="band1Horz">
      <w:tblPr/>
      <w:tcPr>
        <w:shd w:val="clear" w:color="auto" w:fill="E1F5E4" w:themeFill="accent1" w:themeFillTint="33"/>
      </w:tcPr>
    </w:tblStylePr>
    <w:tblStylePr w:type="neCell">
      <w:tblPr/>
      <w:tcPr>
        <w:tcBorders>
          <w:top w:val="double" w:sz="4" w:space="0" w:color="A6E1B0" w:themeColor="accent1" w:themeTint="99"/>
          <w:left w:val="double" w:sz="4" w:space="0" w:color="A6E1B0" w:themeColor="accent1" w:themeTint="99"/>
          <w:bottom w:val="double" w:sz="4" w:space="0" w:color="A6E1B0" w:themeColor="accent1" w:themeTint="99"/>
          <w:right w:val="double" w:sz="4" w:space="0" w:color="A6E1B0" w:themeColor="accent1" w:themeTint="99"/>
          <w:insideH w:val="nil"/>
          <w:insideV w:val="nil"/>
          <w:tl2br w:val="nil"/>
          <w:tr2bl w:val="nil"/>
        </w:tcBorders>
        <w:shd w:val="clear" w:color="auto" w:fill="6CCE7D" w:themeFill="accent1"/>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6CCE7D" w:themeFill="accent1"/>
      </w:tcPr>
    </w:tblStylePr>
  </w:style>
  <w:style w:type="character" w:styleId="CommentReference">
    <w:name w:val="annotation reference"/>
    <w:basedOn w:val="DefaultParagraphFont"/>
    <w:uiPriority w:val="99"/>
    <w:semiHidden/>
    <w:unhideWhenUsed/>
    <w:rsid w:val="007627F4"/>
    <w:rPr>
      <w:sz w:val="16"/>
      <w:szCs w:val="16"/>
    </w:rPr>
  </w:style>
  <w:style w:type="paragraph" w:styleId="CommentText">
    <w:name w:val="annotation text"/>
    <w:basedOn w:val="Normal"/>
    <w:link w:val="CommentTextChar"/>
    <w:uiPriority w:val="99"/>
    <w:rsid w:val="007627F4"/>
  </w:style>
  <w:style w:type="character" w:customStyle="1" w:styleId="CommentTextChar">
    <w:name w:val="Comment Text Char"/>
    <w:basedOn w:val="DefaultParagraphFont"/>
    <w:link w:val="CommentText"/>
    <w:uiPriority w:val="99"/>
    <w:rsid w:val="007627F4"/>
    <w:rPr>
      <w:sz w:val="20"/>
      <w:szCs w:val="20"/>
    </w:rPr>
  </w:style>
  <w:style w:type="character" w:customStyle="1" w:styleId="ListParagraphChar">
    <w:name w:val="List Paragraph Char"/>
    <w:basedOn w:val="DefaultParagraphFont"/>
    <w:link w:val="ListParagraph"/>
    <w:uiPriority w:val="34"/>
    <w:rsid w:val="007627F4"/>
    <w:rPr>
      <w:sz w:val="20"/>
    </w:rPr>
  </w:style>
  <w:style w:type="paragraph" w:customStyle="1" w:styleId="Pa4">
    <w:name w:val="Pa4"/>
    <w:basedOn w:val="Normal"/>
    <w:next w:val="Normal"/>
    <w:uiPriority w:val="99"/>
    <w:rsid w:val="007627F4"/>
    <w:pPr>
      <w:autoSpaceDE w:val="0"/>
      <w:autoSpaceDN w:val="0"/>
      <w:adjustRightInd w:val="0"/>
      <w:spacing w:after="0" w:line="221" w:lineRule="atLeast"/>
    </w:pPr>
    <w:rPr>
      <w:rFonts w:ascii="Helvetica LT Std" w:hAnsi="Helvetica LT Std"/>
      <w:sz w:val="24"/>
      <w:szCs w:val="24"/>
    </w:rPr>
  </w:style>
  <w:style w:type="paragraph" w:customStyle="1" w:styleId="IntroBodyText">
    <w:name w:val="Intro Body Text"/>
    <w:basedOn w:val="BodyText"/>
    <w:rsid w:val="007627F4"/>
    <w:pPr>
      <w:spacing w:before="120" w:after="120"/>
    </w:pPr>
    <w:rPr>
      <w:rFonts w:eastAsia="Batang" w:cs="Arial"/>
      <w:b/>
      <w:color w:val="EB6E08" w:themeColor="text2"/>
      <w:sz w:val="22"/>
      <w:szCs w:val="20"/>
      <w:lang w:eastAsia="ko-KR"/>
    </w:rPr>
  </w:style>
  <w:style w:type="paragraph" w:customStyle="1" w:styleId="HeadingLevel1NoNumber">
    <w:name w:val="HeadingLevel1NoNumber"/>
    <w:basedOn w:val="Heading1"/>
    <w:rsid w:val="007627F4"/>
    <w:pPr>
      <w:spacing w:before="240"/>
      <w:ind w:left="0" w:firstLine="0"/>
    </w:pPr>
    <w:rPr>
      <w:rFonts w:asciiTheme="minorHAnsi" w:eastAsia="Batang" w:hAnsiTheme="minorHAnsi" w:cs="Arial"/>
      <w:color w:val="002983"/>
      <w:sz w:val="44"/>
      <w:szCs w:val="80"/>
      <w:lang w:eastAsia="ko-KR"/>
    </w:rPr>
  </w:style>
  <w:style w:type="paragraph" w:styleId="BalloonText">
    <w:name w:val="Balloon Text"/>
    <w:basedOn w:val="Normal"/>
    <w:link w:val="BalloonTextChar"/>
    <w:uiPriority w:val="99"/>
    <w:semiHidden/>
    <w:unhideWhenUsed/>
    <w:rsid w:val="007627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7F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627F4"/>
    <w:rPr>
      <w:b/>
      <w:bCs/>
    </w:rPr>
  </w:style>
  <w:style w:type="character" w:customStyle="1" w:styleId="CommentSubjectChar">
    <w:name w:val="Comment Subject Char"/>
    <w:basedOn w:val="CommentTextChar"/>
    <w:link w:val="CommentSubject"/>
    <w:uiPriority w:val="99"/>
    <w:semiHidden/>
    <w:rsid w:val="007627F4"/>
    <w:rPr>
      <w:b/>
      <w:bCs/>
      <w:sz w:val="20"/>
      <w:szCs w:val="20"/>
    </w:rPr>
  </w:style>
  <w:style w:type="paragraph" w:styleId="NormalWeb">
    <w:name w:val="Normal (Web)"/>
    <w:basedOn w:val="Normal"/>
    <w:uiPriority w:val="99"/>
    <w:semiHidden/>
    <w:unhideWhenUsed/>
    <w:rsid w:val="00D22E6F"/>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22E6F"/>
    <w:rPr>
      <w:b/>
      <w:bCs/>
    </w:rPr>
  </w:style>
  <w:style w:type="character" w:customStyle="1" w:styleId="apple-converted-space">
    <w:name w:val="apple-converted-space"/>
    <w:basedOn w:val="DefaultParagraphFont"/>
    <w:rsid w:val="00D22E6F"/>
  </w:style>
  <w:style w:type="paragraph" w:customStyle="1" w:styleId="Default">
    <w:name w:val="Default"/>
    <w:uiPriority w:val="99"/>
    <w:rsid w:val="00FC699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t,Footnote Text Char Char Char,Footnote Text Char Char,Footnote,single space,ALTS FOOTNOTE,fn,FOOTNOTES,ADB,footnote text,Footnote Text Char2,Footnote Text Char1 Char,Footnote Text Char1 Char Char Char1,Footnote Text Char1 Char1 Char"/>
    <w:basedOn w:val="Normal"/>
    <w:link w:val="FootnoteTextChar"/>
    <w:unhideWhenUsed/>
    <w:qFormat/>
    <w:rsid w:val="00FB3198"/>
    <w:pPr>
      <w:spacing w:after="0"/>
    </w:pPr>
    <w:rPr>
      <w:rFonts w:ascii="Calibri" w:eastAsia="Calibri" w:hAnsi="Calibri" w:cs="Times New Roman"/>
    </w:rPr>
  </w:style>
  <w:style w:type="character" w:customStyle="1" w:styleId="FootnoteTextChar">
    <w:name w:val="Footnote Text Char"/>
    <w:aliases w:val="ft Char,Footnote Text Char Char Char Char,Footnote Text Char Char Char1,Footnote Char,single space Char,ALTS FOOTNOTE Char,fn Char,FOOTNOTES Char,ADB Char,footnote text Char,Footnote Text Char2 Char,Footnote Text Char1 Char Char"/>
    <w:basedOn w:val="DefaultParagraphFont"/>
    <w:link w:val="FootnoteText"/>
    <w:rsid w:val="00FB3198"/>
    <w:rPr>
      <w:rFonts w:ascii="Calibri" w:eastAsia="Calibri" w:hAnsi="Calibri" w:cs="Times New Roman"/>
      <w:sz w:val="20"/>
      <w:szCs w:val="20"/>
    </w:rPr>
  </w:style>
  <w:style w:type="character" w:styleId="FootnoteReference">
    <w:name w:val="footnote reference"/>
    <w:aliases w:val="Normal + Font:9 Point,Superscript 3 Point Times,ftref,fr,16 Point,Superscript 6 Point,Ref,de nota al pie,(NECG) Footnote Reference,footnote ref,Fußnotenzeichen DISS,BVI fnr,Char Char Char Char Car Char"/>
    <w:uiPriority w:val="99"/>
    <w:unhideWhenUsed/>
    <w:rsid w:val="00FB3198"/>
    <w:rPr>
      <w:vertAlign w:val="superscript"/>
    </w:rPr>
  </w:style>
  <w:style w:type="paragraph" w:customStyle="1" w:styleId="BodyCopy">
    <w:name w:val="Body Copy"/>
    <w:link w:val="BodyCopyChar"/>
    <w:qFormat/>
    <w:rsid w:val="00BC026E"/>
    <w:pPr>
      <w:suppressAutoHyphens/>
      <w:autoSpaceDE w:val="0"/>
      <w:autoSpaceDN w:val="0"/>
      <w:adjustRightInd w:val="0"/>
      <w:spacing w:before="160" w:after="160" w:line="240" w:lineRule="auto"/>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rsid w:val="00BC026E"/>
    <w:rPr>
      <w:rFonts w:ascii="Arial" w:hAnsi="Arial" w:cs="Arial (TT)"/>
      <w:color w:val="000000"/>
      <w:sz w:val="20"/>
      <w:szCs w:val="20"/>
      <w:lang w:val="en-GB"/>
    </w:rPr>
  </w:style>
  <w:style w:type="paragraph" w:styleId="Revision">
    <w:name w:val="Revision"/>
    <w:hidden/>
    <w:uiPriority w:val="99"/>
    <w:semiHidden/>
    <w:rsid w:val="00F52E8C"/>
    <w:pPr>
      <w:spacing w:after="0" w:line="240" w:lineRule="auto"/>
    </w:pPr>
    <w:rPr>
      <w:sz w:val="20"/>
      <w:szCs w:val="20"/>
    </w:rPr>
  </w:style>
  <w:style w:type="table" w:styleId="LightList-Accent1">
    <w:name w:val="Light List Accent 1"/>
    <w:basedOn w:val="TableNormal"/>
    <w:uiPriority w:val="61"/>
    <w:rsid w:val="00D158E6"/>
    <w:pPr>
      <w:spacing w:after="0" w:line="240" w:lineRule="auto"/>
    </w:pPr>
    <w:rPr>
      <w:rFonts w:eastAsiaTheme="minorEastAsia"/>
      <w:sz w:val="24"/>
      <w:szCs w:val="24"/>
      <w:lang w:val="en-US"/>
    </w:rPr>
    <w:tblPr>
      <w:tblStyleRowBandSize w:val="1"/>
      <w:tblStyleColBandSize w:val="1"/>
      <w:tblBorders>
        <w:top w:val="single" w:sz="8" w:space="0" w:color="6CCE7D" w:themeColor="accent1"/>
        <w:left w:val="single" w:sz="8" w:space="0" w:color="6CCE7D" w:themeColor="accent1"/>
        <w:bottom w:val="single" w:sz="8" w:space="0" w:color="6CCE7D" w:themeColor="accent1"/>
        <w:right w:val="single" w:sz="8" w:space="0" w:color="6CCE7D" w:themeColor="accent1"/>
      </w:tblBorders>
    </w:tblPr>
    <w:tblStylePr w:type="firstRow">
      <w:pPr>
        <w:spacing w:before="0" w:after="0" w:line="240" w:lineRule="auto"/>
      </w:pPr>
      <w:rPr>
        <w:b/>
        <w:bCs/>
        <w:color w:val="FFFFFF" w:themeColor="background1"/>
      </w:rPr>
      <w:tblPr/>
      <w:tcPr>
        <w:shd w:val="clear" w:color="auto" w:fill="6CCE7D" w:themeFill="accent1"/>
      </w:tcPr>
    </w:tblStylePr>
    <w:tblStylePr w:type="lastRow">
      <w:pPr>
        <w:spacing w:before="0" w:after="0" w:line="240" w:lineRule="auto"/>
      </w:pPr>
      <w:rPr>
        <w:b/>
        <w:bCs/>
      </w:rPr>
      <w:tblPr/>
      <w:tcPr>
        <w:tcBorders>
          <w:top w:val="double" w:sz="6" w:space="0" w:color="6CCE7D" w:themeColor="accent1"/>
          <w:left w:val="single" w:sz="8" w:space="0" w:color="6CCE7D" w:themeColor="accent1"/>
          <w:bottom w:val="single" w:sz="8" w:space="0" w:color="6CCE7D" w:themeColor="accent1"/>
          <w:right w:val="single" w:sz="8" w:space="0" w:color="6CCE7D" w:themeColor="accent1"/>
        </w:tcBorders>
      </w:tcPr>
    </w:tblStylePr>
    <w:tblStylePr w:type="firstCol">
      <w:rPr>
        <w:b/>
        <w:bCs/>
      </w:rPr>
    </w:tblStylePr>
    <w:tblStylePr w:type="lastCol">
      <w:rPr>
        <w:b/>
        <w:bCs/>
      </w:rPr>
    </w:tblStylePr>
    <w:tblStylePr w:type="band1Vert">
      <w:tblPr/>
      <w:tcPr>
        <w:tcBorders>
          <w:top w:val="single" w:sz="8" w:space="0" w:color="6CCE7D" w:themeColor="accent1"/>
          <w:left w:val="single" w:sz="8" w:space="0" w:color="6CCE7D" w:themeColor="accent1"/>
          <w:bottom w:val="single" w:sz="8" w:space="0" w:color="6CCE7D" w:themeColor="accent1"/>
          <w:right w:val="single" w:sz="8" w:space="0" w:color="6CCE7D" w:themeColor="accent1"/>
        </w:tcBorders>
      </w:tcPr>
    </w:tblStylePr>
    <w:tblStylePr w:type="band1Horz">
      <w:tblPr/>
      <w:tcPr>
        <w:tcBorders>
          <w:top w:val="single" w:sz="8" w:space="0" w:color="6CCE7D" w:themeColor="accent1"/>
          <w:left w:val="single" w:sz="8" w:space="0" w:color="6CCE7D" w:themeColor="accent1"/>
          <w:bottom w:val="single" w:sz="8" w:space="0" w:color="6CCE7D" w:themeColor="accent1"/>
          <w:right w:val="single" w:sz="8" w:space="0" w:color="6CCE7D" w:themeColor="accent1"/>
        </w:tcBorders>
      </w:tcPr>
    </w:tblStylePr>
  </w:style>
  <w:style w:type="paragraph" w:customStyle="1" w:styleId="Tableheading">
    <w:name w:val="Table heading"/>
    <w:basedOn w:val="BodyText"/>
    <w:qFormat/>
    <w:rsid w:val="00BF4884"/>
    <w:pPr>
      <w:spacing w:after="120" w:line="264" w:lineRule="auto"/>
    </w:pPr>
    <w:rPr>
      <w:rFonts w:cs="Times New Roman"/>
      <w:b/>
      <w:szCs w:val="20"/>
    </w:rPr>
  </w:style>
  <w:style w:type="paragraph" w:customStyle="1" w:styleId="BodyCopyBold">
    <w:name w:val="Body Copy Bold"/>
    <w:basedOn w:val="BodyCopy"/>
    <w:uiPriority w:val="99"/>
    <w:rsid w:val="00BC026E"/>
    <w:rPr>
      <w:b/>
    </w:rPr>
  </w:style>
  <w:style w:type="paragraph" w:styleId="TOC2">
    <w:name w:val="toc 2"/>
    <w:basedOn w:val="Normal"/>
    <w:next w:val="Normal"/>
    <w:autoRedefine/>
    <w:uiPriority w:val="39"/>
    <w:unhideWhenUsed/>
    <w:rsid w:val="00814472"/>
    <w:pPr>
      <w:tabs>
        <w:tab w:val="right" w:leader="dot" w:pos="9214"/>
        <w:tab w:val="right" w:leader="dot" w:pos="9288"/>
      </w:tabs>
      <w:spacing w:after="100"/>
      <w:ind w:left="851" w:hanging="425"/>
    </w:pPr>
    <w:rPr>
      <w:noProof/>
      <w:spacing w:val="-2"/>
    </w:rPr>
  </w:style>
  <w:style w:type="paragraph" w:styleId="TOC3">
    <w:name w:val="toc 3"/>
    <w:basedOn w:val="Normal"/>
    <w:next w:val="Normal"/>
    <w:autoRedefine/>
    <w:uiPriority w:val="39"/>
    <w:unhideWhenUsed/>
    <w:rsid w:val="004D5223"/>
    <w:pPr>
      <w:tabs>
        <w:tab w:val="right" w:leader="dot" w:pos="9214"/>
        <w:tab w:val="right" w:leader="dot" w:pos="9288"/>
      </w:tabs>
      <w:spacing w:after="100"/>
      <w:ind w:left="1418" w:hanging="567"/>
    </w:pPr>
    <w:rPr>
      <w:rFonts w:eastAsiaTheme="minorEastAsia"/>
      <w:noProof/>
      <w:lang w:eastAsia="ko-KR"/>
    </w:rPr>
  </w:style>
  <w:style w:type="paragraph" w:customStyle="1" w:styleId="BODY">
    <w:name w:val="BODY"/>
    <w:basedOn w:val="Normal"/>
    <w:uiPriority w:val="99"/>
    <w:rsid w:val="0093531A"/>
    <w:pPr>
      <w:suppressAutoHyphens/>
      <w:autoSpaceDE w:val="0"/>
      <w:autoSpaceDN w:val="0"/>
      <w:adjustRightInd w:val="0"/>
      <w:spacing w:after="170" w:line="480" w:lineRule="atLeast"/>
      <w:textAlignment w:val="center"/>
    </w:pPr>
    <w:rPr>
      <w:rFonts w:ascii="HelveticaNeueLT Std" w:hAnsi="HelveticaNeueLT Std" w:cs="HelveticaNeueLT Std"/>
      <w:color w:val="000000"/>
      <w:spacing w:val="4"/>
      <w:sz w:val="40"/>
      <w:szCs w:val="40"/>
      <w:lang w:val="en-GB"/>
    </w:rPr>
  </w:style>
  <w:style w:type="paragraph" w:styleId="Quote">
    <w:name w:val="Quote"/>
    <w:basedOn w:val="BODY"/>
    <w:link w:val="QuoteChar"/>
    <w:uiPriority w:val="3"/>
    <w:qFormat/>
    <w:rsid w:val="0093531A"/>
    <w:pPr>
      <w:spacing w:line="840" w:lineRule="atLeast"/>
    </w:pPr>
    <w:rPr>
      <w:b/>
      <w:bCs/>
      <w:color w:val="A9599E"/>
      <w:spacing w:val="8"/>
      <w:sz w:val="76"/>
      <w:szCs w:val="76"/>
    </w:rPr>
  </w:style>
  <w:style w:type="character" w:customStyle="1" w:styleId="QuoteChar">
    <w:name w:val="Quote Char"/>
    <w:basedOn w:val="DefaultParagraphFont"/>
    <w:link w:val="Quote"/>
    <w:uiPriority w:val="3"/>
    <w:rsid w:val="0093531A"/>
    <w:rPr>
      <w:rFonts w:ascii="HelveticaNeueLT Std" w:hAnsi="HelveticaNeueLT Std" w:cs="HelveticaNeueLT Std"/>
      <w:b/>
      <w:bCs/>
      <w:color w:val="A9599E"/>
      <w:spacing w:val="8"/>
      <w:sz w:val="76"/>
      <w:szCs w:val="76"/>
      <w:lang w:val="en-GB"/>
    </w:rPr>
  </w:style>
  <w:style w:type="paragraph" w:customStyle="1" w:styleId="footertext">
    <w:name w:val="footer text"/>
    <w:basedOn w:val="FootnoteText"/>
    <w:qFormat/>
    <w:rsid w:val="00556B22"/>
    <w:rPr>
      <w:rFonts w:ascii="Arial" w:eastAsia="Cambria" w:hAnsi="Arial" w:cs="Arial"/>
      <w:sz w:val="18"/>
      <w:szCs w:val="18"/>
      <w:lang w:val="x-none" w:eastAsia="x-none"/>
    </w:rPr>
  </w:style>
  <w:style w:type="paragraph" w:styleId="ListBullet">
    <w:name w:val="List Bullet"/>
    <w:basedOn w:val="BodyText"/>
    <w:uiPriority w:val="2"/>
    <w:qFormat/>
    <w:rsid w:val="00353459"/>
    <w:pPr>
      <w:numPr>
        <w:numId w:val="5"/>
      </w:numPr>
      <w:spacing w:before="100" w:after="100" w:line="240" w:lineRule="atLeast"/>
      <w:ind w:left="318" w:hanging="284"/>
    </w:pPr>
    <w:rPr>
      <w:rFonts w:ascii="Arial" w:eastAsia="Arial" w:hAnsi="Arial" w:cs="Arial"/>
      <w:color w:val="000000"/>
      <w:spacing w:val="-4"/>
    </w:rPr>
  </w:style>
  <w:style w:type="paragraph" w:styleId="ListBullet2">
    <w:name w:val="List Bullet 2"/>
    <w:basedOn w:val="BodyText"/>
    <w:uiPriority w:val="2"/>
    <w:qFormat/>
    <w:rsid w:val="00353459"/>
    <w:pPr>
      <w:numPr>
        <w:ilvl w:val="1"/>
        <w:numId w:val="5"/>
      </w:numPr>
      <w:spacing w:before="100" w:beforeAutospacing="1" w:after="100" w:afterAutospacing="1" w:line="264" w:lineRule="auto"/>
      <w:contextualSpacing/>
    </w:pPr>
    <w:rPr>
      <w:rFonts w:ascii="Arial" w:eastAsia="Arial" w:hAnsi="Arial" w:cs="Times New Roman"/>
    </w:rPr>
  </w:style>
  <w:style w:type="paragraph" w:styleId="ListBullet3">
    <w:name w:val="List Bullet 3"/>
    <w:basedOn w:val="BodyText"/>
    <w:uiPriority w:val="2"/>
    <w:qFormat/>
    <w:rsid w:val="00353459"/>
    <w:pPr>
      <w:numPr>
        <w:ilvl w:val="2"/>
        <w:numId w:val="5"/>
      </w:numPr>
      <w:spacing w:before="100" w:beforeAutospacing="1" w:after="100" w:afterAutospacing="1" w:line="264" w:lineRule="auto"/>
      <w:contextualSpacing/>
    </w:pPr>
    <w:rPr>
      <w:rFonts w:ascii="Arial" w:eastAsia="Arial" w:hAnsi="Arial" w:cs="Times New Roman"/>
    </w:rPr>
  </w:style>
  <w:style w:type="numbering" w:customStyle="1" w:styleId="ListBullets">
    <w:name w:val="ListBullets"/>
    <w:uiPriority w:val="99"/>
    <w:rsid w:val="00353459"/>
    <w:pPr>
      <w:numPr>
        <w:numId w:val="4"/>
      </w:numPr>
    </w:pPr>
  </w:style>
  <w:style w:type="character" w:styleId="Emphasis">
    <w:name w:val="Emphasis"/>
    <w:basedOn w:val="DefaultParagraphFont"/>
    <w:uiPriority w:val="99"/>
    <w:qFormat/>
    <w:rsid w:val="00DA3529"/>
    <w:rPr>
      <w:i/>
      <w:iCs/>
    </w:rPr>
  </w:style>
  <w:style w:type="character" w:customStyle="1" w:styleId="hvr">
    <w:name w:val="hvr"/>
    <w:basedOn w:val="DefaultParagraphFont"/>
    <w:rsid w:val="00DA3529"/>
  </w:style>
  <w:style w:type="paragraph" w:styleId="NoSpacing">
    <w:name w:val="No Spacing"/>
    <w:uiPriority w:val="99"/>
    <w:qFormat/>
    <w:rsid w:val="00AC362E"/>
    <w:pPr>
      <w:spacing w:after="0" w:line="240" w:lineRule="auto"/>
    </w:pPr>
  </w:style>
  <w:style w:type="table" w:customStyle="1" w:styleId="ListTable3-Accent31">
    <w:name w:val="List Table 3 - Accent 31"/>
    <w:basedOn w:val="TableNormal"/>
    <w:uiPriority w:val="48"/>
    <w:rsid w:val="00AC362E"/>
    <w:pPr>
      <w:spacing w:after="0" w:line="240" w:lineRule="auto"/>
    </w:pPr>
    <w:tblPr>
      <w:tblStyleRowBandSize w:val="1"/>
      <w:tblStyleColBandSize w:val="1"/>
      <w:tblBorders>
        <w:top w:val="single" w:sz="4" w:space="0" w:color="5F5CB6" w:themeColor="accent3"/>
        <w:left w:val="single" w:sz="4" w:space="0" w:color="5F5CB6" w:themeColor="accent3"/>
        <w:bottom w:val="single" w:sz="4" w:space="0" w:color="5F5CB6" w:themeColor="accent3"/>
        <w:right w:val="single" w:sz="4" w:space="0" w:color="5F5CB6" w:themeColor="accent3"/>
      </w:tblBorders>
    </w:tblPr>
    <w:tblStylePr w:type="firstRow">
      <w:rPr>
        <w:b/>
        <w:bCs/>
        <w:color w:val="FFFFFF" w:themeColor="background1"/>
      </w:rPr>
      <w:tblPr/>
      <w:tcPr>
        <w:shd w:val="clear" w:color="auto" w:fill="5F5CB6" w:themeFill="accent3"/>
      </w:tcPr>
    </w:tblStylePr>
    <w:tblStylePr w:type="lastRow">
      <w:rPr>
        <w:b/>
        <w:bCs/>
      </w:rPr>
      <w:tblPr/>
      <w:tcPr>
        <w:tcBorders>
          <w:top w:val="double" w:sz="4" w:space="0" w:color="5F5CB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CB6" w:themeColor="accent3"/>
          <w:right w:val="single" w:sz="4" w:space="0" w:color="5F5CB6" w:themeColor="accent3"/>
        </w:tcBorders>
      </w:tcPr>
    </w:tblStylePr>
    <w:tblStylePr w:type="band1Horz">
      <w:tblPr/>
      <w:tcPr>
        <w:tcBorders>
          <w:top w:val="single" w:sz="4" w:space="0" w:color="5F5CB6" w:themeColor="accent3"/>
          <w:bottom w:val="single" w:sz="4" w:space="0" w:color="5F5CB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CB6" w:themeColor="accent3"/>
          <w:left w:val="nil"/>
        </w:tcBorders>
      </w:tcPr>
    </w:tblStylePr>
    <w:tblStylePr w:type="swCell">
      <w:tblPr/>
      <w:tcPr>
        <w:tcBorders>
          <w:top w:val="double" w:sz="4" w:space="0" w:color="5F5CB6" w:themeColor="accent3"/>
          <w:right w:val="nil"/>
        </w:tcBorders>
      </w:tcPr>
    </w:tblStylePr>
  </w:style>
  <w:style w:type="numbering" w:customStyle="1" w:styleId="NoList1">
    <w:name w:val="No List1"/>
    <w:next w:val="NoList"/>
    <w:uiPriority w:val="99"/>
    <w:semiHidden/>
    <w:unhideWhenUsed/>
    <w:rsid w:val="00AC362E"/>
  </w:style>
  <w:style w:type="table" w:customStyle="1" w:styleId="TableGrid1">
    <w:name w:val="Table Grid1"/>
    <w:basedOn w:val="TableNormal"/>
    <w:next w:val="TableGrid"/>
    <w:rsid w:val="00AC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AC362E"/>
    <w:rPr>
      <w:rFonts w:cs="Sabon LT Std"/>
      <w:color w:val="000000"/>
      <w:sz w:val="20"/>
      <w:szCs w:val="20"/>
    </w:rPr>
  </w:style>
  <w:style w:type="character" w:customStyle="1" w:styleId="style35">
    <w:name w:val="style35"/>
    <w:basedOn w:val="DefaultParagraphFont"/>
    <w:rsid w:val="00AC362E"/>
  </w:style>
  <w:style w:type="character" w:customStyle="1" w:styleId="A5">
    <w:name w:val="A5"/>
    <w:uiPriority w:val="99"/>
    <w:rsid w:val="00AC362E"/>
    <w:rPr>
      <w:rFonts w:cs="Adobe Garamond Pro"/>
      <w:color w:val="000000"/>
      <w:sz w:val="20"/>
      <w:szCs w:val="20"/>
    </w:rPr>
  </w:style>
  <w:style w:type="paragraph" w:customStyle="1" w:styleId="Pa7">
    <w:name w:val="Pa7"/>
    <w:basedOn w:val="Default"/>
    <w:next w:val="Default"/>
    <w:uiPriority w:val="99"/>
    <w:rsid w:val="00AC362E"/>
    <w:pPr>
      <w:spacing w:line="241" w:lineRule="atLeast"/>
    </w:pPr>
    <w:rPr>
      <w:rFonts w:ascii="Adobe Garamond Pro" w:hAnsi="Adobe Garamond Pro" w:cstheme="minorBidi"/>
      <w:color w:val="auto"/>
    </w:rPr>
  </w:style>
  <w:style w:type="character" w:customStyle="1" w:styleId="A3">
    <w:name w:val="A3"/>
    <w:uiPriority w:val="99"/>
    <w:rsid w:val="00AC362E"/>
    <w:rPr>
      <w:rFonts w:cs="Adobe Garamond Pro"/>
      <w:color w:val="000000"/>
      <w:sz w:val="22"/>
      <w:szCs w:val="22"/>
    </w:rPr>
  </w:style>
  <w:style w:type="paragraph" w:customStyle="1" w:styleId="Pa1">
    <w:name w:val="Pa1"/>
    <w:basedOn w:val="Default"/>
    <w:next w:val="Default"/>
    <w:uiPriority w:val="99"/>
    <w:rsid w:val="00AC362E"/>
    <w:pPr>
      <w:spacing w:line="241" w:lineRule="atLeast"/>
    </w:pPr>
    <w:rPr>
      <w:rFonts w:ascii="Adobe Garamond Pro" w:hAnsi="Adobe Garamond Pro" w:cstheme="minorBidi"/>
      <w:color w:val="auto"/>
    </w:rPr>
  </w:style>
  <w:style w:type="character" w:customStyle="1" w:styleId="updated-short-citation1">
    <w:name w:val="updated-short-citation1"/>
    <w:rsid w:val="00AC362E"/>
    <w:rPr>
      <w:i w:val="0"/>
      <w:iCs w:val="0"/>
    </w:rPr>
  </w:style>
  <w:style w:type="character" w:customStyle="1" w:styleId="refauth2">
    <w:name w:val="refauth2"/>
    <w:basedOn w:val="DefaultParagraphFont"/>
    <w:rsid w:val="00AC362E"/>
    <w:rPr>
      <w:b/>
      <w:bCs/>
      <w:color w:val="111188"/>
    </w:rPr>
  </w:style>
  <w:style w:type="character" w:customStyle="1" w:styleId="refyear1">
    <w:name w:val="refyear1"/>
    <w:basedOn w:val="DefaultParagraphFont"/>
    <w:rsid w:val="00AC362E"/>
    <w:rPr>
      <w:color w:val="881111"/>
    </w:rPr>
  </w:style>
  <w:style w:type="character" w:customStyle="1" w:styleId="refsource1">
    <w:name w:val="refsource1"/>
    <w:basedOn w:val="DefaultParagraphFont"/>
    <w:rsid w:val="00AC362E"/>
    <w:rPr>
      <w:i/>
      <w:iCs/>
    </w:rPr>
  </w:style>
  <w:style w:type="paragraph" w:styleId="PlainText">
    <w:name w:val="Plain Text"/>
    <w:aliases w:val="Char"/>
    <w:basedOn w:val="Normal"/>
    <w:link w:val="PlainTextChar"/>
    <w:uiPriority w:val="99"/>
    <w:unhideWhenUsed/>
    <w:rsid w:val="00AC362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PlainTextChar">
    <w:name w:val="Plain Text Char"/>
    <w:aliases w:val="Char Char"/>
    <w:basedOn w:val="DefaultParagraphFont"/>
    <w:link w:val="PlainText"/>
    <w:uiPriority w:val="99"/>
    <w:rsid w:val="00AC362E"/>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99"/>
    <w:qFormat/>
    <w:rsid w:val="00AC362E"/>
    <w:pPr>
      <w:pBdr>
        <w:bottom w:val="single" w:sz="8" w:space="4" w:color="6CCE7D" w:themeColor="accent1"/>
      </w:pBdr>
      <w:spacing w:after="300"/>
      <w:contextualSpacing/>
    </w:pPr>
    <w:rPr>
      <w:rFonts w:asciiTheme="majorHAnsi" w:eastAsiaTheme="majorEastAsia" w:hAnsiTheme="majorHAnsi" w:cstheme="majorBidi"/>
      <w:color w:val="AF5206" w:themeColor="text2" w:themeShade="BF"/>
      <w:spacing w:val="5"/>
      <w:kern w:val="28"/>
      <w:sz w:val="52"/>
      <w:szCs w:val="52"/>
    </w:rPr>
  </w:style>
  <w:style w:type="character" w:customStyle="1" w:styleId="TitleChar">
    <w:name w:val="Title Char"/>
    <w:basedOn w:val="DefaultParagraphFont"/>
    <w:link w:val="Title"/>
    <w:uiPriority w:val="99"/>
    <w:rsid w:val="00AC362E"/>
    <w:rPr>
      <w:rFonts w:asciiTheme="majorHAnsi" w:eastAsiaTheme="majorEastAsia" w:hAnsiTheme="majorHAnsi" w:cstheme="majorBidi"/>
      <w:color w:val="AF5206" w:themeColor="text2" w:themeShade="BF"/>
      <w:spacing w:val="5"/>
      <w:kern w:val="28"/>
      <w:sz w:val="52"/>
      <w:szCs w:val="52"/>
    </w:rPr>
  </w:style>
  <w:style w:type="paragraph" w:styleId="Subtitle">
    <w:name w:val="Subtitle"/>
    <w:basedOn w:val="Normal"/>
    <w:next w:val="Normal"/>
    <w:link w:val="SubtitleChar"/>
    <w:uiPriority w:val="99"/>
    <w:qFormat/>
    <w:rsid w:val="00AC362E"/>
    <w:pPr>
      <w:numPr>
        <w:ilvl w:val="1"/>
      </w:numPr>
      <w:spacing w:line="276" w:lineRule="auto"/>
    </w:pPr>
    <w:rPr>
      <w:rFonts w:asciiTheme="majorHAnsi" w:eastAsiaTheme="majorEastAsia" w:hAnsiTheme="majorHAnsi" w:cstheme="majorBidi"/>
      <w:i/>
      <w:iCs/>
      <w:color w:val="6CCE7D" w:themeColor="accent1"/>
      <w:spacing w:val="15"/>
      <w:sz w:val="24"/>
      <w:szCs w:val="24"/>
    </w:rPr>
  </w:style>
  <w:style w:type="character" w:customStyle="1" w:styleId="SubtitleChar">
    <w:name w:val="Subtitle Char"/>
    <w:basedOn w:val="DefaultParagraphFont"/>
    <w:link w:val="Subtitle"/>
    <w:uiPriority w:val="99"/>
    <w:rsid w:val="00AC362E"/>
    <w:rPr>
      <w:rFonts w:asciiTheme="majorHAnsi" w:eastAsiaTheme="majorEastAsia" w:hAnsiTheme="majorHAnsi" w:cstheme="majorBidi"/>
      <w:i/>
      <w:iCs/>
      <w:color w:val="6CCE7D" w:themeColor="accent1"/>
      <w:spacing w:val="15"/>
      <w:sz w:val="24"/>
      <w:szCs w:val="24"/>
    </w:rPr>
  </w:style>
  <w:style w:type="table" w:styleId="MediumGrid1-Accent5">
    <w:name w:val="Medium Grid 1 Accent 5"/>
    <w:basedOn w:val="TableNormal"/>
    <w:uiPriority w:val="67"/>
    <w:rsid w:val="00AC362E"/>
    <w:pPr>
      <w:spacing w:after="0" w:line="240" w:lineRule="auto"/>
    </w:pPr>
    <w:tblPr>
      <w:tblStyleRowBandSize w:val="1"/>
      <w:tblStyleColBandSize w:val="1"/>
      <w:tbl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single" w:sz="8" w:space="0" w:color="CAD7DF" w:themeColor="accent5" w:themeTint="BF"/>
        <w:insideV w:val="single" w:sz="8" w:space="0" w:color="CAD7DF" w:themeColor="accent5" w:themeTint="BF"/>
      </w:tblBorders>
    </w:tblPr>
    <w:tcPr>
      <w:shd w:val="clear" w:color="auto" w:fill="EDF1F4" w:themeFill="accent5" w:themeFillTint="3F"/>
    </w:tcPr>
    <w:tblStylePr w:type="firstRow">
      <w:rPr>
        <w:b/>
        <w:bCs/>
      </w:rPr>
    </w:tblStylePr>
    <w:tblStylePr w:type="lastRow">
      <w:rPr>
        <w:b/>
        <w:bCs/>
      </w:rPr>
      <w:tblPr/>
      <w:tcPr>
        <w:tcBorders>
          <w:top w:val="single" w:sz="18" w:space="0" w:color="CAD7DF" w:themeColor="accent5" w:themeTint="BF"/>
        </w:tcBorders>
      </w:tcPr>
    </w:tblStylePr>
    <w:tblStylePr w:type="firstCol">
      <w:rPr>
        <w:b/>
        <w:bCs/>
      </w:rPr>
    </w:tblStylePr>
    <w:tblStylePr w:type="lastCol">
      <w:rPr>
        <w:b/>
        <w:bCs/>
      </w:rPr>
    </w:tblStylePr>
    <w:tblStylePr w:type="band1Vert">
      <w:tblPr/>
      <w:tcPr>
        <w:shd w:val="clear" w:color="auto" w:fill="DCE4EA" w:themeFill="accent5" w:themeFillTint="7F"/>
      </w:tcPr>
    </w:tblStylePr>
    <w:tblStylePr w:type="band1Horz">
      <w:tblPr/>
      <w:tcPr>
        <w:shd w:val="clear" w:color="auto" w:fill="DCE4EA" w:themeFill="accent5" w:themeFillTint="7F"/>
      </w:tcPr>
    </w:tblStylePr>
  </w:style>
  <w:style w:type="table" w:styleId="MediumGrid2-Accent1">
    <w:name w:val="Medium Grid 2 Accent 1"/>
    <w:basedOn w:val="TableNormal"/>
    <w:uiPriority w:val="68"/>
    <w:rsid w:val="00AC362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CCE7D" w:themeColor="accent1"/>
        <w:left w:val="single" w:sz="8" w:space="0" w:color="6CCE7D" w:themeColor="accent1"/>
        <w:bottom w:val="single" w:sz="8" w:space="0" w:color="6CCE7D" w:themeColor="accent1"/>
        <w:right w:val="single" w:sz="8" w:space="0" w:color="6CCE7D" w:themeColor="accent1"/>
        <w:insideH w:val="single" w:sz="8" w:space="0" w:color="6CCE7D" w:themeColor="accent1"/>
        <w:insideV w:val="single" w:sz="8" w:space="0" w:color="6CCE7D" w:themeColor="accent1"/>
      </w:tblBorders>
    </w:tblPr>
    <w:tcPr>
      <w:shd w:val="clear" w:color="auto" w:fill="DAF2DE" w:themeFill="accent1" w:themeFillTint="3F"/>
    </w:tcPr>
    <w:tblStylePr w:type="firstRow">
      <w:rPr>
        <w:b/>
        <w:bCs/>
        <w:color w:val="000000" w:themeColor="text1"/>
      </w:rPr>
      <w:tblPr/>
      <w:tcPr>
        <w:shd w:val="clear" w:color="auto" w:fill="F0F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5E4" w:themeFill="accent1" w:themeFillTint="33"/>
      </w:tcPr>
    </w:tblStylePr>
    <w:tblStylePr w:type="band1Vert">
      <w:tblPr/>
      <w:tcPr>
        <w:shd w:val="clear" w:color="auto" w:fill="B5E6BE" w:themeFill="accent1" w:themeFillTint="7F"/>
      </w:tcPr>
    </w:tblStylePr>
    <w:tblStylePr w:type="band1Horz">
      <w:tblPr/>
      <w:tcPr>
        <w:tcBorders>
          <w:insideH w:val="single" w:sz="6" w:space="0" w:color="6CCE7D" w:themeColor="accent1"/>
          <w:insideV w:val="single" w:sz="6" w:space="0" w:color="6CCE7D" w:themeColor="accent1"/>
        </w:tcBorders>
        <w:shd w:val="clear" w:color="auto" w:fill="B5E6BE" w:themeFill="accent1"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AC36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9C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9C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9C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9C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E4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E4EA" w:themeFill="accent5" w:themeFillTint="7F"/>
      </w:tcPr>
    </w:tblStylePr>
  </w:style>
  <w:style w:type="table" w:styleId="MediumShading1-Accent5">
    <w:name w:val="Medium Shading 1 Accent 5"/>
    <w:basedOn w:val="TableNormal"/>
    <w:uiPriority w:val="63"/>
    <w:rsid w:val="00AC362E"/>
    <w:pPr>
      <w:spacing w:after="0" w:line="240" w:lineRule="auto"/>
    </w:pPr>
    <w:tblPr>
      <w:tblStyleRowBandSize w:val="1"/>
      <w:tblStyleColBandSize w:val="1"/>
      <w:tbl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single" w:sz="8" w:space="0" w:color="CAD7DF" w:themeColor="accent5" w:themeTint="BF"/>
      </w:tblBorders>
    </w:tblPr>
    <w:tblStylePr w:type="firstRow">
      <w:pPr>
        <w:spacing w:before="0" w:after="0" w:line="240" w:lineRule="auto"/>
      </w:pPr>
      <w:rPr>
        <w:b/>
        <w:bCs/>
        <w:color w:val="FFFFFF" w:themeColor="background1"/>
      </w:rPr>
      <w:tblPr/>
      <w:tcPr>
        <w:tcBorders>
          <w:top w:val="single" w:sz="8"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nil"/>
          <w:insideV w:val="nil"/>
        </w:tcBorders>
        <w:shd w:val="clear" w:color="auto" w:fill="B9CBD5" w:themeFill="accent5"/>
      </w:tcPr>
    </w:tblStylePr>
    <w:tblStylePr w:type="lastRow">
      <w:pPr>
        <w:spacing w:before="0" w:after="0" w:line="240" w:lineRule="auto"/>
      </w:pPr>
      <w:rPr>
        <w:b/>
        <w:bCs/>
      </w:rPr>
      <w:tblPr/>
      <w:tcPr>
        <w:tcBorders>
          <w:top w:val="double" w:sz="6" w:space="0" w:color="CAD7DF" w:themeColor="accent5" w:themeTint="BF"/>
          <w:left w:val="single" w:sz="8" w:space="0" w:color="CAD7DF" w:themeColor="accent5" w:themeTint="BF"/>
          <w:bottom w:val="single" w:sz="8" w:space="0" w:color="CAD7DF" w:themeColor="accent5" w:themeTint="BF"/>
          <w:right w:val="single" w:sz="8" w:space="0" w:color="CAD7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F1F4" w:themeFill="accent5" w:themeFillTint="3F"/>
      </w:tcPr>
    </w:tblStylePr>
    <w:tblStylePr w:type="band1Horz">
      <w:tblPr/>
      <w:tcPr>
        <w:tcBorders>
          <w:insideH w:val="nil"/>
          <w:insideV w:val="nil"/>
        </w:tcBorders>
        <w:shd w:val="clear" w:color="auto" w:fill="EDF1F4" w:themeFill="accent5" w:themeFillTint="3F"/>
      </w:tcPr>
    </w:tblStylePr>
    <w:tblStylePr w:type="band2Horz">
      <w:tblPr/>
      <w:tcPr>
        <w:tcBorders>
          <w:insideH w:val="nil"/>
          <w:insideV w:val="nil"/>
        </w:tcBorders>
      </w:tcPr>
    </w:tblStylePr>
  </w:style>
  <w:style w:type="paragraph" w:customStyle="1" w:styleId="author1">
    <w:name w:val="author1"/>
    <w:basedOn w:val="Normal"/>
    <w:rsid w:val="00AC362E"/>
    <w:pPr>
      <w:spacing w:after="0" w:line="270" w:lineRule="atLeast"/>
    </w:pPr>
    <w:rPr>
      <w:rFonts w:ascii="Arial" w:eastAsia="Times New Roman" w:hAnsi="Arial" w:cs="Arial"/>
      <w:i/>
      <w:iCs/>
      <w:color w:val="000000"/>
      <w:sz w:val="18"/>
      <w:szCs w:val="18"/>
      <w:lang w:eastAsia="en-AU"/>
    </w:rPr>
  </w:style>
  <w:style w:type="table" w:customStyle="1" w:styleId="TableGrid2">
    <w:name w:val="Table Grid2"/>
    <w:basedOn w:val="TableNormal"/>
    <w:next w:val="TableGrid"/>
    <w:uiPriority w:val="59"/>
    <w:rsid w:val="00AC3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style">
    <w:name w:val="PG style"/>
    <w:basedOn w:val="Normal"/>
    <w:rsid w:val="00221671"/>
    <w:pPr>
      <w:numPr>
        <w:ilvl w:val="1"/>
        <w:numId w:val="26"/>
      </w:numPr>
      <w:spacing w:after="0"/>
    </w:pPr>
    <w:rPr>
      <w:rFonts w:ascii="Arial" w:eastAsiaTheme="minorEastAsia" w:hAnsi="Arial" w:cs="Arial"/>
      <w:szCs w:val="24"/>
    </w:rPr>
  </w:style>
  <w:style w:type="paragraph" w:customStyle="1" w:styleId="tablelist">
    <w:name w:val="table list"/>
    <w:basedOn w:val="Normal"/>
    <w:rsid w:val="00221671"/>
    <w:pPr>
      <w:numPr>
        <w:numId w:val="27"/>
      </w:numPr>
      <w:spacing w:after="0"/>
    </w:pPr>
    <w:rPr>
      <w:rFonts w:ascii="Arial" w:eastAsia="Cambria" w:hAnsi="Arial" w:cs="Times New Roman"/>
      <w:sz w:val="14"/>
      <w:szCs w:val="24"/>
      <w:lang w:val="en-US"/>
    </w:rPr>
  </w:style>
  <w:style w:type="paragraph" w:customStyle="1" w:styleId="tablebullets">
    <w:name w:val="table bullets"/>
    <w:next w:val="BalloonText"/>
    <w:qFormat/>
    <w:rsid w:val="00221671"/>
    <w:pPr>
      <w:spacing w:after="0" w:line="240" w:lineRule="auto"/>
      <w:ind w:left="142" w:hanging="142"/>
    </w:pPr>
    <w:rPr>
      <w:rFonts w:asciiTheme="majorHAnsi" w:eastAsia="Times New Roman" w:hAnsiTheme="majorHAnsi" w:cs="Times New Roman"/>
      <w:sz w:val="16"/>
      <w:szCs w:val="16"/>
      <w:lang w:val="en-US"/>
    </w:rPr>
  </w:style>
  <w:style w:type="paragraph" w:customStyle="1" w:styleId="aaCalibri8">
    <w:name w:val="aa_Calibri 8"/>
    <w:qFormat/>
    <w:rsid w:val="00221671"/>
    <w:pPr>
      <w:spacing w:after="0" w:line="240" w:lineRule="auto"/>
    </w:pPr>
    <w:rPr>
      <w:rFonts w:asciiTheme="majorHAnsi" w:eastAsia="Times New Roman" w:hAnsiTheme="majorHAnsi" w:cs="Times New Roman"/>
      <w:sz w:val="16"/>
      <w:szCs w:val="16"/>
      <w:lang w:val="en-US"/>
    </w:rPr>
  </w:style>
  <w:style w:type="character" w:styleId="PageNumber">
    <w:name w:val="page number"/>
    <w:basedOn w:val="DefaultParagraphFont"/>
    <w:uiPriority w:val="99"/>
    <w:semiHidden/>
    <w:unhideWhenUsed/>
    <w:rsid w:val="00221671"/>
  </w:style>
  <w:style w:type="table" w:styleId="ColorfulGrid-Accent1">
    <w:name w:val="Colorful Grid Accent 1"/>
    <w:basedOn w:val="TableNormal"/>
    <w:uiPriority w:val="73"/>
    <w:rsid w:val="00221671"/>
    <w:pPr>
      <w:spacing w:after="0" w:line="240" w:lineRule="auto"/>
    </w:pPr>
    <w:rPr>
      <w:rFonts w:ascii="Times New Roman" w:eastAsiaTheme="minorEastAsia" w:hAnsi="Times New Roman" w:cs="Times New Roman"/>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E1F5E4" w:themeFill="accent1" w:themeFillTint="33"/>
    </w:tcPr>
    <w:tblStylePr w:type="firstRow">
      <w:rPr>
        <w:b/>
        <w:bCs/>
      </w:rPr>
      <w:tblPr/>
      <w:tcPr>
        <w:shd w:val="clear" w:color="auto" w:fill="C4EBCA" w:themeFill="accent1" w:themeFillTint="66"/>
      </w:tcPr>
    </w:tblStylePr>
    <w:tblStylePr w:type="lastRow">
      <w:rPr>
        <w:b/>
        <w:bCs/>
        <w:color w:val="000000" w:themeColor="text1"/>
      </w:rPr>
      <w:tblPr/>
      <w:tcPr>
        <w:shd w:val="clear" w:color="auto" w:fill="C4EBCA" w:themeFill="accent1" w:themeFillTint="66"/>
      </w:tcPr>
    </w:tblStylePr>
    <w:tblStylePr w:type="firstCol">
      <w:rPr>
        <w:color w:val="FFFFFF" w:themeColor="background1"/>
      </w:rPr>
      <w:tblPr/>
      <w:tcPr>
        <w:shd w:val="clear" w:color="auto" w:fill="3AB04F" w:themeFill="accent1" w:themeFillShade="BF"/>
      </w:tcPr>
    </w:tblStylePr>
    <w:tblStylePr w:type="lastCol">
      <w:rPr>
        <w:color w:val="FFFFFF" w:themeColor="background1"/>
      </w:rPr>
      <w:tblPr/>
      <w:tcPr>
        <w:shd w:val="clear" w:color="auto" w:fill="3AB04F" w:themeFill="accent1" w:themeFillShade="BF"/>
      </w:tcPr>
    </w:tblStylePr>
    <w:tblStylePr w:type="band1Vert">
      <w:tblPr/>
      <w:tcPr>
        <w:shd w:val="clear" w:color="auto" w:fill="B5E6BE" w:themeFill="accent1" w:themeFillTint="7F"/>
      </w:tcPr>
    </w:tblStylePr>
    <w:tblStylePr w:type="band1Horz">
      <w:tblPr/>
      <w:tcPr>
        <w:shd w:val="clear" w:color="auto" w:fill="B5E6BE" w:themeFill="accent1" w:themeFillTint="7F"/>
      </w:tcPr>
    </w:tblStylePr>
  </w:style>
  <w:style w:type="table" w:styleId="MediumShading2-Accent1">
    <w:name w:val="Medium Shading 2 Accent 1"/>
    <w:basedOn w:val="TableNormal"/>
    <w:uiPriority w:val="64"/>
    <w:rsid w:val="00221671"/>
    <w:pPr>
      <w:spacing w:after="0" w:line="240" w:lineRule="auto"/>
    </w:pPr>
    <w:rPr>
      <w:rFonts w:ascii="Times New Roman" w:eastAsiaTheme="minorEastAsia" w:hAnsi="Times New Roman" w:cs="Times New Roman"/>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CE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CE7D" w:themeFill="accent1"/>
      </w:tcPr>
    </w:tblStylePr>
    <w:tblStylePr w:type="lastCol">
      <w:rPr>
        <w:b/>
        <w:bCs/>
        <w:color w:val="FFFFFF" w:themeColor="background1"/>
      </w:rPr>
      <w:tblPr/>
      <w:tcPr>
        <w:tcBorders>
          <w:left w:val="nil"/>
          <w:right w:val="nil"/>
          <w:insideH w:val="nil"/>
          <w:insideV w:val="nil"/>
        </w:tcBorders>
        <w:shd w:val="clear" w:color="auto" w:fill="6CCE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221671"/>
    <w:pPr>
      <w:spacing w:after="0" w:line="240" w:lineRule="auto"/>
    </w:pPr>
    <w:rPr>
      <w:rFonts w:ascii="Times New Roman" w:eastAsiaTheme="minorEastAsia" w:hAnsi="Times New Roman" w:cs="Times New Roman"/>
      <w:color w:val="3AB04F" w:themeColor="accent1" w:themeShade="BF"/>
      <w:sz w:val="20"/>
      <w:szCs w:val="20"/>
      <w:lang w:val="en-US" w:eastAsia="ja-JP"/>
    </w:rPr>
    <w:tblPr>
      <w:tblStyleRowBandSize w:val="1"/>
      <w:tblStyleColBandSize w:val="1"/>
      <w:tblBorders>
        <w:top w:val="single" w:sz="8" w:space="0" w:color="6CCE7D" w:themeColor="accent1"/>
        <w:bottom w:val="single" w:sz="8" w:space="0" w:color="6CCE7D" w:themeColor="accent1"/>
      </w:tblBorders>
    </w:tblPr>
    <w:tblStylePr w:type="firstRow">
      <w:pPr>
        <w:spacing w:before="0" w:after="0" w:line="240" w:lineRule="auto"/>
      </w:pPr>
      <w:rPr>
        <w:b/>
        <w:bCs/>
      </w:rPr>
      <w:tblPr/>
      <w:tcPr>
        <w:tcBorders>
          <w:top w:val="single" w:sz="8" w:space="0" w:color="6CCE7D" w:themeColor="accent1"/>
          <w:left w:val="nil"/>
          <w:bottom w:val="single" w:sz="8" w:space="0" w:color="6CCE7D" w:themeColor="accent1"/>
          <w:right w:val="nil"/>
          <w:insideH w:val="nil"/>
          <w:insideV w:val="nil"/>
        </w:tcBorders>
      </w:tcPr>
    </w:tblStylePr>
    <w:tblStylePr w:type="lastRow">
      <w:pPr>
        <w:spacing w:before="0" w:after="0" w:line="240" w:lineRule="auto"/>
      </w:pPr>
      <w:rPr>
        <w:b/>
        <w:bCs/>
      </w:rPr>
      <w:tblPr/>
      <w:tcPr>
        <w:tcBorders>
          <w:top w:val="single" w:sz="8" w:space="0" w:color="6CCE7D" w:themeColor="accent1"/>
          <w:left w:val="nil"/>
          <w:bottom w:val="single" w:sz="8" w:space="0" w:color="6CCE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2DE" w:themeFill="accent1" w:themeFillTint="3F"/>
      </w:tcPr>
    </w:tblStylePr>
    <w:tblStylePr w:type="band1Horz">
      <w:tblPr/>
      <w:tcPr>
        <w:tcBorders>
          <w:left w:val="nil"/>
          <w:right w:val="nil"/>
          <w:insideH w:val="nil"/>
          <w:insideV w:val="nil"/>
        </w:tcBorders>
        <w:shd w:val="clear" w:color="auto" w:fill="DAF2DE" w:themeFill="accent1" w:themeFillTint="3F"/>
      </w:tcPr>
    </w:tblStylePr>
  </w:style>
  <w:style w:type="paragraph" w:customStyle="1" w:styleId="normalnormalheading1">
    <w:name w:val="normal normal heading 1"/>
    <w:basedOn w:val="ListParagraph"/>
    <w:qFormat/>
    <w:rsid w:val="00221671"/>
    <w:pPr>
      <w:numPr>
        <w:numId w:val="28"/>
      </w:numPr>
      <w:spacing w:before="0" w:beforeAutospacing="0" w:after="120" w:afterAutospacing="0"/>
      <w:ind w:left="993" w:hanging="284"/>
      <w:contextualSpacing w:val="0"/>
      <w:jc w:val="both"/>
    </w:pPr>
    <w:rPr>
      <w:rFonts w:ascii="Arial" w:eastAsiaTheme="minorEastAsia" w:hAnsi="Arial" w:cs="Arial"/>
      <w:sz w:val="22"/>
    </w:rPr>
  </w:style>
  <w:style w:type="paragraph" w:customStyle="1" w:styleId="Address">
    <w:name w:val="Address"/>
    <w:link w:val="AddressChar"/>
    <w:uiPriority w:val="99"/>
    <w:semiHidden/>
    <w:rsid w:val="007E04A6"/>
    <w:pPr>
      <w:spacing w:line="210" w:lineRule="exact"/>
    </w:pPr>
    <w:rPr>
      <w:rFonts w:ascii="Arial" w:hAnsi="Arial" w:cs="Arial"/>
      <w:sz w:val="18"/>
      <w:szCs w:val="18"/>
    </w:rPr>
  </w:style>
  <w:style w:type="character" w:customStyle="1" w:styleId="AddressChar">
    <w:name w:val="Address Char"/>
    <w:basedOn w:val="DefaultParagraphFont"/>
    <w:link w:val="Address"/>
    <w:uiPriority w:val="99"/>
    <w:semiHidden/>
    <w:rsid w:val="007E04A6"/>
    <w:rPr>
      <w:rFonts w:ascii="Arial" w:hAnsi="Arial" w:cs="Arial"/>
      <w:sz w:val="18"/>
      <w:szCs w:val="18"/>
    </w:rPr>
  </w:style>
  <w:style w:type="paragraph" w:customStyle="1" w:styleId="Company">
    <w:name w:val="Company"/>
    <w:link w:val="CompanyChar"/>
    <w:uiPriority w:val="99"/>
    <w:semiHidden/>
    <w:rsid w:val="007E04A6"/>
    <w:pPr>
      <w:spacing w:line="240" w:lineRule="auto"/>
    </w:pPr>
    <w:rPr>
      <w:rFonts w:ascii="Arial" w:hAnsi="Arial" w:cs="Arial"/>
      <w:b/>
      <w:sz w:val="18"/>
      <w:szCs w:val="18"/>
    </w:rPr>
  </w:style>
  <w:style w:type="character" w:customStyle="1" w:styleId="CompanyChar">
    <w:name w:val="Company Char"/>
    <w:basedOn w:val="AddressChar"/>
    <w:link w:val="Company"/>
    <w:uiPriority w:val="99"/>
    <w:semiHidden/>
    <w:rsid w:val="007E04A6"/>
    <w:rPr>
      <w:rFonts w:ascii="Arial" w:hAnsi="Arial" w:cs="Arial"/>
      <w:b/>
      <w:sz w:val="18"/>
      <w:szCs w:val="18"/>
    </w:rPr>
  </w:style>
  <w:style w:type="paragraph" w:customStyle="1" w:styleId="Name">
    <w:name w:val="Name"/>
    <w:uiPriority w:val="99"/>
    <w:semiHidden/>
    <w:rsid w:val="007E04A6"/>
    <w:pPr>
      <w:spacing w:line="240" w:lineRule="exact"/>
    </w:pPr>
    <w:rPr>
      <w:rFonts w:ascii="Arial" w:hAnsi="Arial" w:cs="Arial"/>
      <w:b/>
      <w:sz w:val="18"/>
      <w:szCs w:val="18"/>
    </w:rPr>
  </w:style>
  <w:style w:type="paragraph" w:customStyle="1" w:styleId="FeatureText">
    <w:name w:val="Feature Text"/>
    <w:uiPriority w:val="99"/>
    <w:semiHidden/>
    <w:rsid w:val="007E04A6"/>
    <w:pPr>
      <w:spacing w:line="600" w:lineRule="exact"/>
    </w:pPr>
    <w:rPr>
      <w:rFonts w:ascii="Arial" w:hAnsi="Arial"/>
      <w:color w:val="000000"/>
      <w:sz w:val="48"/>
      <w:szCs w:val="48"/>
    </w:rPr>
  </w:style>
  <w:style w:type="paragraph" w:customStyle="1" w:styleId="AppendixHead">
    <w:name w:val="Appendix Head"/>
    <w:uiPriority w:val="99"/>
    <w:semiHidden/>
    <w:rsid w:val="007E04A6"/>
    <w:pPr>
      <w:pageBreakBefore/>
      <w:spacing w:before="5387" w:line="240" w:lineRule="auto"/>
      <w:jc w:val="right"/>
    </w:pPr>
    <w:rPr>
      <w:rFonts w:ascii="Arial" w:hAnsi="Arial"/>
      <w:color w:val="000000"/>
      <w:sz w:val="48"/>
      <w:szCs w:val="48"/>
    </w:rPr>
  </w:style>
  <w:style w:type="paragraph" w:customStyle="1" w:styleId="ReportInfo">
    <w:name w:val="Report Info"/>
    <w:uiPriority w:val="99"/>
    <w:semiHidden/>
    <w:rsid w:val="007E04A6"/>
    <w:pPr>
      <w:spacing w:before="227" w:line="230" w:lineRule="exact"/>
    </w:pPr>
    <w:rPr>
      <w:rFonts w:ascii="Arial" w:hAnsi="Arial"/>
      <w:sz w:val="24"/>
      <w:szCs w:val="24"/>
    </w:rPr>
  </w:style>
  <w:style w:type="paragraph" w:customStyle="1" w:styleId="AppendixTitle">
    <w:name w:val="Appendix Title"/>
    <w:uiPriority w:val="99"/>
    <w:semiHidden/>
    <w:rsid w:val="007E04A6"/>
    <w:pPr>
      <w:spacing w:before="227" w:line="240" w:lineRule="auto"/>
      <w:ind w:left="181" w:hanging="181"/>
      <w:jc w:val="right"/>
    </w:pPr>
    <w:rPr>
      <w:rFonts w:ascii="Arial" w:hAnsi="Arial"/>
      <w:b/>
      <w:sz w:val="24"/>
      <w:szCs w:val="24"/>
    </w:rPr>
  </w:style>
  <w:style w:type="table" w:styleId="MediumShading1">
    <w:name w:val="Medium Shading 1"/>
    <w:basedOn w:val="TableNormal"/>
    <w:uiPriority w:val="63"/>
    <w:rsid w:val="007E04A6"/>
    <w:pPr>
      <w:spacing w:after="0" w:line="240" w:lineRule="auto"/>
    </w:pPr>
    <w:rPr>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2">
    <w:name w:val="Body Bullets 2"/>
    <w:basedOn w:val="Normal"/>
    <w:next w:val="ListBullet"/>
    <w:uiPriority w:val="99"/>
    <w:semiHidden/>
    <w:rsid w:val="007E04A6"/>
    <w:pPr>
      <w:tabs>
        <w:tab w:val="left" w:pos="567"/>
      </w:tabs>
      <w:spacing w:after="0" w:line="264" w:lineRule="auto"/>
      <w:ind w:left="568"/>
    </w:pPr>
    <w:rPr>
      <w:rFonts w:ascii="Arial" w:eastAsia="Arial" w:hAnsi="Arial" w:cs="Times New Roman"/>
    </w:rPr>
  </w:style>
  <w:style w:type="paragraph" w:customStyle="1" w:styleId="BodyBullets3">
    <w:name w:val="Body Bullets 3"/>
    <w:basedOn w:val="Normal"/>
    <w:next w:val="ListBullet"/>
    <w:uiPriority w:val="99"/>
    <w:semiHidden/>
    <w:rsid w:val="007E04A6"/>
    <w:pPr>
      <w:tabs>
        <w:tab w:val="left" w:pos="851"/>
      </w:tabs>
      <w:spacing w:after="0" w:line="264" w:lineRule="auto"/>
      <w:ind w:left="851"/>
    </w:pPr>
    <w:rPr>
      <w:rFonts w:ascii="Arial" w:eastAsia="Arial" w:hAnsi="Arial" w:cs="Times New Roman"/>
    </w:rPr>
  </w:style>
  <w:style w:type="paragraph" w:styleId="TableofFigures">
    <w:name w:val="table of figures"/>
    <w:basedOn w:val="Normal"/>
    <w:next w:val="Normal"/>
    <w:uiPriority w:val="99"/>
    <w:semiHidden/>
    <w:rsid w:val="007E04A6"/>
    <w:pPr>
      <w:keepLines/>
      <w:spacing w:before="60" w:after="60" w:line="264" w:lineRule="auto"/>
      <w:ind w:left="1985" w:hanging="1985"/>
      <w:jc w:val="both"/>
    </w:pPr>
    <w:rPr>
      <w:rFonts w:ascii="Arial" w:eastAsia="Arial" w:hAnsi="Arial" w:cs="Times New Roman"/>
    </w:rPr>
  </w:style>
  <w:style w:type="paragraph" w:customStyle="1" w:styleId="Nameaddress">
    <w:name w:val="Name address"/>
    <w:uiPriority w:val="99"/>
    <w:semiHidden/>
    <w:rsid w:val="007E04A6"/>
    <w:pPr>
      <w:spacing w:line="240" w:lineRule="auto"/>
    </w:pPr>
    <w:rPr>
      <w:rFonts w:ascii="Arial" w:hAnsi="Arial" w:cs="Arial (TT)"/>
      <w:color w:val="000000"/>
      <w:sz w:val="20"/>
      <w:szCs w:val="20"/>
      <w:lang w:val="en-GB"/>
    </w:rPr>
  </w:style>
  <w:style w:type="paragraph" w:customStyle="1" w:styleId="Cc">
    <w:name w:val="Cc"/>
    <w:uiPriority w:val="99"/>
    <w:semiHidden/>
    <w:rsid w:val="007E04A6"/>
    <w:pPr>
      <w:spacing w:before="57" w:after="113" w:line="230" w:lineRule="atLeast"/>
      <w:ind w:left="284" w:hanging="284"/>
    </w:pPr>
    <w:rPr>
      <w:rFonts w:ascii="Arial" w:hAnsi="Arial" w:cs="Arial (TT)"/>
      <w:color w:val="000000"/>
      <w:sz w:val="18"/>
      <w:szCs w:val="18"/>
      <w:lang w:val="en-GB"/>
    </w:rPr>
  </w:style>
  <w:style w:type="paragraph" w:customStyle="1" w:styleId="Attachments">
    <w:name w:val="Attachments"/>
    <w:uiPriority w:val="99"/>
    <w:semiHidden/>
    <w:rsid w:val="007E04A6"/>
    <w:pPr>
      <w:spacing w:before="57" w:after="113" w:line="230" w:lineRule="atLeast"/>
      <w:ind w:left="1276" w:hanging="1276"/>
    </w:pPr>
    <w:rPr>
      <w:rFonts w:ascii="Arial" w:hAnsi="Arial" w:cs="Arial (TT)"/>
      <w:color w:val="000000"/>
      <w:sz w:val="18"/>
      <w:szCs w:val="18"/>
      <w:lang w:val="en-GB"/>
    </w:rPr>
  </w:style>
  <w:style w:type="paragraph" w:customStyle="1" w:styleId="Disclaimer">
    <w:name w:val="Disclaimer"/>
    <w:uiPriority w:val="99"/>
    <w:semiHidden/>
    <w:rsid w:val="007E04A6"/>
    <w:pPr>
      <w:autoSpaceDE w:val="0"/>
      <w:autoSpaceDN w:val="0"/>
      <w:adjustRightInd w:val="0"/>
      <w:spacing w:before="113" w:line="180" w:lineRule="atLeast"/>
      <w:textAlignment w:val="center"/>
    </w:pPr>
    <w:rPr>
      <w:rFonts w:ascii="Arial" w:hAnsi="Arial" w:cs="Arial"/>
      <w:color w:val="000000"/>
      <w:sz w:val="14"/>
      <w:szCs w:val="14"/>
      <w:lang w:val="en-GB"/>
    </w:rPr>
  </w:style>
  <w:style w:type="paragraph" w:customStyle="1" w:styleId="Fax">
    <w:name w:val="Fax"/>
    <w:uiPriority w:val="99"/>
    <w:semiHidden/>
    <w:rsid w:val="007E04A6"/>
    <w:pPr>
      <w:spacing w:before="80" w:after="80" w:line="240" w:lineRule="auto"/>
    </w:pPr>
    <w:rPr>
      <w:rFonts w:ascii="Arial" w:hAnsi="Arial" w:cs="Arial"/>
      <w:b/>
      <w:sz w:val="20"/>
      <w:szCs w:val="20"/>
    </w:rPr>
  </w:style>
  <w:style w:type="paragraph" w:customStyle="1" w:styleId="Info">
    <w:name w:val="Info"/>
    <w:uiPriority w:val="99"/>
    <w:semiHidden/>
    <w:rsid w:val="007E04A6"/>
    <w:pPr>
      <w:spacing w:line="240" w:lineRule="auto"/>
    </w:pPr>
    <w:rPr>
      <w:rFonts w:ascii="Arial" w:hAnsi="Arial" w:cs="Arial (TT)"/>
      <w:color w:val="000000"/>
      <w:sz w:val="14"/>
      <w:szCs w:val="20"/>
    </w:rPr>
  </w:style>
  <w:style w:type="paragraph" w:customStyle="1" w:styleId="Logo">
    <w:name w:val="Logo"/>
    <w:basedOn w:val="Normal"/>
    <w:uiPriority w:val="99"/>
    <w:semiHidden/>
    <w:rsid w:val="007E04A6"/>
    <w:pPr>
      <w:spacing w:after="0" w:line="264" w:lineRule="auto"/>
    </w:pPr>
    <w:rPr>
      <w:rFonts w:ascii="Arial" w:eastAsia="Arial" w:hAnsi="Arial" w:cs="Times New Roman"/>
    </w:rPr>
  </w:style>
  <w:style w:type="paragraph" w:customStyle="1" w:styleId="TableContent">
    <w:name w:val="Table Content"/>
    <w:uiPriority w:val="99"/>
    <w:semiHidden/>
    <w:rsid w:val="007E04A6"/>
    <w:pPr>
      <w:spacing w:line="320" w:lineRule="exact"/>
    </w:pPr>
    <w:rPr>
      <w:rFonts w:ascii="Arial" w:hAnsi="Arial" w:cs="Arial"/>
      <w:b/>
      <w:sz w:val="20"/>
      <w:szCs w:val="20"/>
    </w:rPr>
  </w:style>
  <w:style w:type="paragraph" w:customStyle="1" w:styleId="Tablesubhead">
    <w:name w:val="Table subhead"/>
    <w:uiPriority w:val="99"/>
    <w:semiHidden/>
    <w:rsid w:val="007E04A6"/>
    <w:pPr>
      <w:spacing w:line="320" w:lineRule="exact"/>
    </w:pPr>
    <w:rPr>
      <w:rFonts w:ascii="Arial" w:hAnsi="Arial" w:cs="Arial"/>
      <w:sz w:val="20"/>
      <w:szCs w:val="20"/>
    </w:rPr>
  </w:style>
  <w:style w:type="paragraph" w:styleId="Date">
    <w:name w:val="Date"/>
    <w:basedOn w:val="Normal"/>
    <w:next w:val="Normal"/>
    <w:link w:val="DateChar"/>
    <w:uiPriority w:val="99"/>
    <w:semiHidden/>
    <w:rsid w:val="007E04A6"/>
    <w:pPr>
      <w:spacing w:before="1797" w:after="0" w:line="264" w:lineRule="auto"/>
    </w:pPr>
    <w:rPr>
      <w:rFonts w:ascii="Arial" w:eastAsia="Arial" w:hAnsi="Arial" w:cs="Times New Roman"/>
    </w:rPr>
  </w:style>
  <w:style w:type="character" w:customStyle="1" w:styleId="DateChar">
    <w:name w:val="Date Char"/>
    <w:basedOn w:val="DefaultParagraphFont"/>
    <w:link w:val="Date"/>
    <w:uiPriority w:val="99"/>
    <w:semiHidden/>
    <w:rsid w:val="007E04A6"/>
    <w:rPr>
      <w:rFonts w:ascii="Arial" w:eastAsia="Arial" w:hAnsi="Arial" w:cs="Times New Roman"/>
      <w:sz w:val="20"/>
      <w:szCs w:val="20"/>
    </w:rPr>
  </w:style>
  <w:style w:type="paragraph" w:styleId="Caption">
    <w:name w:val="caption"/>
    <w:basedOn w:val="BodyText"/>
    <w:next w:val="BodyText"/>
    <w:uiPriority w:val="4"/>
    <w:qFormat/>
    <w:rsid w:val="007E04A6"/>
    <w:pPr>
      <w:spacing w:before="100" w:beforeAutospacing="1" w:after="100" w:afterAutospacing="1" w:line="264" w:lineRule="auto"/>
      <w:contextualSpacing/>
    </w:pPr>
    <w:rPr>
      <w:rFonts w:ascii="Arial" w:eastAsia="Arial" w:hAnsi="Arial" w:cs="Times New Roman"/>
      <w:bCs/>
      <w:sz w:val="18"/>
      <w:szCs w:val="18"/>
    </w:rPr>
  </w:style>
  <w:style w:type="numbering" w:customStyle="1" w:styleId="NewBullet">
    <w:name w:val="New Bullet"/>
    <w:uiPriority w:val="99"/>
    <w:rsid w:val="007E04A6"/>
    <w:pPr>
      <w:numPr>
        <w:numId w:val="31"/>
      </w:numPr>
    </w:pPr>
  </w:style>
  <w:style w:type="paragraph" w:styleId="IntenseQuote">
    <w:name w:val="Intense Quote"/>
    <w:basedOn w:val="Normal"/>
    <w:next w:val="Normal"/>
    <w:link w:val="IntenseQuoteChar"/>
    <w:uiPriority w:val="99"/>
    <w:rsid w:val="007E04A6"/>
    <w:pPr>
      <w:pBdr>
        <w:bottom w:val="single" w:sz="4" w:space="4" w:color="6CCE7D" w:themeColor="accent1"/>
      </w:pBdr>
      <w:spacing w:before="200" w:after="280" w:line="264" w:lineRule="auto"/>
      <w:ind w:left="936" w:right="936"/>
    </w:pPr>
    <w:rPr>
      <w:rFonts w:ascii="Arial" w:eastAsia="Arial" w:hAnsi="Arial" w:cs="Times New Roman"/>
      <w:b/>
      <w:bCs/>
      <w:i/>
      <w:iCs/>
      <w:color w:val="6CCE7D" w:themeColor="accent1"/>
    </w:rPr>
  </w:style>
  <w:style w:type="character" w:customStyle="1" w:styleId="IntenseQuoteChar">
    <w:name w:val="Intense Quote Char"/>
    <w:basedOn w:val="DefaultParagraphFont"/>
    <w:link w:val="IntenseQuote"/>
    <w:uiPriority w:val="99"/>
    <w:rsid w:val="007E04A6"/>
    <w:rPr>
      <w:rFonts w:ascii="Arial" w:eastAsia="Arial" w:hAnsi="Arial" w:cs="Times New Roman"/>
      <w:b/>
      <w:bCs/>
      <w:i/>
      <w:iCs/>
      <w:color w:val="6CCE7D" w:themeColor="accent1"/>
      <w:sz w:val="20"/>
      <w:szCs w:val="20"/>
    </w:rPr>
  </w:style>
  <w:style w:type="character" w:styleId="SubtleEmphasis">
    <w:name w:val="Subtle Emphasis"/>
    <w:basedOn w:val="DefaultParagraphFont"/>
    <w:uiPriority w:val="99"/>
    <w:rsid w:val="007E04A6"/>
    <w:rPr>
      <w:i/>
      <w:iCs/>
      <w:color w:val="808080" w:themeColor="text1" w:themeTint="7F"/>
    </w:rPr>
  </w:style>
  <w:style w:type="character" w:styleId="IntenseEmphasis">
    <w:name w:val="Intense Emphasis"/>
    <w:basedOn w:val="DefaultParagraphFont"/>
    <w:uiPriority w:val="99"/>
    <w:rsid w:val="007E04A6"/>
    <w:rPr>
      <w:b/>
      <w:bCs/>
      <w:i/>
      <w:iCs/>
      <w:color w:val="6CCE7D" w:themeColor="accent1"/>
    </w:rPr>
  </w:style>
  <w:style w:type="character" w:styleId="SubtleReference">
    <w:name w:val="Subtle Reference"/>
    <w:basedOn w:val="DefaultParagraphFont"/>
    <w:uiPriority w:val="99"/>
    <w:rsid w:val="007E04A6"/>
    <w:rPr>
      <w:smallCaps/>
      <w:color w:val="04C3D5" w:themeColor="accent2"/>
      <w:u w:val="single"/>
    </w:rPr>
  </w:style>
  <w:style w:type="character" w:styleId="IntenseReference">
    <w:name w:val="Intense Reference"/>
    <w:basedOn w:val="DefaultParagraphFont"/>
    <w:uiPriority w:val="99"/>
    <w:rsid w:val="007E04A6"/>
    <w:rPr>
      <w:b/>
      <w:bCs/>
      <w:smallCaps/>
      <w:color w:val="04C3D5" w:themeColor="accent2"/>
      <w:spacing w:val="5"/>
      <w:u w:val="single"/>
    </w:rPr>
  </w:style>
  <w:style w:type="character" w:styleId="BookTitle">
    <w:name w:val="Book Title"/>
    <w:basedOn w:val="DefaultParagraphFont"/>
    <w:uiPriority w:val="99"/>
    <w:rsid w:val="007E04A6"/>
    <w:rPr>
      <w:b/>
      <w:bCs/>
      <w:smallCaps/>
      <w:spacing w:val="5"/>
    </w:rPr>
  </w:style>
  <w:style w:type="paragraph" w:customStyle="1" w:styleId="TableBullet">
    <w:name w:val="Table Bullet"/>
    <w:basedOn w:val="Normal"/>
    <w:uiPriority w:val="99"/>
    <w:semiHidden/>
    <w:rsid w:val="007E04A6"/>
    <w:pPr>
      <w:numPr>
        <w:numId w:val="32"/>
      </w:numPr>
      <w:spacing w:before="60" w:after="60" w:line="264" w:lineRule="auto"/>
    </w:pPr>
    <w:rPr>
      <w:rFonts w:ascii="Arial" w:eastAsia="Arial" w:hAnsi="Arial" w:cs="Times New Roman"/>
      <w:sz w:val="18"/>
      <w:szCs w:val="14"/>
    </w:rPr>
  </w:style>
  <w:style w:type="paragraph" w:customStyle="1" w:styleId="TableHeading0">
    <w:name w:val="Table Heading"/>
    <w:basedOn w:val="Normal"/>
    <w:uiPriority w:val="2"/>
    <w:qFormat/>
    <w:rsid w:val="007E04A6"/>
    <w:pPr>
      <w:keepNext/>
      <w:keepLines/>
      <w:spacing w:before="240" w:after="120" w:line="264" w:lineRule="auto"/>
      <w:contextualSpacing/>
    </w:pPr>
    <w:rPr>
      <w:rFonts w:ascii="Arial" w:eastAsia="Arial" w:hAnsi="Arial" w:cs="Times New Roman"/>
      <w:b/>
    </w:rPr>
  </w:style>
  <w:style w:type="paragraph" w:customStyle="1" w:styleId="TableText">
    <w:name w:val="Table Text"/>
    <w:basedOn w:val="Normal"/>
    <w:uiPriority w:val="99"/>
    <w:semiHidden/>
    <w:rsid w:val="007E04A6"/>
    <w:pPr>
      <w:spacing w:before="60" w:after="60" w:line="264" w:lineRule="auto"/>
    </w:pPr>
    <w:rPr>
      <w:rFonts w:ascii="Arial" w:eastAsia="Arial" w:hAnsi="Arial" w:cs="Times New Roman"/>
      <w:sz w:val="18"/>
      <w:szCs w:val="14"/>
    </w:rPr>
  </w:style>
  <w:style w:type="paragraph" w:customStyle="1" w:styleId="BigText">
    <w:name w:val="Big Text"/>
    <w:basedOn w:val="BodyText"/>
    <w:uiPriority w:val="3"/>
    <w:qFormat/>
    <w:rsid w:val="007E04A6"/>
  </w:style>
  <w:style w:type="paragraph" w:customStyle="1" w:styleId="Calloutbox">
    <w:name w:val="Call out box"/>
    <w:basedOn w:val="Normal"/>
    <w:next w:val="BodyText"/>
    <w:uiPriority w:val="99"/>
    <w:semiHidden/>
    <w:rsid w:val="007E04A6"/>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spacing w:after="0" w:line="264" w:lineRule="auto"/>
    </w:pPr>
    <w:rPr>
      <w:rFonts w:ascii="Arial" w:eastAsia="Calibri" w:hAnsi="Arial" w:cstheme="minorHAnsi"/>
      <w:b/>
      <w:i/>
    </w:rPr>
  </w:style>
  <w:style w:type="paragraph" w:customStyle="1" w:styleId="SourceText">
    <w:name w:val="Source Text"/>
    <w:basedOn w:val="Normal"/>
    <w:next w:val="BodyText"/>
    <w:uiPriority w:val="3"/>
    <w:qFormat/>
    <w:rsid w:val="007E04A6"/>
    <w:pPr>
      <w:spacing w:before="120" w:after="240" w:line="264" w:lineRule="auto"/>
    </w:pPr>
    <w:rPr>
      <w:rFonts w:ascii="Arial" w:eastAsia="Arial" w:hAnsi="Arial" w:cs="Times New Roman"/>
      <w:sz w:val="18"/>
      <w:szCs w:val="14"/>
    </w:rPr>
  </w:style>
  <w:style w:type="paragraph" w:styleId="ListNumber">
    <w:name w:val="List Number"/>
    <w:basedOn w:val="BodyText"/>
    <w:uiPriority w:val="73"/>
    <w:qFormat/>
    <w:rsid w:val="007E04A6"/>
    <w:pPr>
      <w:numPr>
        <w:numId w:val="35"/>
      </w:numPr>
      <w:spacing w:before="100" w:beforeAutospacing="1" w:after="100" w:afterAutospacing="1" w:line="264" w:lineRule="auto"/>
      <w:contextualSpacing/>
    </w:pPr>
    <w:rPr>
      <w:rFonts w:ascii="Arial" w:eastAsia="Arial" w:hAnsi="Arial" w:cs="Times New Roman"/>
    </w:rPr>
  </w:style>
  <w:style w:type="paragraph" w:customStyle="1" w:styleId="AppendixHeading">
    <w:name w:val="Appendix Heading"/>
    <w:basedOn w:val="BodyText"/>
    <w:next w:val="BodyText"/>
    <w:uiPriority w:val="99"/>
    <w:qFormat/>
    <w:rsid w:val="007E04A6"/>
    <w:pPr>
      <w:numPr>
        <w:ilvl w:val="6"/>
        <w:numId w:val="38"/>
      </w:numPr>
    </w:pPr>
  </w:style>
  <w:style w:type="numbering" w:customStyle="1" w:styleId="Headings">
    <w:name w:val="Headings"/>
    <w:uiPriority w:val="99"/>
    <w:rsid w:val="007E04A6"/>
    <w:pPr>
      <w:numPr>
        <w:numId w:val="38"/>
      </w:numPr>
    </w:pPr>
  </w:style>
  <w:style w:type="numbering" w:customStyle="1" w:styleId="ListNumbers">
    <w:name w:val="ListNumbers"/>
    <w:uiPriority w:val="99"/>
    <w:rsid w:val="007E04A6"/>
    <w:pPr>
      <w:numPr>
        <w:numId w:val="33"/>
      </w:numPr>
    </w:pPr>
  </w:style>
  <w:style w:type="paragraph" w:styleId="ListNumber2">
    <w:name w:val="List Number 2"/>
    <w:basedOn w:val="BodyText"/>
    <w:uiPriority w:val="2"/>
    <w:rsid w:val="007E04A6"/>
    <w:pPr>
      <w:numPr>
        <w:ilvl w:val="1"/>
        <w:numId w:val="35"/>
      </w:numPr>
      <w:spacing w:before="100" w:beforeAutospacing="1" w:after="100" w:afterAutospacing="1" w:line="264" w:lineRule="auto"/>
      <w:contextualSpacing/>
    </w:pPr>
    <w:rPr>
      <w:rFonts w:ascii="Arial" w:eastAsia="Arial" w:hAnsi="Arial" w:cs="Times New Roman"/>
    </w:rPr>
  </w:style>
  <w:style w:type="paragraph" w:styleId="ListNumber3">
    <w:name w:val="List Number 3"/>
    <w:basedOn w:val="BodyText"/>
    <w:uiPriority w:val="2"/>
    <w:rsid w:val="007E04A6"/>
    <w:pPr>
      <w:numPr>
        <w:ilvl w:val="2"/>
        <w:numId w:val="35"/>
      </w:numPr>
      <w:spacing w:before="100" w:beforeAutospacing="1" w:after="100" w:afterAutospacing="1" w:line="264" w:lineRule="auto"/>
      <w:contextualSpacing/>
    </w:pPr>
    <w:rPr>
      <w:rFonts w:ascii="Arial" w:eastAsia="Arial" w:hAnsi="Arial" w:cs="Times New Roman"/>
    </w:rPr>
  </w:style>
  <w:style w:type="table" w:styleId="Table3Deffects1">
    <w:name w:val="Table 3D effects 1"/>
    <w:basedOn w:val="TableNormal"/>
    <w:rsid w:val="007E04A6"/>
    <w:pPr>
      <w:spacing w:line="240" w:lineRule="auto"/>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E04A6"/>
    <w:pPr>
      <w:spacing w:line="240" w:lineRule="auto"/>
    </w:pPr>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7E04A6"/>
    <w:pPr>
      <w:spacing w:after="0" w:line="240" w:lineRule="auto"/>
    </w:pPr>
    <w:rPr>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E04A6"/>
    <w:pPr>
      <w:spacing w:after="0" w:line="240" w:lineRule="auto"/>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2Green">
    <w:name w:val="Coffey Colour 2 (Green)"/>
    <w:basedOn w:val="Coffey"/>
    <w:uiPriority w:val="99"/>
    <w:rsid w:val="007E04A6"/>
    <w:pPr>
      <w:spacing w:after="0"/>
    </w:pPr>
    <w:tblPr>
      <w:tbl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blBorders>
    </w:tblPr>
    <w:tcPr>
      <w:shd w:val="clear" w:color="auto" w:fill="auto"/>
    </w:tcPr>
    <w:tblStylePr w:type="firstRow">
      <w:pPr>
        <w:wordWrap/>
      </w:pPr>
      <w:rPr>
        <w:b/>
        <w:color w:val="FFFFFF" w:themeColor="background1"/>
      </w:rPr>
      <w:tblPr/>
      <w:tcPr>
        <w:tcBorders>
          <w:top w:val="nil"/>
          <w:left w:val="single" w:sz="4" w:space="0" w:color="6CCE7D" w:themeColor="accent1"/>
          <w:bottom w:val="nil"/>
          <w:right w:val="single" w:sz="4" w:space="0" w:color="6CCE7D" w:themeColor="accent1"/>
          <w:insideH w:val="single" w:sz="4" w:space="0" w:color="6CCE7D" w:themeColor="accent1"/>
          <w:insideV w:val="single" w:sz="4" w:space="0" w:color="FFFFFF" w:themeColor="background1"/>
          <w:tl2br w:val="nil"/>
          <w:tr2bl w:val="nil"/>
        </w:tcBorders>
        <w:shd w:val="clear" w:color="auto" w:fill="04C3D5" w:themeFill="accent2"/>
      </w:tcPr>
    </w:tblStylePr>
    <w:tblStylePr w:type="lastRow">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double" w:sz="4" w:space="0" w:color="6CCE7D" w:themeColor="accent1"/>
          <w:insideV w:val="double" w:sz="4" w:space="0" w:color="6CCE7D" w:themeColor="accent1"/>
          <w:tl2br w:val="nil"/>
          <w:tr2bl w:val="nil"/>
        </w:tcBorders>
        <w:shd w:val="clear" w:color="auto" w:fill="auto"/>
      </w:tcPr>
    </w:tblStylePr>
    <w:tblStylePr w:type="firstCol">
      <w:rPr>
        <w:b w:val="0"/>
        <w:i w:val="0"/>
        <w:color w:val="FFFFFF" w:themeColor="background1"/>
      </w:rPr>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04C3D5" w:themeFill="accent2"/>
      </w:tcPr>
    </w:tblStylePr>
    <w:tblStylePr w:type="lastCo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band1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C5F9FE" w:themeFill="accent2" w:themeFillTint="33"/>
      </w:tcPr>
    </w:tblStylePr>
    <w:tblStylePr w:type="band1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C5F9FE" w:themeFill="accent2" w:themeFillTint="33"/>
      </w:tcPr>
    </w:tblStylePr>
    <w:tblStylePr w:type="band2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auto"/>
      </w:tcPr>
    </w:tblStylePr>
    <w:tblStylePr w:type="n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04C3D5" w:themeFill="accent2"/>
      </w:tcPr>
    </w:tblStylePr>
    <w:tblStylePr w:type="nwCell">
      <w:tblPr/>
      <w:tcPr>
        <w:tcBorders>
          <w:top w:val="nil"/>
          <w:left w:val="single" w:sz="4" w:space="0" w:color="6CCE7D" w:themeColor="accent1"/>
          <w:bottom w:val="nil"/>
          <w:right w:val="nil"/>
          <w:insideH w:val="nil"/>
          <w:insideV w:val="nil"/>
          <w:tl2br w:val="nil"/>
          <w:tr2bl w:val="nil"/>
        </w:tcBorders>
        <w:shd w:val="clear" w:color="auto" w:fill="04C3D5" w:themeFill="accent2"/>
      </w:tcPr>
    </w:tblStylePr>
    <w:tblStylePr w:type="s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04C3D5" w:themeFill="accent2"/>
      </w:tcPr>
    </w:tblStylePr>
  </w:style>
  <w:style w:type="table" w:customStyle="1" w:styleId="CoffeyColour3Blue">
    <w:name w:val="Coffey Colour 3 (Blue)"/>
    <w:basedOn w:val="Coffey"/>
    <w:uiPriority w:val="99"/>
    <w:rsid w:val="007E04A6"/>
    <w:pPr>
      <w:spacing w:after="0"/>
    </w:pPr>
    <w:tblPr>
      <w:tbl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blBorders>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5F5CB6" w:themeFill="accent3"/>
      </w:tcPr>
    </w:tblStylePr>
    <w:tblStylePr w:type="lastRow">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double" w:sz="4" w:space="0" w:color="6CCE7D" w:themeColor="accent1"/>
          <w:insideV w:val="double" w:sz="4" w:space="0" w:color="6CCE7D" w:themeColor="accent1"/>
          <w:tl2br w:val="nil"/>
          <w:tr2bl w:val="nil"/>
        </w:tcBorders>
        <w:shd w:val="clear" w:color="auto" w:fill="auto"/>
      </w:tcPr>
    </w:tblStylePr>
    <w:tblStylePr w:type="firstCol">
      <w:rPr>
        <w:b/>
        <w:i w:val="0"/>
        <w:color w:val="FFFFFF" w:themeColor="background1"/>
      </w:rPr>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5F5CB6" w:themeFill="accent3"/>
      </w:tcPr>
    </w:tblStylePr>
    <w:tblStylePr w:type="lastCo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band1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DEDEF0" w:themeFill="accent3" w:themeFillTint="33"/>
      </w:tcPr>
    </w:tblStylePr>
    <w:tblStylePr w:type="band1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DEDEF0" w:themeFill="accent3" w:themeFillTint="33"/>
      </w:tcPr>
    </w:tblStylePr>
    <w:tblStylePr w:type="band2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auto"/>
      </w:tcPr>
    </w:tblStylePr>
    <w:tblStylePr w:type="n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5F5CB6" w:themeFill="accent3"/>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5F5CB6" w:themeFill="accent3"/>
      </w:tcPr>
    </w:tblStylePr>
  </w:style>
  <w:style w:type="table" w:customStyle="1" w:styleId="CoffeyColour4Purple">
    <w:name w:val="Coffey Colour 4 (Purple)"/>
    <w:basedOn w:val="Coffey"/>
    <w:uiPriority w:val="99"/>
    <w:rsid w:val="007E04A6"/>
    <w:pPr>
      <w:spacing w:after="0"/>
    </w:pPr>
    <w:tblPr>
      <w:tbl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blBorders>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EEF0F2" w:themeColor="background2"/>
          <w:tl2br w:val="nil"/>
          <w:tr2bl w:val="nil"/>
        </w:tcBorders>
        <w:shd w:val="clear" w:color="auto" w:fill="C17E9E" w:themeFill="accent4"/>
      </w:tcPr>
    </w:tblStylePr>
    <w:tblStylePr w:type="lastRow">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double" w:sz="4" w:space="0" w:color="6CCE7D" w:themeColor="accent1"/>
          <w:insideV w:val="double" w:sz="4" w:space="0" w:color="6CCE7D" w:themeColor="accent1"/>
          <w:tl2br w:val="nil"/>
          <w:tr2bl w:val="nil"/>
        </w:tcBorders>
        <w:shd w:val="clear" w:color="auto" w:fill="auto"/>
      </w:tcPr>
    </w:tblStylePr>
    <w:tblStylePr w:type="firstCol">
      <w:rPr>
        <w:b w:val="0"/>
        <w:i w:val="0"/>
        <w:color w:val="FFFFFF" w:themeColor="background1"/>
      </w:rPr>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C17E9E" w:themeFill="accent4"/>
      </w:tcPr>
    </w:tblStylePr>
    <w:tblStylePr w:type="lastCo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auto"/>
      </w:tcPr>
    </w:tblStylePr>
    <w:tblStylePr w:type="band1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F2E5EB" w:themeFill="accent4" w:themeFillTint="33"/>
      </w:tcPr>
    </w:tblStylePr>
    <w:tblStylePr w:type="band2Vert">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nil"/>
          <w:insideV w:val="nil"/>
          <w:tl2br w:val="nil"/>
          <w:tr2bl w:val="nil"/>
        </w:tcBorders>
        <w:shd w:val="clear" w:color="auto" w:fill="auto"/>
      </w:tcPr>
    </w:tblStylePr>
    <w:tblStylePr w:type="band1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F2E5EB" w:themeFill="accent4" w:themeFillTint="33"/>
      </w:tcPr>
    </w:tblStylePr>
    <w:tblStylePr w:type="band2Horz">
      <w:tblPr/>
      <w:tcPr>
        <w:tcBorders>
          <w:top w:val="single" w:sz="4" w:space="0" w:color="6CCE7D" w:themeColor="accent1"/>
          <w:left w:val="single" w:sz="4" w:space="0" w:color="6CCE7D" w:themeColor="accent1"/>
          <w:bottom w:val="single" w:sz="4" w:space="0" w:color="6CCE7D" w:themeColor="accent1"/>
          <w:right w:val="single" w:sz="4" w:space="0" w:color="6CCE7D" w:themeColor="accent1"/>
          <w:insideH w:val="single" w:sz="4" w:space="0" w:color="6CCE7D" w:themeColor="accent1"/>
          <w:insideV w:val="single" w:sz="4" w:space="0" w:color="6CCE7D" w:themeColor="accent1"/>
          <w:tl2br w:val="nil"/>
          <w:tr2bl w:val="nil"/>
        </w:tcBorders>
        <w:shd w:val="clear" w:color="auto" w:fill="auto"/>
      </w:tcPr>
    </w:tblStylePr>
    <w:tblStylePr w:type="ne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C17E9E" w:themeFill="accent4"/>
      </w:tcPr>
    </w:tblStylePr>
    <w:tblStylePr w:type="swCell">
      <w:tblPr/>
      <w:tcPr>
        <w:tcBorders>
          <w:top w:val="double" w:sz="4" w:space="0" w:color="6CCE7D" w:themeColor="accent1"/>
          <w:left w:val="double" w:sz="4" w:space="0" w:color="6CCE7D" w:themeColor="accent1"/>
          <w:bottom w:val="double" w:sz="4" w:space="0" w:color="6CCE7D" w:themeColor="accent1"/>
          <w:right w:val="double" w:sz="4" w:space="0" w:color="6CCE7D" w:themeColor="accent1"/>
          <w:insideH w:val="nil"/>
          <w:insideV w:val="nil"/>
          <w:tl2br w:val="nil"/>
          <w:tr2bl w:val="nil"/>
        </w:tcBorders>
        <w:shd w:val="clear" w:color="auto" w:fill="C17E9E" w:themeFill="accent4"/>
      </w:tcPr>
    </w:tblStylePr>
  </w:style>
  <w:style w:type="paragraph" w:customStyle="1" w:styleId="Heading1NoNumbers">
    <w:name w:val="Heading 1 No Numbers"/>
    <w:basedOn w:val="Heading1"/>
    <w:next w:val="BodyText"/>
    <w:link w:val="Heading1NoNumbersChar"/>
    <w:uiPriority w:val="2"/>
    <w:qFormat/>
    <w:rsid w:val="007E04A6"/>
    <w:pPr>
      <w:spacing w:before="120" w:after="240" w:line="240" w:lineRule="atLeast"/>
      <w:ind w:left="0" w:firstLine="0"/>
    </w:pPr>
    <w:rPr>
      <w:rFonts w:ascii="Arial" w:eastAsia="Arial" w:hAnsi="Arial" w:cs="Times New Roman"/>
      <w:spacing w:val="-4"/>
      <w:sz w:val="36"/>
    </w:rPr>
  </w:style>
  <w:style w:type="character" w:customStyle="1" w:styleId="Heading1NoNumbersChar">
    <w:name w:val="Heading 1 No Numbers Char"/>
    <w:basedOn w:val="Heading1Char"/>
    <w:link w:val="Heading1NoNumbers"/>
    <w:uiPriority w:val="2"/>
    <w:rsid w:val="007E04A6"/>
    <w:rPr>
      <w:rFonts w:ascii="Arial" w:eastAsia="Arial" w:hAnsi="Arial" w:cs="Times New Roman"/>
      <w:b/>
      <w:color w:val="A25EA6"/>
      <w:spacing w:val="-4"/>
      <w:sz w:val="36"/>
      <w:szCs w:val="40"/>
    </w:rPr>
  </w:style>
  <w:style w:type="paragraph" w:customStyle="1" w:styleId="Heading2NoNumbers">
    <w:name w:val="Heading 2 No Numbers"/>
    <w:basedOn w:val="Heading2"/>
    <w:next w:val="BodyText"/>
    <w:link w:val="Heading2NoNumbersChar"/>
    <w:uiPriority w:val="2"/>
    <w:qFormat/>
    <w:rsid w:val="007E04A6"/>
    <w:pPr>
      <w:numPr>
        <w:ilvl w:val="0"/>
      </w:numPr>
      <w:spacing w:after="240" w:line="240" w:lineRule="atLeast"/>
      <w:ind w:left="709" w:hanging="709"/>
    </w:pPr>
    <w:rPr>
      <w:rFonts w:ascii="Arial" w:eastAsia="Arial" w:hAnsi="Arial" w:cs="Times New Roman"/>
      <w:spacing w:val="-4"/>
      <w:sz w:val="32"/>
    </w:rPr>
  </w:style>
  <w:style w:type="character" w:customStyle="1" w:styleId="Heading2NoNumbersChar">
    <w:name w:val="Heading 2 No Numbers Char"/>
    <w:basedOn w:val="Heading2Char"/>
    <w:link w:val="Heading2NoNumbers"/>
    <w:uiPriority w:val="2"/>
    <w:rsid w:val="007E04A6"/>
    <w:rPr>
      <w:rFonts w:ascii="Arial" w:eastAsia="Arial" w:hAnsi="Arial" w:cs="Times New Roman"/>
      <w:b/>
      <w:color w:val="000000" w:themeColor="text1"/>
      <w:spacing w:val="-4"/>
      <w:sz w:val="32"/>
      <w:szCs w:val="36"/>
    </w:rPr>
  </w:style>
  <w:style w:type="paragraph" w:customStyle="1" w:styleId="Heading3NoNumbers">
    <w:name w:val="Heading 3 No Numbers"/>
    <w:basedOn w:val="Heading3"/>
    <w:next w:val="BodyText"/>
    <w:link w:val="Heading3NoNumbersChar"/>
    <w:uiPriority w:val="2"/>
    <w:qFormat/>
    <w:rsid w:val="007E04A6"/>
    <w:pPr>
      <w:numPr>
        <w:ilvl w:val="0"/>
      </w:numPr>
      <w:spacing w:after="240" w:line="240" w:lineRule="atLeast"/>
      <w:ind w:left="709" w:hanging="709"/>
    </w:pPr>
    <w:rPr>
      <w:rFonts w:ascii="Arial" w:eastAsia="Arial" w:hAnsi="Arial" w:cs="Times New Roman"/>
      <w:spacing w:val="-4"/>
      <w:sz w:val="28"/>
    </w:rPr>
  </w:style>
  <w:style w:type="character" w:customStyle="1" w:styleId="Heading3NoNumbersChar">
    <w:name w:val="Heading 3 No Numbers Char"/>
    <w:basedOn w:val="Heading3Char"/>
    <w:link w:val="Heading3NoNumbers"/>
    <w:uiPriority w:val="2"/>
    <w:rsid w:val="007E04A6"/>
    <w:rPr>
      <w:rFonts w:ascii="Arial" w:eastAsia="Arial" w:hAnsi="Arial" w:cs="Times New Roman"/>
      <w:b/>
      <w:color w:val="000000" w:themeColor="text1"/>
      <w:spacing w:val="-4"/>
      <w:sz w:val="28"/>
      <w:szCs w:val="32"/>
    </w:rPr>
  </w:style>
  <w:style w:type="paragraph" w:customStyle="1" w:styleId="CoffeyBulletsL1">
    <w:name w:val="Coffey Bullets L1"/>
    <w:basedOn w:val="Normal"/>
    <w:link w:val="CoffeyBulletsL1Char"/>
    <w:uiPriority w:val="99"/>
    <w:qFormat/>
    <w:rsid w:val="007E04A6"/>
    <w:pPr>
      <w:numPr>
        <w:numId w:val="36"/>
      </w:numPr>
      <w:spacing w:after="0" w:line="264" w:lineRule="auto"/>
      <w:ind w:left="357" w:hanging="357"/>
      <w:contextualSpacing/>
    </w:pPr>
    <w:rPr>
      <w:rFonts w:ascii="Arial" w:eastAsia="Arial" w:hAnsi="Arial" w:cs="Times New Roman"/>
    </w:rPr>
  </w:style>
  <w:style w:type="paragraph" w:customStyle="1" w:styleId="CoffeyBulletsL2">
    <w:name w:val="Coffey Bullets L2"/>
    <w:basedOn w:val="CoffeyBulletsL1"/>
    <w:link w:val="CoffeyBulletsL2Char"/>
    <w:uiPriority w:val="99"/>
    <w:qFormat/>
    <w:rsid w:val="007E04A6"/>
    <w:pPr>
      <w:numPr>
        <w:ilvl w:val="1"/>
      </w:numPr>
      <w:ind w:left="714" w:hanging="357"/>
    </w:pPr>
  </w:style>
  <w:style w:type="character" w:customStyle="1" w:styleId="CoffeyBulletsL1Char">
    <w:name w:val="Coffey Bullets L1 Char"/>
    <w:basedOn w:val="BodyTextChar"/>
    <w:link w:val="CoffeyBulletsL1"/>
    <w:uiPriority w:val="99"/>
    <w:rsid w:val="007E04A6"/>
    <w:rPr>
      <w:rFonts w:ascii="Arial" w:eastAsia="Arial" w:hAnsi="Arial" w:cs="Times New Roman"/>
      <w:sz w:val="20"/>
      <w:szCs w:val="20"/>
    </w:rPr>
  </w:style>
  <w:style w:type="paragraph" w:customStyle="1" w:styleId="CoffeyBulletsL3">
    <w:name w:val="Coffey Bullets L3"/>
    <w:basedOn w:val="CoffeyBulletsL2"/>
    <w:link w:val="CoffeyBulletsL3Char"/>
    <w:uiPriority w:val="99"/>
    <w:qFormat/>
    <w:rsid w:val="007E04A6"/>
    <w:pPr>
      <w:numPr>
        <w:ilvl w:val="2"/>
      </w:numPr>
      <w:ind w:left="1077" w:hanging="357"/>
    </w:pPr>
  </w:style>
  <w:style w:type="character" w:customStyle="1" w:styleId="CoffeyBulletsL2Char">
    <w:name w:val="Coffey Bullets L2 Char"/>
    <w:basedOn w:val="DefaultParagraphFont"/>
    <w:link w:val="CoffeyBulletsL2"/>
    <w:uiPriority w:val="99"/>
    <w:rsid w:val="007E04A6"/>
    <w:rPr>
      <w:rFonts w:ascii="Arial" w:eastAsia="Arial" w:hAnsi="Arial" w:cs="Times New Roman"/>
      <w:sz w:val="20"/>
      <w:szCs w:val="20"/>
    </w:rPr>
  </w:style>
  <w:style w:type="paragraph" w:customStyle="1" w:styleId="CoffeyNumbersL1">
    <w:name w:val="Coffey Numbers L1"/>
    <w:basedOn w:val="Normal"/>
    <w:link w:val="CoffeyNumbersL1Char"/>
    <w:uiPriority w:val="99"/>
    <w:qFormat/>
    <w:rsid w:val="007E04A6"/>
    <w:pPr>
      <w:numPr>
        <w:numId w:val="37"/>
      </w:numPr>
      <w:spacing w:after="0" w:line="264" w:lineRule="auto"/>
      <w:ind w:left="357" w:hanging="357"/>
      <w:contextualSpacing/>
    </w:pPr>
    <w:rPr>
      <w:rFonts w:ascii="Arial" w:eastAsia="Arial" w:hAnsi="Arial" w:cs="Times New Roman"/>
    </w:rPr>
  </w:style>
  <w:style w:type="character" w:customStyle="1" w:styleId="CoffeyBulletsL3Char">
    <w:name w:val="Coffey Bullets L3 Char"/>
    <w:basedOn w:val="DefaultParagraphFont"/>
    <w:link w:val="CoffeyBulletsL3"/>
    <w:uiPriority w:val="99"/>
    <w:rsid w:val="007E04A6"/>
    <w:rPr>
      <w:rFonts w:ascii="Arial" w:eastAsia="Arial" w:hAnsi="Arial" w:cs="Times New Roman"/>
      <w:sz w:val="20"/>
      <w:szCs w:val="20"/>
    </w:rPr>
  </w:style>
  <w:style w:type="paragraph" w:customStyle="1" w:styleId="CoffeyNumbersL2">
    <w:name w:val="Coffey Numbers L2"/>
    <w:basedOn w:val="CoffeyNumbersL1"/>
    <w:link w:val="CoffeyNumbersL2Char"/>
    <w:uiPriority w:val="99"/>
    <w:qFormat/>
    <w:rsid w:val="007E04A6"/>
    <w:pPr>
      <w:numPr>
        <w:ilvl w:val="1"/>
      </w:numPr>
      <w:ind w:left="714" w:hanging="357"/>
    </w:pPr>
  </w:style>
  <w:style w:type="character" w:customStyle="1" w:styleId="CoffeyNumbersL1Char">
    <w:name w:val="Coffey Numbers L1 Char"/>
    <w:basedOn w:val="DefaultParagraphFont"/>
    <w:link w:val="CoffeyNumbersL1"/>
    <w:uiPriority w:val="99"/>
    <w:rsid w:val="007E04A6"/>
    <w:rPr>
      <w:rFonts w:ascii="Arial" w:eastAsia="Arial" w:hAnsi="Arial" w:cs="Times New Roman"/>
      <w:sz w:val="20"/>
      <w:szCs w:val="20"/>
    </w:rPr>
  </w:style>
  <w:style w:type="paragraph" w:customStyle="1" w:styleId="CoffeyNumbersL3">
    <w:name w:val="Coffey Numbers L3"/>
    <w:basedOn w:val="CoffeyNumbersL2"/>
    <w:link w:val="CoffeyNumbersL3Char"/>
    <w:uiPriority w:val="99"/>
    <w:qFormat/>
    <w:rsid w:val="007E04A6"/>
    <w:pPr>
      <w:numPr>
        <w:ilvl w:val="2"/>
      </w:numPr>
      <w:ind w:left="1077" w:hanging="357"/>
    </w:pPr>
  </w:style>
  <w:style w:type="character" w:customStyle="1" w:styleId="CoffeyNumbersL2Char">
    <w:name w:val="Coffey Numbers L2 Char"/>
    <w:basedOn w:val="DefaultParagraphFont"/>
    <w:link w:val="CoffeyNumbersL2"/>
    <w:uiPriority w:val="99"/>
    <w:rsid w:val="007E04A6"/>
    <w:rPr>
      <w:rFonts w:ascii="Arial" w:eastAsia="Arial" w:hAnsi="Arial" w:cs="Times New Roman"/>
      <w:sz w:val="20"/>
      <w:szCs w:val="20"/>
    </w:rPr>
  </w:style>
  <w:style w:type="numbering" w:customStyle="1" w:styleId="CoffeyBullets">
    <w:name w:val="Coffey Bullets"/>
    <w:uiPriority w:val="99"/>
    <w:rsid w:val="007E04A6"/>
    <w:pPr>
      <w:numPr>
        <w:numId w:val="36"/>
      </w:numPr>
    </w:pPr>
  </w:style>
  <w:style w:type="character" w:customStyle="1" w:styleId="CoffeyNumbersL3Char">
    <w:name w:val="Coffey Numbers L3 Char"/>
    <w:basedOn w:val="DefaultParagraphFont"/>
    <w:link w:val="CoffeyNumbersL3"/>
    <w:uiPriority w:val="99"/>
    <w:rsid w:val="007E04A6"/>
    <w:rPr>
      <w:rFonts w:ascii="Arial" w:eastAsia="Arial" w:hAnsi="Arial" w:cs="Times New Roman"/>
      <w:sz w:val="20"/>
      <w:szCs w:val="20"/>
    </w:rPr>
  </w:style>
  <w:style w:type="numbering" w:customStyle="1" w:styleId="CoffeyNumbers">
    <w:name w:val="Coffey Numbers"/>
    <w:uiPriority w:val="99"/>
    <w:rsid w:val="007E04A6"/>
    <w:pPr>
      <w:numPr>
        <w:numId w:val="37"/>
      </w:numPr>
    </w:pPr>
  </w:style>
  <w:style w:type="paragraph" w:customStyle="1" w:styleId="CoffeyBlankPageText">
    <w:name w:val="Coffey Blank Page Text"/>
    <w:basedOn w:val="BodyText"/>
    <w:next w:val="BodyText"/>
    <w:link w:val="CoffeyBlankPageTextChar"/>
    <w:uiPriority w:val="99"/>
    <w:rsid w:val="007E04A6"/>
    <w:pPr>
      <w:keepLines/>
      <w:pageBreakBefore/>
      <w:spacing w:before="2000" w:after="0" w:line="264" w:lineRule="auto"/>
      <w:jc w:val="center"/>
    </w:pPr>
    <w:rPr>
      <w:rFonts w:ascii="Arial" w:eastAsia="Arial" w:hAnsi="Arial" w:cs="Times New Roman"/>
      <w:color w:val="A6E1B0" w:themeColor="accent1" w:themeTint="99"/>
    </w:rPr>
  </w:style>
  <w:style w:type="character" w:customStyle="1" w:styleId="CoffeyBlankPageTextChar">
    <w:name w:val="Coffey Blank Page Text Char"/>
    <w:basedOn w:val="BodyTextChar"/>
    <w:link w:val="CoffeyBlankPageText"/>
    <w:uiPriority w:val="99"/>
    <w:rsid w:val="007E04A6"/>
    <w:rPr>
      <w:rFonts w:ascii="Arial" w:eastAsia="Arial" w:hAnsi="Arial" w:cs="Times New Roman"/>
      <w:color w:val="A6E1B0" w:themeColor="accent1" w:themeTint="99"/>
      <w:sz w:val="20"/>
    </w:rPr>
  </w:style>
  <w:style w:type="paragraph" w:styleId="TOC7">
    <w:name w:val="toc 7"/>
    <w:basedOn w:val="Normal"/>
    <w:next w:val="Normal"/>
    <w:uiPriority w:val="39"/>
    <w:rsid w:val="007E04A6"/>
    <w:pPr>
      <w:spacing w:after="100" w:line="264" w:lineRule="auto"/>
    </w:pPr>
    <w:rPr>
      <w:rFonts w:ascii="Arial" w:eastAsia="Arial" w:hAnsi="Arial" w:cs="Times New Roman"/>
    </w:rPr>
  </w:style>
  <w:style w:type="paragraph" w:customStyle="1" w:styleId="ContentsHeading">
    <w:name w:val="Contents Heading"/>
    <w:basedOn w:val="Normal"/>
    <w:next w:val="BodyText"/>
    <w:uiPriority w:val="99"/>
    <w:rsid w:val="007E04A6"/>
    <w:pPr>
      <w:spacing w:before="480" w:after="240" w:line="264" w:lineRule="auto"/>
    </w:pPr>
    <w:rPr>
      <w:rFonts w:ascii="Arial" w:eastAsia="Arial" w:hAnsi="Arial" w:cs="Times New Roman"/>
      <w:b/>
      <w:sz w:val="44"/>
      <w:szCs w:val="40"/>
    </w:rPr>
  </w:style>
  <w:style w:type="paragraph" w:styleId="TOC4">
    <w:name w:val="toc 4"/>
    <w:basedOn w:val="Normal"/>
    <w:next w:val="Normal"/>
    <w:autoRedefine/>
    <w:uiPriority w:val="39"/>
    <w:unhideWhenUsed/>
    <w:rsid w:val="007E04A6"/>
    <w:pPr>
      <w:tabs>
        <w:tab w:val="left" w:pos="1843"/>
        <w:tab w:val="right" w:leader="dot" w:pos="9026"/>
      </w:tabs>
      <w:spacing w:before="120" w:after="100" w:line="240" w:lineRule="atLeast"/>
      <w:ind w:left="851"/>
    </w:pPr>
    <w:rPr>
      <w:rFonts w:ascii="Arial" w:eastAsia="Arial" w:hAnsi="Arial" w:cs="Times New Roman"/>
    </w:rPr>
  </w:style>
  <w:style w:type="paragraph" w:customStyle="1" w:styleId="Annexheading">
    <w:name w:val="Annex heading"/>
    <w:basedOn w:val="Normal"/>
    <w:next w:val="BodyText"/>
    <w:uiPriority w:val="99"/>
    <w:qFormat/>
    <w:rsid w:val="007E04A6"/>
    <w:pPr>
      <w:spacing w:before="480" w:after="120" w:line="264" w:lineRule="auto"/>
    </w:pPr>
    <w:rPr>
      <w:rFonts w:ascii="Arial" w:eastAsia="Arial" w:hAnsi="Arial" w:cs="Times New Roman"/>
      <w:b/>
      <w:sz w:val="40"/>
      <w:szCs w:val="40"/>
    </w:rPr>
  </w:style>
  <w:style w:type="character" w:styleId="PlaceholderText">
    <w:name w:val="Placeholder Text"/>
    <w:basedOn w:val="DefaultParagraphFont"/>
    <w:uiPriority w:val="99"/>
    <w:semiHidden/>
    <w:rsid w:val="007E04A6"/>
    <w:rPr>
      <w:color w:val="808080"/>
    </w:rPr>
  </w:style>
  <w:style w:type="character" w:customStyle="1" w:styleId="st1">
    <w:name w:val="st1"/>
    <w:basedOn w:val="DefaultParagraphFont"/>
    <w:rsid w:val="007E04A6"/>
  </w:style>
  <w:style w:type="character" w:customStyle="1" w:styleId="FootnoteTextChar1">
    <w:name w:val="Footnote Text Char1"/>
    <w:basedOn w:val="DefaultParagraphFont"/>
    <w:uiPriority w:val="99"/>
    <w:semiHidden/>
    <w:rsid w:val="007E04A6"/>
    <w:rPr>
      <w:rFonts w:ascii="Arial" w:eastAsia="Arial" w:hAnsi="Arial" w:cs="Times New Roman"/>
    </w:rPr>
  </w:style>
  <w:style w:type="character" w:customStyle="1" w:styleId="PlainTextChar1">
    <w:name w:val="Plain Text Char1"/>
    <w:basedOn w:val="DefaultParagraphFont"/>
    <w:uiPriority w:val="99"/>
    <w:semiHidden/>
    <w:rsid w:val="007E04A6"/>
    <w:rPr>
      <w:rFonts w:ascii="Consolas" w:eastAsia="Arial" w:hAnsi="Consolas" w:cs="Consolas"/>
      <w:sz w:val="21"/>
      <w:szCs w:val="21"/>
    </w:rPr>
  </w:style>
  <w:style w:type="paragraph" w:styleId="TOC5">
    <w:name w:val="toc 5"/>
    <w:basedOn w:val="Normal"/>
    <w:next w:val="Normal"/>
    <w:autoRedefine/>
    <w:uiPriority w:val="39"/>
    <w:unhideWhenUsed/>
    <w:rsid w:val="00471345"/>
    <w:pPr>
      <w:spacing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471345"/>
    <w:pPr>
      <w:spacing w:after="100" w:line="259" w:lineRule="auto"/>
      <w:ind w:left="1100"/>
    </w:pPr>
    <w:rPr>
      <w:rFonts w:eastAsiaTheme="minorEastAsia"/>
      <w:sz w:val="22"/>
      <w:szCs w:val="22"/>
      <w:lang w:eastAsia="en-AU"/>
    </w:rPr>
  </w:style>
  <w:style w:type="paragraph" w:styleId="TOC8">
    <w:name w:val="toc 8"/>
    <w:basedOn w:val="Normal"/>
    <w:next w:val="Normal"/>
    <w:autoRedefine/>
    <w:uiPriority w:val="39"/>
    <w:unhideWhenUsed/>
    <w:rsid w:val="00471345"/>
    <w:pPr>
      <w:spacing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471345"/>
    <w:pPr>
      <w:spacing w:after="100" w:line="259" w:lineRule="auto"/>
      <w:ind w:left="1760"/>
    </w:pPr>
    <w:rPr>
      <w:rFonts w:eastAsiaTheme="minorEastAsia"/>
      <w:sz w:val="22"/>
      <w:szCs w:val="22"/>
      <w:lang w:eastAsia="en-AU"/>
    </w:rPr>
  </w:style>
  <w:style w:type="character" w:styleId="FollowedHyperlink">
    <w:name w:val="FollowedHyperlink"/>
    <w:basedOn w:val="DefaultParagraphFont"/>
    <w:uiPriority w:val="99"/>
    <w:semiHidden/>
    <w:unhideWhenUsed/>
    <w:rsid w:val="00D545A0"/>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6178">
      <w:bodyDiv w:val="1"/>
      <w:marLeft w:val="0"/>
      <w:marRight w:val="0"/>
      <w:marTop w:val="0"/>
      <w:marBottom w:val="0"/>
      <w:divBdr>
        <w:top w:val="none" w:sz="0" w:space="0" w:color="auto"/>
        <w:left w:val="none" w:sz="0" w:space="0" w:color="auto"/>
        <w:bottom w:val="none" w:sz="0" w:space="0" w:color="auto"/>
        <w:right w:val="none" w:sz="0" w:space="0" w:color="auto"/>
      </w:divBdr>
    </w:div>
    <w:div w:id="1209223636">
      <w:bodyDiv w:val="1"/>
      <w:marLeft w:val="0"/>
      <w:marRight w:val="0"/>
      <w:marTop w:val="0"/>
      <w:marBottom w:val="0"/>
      <w:divBdr>
        <w:top w:val="none" w:sz="0" w:space="0" w:color="auto"/>
        <w:left w:val="none" w:sz="0" w:space="0" w:color="auto"/>
        <w:bottom w:val="none" w:sz="0" w:space="0" w:color="auto"/>
        <w:right w:val="none" w:sz="0" w:space="0" w:color="auto"/>
      </w:divBdr>
    </w:div>
    <w:div w:id="1292520993">
      <w:bodyDiv w:val="1"/>
      <w:marLeft w:val="0"/>
      <w:marRight w:val="0"/>
      <w:marTop w:val="0"/>
      <w:marBottom w:val="0"/>
      <w:divBdr>
        <w:top w:val="none" w:sz="0" w:space="0" w:color="auto"/>
        <w:left w:val="none" w:sz="0" w:space="0" w:color="auto"/>
        <w:bottom w:val="none" w:sz="0" w:space="0" w:color="auto"/>
        <w:right w:val="none" w:sz="0" w:space="0" w:color="auto"/>
      </w:divBdr>
    </w:div>
    <w:div w:id="179988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3.wdp"/><Relationship Id="rId21" Type="http://schemas.openxmlformats.org/officeDocument/2006/relationships/footer" Target="footer6.xml"/><Relationship Id="rId42" Type="http://schemas.openxmlformats.org/officeDocument/2006/relationships/image" Target="media/image13.emf"/><Relationship Id="rId63" Type="http://schemas.openxmlformats.org/officeDocument/2006/relationships/footer" Target="footer24.xml"/><Relationship Id="rId84" Type="http://schemas.openxmlformats.org/officeDocument/2006/relationships/footer" Target="footer35.xml"/><Relationship Id="rId138" Type="http://schemas.openxmlformats.org/officeDocument/2006/relationships/theme" Target="theme/theme1.xml"/><Relationship Id="rId107" Type="http://schemas.openxmlformats.org/officeDocument/2006/relationships/chart" Target="charts/chart23.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footer" Target="footer12.xml"/><Relationship Id="rId53" Type="http://schemas.openxmlformats.org/officeDocument/2006/relationships/footer" Target="footer18.xml"/><Relationship Id="rId58" Type="http://schemas.openxmlformats.org/officeDocument/2006/relationships/footer" Target="footer20.xml"/><Relationship Id="rId74" Type="http://schemas.openxmlformats.org/officeDocument/2006/relationships/footer" Target="footer26.xml"/><Relationship Id="rId79" Type="http://schemas.openxmlformats.org/officeDocument/2006/relationships/footer" Target="footer31.xml"/><Relationship Id="rId102" Type="http://schemas.openxmlformats.org/officeDocument/2006/relationships/chart" Target="charts/chart18.xml"/><Relationship Id="rId123" Type="http://schemas.openxmlformats.org/officeDocument/2006/relationships/image" Target="media/image28.jpeg"/><Relationship Id="rId128" Type="http://schemas.microsoft.com/office/2007/relationships/hdphoto" Target="media/hdphoto4.wdp"/><Relationship Id="rId5" Type="http://schemas.openxmlformats.org/officeDocument/2006/relationships/settings" Target="settings.xml"/><Relationship Id="rId90" Type="http://schemas.openxmlformats.org/officeDocument/2006/relationships/chart" Target="charts/chart6.xml"/><Relationship Id="rId95" Type="http://schemas.openxmlformats.org/officeDocument/2006/relationships/chart" Target="charts/chart11.xml"/><Relationship Id="rId22" Type="http://schemas.openxmlformats.org/officeDocument/2006/relationships/hyperlink" Target="https://en.wikipedia.org/wiki/Kiribati" TargetMode="External"/><Relationship Id="rId27" Type="http://schemas.openxmlformats.org/officeDocument/2006/relationships/footer" Target="footer7.xml"/><Relationship Id="rId43" Type="http://schemas.openxmlformats.org/officeDocument/2006/relationships/image" Target="media/image14.emf"/><Relationship Id="rId48" Type="http://schemas.openxmlformats.org/officeDocument/2006/relationships/footer" Target="footer15.xml"/><Relationship Id="rId64" Type="http://schemas.openxmlformats.org/officeDocument/2006/relationships/hyperlink" Target="https://en.wikipedia.org/wiki/ERIC" TargetMode="External"/><Relationship Id="rId69" Type="http://schemas.openxmlformats.org/officeDocument/2006/relationships/hyperlink" Target="http://www.idra.org/content/view/5415/" TargetMode="External"/><Relationship Id="rId113" Type="http://schemas.openxmlformats.org/officeDocument/2006/relationships/image" Target="media/image20.png"/><Relationship Id="rId118" Type="http://schemas.openxmlformats.org/officeDocument/2006/relationships/image" Target="media/image23.jpeg"/><Relationship Id="rId134" Type="http://schemas.openxmlformats.org/officeDocument/2006/relationships/image" Target="media/image38.jpeg"/><Relationship Id="rId139" Type="http://schemas.openxmlformats.org/officeDocument/2006/relationships/customXml" Target="../customXml/item2.xml"/><Relationship Id="rId80" Type="http://schemas.openxmlformats.org/officeDocument/2006/relationships/header" Target="header6.xml"/><Relationship Id="rId85"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image" Target="media/image2.jpeg"/><Relationship Id="rId33" Type="http://schemas.openxmlformats.org/officeDocument/2006/relationships/image" Target="media/image8.jpeg"/><Relationship Id="rId38" Type="http://schemas.openxmlformats.org/officeDocument/2006/relationships/footer" Target="footer13.xml"/><Relationship Id="rId59" Type="http://schemas.openxmlformats.org/officeDocument/2006/relationships/footer" Target="footer21.xml"/><Relationship Id="rId103" Type="http://schemas.openxmlformats.org/officeDocument/2006/relationships/chart" Target="charts/chart19.xml"/><Relationship Id="rId108" Type="http://schemas.openxmlformats.org/officeDocument/2006/relationships/chart" Target="charts/chart24.xml"/><Relationship Id="rId124" Type="http://schemas.openxmlformats.org/officeDocument/2006/relationships/image" Target="media/image29.jpeg"/><Relationship Id="rId129" Type="http://schemas.openxmlformats.org/officeDocument/2006/relationships/image" Target="media/image33.jpeg"/><Relationship Id="rId54" Type="http://schemas.openxmlformats.org/officeDocument/2006/relationships/footer" Target="footer19.xml"/><Relationship Id="rId70" Type="http://schemas.openxmlformats.org/officeDocument/2006/relationships/hyperlink" Target="http://eduplace.com/science/profdev/articles/badders.html" TargetMode="External"/><Relationship Id="rId75" Type="http://schemas.openxmlformats.org/officeDocument/2006/relationships/footer" Target="footer27.xml"/><Relationship Id="rId91" Type="http://schemas.openxmlformats.org/officeDocument/2006/relationships/chart" Target="charts/chart7.xml"/><Relationship Id="rId96" Type="http://schemas.openxmlformats.org/officeDocument/2006/relationships/chart" Target="charts/chart12.xml"/><Relationship Id="rId14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n.wikipedia.org/wiki/Traditional_values" TargetMode="External"/><Relationship Id="rId28" Type="http://schemas.openxmlformats.org/officeDocument/2006/relationships/header" Target="header4.xml"/><Relationship Id="rId49" Type="http://schemas.openxmlformats.org/officeDocument/2006/relationships/footer" Target="footer16.xml"/><Relationship Id="rId114" Type="http://schemas.openxmlformats.org/officeDocument/2006/relationships/image" Target="media/image21.png"/><Relationship Id="rId119" Type="http://schemas.openxmlformats.org/officeDocument/2006/relationships/image" Target="media/image24.jpeg"/><Relationship Id="rId44" Type="http://schemas.openxmlformats.org/officeDocument/2006/relationships/image" Target="media/image14.png"/><Relationship Id="rId60" Type="http://schemas.openxmlformats.org/officeDocument/2006/relationships/footer" Target="footer22.xml"/><Relationship Id="rId65" Type="http://schemas.openxmlformats.org/officeDocument/2006/relationships/hyperlink" Target="https://en.wikipedia.org/wiki/JSTOR" TargetMode="External"/><Relationship Id="rId81" Type="http://schemas.openxmlformats.org/officeDocument/2006/relationships/footer" Target="footer32.xml"/><Relationship Id="rId86" Type="http://schemas.openxmlformats.org/officeDocument/2006/relationships/chart" Target="charts/chart2.xml"/><Relationship Id="rId130" Type="http://schemas.openxmlformats.org/officeDocument/2006/relationships/image" Target="media/image34.jpeg"/><Relationship Id="rId135" Type="http://schemas.openxmlformats.org/officeDocument/2006/relationships/image" Target="media/image39.jpg"/><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media/image11.jpeg"/><Relationship Id="rId109" Type="http://schemas.openxmlformats.org/officeDocument/2006/relationships/image" Target="media/image19.emf"/><Relationship Id="rId34" Type="http://schemas.openxmlformats.org/officeDocument/2006/relationships/image" Target="media/image9.jpeg"/><Relationship Id="rId50" Type="http://schemas.openxmlformats.org/officeDocument/2006/relationships/hyperlink" Target="https://en.wikipedia.org/wiki/ERIC" TargetMode="External"/><Relationship Id="rId55" Type="http://schemas.openxmlformats.org/officeDocument/2006/relationships/hyperlink" Target="https://en.wikipedia.org/wiki/ERIC" TargetMode="External"/><Relationship Id="rId76" Type="http://schemas.openxmlformats.org/officeDocument/2006/relationships/footer" Target="footer28.xml"/><Relationship Id="rId97" Type="http://schemas.openxmlformats.org/officeDocument/2006/relationships/chart" Target="charts/chart13.xml"/><Relationship Id="rId104" Type="http://schemas.openxmlformats.org/officeDocument/2006/relationships/chart" Target="charts/chart20.xml"/><Relationship Id="rId120" Type="http://schemas.openxmlformats.org/officeDocument/2006/relationships/image" Target="media/image25.jpeg"/><Relationship Id="rId125" Type="http://schemas.openxmlformats.org/officeDocument/2006/relationships/image" Target="media/image30.jpeg"/><Relationship Id="rId141"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yperlink" Target="http://dera.ioe.ac.uk/8161/" TargetMode="External"/><Relationship Id="rId92" Type="http://schemas.openxmlformats.org/officeDocument/2006/relationships/chart" Target="charts/chart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5.jpeg"/><Relationship Id="rId40" Type="http://schemas.microsoft.com/office/2007/relationships/hdphoto" Target="media/hdphoto1.wdp"/><Relationship Id="rId45" Type="http://schemas.openxmlformats.org/officeDocument/2006/relationships/image" Target="media/image15.jpeg"/><Relationship Id="rId66" Type="http://schemas.openxmlformats.org/officeDocument/2006/relationships/hyperlink" Target="http://philiphallinger.com/old-site/papers/culture_and_edchange.html" TargetMode="External"/><Relationship Id="rId87" Type="http://schemas.openxmlformats.org/officeDocument/2006/relationships/chart" Target="charts/chart3.xml"/><Relationship Id="rId110" Type="http://schemas.openxmlformats.org/officeDocument/2006/relationships/header" Target="header7.xml"/><Relationship Id="rId115" Type="http://schemas.microsoft.com/office/2007/relationships/hdphoto" Target="media/hdphoto2.wdp"/><Relationship Id="rId131" Type="http://schemas.openxmlformats.org/officeDocument/2006/relationships/image" Target="media/image35.jpeg"/><Relationship Id="rId136" Type="http://schemas.openxmlformats.org/officeDocument/2006/relationships/footer" Target="footer38.xml"/><Relationship Id="rId61" Type="http://schemas.openxmlformats.org/officeDocument/2006/relationships/footer" Target="footer23.xml"/><Relationship Id="rId82" Type="http://schemas.openxmlformats.org/officeDocument/2006/relationships/footer" Target="footer33.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image" Target="media/image10.jpeg"/><Relationship Id="rId56" Type="http://schemas.openxmlformats.org/officeDocument/2006/relationships/hyperlink" Target="https://en.wikipedia.org/wiki/JSTOR" TargetMode="External"/><Relationship Id="rId77" Type="http://schemas.openxmlformats.org/officeDocument/2006/relationships/footer" Target="footer29.xml"/><Relationship Id="rId100" Type="http://schemas.openxmlformats.org/officeDocument/2006/relationships/chart" Target="charts/chart16.xml"/><Relationship Id="rId105" Type="http://schemas.openxmlformats.org/officeDocument/2006/relationships/chart" Target="charts/chart21.xml"/><Relationship Id="rId12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hyperlink" Target="https://www.eduweb.vic.gov.au/edulibrary/public/teachlearn/student/assessment_current_per.pdf" TargetMode="External"/><Relationship Id="rId93" Type="http://schemas.openxmlformats.org/officeDocument/2006/relationships/chart" Target="charts/chart9.xml"/><Relationship Id="rId98" Type="http://schemas.openxmlformats.org/officeDocument/2006/relationships/chart" Target="charts/chart14.xml"/><Relationship Id="rId121" Type="http://schemas.openxmlformats.org/officeDocument/2006/relationships/image" Target="media/image26.jpe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16.png"/><Relationship Id="rId67" Type="http://schemas.openxmlformats.org/officeDocument/2006/relationships/hyperlink" Target="http://research.acer.edu.au/cgi/viewcontent.cgi?article=1006&amp;context=research_conference_2007" TargetMode="External"/><Relationship Id="rId116" Type="http://schemas.openxmlformats.org/officeDocument/2006/relationships/image" Target="media/image22.png"/><Relationship Id="rId13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12.png"/><Relationship Id="rId62" Type="http://schemas.openxmlformats.org/officeDocument/2006/relationships/header" Target="header5.xml"/><Relationship Id="rId83" Type="http://schemas.openxmlformats.org/officeDocument/2006/relationships/footer" Target="footer34.xml"/><Relationship Id="rId88" Type="http://schemas.openxmlformats.org/officeDocument/2006/relationships/chart" Target="charts/chart4.xml"/><Relationship Id="rId111" Type="http://schemas.openxmlformats.org/officeDocument/2006/relationships/footer" Target="footer36.xml"/><Relationship Id="rId132" Type="http://schemas.openxmlformats.org/officeDocument/2006/relationships/image" Target="media/image36.jpeg"/><Relationship Id="rId15" Type="http://schemas.openxmlformats.org/officeDocument/2006/relationships/footer" Target="footer3.xml"/><Relationship Id="rId36" Type="http://schemas.openxmlformats.org/officeDocument/2006/relationships/hyperlink" Target="http://en.wikipedia.org/wiki/HIV" TargetMode="External"/><Relationship Id="rId57" Type="http://schemas.openxmlformats.org/officeDocument/2006/relationships/image" Target="media/image18.jpeg"/><Relationship Id="rId106" Type="http://schemas.openxmlformats.org/officeDocument/2006/relationships/chart" Target="charts/chart22.xml"/><Relationship Id="rId127" Type="http://schemas.openxmlformats.org/officeDocument/2006/relationships/image" Target="media/image32.jpeg"/><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image" Target="media/image17.png"/><Relationship Id="rId73" Type="http://schemas.openxmlformats.org/officeDocument/2006/relationships/footer" Target="footer25.xml"/><Relationship Id="rId78" Type="http://schemas.openxmlformats.org/officeDocument/2006/relationships/footer" Target="footer30.xml"/><Relationship Id="rId94" Type="http://schemas.openxmlformats.org/officeDocument/2006/relationships/chart" Target="charts/chart10.xml"/><Relationship Id="rId99" Type="http://schemas.openxmlformats.org/officeDocument/2006/relationships/chart" Target="charts/chart15.xml"/><Relationship Id="rId101" Type="http://schemas.openxmlformats.org/officeDocument/2006/relationships/chart" Target="charts/chart17.xml"/><Relationship Id="rId12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7.jpeg"/><Relationship Id="rId47" Type="http://schemas.openxmlformats.org/officeDocument/2006/relationships/footer" Target="footer14.xml"/><Relationship Id="rId68" Type="http://schemas.openxmlformats.org/officeDocument/2006/relationships/hyperlink" Target="http://www.idra.org/content/view/5415/" TargetMode="External"/><Relationship Id="rId89" Type="http://schemas.openxmlformats.org/officeDocument/2006/relationships/chart" Target="charts/chart5.xml"/><Relationship Id="rId112" Type="http://schemas.openxmlformats.org/officeDocument/2006/relationships/footer" Target="footer37.xml"/><Relationship Id="rId133" Type="http://schemas.openxmlformats.org/officeDocument/2006/relationships/image" Target="media/image37.jpeg"/><Relationship Id="rId16"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Workbook1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Workbook1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phil:Desktop:2015%20STAKI%20data:graphs%20et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'Year 4 English'!$A$14</c:f>
              <c:strCache>
                <c:ptCount val="1"/>
                <c:pt idx="0">
                  <c:v>no evidence of achievement</c:v>
                </c:pt>
              </c:strCache>
            </c:strRef>
          </c:tx>
          <c:invertIfNegative val="0"/>
          <c:cat>
            <c:numRef>
              <c:f>'Year 4 English'!$B$13:$D$13</c:f>
              <c:numCache>
                <c:formatCode>General</c:formatCode>
                <c:ptCount val="3"/>
                <c:pt idx="0">
                  <c:v>2015</c:v>
                </c:pt>
                <c:pt idx="1">
                  <c:v>2013</c:v>
                </c:pt>
                <c:pt idx="2">
                  <c:v>2011</c:v>
                </c:pt>
              </c:numCache>
            </c:numRef>
          </c:cat>
          <c:val>
            <c:numRef>
              <c:f>'Year 4 English'!$B$14:$D$14</c:f>
              <c:numCache>
                <c:formatCode>0%</c:formatCode>
                <c:ptCount val="3"/>
                <c:pt idx="0">
                  <c:v>0.01</c:v>
                </c:pt>
                <c:pt idx="1">
                  <c:v>0</c:v>
                </c:pt>
                <c:pt idx="2">
                  <c:v>0.27</c:v>
                </c:pt>
              </c:numCache>
            </c:numRef>
          </c:val>
        </c:ser>
        <c:ser>
          <c:idx val="1"/>
          <c:order val="1"/>
          <c:tx>
            <c:strRef>
              <c:f>'Year 4 English'!$A$15</c:f>
              <c:strCache>
                <c:ptCount val="1"/>
                <c:pt idx="0">
                  <c:v>critically below the expected level</c:v>
                </c:pt>
              </c:strCache>
            </c:strRef>
          </c:tx>
          <c:invertIfNegative val="0"/>
          <c:cat>
            <c:numRef>
              <c:f>'Year 4 English'!$B$13:$D$13</c:f>
              <c:numCache>
                <c:formatCode>General</c:formatCode>
                <c:ptCount val="3"/>
                <c:pt idx="0">
                  <c:v>2015</c:v>
                </c:pt>
                <c:pt idx="1">
                  <c:v>2013</c:v>
                </c:pt>
                <c:pt idx="2">
                  <c:v>2011</c:v>
                </c:pt>
              </c:numCache>
            </c:numRef>
          </c:cat>
          <c:val>
            <c:numRef>
              <c:f>'Year 4 English'!$B$15:$D$15</c:f>
              <c:numCache>
                <c:formatCode>0%</c:formatCode>
                <c:ptCount val="3"/>
                <c:pt idx="0">
                  <c:v>0.28999999999999998</c:v>
                </c:pt>
                <c:pt idx="1">
                  <c:v>0.37</c:v>
                </c:pt>
                <c:pt idx="2">
                  <c:v>0.2</c:v>
                </c:pt>
              </c:numCache>
            </c:numRef>
          </c:val>
        </c:ser>
        <c:ser>
          <c:idx val="2"/>
          <c:order val="2"/>
          <c:tx>
            <c:strRef>
              <c:f>'Year 4 English'!$A$16</c:f>
              <c:strCache>
                <c:ptCount val="1"/>
                <c:pt idx="0">
                  <c:v>working towards the expected level</c:v>
                </c:pt>
              </c:strCache>
            </c:strRef>
          </c:tx>
          <c:invertIfNegative val="0"/>
          <c:cat>
            <c:numRef>
              <c:f>'Year 4 English'!$B$13:$D$13</c:f>
              <c:numCache>
                <c:formatCode>General</c:formatCode>
                <c:ptCount val="3"/>
                <c:pt idx="0">
                  <c:v>2015</c:v>
                </c:pt>
                <c:pt idx="1">
                  <c:v>2013</c:v>
                </c:pt>
                <c:pt idx="2">
                  <c:v>2011</c:v>
                </c:pt>
              </c:numCache>
            </c:numRef>
          </c:cat>
          <c:val>
            <c:numRef>
              <c:f>'Year 4 English'!$B$16:$D$16</c:f>
              <c:numCache>
                <c:formatCode>0%</c:formatCode>
                <c:ptCount val="3"/>
                <c:pt idx="0">
                  <c:v>0.42</c:v>
                </c:pt>
                <c:pt idx="1">
                  <c:v>0.35</c:v>
                </c:pt>
                <c:pt idx="2">
                  <c:v>0.24</c:v>
                </c:pt>
              </c:numCache>
            </c:numRef>
          </c:val>
        </c:ser>
        <c:ser>
          <c:idx val="3"/>
          <c:order val="3"/>
          <c:tx>
            <c:strRef>
              <c:f>'Year 4 English'!$A$17</c:f>
              <c:strCache>
                <c:ptCount val="1"/>
                <c:pt idx="0">
                  <c:v>is working at the expected level</c:v>
                </c:pt>
              </c:strCache>
            </c:strRef>
          </c:tx>
          <c:invertIfNegative val="0"/>
          <c:cat>
            <c:numRef>
              <c:f>'Year 4 English'!$B$13:$D$13</c:f>
              <c:numCache>
                <c:formatCode>General</c:formatCode>
                <c:ptCount val="3"/>
                <c:pt idx="0">
                  <c:v>2015</c:v>
                </c:pt>
                <c:pt idx="1">
                  <c:v>2013</c:v>
                </c:pt>
                <c:pt idx="2">
                  <c:v>2011</c:v>
                </c:pt>
              </c:numCache>
            </c:numRef>
          </c:cat>
          <c:val>
            <c:numRef>
              <c:f>'Year 4 English'!$B$17:$D$17</c:f>
              <c:numCache>
                <c:formatCode>0%</c:formatCode>
                <c:ptCount val="3"/>
                <c:pt idx="0">
                  <c:v>0.21</c:v>
                </c:pt>
                <c:pt idx="1">
                  <c:v>0.19</c:v>
                </c:pt>
                <c:pt idx="2">
                  <c:v>0.17</c:v>
                </c:pt>
              </c:numCache>
            </c:numRef>
          </c:val>
        </c:ser>
        <c:ser>
          <c:idx val="4"/>
          <c:order val="4"/>
          <c:tx>
            <c:strRef>
              <c:f>'Year 4 English'!$A$18</c:f>
              <c:strCache>
                <c:ptCount val="1"/>
                <c:pt idx="0">
                  <c:v>is working above the expected level</c:v>
                </c:pt>
              </c:strCache>
            </c:strRef>
          </c:tx>
          <c:invertIfNegative val="0"/>
          <c:cat>
            <c:numRef>
              <c:f>'Year 4 English'!$B$13:$D$13</c:f>
              <c:numCache>
                <c:formatCode>General</c:formatCode>
                <c:ptCount val="3"/>
                <c:pt idx="0">
                  <c:v>2015</c:v>
                </c:pt>
                <c:pt idx="1">
                  <c:v>2013</c:v>
                </c:pt>
                <c:pt idx="2">
                  <c:v>2011</c:v>
                </c:pt>
              </c:numCache>
            </c:numRef>
          </c:cat>
          <c:val>
            <c:numRef>
              <c:f>'Year 4 English'!$B$18:$D$18</c:f>
              <c:numCache>
                <c:formatCode>0%</c:formatCode>
                <c:ptCount val="3"/>
                <c:pt idx="0">
                  <c:v>0.06</c:v>
                </c:pt>
                <c:pt idx="1">
                  <c:v>0.1</c:v>
                </c:pt>
                <c:pt idx="2">
                  <c:v>0.12</c:v>
                </c:pt>
              </c:numCache>
            </c:numRef>
          </c:val>
        </c:ser>
        <c:dLbls>
          <c:showLegendKey val="0"/>
          <c:showVal val="0"/>
          <c:showCatName val="0"/>
          <c:showSerName val="0"/>
          <c:showPercent val="0"/>
          <c:showBubbleSize val="0"/>
        </c:dLbls>
        <c:gapWidth val="150"/>
        <c:overlap val="100"/>
        <c:axId val="261217664"/>
        <c:axId val="261219456"/>
      </c:barChart>
      <c:catAx>
        <c:axId val="261217664"/>
        <c:scaling>
          <c:orientation val="minMax"/>
        </c:scaling>
        <c:delete val="0"/>
        <c:axPos val="b"/>
        <c:numFmt formatCode="General" sourceLinked="1"/>
        <c:majorTickMark val="out"/>
        <c:minorTickMark val="none"/>
        <c:tickLblPos val="nextTo"/>
        <c:txPr>
          <a:bodyPr/>
          <a:lstStyle/>
          <a:p>
            <a:pPr>
              <a:defRPr sz="800">
                <a:latin typeface="Arial"/>
              </a:defRPr>
            </a:pPr>
            <a:endParaRPr lang="en-US"/>
          </a:p>
        </c:txPr>
        <c:crossAx val="261219456"/>
        <c:crosses val="autoZero"/>
        <c:auto val="1"/>
        <c:lblAlgn val="ctr"/>
        <c:lblOffset val="100"/>
        <c:noMultiLvlLbl val="0"/>
      </c:catAx>
      <c:valAx>
        <c:axId val="261219456"/>
        <c:scaling>
          <c:orientation val="minMax"/>
        </c:scaling>
        <c:delete val="0"/>
        <c:axPos val="l"/>
        <c:majorGridlines/>
        <c:title>
          <c:tx>
            <c:rich>
              <a:bodyPr rot="-5400000" vert="horz"/>
              <a:lstStyle/>
              <a:p>
                <a:pPr>
                  <a:defRPr sz="800">
                    <a:latin typeface="Arial"/>
                  </a:defRPr>
                </a:pPr>
                <a:r>
                  <a:rPr lang="en-US" sz="800">
                    <a:latin typeface="Arial"/>
                  </a:rPr>
                  <a:t>Percentage of Students</a:t>
                </a:r>
              </a:p>
            </c:rich>
          </c:tx>
          <c:overlay val="0"/>
        </c:title>
        <c:numFmt formatCode="0%" sourceLinked="1"/>
        <c:majorTickMark val="out"/>
        <c:minorTickMark val="none"/>
        <c:tickLblPos val="nextTo"/>
        <c:txPr>
          <a:bodyPr/>
          <a:lstStyle/>
          <a:p>
            <a:pPr>
              <a:defRPr sz="700">
                <a:latin typeface="Arial"/>
              </a:defRPr>
            </a:pPr>
            <a:endParaRPr lang="en-US"/>
          </a:p>
        </c:txPr>
        <c:crossAx val="261217664"/>
        <c:crosses val="autoZero"/>
        <c:crossBetween val="between"/>
      </c:valAx>
    </c:plotArea>
    <c:legend>
      <c:legendPos val="r"/>
      <c:overlay val="0"/>
      <c:txPr>
        <a:bodyPr/>
        <a:lstStyle/>
        <a:p>
          <a:pPr>
            <a:defRPr sz="700">
              <a:latin typeface="Arial"/>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0319151340102801"/>
          <c:y val="6.0185185185185203E-2"/>
          <c:w val="0.41501301379852901"/>
          <c:h val="0.79143591426071702"/>
        </c:manualLayout>
      </c:layout>
      <c:barChart>
        <c:barDir val="col"/>
        <c:grouping val="percentStacked"/>
        <c:varyColors val="0"/>
        <c:ser>
          <c:idx val="0"/>
          <c:order val="0"/>
          <c:tx>
            <c:strRef>
              <c:f>'Year 4 te-Kiribati'!$A$17</c:f>
              <c:strCache>
                <c:ptCount val="1"/>
                <c:pt idx="0">
                  <c:v>no evidence of achievement</c:v>
                </c:pt>
              </c:strCache>
            </c:strRef>
          </c:tx>
          <c:invertIfNegative val="0"/>
          <c:cat>
            <c:numRef>
              <c:f>'Year 4 te-Kiribati'!$B$16:$D$16</c:f>
              <c:numCache>
                <c:formatCode>General</c:formatCode>
                <c:ptCount val="3"/>
                <c:pt idx="0">
                  <c:v>2015</c:v>
                </c:pt>
                <c:pt idx="1">
                  <c:v>2013</c:v>
                </c:pt>
                <c:pt idx="2">
                  <c:v>2011</c:v>
                </c:pt>
              </c:numCache>
            </c:numRef>
          </c:cat>
          <c:val>
            <c:numRef>
              <c:f>'Year 4 te-Kiribati'!$B$17:$D$17</c:f>
              <c:numCache>
                <c:formatCode>0%</c:formatCode>
                <c:ptCount val="3"/>
                <c:pt idx="0">
                  <c:v>0.01</c:v>
                </c:pt>
                <c:pt idx="1">
                  <c:v>0.03</c:v>
                </c:pt>
                <c:pt idx="2">
                  <c:v>0.17</c:v>
                </c:pt>
              </c:numCache>
            </c:numRef>
          </c:val>
        </c:ser>
        <c:ser>
          <c:idx val="1"/>
          <c:order val="1"/>
          <c:tx>
            <c:strRef>
              <c:f>'Year 4 te-Kiribati'!$A$18</c:f>
              <c:strCache>
                <c:ptCount val="1"/>
                <c:pt idx="0">
                  <c:v>critically below the expected level</c:v>
                </c:pt>
              </c:strCache>
            </c:strRef>
          </c:tx>
          <c:invertIfNegative val="0"/>
          <c:cat>
            <c:numRef>
              <c:f>'Year 4 te-Kiribati'!$B$16:$D$16</c:f>
              <c:numCache>
                <c:formatCode>General</c:formatCode>
                <c:ptCount val="3"/>
                <c:pt idx="0">
                  <c:v>2015</c:v>
                </c:pt>
                <c:pt idx="1">
                  <c:v>2013</c:v>
                </c:pt>
                <c:pt idx="2">
                  <c:v>2011</c:v>
                </c:pt>
              </c:numCache>
            </c:numRef>
          </c:cat>
          <c:val>
            <c:numRef>
              <c:f>'Year 4 te-Kiribati'!$B$18:$D$18</c:f>
              <c:numCache>
                <c:formatCode>0%</c:formatCode>
                <c:ptCount val="3"/>
                <c:pt idx="0">
                  <c:v>0.19</c:v>
                </c:pt>
                <c:pt idx="1">
                  <c:v>0.14000000000000001</c:v>
                </c:pt>
                <c:pt idx="2">
                  <c:v>7.0000000000000007E-2</c:v>
                </c:pt>
              </c:numCache>
            </c:numRef>
          </c:val>
        </c:ser>
        <c:ser>
          <c:idx val="2"/>
          <c:order val="2"/>
          <c:tx>
            <c:strRef>
              <c:f>'Year 4 te-Kiribati'!$A$19</c:f>
              <c:strCache>
                <c:ptCount val="1"/>
                <c:pt idx="0">
                  <c:v>working towards the expected level</c:v>
                </c:pt>
              </c:strCache>
            </c:strRef>
          </c:tx>
          <c:invertIfNegative val="0"/>
          <c:cat>
            <c:numRef>
              <c:f>'Year 4 te-Kiribati'!$B$16:$D$16</c:f>
              <c:numCache>
                <c:formatCode>General</c:formatCode>
                <c:ptCount val="3"/>
                <c:pt idx="0">
                  <c:v>2015</c:v>
                </c:pt>
                <c:pt idx="1">
                  <c:v>2013</c:v>
                </c:pt>
                <c:pt idx="2">
                  <c:v>2011</c:v>
                </c:pt>
              </c:numCache>
            </c:numRef>
          </c:cat>
          <c:val>
            <c:numRef>
              <c:f>'Year 4 te-Kiribati'!$B$19:$D$19</c:f>
              <c:numCache>
                <c:formatCode>0%</c:formatCode>
                <c:ptCount val="3"/>
                <c:pt idx="0">
                  <c:v>0.38</c:v>
                </c:pt>
                <c:pt idx="1">
                  <c:v>0.25</c:v>
                </c:pt>
                <c:pt idx="2">
                  <c:v>0.14000000000000001</c:v>
                </c:pt>
              </c:numCache>
            </c:numRef>
          </c:val>
        </c:ser>
        <c:ser>
          <c:idx val="3"/>
          <c:order val="3"/>
          <c:tx>
            <c:strRef>
              <c:f>'Year 4 te-Kiribati'!$A$20</c:f>
              <c:strCache>
                <c:ptCount val="1"/>
                <c:pt idx="0">
                  <c:v>is working at the expected level</c:v>
                </c:pt>
              </c:strCache>
            </c:strRef>
          </c:tx>
          <c:invertIfNegative val="0"/>
          <c:cat>
            <c:numRef>
              <c:f>'Year 4 te-Kiribati'!$B$16:$D$16</c:f>
              <c:numCache>
                <c:formatCode>General</c:formatCode>
                <c:ptCount val="3"/>
                <c:pt idx="0">
                  <c:v>2015</c:v>
                </c:pt>
                <c:pt idx="1">
                  <c:v>2013</c:v>
                </c:pt>
                <c:pt idx="2">
                  <c:v>2011</c:v>
                </c:pt>
              </c:numCache>
            </c:numRef>
          </c:cat>
          <c:val>
            <c:numRef>
              <c:f>'Year 4 te-Kiribati'!$B$20:$D$20</c:f>
              <c:numCache>
                <c:formatCode>0%</c:formatCode>
                <c:ptCount val="3"/>
                <c:pt idx="0">
                  <c:v>0.35</c:v>
                </c:pt>
                <c:pt idx="1">
                  <c:v>0.37</c:v>
                </c:pt>
                <c:pt idx="2">
                  <c:v>0.18</c:v>
                </c:pt>
              </c:numCache>
            </c:numRef>
          </c:val>
        </c:ser>
        <c:ser>
          <c:idx val="4"/>
          <c:order val="4"/>
          <c:tx>
            <c:strRef>
              <c:f>'Year 4 te-Kiribati'!$A$21</c:f>
              <c:strCache>
                <c:ptCount val="1"/>
                <c:pt idx="0">
                  <c:v>is working above the expected level</c:v>
                </c:pt>
              </c:strCache>
            </c:strRef>
          </c:tx>
          <c:invertIfNegative val="0"/>
          <c:cat>
            <c:numRef>
              <c:f>'Year 4 te-Kiribati'!$B$16:$D$16</c:f>
              <c:numCache>
                <c:formatCode>General</c:formatCode>
                <c:ptCount val="3"/>
                <c:pt idx="0">
                  <c:v>2015</c:v>
                </c:pt>
                <c:pt idx="1">
                  <c:v>2013</c:v>
                </c:pt>
                <c:pt idx="2">
                  <c:v>2011</c:v>
                </c:pt>
              </c:numCache>
            </c:numRef>
          </c:cat>
          <c:val>
            <c:numRef>
              <c:f>'Year 4 te-Kiribati'!$B$21:$D$21</c:f>
              <c:numCache>
                <c:formatCode>0%</c:formatCode>
                <c:ptCount val="3"/>
                <c:pt idx="0">
                  <c:v>7.0000000000000007E-2</c:v>
                </c:pt>
                <c:pt idx="1">
                  <c:v>0.22</c:v>
                </c:pt>
                <c:pt idx="2">
                  <c:v>0.44</c:v>
                </c:pt>
              </c:numCache>
            </c:numRef>
          </c:val>
        </c:ser>
        <c:dLbls>
          <c:showLegendKey val="0"/>
          <c:showVal val="0"/>
          <c:showCatName val="0"/>
          <c:showSerName val="0"/>
          <c:showPercent val="0"/>
          <c:showBubbleSize val="0"/>
        </c:dLbls>
        <c:gapWidth val="150"/>
        <c:overlap val="100"/>
        <c:axId val="366637056"/>
        <c:axId val="366638592"/>
      </c:barChart>
      <c:catAx>
        <c:axId val="366637056"/>
        <c:scaling>
          <c:orientation val="minMax"/>
        </c:scaling>
        <c:delete val="0"/>
        <c:axPos val="b"/>
        <c:numFmt formatCode="General" sourceLinked="1"/>
        <c:majorTickMark val="out"/>
        <c:minorTickMark val="none"/>
        <c:tickLblPos val="nextTo"/>
        <c:crossAx val="366638592"/>
        <c:crosses val="autoZero"/>
        <c:auto val="1"/>
        <c:lblAlgn val="ctr"/>
        <c:lblOffset val="100"/>
        <c:noMultiLvlLbl val="0"/>
      </c:catAx>
      <c:valAx>
        <c:axId val="366638592"/>
        <c:scaling>
          <c:orientation val="minMax"/>
        </c:scaling>
        <c:delete val="0"/>
        <c:axPos val="l"/>
        <c:majorGridlines/>
        <c:title>
          <c:tx>
            <c:rich>
              <a:bodyPr rot="-5400000" vert="horz"/>
              <a:lstStyle/>
              <a:p>
                <a:pPr>
                  <a:defRPr/>
                </a:pPr>
                <a:r>
                  <a:rPr lang="en-US"/>
                  <a:t>Percentage of Students</a:t>
                </a:r>
              </a:p>
            </c:rich>
          </c:tx>
          <c:layout>
            <c:manualLayout>
              <c:xMode val="edge"/>
              <c:yMode val="edge"/>
              <c:x val="2.0871380120010399E-2"/>
              <c:y val="0.23518190434528999"/>
            </c:manualLayout>
          </c:layout>
          <c:overlay val="0"/>
        </c:title>
        <c:numFmt formatCode="0%" sourceLinked="1"/>
        <c:majorTickMark val="out"/>
        <c:minorTickMark val="none"/>
        <c:tickLblPos val="nextTo"/>
        <c:crossAx val="366637056"/>
        <c:crosses val="autoZero"/>
        <c:crossBetween val="between"/>
      </c:valAx>
    </c:plotArea>
    <c:legend>
      <c:legendPos val="r"/>
      <c:overlay val="0"/>
    </c:legend>
    <c:plotVisOnly val="1"/>
    <c:dispBlanksAs val="gap"/>
    <c:showDLblsOverMax val="0"/>
  </c:chart>
  <c:txPr>
    <a:bodyPr/>
    <a:lstStyle/>
    <a:p>
      <a:pPr>
        <a:defRPr sz="700">
          <a:latin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800"/>
            </a:pPr>
            <a:r>
              <a:rPr lang="en-US" sz="800"/>
              <a:t>Reading                   Language Elements                  Writing</a:t>
            </a:r>
          </a:p>
        </c:rich>
      </c:tx>
      <c:layout>
        <c:manualLayout>
          <c:xMode val="edge"/>
          <c:yMode val="edge"/>
          <c:x val="0.12354745321125502"/>
          <c:y val="4.4699872286079183E-2"/>
        </c:manualLayout>
      </c:layout>
      <c:overlay val="0"/>
    </c:title>
    <c:autoTitleDeleted val="0"/>
    <c:plotArea>
      <c:layout>
        <c:manualLayout>
          <c:layoutTarget val="inner"/>
          <c:xMode val="edge"/>
          <c:yMode val="edge"/>
          <c:x val="7.8964663792744402E-2"/>
          <c:y val="0.15964240102171101"/>
          <c:w val="0.60592497505988296"/>
          <c:h val="0.70353375368308801"/>
        </c:manualLayout>
      </c:layout>
      <c:barChart>
        <c:barDir val="col"/>
        <c:grouping val="percentStacked"/>
        <c:varyColors val="0"/>
        <c:ser>
          <c:idx val="0"/>
          <c:order val="0"/>
          <c:tx>
            <c:strRef>
              <c:f>'Year 4 te-Kiribati'!$A$29</c:f>
              <c:strCache>
                <c:ptCount val="1"/>
                <c:pt idx="0">
                  <c:v>no evidence of achievement</c:v>
                </c:pt>
              </c:strCache>
            </c:strRef>
          </c:tx>
          <c:invertIfNegative val="0"/>
          <c:cat>
            <c:numRef>
              <c:f>'Year 4 te-Kiribati'!$B$28:$H$28</c:f>
              <c:numCache>
                <c:formatCode>General</c:formatCode>
                <c:ptCount val="7"/>
                <c:pt idx="0">
                  <c:v>2013</c:v>
                </c:pt>
                <c:pt idx="1">
                  <c:v>2015</c:v>
                </c:pt>
                <c:pt idx="3">
                  <c:v>2015</c:v>
                </c:pt>
                <c:pt idx="5">
                  <c:v>2013</c:v>
                </c:pt>
                <c:pt idx="6">
                  <c:v>2015</c:v>
                </c:pt>
              </c:numCache>
            </c:numRef>
          </c:cat>
          <c:val>
            <c:numRef>
              <c:f>'Year 4 te-Kiribati'!$B$29:$H$29</c:f>
              <c:numCache>
                <c:formatCode>0%</c:formatCode>
                <c:ptCount val="7"/>
                <c:pt idx="0">
                  <c:v>0.06</c:v>
                </c:pt>
                <c:pt idx="1">
                  <c:v>0.03</c:v>
                </c:pt>
                <c:pt idx="3">
                  <c:v>0.1</c:v>
                </c:pt>
                <c:pt idx="5">
                  <c:v>0.09</c:v>
                </c:pt>
                <c:pt idx="6">
                  <c:v>0.02</c:v>
                </c:pt>
              </c:numCache>
            </c:numRef>
          </c:val>
        </c:ser>
        <c:ser>
          <c:idx val="1"/>
          <c:order val="1"/>
          <c:tx>
            <c:strRef>
              <c:f>'Year 4 te-Kiribati'!$A$30</c:f>
              <c:strCache>
                <c:ptCount val="1"/>
                <c:pt idx="0">
                  <c:v>critically below the expected level</c:v>
                </c:pt>
              </c:strCache>
            </c:strRef>
          </c:tx>
          <c:invertIfNegative val="0"/>
          <c:cat>
            <c:numRef>
              <c:f>'Year 4 te-Kiribati'!$B$28:$H$28</c:f>
              <c:numCache>
                <c:formatCode>General</c:formatCode>
                <c:ptCount val="7"/>
                <c:pt idx="0">
                  <c:v>2013</c:v>
                </c:pt>
                <c:pt idx="1">
                  <c:v>2015</c:v>
                </c:pt>
                <c:pt idx="3">
                  <c:v>2015</c:v>
                </c:pt>
                <c:pt idx="5">
                  <c:v>2013</c:v>
                </c:pt>
                <c:pt idx="6">
                  <c:v>2015</c:v>
                </c:pt>
              </c:numCache>
            </c:numRef>
          </c:cat>
          <c:val>
            <c:numRef>
              <c:f>'Year 4 te-Kiribati'!$B$30:$H$30</c:f>
              <c:numCache>
                <c:formatCode>0%</c:formatCode>
                <c:ptCount val="7"/>
                <c:pt idx="0">
                  <c:v>0.14000000000000001</c:v>
                </c:pt>
                <c:pt idx="1">
                  <c:v>0.18</c:v>
                </c:pt>
                <c:pt idx="3">
                  <c:v>0.26</c:v>
                </c:pt>
                <c:pt idx="5">
                  <c:v>0.06</c:v>
                </c:pt>
                <c:pt idx="6">
                  <c:v>0.03</c:v>
                </c:pt>
              </c:numCache>
            </c:numRef>
          </c:val>
        </c:ser>
        <c:ser>
          <c:idx val="2"/>
          <c:order val="2"/>
          <c:tx>
            <c:strRef>
              <c:f>'Year 4 te-Kiribati'!$A$31</c:f>
              <c:strCache>
                <c:ptCount val="1"/>
                <c:pt idx="0">
                  <c:v>working towards the expected level</c:v>
                </c:pt>
              </c:strCache>
            </c:strRef>
          </c:tx>
          <c:invertIfNegative val="0"/>
          <c:cat>
            <c:numRef>
              <c:f>'Year 4 te-Kiribati'!$B$28:$H$28</c:f>
              <c:numCache>
                <c:formatCode>General</c:formatCode>
                <c:ptCount val="7"/>
                <c:pt idx="0">
                  <c:v>2013</c:v>
                </c:pt>
                <c:pt idx="1">
                  <c:v>2015</c:v>
                </c:pt>
                <c:pt idx="3">
                  <c:v>2015</c:v>
                </c:pt>
                <c:pt idx="5">
                  <c:v>2013</c:v>
                </c:pt>
                <c:pt idx="6">
                  <c:v>2015</c:v>
                </c:pt>
              </c:numCache>
            </c:numRef>
          </c:cat>
          <c:val>
            <c:numRef>
              <c:f>'Year 4 te-Kiribati'!$B$31:$H$31</c:f>
              <c:numCache>
                <c:formatCode>0%</c:formatCode>
                <c:ptCount val="7"/>
                <c:pt idx="0">
                  <c:v>0.23</c:v>
                </c:pt>
                <c:pt idx="1">
                  <c:v>0.37</c:v>
                </c:pt>
                <c:pt idx="3">
                  <c:v>0.27</c:v>
                </c:pt>
                <c:pt idx="5">
                  <c:v>0.31</c:v>
                </c:pt>
                <c:pt idx="6">
                  <c:v>0.28000000000000003</c:v>
                </c:pt>
              </c:numCache>
            </c:numRef>
          </c:val>
        </c:ser>
        <c:ser>
          <c:idx val="3"/>
          <c:order val="3"/>
          <c:tx>
            <c:strRef>
              <c:f>'Year 4 te-Kiribati'!$A$32</c:f>
              <c:strCache>
                <c:ptCount val="1"/>
                <c:pt idx="0">
                  <c:v>is working at the expected level</c:v>
                </c:pt>
              </c:strCache>
            </c:strRef>
          </c:tx>
          <c:invertIfNegative val="0"/>
          <c:cat>
            <c:numRef>
              <c:f>'Year 4 te-Kiribati'!$B$28:$H$28</c:f>
              <c:numCache>
                <c:formatCode>General</c:formatCode>
                <c:ptCount val="7"/>
                <c:pt idx="0">
                  <c:v>2013</c:v>
                </c:pt>
                <c:pt idx="1">
                  <c:v>2015</c:v>
                </c:pt>
                <c:pt idx="3">
                  <c:v>2015</c:v>
                </c:pt>
                <c:pt idx="5">
                  <c:v>2013</c:v>
                </c:pt>
                <c:pt idx="6">
                  <c:v>2015</c:v>
                </c:pt>
              </c:numCache>
            </c:numRef>
          </c:cat>
          <c:val>
            <c:numRef>
              <c:f>'Year 4 te-Kiribati'!$B$32:$H$32</c:f>
              <c:numCache>
                <c:formatCode>0%</c:formatCode>
                <c:ptCount val="7"/>
                <c:pt idx="0">
                  <c:v>0.26</c:v>
                </c:pt>
                <c:pt idx="1">
                  <c:v>0.36</c:v>
                </c:pt>
                <c:pt idx="3">
                  <c:v>0.27</c:v>
                </c:pt>
                <c:pt idx="5">
                  <c:v>0.38</c:v>
                </c:pt>
                <c:pt idx="6">
                  <c:v>0.4</c:v>
                </c:pt>
              </c:numCache>
            </c:numRef>
          </c:val>
        </c:ser>
        <c:ser>
          <c:idx val="4"/>
          <c:order val="4"/>
          <c:tx>
            <c:strRef>
              <c:f>'Year 4 te-Kiribati'!$A$33</c:f>
              <c:strCache>
                <c:ptCount val="1"/>
                <c:pt idx="0">
                  <c:v>is working above the expected level</c:v>
                </c:pt>
              </c:strCache>
            </c:strRef>
          </c:tx>
          <c:invertIfNegative val="0"/>
          <c:cat>
            <c:numRef>
              <c:f>'Year 4 te-Kiribati'!$B$28:$H$28</c:f>
              <c:numCache>
                <c:formatCode>General</c:formatCode>
                <c:ptCount val="7"/>
                <c:pt idx="0">
                  <c:v>2013</c:v>
                </c:pt>
                <c:pt idx="1">
                  <c:v>2015</c:v>
                </c:pt>
                <c:pt idx="3">
                  <c:v>2015</c:v>
                </c:pt>
                <c:pt idx="5">
                  <c:v>2013</c:v>
                </c:pt>
                <c:pt idx="6">
                  <c:v>2015</c:v>
                </c:pt>
              </c:numCache>
            </c:numRef>
          </c:cat>
          <c:val>
            <c:numRef>
              <c:f>'Year 4 te-Kiribati'!$B$33:$H$33</c:f>
              <c:numCache>
                <c:formatCode>0%</c:formatCode>
                <c:ptCount val="7"/>
                <c:pt idx="0">
                  <c:v>0.3</c:v>
                </c:pt>
                <c:pt idx="1">
                  <c:v>0.06</c:v>
                </c:pt>
                <c:pt idx="3">
                  <c:v>0.09</c:v>
                </c:pt>
                <c:pt idx="5">
                  <c:v>0.16</c:v>
                </c:pt>
                <c:pt idx="6">
                  <c:v>0.28000000000000003</c:v>
                </c:pt>
              </c:numCache>
            </c:numRef>
          </c:val>
        </c:ser>
        <c:dLbls>
          <c:showLegendKey val="0"/>
          <c:showVal val="0"/>
          <c:showCatName val="0"/>
          <c:showSerName val="0"/>
          <c:showPercent val="0"/>
          <c:showBubbleSize val="0"/>
        </c:dLbls>
        <c:gapWidth val="150"/>
        <c:overlap val="100"/>
        <c:axId val="366670976"/>
        <c:axId val="366672512"/>
      </c:barChart>
      <c:catAx>
        <c:axId val="366670976"/>
        <c:scaling>
          <c:orientation val="minMax"/>
        </c:scaling>
        <c:delete val="0"/>
        <c:axPos val="b"/>
        <c:numFmt formatCode="General" sourceLinked="1"/>
        <c:majorTickMark val="out"/>
        <c:minorTickMark val="none"/>
        <c:tickLblPos val="nextTo"/>
        <c:crossAx val="366672512"/>
        <c:crosses val="autoZero"/>
        <c:auto val="1"/>
        <c:lblAlgn val="ctr"/>
        <c:lblOffset val="100"/>
        <c:noMultiLvlLbl val="0"/>
      </c:catAx>
      <c:valAx>
        <c:axId val="366672512"/>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txPr>
          <a:bodyPr/>
          <a:lstStyle/>
          <a:p>
            <a:pPr>
              <a:defRPr sz="700"/>
            </a:pPr>
            <a:endParaRPr lang="en-US"/>
          </a:p>
        </c:txPr>
        <c:crossAx val="366670976"/>
        <c:crosses val="autoZero"/>
        <c:crossBetween val="between"/>
      </c:valAx>
    </c:plotArea>
    <c:legend>
      <c:legendPos val="r"/>
      <c:layout>
        <c:manualLayout>
          <c:xMode val="edge"/>
          <c:yMode val="edge"/>
          <c:x val="0.72857784303749795"/>
          <c:y val="9.6973079514485999E-2"/>
          <c:w val="0.25302712362150398"/>
          <c:h val="0.78051055399684199"/>
        </c:manualLayout>
      </c:layout>
      <c:overlay val="0"/>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'Year 4 te-Kiribati'!$A$83</c:f>
              <c:strCache>
                <c:ptCount val="1"/>
                <c:pt idx="0">
                  <c:v>no evidence of achievement</c:v>
                </c:pt>
              </c:strCache>
            </c:strRef>
          </c:tx>
          <c:invertIfNegative val="0"/>
          <c:cat>
            <c:strRef>
              <c:f>'Year 4 te-Kiribati'!$B$82:$C$82</c:f>
              <c:strCache>
                <c:ptCount val="2"/>
                <c:pt idx="0">
                  <c:v>Male</c:v>
                </c:pt>
                <c:pt idx="1">
                  <c:v>Female</c:v>
                </c:pt>
              </c:strCache>
            </c:strRef>
          </c:cat>
          <c:val>
            <c:numRef>
              <c:f>'Year 4 te-Kiribati'!$B$83:$C$83</c:f>
              <c:numCache>
                <c:formatCode>0%</c:formatCode>
                <c:ptCount val="2"/>
                <c:pt idx="0">
                  <c:v>0.01</c:v>
                </c:pt>
                <c:pt idx="1">
                  <c:v>0.01</c:v>
                </c:pt>
              </c:numCache>
            </c:numRef>
          </c:val>
        </c:ser>
        <c:ser>
          <c:idx val="1"/>
          <c:order val="1"/>
          <c:tx>
            <c:strRef>
              <c:f>'Year 4 te-Kiribati'!$A$84</c:f>
              <c:strCache>
                <c:ptCount val="1"/>
                <c:pt idx="0">
                  <c:v>critically below the expected level</c:v>
                </c:pt>
              </c:strCache>
            </c:strRef>
          </c:tx>
          <c:invertIfNegative val="0"/>
          <c:cat>
            <c:strRef>
              <c:f>'Year 4 te-Kiribati'!$B$82:$C$82</c:f>
              <c:strCache>
                <c:ptCount val="2"/>
                <c:pt idx="0">
                  <c:v>Male</c:v>
                </c:pt>
                <c:pt idx="1">
                  <c:v>Female</c:v>
                </c:pt>
              </c:strCache>
            </c:strRef>
          </c:cat>
          <c:val>
            <c:numRef>
              <c:f>'Year 4 te-Kiribati'!$B$84:$C$84</c:f>
              <c:numCache>
                <c:formatCode>0%</c:formatCode>
                <c:ptCount val="2"/>
                <c:pt idx="0">
                  <c:v>0.27</c:v>
                </c:pt>
                <c:pt idx="1">
                  <c:v>0.12</c:v>
                </c:pt>
              </c:numCache>
            </c:numRef>
          </c:val>
        </c:ser>
        <c:ser>
          <c:idx val="2"/>
          <c:order val="2"/>
          <c:tx>
            <c:strRef>
              <c:f>'Year 4 te-Kiribati'!$A$85</c:f>
              <c:strCache>
                <c:ptCount val="1"/>
                <c:pt idx="0">
                  <c:v>working towards the expected level</c:v>
                </c:pt>
              </c:strCache>
            </c:strRef>
          </c:tx>
          <c:invertIfNegative val="0"/>
          <c:cat>
            <c:strRef>
              <c:f>'Year 4 te-Kiribati'!$B$82:$C$82</c:f>
              <c:strCache>
                <c:ptCount val="2"/>
                <c:pt idx="0">
                  <c:v>Male</c:v>
                </c:pt>
                <c:pt idx="1">
                  <c:v>Female</c:v>
                </c:pt>
              </c:strCache>
            </c:strRef>
          </c:cat>
          <c:val>
            <c:numRef>
              <c:f>'Year 4 te-Kiribati'!$B$85:$C$85</c:f>
              <c:numCache>
                <c:formatCode>0%</c:formatCode>
                <c:ptCount val="2"/>
                <c:pt idx="0">
                  <c:v>0.42</c:v>
                </c:pt>
                <c:pt idx="1">
                  <c:v>0.35</c:v>
                </c:pt>
              </c:numCache>
            </c:numRef>
          </c:val>
        </c:ser>
        <c:ser>
          <c:idx val="3"/>
          <c:order val="3"/>
          <c:tx>
            <c:strRef>
              <c:f>'Year 4 te-Kiribati'!$A$86</c:f>
              <c:strCache>
                <c:ptCount val="1"/>
                <c:pt idx="0">
                  <c:v>is working at the expected level</c:v>
                </c:pt>
              </c:strCache>
            </c:strRef>
          </c:tx>
          <c:invertIfNegative val="0"/>
          <c:cat>
            <c:strRef>
              <c:f>'Year 4 te-Kiribati'!$B$82:$C$82</c:f>
              <c:strCache>
                <c:ptCount val="2"/>
                <c:pt idx="0">
                  <c:v>Male</c:v>
                </c:pt>
                <c:pt idx="1">
                  <c:v>Female</c:v>
                </c:pt>
              </c:strCache>
            </c:strRef>
          </c:cat>
          <c:val>
            <c:numRef>
              <c:f>'Year 4 te-Kiribati'!$B$86:$C$86</c:f>
              <c:numCache>
                <c:formatCode>0%</c:formatCode>
                <c:ptCount val="2"/>
                <c:pt idx="0">
                  <c:v>0.27</c:v>
                </c:pt>
                <c:pt idx="1">
                  <c:v>0.43</c:v>
                </c:pt>
              </c:numCache>
            </c:numRef>
          </c:val>
        </c:ser>
        <c:ser>
          <c:idx val="4"/>
          <c:order val="4"/>
          <c:tx>
            <c:strRef>
              <c:f>'Year 4 te-Kiribati'!$A$87</c:f>
              <c:strCache>
                <c:ptCount val="1"/>
                <c:pt idx="0">
                  <c:v>is working above the expected level</c:v>
                </c:pt>
              </c:strCache>
            </c:strRef>
          </c:tx>
          <c:invertIfNegative val="0"/>
          <c:cat>
            <c:strRef>
              <c:f>'Year 4 te-Kiribati'!$B$82:$C$82</c:f>
              <c:strCache>
                <c:ptCount val="2"/>
                <c:pt idx="0">
                  <c:v>Male</c:v>
                </c:pt>
                <c:pt idx="1">
                  <c:v>Female</c:v>
                </c:pt>
              </c:strCache>
            </c:strRef>
          </c:cat>
          <c:val>
            <c:numRef>
              <c:f>'Year 4 te-Kiribati'!$B$87:$C$87</c:f>
              <c:numCache>
                <c:formatCode>0%</c:formatCode>
                <c:ptCount val="2"/>
                <c:pt idx="0">
                  <c:v>0.04</c:v>
                </c:pt>
                <c:pt idx="1">
                  <c:v>0.09</c:v>
                </c:pt>
              </c:numCache>
            </c:numRef>
          </c:val>
        </c:ser>
        <c:dLbls>
          <c:showLegendKey val="0"/>
          <c:showVal val="0"/>
          <c:showCatName val="0"/>
          <c:showSerName val="0"/>
          <c:showPercent val="0"/>
          <c:showBubbleSize val="0"/>
        </c:dLbls>
        <c:gapWidth val="150"/>
        <c:overlap val="100"/>
        <c:axId val="366987904"/>
        <c:axId val="366997888"/>
      </c:barChart>
      <c:catAx>
        <c:axId val="366987904"/>
        <c:scaling>
          <c:orientation val="minMax"/>
        </c:scaling>
        <c:delete val="0"/>
        <c:axPos val="b"/>
        <c:numFmt formatCode="General" sourceLinked="0"/>
        <c:majorTickMark val="out"/>
        <c:minorTickMark val="none"/>
        <c:tickLblPos val="nextTo"/>
        <c:crossAx val="366997888"/>
        <c:crosses val="autoZero"/>
        <c:auto val="1"/>
        <c:lblAlgn val="ctr"/>
        <c:lblOffset val="100"/>
        <c:noMultiLvlLbl val="0"/>
      </c:catAx>
      <c:valAx>
        <c:axId val="366997888"/>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crossAx val="366987904"/>
        <c:crosses val="autoZero"/>
        <c:crossBetween val="between"/>
      </c:valAx>
    </c:plotArea>
    <c:legend>
      <c:legendPos val="r"/>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599974482356401"/>
          <c:y val="7.3654390934844202E-2"/>
          <c:w val="0.503655098668222"/>
          <c:h val="0.75055742678057602"/>
        </c:manualLayout>
      </c:layout>
      <c:barChart>
        <c:barDir val="col"/>
        <c:grouping val="percentStacked"/>
        <c:varyColors val="0"/>
        <c:ser>
          <c:idx val="0"/>
          <c:order val="0"/>
          <c:tx>
            <c:strRef>
              <c:f>'Year 6&amp;8 Te-Kiribati'!$A$23</c:f>
              <c:strCache>
                <c:ptCount val="1"/>
                <c:pt idx="0">
                  <c:v>no evidence of achievement</c:v>
                </c:pt>
              </c:strCache>
            </c:strRef>
          </c:tx>
          <c:invertIfNegative val="0"/>
          <c:cat>
            <c:strRef>
              <c:f>'Year 6&amp;8 Te-Kiribati'!$B$22:$D$22</c:f>
              <c:strCache>
                <c:ptCount val="3"/>
                <c:pt idx="0">
                  <c:v>2013 Year 6</c:v>
                </c:pt>
                <c:pt idx="1">
                  <c:v>2015 Year 6</c:v>
                </c:pt>
                <c:pt idx="2">
                  <c:v>2015 Year 8</c:v>
                </c:pt>
              </c:strCache>
            </c:strRef>
          </c:cat>
          <c:val>
            <c:numRef>
              <c:f>'Year 6&amp;8 Te-Kiribati'!$B$23:$D$23</c:f>
              <c:numCache>
                <c:formatCode>0%</c:formatCode>
                <c:ptCount val="3"/>
                <c:pt idx="0">
                  <c:v>0.01</c:v>
                </c:pt>
                <c:pt idx="1">
                  <c:v>0.01</c:v>
                </c:pt>
                <c:pt idx="2">
                  <c:v>0</c:v>
                </c:pt>
              </c:numCache>
            </c:numRef>
          </c:val>
        </c:ser>
        <c:ser>
          <c:idx val="1"/>
          <c:order val="1"/>
          <c:tx>
            <c:strRef>
              <c:f>'Year 6&amp;8 Te-Kiribati'!$A$24</c:f>
              <c:strCache>
                <c:ptCount val="1"/>
                <c:pt idx="0">
                  <c:v>critically below the expected level</c:v>
                </c:pt>
              </c:strCache>
            </c:strRef>
          </c:tx>
          <c:invertIfNegative val="0"/>
          <c:cat>
            <c:strRef>
              <c:f>'Year 6&amp;8 Te-Kiribati'!$B$22:$D$22</c:f>
              <c:strCache>
                <c:ptCount val="3"/>
                <c:pt idx="0">
                  <c:v>2013 Year 6</c:v>
                </c:pt>
                <c:pt idx="1">
                  <c:v>2015 Year 6</c:v>
                </c:pt>
                <c:pt idx="2">
                  <c:v>2015 Year 8</c:v>
                </c:pt>
              </c:strCache>
            </c:strRef>
          </c:cat>
          <c:val>
            <c:numRef>
              <c:f>'Year 6&amp;8 Te-Kiribati'!$B$24:$D$24</c:f>
              <c:numCache>
                <c:formatCode>0%</c:formatCode>
                <c:ptCount val="3"/>
                <c:pt idx="0">
                  <c:v>0.22</c:v>
                </c:pt>
                <c:pt idx="1">
                  <c:v>0.17</c:v>
                </c:pt>
                <c:pt idx="2">
                  <c:v>0.08</c:v>
                </c:pt>
              </c:numCache>
            </c:numRef>
          </c:val>
        </c:ser>
        <c:ser>
          <c:idx val="2"/>
          <c:order val="2"/>
          <c:tx>
            <c:strRef>
              <c:f>'Year 6&amp;8 Te-Kiribati'!$A$25</c:f>
              <c:strCache>
                <c:ptCount val="1"/>
                <c:pt idx="0">
                  <c:v>working towards the expected level</c:v>
                </c:pt>
              </c:strCache>
            </c:strRef>
          </c:tx>
          <c:invertIfNegative val="0"/>
          <c:cat>
            <c:strRef>
              <c:f>'Year 6&amp;8 Te-Kiribati'!$B$22:$D$22</c:f>
              <c:strCache>
                <c:ptCount val="3"/>
                <c:pt idx="0">
                  <c:v>2013 Year 6</c:v>
                </c:pt>
                <c:pt idx="1">
                  <c:v>2015 Year 6</c:v>
                </c:pt>
                <c:pt idx="2">
                  <c:v>2015 Year 8</c:v>
                </c:pt>
              </c:strCache>
            </c:strRef>
          </c:cat>
          <c:val>
            <c:numRef>
              <c:f>'Year 6&amp;8 Te-Kiribati'!$B$25:$D$25</c:f>
              <c:numCache>
                <c:formatCode>0%</c:formatCode>
                <c:ptCount val="3"/>
                <c:pt idx="0">
                  <c:v>0.3</c:v>
                </c:pt>
                <c:pt idx="1">
                  <c:v>0.28000000000000003</c:v>
                </c:pt>
                <c:pt idx="2">
                  <c:v>0.2</c:v>
                </c:pt>
              </c:numCache>
            </c:numRef>
          </c:val>
        </c:ser>
        <c:ser>
          <c:idx val="3"/>
          <c:order val="3"/>
          <c:tx>
            <c:strRef>
              <c:f>'Year 6&amp;8 Te-Kiribati'!$A$26</c:f>
              <c:strCache>
                <c:ptCount val="1"/>
                <c:pt idx="0">
                  <c:v>is working at the expected level</c:v>
                </c:pt>
              </c:strCache>
            </c:strRef>
          </c:tx>
          <c:invertIfNegative val="0"/>
          <c:cat>
            <c:strRef>
              <c:f>'Year 6&amp;8 Te-Kiribati'!$B$22:$D$22</c:f>
              <c:strCache>
                <c:ptCount val="3"/>
                <c:pt idx="0">
                  <c:v>2013 Year 6</c:v>
                </c:pt>
                <c:pt idx="1">
                  <c:v>2015 Year 6</c:v>
                </c:pt>
                <c:pt idx="2">
                  <c:v>2015 Year 8</c:v>
                </c:pt>
              </c:strCache>
            </c:strRef>
          </c:cat>
          <c:val>
            <c:numRef>
              <c:f>'Year 6&amp;8 Te-Kiribati'!$B$26:$D$26</c:f>
              <c:numCache>
                <c:formatCode>0%</c:formatCode>
                <c:ptCount val="3"/>
                <c:pt idx="0">
                  <c:v>0.34</c:v>
                </c:pt>
                <c:pt idx="1">
                  <c:v>0.36</c:v>
                </c:pt>
                <c:pt idx="2">
                  <c:v>0.49</c:v>
                </c:pt>
              </c:numCache>
            </c:numRef>
          </c:val>
        </c:ser>
        <c:ser>
          <c:idx val="4"/>
          <c:order val="4"/>
          <c:tx>
            <c:strRef>
              <c:f>'Year 6&amp;8 Te-Kiribati'!$A$27</c:f>
              <c:strCache>
                <c:ptCount val="1"/>
                <c:pt idx="0">
                  <c:v>is working above the expected level</c:v>
                </c:pt>
              </c:strCache>
            </c:strRef>
          </c:tx>
          <c:invertIfNegative val="0"/>
          <c:cat>
            <c:strRef>
              <c:f>'Year 6&amp;8 Te-Kiribati'!$B$22:$D$22</c:f>
              <c:strCache>
                <c:ptCount val="3"/>
                <c:pt idx="0">
                  <c:v>2013 Year 6</c:v>
                </c:pt>
                <c:pt idx="1">
                  <c:v>2015 Year 6</c:v>
                </c:pt>
                <c:pt idx="2">
                  <c:v>2015 Year 8</c:v>
                </c:pt>
              </c:strCache>
            </c:strRef>
          </c:cat>
          <c:val>
            <c:numRef>
              <c:f>'Year 6&amp;8 Te-Kiribati'!$B$27:$D$27</c:f>
              <c:numCache>
                <c:formatCode>0%</c:formatCode>
                <c:ptCount val="3"/>
                <c:pt idx="0">
                  <c:v>0.13</c:v>
                </c:pt>
                <c:pt idx="1">
                  <c:v>0.19</c:v>
                </c:pt>
                <c:pt idx="2">
                  <c:v>0.23</c:v>
                </c:pt>
              </c:numCache>
            </c:numRef>
          </c:val>
        </c:ser>
        <c:dLbls>
          <c:showLegendKey val="0"/>
          <c:showVal val="0"/>
          <c:showCatName val="0"/>
          <c:showSerName val="0"/>
          <c:showPercent val="0"/>
          <c:showBubbleSize val="0"/>
        </c:dLbls>
        <c:gapWidth val="150"/>
        <c:overlap val="100"/>
        <c:axId val="367038464"/>
        <c:axId val="367040000"/>
      </c:barChart>
      <c:catAx>
        <c:axId val="367038464"/>
        <c:scaling>
          <c:orientation val="minMax"/>
        </c:scaling>
        <c:delete val="0"/>
        <c:axPos val="b"/>
        <c:numFmt formatCode="General" sourceLinked="0"/>
        <c:majorTickMark val="out"/>
        <c:minorTickMark val="none"/>
        <c:tickLblPos val="nextTo"/>
        <c:txPr>
          <a:bodyPr rot="-5400000" vert="horz"/>
          <a:lstStyle/>
          <a:p>
            <a:pPr>
              <a:defRPr sz="800" b="1" i="0"/>
            </a:pPr>
            <a:endParaRPr lang="en-US"/>
          </a:p>
        </c:txPr>
        <c:crossAx val="367040000"/>
        <c:crosses val="autoZero"/>
        <c:auto val="1"/>
        <c:lblAlgn val="ctr"/>
        <c:lblOffset val="100"/>
        <c:noMultiLvlLbl val="0"/>
      </c:catAx>
      <c:valAx>
        <c:axId val="367040000"/>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1.54320987654321E-2"/>
              <c:y val="0.17566148424081501"/>
            </c:manualLayout>
          </c:layout>
          <c:overlay val="0"/>
        </c:title>
        <c:numFmt formatCode="0%" sourceLinked="1"/>
        <c:majorTickMark val="out"/>
        <c:minorTickMark val="none"/>
        <c:tickLblPos val="nextTo"/>
        <c:txPr>
          <a:bodyPr/>
          <a:lstStyle/>
          <a:p>
            <a:pPr>
              <a:defRPr sz="700"/>
            </a:pPr>
            <a:endParaRPr lang="en-US"/>
          </a:p>
        </c:txPr>
        <c:crossAx val="367038464"/>
        <c:crosses val="autoZero"/>
        <c:crossBetween val="between"/>
      </c:valAx>
    </c:plotArea>
    <c:legend>
      <c:legendPos val="r"/>
      <c:layout>
        <c:manualLayout>
          <c:xMode val="edge"/>
          <c:yMode val="edge"/>
          <c:x val="0.68735145086030902"/>
          <c:y val="0.11984251968503901"/>
          <c:w val="0.29336905803441199"/>
          <c:h val="0.62605533683289605"/>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700"/>
            </a:pPr>
            <a:r>
              <a:rPr lang="en-US" sz="700"/>
              <a:t>Listening          Vocabulary            Reading            Grammar              Writing</a:t>
            </a:r>
            <a:r>
              <a:rPr lang="en-US" sz="700" baseline="0"/>
              <a:t> </a:t>
            </a:r>
            <a:endParaRPr lang="en-US" sz="700"/>
          </a:p>
        </c:rich>
      </c:tx>
      <c:layout>
        <c:manualLayout>
          <c:xMode val="edge"/>
          <c:yMode val="edge"/>
          <c:x val="0.118188826681836"/>
          <c:y val="3.8192234245703401E-2"/>
        </c:manualLayout>
      </c:layout>
      <c:overlay val="0"/>
    </c:title>
    <c:autoTitleDeleted val="0"/>
    <c:plotArea>
      <c:layout>
        <c:manualLayout>
          <c:layoutTarget val="inner"/>
          <c:xMode val="edge"/>
          <c:yMode val="edge"/>
          <c:x val="0.119817146193228"/>
          <c:y val="0.12829650748396301"/>
          <c:w val="0.60322651267926097"/>
          <c:h val="0.67196558555625996"/>
        </c:manualLayout>
      </c:layout>
      <c:barChart>
        <c:barDir val="col"/>
        <c:grouping val="percentStacked"/>
        <c:varyColors val="0"/>
        <c:ser>
          <c:idx val="0"/>
          <c:order val="0"/>
          <c:tx>
            <c:strRef>
              <c:f>'Year 6&amp;8 Te-Kiribati'!$A$80</c:f>
              <c:strCache>
                <c:ptCount val="1"/>
                <c:pt idx="0">
                  <c:v>no evidence of achievement</c:v>
                </c:pt>
              </c:strCache>
            </c:strRef>
          </c:tx>
          <c:invertIfNegative val="0"/>
          <c:cat>
            <c:strRef>
              <c:f>'Year 6&amp;8 Te-Kiribati'!$B$79:$O$79</c:f>
              <c:strCache>
                <c:ptCount val="14"/>
                <c:pt idx="0">
                  <c:v>Year 6</c:v>
                </c:pt>
                <c:pt idx="1">
                  <c:v>Year 8</c:v>
                </c:pt>
                <c:pt idx="3">
                  <c:v>Year 6</c:v>
                </c:pt>
                <c:pt idx="4">
                  <c:v>Year 8</c:v>
                </c:pt>
                <c:pt idx="6">
                  <c:v>Year 6</c:v>
                </c:pt>
                <c:pt idx="7">
                  <c:v>Year 8</c:v>
                </c:pt>
                <c:pt idx="9">
                  <c:v>Year 6</c:v>
                </c:pt>
                <c:pt idx="10">
                  <c:v>Year 8</c:v>
                </c:pt>
                <c:pt idx="12">
                  <c:v>Year 6</c:v>
                </c:pt>
                <c:pt idx="13">
                  <c:v>Year 8</c:v>
                </c:pt>
              </c:strCache>
            </c:strRef>
          </c:cat>
          <c:val>
            <c:numRef>
              <c:f>'Year 6&amp;8 Te-Kiribati'!$B$80:$O$80</c:f>
              <c:numCache>
                <c:formatCode>0%</c:formatCode>
                <c:ptCount val="14"/>
                <c:pt idx="0">
                  <c:v>7.0000000000000007E-2</c:v>
                </c:pt>
                <c:pt idx="1">
                  <c:v>0.02</c:v>
                </c:pt>
                <c:pt idx="3">
                  <c:v>0.02</c:v>
                </c:pt>
                <c:pt idx="4">
                  <c:v>0.01</c:v>
                </c:pt>
                <c:pt idx="6">
                  <c:v>0.26</c:v>
                </c:pt>
                <c:pt idx="7">
                  <c:v>0.02</c:v>
                </c:pt>
                <c:pt idx="9">
                  <c:v>0.11</c:v>
                </c:pt>
                <c:pt idx="10">
                  <c:v>0.05</c:v>
                </c:pt>
                <c:pt idx="12">
                  <c:v>0.05</c:v>
                </c:pt>
                <c:pt idx="13">
                  <c:v>0.09</c:v>
                </c:pt>
              </c:numCache>
            </c:numRef>
          </c:val>
        </c:ser>
        <c:ser>
          <c:idx val="1"/>
          <c:order val="1"/>
          <c:tx>
            <c:strRef>
              <c:f>'Year 6&amp;8 Te-Kiribati'!$A$81</c:f>
              <c:strCache>
                <c:ptCount val="1"/>
                <c:pt idx="0">
                  <c:v>critically below the expected level</c:v>
                </c:pt>
              </c:strCache>
            </c:strRef>
          </c:tx>
          <c:invertIfNegative val="0"/>
          <c:cat>
            <c:strRef>
              <c:f>'Year 6&amp;8 Te-Kiribati'!$B$79:$O$79</c:f>
              <c:strCache>
                <c:ptCount val="14"/>
                <c:pt idx="0">
                  <c:v>Year 6</c:v>
                </c:pt>
                <c:pt idx="1">
                  <c:v>Year 8</c:v>
                </c:pt>
                <c:pt idx="3">
                  <c:v>Year 6</c:v>
                </c:pt>
                <c:pt idx="4">
                  <c:v>Year 8</c:v>
                </c:pt>
                <c:pt idx="6">
                  <c:v>Year 6</c:v>
                </c:pt>
                <c:pt idx="7">
                  <c:v>Year 8</c:v>
                </c:pt>
                <c:pt idx="9">
                  <c:v>Year 6</c:v>
                </c:pt>
                <c:pt idx="10">
                  <c:v>Year 8</c:v>
                </c:pt>
                <c:pt idx="12">
                  <c:v>Year 6</c:v>
                </c:pt>
                <c:pt idx="13">
                  <c:v>Year 8</c:v>
                </c:pt>
              </c:strCache>
            </c:strRef>
          </c:cat>
          <c:val>
            <c:numRef>
              <c:f>'Year 6&amp;8 Te-Kiribati'!$B$81:$O$81</c:f>
              <c:numCache>
                <c:formatCode>0%</c:formatCode>
                <c:ptCount val="14"/>
                <c:pt idx="0">
                  <c:v>0.09</c:v>
                </c:pt>
                <c:pt idx="1">
                  <c:v>0.04</c:v>
                </c:pt>
                <c:pt idx="3">
                  <c:v>0.11</c:v>
                </c:pt>
                <c:pt idx="4">
                  <c:v>0.06</c:v>
                </c:pt>
                <c:pt idx="6">
                  <c:v>0.3</c:v>
                </c:pt>
                <c:pt idx="7">
                  <c:v>0.13</c:v>
                </c:pt>
                <c:pt idx="9">
                  <c:v>0.21</c:v>
                </c:pt>
                <c:pt idx="10">
                  <c:v>0.12</c:v>
                </c:pt>
                <c:pt idx="12">
                  <c:v>0.02</c:v>
                </c:pt>
                <c:pt idx="13">
                  <c:v>0.1</c:v>
                </c:pt>
              </c:numCache>
            </c:numRef>
          </c:val>
        </c:ser>
        <c:ser>
          <c:idx val="2"/>
          <c:order val="2"/>
          <c:tx>
            <c:strRef>
              <c:f>'Year 6&amp;8 Te-Kiribati'!$A$82</c:f>
              <c:strCache>
                <c:ptCount val="1"/>
                <c:pt idx="0">
                  <c:v>working towards the expected level</c:v>
                </c:pt>
              </c:strCache>
            </c:strRef>
          </c:tx>
          <c:invertIfNegative val="0"/>
          <c:cat>
            <c:strRef>
              <c:f>'Year 6&amp;8 Te-Kiribati'!$B$79:$O$79</c:f>
              <c:strCache>
                <c:ptCount val="14"/>
                <c:pt idx="0">
                  <c:v>Year 6</c:v>
                </c:pt>
                <c:pt idx="1">
                  <c:v>Year 8</c:v>
                </c:pt>
                <c:pt idx="3">
                  <c:v>Year 6</c:v>
                </c:pt>
                <c:pt idx="4">
                  <c:v>Year 8</c:v>
                </c:pt>
                <c:pt idx="6">
                  <c:v>Year 6</c:v>
                </c:pt>
                <c:pt idx="7">
                  <c:v>Year 8</c:v>
                </c:pt>
                <c:pt idx="9">
                  <c:v>Year 6</c:v>
                </c:pt>
                <c:pt idx="10">
                  <c:v>Year 8</c:v>
                </c:pt>
                <c:pt idx="12">
                  <c:v>Year 6</c:v>
                </c:pt>
                <c:pt idx="13">
                  <c:v>Year 8</c:v>
                </c:pt>
              </c:strCache>
            </c:strRef>
          </c:cat>
          <c:val>
            <c:numRef>
              <c:f>'Year 6&amp;8 Te-Kiribati'!$B$82:$O$82</c:f>
              <c:numCache>
                <c:formatCode>0%</c:formatCode>
                <c:ptCount val="14"/>
                <c:pt idx="0">
                  <c:v>0.15</c:v>
                </c:pt>
                <c:pt idx="1">
                  <c:v>0.24</c:v>
                </c:pt>
                <c:pt idx="3">
                  <c:v>0.25</c:v>
                </c:pt>
                <c:pt idx="4">
                  <c:v>0.18</c:v>
                </c:pt>
                <c:pt idx="6">
                  <c:v>0.22</c:v>
                </c:pt>
                <c:pt idx="7">
                  <c:v>0.3</c:v>
                </c:pt>
                <c:pt idx="9">
                  <c:v>0.26</c:v>
                </c:pt>
                <c:pt idx="10">
                  <c:v>0.3</c:v>
                </c:pt>
                <c:pt idx="12">
                  <c:v>0.26</c:v>
                </c:pt>
                <c:pt idx="13">
                  <c:v>0.43</c:v>
                </c:pt>
              </c:numCache>
            </c:numRef>
          </c:val>
        </c:ser>
        <c:ser>
          <c:idx val="3"/>
          <c:order val="3"/>
          <c:tx>
            <c:strRef>
              <c:f>'Year 6&amp;8 Te-Kiribati'!$A$83</c:f>
              <c:strCache>
                <c:ptCount val="1"/>
                <c:pt idx="0">
                  <c:v>is working at the expected level</c:v>
                </c:pt>
              </c:strCache>
            </c:strRef>
          </c:tx>
          <c:invertIfNegative val="0"/>
          <c:cat>
            <c:strRef>
              <c:f>'Year 6&amp;8 Te-Kiribati'!$B$79:$O$79</c:f>
              <c:strCache>
                <c:ptCount val="14"/>
                <c:pt idx="0">
                  <c:v>Year 6</c:v>
                </c:pt>
                <c:pt idx="1">
                  <c:v>Year 8</c:v>
                </c:pt>
                <c:pt idx="3">
                  <c:v>Year 6</c:v>
                </c:pt>
                <c:pt idx="4">
                  <c:v>Year 8</c:v>
                </c:pt>
                <c:pt idx="6">
                  <c:v>Year 6</c:v>
                </c:pt>
                <c:pt idx="7">
                  <c:v>Year 8</c:v>
                </c:pt>
                <c:pt idx="9">
                  <c:v>Year 6</c:v>
                </c:pt>
                <c:pt idx="10">
                  <c:v>Year 8</c:v>
                </c:pt>
                <c:pt idx="12">
                  <c:v>Year 6</c:v>
                </c:pt>
                <c:pt idx="13">
                  <c:v>Year 8</c:v>
                </c:pt>
              </c:strCache>
            </c:strRef>
          </c:cat>
          <c:val>
            <c:numRef>
              <c:f>'Year 6&amp;8 Te-Kiribati'!$B$83:$O$83</c:f>
              <c:numCache>
                <c:formatCode>0%</c:formatCode>
                <c:ptCount val="14"/>
                <c:pt idx="0">
                  <c:v>0.47</c:v>
                </c:pt>
                <c:pt idx="1">
                  <c:v>0.38</c:v>
                </c:pt>
                <c:pt idx="3">
                  <c:v>0.41</c:v>
                </c:pt>
                <c:pt idx="4">
                  <c:v>0.33</c:v>
                </c:pt>
                <c:pt idx="6">
                  <c:v>0.13</c:v>
                </c:pt>
                <c:pt idx="7">
                  <c:v>0.46</c:v>
                </c:pt>
                <c:pt idx="9">
                  <c:v>0.34</c:v>
                </c:pt>
                <c:pt idx="10">
                  <c:v>0.37</c:v>
                </c:pt>
                <c:pt idx="12">
                  <c:v>0.19</c:v>
                </c:pt>
                <c:pt idx="13">
                  <c:v>0.22</c:v>
                </c:pt>
              </c:numCache>
            </c:numRef>
          </c:val>
        </c:ser>
        <c:ser>
          <c:idx val="4"/>
          <c:order val="4"/>
          <c:tx>
            <c:strRef>
              <c:f>'Year 6&amp;8 Te-Kiribati'!$A$84</c:f>
              <c:strCache>
                <c:ptCount val="1"/>
                <c:pt idx="0">
                  <c:v>is working above the expected level</c:v>
                </c:pt>
              </c:strCache>
            </c:strRef>
          </c:tx>
          <c:invertIfNegative val="0"/>
          <c:cat>
            <c:strRef>
              <c:f>'Year 6&amp;8 Te-Kiribati'!$B$79:$O$79</c:f>
              <c:strCache>
                <c:ptCount val="14"/>
                <c:pt idx="0">
                  <c:v>Year 6</c:v>
                </c:pt>
                <c:pt idx="1">
                  <c:v>Year 8</c:v>
                </c:pt>
                <c:pt idx="3">
                  <c:v>Year 6</c:v>
                </c:pt>
                <c:pt idx="4">
                  <c:v>Year 8</c:v>
                </c:pt>
                <c:pt idx="6">
                  <c:v>Year 6</c:v>
                </c:pt>
                <c:pt idx="7">
                  <c:v>Year 8</c:v>
                </c:pt>
                <c:pt idx="9">
                  <c:v>Year 6</c:v>
                </c:pt>
                <c:pt idx="10">
                  <c:v>Year 8</c:v>
                </c:pt>
                <c:pt idx="12">
                  <c:v>Year 6</c:v>
                </c:pt>
                <c:pt idx="13">
                  <c:v>Year 8</c:v>
                </c:pt>
              </c:strCache>
            </c:strRef>
          </c:cat>
          <c:val>
            <c:numRef>
              <c:f>'Year 6&amp;8 Te-Kiribati'!$B$84:$O$84</c:f>
              <c:numCache>
                <c:formatCode>0%</c:formatCode>
                <c:ptCount val="14"/>
                <c:pt idx="0">
                  <c:v>0.22</c:v>
                </c:pt>
                <c:pt idx="1">
                  <c:v>0.32</c:v>
                </c:pt>
                <c:pt idx="3">
                  <c:v>0.21</c:v>
                </c:pt>
                <c:pt idx="4">
                  <c:v>0.43</c:v>
                </c:pt>
                <c:pt idx="6">
                  <c:v>0.09</c:v>
                </c:pt>
                <c:pt idx="7">
                  <c:v>0.08</c:v>
                </c:pt>
                <c:pt idx="9">
                  <c:v>0.08</c:v>
                </c:pt>
                <c:pt idx="10">
                  <c:v>0.15</c:v>
                </c:pt>
                <c:pt idx="12">
                  <c:v>0.48</c:v>
                </c:pt>
                <c:pt idx="13">
                  <c:v>0.17</c:v>
                </c:pt>
              </c:numCache>
            </c:numRef>
          </c:val>
        </c:ser>
        <c:dLbls>
          <c:showLegendKey val="0"/>
          <c:showVal val="0"/>
          <c:showCatName val="0"/>
          <c:showSerName val="0"/>
          <c:showPercent val="0"/>
          <c:showBubbleSize val="0"/>
        </c:dLbls>
        <c:gapWidth val="150"/>
        <c:overlap val="100"/>
        <c:axId val="367408256"/>
        <c:axId val="367409792"/>
      </c:barChart>
      <c:catAx>
        <c:axId val="367408256"/>
        <c:scaling>
          <c:orientation val="minMax"/>
        </c:scaling>
        <c:delete val="0"/>
        <c:axPos val="b"/>
        <c:numFmt formatCode="General" sourceLinked="1"/>
        <c:majorTickMark val="out"/>
        <c:minorTickMark val="none"/>
        <c:tickLblPos val="nextTo"/>
        <c:crossAx val="367409792"/>
        <c:crosses val="autoZero"/>
        <c:auto val="1"/>
        <c:lblAlgn val="ctr"/>
        <c:lblOffset val="100"/>
        <c:noMultiLvlLbl val="0"/>
      </c:catAx>
      <c:valAx>
        <c:axId val="367409792"/>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crossAx val="367408256"/>
        <c:crosses val="autoZero"/>
        <c:crossBetween val="between"/>
      </c:valAx>
    </c:plotArea>
    <c:legend>
      <c:legendPos val="r"/>
      <c:layout>
        <c:manualLayout>
          <c:xMode val="edge"/>
          <c:yMode val="edge"/>
          <c:x val="0.751560769138648"/>
          <c:y val="7.7035149651197399E-2"/>
          <c:w val="0.22942782401724501"/>
          <c:h val="0.76039813448122995"/>
        </c:manualLayout>
      </c:layout>
      <c:overlay val="0"/>
    </c:legend>
    <c:plotVisOnly val="1"/>
    <c:dispBlanksAs val="gap"/>
    <c:showDLblsOverMax val="0"/>
  </c:chart>
  <c:txPr>
    <a:bodyPr/>
    <a:lstStyle/>
    <a:p>
      <a:pPr>
        <a:defRPr sz="700">
          <a:latin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800"/>
            </a:pPr>
            <a:r>
              <a:rPr lang="en-US" sz="800"/>
              <a:t>Year 6    </a:t>
            </a:r>
            <a:r>
              <a:rPr lang="en-US" sz="800" baseline="0"/>
              <a:t>           </a:t>
            </a:r>
            <a:r>
              <a:rPr lang="en-US" sz="800"/>
              <a:t>  Year 8</a:t>
            </a:r>
          </a:p>
        </c:rich>
      </c:tx>
      <c:layout>
        <c:manualLayout>
          <c:xMode val="edge"/>
          <c:yMode val="edge"/>
          <c:x val="0.20923551184699399"/>
          <c:y val="8.7854162090929E-3"/>
        </c:manualLayout>
      </c:layout>
      <c:overlay val="0"/>
    </c:title>
    <c:autoTitleDeleted val="0"/>
    <c:plotArea>
      <c:layout>
        <c:manualLayout>
          <c:layoutTarget val="inner"/>
          <c:xMode val="edge"/>
          <c:yMode val="edge"/>
          <c:x val="0.17972431952173201"/>
          <c:y val="8.3461453986382605E-2"/>
          <c:w val="0.48694258695050002"/>
          <c:h val="0.72157159199620002"/>
        </c:manualLayout>
      </c:layout>
      <c:barChart>
        <c:barDir val="col"/>
        <c:grouping val="percentStacked"/>
        <c:varyColors val="0"/>
        <c:ser>
          <c:idx val="0"/>
          <c:order val="0"/>
          <c:tx>
            <c:strRef>
              <c:f>'Year 6&amp;8 Te-Kiribati'!$A$143</c:f>
              <c:strCache>
                <c:ptCount val="1"/>
                <c:pt idx="0">
                  <c:v>no evidence of achievement</c:v>
                </c:pt>
              </c:strCache>
            </c:strRef>
          </c:tx>
          <c:invertIfNegative val="0"/>
          <c:cat>
            <c:strRef>
              <c:f>'Year 6&amp;8 Te-Kiribati'!$B$142:$F$142</c:f>
              <c:strCache>
                <c:ptCount val="5"/>
                <c:pt idx="0">
                  <c:v>Male</c:v>
                </c:pt>
                <c:pt idx="1">
                  <c:v>Female</c:v>
                </c:pt>
                <c:pt idx="3">
                  <c:v>Male</c:v>
                </c:pt>
                <c:pt idx="4">
                  <c:v>Female</c:v>
                </c:pt>
              </c:strCache>
            </c:strRef>
          </c:cat>
          <c:val>
            <c:numRef>
              <c:f>'Year 6&amp;8 Te-Kiribati'!$B$143:$F$143</c:f>
              <c:numCache>
                <c:formatCode>0%</c:formatCode>
                <c:ptCount val="5"/>
                <c:pt idx="0">
                  <c:v>0.01</c:v>
                </c:pt>
                <c:pt idx="1">
                  <c:v>0</c:v>
                </c:pt>
                <c:pt idx="3">
                  <c:v>0</c:v>
                </c:pt>
              </c:numCache>
            </c:numRef>
          </c:val>
        </c:ser>
        <c:ser>
          <c:idx val="1"/>
          <c:order val="1"/>
          <c:tx>
            <c:strRef>
              <c:f>'Year 6&amp;8 Te-Kiribati'!$A$144</c:f>
              <c:strCache>
                <c:ptCount val="1"/>
                <c:pt idx="0">
                  <c:v>critically below the expected level</c:v>
                </c:pt>
              </c:strCache>
            </c:strRef>
          </c:tx>
          <c:invertIfNegative val="0"/>
          <c:cat>
            <c:strRef>
              <c:f>'Year 6&amp;8 Te-Kiribati'!$B$142:$F$142</c:f>
              <c:strCache>
                <c:ptCount val="5"/>
                <c:pt idx="0">
                  <c:v>Male</c:v>
                </c:pt>
                <c:pt idx="1">
                  <c:v>Female</c:v>
                </c:pt>
                <c:pt idx="3">
                  <c:v>Male</c:v>
                </c:pt>
                <c:pt idx="4">
                  <c:v>Female</c:v>
                </c:pt>
              </c:strCache>
            </c:strRef>
          </c:cat>
          <c:val>
            <c:numRef>
              <c:f>'Year 6&amp;8 Te-Kiribati'!$B$144:$F$144</c:f>
              <c:numCache>
                <c:formatCode>0%</c:formatCode>
                <c:ptCount val="5"/>
                <c:pt idx="0">
                  <c:v>0.23</c:v>
                </c:pt>
                <c:pt idx="1">
                  <c:v>0.13</c:v>
                </c:pt>
                <c:pt idx="3">
                  <c:v>0.12</c:v>
                </c:pt>
                <c:pt idx="4">
                  <c:v>0.04</c:v>
                </c:pt>
              </c:numCache>
            </c:numRef>
          </c:val>
        </c:ser>
        <c:ser>
          <c:idx val="2"/>
          <c:order val="2"/>
          <c:tx>
            <c:strRef>
              <c:f>'Year 6&amp;8 Te-Kiribati'!$A$145</c:f>
              <c:strCache>
                <c:ptCount val="1"/>
                <c:pt idx="0">
                  <c:v>working towards the expected level</c:v>
                </c:pt>
              </c:strCache>
            </c:strRef>
          </c:tx>
          <c:invertIfNegative val="0"/>
          <c:cat>
            <c:strRef>
              <c:f>'Year 6&amp;8 Te-Kiribati'!$B$142:$F$142</c:f>
              <c:strCache>
                <c:ptCount val="5"/>
                <c:pt idx="0">
                  <c:v>Male</c:v>
                </c:pt>
                <c:pt idx="1">
                  <c:v>Female</c:v>
                </c:pt>
                <c:pt idx="3">
                  <c:v>Male</c:v>
                </c:pt>
                <c:pt idx="4">
                  <c:v>Female</c:v>
                </c:pt>
              </c:strCache>
            </c:strRef>
          </c:cat>
          <c:val>
            <c:numRef>
              <c:f>'Year 6&amp;8 Te-Kiribati'!$B$145:$F$145</c:f>
              <c:numCache>
                <c:formatCode>0%</c:formatCode>
                <c:ptCount val="5"/>
                <c:pt idx="0">
                  <c:v>0.32</c:v>
                </c:pt>
                <c:pt idx="1">
                  <c:v>0.25</c:v>
                </c:pt>
                <c:pt idx="3">
                  <c:v>0.23</c:v>
                </c:pt>
                <c:pt idx="4">
                  <c:v>0.17</c:v>
                </c:pt>
              </c:numCache>
            </c:numRef>
          </c:val>
        </c:ser>
        <c:ser>
          <c:idx val="3"/>
          <c:order val="3"/>
          <c:tx>
            <c:strRef>
              <c:f>'Year 6&amp;8 Te-Kiribati'!$A$146</c:f>
              <c:strCache>
                <c:ptCount val="1"/>
                <c:pt idx="0">
                  <c:v>is working at the expected level</c:v>
                </c:pt>
              </c:strCache>
            </c:strRef>
          </c:tx>
          <c:invertIfNegative val="0"/>
          <c:cat>
            <c:strRef>
              <c:f>'Year 6&amp;8 Te-Kiribati'!$B$142:$F$142</c:f>
              <c:strCache>
                <c:ptCount val="5"/>
                <c:pt idx="0">
                  <c:v>Male</c:v>
                </c:pt>
                <c:pt idx="1">
                  <c:v>Female</c:v>
                </c:pt>
                <c:pt idx="3">
                  <c:v>Male</c:v>
                </c:pt>
                <c:pt idx="4">
                  <c:v>Female</c:v>
                </c:pt>
              </c:strCache>
            </c:strRef>
          </c:cat>
          <c:val>
            <c:numRef>
              <c:f>'Year 6&amp;8 Te-Kiribati'!$B$146:$F$146</c:f>
              <c:numCache>
                <c:formatCode>0%</c:formatCode>
                <c:ptCount val="5"/>
                <c:pt idx="0">
                  <c:v>0.33</c:v>
                </c:pt>
                <c:pt idx="1">
                  <c:v>0.38</c:v>
                </c:pt>
                <c:pt idx="3">
                  <c:v>0.49</c:v>
                </c:pt>
                <c:pt idx="4">
                  <c:v>0.49</c:v>
                </c:pt>
              </c:numCache>
            </c:numRef>
          </c:val>
        </c:ser>
        <c:ser>
          <c:idx val="4"/>
          <c:order val="4"/>
          <c:tx>
            <c:strRef>
              <c:f>'Year 6&amp;8 Te-Kiribati'!$A$147</c:f>
              <c:strCache>
                <c:ptCount val="1"/>
                <c:pt idx="0">
                  <c:v>is working above the expected level</c:v>
                </c:pt>
              </c:strCache>
            </c:strRef>
          </c:tx>
          <c:invertIfNegative val="0"/>
          <c:cat>
            <c:strRef>
              <c:f>'Year 6&amp;8 Te-Kiribati'!$B$142:$F$142</c:f>
              <c:strCache>
                <c:ptCount val="5"/>
                <c:pt idx="0">
                  <c:v>Male</c:v>
                </c:pt>
                <c:pt idx="1">
                  <c:v>Female</c:v>
                </c:pt>
                <c:pt idx="3">
                  <c:v>Male</c:v>
                </c:pt>
                <c:pt idx="4">
                  <c:v>Female</c:v>
                </c:pt>
              </c:strCache>
            </c:strRef>
          </c:cat>
          <c:val>
            <c:numRef>
              <c:f>'Year 6&amp;8 Te-Kiribati'!$B$147:$F$147</c:f>
              <c:numCache>
                <c:formatCode>0%</c:formatCode>
                <c:ptCount val="5"/>
                <c:pt idx="0">
                  <c:v>0.12</c:v>
                </c:pt>
                <c:pt idx="1">
                  <c:v>0.24</c:v>
                </c:pt>
                <c:pt idx="3">
                  <c:v>0.15</c:v>
                </c:pt>
                <c:pt idx="4">
                  <c:v>0.3</c:v>
                </c:pt>
              </c:numCache>
            </c:numRef>
          </c:val>
        </c:ser>
        <c:dLbls>
          <c:showLegendKey val="0"/>
          <c:showVal val="0"/>
          <c:showCatName val="0"/>
          <c:showSerName val="0"/>
          <c:showPercent val="0"/>
          <c:showBubbleSize val="0"/>
        </c:dLbls>
        <c:gapWidth val="150"/>
        <c:overlap val="100"/>
        <c:axId val="260847872"/>
        <c:axId val="260849664"/>
      </c:barChart>
      <c:catAx>
        <c:axId val="26084787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260849664"/>
        <c:crosses val="autoZero"/>
        <c:auto val="1"/>
        <c:lblAlgn val="ctr"/>
        <c:lblOffset val="100"/>
        <c:noMultiLvlLbl val="0"/>
      </c:catAx>
      <c:valAx>
        <c:axId val="260849664"/>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txPr>
          <a:bodyPr/>
          <a:lstStyle/>
          <a:p>
            <a:pPr>
              <a:defRPr sz="700"/>
            </a:pPr>
            <a:endParaRPr lang="en-US"/>
          </a:p>
        </c:txPr>
        <c:crossAx val="260847872"/>
        <c:crosses val="autoZero"/>
        <c:crossBetween val="between"/>
      </c:valAx>
    </c:plotArea>
    <c:legend>
      <c:legendPos val="r"/>
      <c:layout>
        <c:manualLayout>
          <c:xMode val="edge"/>
          <c:yMode val="edge"/>
          <c:x val="0.69332812485390105"/>
          <c:y val="4.574198828375E-2"/>
          <c:w val="0.28556091063890798"/>
          <c:h val="0.82135417015099099"/>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3339699890954599"/>
          <c:y val="7.8148482116020407E-2"/>
          <c:w val="0.443606125275122"/>
          <c:h val="0.79304710445910198"/>
        </c:manualLayout>
      </c:layout>
      <c:barChart>
        <c:barDir val="col"/>
        <c:grouping val="percentStacked"/>
        <c:varyColors val="0"/>
        <c:ser>
          <c:idx val="0"/>
          <c:order val="0"/>
          <c:tx>
            <c:strRef>
              <c:f>'Year 4 numeracy'!$A$7</c:f>
              <c:strCache>
                <c:ptCount val="1"/>
                <c:pt idx="0">
                  <c:v>no evidence of achievement</c:v>
                </c:pt>
              </c:strCache>
            </c:strRef>
          </c:tx>
          <c:invertIfNegative val="0"/>
          <c:cat>
            <c:numRef>
              <c:f>'Year 4 numeracy'!$B$6:$D$6</c:f>
              <c:numCache>
                <c:formatCode>General</c:formatCode>
                <c:ptCount val="3"/>
                <c:pt idx="0">
                  <c:v>2015</c:v>
                </c:pt>
                <c:pt idx="1">
                  <c:v>2013</c:v>
                </c:pt>
                <c:pt idx="2">
                  <c:v>2011</c:v>
                </c:pt>
              </c:numCache>
            </c:numRef>
          </c:cat>
          <c:val>
            <c:numRef>
              <c:f>'Year 4 numeracy'!$B$7:$D$7</c:f>
              <c:numCache>
                <c:formatCode>0%</c:formatCode>
                <c:ptCount val="3"/>
                <c:pt idx="0">
                  <c:v>0</c:v>
                </c:pt>
                <c:pt idx="1">
                  <c:v>0.01</c:v>
                </c:pt>
                <c:pt idx="2">
                  <c:v>0.23</c:v>
                </c:pt>
              </c:numCache>
            </c:numRef>
          </c:val>
        </c:ser>
        <c:ser>
          <c:idx val="1"/>
          <c:order val="1"/>
          <c:tx>
            <c:strRef>
              <c:f>'Year 4 numeracy'!$A$8</c:f>
              <c:strCache>
                <c:ptCount val="1"/>
                <c:pt idx="0">
                  <c:v>critically below the expected level</c:v>
                </c:pt>
              </c:strCache>
            </c:strRef>
          </c:tx>
          <c:invertIfNegative val="0"/>
          <c:cat>
            <c:numRef>
              <c:f>'Year 4 numeracy'!$B$6:$D$6</c:f>
              <c:numCache>
                <c:formatCode>General</c:formatCode>
                <c:ptCount val="3"/>
                <c:pt idx="0">
                  <c:v>2015</c:v>
                </c:pt>
                <c:pt idx="1">
                  <c:v>2013</c:v>
                </c:pt>
                <c:pt idx="2">
                  <c:v>2011</c:v>
                </c:pt>
              </c:numCache>
            </c:numRef>
          </c:cat>
          <c:val>
            <c:numRef>
              <c:f>'Year 4 numeracy'!$B$8:$D$8</c:f>
              <c:numCache>
                <c:formatCode>0%</c:formatCode>
                <c:ptCount val="3"/>
                <c:pt idx="0">
                  <c:v>0.06</c:v>
                </c:pt>
                <c:pt idx="1">
                  <c:v>0.39</c:v>
                </c:pt>
                <c:pt idx="2">
                  <c:v>0.17</c:v>
                </c:pt>
              </c:numCache>
            </c:numRef>
          </c:val>
        </c:ser>
        <c:ser>
          <c:idx val="2"/>
          <c:order val="2"/>
          <c:tx>
            <c:strRef>
              <c:f>'Year 4 numeracy'!$A$9</c:f>
              <c:strCache>
                <c:ptCount val="1"/>
                <c:pt idx="0">
                  <c:v>working towards the expected level</c:v>
                </c:pt>
              </c:strCache>
            </c:strRef>
          </c:tx>
          <c:invertIfNegative val="0"/>
          <c:cat>
            <c:numRef>
              <c:f>'Year 4 numeracy'!$B$6:$D$6</c:f>
              <c:numCache>
                <c:formatCode>General</c:formatCode>
                <c:ptCount val="3"/>
                <c:pt idx="0">
                  <c:v>2015</c:v>
                </c:pt>
                <c:pt idx="1">
                  <c:v>2013</c:v>
                </c:pt>
                <c:pt idx="2">
                  <c:v>2011</c:v>
                </c:pt>
              </c:numCache>
            </c:numRef>
          </c:cat>
          <c:val>
            <c:numRef>
              <c:f>'Year 4 numeracy'!$B$9:$D$9</c:f>
              <c:numCache>
                <c:formatCode>0%</c:formatCode>
                <c:ptCount val="3"/>
                <c:pt idx="0">
                  <c:v>0.16</c:v>
                </c:pt>
                <c:pt idx="1">
                  <c:v>0.34</c:v>
                </c:pt>
                <c:pt idx="2">
                  <c:v>0.22</c:v>
                </c:pt>
              </c:numCache>
            </c:numRef>
          </c:val>
        </c:ser>
        <c:ser>
          <c:idx val="3"/>
          <c:order val="3"/>
          <c:tx>
            <c:strRef>
              <c:f>'Year 4 numeracy'!$A$10</c:f>
              <c:strCache>
                <c:ptCount val="1"/>
                <c:pt idx="0">
                  <c:v>is working at the expected level</c:v>
                </c:pt>
              </c:strCache>
            </c:strRef>
          </c:tx>
          <c:invertIfNegative val="0"/>
          <c:cat>
            <c:numRef>
              <c:f>'Year 4 numeracy'!$B$6:$D$6</c:f>
              <c:numCache>
                <c:formatCode>General</c:formatCode>
                <c:ptCount val="3"/>
                <c:pt idx="0">
                  <c:v>2015</c:v>
                </c:pt>
                <c:pt idx="1">
                  <c:v>2013</c:v>
                </c:pt>
                <c:pt idx="2">
                  <c:v>2011</c:v>
                </c:pt>
              </c:numCache>
            </c:numRef>
          </c:cat>
          <c:val>
            <c:numRef>
              <c:f>'Year 4 numeracy'!$B$10:$D$10</c:f>
              <c:numCache>
                <c:formatCode>0%</c:formatCode>
                <c:ptCount val="3"/>
                <c:pt idx="0">
                  <c:v>0.5</c:v>
                </c:pt>
                <c:pt idx="1">
                  <c:v>0.21</c:v>
                </c:pt>
                <c:pt idx="2">
                  <c:v>0.23</c:v>
                </c:pt>
              </c:numCache>
            </c:numRef>
          </c:val>
        </c:ser>
        <c:ser>
          <c:idx val="4"/>
          <c:order val="4"/>
          <c:tx>
            <c:strRef>
              <c:f>'Year 4 numeracy'!$A$11</c:f>
              <c:strCache>
                <c:ptCount val="1"/>
                <c:pt idx="0">
                  <c:v>is working above the expected level</c:v>
                </c:pt>
              </c:strCache>
            </c:strRef>
          </c:tx>
          <c:invertIfNegative val="0"/>
          <c:cat>
            <c:numRef>
              <c:f>'Year 4 numeracy'!$B$6:$D$6</c:f>
              <c:numCache>
                <c:formatCode>General</c:formatCode>
                <c:ptCount val="3"/>
                <c:pt idx="0">
                  <c:v>2015</c:v>
                </c:pt>
                <c:pt idx="1">
                  <c:v>2013</c:v>
                </c:pt>
                <c:pt idx="2">
                  <c:v>2011</c:v>
                </c:pt>
              </c:numCache>
            </c:numRef>
          </c:cat>
          <c:val>
            <c:numRef>
              <c:f>'Year 4 numeracy'!$B$11:$D$11</c:f>
              <c:numCache>
                <c:formatCode>0%</c:formatCode>
                <c:ptCount val="3"/>
                <c:pt idx="0">
                  <c:v>0.28000000000000003</c:v>
                </c:pt>
                <c:pt idx="1">
                  <c:v>0.05</c:v>
                </c:pt>
                <c:pt idx="2">
                  <c:v>0.15</c:v>
                </c:pt>
              </c:numCache>
            </c:numRef>
          </c:val>
        </c:ser>
        <c:dLbls>
          <c:showLegendKey val="0"/>
          <c:showVal val="0"/>
          <c:showCatName val="0"/>
          <c:showSerName val="0"/>
          <c:showPercent val="0"/>
          <c:showBubbleSize val="0"/>
        </c:dLbls>
        <c:gapWidth val="150"/>
        <c:overlap val="100"/>
        <c:axId val="345636864"/>
        <c:axId val="345638400"/>
      </c:barChart>
      <c:catAx>
        <c:axId val="345636864"/>
        <c:scaling>
          <c:orientation val="minMax"/>
        </c:scaling>
        <c:delete val="0"/>
        <c:axPos val="b"/>
        <c:numFmt formatCode="General" sourceLinked="1"/>
        <c:majorTickMark val="out"/>
        <c:minorTickMark val="none"/>
        <c:tickLblPos val="nextTo"/>
        <c:crossAx val="345638400"/>
        <c:crosses val="autoZero"/>
        <c:auto val="1"/>
        <c:lblAlgn val="ctr"/>
        <c:lblOffset val="100"/>
        <c:noMultiLvlLbl val="0"/>
      </c:catAx>
      <c:valAx>
        <c:axId val="345638400"/>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3.3984706881903103E-2"/>
              <c:y val="0.190738150517479"/>
            </c:manualLayout>
          </c:layout>
          <c:overlay val="0"/>
        </c:title>
        <c:numFmt formatCode="0%" sourceLinked="1"/>
        <c:majorTickMark val="out"/>
        <c:minorTickMark val="none"/>
        <c:tickLblPos val="nextTo"/>
        <c:crossAx val="345636864"/>
        <c:crosses val="autoZero"/>
        <c:crossBetween val="between"/>
      </c:valAx>
    </c:plotArea>
    <c:legend>
      <c:legendPos val="r"/>
      <c:layout>
        <c:manualLayout>
          <c:xMode val="edge"/>
          <c:yMode val="edge"/>
          <c:x val="0.70391953050261202"/>
          <c:y val="6.9077862111239702E-2"/>
          <c:w val="0.26492782152230998"/>
          <c:h val="0.86184380243722902"/>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19109286314285"/>
          <c:y val="6.0185185185185203E-2"/>
          <c:w val="0.46171438440583701"/>
          <c:h val="0.69159813356663702"/>
        </c:manualLayout>
      </c:layout>
      <c:barChart>
        <c:barDir val="col"/>
        <c:grouping val="percentStacked"/>
        <c:varyColors val="0"/>
        <c:ser>
          <c:idx val="0"/>
          <c:order val="0"/>
          <c:tx>
            <c:strRef>
              <c:f>'Year 4 numeracy'!$A$50</c:f>
              <c:strCache>
                <c:ptCount val="1"/>
                <c:pt idx="0">
                  <c:v>no evidence of achievement</c:v>
                </c:pt>
              </c:strCache>
            </c:strRef>
          </c:tx>
          <c:invertIfNegative val="0"/>
          <c:cat>
            <c:strRef>
              <c:f>'Year 4 numeracy'!$B$49:$D$49</c:f>
              <c:strCache>
                <c:ptCount val="3"/>
                <c:pt idx="0">
                  <c:v>Numbers</c:v>
                </c:pt>
                <c:pt idx="1">
                  <c:v>Operations</c:v>
                </c:pt>
                <c:pt idx="2">
                  <c:v>Measurement</c:v>
                </c:pt>
              </c:strCache>
            </c:strRef>
          </c:cat>
          <c:val>
            <c:numRef>
              <c:f>'Year 4 numeracy'!$B$50:$D$50</c:f>
              <c:numCache>
                <c:formatCode>0%</c:formatCode>
                <c:ptCount val="3"/>
                <c:pt idx="0">
                  <c:v>0.01</c:v>
                </c:pt>
                <c:pt idx="1">
                  <c:v>0.01</c:v>
                </c:pt>
                <c:pt idx="2">
                  <c:v>0.03</c:v>
                </c:pt>
              </c:numCache>
            </c:numRef>
          </c:val>
        </c:ser>
        <c:ser>
          <c:idx val="1"/>
          <c:order val="1"/>
          <c:tx>
            <c:strRef>
              <c:f>'Year 4 numeracy'!$A$51</c:f>
              <c:strCache>
                <c:ptCount val="1"/>
                <c:pt idx="0">
                  <c:v>critically below the expected level</c:v>
                </c:pt>
              </c:strCache>
            </c:strRef>
          </c:tx>
          <c:invertIfNegative val="0"/>
          <c:cat>
            <c:strRef>
              <c:f>'Year 4 numeracy'!$B$49:$D$49</c:f>
              <c:strCache>
                <c:ptCount val="3"/>
                <c:pt idx="0">
                  <c:v>Numbers</c:v>
                </c:pt>
                <c:pt idx="1">
                  <c:v>Operations</c:v>
                </c:pt>
                <c:pt idx="2">
                  <c:v>Measurement</c:v>
                </c:pt>
              </c:strCache>
            </c:strRef>
          </c:cat>
          <c:val>
            <c:numRef>
              <c:f>'Year 4 numeracy'!$B$51:$D$51</c:f>
              <c:numCache>
                <c:formatCode>0%</c:formatCode>
                <c:ptCount val="3"/>
                <c:pt idx="0">
                  <c:v>0.04</c:v>
                </c:pt>
                <c:pt idx="1">
                  <c:v>0.04</c:v>
                </c:pt>
                <c:pt idx="2">
                  <c:v>0.06</c:v>
                </c:pt>
              </c:numCache>
            </c:numRef>
          </c:val>
        </c:ser>
        <c:ser>
          <c:idx val="2"/>
          <c:order val="2"/>
          <c:tx>
            <c:strRef>
              <c:f>'Year 4 numeracy'!$A$52</c:f>
              <c:strCache>
                <c:ptCount val="1"/>
                <c:pt idx="0">
                  <c:v>working towards the expected level</c:v>
                </c:pt>
              </c:strCache>
            </c:strRef>
          </c:tx>
          <c:invertIfNegative val="0"/>
          <c:cat>
            <c:strRef>
              <c:f>'Year 4 numeracy'!$B$49:$D$49</c:f>
              <c:strCache>
                <c:ptCount val="3"/>
                <c:pt idx="0">
                  <c:v>Numbers</c:v>
                </c:pt>
                <c:pt idx="1">
                  <c:v>Operations</c:v>
                </c:pt>
                <c:pt idx="2">
                  <c:v>Measurement</c:v>
                </c:pt>
              </c:strCache>
            </c:strRef>
          </c:cat>
          <c:val>
            <c:numRef>
              <c:f>'Year 4 numeracy'!$B$52:$D$52</c:f>
              <c:numCache>
                <c:formatCode>0%</c:formatCode>
                <c:ptCount val="3"/>
                <c:pt idx="0">
                  <c:v>0.11</c:v>
                </c:pt>
                <c:pt idx="1">
                  <c:v>0.15</c:v>
                </c:pt>
                <c:pt idx="2">
                  <c:v>0.28000000000000003</c:v>
                </c:pt>
              </c:numCache>
            </c:numRef>
          </c:val>
        </c:ser>
        <c:ser>
          <c:idx val="3"/>
          <c:order val="3"/>
          <c:tx>
            <c:strRef>
              <c:f>'Year 4 numeracy'!$A$53</c:f>
              <c:strCache>
                <c:ptCount val="1"/>
                <c:pt idx="0">
                  <c:v>is working at the expected level</c:v>
                </c:pt>
              </c:strCache>
            </c:strRef>
          </c:tx>
          <c:invertIfNegative val="0"/>
          <c:cat>
            <c:strRef>
              <c:f>'Year 4 numeracy'!$B$49:$D$49</c:f>
              <c:strCache>
                <c:ptCount val="3"/>
                <c:pt idx="0">
                  <c:v>Numbers</c:v>
                </c:pt>
                <c:pt idx="1">
                  <c:v>Operations</c:v>
                </c:pt>
                <c:pt idx="2">
                  <c:v>Measurement</c:v>
                </c:pt>
              </c:strCache>
            </c:strRef>
          </c:cat>
          <c:val>
            <c:numRef>
              <c:f>'Year 4 numeracy'!$B$53:$D$53</c:f>
              <c:numCache>
                <c:formatCode>0%</c:formatCode>
                <c:ptCount val="3"/>
                <c:pt idx="0">
                  <c:v>0.48</c:v>
                </c:pt>
                <c:pt idx="1">
                  <c:v>0.38</c:v>
                </c:pt>
                <c:pt idx="2">
                  <c:v>0.42</c:v>
                </c:pt>
              </c:numCache>
            </c:numRef>
          </c:val>
        </c:ser>
        <c:ser>
          <c:idx val="4"/>
          <c:order val="4"/>
          <c:tx>
            <c:strRef>
              <c:f>'Year 4 numeracy'!$A$54</c:f>
              <c:strCache>
                <c:ptCount val="1"/>
                <c:pt idx="0">
                  <c:v>is working above the expected level</c:v>
                </c:pt>
              </c:strCache>
            </c:strRef>
          </c:tx>
          <c:invertIfNegative val="0"/>
          <c:cat>
            <c:strRef>
              <c:f>'Year 4 numeracy'!$B$49:$D$49</c:f>
              <c:strCache>
                <c:ptCount val="3"/>
                <c:pt idx="0">
                  <c:v>Numbers</c:v>
                </c:pt>
                <c:pt idx="1">
                  <c:v>Operations</c:v>
                </c:pt>
                <c:pt idx="2">
                  <c:v>Measurement</c:v>
                </c:pt>
              </c:strCache>
            </c:strRef>
          </c:cat>
          <c:val>
            <c:numRef>
              <c:f>'Year 4 numeracy'!$B$54:$D$54</c:f>
              <c:numCache>
                <c:formatCode>0%</c:formatCode>
                <c:ptCount val="3"/>
                <c:pt idx="0">
                  <c:v>0.36</c:v>
                </c:pt>
                <c:pt idx="1">
                  <c:v>0.43</c:v>
                </c:pt>
                <c:pt idx="2">
                  <c:v>0.2</c:v>
                </c:pt>
              </c:numCache>
            </c:numRef>
          </c:val>
        </c:ser>
        <c:dLbls>
          <c:showLegendKey val="0"/>
          <c:showVal val="0"/>
          <c:showCatName val="0"/>
          <c:showSerName val="0"/>
          <c:showPercent val="0"/>
          <c:showBubbleSize val="0"/>
        </c:dLbls>
        <c:gapWidth val="150"/>
        <c:overlap val="100"/>
        <c:axId val="345678976"/>
        <c:axId val="345680512"/>
      </c:barChart>
      <c:catAx>
        <c:axId val="345678976"/>
        <c:scaling>
          <c:orientation val="minMax"/>
        </c:scaling>
        <c:delete val="0"/>
        <c:axPos val="b"/>
        <c:numFmt formatCode="General" sourceLinked="0"/>
        <c:majorTickMark val="out"/>
        <c:minorTickMark val="none"/>
        <c:tickLblPos val="nextTo"/>
        <c:crossAx val="345680512"/>
        <c:crosses val="autoZero"/>
        <c:auto val="1"/>
        <c:lblAlgn val="ctr"/>
        <c:lblOffset val="100"/>
        <c:noMultiLvlLbl val="0"/>
      </c:catAx>
      <c:valAx>
        <c:axId val="345680512"/>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2.3928215353938201E-2"/>
              <c:y val="0.18634915427238299"/>
            </c:manualLayout>
          </c:layout>
          <c:overlay val="0"/>
        </c:title>
        <c:numFmt formatCode="0%" sourceLinked="1"/>
        <c:majorTickMark val="out"/>
        <c:minorTickMark val="none"/>
        <c:tickLblPos val="nextTo"/>
        <c:crossAx val="345678976"/>
        <c:crosses val="autoZero"/>
        <c:crossBetween val="between"/>
      </c:valAx>
    </c:plotArea>
    <c:legend>
      <c:legendPos val="r"/>
      <c:layout>
        <c:manualLayout>
          <c:xMode val="edge"/>
          <c:yMode val="edge"/>
          <c:x val="0.71666666666666701"/>
          <c:y val="6.3231627296587906E-2"/>
          <c:w val="0.26111111111111102"/>
          <c:h val="0.762425269757947"/>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0959529474508501"/>
          <c:y val="6.0185185185185203E-2"/>
          <c:w val="0.46589497681738001"/>
          <c:h val="0.84061752697579495"/>
        </c:manualLayout>
      </c:layout>
      <c:barChart>
        <c:barDir val="col"/>
        <c:grouping val="percentStacked"/>
        <c:varyColors val="0"/>
        <c:ser>
          <c:idx val="0"/>
          <c:order val="0"/>
          <c:tx>
            <c:strRef>
              <c:f>'Year 4 numeracy'!$A$83</c:f>
              <c:strCache>
                <c:ptCount val="1"/>
                <c:pt idx="0">
                  <c:v>no evidence of achievement</c:v>
                </c:pt>
              </c:strCache>
            </c:strRef>
          </c:tx>
          <c:invertIfNegative val="0"/>
          <c:cat>
            <c:strRef>
              <c:f>'Year 4 numeracy'!$B$82:$C$82</c:f>
              <c:strCache>
                <c:ptCount val="2"/>
                <c:pt idx="0">
                  <c:v>Male</c:v>
                </c:pt>
                <c:pt idx="1">
                  <c:v>Female</c:v>
                </c:pt>
              </c:strCache>
            </c:strRef>
          </c:cat>
          <c:val>
            <c:numRef>
              <c:f>'Year 4 numeracy'!$B$83:$C$83</c:f>
              <c:numCache>
                <c:formatCode>General</c:formatCode>
                <c:ptCount val="2"/>
                <c:pt idx="0" formatCode="0%">
                  <c:v>0</c:v>
                </c:pt>
              </c:numCache>
            </c:numRef>
          </c:val>
        </c:ser>
        <c:ser>
          <c:idx val="1"/>
          <c:order val="1"/>
          <c:tx>
            <c:strRef>
              <c:f>'Year 4 numeracy'!$A$84</c:f>
              <c:strCache>
                <c:ptCount val="1"/>
                <c:pt idx="0">
                  <c:v>critically below the expected level</c:v>
                </c:pt>
              </c:strCache>
            </c:strRef>
          </c:tx>
          <c:invertIfNegative val="0"/>
          <c:cat>
            <c:strRef>
              <c:f>'Year 4 numeracy'!$B$82:$C$82</c:f>
              <c:strCache>
                <c:ptCount val="2"/>
                <c:pt idx="0">
                  <c:v>Male</c:v>
                </c:pt>
                <c:pt idx="1">
                  <c:v>Female</c:v>
                </c:pt>
              </c:strCache>
            </c:strRef>
          </c:cat>
          <c:val>
            <c:numRef>
              <c:f>'Year 4 numeracy'!$B$84:$C$84</c:f>
              <c:numCache>
                <c:formatCode>0%</c:formatCode>
                <c:ptCount val="2"/>
                <c:pt idx="0">
                  <c:v>7.0000000000000007E-2</c:v>
                </c:pt>
                <c:pt idx="1">
                  <c:v>0.04</c:v>
                </c:pt>
              </c:numCache>
            </c:numRef>
          </c:val>
        </c:ser>
        <c:ser>
          <c:idx val="2"/>
          <c:order val="2"/>
          <c:tx>
            <c:strRef>
              <c:f>'Year 4 numeracy'!$A$85</c:f>
              <c:strCache>
                <c:ptCount val="1"/>
                <c:pt idx="0">
                  <c:v>working towards the expected level</c:v>
                </c:pt>
              </c:strCache>
            </c:strRef>
          </c:tx>
          <c:invertIfNegative val="0"/>
          <c:cat>
            <c:strRef>
              <c:f>'Year 4 numeracy'!$B$82:$C$82</c:f>
              <c:strCache>
                <c:ptCount val="2"/>
                <c:pt idx="0">
                  <c:v>Male</c:v>
                </c:pt>
                <c:pt idx="1">
                  <c:v>Female</c:v>
                </c:pt>
              </c:strCache>
            </c:strRef>
          </c:cat>
          <c:val>
            <c:numRef>
              <c:f>'Year 4 numeracy'!$B$85:$C$85</c:f>
              <c:numCache>
                <c:formatCode>0%</c:formatCode>
                <c:ptCount val="2"/>
                <c:pt idx="0">
                  <c:v>0.19</c:v>
                </c:pt>
                <c:pt idx="1">
                  <c:v>0.13</c:v>
                </c:pt>
              </c:numCache>
            </c:numRef>
          </c:val>
        </c:ser>
        <c:ser>
          <c:idx val="3"/>
          <c:order val="3"/>
          <c:tx>
            <c:strRef>
              <c:f>'Year 4 numeracy'!$A$86</c:f>
              <c:strCache>
                <c:ptCount val="1"/>
                <c:pt idx="0">
                  <c:v>is working at the expected level</c:v>
                </c:pt>
              </c:strCache>
            </c:strRef>
          </c:tx>
          <c:invertIfNegative val="0"/>
          <c:cat>
            <c:strRef>
              <c:f>'Year 4 numeracy'!$B$82:$C$82</c:f>
              <c:strCache>
                <c:ptCount val="2"/>
                <c:pt idx="0">
                  <c:v>Male</c:v>
                </c:pt>
                <c:pt idx="1">
                  <c:v>Female</c:v>
                </c:pt>
              </c:strCache>
            </c:strRef>
          </c:cat>
          <c:val>
            <c:numRef>
              <c:f>'Year 4 numeracy'!$B$86:$C$86</c:f>
              <c:numCache>
                <c:formatCode>0%</c:formatCode>
                <c:ptCount val="2"/>
                <c:pt idx="0">
                  <c:v>0.5</c:v>
                </c:pt>
                <c:pt idx="1">
                  <c:v>0.51</c:v>
                </c:pt>
              </c:numCache>
            </c:numRef>
          </c:val>
        </c:ser>
        <c:ser>
          <c:idx val="4"/>
          <c:order val="4"/>
          <c:tx>
            <c:strRef>
              <c:f>'Year 4 numeracy'!$A$87</c:f>
              <c:strCache>
                <c:ptCount val="1"/>
                <c:pt idx="0">
                  <c:v>is working above the expected level</c:v>
                </c:pt>
              </c:strCache>
            </c:strRef>
          </c:tx>
          <c:invertIfNegative val="0"/>
          <c:cat>
            <c:strRef>
              <c:f>'Year 4 numeracy'!$B$82:$C$82</c:f>
              <c:strCache>
                <c:ptCount val="2"/>
                <c:pt idx="0">
                  <c:v>Male</c:v>
                </c:pt>
                <c:pt idx="1">
                  <c:v>Female</c:v>
                </c:pt>
              </c:strCache>
            </c:strRef>
          </c:cat>
          <c:val>
            <c:numRef>
              <c:f>'Year 4 numeracy'!$B$87:$C$87</c:f>
              <c:numCache>
                <c:formatCode>0%</c:formatCode>
                <c:ptCount val="2"/>
                <c:pt idx="0">
                  <c:v>0.24</c:v>
                </c:pt>
                <c:pt idx="1">
                  <c:v>0.32</c:v>
                </c:pt>
              </c:numCache>
            </c:numRef>
          </c:val>
        </c:ser>
        <c:dLbls>
          <c:showLegendKey val="0"/>
          <c:showVal val="0"/>
          <c:showCatName val="0"/>
          <c:showSerName val="0"/>
          <c:showPercent val="0"/>
          <c:showBubbleSize val="0"/>
        </c:dLbls>
        <c:gapWidth val="150"/>
        <c:overlap val="100"/>
        <c:axId val="345712512"/>
        <c:axId val="345714048"/>
      </c:barChart>
      <c:catAx>
        <c:axId val="345712512"/>
        <c:scaling>
          <c:orientation val="minMax"/>
        </c:scaling>
        <c:delete val="0"/>
        <c:axPos val="b"/>
        <c:numFmt formatCode="General" sourceLinked="0"/>
        <c:majorTickMark val="out"/>
        <c:minorTickMark val="none"/>
        <c:tickLblPos val="nextTo"/>
        <c:crossAx val="345714048"/>
        <c:crosses val="autoZero"/>
        <c:auto val="1"/>
        <c:lblAlgn val="ctr"/>
        <c:lblOffset val="100"/>
        <c:noMultiLvlLbl val="0"/>
      </c:catAx>
      <c:valAx>
        <c:axId val="345714048"/>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1.43095635583115E-2"/>
              <c:y val="0.22872059275875101"/>
            </c:manualLayout>
          </c:layout>
          <c:overlay val="0"/>
        </c:title>
        <c:numFmt formatCode="0%" sourceLinked="1"/>
        <c:majorTickMark val="out"/>
        <c:minorTickMark val="none"/>
        <c:tickLblPos val="nextTo"/>
        <c:crossAx val="345712512"/>
        <c:crosses val="autoZero"/>
        <c:crossBetween val="between"/>
      </c:valAx>
    </c:plotArea>
    <c:legend>
      <c:legendPos val="r"/>
      <c:layout>
        <c:manualLayout>
          <c:xMode val="edge"/>
          <c:yMode val="edge"/>
          <c:x val="0.70698555905843141"/>
          <c:y val="5.3972266222502147E-2"/>
          <c:w val="0.27500000000000002"/>
          <c:h val="0.75779564012831702"/>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32145798601855"/>
          <c:y val="8.2487309644670007E-2"/>
          <c:w val="0.35872527682397398"/>
          <c:h val="0.78155701666733302"/>
        </c:manualLayout>
      </c:layout>
      <c:barChart>
        <c:barDir val="col"/>
        <c:grouping val="percentStacked"/>
        <c:varyColors val="0"/>
        <c:ser>
          <c:idx val="0"/>
          <c:order val="0"/>
          <c:tx>
            <c:strRef>
              <c:f>'Year 6 numeracy'!$A$15</c:f>
              <c:strCache>
                <c:ptCount val="1"/>
                <c:pt idx="0">
                  <c:v>no evidence of achievement</c:v>
                </c:pt>
              </c:strCache>
            </c:strRef>
          </c:tx>
          <c:invertIfNegative val="0"/>
          <c:cat>
            <c:numRef>
              <c:f>'Year 6 numeracy'!$B$14:$D$14</c:f>
              <c:numCache>
                <c:formatCode>General</c:formatCode>
                <c:ptCount val="3"/>
                <c:pt idx="0">
                  <c:v>2015</c:v>
                </c:pt>
                <c:pt idx="1">
                  <c:v>2013</c:v>
                </c:pt>
                <c:pt idx="2">
                  <c:v>2011</c:v>
                </c:pt>
              </c:numCache>
            </c:numRef>
          </c:cat>
          <c:val>
            <c:numRef>
              <c:f>'Year 6 numeracy'!$B$15:$D$15</c:f>
              <c:numCache>
                <c:formatCode>0%</c:formatCode>
                <c:ptCount val="3"/>
                <c:pt idx="0">
                  <c:v>0</c:v>
                </c:pt>
                <c:pt idx="1">
                  <c:v>0.03</c:v>
                </c:pt>
                <c:pt idx="2">
                  <c:v>0.3</c:v>
                </c:pt>
              </c:numCache>
            </c:numRef>
          </c:val>
        </c:ser>
        <c:ser>
          <c:idx val="1"/>
          <c:order val="1"/>
          <c:tx>
            <c:strRef>
              <c:f>'Year 6 numeracy'!$A$16</c:f>
              <c:strCache>
                <c:ptCount val="1"/>
                <c:pt idx="0">
                  <c:v>critically below the expected level</c:v>
                </c:pt>
              </c:strCache>
            </c:strRef>
          </c:tx>
          <c:invertIfNegative val="0"/>
          <c:cat>
            <c:numRef>
              <c:f>'Year 6 numeracy'!$B$14:$D$14</c:f>
              <c:numCache>
                <c:formatCode>General</c:formatCode>
                <c:ptCount val="3"/>
                <c:pt idx="0">
                  <c:v>2015</c:v>
                </c:pt>
                <c:pt idx="1">
                  <c:v>2013</c:v>
                </c:pt>
                <c:pt idx="2">
                  <c:v>2011</c:v>
                </c:pt>
              </c:numCache>
            </c:numRef>
          </c:cat>
          <c:val>
            <c:numRef>
              <c:f>'Year 6 numeracy'!$B$16:$D$16</c:f>
              <c:numCache>
                <c:formatCode>0%</c:formatCode>
                <c:ptCount val="3"/>
                <c:pt idx="0">
                  <c:v>0.15</c:v>
                </c:pt>
                <c:pt idx="1">
                  <c:v>0.41</c:v>
                </c:pt>
                <c:pt idx="2">
                  <c:v>0.24</c:v>
                </c:pt>
              </c:numCache>
            </c:numRef>
          </c:val>
        </c:ser>
        <c:ser>
          <c:idx val="2"/>
          <c:order val="2"/>
          <c:tx>
            <c:strRef>
              <c:f>'Year 6 numeracy'!$A$17</c:f>
              <c:strCache>
                <c:ptCount val="1"/>
                <c:pt idx="0">
                  <c:v>working towards the expected level</c:v>
                </c:pt>
              </c:strCache>
            </c:strRef>
          </c:tx>
          <c:invertIfNegative val="0"/>
          <c:cat>
            <c:numRef>
              <c:f>'Year 6 numeracy'!$B$14:$D$14</c:f>
              <c:numCache>
                <c:formatCode>General</c:formatCode>
                <c:ptCount val="3"/>
                <c:pt idx="0">
                  <c:v>2015</c:v>
                </c:pt>
                <c:pt idx="1">
                  <c:v>2013</c:v>
                </c:pt>
                <c:pt idx="2">
                  <c:v>2011</c:v>
                </c:pt>
              </c:numCache>
            </c:numRef>
          </c:cat>
          <c:val>
            <c:numRef>
              <c:f>'Year 6 numeracy'!$B$17:$D$17</c:f>
              <c:numCache>
                <c:formatCode>0%</c:formatCode>
                <c:ptCount val="3"/>
                <c:pt idx="0">
                  <c:v>0.3</c:v>
                </c:pt>
                <c:pt idx="1">
                  <c:v>0.36</c:v>
                </c:pt>
                <c:pt idx="2">
                  <c:v>0.28999999999999998</c:v>
                </c:pt>
              </c:numCache>
            </c:numRef>
          </c:val>
        </c:ser>
        <c:ser>
          <c:idx val="3"/>
          <c:order val="3"/>
          <c:tx>
            <c:strRef>
              <c:f>'Year 6 numeracy'!$A$18</c:f>
              <c:strCache>
                <c:ptCount val="1"/>
                <c:pt idx="0">
                  <c:v>is working at the expected level</c:v>
                </c:pt>
              </c:strCache>
            </c:strRef>
          </c:tx>
          <c:invertIfNegative val="0"/>
          <c:cat>
            <c:numRef>
              <c:f>'Year 6 numeracy'!$B$14:$D$14</c:f>
              <c:numCache>
                <c:formatCode>General</c:formatCode>
                <c:ptCount val="3"/>
                <c:pt idx="0">
                  <c:v>2015</c:v>
                </c:pt>
                <c:pt idx="1">
                  <c:v>2013</c:v>
                </c:pt>
                <c:pt idx="2">
                  <c:v>2011</c:v>
                </c:pt>
              </c:numCache>
            </c:numRef>
          </c:cat>
          <c:val>
            <c:numRef>
              <c:f>'Year 6 numeracy'!$B$18:$D$18</c:f>
              <c:numCache>
                <c:formatCode>0%</c:formatCode>
                <c:ptCount val="3"/>
                <c:pt idx="0">
                  <c:v>0.37</c:v>
                </c:pt>
                <c:pt idx="1">
                  <c:v>0.17</c:v>
                </c:pt>
                <c:pt idx="2">
                  <c:v>0.13</c:v>
                </c:pt>
              </c:numCache>
            </c:numRef>
          </c:val>
        </c:ser>
        <c:ser>
          <c:idx val="4"/>
          <c:order val="4"/>
          <c:tx>
            <c:strRef>
              <c:f>'Year 6 numeracy'!$A$19</c:f>
              <c:strCache>
                <c:ptCount val="1"/>
                <c:pt idx="0">
                  <c:v>is working above the expected level</c:v>
                </c:pt>
              </c:strCache>
            </c:strRef>
          </c:tx>
          <c:invertIfNegative val="0"/>
          <c:cat>
            <c:numRef>
              <c:f>'Year 6 numeracy'!$B$14:$D$14</c:f>
              <c:numCache>
                <c:formatCode>General</c:formatCode>
                <c:ptCount val="3"/>
                <c:pt idx="0">
                  <c:v>2015</c:v>
                </c:pt>
                <c:pt idx="1">
                  <c:v>2013</c:v>
                </c:pt>
                <c:pt idx="2">
                  <c:v>2011</c:v>
                </c:pt>
              </c:numCache>
            </c:numRef>
          </c:cat>
          <c:val>
            <c:numRef>
              <c:f>'Year 6 numeracy'!$B$19:$D$19</c:f>
              <c:numCache>
                <c:formatCode>0%</c:formatCode>
                <c:ptCount val="3"/>
                <c:pt idx="0">
                  <c:v>0.17</c:v>
                </c:pt>
                <c:pt idx="1">
                  <c:v>0.03</c:v>
                </c:pt>
                <c:pt idx="2">
                  <c:v>0.05</c:v>
                </c:pt>
              </c:numCache>
            </c:numRef>
          </c:val>
        </c:ser>
        <c:dLbls>
          <c:showLegendKey val="0"/>
          <c:showVal val="0"/>
          <c:showCatName val="0"/>
          <c:showSerName val="0"/>
          <c:showPercent val="0"/>
          <c:showBubbleSize val="0"/>
        </c:dLbls>
        <c:gapWidth val="150"/>
        <c:overlap val="100"/>
        <c:axId val="367722880"/>
        <c:axId val="367724416"/>
      </c:barChart>
      <c:catAx>
        <c:axId val="367722880"/>
        <c:scaling>
          <c:orientation val="minMax"/>
        </c:scaling>
        <c:delete val="0"/>
        <c:axPos val="b"/>
        <c:numFmt formatCode="General" sourceLinked="1"/>
        <c:majorTickMark val="out"/>
        <c:minorTickMark val="none"/>
        <c:tickLblPos val="nextTo"/>
        <c:crossAx val="367724416"/>
        <c:crosses val="autoZero"/>
        <c:auto val="1"/>
        <c:lblAlgn val="ctr"/>
        <c:lblOffset val="100"/>
        <c:noMultiLvlLbl val="0"/>
      </c:catAx>
      <c:valAx>
        <c:axId val="367724416"/>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1.51591712986357E-2"/>
              <c:y val="0.17338522722730701"/>
            </c:manualLayout>
          </c:layout>
          <c:overlay val="0"/>
        </c:title>
        <c:numFmt formatCode="0%" sourceLinked="1"/>
        <c:majorTickMark val="out"/>
        <c:minorTickMark val="none"/>
        <c:tickLblPos val="nextTo"/>
        <c:crossAx val="367722880"/>
        <c:crosses val="autoZero"/>
        <c:crossBetween val="between"/>
      </c:valAx>
    </c:plotArea>
    <c:legend>
      <c:legendPos val="r"/>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900"/>
              <a:t>Listening                 Reading                   Writing</a:t>
            </a:r>
          </a:p>
        </c:rich>
      </c:tx>
      <c:layout>
        <c:manualLayout>
          <c:xMode val="edge"/>
          <c:yMode val="edge"/>
          <c:x val="0.17056541125130401"/>
          <c:y val="4.8840048840048798E-2"/>
        </c:manualLayout>
      </c:layout>
      <c:overlay val="0"/>
    </c:title>
    <c:autoTitleDeleted val="0"/>
    <c:plotArea>
      <c:layout>
        <c:manualLayout>
          <c:layoutTarget val="inner"/>
          <c:xMode val="edge"/>
          <c:yMode val="edge"/>
          <c:x val="0.110889479176549"/>
          <c:y val="0.158730158730159"/>
          <c:w val="0.62756057300066403"/>
          <c:h val="0.71046023093267197"/>
        </c:manualLayout>
      </c:layout>
      <c:barChart>
        <c:barDir val="col"/>
        <c:grouping val="percentStacked"/>
        <c:varyColors val="0"/>
        <c:ser>
          <c:idx val="0"/>
          <c:order val="0"/>
          <c:tx>
            <c:strRef>
              <c:f>'Year 4 English'!$A$61</c:f>
              <c:strCache>
                <c:ptCount val="1"/>
                <c:pt idx="0">
                  <c:v>no evidence of achievement</c:v>
                </c:pt>
              </c:strCache>
            </c:strRef>
          </c:tx>
          <c:invertIfNegative val="0"/>
          <c:cat>
            <c:numRef>
              <c:f>'Year 4 English'!$B$60:$G$60</c:f>
              <c:numCache>
                <c:formatCode>General</c:formatCode>
                <c:ptCount val="6"/>
                <c:pt idx="0">
                  <c:v>2013</c:v>
                </c:pt>
                <c:pt idx="1">
                  <c:v>2015</c:v>
                </c:pt>
                <c:pt idx="2">
                  <c:v>2013</c:v>
                </c:pt>
                <c:pt idx="3">
                  <c:v>2015</c:v>
                </c:pt>
                <c:pt idx="4">
                  <c:v>2013</c:v>
                </c:pt>
                <c:pt idx="5">
                  <c:v>2015</c:v>
                </c:pt>
              </c:numCache>
            </c:numRef>
          </c:cat>
          <c:val>
            <c:numRef>
              <c:f>'Year 4 English'!$B$61:$G$61</c:f>
              <c:numCache>
                <c:formatCode>0%</c:formatCode>
                <c:ptCount val="6"/>
                <c:pt idx="0">
                  <c:v>0.01</c:v>
                </c:pt>
                <c:pt idx="1">
                  <c:v>0.05</c:v>
                </c:pt>
                <c:pt idx="2">
                  <c:v>0.15</c:v>
                </c:pt>
                <c:pt idx="3">
                  <c:v>0.19</c:v>
                </c:pt>
                <c:pt idx="4">
                  <c:v>0.15</c:v>
                </c:pt>
                <c:pt idx="5">
                  <c:v>0.05</c:v>
                </c:pt>
              </c:numCache>
            </c:numRef>
          </c:val>
        </c:ser>
        <c:ser>
          <c:idx val="1"/>
          <c:order val="1"/>
          <c:tx>
            <c:strRef>
              <c:f>'Year 4 English'!$A$62</c:f>
              <c:strCache>
                <c:ptCount val="1"/>
                <c:pt idx="0">
                  <c:v>critically below the expected level</c:v>
                </c:pt>
              </c:strCache>
            </c:strRef>
          </c:tx>
          <c:invertIfNegative val="0"/>
          <c:cat>
            <c:numRef>
              <c:f>'Year 4 English'!$B$60:$G$60</c:f>
              <c:numCache>
                <c:formatCode>General</c:formatCode>
                <c:ptCount val="6"/>
                <c:pt idx="0">
                  <c:v>2013</c:v>
                </c:pt>
                <c:pt idx="1">
                  <c:v>2015</c:v>
                </c:pt>
                <c:pt idx="2">
                  <c:v>2013</c:v>
                </c:pt>
                <c:pt idx="3">
                  <c:v>2015</c:v>
                </c:pt>
                <c:pt idx="4">
                  <c:v>2013</c:v>
                </c:pt>
                <c:pt idx="5">
                  <c:v>2015</c:v>
                </c:pt>
              </c:numCache>
            </c:numRef>
          </c:cat>
          <c:val>
            <c:numRef>
              <c:f>'Year 4 English'!$B$62:$G$62</c:f>
              <c:numCache>
                <c:formatCode>0%</c:formatCode>
                <c:ptCount val="6"/>
                <c:pt idx="0">
                  <c:v>0.16</c:v>
                </c:pt>
                <c:pt idx="1">
                  <c:v>0.06</c:v>
                </c:pt>
                <c:pt idx="2">
                  <c:v>0.32</c:v>
                </c:pt>
                <c:pt idx="3">
                  <c:v>0.31</c:v>
                </c:pt>
                <c:pt idx="4">
                  <c:v>0.18</c:v>
                </c:pt>
                <c:pt idx="5">
                  <c:v>0.17</c:v>
                </c:pt>
              </c:numCache>
            </c:numRef>
          </c:val>
        </c:ser>
        <c:ser>
          <c:idx val="2"/>
          <c:order val="2"/>
          <c:tx>
            <c:strRef>
              <c:f>'Year 4 English'!$A$63</c:f>
              <c:strCache>
                <c:ptCount val="1"/>
                <c:pt idx="0">
                  <c:v>working towards the expected level</c:v>
                </c:pt>
              </c:strCache>
            </c:strRef>
          </c:tx>
          <c:invertIfNegative val="0"/>
          <c:cat>
            <c:numRef>
              <c:f>'Year 4 English'!$B$60:$G$60</c:f>
              <c:numCache>
                <c:formatCode>General</c:formatCode>
                <c:ptCount val="6"/>
                <c:pt idx="0">
                  <c:v>2013</c:v>
                </c:pt>
                <c:pt idx="1">
                  <c:v>2015</c:v>
                </c:pt>
                <c:pt idx="2">
                  <c:v>2013</c:v>
                </c:pt>
                <c:pt idx="3">
                  <c:v>2015</c:v>
                </c:pt>
                <c:pt idx="4">
                  <c:v>2013</c:v>
                </c:pt>
                <c:pt idx="5">
                  <c:v>2015</c:v>
                </c:pt>
              </c:numCache>
            </c:numRef>
          </c:cat>
          <c:val>
            <c:numRef>
              <c:f>'Year 4 English'!$B$63:$G$63</c:f>
              <c:numCache>
                <c:formatCode>0%</c:formatCode>
                <c:ptCount val="6"/>
                <c:pt idx="0">
                  <c:v>0.31</c:v>
                </c:pt>
                <c:pt idx="1">
                  <c:v>0.45</c:v>
                </c:pt>
                <c:pt idx="2">
                  <c:v>0.28000000000000003</c:v>
                </c:pt>
                <c:pt idx="3">
                  <c:v>0.23</c:v>
                </c:pt>
                <c:pt idx="4">
                  <c:v>0.35</c:v>
                </c:pt>
                <c:pt idx="5">
                  <c:v>0.42</c:v>
                </c:pt>
              </c:numCache>
            </c:numRef>
          </c:val>
        </c:ser>
        <c:ser>
          <c:idx val="3"/>
          <c:order val="3"/>
          <c:tx>
            <c:strRef>
              <c:f>'Year 4 English'!$A$64</c:f>
              <c:strCache>
                <c:ptCount val="1"/>
                <c:pt idx="0">
                  <c:v>is working at the expected level</c:v>
                </c:pt>
              </c:strCache>
            </c:strRef>
          </c:tx>
          <c:invertIfNegative val="0"/>
          <c:cat>
            <c:numRef>
              <c:f>'Year 4 English'!$B$60:$G$60</c:f>
              <c:numCache>
                <c:formatCode>General</c:formatCode>
                <c:ptCount val="6"/>
                <c:pt idx="0">
                  <c:v>2013</c:v>
                </c:pt>
                <c:pt idx="1">
                  <c:v>2015</c:v>
                </c:pt>
                <c:pt idx="2">
                  <c:v>2013</c:v>
                </c:pt>
                <c:pt idx="3">
                  <c:v>2015</c:v>
                </c:pt>
                <c:pt idx="4">
                  <c:v>2013</c:v>
                </c:pt>
                <c:pt idx="5">
                  <c:v>2015</c:v>
                </c:pt>
              </c:numCache>
            </c:numRef>
          </c:cat>
          <c:val>
            <c:numRef>
              <c:f>'Year 4 English'!$B$64:$G$64</c:f>
              <c:numCache>
                <c:formatCode>0%</c:formatCode>
                <c:ptCount val="6"/>
                <c:pt idx="0">
                  <c:v>0.25</c:v>
                </c:pt>
                <c:pt idx="1">
                  <c:v>0.28999999999999998</c:v>
                </c:pt>
                <c:pt idx="2">
                  <c:v>0.16</c:v>
                </c:pt>
                <c:pt idx="3">
                  <c:v>0.22</c:v>
                </c:pt>
                <c:pt idx="4">
                  <c:v>0.18</c:v>
                </c:pt>
                <c:pt idx="5">
                  <c:v>0.18</c:v>
                </c:pt>
              </c:numCache>
            </c:numRef>
          </c:val>
        </c:ser>
        <c:ser>
          <c:idx val="4"/>
          <c:order val="4"/>
          <c:tx>
            <c:strRef>
              <c:f>'Year 4 English'!$A$65</c:f>
              <c:strCache>
                <c:ptCount val="1"/>
                <c:pt idx="0">
                  <c:v>is working above the expected level</c:v>
                </c:pt>
              </c:strCache>
            </c:strRef>
          </c:tx>
          <c:invertIfNegative val="0"/>
          <c:cat>
            <c:numRef>
              <c:f>'Year 4 English'!$B$60:$G$60</c:f>
              <c:numCache>
                <c:formatCode>General</c:formatCode>
                <c:ptCount val="6"/>
                <c:pt idx="0">
                  <c:v>2013</c:v>
                </c:pt>
                <c:pt idx="1">
                  <c:v>2015</c:v>
                </c:pt>
                <c:pt idx="2">
                  <c:v>2013</c:v>
                </c:pt>
                <c:pt idx="3">
                  <c:v>2015</c:v>
                </c:pt>
                <c:pt idx="4">
                  <c:v>2013</c:v>
                </c:pt>
                <c:pt idx="5">
                  <c:v>2015</c:v>
                </c:pt>
              </c:numCache>
            </c:numRef>
          </c:cat>
          <c:val>
            <c:numRef>
              <c:f>'Year 4 English'!$B$65:$G$65</c:f>
              <c:numCache>
                <c:formatCode>0%</c:formatCode>
                <c:ptCount val="6"/>
                <c:pt idx="0">
                  <c:v>0.26</c:v>
                </c:pt>
                <c:pt idx="1">
                  <c:v>0.14000000000000001</c:v>
                </c:pt>
                <c:pt idx="2">
                  <c:v>0.09</c:v>
                </c:pt>
                <c:pt idx="3">
                  <c:v>0.06</c:v>
                </c:pt>
                <c:pt idx="4">
                  <c:v>0.11</c:v>
                </c:pt>
                <c:pt idx="5">
                  <c:v>0.18</c:v>
                </c:pt>
              </c:numCache>
            </c:numRef>
          </c:val>
        </c:ser>
        <c:dLbls>
          <c:showLegendKey val="0"/>
          <c:showVal val="0"/>
          <c:showCatName val="0"/>
          <c:showSerName val="0"/>
          <c:showPercent val="0"/>
          <c:showBubbleSize val="0"/>
        </c:dLbls>
        <c:gapWidth val="150"/>
        <c:overlap val="100"/>
        <c:axId val="261251840"/>
        <c:axId val="261253376"/>
      </c:barChart>
      <c:catAx>
        <c:axId val="261251840"/>
        <c:scaling>
          <c:orientation val="minMax"/>
        </c:scaling>
        <c:delete val="0"/>
        <c:axPos val="b"/>
        <c:numFmt formatCode="General" sourceLinked="1"/>
        <c:majorTickMark val="out"/>
        <c:minorTickMark val="none"/>
        <c:tickLblPos val="nextTo"/>
        <c:crossAx val="261253376"/>
        <c:crosses val="autoZero"/>
        <c:auto val="1"/>
        <c:lblAlgn val="ctr"/>
        <c:lblOffset val="100"/>
        <c:noMultiLvlLbl val="0"/>
      </c:catAx>
      <c:valAx>
        <c:axId val="261253376"/>
        <c:scaling>
          <c:orientation val="minMax"/>
        </c:scaling>
        <c:delete val="0"/>
        <c:axPos val="l"/>
        <c:majorGridlines/>
        <c:title>
          <c:tx>
            <c:rich>
              <a:bodyPr rot="-5400000" vert="horz"/>
              <a:lstStyle/>
              <a:p>
                <a:pPr>
                  <a:defRPr/>
                </a:pPr>
                <a:r>
                  <a:rPr lang="en-US"/>
                  <a:t>Percentage of students</a:t>
                </a:r>
              </a:p>
            </c:rich>
          </c:tx>
          <c:layout>
            <c:manualLayout>
              <c:xMode val="edge"/>
              <c:yMode val="edge"/>
              <c:x val="8.1927710843373493E-3"/>
              <c:y val="0.18592339419111101"/>
            </c:manualLayout>
          </c:layout>
          <c:overlay val="0"/>
        </c:title>
        <c:numFmt formatCode="0%" sourceLinked="1"/>
        <c:majorTickMark val="out"/>
        <c:minorTickMark val="none"/>
        <c:tickLblPos val="nextTo"/>
        <c:txPr>
          <a:bodyPr/>
          <a:lstStyle/>
          <a:p>
            <a:pPr>
              <a:defRPr sz="700"/>
            </a:pPr>
            <a:endParaRPr lang="en-US"/>
          </a:p>
        </c:txPr>
        <c:crossAx val="261251840"/>
        <c:crosses val="autoZero"/>
        <c:crossBetween val="between"/>
      </c:valAx>
    </c:plotArea>
    <c:legend>
      <c:legendPos val="r"/>
      <c:layout>
        <c:manualLayout>
          <c:xMode val="edge"/>
          <c:yMode val="edge"/>
          <c:x val="0.78664282326154999"/>
          <c:y val="0.16824195052541499"/>
          <c:w val="0.194080068304715"/>
          <c:h val="0.73067068539509505"/>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2314624400847599"/>
          <c:y val="6.3337393422655305E-2"/>
          <c:w val="0.43359006638569397"/>
          <c:h val="0.67626689172988597"/>
        </c:manualLayout>
      </c:layout>
      <c:barChart>
        <c:barDir val="col"/>
        <c:grouping val="percentStacked"/>
        <c:varyColors val="0"/>
        <c:ser>
          <c:idx val="0"/>
          <c:order val="0"/>
          <c:tx>
            <c:strRef>
              <c:f>'Year 6 numeracy'!$A$30</c:f>
              <c:strCache>
                <c:ptCount val="1"/>
                <c:pt idx="0">
                  <c:v>no evidence of achievement</c:v>
                </c:pt>
              </c:strCache>
            </c:strRef>
          </c:tx>
          <c:invertIfNegative val="0"/>
          <c:cat>
            <c:strRef>
              <c:f>'Year 6 numeracy'!$B$29:$E$29</c:f>
              <c:strCache>
                <c:ptCount val="4"/>
                <c:pt idx="0">
                  <c:v>Numbers</c:v>
                </c:pt>
                <c:pt idx="1">
                  <c:v>Operations</c:v>
                </c:pt>
                <c:pt idx="2">
                  <c:v>Measurement</c:v>
                </c:pt>
                <c:pt idx="3">
                  <c:v>Data</c:v>
                </c:pt>
              </c:strCache>
            </c:strRef>
          </c:cat>
          <c:val>
            <c:numRef>
              <c:f>'Year 6 numeracy'!$B$30:$E$30</c:f>
              <c:numCache>
                <c:formatCode>0%</c:formatCode>
                <c:ptCount val="4"/>
                <c:pt idx="0">
                  <c:v>0.01</c:v>
                </c:pt>
                <c:pt idx="1">
                  <c:v>0.01</c:v>
                </c:pt>
                <c:pt idx="2">
                  <c:v>0.09</c:v>
                </c:pt>
                <c:pt idx="3">
                  <c:v>7.0000000000000007E-2</c:v>
                </c:pt>
              </c:numCache>
            </c:numRef>
          </c:val>
        </c:ser>
        <c:ser>
          <c:idx val="1"/>
          <c:order val="1"/>
          <c:tx>
            <c:strRef>
              <c:f>'Year 6 numeracy'!$A$31</c:f>
              <c:strCache>
                <c:ptCount val="1"/>
                <c:pt idx="0">
                  <c:v>critically below the expected level</c:v>
                </c:pt>
              </c:strCache>
            </c:strRef>
          </c:tx>
          <c:invertIfNegative val="0"/>
          <c:cat>
            <c:strRef>
              <c:f>'Year 6 numeracy'!$B$29:$E$29</c:f>
              <c:strCache>
                <c:ptCount val="4"/>
                <c:pt idx="0">
                  <c:v>Numbers</c:v>
                </c:pt>
                <c:pt idx="1">
                  <c:v>Operations</c:v>
                </c:pt>
                <c:pt idx="2">
                  <c:v>Measurement</c:v>
                </c:pt>
                <c:pt idx="3">
                  <c:v>Data</c:v>
                </c:pt>
              </c:strCache>
            </c:strRef>
          </c:cat>
          <c:val>
            <c:numRef>
              <c:f>'Year 6 numeracy'!$B$31:$E$31</c:f>
              <c:numCache>
                <c:formatCode>0%</c:formatCode>
                <c:ptCount val="4"/>
                <c:pt idx="0">
                  <c:v>0.11</c:v>
                </c:pt>
                <c:pt idx="1">
                  <c:v>0.09</c:v>
                </c:pt>
                <c:pt idx="2">
                  <c:v>0.27</c:v>
                </c:pt>
                <c:pt idx="3">
                  <c:v>0.06</c:v>
                </c:pt>
              </c:numCache>
            </c:numRef>
          </c:val>
        </c:ser>
        <c:ser>
          <c:idx val="2"/>
          <c:order val="2"/>
          <c:tx>
            <c:strRef>
              <c:f>'Year 6 numeracy'!$A$32</c:f>
              <c:strCache>
                <c:ptCount val="1"/>
                <c:pt idx="0">
                  <c:v>working towards the expected level</c:v>
                </c:pt>
              </c:strCache>
            </c:strRef>
          </c:tx>
          <c:invertIfNegative val="0"/>
          <c:cat>
            <c:strRef>
              <c:f>'Year 6 numeracy'!$B$29:$E$29</c:f>
              <c:strCache>
                <c:ptCount val="4"/>
                <c:pt idx="0">
                  <c:v>Numbers</c:v>
                </c:pt>
                <c:pt idx="1">
                  <c:v>Operations</c:v>
                </c:pt>
                <c:pt idx="2">
                  <c:v>Measurement</c:v>
                </c:pt>
                <c:pt idx="3">
                  <c:v>Data</c:v>
                </c:pt>
              </c:strCache>
            </c:strRef>
          </c:cat>
          <c:val>
            <c:numRef>
              <c:f>'Year 6 numeracy'!$B$32:$E$32</c:f>
              <c:numCache>
                <c:formatCode>0%</c:formatCode>
                <c:ptCount val="4"/>
                <c:pt idx="0">
                  <c:v>0.21</c:v>
                </c:pt>
                <c:pt idx="1">
                  <c:v>0.22</c:v>
                </c:pt>
                <c:pt idx="2">
                  <c:v>0.26</c:v>
                </c:pt>
                <c:pt idx="3">
                  <c:v>0.25</c:v>
                </c:pt>
              </c:numCache>
            </c:numRef>
          </c:val>
        </c:ser>
        <c:ser>
          <c:idx val="3"/>
          <c:order val="3"/>
          <c:tx>
            <c:strRef>
              <c:f>'Year 6 numeracy'!$A$33</c:f>
              <c:strCache>
                <c:ptCount val="1"/>
                <c:pt idx="0">
                  <c:v>is working at the expected level</c:v>
                </c:pt>
              </c:strCache>
            </c:strRef>
          </c:tx>
          <c:invertIfNegative val="0"/>
          <c:cat>
            <c:strRef>
              <c:f>'Year 6 numeracy'!$B$29:$E$29</c:f>
              <c:strCache>
                <c:ptCount val="4"/>
                <c:pt idx="0">
                  <c:v>Numbers</c:v>
                </c:pt>
                <c:pt idx="1">
                  <c:v>Operations</c:v>
                </c:pt>
                <c:pt idx="2">
                  <c:v>Measurement</c:v>
                </c:pt>
                <c:pt idx="3">
                  <c:v>Data</c:v>
                </c:pt>
              </c:strCache>
            </c:strRef>
          </c:cat>
          <c:val>
            <c:numRef>
              <c:f>'Year 6 numeracy'!$B$33:$E$33</c:f>
              <c:numCache>
                <c:formatCode>0%</c:formatCode>
                <c:ptCount val="4"/>
                <c:pt idx="0">
                  <c:v>0.42</c:v>
                </c:pt>
                <c:pt idx="1">
                  <c:v>0.38</c:v>
                </c:pt>
                <c:pt idx="2">
                  <c:v>0.28999999999999998</c:v>
                </c:pt>
                <c:pt idx="3">
                  <c:v>0.47</c:v>
                </c:pt>
              </c:numCache>
            </c:numRef>
          </c:val>
        </c:ser>
        <c:ser>
          <c:idx val="4"/>
          <c:order val="4"/>
          <c:tx>
            <c:strRef>
              <c:f>'Year 6 numeracy'!$A$34</c:f>
              <c:strCache>
                <c:ptCount val="1"/>
                <c:pt idx="0">
                  <c:v>is working above the expected level</c:v>
                </c:pt>
              </c:strCache>
            </c:strRef>
          </c:tx>
          <c:invertIfNegative val="0"/>
          <c:cat>
            <c:strRef>
              <c:f>'Year 6 numeracy'!$B$29:$E$29</c:f>
              <c:strCache>
                <c:ptCount val="4"/>
                <c:pt idx="0">
                  <c:v>Numbers</c:v>
                </c:pt>
                <c:pt idx="1">
                  <c:v>Operations</c:v>
                </c:pt>
                <c:pt idx="2">
                  <c:v>Measurement</c:v>
                </c:pt>
                <c:pt idx="3">
                  <c:v>Data</c:v>
                </c:pt>
              </c:strCache>
            </c:strRef>
          </c:cat>
          <c:val>
            <c:numRef>
              <c:f>'Year 6 numeracy'!$B$34:$E$34</c:f>
              <c:numCache>
                <c:formatCode>0%</c:formatCode>
                <c:ptCount val="4"/>
                <c:pt idx="0">
                  <c:v>0.24</c:v>
                </c:pt>
                <c:pt idx="1">
                  <c:v>0.28999999999999998</c:v>
                </c:pt>
                <c:pt idx="2">
                  <c:v>0.08</c:v>
                </c:pt>
                <c:pt idx="3">
                  <c:v>0.14000000000000001</c:v>
                </c:pt>
              </c:numCache>
            </c:numRef>
          </c:val>
        </c:ser>
        <c:dLbls>
          <c:showLegendKey val="0"/>
          <c:showVal val="0"/>
          <c:showCatName val="0"/>
          <c:showSerName val="0"/>
          <c:showPercent val="0"/>
          <c:showBubbleSize val="0"/>
        </c:dLbls>
        <c:gapWidth val="150"/>
        <c:overlap val="100"/>
        <c:axId val="367764608"/>
        <c:axId val="367766144"/>
      </c:barChart>
      <c:catAx>
        <c:axId val="367764608"/>
        <c:scaling>
          <c:orientation val="minMax"/>
        </c:scaling>
        <c:delete val="0"/>
        <c:axPos val="b"/>
        <c:numFmt formatCode="General" sourceLinked="0"/>
        <c:majorTickMark val="out"/>
        <c:minorTickMark val="none"/>
        <c:tickLblPos val="nextTo"/>
        <c:crossAx val="367766144"/>
        <c:crosses val="autoZero"/>
        <c:auto val="1"/>
        <c:lblAlgn val="ctr"/>
        <c:lblOffset val="100"/>
        <c:noMultiLvlLbl val="0"/>
      </c:catAx>
      <c:valAx>
        <c:axId val="367766144"/>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1.6666666666666701E-2"/>
              <c:y val="0.18634915427238299"/>
            </c:manualLayout>
          </c:layout>
          <c:overlay val="0"/>
        </c:title>
        <c:numFmt formatCode="0%" sourceLinked="1"/>
        <c:majorTickMark val="out"/>
        <c:minorTickMark val="none"/>
        <c:tickLblPos val="nextTo"/>
        <c:txPr>
          <a:bodyPr/>
          <a:lstStyle/>
          <a:p>
            <a:pPr>
              <a:defRPr sz="700"/>
            </a:pPr>
            <a:endParaRPr lang="en-US"/>
          </a:p>
        </c:txPr>
        <c:crossAx val="367764608"/>
        <c:crosses val="autoZero"/>
        <c:crossBetween val="between"/>
      </c:valAx>
    </c:plotArea>
    <c:legend>
      <c:legendPos val="r"/>
      <c:layout>
        <c:manualLayout>
          <c:xMode val="edge"/>
          <c:yMode val="edge"/>
          <c:x val="0.69722222222222197"/>
          <c:y val="6.1049421197502597E-2"/>
          <c:w val="0.280555555555556"/>
          <c:h val="0.69417054293304703"/>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35948404201787"/>
          <c:y val="6.4814814814814811E-2"/>
          <c:w val="0.50441145238524598"/>
          <c:h val="0.84061752697579495"/>
        </c:manualLayout>
      </c:layout>
      <c:barChart>
        <c:barDir val="col"/>
        <c:grouping val="percentStacked"/>
        <c:varyColors val="0"/>
        <c:ser>
          <c:idx val="0"/>
          <c:order val="0"/>
          <c:tx>
            <c:strRef>
              <c:f>'Year 6 numeracy'!$A$104</c:f>
              <c:strCache>
                <c:ptCount val="1"/>
                <c:pt idx="0">
                  <c:v>no evidence of achievement</c:v>
                </c:pt>
              </c:strCache>
            </c:strRef>
          </c:tx>
          <c:invertIfNegative val="0"/>
          <c:cat>
            <c:strRef>
              <c:f>'Year 6 numeracy'!$B$103:$C$103</c:f>
              <c:strCache>
                <c:ptCount val="2"/>
                <c:pt idx="0">
                  <c:v>Male</c:v>
                </c:pt>
                <c:pt idx="1">
                  <c:v>Female</c:v>
                </c:pt>
              </c:strCache>
            </c:strRef>
          </c:cat>
          <c:val>
            <c:numRef>
              <c:f>'Year 6 numeracy'!$B$104:$C$104</c:f>
              <c:numCache>
                <c:formatCode>0%</c:formatCode>
                <c:ptCount val="2"/>
                <c:pt idx="0">
                  <c:v>0</c:v>
                </c:pt>
                <c:pt idx="1">
                  <c:v>0</c:v>
                </c:pt>
              </c:numCache>
            </c:numRef>
          </c:val>
        </c:ser>
        <c:ser>
          <c:idx val="1"/>
          <c:order val="1"/>
          <c:tx>
            <c:strRef>
              <c:f>'Year 6 numeracy'!$A$105</c:f>
              <c:strCache>
                <c:ptCount val="1"/>
                <c:pt idx="0">
                  <c:v>critically below the expected level</c:v>
                </c:pt>
              </c:strCache>
            </c:strRef>
          </c:tx>
          <c:invertIfNegative val="0"/>
          <c:cat>
            <c:strRef>
              <c:f>'Year 6 numeracy'!$B$103:$C$103</c:f>
              <c:strCache>
                <c:ptCount val="2"/>
                <c:pt idx="0">
                  <c:v>Male</c:v>
                </c:pt>
                <c:pt idx="1">
                  <c:v>Female</c:v>
                </c:pt>
              </c:strCache>
            </c:strRef>
          </c:cat>
          <c:val>
            <c:numRef>
              <c:f>'Year 6 numeracy'!$B$105:$C$105</c:f>
              <c:numCache>
                <c:formatCode>0%</c:formatCode>
                <c:ptCount val="2"/>
                <c:pt idx="0">
                  <c:v>0.19</c:v>
                </c:pt>
                <c:pt idx="1">
                  <c:v>0.12</c:v>
                </c:pt>
              </c:numCache>
            </c:numRef>
          </c:val>
        </c:ser>
        <c:ser>
          <c:idx val="2"/>
          <c:order val="2"/>
          <c:tx>
            <c:strRef>
              <c:f>'Year 6 numeracy'!$A$106</c:f>
              <c:strCache>
                <c:ptCount val="1"/>
                <c:pt idx="0">
                  <c:v>working towards the expected level</c:v>
                </c:pt>
              </c:strCache>
            </c:strRef>
          </c:tx>
          <c:invertIfNegative val="0"/>
          <c:cat>
            <c:strRef>
              <c:f>'Year 6 numeracy'!$B$103:$C$103</c:f>
              <c:strCache>
                <c:ptCount val="2"/>
                <c:pt idx="0">
                  <c:v>Male</c:v>
                </c:pt>
                <c:pt idx="1">
                  <c:v>Female</c:v>
                </c:pt>
              </c:strCache>
            </c:strRef>
          </c:cat>
          <c:val>
            <c:numRef>
              <c:f>'Year 6 numeracy'!$B$106:$C$106</c:f>
              <c:numCache>
                <c:formatCode>0%</c:formatCode>
                <c:ptCount val="2"/>
                <c:pt idx="0">
                  <c:v>0.32</c:v>
                </c:pt>
                <c:pt idx="1">
                  <c:v>0.28999999999999998</c:v>
                </c:pt>
              </c:numCache>
            </c:numRef>
          </c:val>
        </c:ser>
        <c:ser>
          <c:idx val="3"/>
          <c:order val="3"/>
          <c:tx>
            <c:strRef>
              <c:f>'Year 6 numeracy'!$A$107</c:f>
              <c:strCache>
                <c:ptCount val="1"/>
                <c:pt idx="0">
                  <c:v>is working at the expected level</c:v>
                </c:pt>
              </c:strCache>
            </c:strRef>
          </c:tx>
          <c:invertIfNegative val="0"/>
          <c:cat>
            <c:strRef>
              <c:f>'Year 6 numeracy'!$B$103:$C$103</c:f>
              <c:strCache>
                <c:ptCount val="2"/>
                <c:pt idx="0">
                  <c:v>Male</c:v>
                </c:pt>
                <c:pt idx="1">
                  <c:v>Female</c:v>
                </c:pt>
              </c:strCache>
            </c:strRef>
          </c:cat>
          <c:val>
            <c:numRef>
              <c:f>'Year 6 numeracy'!$B$107:$C$107</c:f>
              <c:numCache>
                <c:formatCode>0%</c:formatCode>
                <c:ptCount val="2"/>
                <c:pt idx="0">
                  <c:v>0.34</c:v>
                </c:pt>
                <c:pt idx="1">
                  <c:v>0.4</c:v>
                </c:pt>
              </c:numCache>
            </c:numRef>
          </c:val>
        </c:ser>
        <c:ser>
          <c:idx val="4"/>
          <c:order val="4"/>
          <c:tx>
            <c:strRef>
              <c:f>'Year 6 numeracy'!$A$108</c:f>
              <c:strCache>
                <c:ptCount val="1"/>
                <c:pt idx="0">
                  <c:v>is working above the expected level</c:v>
                </c:pt>
              </c:strCache>
            </c:strRef>
          </c:tx>
          <c:invertIfNegative val="0"/>
          <c:cat>
            <c:strRef>
              <c:f>'Year 6 numeracy'!$B$103:$C$103</c:f>
              <c:strCache>
                <c:ptCount val="2"/>
                <c:pt idx="0">
                  <c:v>Male</c:v>
                </c:pt>
                <c:pt idx="1">
                  <c:v>Female</c:v>
                </c:pt>
              </c:strCache>
            </c:strRef>
          </c:cat>
          <c:val>
            <c:numRef>
              <c:f>'Year 6 numeracy'!$B$108:$C$108</c:f>
              <c:numCache>
                <c:formatCode>0%</c:formatCode>
                <c:ptCount val="2"/>
                <c:pt idx="0">
                  <c:v>0.14000000000000001</c:v>
                </c:pt>
                <c:pt idx="1">
                  <c:v>0.19</c:v>
                </c:pt>
              </c:numCache>
            </c:numRef>
          </c:val>
        </c:ser>
        <c:dLbls>
          <c:showLegendKey val="0"/>
          <c:showVal val="0"/>
          <c:showCatName val="0"/>
          <c:showSerName val="0"/>
          <c:showPercent val="0"/>
          <c:showBubbleSize val="0"/>
        </c:dLbls>
        <c:gapWidth val="150"/>
        <c:overlap val="100"/>
        <c:axId val="367491328"/>
        <c:axId val="367501312"/>
      </c:barChart>
      <c:catAx>
        <c:axId val="367491328"/>
        <c:scaling>
          <c:orientation val="minMax"/>
        </c:scaling>
        <c:delete val="0"/>
        <c:axPos val="b"/>
        <c:numFmt formatCode="General" sourceLinked="0"/>
        <c:majorTickMark val="out"/>
        <c:minorTickMark val="none"/>
        <c:tickLblPos val="nextTo"/>
        <c:crossAx val="367501312"/>
        <c:crosses val="autoZero"/>
        <c:auto val="1"/>
        <c:lblAlgn val="ctr"/>
        <c:lblOffset val="100"/>
        <c:noMultiLvlLbl val="0"/>
      </c:catAx>
      <c:valAx>
        <c:axId val="367501312"/>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crossAx val="367491328"/>
        <c:crosses val="autoZero"/>
        <c:crossBetween val="between"/>
      </c:valAx>
    </c:plotArea>
    <c:legend>
      <c:legendPos val="r"/>
      <c:layout>
        <c:manualLayout>
          <c:xMode val="edge"/>
          <c:yMode val="edge"/>
          <c:x val="0.70649300087489098"/>
          <c:y val="5.9129848352289301E-2"/>
          <c:w val="0.27128477690288699"/>
          <c:h val="0.84470326625838399"/>
        </c:manualLayout>
      </c:layout>
      <c:overlay val="0"/>
    </c:legend>
    <c:plotVisOnly val="1"/>
    <c:dispBlanksAs val="gap"/>
    <c:showDLblsOverMax val="0"/>
  </c:chart>
  <c:txPr>
    <a:bodyPr/>
    <a:lstStyle/>
    <a:p>
      <a:pPr>
        <a:defRPr sz="700">
          <a:latin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cat>
            <c:strRef>
              <c:f>'Year 8 numeracy'!$H$2:$H$6</c:f>
              <c:strCache>
                <c:ptCount val="5"/>
                <c:pt idx="0">
                  <c:v>no evidence of achievement</c:v>
                </c:pt>
                <c:pt idx="1">
                  <c:v>critically below the expected level</c:v>
                </c:pt>
                <c:pt idx="2">
                  <c:v>working towards the expected level</c:v>
                </c:pt>
                <c:pt idx="3">
                  <c:v>is working at the expected level</c:v>
                </c:pt>
                <c:pt idx="4">
                  <c:v>is working above the expected level</c:v>
                </c:pt>
              </c:strCache>
            </c:strRef>
          </c:cat>
          <c:val>
            <c:numRef>
              <c:f>'Year 8 numeracy'!$I$2:$I$6</c:f>
              <c:numCache>
                <c:formatCode>General</c:formatCode>
                <c:ptCount val="5"/>
                <c:pt idx="0">
                  <c:v>14</c:v>
                </c:pt>
                <c:pt idx="1">
                  <c:v>446</c:v>
                </c:pt>
                <c:pt idx="2">
                  <c:v>434</c:v>
                </c:pt>
                <c:pt idx="3">
                  <c:v>332</c:v>
                </c:pt>
                <c:pt idx="4">
                  <c:v>113</c:v>
                </c:pt>
              </c:numCache>
            </c:numRef>
          </c:val>
        </c:ser>
        <c:dLbls>
          <c:showLegendKey val="0"/>
          <c:showVal val="0"/>
          <c:showCatName val="0"/>
          <c:showSerName val="0"/>
          <c:showPercent val="0"/>
          <c:showBubbleSize val="0"/>
        </c:dLbls>
        <c:gapWidth val="150"/>
        <c:axId val="367517696"/>
        <c:axId val="367519232"/>
      </c:barChart>
      <c:catAx>
        <c:axId val="367517696"/>
        <c:scaling>
          <c:orientation val="minMax"/>
        </c:scaling>
        <c:delete val="0"/>
        <c:axPos val="b"/>
        <c:numFmt formatCode="General" sourceLinked="0"/>
        <c:majorTickMark val="out"/>
        <c:minorTickMark val="none"/>
        <c:tickLblPos val="nextTo"/>
        <c:txPr>
          <a:bodyPr/>
          <a:lstStyle/>
          <a:p>
            <a:pPr>
              <a:defRPr sz="800">
                <a:latin typeface="Arial"/>
              </a:defRPr>
            </a:pPr>
            <a:endParaRPr lang="en-US"/>
          </a:p>
        </c:txPr>
        <c:crossAx val="367519232"/>
        <c:crosses val="autoZero"/>
        <c:auto val="1"/>
        <c:lblAlgn val="ctr"/>
        <c:lblOffset val="100"/>
        <c:noMultiLvlLbl val="0"/>
      </c:catAx>
      <c:valAx>
        <c:axId val="367519232"/>
        <c:scaling>
          <c:orientation val="minMax"/>
        </c:scaling>
        <c:delete val="0"/>
        <c:axPos val="l"/>
        <c:majorGridlines/>
        <c:title>
          <c:tx>
            <c:rich>
              <a:bodyPr rot="-5400000" vert="horz"/>
              <a:lstStyle/>
              <a:p>
                <a:pPr>
                  <a:defRPr sz="900">
                    <a:latin typeface="Arial"/>
                  </a:defRPr>
                </a:pPr>
                <a:r>
                  <a:rPr lang="en-US" sz="900">
                    <a:latin typeface="Arial"/>
                  </a:rPr>
                  <a:t>Number</a:t>
                </a:r>
                <a:r>
                  <a:rPr lang="en-US" sz="900" baseline="0">
                    <a:latin typeface="Arial"/>
                  </a:rPr>
                  <a:t> of students</a:t>
                </a:r>
                <a:endParaRPr lang="en-US" sz="900">
                  <a:latin typeface="Arial"/>
                </a:endParaRPr>
              </a:p>
            </c:rich>
          </c:tx>
          <c:overlay val="0"/>
        </c:title>
        <c:numFmt formatCode="General" sourceLinked="1"/>
        <c:majorTickMark val="out"/>
        <c:minorTickMark val="none"/>
        <c:tickLblPos val="nextTo"/>
        <c:txPr>
          <a:bodyPr/>
          <a:lstStyle/>
          <a:p>
            <a:pPr>
              <a:defRPr sz="800">
                <a:latin typeface="Arial"/>
              </a:defRPr>
            </a:pPr>
            <a:endParaRPr lang="en-US"/>
          </a:p>
        </c:txPr>
        <c:crossAx val="36751769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4810841170978"/>
          <c:y val="7.5868106215348702E-2"/>
          <c:w val="0.58772157966851102"/>
          <c:h val="0.74005034377307799"/>
        </c:manualLayout>
      </c:layout>
      <c:barChart>
        <c:barDir val="col"/>
        <c:grouping val="percentStacked"/>
        <c:varyColors val="0"/>
        <c:ser>
          <c:idx val="0"/>
          <c:order val="0"/>
          <c:tx>
            <c:strRef>
              <c:f>'Year 8 numeracy'!$A$76</c:f>
              <c:strCache>
                <c:ptCount val="1"/>
                <c:pt idx="0">
                  <c:v>no evidence of achievement</c:v>
                </c:pt>
              </c:strCache>
            </c:strRef>
          </c:tx>
          <c:invertIfNegative val="0"/>
          <c:cat>
            <c:strRef>
              <c:f>'Year 8 numeracy'!$B$75:$F$75</c:f>
              <c:strCache>
                <c:ptCount val="5"/>
                <c:pt idx="0">
                  <c:v>Problem Solving</c:v>
                </c:pt>
                <c:pt idx="1">
                  <c:v>Operations</c:v>
                </c:pt>
                <c:pt idx="2">
                  <c:v>Measurement</c:v>
                </c:pt>
                <c:pt idx="3">
                  <c:v>Geometry</c:v>
                </c:pt>
                <c:pt idx="4">
                  <c:v>Data</c:v>
                </c:pt>
              </c:strCache>
            </c:strRef>
          </c:cat>
          <c:val>
            <c:numRef>
              <c:f>'Year 8 numeracy'!$B$76:$F$76</c:f>
              <c:numCache>
                <c:formatCode>0%</c:formatCode>
                <c:ptCount val="5"/>
                <c:pt idx="0">
                  <c:v>0.34</c:v>
                </c:pt>
                <c:pt idx="1">
                  <c:v>0.05</c:v>
                </c:pt>
                <c:pt idx="2">
                  <c:v>0.08</c:v>
                </c:pt>
                <c:pt idx="3">
                  <c:v>0.12</c:v>
                </c:pt>
                <c:pt idx="4">
                  <c:v>0.09</c:v>
                </c:pt>
              </c:numCache>
            </c:numRef>
          </c:val>
        </c:ser>
        <c:ser>
          <c:idx val="1"/>
          <c:order val="1"/>
          <c:tx>
            <c:strRef>
              <c:f>'Year 8 numeracy'!$A$77</c:f>
              <c:strCache>
                <c:ptCount val="1"/>
                <c:pt idx="0">
                  <c:v>critically below the expected level</c:v>
                </c:pt>
              </c:strCache>
            </c:strRef>
          </c:tx>
          <c:invertIfNegative val="0"/>
          <c:cat>
            <c:strRef>
              <c:f>'Year 8 numeracy'!$B$75:$F$75</c:f>
              <c:strCache>
                <c:ptCount val="5"/>
                <c:pt idx="0">
                  <c:v>Problem Solving</c:v>
                </c:pt>
                <c:pt idx="1">
                  <c:v>Operations</c:v>
                </c:pt>
                <c:pt idx="2">
                  <c:v>Measurement</c:v>
                </c:pt>
                <c:pt idx="3">
                  <c:v>Geometry</c:v>
                </c:pt>
                <c:pt idx="4">
                  <c:v>Data</c:v>
                </c:pt>
              </c:strCache>
            </c:strRef>
          </c:cat>
          <c:val>
            <c:numRef>
              <c:f>'Year 8 numeracy'!$B$77:$F$77</c:f>
              <c:numCache>
                <c:formatCode>0%</c:formatCode>
                <c:ptCount val="5"/>
                <c:pt idx="0">
                  <c:v>0.22</c:v>
                </c:pt>
                <c:pt idx="1">
                  <c:v>0.16</c:v>
                </c:pt>
                <c:pt idx="2">
                  <c:v>0.21</c:v>
                </c:pt>
                <c:pt idx="3">
                  <c:v>0.18</c:v>
                </c:pt>
                <c:pt idx="4">
                  <c:v>0.35</c:v>
                </c:pt>
              </c:numCache>
            </c:numRef>
          </c:val>
        </c:ser>
        <c:ser>
          <c:idx val="2"/>
          <c:order val="2"/>
          <c:tx>
            <c:strRef>
              <c:f>'Year 8 numeracy'!$A$78</c:f>
              <c:strCache>
                <c:ptCount val="1"/>
                <c:pt idx="0">
                  <c:v>working towards the expected level</c:v>
                </c:pt>
              </c:strCache>
            </c:strRef>
          </c:tx>
          <c:invertIfNegative val="0"/>
          <c:cat>
            <c:strRef>
              <c:f>'Year 8 numeracy'!$B$75:$F$75</c:f>
              <c:strCache>
                <c:ptCount val="5"/>
                <c:pt idx="0">
                  <c:v>Problem Solving</c:v>
                </c:pt>
                <c:pt idx="1">
                  <c:v>Operations</c:v>
                </c:pt>
                <c:pt idx="2">
                  <c:v>Measurement</c:v>
                </c:pt>
                <c:pt idx="3">
                  <c:v>Geometry</c:v>
                </c:pt>
                <c:pt idx="4">
                  <c:v>Data</c:v>
                </c:pt>
              </c:strCache>
            </c:strRef>
          </c:cat>
          <c:val>
            <c:numRef>
              <c:f>'Year 8 numeracy'!$B$78:$F$78</c:f>
              <c:numCache>
                <c:formatCode>0%</c:formatCode>
                <c:ptCount val="5"/>
                <c:pt idx="0">
                  <c:v>0.32</c:v>
                </c:pt>
                <c:pt idx="1">
                  <c:v>0.42</c:v>
                </c:pt>
                <c:pt idx="2">
                  <c:v>0.56000000000000005</c:v>
                </c:pt>
                <c:pt idx="3">
                  <c:v>0.26</c:v>
                </c:pt>
                <c:pt idx="4">
                  <c:v>0.3</c:v>
                </c:pt>
              </c:numCache>
            </c:numRef>
          </c:val>
        </c:ser>
        <c:ser>
          <c:idx val="3"/>
          <c:order val="3"/>
          <c:tx>
            <c:strRef>
              <c:f>'Year 8 numeracy'!$A$79</c:f>
              <c:strCache>
                <c:ptCount val="1"/>
                <c:pt idx="0">
                  <c:v>is working at the expected level</c:v>
                </c:pt>
              </c:strCache>
            </c:strRef>
          </c:tx>
          <c:invertIfNegative val="0"/>
          <c:cat>
            <c:strRef>
              <c:f>'Year 8 numeracy'!$B$75:$F$75</c:f>
              <c:strCache>
                <c:ptCount val="5"/>
                <c:pt idx="0">
                  <c:v>Problem Solving</c:v>
                </c:pt>
                <c:pt idx="1">
                  <c:v>Operations</c:v>
                </c:pt>
                <c:pt idx="2">
                  <c:v>Measurement</c:v>
                </c:pt>
                <c:pt idx="3">
                  <c:v>Geometry</c:v>
                </c:pt>
                <c:pt idx="4">
                  <c:v>Data</c:v>
                </c:pt>
              </c:strCache>
            </c:strRef>
          </c:cat>
          <c:val>
            <c:numRef>
              <c:f>'Year 8 numeracy'!$B$79:$F$79</c:f>
              <c:numCache>
                <c:formatCode>0%</c:formatCode>
                <c:ptCount val="5"/>
                <c:pt idx="0">
                  <c:v>0.08</c:v>
                </c:pt>
                <c:pt idx="1">
                  <c:v>0.25</c:v>
                </c:pt>
                <c:pt idx="2">
                  <c:v>0.1</c:v>
                </c:pt>
                <c:pt idx="3">
                  <c:v>0.24</c:v>
                </c:pt>
                <c:pt idx="4">
                  <c:v>0.16</c:v>
                </c:pt>
              </c:numCache>
            </c:numRef>
          </c:val>
        </c:ser>
        <c:ser>
          <c:idx val="4"/>
          <c:order val="4"/>
          <c:tx>
            <c:strRef>
              <c:f>'Year 8 numeracy'!$A$80</c:f>
              <c:strCache>
                <c:ptCount val="1"/>
                <c:pt idx="0">
                  <c:v>is working above the expected level</c:v>
                </c:pt>
              </c:strCache>
            </c:strRef>
          </c:tx>
          <c:invertIfNegative val="0"/>
          <c:cat>
            <c:strRef>
              <c:f>'Year 8 numeracy'!$B$75:$F$75</c:f>
              <c:strCache>
                <c:ptCount val="5"/>
                <c:pt idx="0">
                  <c:v>Problem Solving</c:v>
                </c:pt>
                <c:pt idx="1">
                  <c:v>Operations</c:v>
                </c:pt>
                <c:pt idx="2">
                  <c:v>Measurement</c:v>
                </c:pt>
                <c:pt idx="3">
                  <c:v>Geometry</c:v>
                </c:pt>
                <c:pt idx="4">
                  <c:v>Data</c:v>
                </c:pt>
              </c:strCache>
            </c:strRef>
          </c:cat>
          <c:val>
            <c:numRef>
              <c:f>'Year 8 numeracy'!$B$80:$F$80</c:f>
              <c:numCache>
                <c:formatCode>0%</c:formatCode>
                <c:ptCount val="5"/>
                <c:pt idx="0">
                  <c:v>0.05</c:v>
                </c:pt>
                <c:pt idx="1">
                  <c:v>0.12</c:v>
                </c:pt>
                <c:pt idx="2">
                  <c:v>0.04</c:v>
                </c:pt>
                <c:pt idx="3">
                  <c:v>0.2</c:v>
                </c:pt>
                <c:pt idx="4">
                  <c:v>0.1</c:v>
                </c:pt>
              </c:numCache>
            </c:numRef>
          </c:val>
        </c:ser>
        <c:dLbls>
          <c:showLegendKey val="0"/>
          <c:showVal val="0"/>
          <c:showCatName val="0"/>
          <c:showSerName val="0"/>
          <c:showPercent val="0"/>
          <c:showBubbleSize val="0"/>
        </c:dLbls>
        <c:gapWidth val="150"/>
        <c:overlap val="100"/>
        <c:axId val="367563136"/>
        <c:axId val="367564672"/>
      </c:barChart>
      <c:catAx>
        <c:axId val="367563136"/>
        <c:scaling>
          <c:orientation val="minMax"/>
        </c:scaling>
        <c:delete val="0"/>
        <c:axPos val="b"/>
        <c:numFmt formatCode="General" sourceLinked="0"/>
        <c:majorTickMark val="out"/>
        <c:minorTickMark val="none"/>
        <c:tickLblPos val="nextTo"/>
        <c:crossAx val="367564672"/>
        <c:crosses val="autoZero"/>
        <c:auto val="1"/>
        <c:lblAlgn val="ctr"/>
        <c:lblOffset val="100"/>
        <c:noMultiLvlLbl val="0"/>
      </c:catAx>
      <c:valAx>
        <c:axId val="367564672"/>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crossAx val="367563136"/>
        <c:crosses val="autoZero"/>
        <c:crossBetween val="between"/>
      </c:valAx>
    </c:plotArea>
    <c:legend>
      <c:legendPos val="r"/>
      <c:layout>
        <c:manualLayout>
          <c:xMode val="edge"/>
          <c:yMode val="edge"/>
          <c:x val="0.75115123047147503"/>
          <c:y val="7.78119105114779E-2"/>
          <c:w val="0.230675212054649"/>
          <c:h val="0.71598399922799205"/>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572637718049101"/>
          <c:y val="7.63582966226138E-2"/>
          <c:w val="0.473094281221909"/>
          <c:h val="0.79778787563448805"/>
        </c:manualLayout>
      </c:layout>
      <c:barChart>
        <c:barDir val="col"/>
        <c:grouping val="percentStacked"/>
        <c:varyColors val="0"/>
        <c:ser>
          <c:idx val="0"/>
          <c:order val="0"/>
          <c:tx>
            <c:strRef>
              <c:f>'Year 8 numeracy'!$A$99</c:f>
              <c:strCache>
                <c:ptCount val="1"/>
                <c:pt idx="0">
                  <c:v>no evidence of achievement</c:v>
                </c:pt>
              </c:strCache>
            </c:strRef>
          </c:tx>
          <c:invertIfNegative val="0"/>
          <c:cat>
            <c:strRef>
              <c:f>'Year 8 numeracy'!$B$98:$C$98</c:f>
              <c:strCache>
                <c:ptCount val="2"/>
                <c:pt idx="0">
                  <c:v>Male</c:v>
                </c:pt>
                <c:pt idx="1">
                  <c:v>Female</c:v>
                </c:pt>
              </c:strCache>
            </c:strRef>
          </c:cat>
          <c:val>
            <c:numRef>
              <c:f>'Year 8 numeracy'!$B$99:$C$99</c:f>
              <c:numCache>
                <c:formatCode>0%</c:formatCode>
                <c:ptCount val="2"/>
                <c:pt idx="0">
                  <c:v>0.02</c:v>
                </c:pt>
                <c:pt idx="1">
                  <c:v>0.01</c:v>
                </c:pt>
              </c:numCache>
            </c:numRef>
          </c:val>
        </c:ser>
        <c:ser>
          <c:idx val="1"/>
          <c:order val="1"/>
          <c:tx>
            <c:strRef>
              <c:f>'Year 8 numeracy'!$A$100</c:f>
              <c:strCache>
                <c:ptCount val="1"/>
                <c:pt idx="0">
                  <c:v>critically below the expected level</c:v>
                </c:pt>
              </c:strCache>
            </c:strRef>
          </c:tx>
          <c:invertIfNegative val="0"/>
          <c:cat>
            <c:strRef>
              <c:f>'Year 8 numeracy'!$B$98:$C$98</c:f>
              <c:strCache>
                <c:ptCount val="2"/>
                <c:pt idx="0">
                  <c:v>Male</c:v>
                </c:pt>
                <c:pt idx="1">
                  <c:v>Female</c:v>
                </c:pt>
              </c:strCache>
            </c:strRef>
          </c:cat>
          <c:val>
            <c:numRef>
              <c:f>'Year 8 numeracy'!$B$100:$C$100</c:f>
              <c:numCache>
                <c:formatCode>0%</c:formatCode>
                <c:ptCount val="2"/>
                <c:pt idx="0">
                  <c:v>0.39</c:v>
                </c:pt>
                <c:pt idx="1">
                  <c:v>0.28999999999999998</c:v>
                </c:pt>
              </c:numCache>
            </c:numRef>
          </c:val>
        </c:ser>
        <c:ser>
          <c:idx val="2"/>
          <c:order val="2"/>
          <c:tx>
            <c:strRef>
              <c:f>'Year 8 numeracy'!$A$101</c:f>
              <c:strCache>
                <c:ptCount val="1"/>
                <c:pt idx="0">
                  <c:v>working towards the expected level</c:v>
                </c:pt>
              </c:strCache>
            </c:strRef>
          </c:tx>
          <c:invertIfNegative val="0"/>
          <c:cat>
            <c:strRef>
              <c:f>'Year 8 numeracy'!$B$98:$C$98</c:f>
              <c:strCache>
                <c:ptCount val="2"/>
                <c:pt idx="0">
                  <c:v>Male</c:v>
                </c:pt>
                <c:pt idx="1">
                  <c:v>Female</c:v>
                </c:pt>
              </c:strCache>
            </c:strRef>
          </c:cat>
          <c:val>
            <c:numRef>
              <c:f>'Year 8 numeracy'!$B$101:$C$101</c:f>
              <c:numCache>
                <c:formatCode>0%</c:formatCode>
                <c:ptCount val="2"/>
                <c:pt idx="0">
                  <c:v>0.34</c:v>
                </c:pt>
                <c:pt idx="1">
                  <c:v>0.31</c:v>
                </c:pt>
              </c:numCache>
            </c:numRef>
          </c:val>
        </c:ser>
        <c:ser>
          <c:idx val="3"/>
          <c:order val="3"/>
          <c:tx>
            <c:strRef>
              <c:f>'Year 8 numeracy'!$A$102</c:f>
              <c:strCache>
                <c:ptCount val="1"/>
                <c:pt idx="0">
                  <c:v>is working at the expected level</c:v>
                </c:pt>
              </c:strCache>
            </c:strRef>
          </c:tx>
          <c:invertIfNegative val="0"/>
          <c:cat>
            <c:strRef>
              <c:f>'Year 8 numeracy'!$B$98:$C$98</c:f>
              <c:strCache>
                <c:ptCount val="2"/>
                <c:pt idx="0">
                  <c:v>Male</c:v>
                </c:pt>
                <c:pt idx="1">
                  <c:v>Female</c:v>
                </c:pt>
              </c:strCache>
            </c:strRef>
          </c:cat>
          <c:val>
            <c:numRef>
              <c:f>'Year 8 numeracy'!$B$102:$C$102</c:f>
              <c:numCache>
                <c:formatCode>0%</c:formatCode>
                <c:ptCount val="2"/>
                <c:pt idx="0">
                  <c:v>0.21</c:v>
                </c:pt>
                <c:pt idx="1">
                  <c:v>0.28000000000000003</c:v>
                </c:pt>
              </c:numCache>
            </c:numRef>
          </c:val>
        </c:ser>
        <c:ser>
          <c:idx val="4"/>
          <c:order val="4"/>
          <c:tx>
            <c:strRef>
              <c:f>'Year 8 numeracy'!$A$103</c:f>
              <c:strCache>
                <c:ptCount val="1"/>
                <c:pt idx="0">
                  <c:v>is working above the expected level</c:v>
                </c:pt>
              </c:strCache>
            </c:strRef>
          </c:tx>
          <c:invertIfNegative val="0"/>
          <c:cat>
            <c:strRef>
              <c:f>'Year 8 numeracy'!$B$98:$C$98</c:f>
              <c:strCache>
                <c:ptCount val="2"/>
                <c:pt idx="0">
                  <c:v>Male</c:v>
                </c:pt>
                <c:pt idx="1">
                  <c:v>Female</c:v>
                </c:pt>
              </c:strCache>
            </c:strRef>
          </c:cat>
          <c:val>
            <c:numRef>
              <c:f>'Year 8 numeracy'!$B$103:$C$103</c:f>
              <c:numCache>
                <c:formatCode>0%</c:formatCode>
                <c:ptCount val="2"/>
                <c:pt idx="0">
                  <c:v>0.05</c:v>
                </c:pt>
                <c:pt idx="1">
                  <c:v>0.11</c:v>
                </c:pt>
              </c:numCache>
            </c:numRef>
          </c:val>
        </c:ser>
        <c:dLbls>
          <c:showLegendKey val="0"/>
          <c:showVal val="0"/>
          <c:showCatName val="0"/>
          <c:showSerName val="0"/>
          <c:showPercent val="0"/>
          <c:showBubbleSize val="0"/>
        </c:dLbls>
        <c:gapWidth val="150"/>
        <c:overlap val="100"/>
        <c:axId val="367678592"/>
        <c:axId val="367680128"/>
      </c:barChart>
      <c:catAx>
        <c:axId val="367678592"/>
        <c:scaling>
          <c:orientation val="minMax"/>
        </c:scaling>
        <c:delete val="0"/>
        <c:axPos val="b"/>
        <c:numFmt formatCode="General" sourceLinked="0"/>
        <c:majorTickMark val="out"/>
        <c:minorTickMark val="none"/>
        <c:tickLblPos val="nextTo"/>
        <c:crossAx val="367680128"/>
        <c:crosses val="autoZero"/>
        <c:auto val="1"/>
        <c:lblAlgn val="ctr"/>
        <c:lblOffset val="100"/>
        <c:noMultiLvlLbl val="0"/>
      </c:catAx>
      <c:valAx>
        <c:axId val="367680128"/>
        <c:scaling>
          <c:orientation val="minMax"/>
        </c:scaling>
        <c:delete val="0"/>
        <c:axPos val="l"/>
        <c:majorGridlines/>
        <c:title>
          <c:tx>
            <c:rich>
              <a:bodyPr rot="-5400000" vert="horz"/>
              <a:lstStyle/>
              <a:p>
                <a:pPr>
                  <a:defRPr/>
                </a:pPr>
                <a:r>
                  <a:rPr lang="en-US"/>
                  <a:t>Percentage of Students</a:t>
                </a:r>
              </a:p>
            </c:rich>
          </c:tx>
          <c:overlay val="0"/>
        </c:title>
        <c:numFmt formatCode="0%" sourceLinked="1"/>
        <c:majorTickMark val="out"/>
        <c:minorTickMark val="none"/>
        <c:tickLblPos val="nextTo"/>
        <c:crossAx val="367678592"/>
        <c:crosses val="autoZero"/>
        <c:crossBetween val="between"/>
      </c:valAx>
    </c:plotArea>
    <c:legend>
      <c:legendPos val="r"/>
      <c:layout>
        <c:manualLayout>
          <c:xMode val="edge"/>
          <c:yMode val="edge"/>
          <c:x val="0.68149300087489095"/>
          <c:y val="0.102795102154081"/>
          <c:w val="0.29628477690288701"/>
          <c:h val="0.77091493519257204"/>
        </c:manualLayout>
      </c:layout>
      <c:overlay val="0"/>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'Year 4 English'!$A$115</c:f>
              <c:strCache>
                <c:ptCount val="1"/>
                <c:pt idx="0">
                  <c:v>no evidence of achievement</c:v>
                </c:pt>
              </c:strCache>
            </c:strRef>
          </c:tx>
          <c:invertIfNegative val="0"/>
          <c:cat>
            <c:strRef>
              <c:f>'Year 4 English'!$B$114:$C$114</c:f>
              <c:strCache>
                <c:ptCount val="2"/>
                <c:pt idx="0">
                  <c:v>Male</c:v>
                </c:pt>
                <c:pt idx="1">
                  <c:v>Female</c:v>
                </c:pt>
              </c:strCache>
            </c:strRef>
          </c:cat>
          <c:val>
            <c:numRef>
              <c:f>'Year 4 English'!$B$115:$C$115</c:f>
              <c:numCache>
                <c:formatCode>0%</c:formatCode>
                <c:ptCount val="2"/>
                <c:pt idx="0">
                  <c:v>0.02</c:v>
                </c:pt>
                <c:pt idx="1">
                  <c:v>0</c:v>
                </c:pt>
              </c:numCache>
            </c:numRef>
          </c:val>
        </c:ser>
        <c:ser>
          <c:idx val="1"/>
          <c:order val="1"/>
          <c:tx>
            <c:strRef>
              <c:f>'Year 4 English'!$A$116</c:f>
              <c:strCache>
                <c:ptCount val="1"/>
                <c:pt idx="0">
                  <c:v>critically below the expected level</c:v>
                </c:pt>
              </c:strCache>
            </c:strRef>
          </c:tx>
          <c:invertIfNegative val="0"/>
          <c:cat>
            <c:strRef>
              <c:f>'Year 4 English'!$B$114:$C$114</c:f>
              <c:strCache>
                <c:ptCount val="2"/>
                <c:pt idx="0">
                  <c:v>Male</c:v>
                </c:pt>
                <c:pt idx="1">
                  <c:v>Female</c:v>
                </c:pt>
              </c:strCache>
            </c:strRef>
          </c:cat>
          <c:val>
            <c:numRef>
              <c:f>'Year 4 English'!$B$116:$C$116</c:f>
              <c:numCache>
                <c:formatCode>0%</c:formatCode>
                <c:ptCount val="2"/>
                <c:pt idx="0">
                  <c:v>0.38</c:v>
                </c:pt>
                <c:pt idx="1">
                  <c:v>0.2</c:v>
                </c:pt>
              </c:numCache>
            </c:numRef>
          </c:val>
        </c:ser>
        <c:ser>
          <c:idx val="2"/>
          <c:order val="2"/>
          <c:tx>
            <c:strRef>
              <c:f>'Year 4 English'!$A$117</c:f>
              <c:strCache>
                <c:ptCount val="1"/>
                <c:pt idx="0">
                  <c:v>working towards the expected level</c:v>
                </c:pt>
              </c:strCache>
            </c:strRef>
          </c:tx>
          <c:invertIfNegative val="0"/>
          <c:cat>
            <c:strRef>
              <c:f>'Year 4 English'!$B$114:$C$114</c:f>
              <c:strCache>
                <c:ptCount val="2"/>
                <c:pt idx="0">
                  <c:v>Male</c:v>
                </c:pt>
                <c:pt idx="1">
                  <c:v>Female</c:v>
                </c:pt>
              </c:strCache>
            </c:strRef>
          </c:cat>
          <c:val>
            <c:numRef>
              <c:f>'Year 4 English'!$B$117:$C$117</c:f>
              <c:numCache>
                <c:formatCode>0%</c:formatCode>
                <c:ptCount val="2"/>
                <c:pt idx="0">
                  <c:v>0.4</c:v>
                </c:pt>
                <c:pt idx="1">
                  <c:v>0.45</c:v>
                </c:pt>
              </c:numCache>
            </c:numRef>
          </c:val>
        </c:ser>
        <c:ser>
          <c:idx val="3"/>
          <c:order val="3"/>
          <c:tx>
            <c:strRef>
              <c:f>'Year 4 English'!$A$118</c:f>
              <c:strCache>
                <c:ptCount val="1"/>
                <c:pt idx="0">
                  <c:v>is working at the expected level</c:v>
                </c:pt>
              </c:strCache>
            </c:strRef>
          </c:tx>
          <c:invertIfNegative val="0"/>
          <c:cat>
            <c:strRef>
              <c:f>'Year 4 English'!$B$114:$C$114</c:f>
              <c:strCache>
                <c:ptCount val="2"/>
                <c:pt idx="0">
                  <c:v>Male</c:v>
                </c:pt>
                <c:pt idx="1">
                  <c:v>Female</c:v>
                </c:pt>
              </c:strCache>
            </c:strRef>
          </c:cat>
          <c:val>
            <c:numRef>
              <c:f>'Year 4 English'!$B$118:$C$118</c:f>
              <c:numCache>
                <c:formatCode>0%</c:formatCode>
                <c:ptCount val="2"/>
                <c:pt idx="0">
                  <c:v>0.16</c:v>
                </c:pt>
                <c:pt idx="1">
                  <c:v>0.27</c:v>
                </c:pt>
              </c:numCache>
            </c:numRef>
          </c:val>
        </c:ser>
        <c:ser>
          <c:idx val="4"/>
          <c:order val="4"/>
          <c:tx>
            <c:strRef>
              <c:f>'Year 4 English'!$A$119</c:f>
              <c:strCache>
                <c:ptCount val="1"/>
                <c:pt idx="0">
                  <c:v>is working above the expected level</c:v>
                </c:pt>
              </c:strCache>
            </c:strRef>
          </c:tx>
          <c:invertIfNegative val="0"/>
          <c:cat>
            <c:strRef>
              <c:f>'Year 4 English'!$B$114:$C$114</c:f>
              <c:strCache>
                <c:ptCount val="2"/>
                <c:pt idx="0">
                  <c:v>Male</c:v>
                </c:pt>
                <c:pt idx="1">
                  <c:v>Female</c:v>
                </c:pt>
              </c:strCache>
            </c:strRef>
          </c:cat>
          <c:val>
            <c:numRef>
              <c:f>'Year 4 English'!$B$119:$C$119</c:f>
              <c:numCache>
                <c:formatCode>0%</c:formatCode>
                <c:ptCount val="2"/>
                <c:pt idx="0">
                  <c:v>0.04</c:v>
                </c:pt>
                <c:pt idx="1">
                  <c:v>0.09</c:v>
                </c:pt>
              </c:numCache>
            </c:numRef>
          </c:val>
        </c:ser>
        <c:dLbls>
          <c:showLegendKey val="0"/>
          <c:showVal val="0"/>
          <c:showCatName val="0"/>
          <c:showSerName val="0"/>
          <c:showPercent val="0"/>
          <c:showBubbleSize val="0"/>
        </c:dLbls>
        <c:gapWidth val="150"/>
        <c:overlap val="100"/>
        <c:axId val="341904000"/>
        <c:axId val="341905792"/>
      </c:barChart>
      <c:catAx>
        <c:axId val="341904000"/>
        <c:scaling>
          <c:orientation val="minMax"/>
        </c:scaling>
        <c:delete val="0"/>
        <c:axPos val="b"/>
        <c:numFmt formatCode="General" sourceLinked="0"/>
        <c:majorTickMark val="out"/>
        <c:minorTickMark val="none"/>
        <c:tickLblPos val="nextTo"/>
        <c:crossAx val="341905792"/>
        <c:crosses val="autoZero"/>
        <c:auto val="1"/>
        <c:lblAlgn val="ctr"/>
        <c:lblOffset val="100"/>
        <c:noMultiLvlLbl val="0"/>
      </c:catAx>
      <c:valAx>
        <c:axId val="341905792"/>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3.6269430051813503E-2"/>
              <c:y val="0.183356995760145"/>
            </c:manualLayout>
          </c:layout>
          <c:overlay val="0"/>
        </c:title>
        <c:numFmt formatCode="0%" sourceLinked="1"/>
        <c:majorTickMark val="out"/>
        <c:minorTickMark val="none"/>
        <c:tickLblPos val="nextTo"/>
        <c:txPr>
          <a:bodyPr/>
          <a:lstStyle/>
          <a:p>
            <a:pPr>
              <a:defRPr sz="700"/>
            </a:pPr>
            <a:endParaRPr lang="en-US"/>
          </a:p>
        </c:txPr>
        <c:crossAx val="341904000"/>
        <c:crosses val="autoZero"/>
        <c:crossBetween val="between"/>
      </c:valAx>
    </c:plotArea>
    <c:legend>
      <c:legendPos val="r"/>
      <c:layout>
        <c:manualLayout>
          <c:xMode val="edge"/>
          <c:yMode val="edge"/>
          <c:x val="0.60284116876083405"/>
          <c:y val="0.126242430963735"/>
          <c:w val="0.37788188775047998"/>
          <c:h val="0.595402018409671"/>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2474371924529499"/>
          <c:y val="6.0185185185185203E-2"/>
          <c:w val="0.46876283078638298"/>
          <c:h val="0.84061752697579495"/>
        </c:manualLayout>
      </c:layout>
      <c:barChart>
        <c:barDir val="col"/>
        <c:grouping val="percentStacked"/>
        <c:varyColors val="0"/>
        <c:ser>
          <c:idx val="0"/>
          <c:order val="0"/>
          <c:tx>
            <c:strRef>
              <c:f>'Year 6 English'!$A$2</c:f>
              <c:strCache>
                <c:ptCount val="1"/>
                <c:pt idx="0">
                  <c:v>no evidence of achievement</c:v>
                </c:pt>
              </c:strCache>
            </c:strRef>
          </c:tx>
          <c:invertIfNegative val="0"/>
          <c:cat>
            <c:numRef>
              <c:f>'Year 6 English'!$B$1:$D$1</c:f>
              <c:numCache>
                <c:formatCode>General</c:formatCode>
                <c:ptCount val="3"/>
                <c:pt idx="0">
                  <c:v>2015</c:v>
                </c:pt>
                <c:pt idx="1">
                  <c:v>2013</c:v>
                </c:pt>
                <c:pt idx="2">
                  <c:v>2011</c:v>
                </c:pt>
              </c:numCache>
            </c:numRef>
          </c:cat>
          <c:val>
            <c:numRef>
              <c:f>'Year 6 English'!$B$2:$D$2</c:f>
              <c:numCache>
                <c:formatCode>0%</c:formatCode>
                <c:ptCount val="3"/>
                <c:pt idx="0">
                  <c:v>0</c:v>
                </c:pt>
                <c:pt idx="1">
                  <c:v>0.04</c:v>
                </c:pt>
                <c:pt idx="2">
                  <c:v>0.25</c:v>
                </c:pt>
              </c:numCache>
            </c:numRef>
          </c:val>
        </c:ser>
        <c:ser>
          <c:idx val="1"/>
          <c:order val="1"/>
          <c:tx>
            <c:strRef>
              <c:f>'Year 6 English'!$A$3</c:f>
              <c:strCache>
                <c:ptCount val="1"/>
                <c:pt idx="0">
                  <c:v>critically below the expected level</c:v>
                </c:pt>
              </c:strCache>
            </c:strRef>
          </c:tx>
          <c:invertIfNegative val="0"/>
          <c:cat>
            <c:numRef>
              <c:f>'Year 6 English'!$B$1:$D$1</c:f>
              <c:numCache>
                <c:formatCode>General</c:formatCode>
                <c:ptCount val="3"/>
                <c:pt idx="0">
                  <c:v>2015</c:v>
                </c:pt>
                <c:pt idx="1">
                  <c:v>2013</c:v>
                </c:pt>
                <c:pt idx="2">
                  <c:v>2011</c:v>
                </c:pt>
              </c:numCache>
            </c:numRef>
          </c:cat>
          <c:val>
            <c:numRef>
              <c:f>'Year 6 English'!$B$3:$D$3</c:f>
              <c:numCache>
                <c:formatCode>0%</c:formatCode>
                <c:ptCount val="3"/>
                <c:pt idx="0">
                  <c:v>0.19</c:v>
                </c:pt>
                <c:pt idx="1">
                  <c:v>0.5</c:v>
                </c:pt>
                <c:pt idx="2">
                  <c:v>0.26</c:v>
                </c:pt>
              </c:numCache>
            </c:numRef>
          </c:val>
        </c:ser>
        <c:ser>
          <c:idx val="2"/>
          <c:order val="2"/>
          <c:tx>
            <c:strRef>
              <c:f>'Year 6 English'!$A$4</c:f>
              <c:strCache>
                <c:ptCount val="1"/>
                <c:pt idx="0">
                  <c:v>working towards the expected level</c:v>
                </c:pt>
              </c:strCache>
            </c:strRef>
          </c:tx>
          <c:invertIfNegative val="0"/>
          <c:cat>
            <c:numRef>
              <c:f>'Year 6 English'!$B$1:$D$1</c:f>
              <c:numCache>
                <c:formatCode>General</c:formatCode>
                <c:ptCount val="3"/>
                <c:pt idx="0">
                  <c:v>2015</c:v>
                </c:pt>
                <c:pt idx="1">
                  <c:v>2013</c:v>
                </c:pt>
                <c:pt idx="2">
                  <c:v>2011</c:v>
                </c:pt>
              </c:numCache>
            </c:numRef>
          </c:cat>
          <c:val>
            <c:numRef>
              <c:f>'Year 6 English'!$B$4:$D$4</c:f>
              <c:numCache>
                <c:formatCode>0%</c:formatCode>
                <c:ptCount val="3"/>
                <c:pt idx="0">
                  <c:v>0.43</c:v>
                </c:pt>
                <c:pt idx="1">
                  <c:v>0.25</c:v>
                </c:pt>
                <c:pt idx="2">
                  <c:v>0.26</c:v>
                </c:pt>
              </c:numCache>
            </c:numRef>
          </c:val>
        </c:ser>
        <c:ser>
          <c:idx val="3"/>
          <c:order val="3"/>
          <c:tx>
            <c:strRef>
              <c:f>'Year 6 English'!$A$5</c:f>
              <c:strCache>
                <c:ptCount val="1"/>
                <c:pt idx="0">
                  <c:v>is working at the expected level</c:v>
                </c:pt>
              </c:strCache>
            </c:strRef>
          </c:tx>
          <c:invertIfNegative val="0"/>
          <c:cat>
            <c:numRef>
              <c:f>'Year 6 English'!$B$1:$D$1</c:f>
              <c:numCache>
                <c:formatCode>General</c:formatCode>
                <c:ptCount val="3"/>
                <c:pt idx="0">
                  <c:v>2015</c:v>
                </c:pt>
                <c:pt idx="1">
                  <c:v>2013</c:v>
                </c:pt>
                <c:pt idx="2">
                  <c:v>2011</c:v>
                </c:pt>
              </c:numCache>
            </c:numRef>
          </c:cat>
          <c:val>
            <c:numRef>
              <c:f>'Year 6 English'!$B$5:$D$5</c:f>
              <c:numCache>
                <c:formatCode>0%</c:formatCode>
                <c:ptCount val="3"/>
                <c:pt idx="0">
                  <c:v>0.31</c:v>
                </c:pt>
                <c:pt idx="1">
                  <c:v>0.15</c:v>
                </c:pt>
                <c:pt idx="2">
                  <c:v>0.13</c:v>
                </c:pt>
              </c:numCache>
            </c:numRef>
          </c:val>
        </c:ser>
        <c:ser>
          <c:idx val="4"/>
          <c:order val="4"/>
          <c:tx>
            <c:strRef>
              <c:f>'Year 6 English'!$A$6</c:f>
              <c:strCache>
                <c:ptCount val="1"/>
                <c:pt idx="0">
                  <c:v>is working above the expected level</c:v>
                </c:pt>
              </c:strCache>
            </c:strRef>
          </c:tx>
          <c:invertIfNegative val="0"/>
          <c:cat>
            <c:numRef>
              <c:f>'Year 6 English'!$B$1:$D$1</c:f>
              <c:numCache>
                <c:formatCode>General</c:formatCode>
                <c:ptCount val="3"/>
                <c:pt idx="0">
                  <c:v>2015</c:v>
                </c:pt>
                <c:pt idx="1">
                  <c:v>2013</c:v>
                </c:pt>
                <c:pt idx="2">
                  <c:v>2011</c:v>
                </c:pt>
              </c:numCache>
            </c:numRef>
          </c:cat>
          <c:val>
            <c:numRef>
              <c:f>'Year 6 English'!$B$6:$D$6</c:f>
              <c:numCache>
                <c:formatCode>0%</c:formatCode>
                <c:ptCount val="3"/>
                <c:pt idx="0">
                  <c:v>0.06</c:v>
                </c:pt>
                <c:pt idx="1">
                  <c:v>0.06</c:v>
                </c:pt>
                <c:pt idx="2">
                  <c:v>0.1</c:v>
                </c:pt>
              </c:numCache>
            </c:numRef>
          </c:val>
        </c:ser>
        <c:dLbls>
          <c:showLegendKey val="0"/>
          <c:showVal val="0"/>
          <c:showCatName val="0"/>
          <c:showSerName val="0"/>
          <c:showPercent val="0"/>
          <c:showBubbleSize val="0"/>
        </c:dLbls>
        <c:gapWidth val="150"/>
        <c:overlap val="100"/>
        <c:axId val="345768320"/>
        <c:axId val="345769856"/>
      </c:barChart>
      <c:catAx>
        <c:axId val="345768320"/>
        <c:scaling>
          <c:orientation val="minMax"/>
        </c:scaling>
        <c:delete val="0"/>
        <c:axPos val="b"/>
        <c:numFmt formatCode="General" sourceLinked="1"/>
        <c:majorTickMark val="out"/>
        <c:minorTickMark val="none"/>
        <c:tickLblPos val="nextTo"/>
        <c:crossAx val="345769856"/>
        <c:crosses val="autoZero"/>
        <c:auto val="1"/>
        <c:lblAlgn val="ctr"/>
        <c:lblOffset val="100"/>
        <c:noMultiLvlLbl val="0"/>
      </c:catAx>
      <c:valAx>
        <c:axId val="345769856"/>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2.5000000000000001E-2"/>
              <c:y val="0.26085885097696099"/>
            </c:manualLayout>
          </c:layout>
          <c:overlay val="0"/>
        </c:title>
        <c:numFmt formatCode="0%" sourceLinked="1"/>
        <c:majorTickMark val="out"/>
        <c:minorTickMark val="none"/>
        <c:tickLblPos val="nextTo"/>
        <c:txPr>
          <a:bodyPr/>
          <a:lstStyle/>
          <a:p>
            <a:pPr>
              <a:defRPr sz="700"/>
            </a:pPr>
            <a:endParaRPr lang="en-US"/>
          </a:p>
        </c:txPr>
        <c:crossAx val="345768320"/>
        <c:crosses val="autoZero"/>
        <c:crossBetween val="between"/>
      </c:valAx>
    </c:plotArea>
    <c:legend>
      <c:legendPos val="r"/>
      <c:layout>
        <c:manualLayout>
          <c:xMode val="edge"/>
          <c:yMode val="edge"/>
          <c:x val="0.70805858253422904"/>
          <c:y val="5.4500218722659602E-2"/>
          <c:w val="0.26971907612977902"/>
          <c:h val="0.74285141440653202"/>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800"/>
            </a:pPr>
            <a:r>
              <a:rPr lang="en-US" sz="800"/>
              <a:t>Reading                  Language elements                 Writing</a:t>
            </a:r>
          </a:p>
        </c:rich>
      </c:tx>
      <c:layout>
        <c:manualLayout>
          <c:xMode val="edge"/>
          <c:yMode val="edge"/>
          <c:x val="0.133643297599848"/>
          <c:y val="4.85584218512898E-2"/>
        </c:manualLayout>
      </c:layout>
      <c:overlay val="0"/>
    </c:title>
    <c:autoTitleDeleted val="0"/>
    <c:plotArea>
      <c:layout>
        <c:manualLayout>
          <c:layoutTarget val="inner"/>
          <c:xMode val="edge"/>
          <c:yMode val="edge"/>
          <c:x val="0.10684754767099899"/>
          <c:y val="0.145675265553869"/>
          <c:w val="0.58873484489137595"/>
          <c:h val="0.72426941321257399"/>
        </c:manualLayout>
      </c:layout>
      <c:barChart>
        <c:barDir val="col"/>
        <c:grouping val="percentStacked"/>
        <c:varyColors val="0"/>
        <c:ser>
          <c:idx val="0"/>
          <c:order val="0"/>
          <c:tx>
            <c:strRef>
              <c:f>'Year 6 English'!$A$66</c:f>
              <c:strCache>
                <c:ptCount val="1"/>
                <c:pt idx="0">
                  <c:v>no evidence of achievement</c:v>
                </c:pt>
              </c:strCache>
            </c:strRef>
          </c:tx>
          <c:invertIfNegative val="0"/>
          <c:cat>
            <c:numRef>
              <c:f>'Year 6 English'!$B$65:$I$65</c:f>
              <c:numCache>
                <c:formatCode>General</c:formatCode>
                <c:ptCount val="8"/>
                <c:pt idx="0">
                  <c:v>2013</c:v>
                </c:pt>
                <c:pt idx="1">
                  <c:v>2015</c:v>
                </c:pt>
                <c:pt idx="3">
                  <c:v>2013</c:v>
                </c:pt>
                <c:pt idx="4">
                  <c:v>2015</c:v>
                </c:pt>
                <c:pt idx="6">
                  <c:v>2013</c:v>
                </c:pt>
                <c:pt idx="7">
                  <c:v>2015</c:v>
                </c:pt>
              </c:numCache>
            </c:numRef>
          </c:cat>
          <c:val>
            <c:numRef>
              <c:f>'Year 6 English'!$B$66:$I$66</c:f>
              <c:numCache>
                <c:formatCode>0%</c:formatCode>
                <c:ptCount val="8"/>
                <c:pt idx="0">
                  <c:v>0.43</c:v>
                </c:pt>
                <c:pt idx="1">
                  <c:v>0.02</c:v>
                </c:pt>
                <c:pt idx="3" formatCode="General">
                  <c:v>35</c:v>
                </c:pt>
                <c:pt idx="4">
                  <c:v>0.06</c:v>
                </c:pt>
                <c:pt idx="6">
                  <c:v>0.19</c:v>
                </c:pt>
                <c:pt idx="7">
                  <c:v>0.03</c:v>
                </c:pt>
              </c:numCache>
            </c:numRef>
          </c:val>
        </c:ser>
        <c:ser>
          <c:idx val="1"/>
          <c:order val="1"/>
          <c:tx>
            <c:strRef>
              <c:f>'Year 6 English'!$A$67</c:f>
              <c:strCache>
                <c:ptCount val="1"/>
                <c:pt idx="0">
                  <c:v>critically below the expected level</c:v>
                </c:pt>
              </c:strCache>
            </c:strRef>
          </c:tx>
          <c:invertIfNegative val="0"/>
          <c:cat>
            <c:numRef>
              <c:f>'Year 6 English'!$B$65:$I$65</c:f>
              <c:numCache>
                <c:formatCode>General</c:formatCode>
                <c:ptCount val="8"/>
                <c:pt idx="0">
                  <c:v>2013</c:v>
                </c:pt>
                <c:pt idx="1">
                  <c:v>2015</c:v>
                </c:pt>
                <c:pt idx="3">
                  <c:v>2013</c:v>
                </c:pt>
                <c:pt idx="4">
                  <c:v>2015</c:v>
                </c:pt>
                <c:pt idx="6">
                  <c:v>2013</c:v>
                </c:pt>
                <c:pt idx="7">
                  <c:v>2015</c:v>
                </c:pt>
              </c:numCache>
            </c:numRef>
          </c:cat>
          <c:val>
            <c:numRef>
              <c:f>'Year 6 English'!$B$67:$I$67</c:f>
              <c:numCache>
                <c:formatCode>0%</c:formatCode>
                <c:ptCount val="8"/>
                <c:pt idx="0">
                  <c:v>0.25</c:v>
                </c:pt>
                <c:pt idx="1">
                  <c:v>0.15</c:v>
                </c:pt>
                <c:pt idx="3" formatCode="General">
                  <c:v>12</c:v>
                </c:pt>
                <c:pt idx="4">
                  <c:v>0.31</c:v>
                </c:pt>
                <c:pt idx="6">
                  <c:v>0.15</c:v>
                </c:pt>
                <c:pt idx="7">
                  <c:v>0.09</c:v>
                </c:pt>
              </c:numCache>
            </c:numRef>
          </c:val>
        </c:ser>
        <c:ser>
          <c:idx val="2"/>
          <c:order val="2"/>
          <c:tx>
            <c:strRef>
              <c:f>'Year 6 English'!$A$68</c:f>
              <c:strCache>
                <c:ptCount val="1"/>
                <c:pt idx="0">
                  <c:v>working towards the expected level</c:v>
                </c:pt>
              </c:strCache>
            </c:strRef>
          </c:tx>
          <c:invertIfNegative val="0"/>
          <c:cat>
            <c:numRef>
              <c:f>'Year 6 English'!$B$65:$I$65</c:f>
              <c:numCache>
                <c:formatCode>General</c:formatCode>
                <c:ptCount val="8"/>
                <c:pt idx="0">
                  <c:v>2013</c:v>
                </c:pt>
                <c:pt idx="1">
                  <c:v>2015</c:v>
                </c:pt>
                <c:pt idx="3">
                  <c:v>2013</c:v>
                </c:pt>
                <c:pt idx="4">
                  <c:v>2015</c:v>
                </c:pt>
                <c:pt idx="6">
                  <c:v>2013</c:v>
                </c:pt>
                <c:pt idx="7">
                  <c:v>2015</c:v>
                </c:pt>
              </c:numCache>
            </c:numRef>
          </c:cat>
          <c:val>
            <c:numRef>
              <c:f>'Year 6 English'!$B$68:$I$68</c:f>
              <c:numCache>
                <c:formatCode>0%</c:formatCode>
                <c:ptCount val="8"/>
                <c:pt idx="0">
                  <c:v>0.18</c:v>
                </c:pt>
                <c:pt idx="1">
                  <c:v>0.44</c:v>
                </c:pt>
                <c:pt idx="3" formatCode="General">
                  <c:v>14</c:v>
                </c:pt>
                <c:pt idx="4">
                  <c:v>0.37</c:v>
                </c:pt>
                <c:pt idx="6">
                  <c:v>0.33</c:v>
                </c:pt>
                <c:pt idx="7">
                  <c:v>0.23</c:v>
                </c:pt>
              </c:numCache>
            </c:numRef>
          </c:val>
        </c:ser>
        <c:ser>
          <c:idx val="3"/>
          <c:order val="3"/>
          <c:tx>
            <c:strRef>
              <c:f>'Year 6 English'!$A$69</c:f>
              <c:strCache>
                <c:ptCount val="1"/>
                <c:pt idx="0">
                  <c:v>is working at the expected level</c:v>
                </c:pt>
              </c:strCache>
            </c:strRef>
          </c:tx>
          <c:invertIfNegative val="0"/>
          <c:cat>
            <c:numRef>
              <c:f>'Year 6 English'!$B$65:$I$65</c:f>
              <c:numCache>
                <c:formatCode>General</c:formatCode>
                <c:ptCount val="8"/>
                <c:pt idx="0">
                  <c:v>2013</c:v>
                </c:pt>
                <c:pt idx="1">
                  <c:v>2015</c:v>
                </c:pt>
                <c:pt idx="3">
                  <c:v>2013</c:v>
                </c:pt>
                <c:pt idx="4">
                  <c:v>2015</c:v>
                </c:pt>
                <c:pt idx="6">
                  <c:v>2013</c:v>
                </c:pt>
                <c:pt idx="7">
                  <c:v>2015</c:v>
                </c:pt>
              </c:numCache>
            </c:numRef>
          </c:cat>
          <c:val>
            <c:numRef>
              <c:f>'Year 6 English'!$B$69:$I$69</c:f>
              <c:numCache>
                <c:formatCode>0%</c:formatCode>
                <c:ptCount val="8"/>
                <c:pt idx="0">
                  <c:v>0.13</c:v>
                </c:pt>
                <c:pt idx="1">
                  <c:v>0.33</c:v>
                </c:pt>
                <c:pt idx="3" formatCode="General">
                  <c:v>19.5</c:v>
                </c:pt>
                <c:pt idx="4">
                  <c:v>0.22</c:v>
                </c:pt>
                <c:pt idx="6">
                  <c:v>0.24</c:v>
                </c:pt>
                <c:pt idx="7">
                  <c:v>0.31</c:v>
                </c:pt>
              </c:numCache>
            </c:numRef>
          </c:val>
        </c:ser>
        <c:ser>
          <c:idx val="4"/>
          <c:order val="4"/>
          <c:tx>
            <c:strRef>
              <c:f>'Year 6 English'!$A$70</c:f>
              <c:strCache>
                <c:ptCount val="1"/>
                <c:pt idx="0">
                  <c:v>is working above the expected level</c:v>
                </c:pt>
              </c:strCache>
            </c:strRef>
          </c:tx>
          <c:invertIfNegative val="0"/>
          <c:cat>
            <c:numRef>
              <c:f>'Year 6 English'!$B$65:$I$65</c:f>
              <c:numCache>
                <c:formatCode>General</c:formatCode>
                <c:ptCount val="8"/>
                <c:pt idx="0">
                  <c:v>2013</c:v>
                </c:pt>
                <c:pt idx="1">
                  <c:v>2015</c:v>
                </c:pt>
                <c:pt idx="3">
                  <c:v>2013</c:v>
                </c:pt>
                <c:pt idx="4">
                  <c:v>2015</c:v>
                </c:pt>
                <c:pt idx="6">
                  <c:v>2013</c:v>
                </c:pt>
                <c:pt idx="7">
                  <c:v>2015</c:v>
                </c:pt>
              </c:numCache>
            </c:numRef>
          </c:cat>
          <c:val>
            <c:numRef>
              <c:f>'Year 6 English'!$B$70:$I$70</c:f>
              <c:numCache>
                <c:formatCode>0%</c:formatCode>
                <c:ptCount val="8"/>
                <c:pt idx="0">
                  <c:v>0.01</c:v>
                </c:pt>
                <c:pt idx="1">
                  <c:v>0.06</c:v>
                </c:pt>
                <c:pt idx="3" formatCode="General">
                  <c:v>19.5</c:v>
                </c:pt>
                <c:pt idx="4">
                  <c:v>0.05</c:v>
                </c:pt>
                <c:pt idx="6">
                  <c:v>0.1</c:v>
                </c:pt>
                <c:pt idx="7">
                  <c:v>0.34</c:v>
                </c:pt>
              </c:numCache>
            </c:numRef>
          </c:val>
        </c:ser>
        <c:dLbls>
          <c:showLegendKey val="0"/>
          <c:showVal val="0"/>
          <c:showCatName val="0"/>
          <c:showSerName val="0"/>
          <c:showPercent val="0"/>
          <c:showBubbleSize val="0"/>
        </c:dLbls>
        <c:gapWidth val="150"/>
        <c:overlap val="100"/>
        <c:axId val="345811200"/>
        <c:axId val="345812992"/>
      </c:barChart>
      <c:catAx>
        <c:axId val="345811200"/>
        <c:scaling>
          <c:orientation val="minMax"/>
        </c:scaling>
        <c:delete val="0"/>
        <c:axPos val="b"/>
        <c:numFmt formatCode="General" sourceLinked="1"/>
        <c:majorTickMark val="out"/>
        <c:minorTickMark val="none"/>
        <c:tickLblPos val="nextTo"/>
        <c:crossAx val="345812992"/>
        <c:crosses val="autoZero"/>
        <c:auto val="1"/>
        <c:lblAlgn val="ctr"/>
        <c:lblOffset val="100"/>
        <c:noMultiLvlLbl val="0"/>
      </c:catAx>
      <c:valAx>
        <c:axId val="345812992"/>
        <c:scaling>
          <c:orientation val="minMax"/>
        </c:scaling>
        <c:delete val="0"/>
        <c:axPos val="l"/>
        <c:majorGridlines/>
        <c:title>
          <c:tx>
            <c:rich>
              <a:bodyPr rot="-5400000" vert="horz"/>
              <a:lstStyle/>
              <a:p>
                <a:pPr>
                  <a:defRPr/>
                </a:pPr>
                <a:r>
                  <a:rPr lang="en-US"/>
                  <a:t>Percentage</a:t>
                </a:r>
                <a:r>
                  <a:rPr lang="en-US" baseline="0"/>
                  <a:t> of students</a:t>
                </a:r>
                <a:endParaRPr lang="en-US"/>
              </a:p>
            </c:rich>
          </c:tx>
          <c:overlay val="0"/>
        </c:title>
        <c:numFmt formatCode="0%" sourceLinked="1"/>
        <c:majorTickMark val="out"/>
        <c:minorTickMark val="none"/>
        <c:tickLblPos val="nextTo"/>
        <c:txPr>
          <a:bodyPr/>
          <a:lstStyle/>
          <a:p>
            <a:pPr>
              <a:defRPr sz="700"/>
            </a:pPr>
            <a:endParaRPr lang="en-US"/>
          </a:p>
        </c:txPr>
        <c:crossAx val="345811200"/>
        <c:crosses val="autoZero"/>
        <c:crossBetween val="between"/>
      </c:valAx>
    </c:plotArea>
    <c:legend>
      <c:legendPos val="r"/>
      <c:layout>
        <c:manualLayout>
          <c:xMode val="edge"/>
          <c:yMode val="edge"/>
          <c:x val="0.71485950099610995"/>
          <c:y val="8.65616001338224E-2"/>
          <c:w val="0.26586339057015501"/>
          <c:h val="0.76617877241824295"/>
        </c:manualLayout>
      </c:layout>
      <c:overlay val="0"/>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5105502397170465"/>
          <c:y val="9.8436595251881878E-2"/>
          <c:w val="0.36659551011813102"/>
          <c:h val="0.70229427025154001"/>
        </c:manualLayout>
      </c:layout>
      <c:barChart>
        <c:barDir val="col"/>
        <c:grouping val="percentStacked"/>
        <c:varyColors val="0"/>
        <c:ser>
          <c:idx val="0"/>
          <c:order val="0"/>
          <c:tx>
            <c:strRef>
              <c:f>'Year 6 English'!$A$109</c:f>
              <c:strCache>
                <c:ptCount val="1"/>
                <c:pt idx="0">
                  <c:v>no evidence of achievement</c:v>
                </c:pt>
              </c:strCache>
            </c:strRef>
          </c:tx>
          <c:invertIfNegative val="0"/>
          <c:cat>
            <c:strRef>
              <c:f>'Year 6 English'!$B$108:$C$108</c:f>
              <c:strCache>
                <c:ptCount val="2"/>
                <c:pt idx="0">
                  <c:v>Male</c:v>
                </c:pt>
                <c:pt idx="1">
                  <c:v>Female</c:v>
                </c:pt>
              </c:strCache>
            </c:strRef>
          </c:cat>
          <c:val>
            <c:numRef>
              <c:f>'Year 6 English'!$B$109:$C$109</c:f>
              <c:numCache>
                <c:formatCode>0%</c:formatCode>
                <c:ptCount val="2"/>
                <c:pt idx="0">
                  <c:v>0.01</c:v>
                </c:pt>
                <c:pt idx="1">
                  <c:v>0</c:v>
                </c:pt>
              </c:numCache>
            </c:numRef>
          </c:val>
        </c:ser>
        <c:ser>
          <c:idx val="1"/>
          <c:order val="1"/>
          <c:tx>
            <c:strRef>
              <c:f>'Year 6 English'!$A$110</c:f>
              <c:strCache>
                <c:ptCount val="1"/>
                <c:pt idx="0">
                  <c:v>critically below the expected level</c:v>
                </c:pt>
              </c:strCache>
            </c:strRef>
          </c:tx>
          <c:invertIfNegative val="0"/>
          <c:cat>
            <c:strRef>
              <c:f>'Year 6 English'!$B$108:$C$108</c:f>
              <c:strCache>
                <c:ptCount val="2"/>
                <c:pt idx="0">
                  <c:v>Male</c:v>
                </c:pt>
                <c:pt idx="1">
                  <c:v>Female</c:v>
                </c:pt>
              </c:strCache>
            </c:strRef>
          </c:cat>
          <c:val>
            <c:numRef>
              <c:f>'Year 6 English'!$B$110:$C$110</c:f>
              <c:numCache>
                <c:formatCode>0%</c:formatCode>
                <c:ptCount val="2"/>
                <c:pt idx="0">
                  <c:v>0.28000000000000003</c:v>
                </c:pt>
                <c:pt idx="1">
                  <c:v>0.13</c:v>
                </c:pt>
              </c:numCache>
            </c:numRef>
          </c:val>
        </c:ser>
        <c:ser>
          <c:idx val="2"/>
          <c:order val="2"/>
          <c:tx>
            <c:strRef>
              <c:f>'Year 6 English'!$A$111</c:f>
              <c:strCache>
                <c:ptCount val="1"/>
                <c:pt idx="0">
                  <c:v>working towards the expected level</c:v>
                </c:pt>
              </c:strCache>
            </c:strRef>
          </c:tx>
          <c:invertIfNegative val="0"/>
          <c:cat>
            <c:strRef>
              <c:f>'Year 6 English'!$B$108:$C$108</c:f>
              <c:strCache>
                <c:ptCount val="2"/>
                <c:pt idx="0">
                  <c:v>Male</c:v>
                </c:pt>
                <c:pt idx="1">
                  <c:v>Female</c:v>
                </c:pt>
              </c:strCache>
            </c:strRef>
          </c:cat>
          <c:val>
            <c:numRef>
              <c:f>'Year 6 English'!$B$111:$C$111</c:f>
              <c:numCache>
                <c:formatCode>0%</c:formatCode>
                <c:ptCount val="2"/>
                <c:pt idx="0">
                  <c:v>0.44</c:v>
                </c:pt>
                <c:pt idx="1">
                  <c:v>0.41</c:v>
                </c:pt>
              </c:numCache>
            </c:numRef>
          </c:val>
        </c:ser>
        <c:ser>
          <c:idx val="3"/>
          <c:order val="3"/>
          <c:tx>
            <c:strRef>
              <c:f>'Year 6 English'!$A$112</c:f>
              <c:strCache>
                <c:ptCount val="1"/>
                <c:pt idx="0">
                  <c:v>is working at the expected level</c:v>
                </c:pt>
              </c:strCache>
            </c:strRef>
          </c:tx>
          <c:invertIfNegative val="0"/>
          <c:cat>
            <c:strRef>
              <c:f>'Year 6 English'!$B$108:$C$108</c:f>
              <c:strCache>
                <c:ptCount val="2"/>
                <c:pt idx="0">
                  <c:v>Male</c:v>
                </c:pt>
                <c:pt idx="1">
                  <c:v>Female</c:v>
                </c:pt>
              </c:strCache>
            </c:strRef>
          </c:cat>
          <c:val>
            <c:numRef>
              <c:f>'Year 6 English'!$B$112:$C$112</c:f>
              <c:numCache>
                <c:formatCode>0%</c:formatCode>
                <c:ptCount val="2"/>
                <c:pt idx="0">
                  <c:v>0.24</c:v>
                </c:pt>
                <c:pt idx="1">
                  <c:v>0.37</c:v>
                </c:pt>
              </c:numCache>
            </c:numRef>
          </c:val>
        </c:ser>
        <c:ser>
          <c:idx val="4"/>
          <c:order val="4"/>
          <c:tx>
            <c:strRef>
              <c:f>'Year 6 English'!$A$113</c:f>
              <c:strCache>
                <c:ptCount val="1"/>
                <c:pt idx="0">
                  <c:v>is working above the expected level</c:v>
                </c:pt>
              </c:strCache>
            </c:strRef>
          </c:tx>
          <c:invertIfNegative val="0"/>
          <c:cat>
            <c:strRef>
              <c:f>'Year 6 English'!$B$108:$C$108</c:f>
              <c:strCache>
                <c:ptCount val="2"/>
                <c:pt idx="0">
                  <c:v>Male</c:v>
                </c:pt>
                <c:pt idx="1">
                  <c:v>Female</c:v>
                </c:pt>
              </c:strCache>
            </c:strRef>
          </c:cat>
          <c:val>
            <c:numRef>
              <c:f>'Year 6 English'!$B$113:$C$113</c:f>
              <c:numCache>
                <c:formatCode>0%</c:formatCode>
                <c:ptCount val="2"/>
                <c:pt idx="0">
                  <c:v>0.04</c:v>
                </c:pt>
                <c:pt idx="1">
                  <c:v>0.08</c:v>
                </c:pt>
              </c:numCache>
            </c:numRef>
          </c:val>
        </c:ser>
        <c:dLbls>
          <c:showLegendKey val="0"/>
          <c:showVal val="0"/>
          <c:showCatName val="0"/>
          <c:showSerName val="0"/>
          <c:showPercent val="0"/>
          <c:showBubbleSize val="0"/>
        </c:dLbls>
        <c:gapWidth val="150"/>
        <c:overlap val="100"/>
        <c:axId val="365928448"/>
        <c:axId val="365929984"/>
      </c:barChart>
      <c:catAx>
        <c:axId val="365928448"/>
        <c:scaling>
          <c:orientation val="minMax"/>
        </c:scaling>
        <c:delete val="0"/>
        <c:axPos val="b"/>
        <c:numFmt formatCode="General" sourceLinked="0"/>
        <c:majorTickMark val="out"/>
        <c:minorTickMark val="none"/>
        <c:tickLblPos val="nextTo"/>
        <c:crossAx val="365929984"/>
        <c:crosses val="autoZero"/>
        <c:auto val="1"/>
        <c:lblAlgn val="ctr"/>
        <c:lblOffset val="100"/>
        <c:noMultiLvlLbl val="0"/>
      </c:catAx>
      <c:valAx>
        <c:axId val="365929984"/>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3.67068694284216E-2"/>
              <c:y val="0.15264556898540499"/>
            </c:manualLayout>
          </c:layout>
          <c:overlay val="0"/>
        </c:title>
        <c:numFmt formatCode="0%" sourceLinked="1"/>
        <c:majorTickMark val="out"/>
        <c:minorTickMark val="none"/>
        <c:tickLblPos val="nextTo"/>
        <c:txPr>
          <a:bodyPr/>
          <a:lstStyle/>
          <a:p>
            <a:pPr>
              <a:defRPr sz="700"/>
            </a:pPr>
            <a:endParaRPr lang="en-US"/>
          </a:p>
        </c:txPr>
        <c:crossAx val="365928448"/>
        <c:crosses val="autoZero"/>
        <c:crossBetween val="between"/>
      </c:valAx>
    </c:plotArea>
    <c:legend>
      <c:legendPos val="r"/>
      <c:layout>
        <c:manualLayout>
          <c:xMode val="edge"/>
          <c:yMode val="edge"/>
          <c:x val="0.63727791105293796"/>
          <c:y val="3.6619416493031E-2"/>
          <c:w val="0.32077138102886599"/>
          <c:h val="0.80516256400202402"/>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3180147936053449"/>
          <c:y val="0.10379500486539085"/>
          <c:w val="0.86163435934144594"/>
          <c:h val="0.7375498351385934"/>
        </c:manualLayout>
      </c:layout>
      <c:barChart>
        <c:barDir val="col"/>
        <c:grouping val="clustered"/>
        <c:varyColors val="0"/>
        <c:ser>
          <c:idx val="0"/>
          <c:order val="0"/>
          <c:spPr>
            <a:solidFill>
              <a:srgbClr val="A25EA6"/>
            </a:solidFill>
          </c:spPr>
          <c:invertIfNegative val="0"/>
          <c:cat>
            <c:strRef>
              <c:f>'Year 8 English'!$A$19:$A$23</c:f>
              <c:strCache>
                <c:ptCount val="5"/>
                <c:pt idx="0">
                  <c:v>no evidence of achievement</c:v>
                </c:pt>
                <c:pt idx="1">
                  <c:v>critically below the expected level</c:v>
                </c:pt>
                <c:pt idx="2">
                  <c:v>working towards the expected level</c:v>
                </c:pt>
                <c:pt idx="3">
                  <c:v>is working at the expected level</c:v>
                </c:pt>
                <c:pt idx="4">
                  <c:v>is working above the expected level</c:v>
                </c:pt>
              </c:strCache>
            </c:strRef>
          </c:cat>
          <c:val>
            <c:numRef>
              <c:f>'Year 8 English'!$B$19:$B$23</c:f>
              <c:numCache>
                <c:formatCode>General</c:formatCode>
                <c:ptCount val="5"/>
                <c:pt idx="0">
                  <c:v>3</c:v>
                </c:pt>
                <c:pt idx="1">
                  <c:v>598</c:v>
                </c:pt>
                <c:pt idx="2">
                  <c:v>472</c:v>
                </c:pt>
                <c:pt idx="3">
                  <c:v>220</c:v>
                </c:pt>
                <c:pt idx="4">
                  <c:v>57</c:v>
                </c:pt>
              </c:numCache>
            </c:numRef>
          </c:val>
        </c:ser>
        <c:dLbls>
          <c:showLegendKey val="0"/>
          <c:showVal val="0"/>
          <c:showCatName val="0"/>
          <c:showSerName val="0"/>
          <c:showPercent val="0"/>
          <c:showBubbleSize val="0"/>
        </c:dLbls>
        <c:gapWidth val="150"/>
        <c:axId val="365945984"/>
        <c:axId val="365947520"/>
      </c:barChart>
      <c:catAx>
        <c:axId val="365945984"/>
        <c:scaling>
          <c:orientation val="minMax"/>
        </c:scaling>
        <c:delete val="0"/>
        <c:axPos val="b"/>
        <c:numFmt formatCode="General" sourceLinked="0"/>
        <c:majorTickMark val="out"/>
        <c:minorTickMark val="none"/>
        <c:tickLblPos val="nextTo"/>
        <c:txPr>
          <a:bodyPr/>
          <a:lstStyle/>
          <a:p>
            <a:pPr>
              <a:defRPr sz="800"/>
            </a:pPr>
            <a:endParaRPr lang="en-US"/>
          </a:p>
        </c:txPr>
        <c:crossAx val="365947520"/>
        <c:crosses val="autoZero"/>
        <c:auto val="1"/>
        <c:lblAlgn val="ctr"/>
        <c:lblOffset val="100"/>
        <c:noMultiLvlLbl val="0"/>
      </c:catAx>
      <c:valAx>
        <c:axId val="365947520"/>
        <c:scaling>
          <c:orientation val="minMax"/>
        </c:scaling>
        <c:delete val="0"/>
        <c:axPos val="l"/>
        <c:majorGridlines/>
        <c:title>
          <c:tx>
            <c:rich>
              <a:bodyPr rot="-5400000" vert="horz"/>
              <a:lstStyle/>
              <a:p>
                <a:pPr>
                  <a:defRPr/>
                </a:pPr>
                <a:r>
                  <a:rPr lang="en-US"/>
                  <a:t>Number</a:t>
                </a:r>
                <a:r>
                  <a:rPr lang="en-US" baseline="0"/>
                  <a:t> of students</a:t>
                </a:r>
                <a:endParaRPr lang="en-US"/>
              </a:p>
            </c:rich>
          </c:tx>
          <c:layout>
            <c:manualLayout>
              <c:xMode val="edge"/>
              <c:yMode val="edge"/>
              <c:x val="1.6969696969696999E-2"/>
              <c:y val="0.24761555847185801"/>
            </c:manualLayout>
          </c:layout>
          <c:overlay val="0"/>
        </c:title>
        <c:numFmt formatCode="General" sourceLinked="1"/>
        <c:majorTickMark val="out"/>
        <c:minorTickMark val="none"/>
        <c:tickLblPos val="nextTo"/>
        <c:txPr>
          <a:bodyPr/>
          <a:lstStyle/>
          <a:p>
            <a:pPr>
              <a:defRPr sz="800"/>
            </a:pPr>
            <a:endParaRPr lang="en-US"/>
          </a:p>
        </c:txPr>
        <c:crossAx val="365945984"/>
        <c:crosses val="autoZero"/>
        <c:crossBetween val="between"/>
      </c:valAx>
    </c:plotArea>
    <c:plotVisOnly val="1"/>
    <c:dispBlanksAs val="gap"/>
    <c:showDLblsOverMax val="0"/>
  </c:chart>
  <c:spPr>
    <a:noFill/>
    <a:ln>
      <a:solidFill>
        <a:prstClr val="black">
          <a:alpha val="97000"/>
        </a:prstClr>
      </a:solidFill>
    </a:ln>
  </c:spPr>
  <c:txPr>
    <a:bodyPr/>
    <a:lstStyle/>
    <a:p>
      <a:pPr>
        <a:defRPr sz="900">
          <a:latin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817284887581799"/>
          <c:y val="8.2226438962681794E-2"/>
          <c:w val="0.59304828763874395"/>
          <c:h val="0.58502642103323399"/>
        </c:manualLayout>
      </c:layout>
      <c:barChart>
        <c:barDir val="col"/>
        <c:grouping val="percentStacked"/>
        <c:varyColors val="0"/>
        <c:ser>
          <c:idx val="0"/>
          <c:order val="0"/>
          <c:tx>
            <c:strRef>
              <c:f>'Year 8 English'!$A$57</c:f>
              <c:strCache>
                <c:ptCount val="1"/>
                <c:pt idx="0">
                  <c:v>no evidence of achievement</c:v>
                </c:pt>
              </c:strCache>
            </c:strRef>
          </c:tx>
          <c:invertIfNegative val="0"/>
          <c:cat>
            <c:strRef>
              <c:f>'Year 8 English'!$B$56:$G$56</c:f>
              <c:strCache>
                <c:ptCount val="6"/>
                <c:pt idx="0">
                  <c:v>Listening</c:v>
                </c:pt>
                <c:pt idx="1">
                  <c:v>Vocabulary</c:v>
                </c:pt>
                <c:pt idx="2">
                  <c:v>Reading Comprehension</c:v>
                </c:pt>
                <c:pt idx="3">
                  <c:v>Instructions</c:v>
                </c:pt>
                <c:pt idx="4">
                  <c:v>Grammar</c:v>
                </c:pt>
                <c:pt idx="5">
                  <c:v>Writing</c:v>
                </c:pt>
              </c:strCache>
            </c:strRef>
          </c:cat>
          <c:val>
            <c:numRef>
              <c:f>'Year 8 English'!$B$57:$G$57</c:f>
              <c:numCache>
                <c:formatCode>0%</c:formatCode>
                <c:ptCount val="6"/>
                <c:pt idx="0">
                  <c:v>0.08</c:v>
                </c:pt>
                <c:pt idx="1">
                  <c:v>0.42</c:v>
                </c:pt>
                <c:pt idx="2">
                  <c:v>0.17</c:v>
                </c:pt>
                <c:pt idx="3">
                  <c:v>0.33</c:v>
                </c:pt>
                <c:pt idx="4">
                  <c:v>0.02</c:v>
                </c:pt>
                <c:pt idx="5">
                  <c:v>0.34</c:v>
                </c:pt>
              </c:numCache>
            </c:numRef>
          </c:val>
        </c:ser>
        <c:ser>
          <c:idx val="1"/>
          <c:order val="1"/>
          <c:tx>
            <c:strRef>
              <c:f>'Year 8 English'!$A$58</c:f>
              <c:strCache>
                <c:ptCount val="1"/>
                <c:pt idx="0">
                  <c:v>critically below the expected level</c:v>
                </c:pt>
              </c:strCache>
            </c:strRef>
          </c:tx>
          <c:invertIfNegative val="0"/>
          <c:cat>
            <c:strRef>
              <c:f>'Year 8 English'!$B$56:$G$56</c:f>
              <c:strCache>
                <c:ptCount val="6"/>
                <c:pt idx="0">
                  <c:v>Listening</c:v>
                </c:pt>
                <c:pt idx="1">
                  <c:v>Vocabulary</c:v>
                </c:pt>
                <c:pt idx="2">
                  <c:v>Reading Comprehension</c:v>
                </c:pt>
                <c:pt idx="3">
                  <c:v>Instructions</c:v>
                </c:pt>
                <c:pt idx="4">
                  <c:v>Grammar</c:v>
                </c:pt>
                <c:pt idx="5">
                  <c:v>Writing</c:v>
                </c:pt>
              </c:strCache>
            </c:strRef>
          </c:cat>
          <c:val>
            <c:numRef>
              <c:f>'Year 8 English'!$B$58:$G$58</c:f>
              <c:numCache>
                <c:formatCode>0%</c:formatCode>
                <c:ptCount val="6"/>
                <c:pt idx="0">
                  <c:v>0.2</c:v>
                </c:pt>
                <c:pt idx="1">
                  <c:v>0.21</c:v>
                </c:pt>
                <c:pt idx="2">
                  <c:v>0.16</c:v>
                </c:pt>
                <c:pt idx="3">
                  <c:v>0.39</c:v>
                </c:pt>
                <c:pt idx="4">
                  <c:v>0.2</c:v>
                </c:pt>
                <c:pt idx="5">
                  <c:v>0.14000000000000001</c:v>
                </c:pt>
              </c:numCache>
            </c:numRef>
          </c:val>
        </c:ser>
        <c:ser>
          <c:idx val="2"/>
          <c:order val="2"/>
          <c:tx>
            <c:strRef>
              <c:f>'Year 8 English'!$A$59</c:f>
              <c:strCache>
                <c:ptCount val="1"/>
                <c:pt idx="0">
                  <c:v>working towards the expected level</c:v>
                </c:pt>
              </c:strCache>
            </c:strRef>
          </c:tx>
          <c:invertIfNegative val="0"/>
          <c:cat>
            <c:strRef>
              <c:f>'Year 8 English'!$B$56:$G$56</c:f>
              <c:strCache>
                <c:ptCount val="6"/>
                <c:pt idx="0">
                  <c:v>Listening</c:v>
                </c:pt>
                <c:pt idx="1">
                  <c:v>Vocabulary</c:v>
                </c:pt>
                <c:pt idx="2">
                  <c:v>Reading Comprehension</c:v>
                </c:pt>
                <c:pt idx="3">
                  <c:v>Instructions</c:v>
                </c:pt>
                <c:pt idx="4">
                  <c:v>Grammar</c:v>
                </c:pt>
                <c:pt idx="5">
                  <c:v>Writing</c:v>
                </c:pt>
              </c:strCache>
            </c:strRef>
          </c:cat>
          <c:val>
            <c:numRef>
              <c:f>'Year 8 English'!$B$59:$G$59</c:f>
              <c:numCache>
                <c:formatCode>0%</c:formatCode>
                <c:ptCount val="6"/>
                <c:pt idx="0">
                  <c:v>0.16</c:v>
                </c:pt>
                <c:pt idx="1">
                  <c:v>0.14000000000000001</c:v>
                </c:pt>
                <c:pt idx="2">
                  <c:v>0.34</c:v>
                </c:pt>
                <c:pt idx="3">
                  <c:v>0.22</c:v>
                </c:pt>
                <c:pt idx="4">
                  <c:v>0.39</c:v>
                </c:pt>
                <c:pt idx="5">
                  <c:v>0.33</c:v>
                </c:pt>
              </c:numCache>
            </c:numRef>
          </c:val>
        </c:ser>
        <c:ser>
          <c:idx val="3"/>
          <c:order val="3"/>
          <c:tx>
            <c:strRef>
              <c:f>'Year 8 English'!$A$60</c:f>
              <c:strCache>
                <c:ptCount val="1"/>
                <c:pt idx="0">
                  <c:v>is working at the expected level</c:v>
                </c:pt>
              </c:strCache>
            </c:strRef>
          </c:tx>
          <c:invertIfNegative val="0"/>
          <c:cat>
            <c:strRef>
              <c:f>'Year 8 English'!$B$56:$G$56</c:f>
              <c:strCache>
                <c:ptCount val="6"/>
                <c:pt idx="0">
                  <c:v>Listening</c:v>
                </c:pt>
                <c:pt idx="1">
                  <c:v>Vocabulary</c:v>
                </c:pt>
                <c:pt idx="2">
                  <c:v>Reading Comprehension</c:v>
                </c:pt>
                <c:pt idx="3">
                  <c:v>Instructions</c:v>
                </c:pt>
                <c:pt idx="4">
                  <c:v>Grammar</c:v>
                </c:pt>
                <c:pt idx="5">
                  <c:v>Writing</c:v>
                </c:pt>
              </c:strCache>
            </c:strRef>
          </c:cat>
          <c:val>
            <c:numRef>
              <c:f>'Year 8 English'!$B$60:$G$60</c:f>
              <c:numCache>
                <c:formatCode>0%</c:formatCode>
                <c:ptCount val="6"/>
                <c:pt idx="0">
                  <c:v>0.24</c:v>
                </c:pt>
                <c:pt idx="1">
                  <c:v>0.16</c:v>
                </c:pt>
                <c:pt idx="2">
                  <c:v>0.23</c:v>
                </c:pt>
                <c:pt idx="3">
                  <c:v>0.04</c:v>
                </c:pt>
                <c:pt idx="4">
                  <c:v>0.25</c:v>
                </c:pt>
                <c:pt idx="5">
                  <c:v>0.12</c:v>
                </c:pt>
              </c:numCache>
            </c:numRef>
          </c:val>
        </c:ser>
        <c:ser>
          <c:idx val="4"/>
          <c:order val="4"/>
          <c:tx>
            <c:strRef>
              <c:f>'Year 8 English'!$A$61</c:f>
              <c:strCache>
                <c:ptCount val="1"/>
                <c:pt idx="0">
                  <c:v>is working above the expected level</c:v>
                </c:pt>
              </c:strCache>
            </c:strRef>
          </c:tx>
          <c:invertIfNegative val="0"/>
          <c:cat>
            <c:strRef>
              <c:f>'Year 8 English'!$B$56:$G$56</c:f>
              <c:strCache>
                <c:ptCount val="6"/>
                <c:pt idx="0">
                  <c:v>Listening</c:v>
                </c:pt>
                <c:pt idx="1">
                  <c:v>Vocabulary</c:v>
                </c:pt>
                <c:pt idx="2">
                  <c:v>Reading Comprehension</c:v>
                </c:pt>
                <c:pt idx="3">
                  <c:v>Instructions</c:v>
                </c:pt>
                <c:pt idx="4">
                  <c:v>Grammar</c:v>
                </c:pt>
                <c:pt idx="5">
                  <c:v>Writing</c:v>
                </c:pt>
              </c:strCache>
            </c:strRef>
          </c:cat>
          <c:val>
            <c:numRef>
              <c:f>'Year 8 English'!$B$61:$G$61</c:f>
              <c:numCache>
                <c:formatCode>0%</c:formatCode>
                <c:ptCount val="6"/>
                <c:pt idx="0">
                  <c:v>0.32</c:v>
                </c:pt>
                <c:pt idx="1">
                  <c:v>7.0000000000000007E-2</c:v>
                </c:pt>
                <c:pt idx="2">
                  <c:v>0.09</c:v>
                </c:pt>
                <c:pt idx="3">
                  <c:v>0.02</c:v>
                </c:pt>
                <c:pt idx="4">
                  <c:v>0.14000000000000001</c:v>
                </c:pt>
                <c:pt idx="5">
                  <c:v>7.0000000000000007E-2</c:v>
                </c:pt>
              </c:numCache>
            </c:numRef>
          </c:val>
        </c:ser>
        <c:dLbls>
          <c:showLegendKey val="0"/>
          <c:showVal val="0"/>
          <c:showCatName val="0"/>
          <c:showSerName val="0"/>
          <c:showPercent val="0"/>
          <c:showBubbleSize val="0"/>
        </c:dLbls>
        <c:gapWidth val="150"/>
        <c:overlap val="100"/>
        <c:axId val="366520192"/>
        <c:axId val="366521728"/>
      </c:barChart>
      <c:catAx>
        <c:axId val="366520192"/>
        <c:scaling>
          <c:orientation val="minMax"/>
        </c:scaling>
        <c:delete val="0"/>
        <c:axPos val="b"/>
        <c:numFmt formatCode="General" sourceLinked="0"/>
        <c:majorTickMark val="out"/>
        <c:minorTickMark val="none"/>
        <c:tickLblPos val="nextTo"/>
        <c:txPr>
          <a:bodyPr/>
          <a:lstStyle/>
          <a:p>
            <a:pPr>
              <a:defRPr sz="800"/>
            </a:pPr>
            <a:endParaRPr lang="en-US"/>
          </a:p>
        </c:txPr>
        <c:crossAx val="366521728"/>
        <c:crosses val="autoZero"/>
        <c:auto val="1"/>
        <c:lblAlgn val="ctr"/>
        <c:lblOffset val="100"/>
        <c:noMultiLvlLbl val="0"/>
      </c:catAx>
      <c:valAx>
        <c:axId val="366521728"/>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1.9759036144578301E-2"/>
              <c:y val="8.2226438962681794E-2"/>
            </c:manualLayout>
          </c:layout>
          <c:overlay val="0"/>
        </c:title>
        <c:numFmt formatCode="0%" sourceLinked="1"/>
        <c:majorTickMark val="out"/>
        <c:minorTickMark val="none"/>
        <c:tickLblPos val="nextTo"/>
        <c:txPr>
          <a:bodyPr/>
          <a:lstStyle/>
          <a:p>
            <a:pPr>
              <a:defRPr sz="800" baseline="0"/>
            </a:pPr>
            <a:endParaRPr lang="en-US"/>
          </a:p>
        </c:txPr>
        <c:crossAx val="366520192"/>
        <c:crosses val="autoZero"/>
        <c:crossBetween val="between"/>
        <c:majorUnit val="0.2"/>
      </c:valAx>
    </c:plotArea>
    <c:legend>
      <c:legendPos val="r"/>
      <c:layout>
        <c:manualLayout>
          <c:xMode val="edge"/>
          <c:yMode val="edge"/>
          <c:x val="0.77218499193624901"/>
          <c:y val="7.4054595168013895E-2"/>
          <c:w val="0.20853789963001601"/>
          <c:h val="0.67478721231952299"/>
        </c:manualLayout>
      </c:layout>
      <c:overlay val="0"/>
      <c:txPr>
        <a:bodyPr/>
        <a:lstStyle/>
        <a:p>
          <a:pPr>
            <a:defRPr sz="700"/>
          </a:pPr>
          <a:endParaRPr lang="en-US"/>
        </a:p>
      </c:txPr>
    </c:legend>
    <c:plotVisOnly val="1"/>
    <c:dispBlanksAs val="gap"/>
    <c:showDLblsOverMax val="0"/>
  </c:chart>
  <c:txPr>
    <a:bodyPr/>
    <a:lstStyle/>
    <a:p>
      <a:pPr>
        <a:defRPr sz="900">
          <a:latin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2207057451151899"/>
          <c:y val="7.3842658335700098E-2"/>
          <c:w val="0.455729440069991"/>
          <c:h val="0.80444979168856401"/>
        </c:manualLayout>
      </c:layout>
      <c:barChart>
        <c:barDir val="col"/>
        <c:grouping val="percentStacked"/>
        <c:varyColors val="0"/>
        <c:ser>
          <c:idx val="0"/>
          <c:order val="0"/>
          <c:tx>
            <c:strRef>
              <c:f>'Year 8 English'!$A$78</c:f>
              <c:strCache>
                <c:ptCount val="1"/>
                <c:pt idx="0">
                  <c:v>no evidence of achievement</c:v>
                </c:pt>
              </c:strCache>
            </c:strRef>
          </c:tx>
          <c:invertIfNegative val="0"/>
          <c:cat>
            <c:strRef>
              <c:f>'Year 8 English'!$B$77:$C$77</c:f>
              <c:strCache>
                <c:ptCount val="2"/>
                <c:pt idx="0">
                  <c:v>Male</c:v>
                </c:pt>
                <c:pt idx="1">
                  <c:v>Female</c:v>
                </c:pt>
              </c:strCache>
            </c:strRef>
          </c:cat>
          <c:val>
            <c:numRef>
              <c:f>'Year 8 English'!$B$78:$C$78</c:f>
              <c:numCache>
                <c:formatCode>0%</c:formatCode>
                <c:ptCount val="2"/>
                <c:pt idx="0">
                  <c:v>0</c:v>
                </c:pt>
                <c:pt idx="1">
                  <c:v>0</c:v>
                </c:pt>
              </c:numCache>
            </c:numRef>
          </c:val>
        </c:ser>
        <c:ser>
          <c:idx val="1"/>
          <c:order val="1"/>
          <c:tx>
            <c:strRef>
              <c:f>'Year 8 English'!$A$79</c:f>
              <c:strCache>
                <c:ptCount val="1"/>
                <c:pt idx="0">
                  <c:v>critically below the expected level</c:v>
                </c:pt>
              </c:strCache>
            </c:strRef>
          </c:tx>
          <c:invertIfNegative val="0"/>
          <c:cat>
            <c:strRef>
              <c:f>'Year 8 English'!$B$77:$C$77</c:f>
              <c:strCache>
                <c:ptCount val="2"/>
                <c:pt idx="0">
                  <c:v>Male</c:v>
                </c:pt>
                <c:pt idx="1">
                  <c:v>Female</c:v>
                </c:pt>
              </c:strCache>
            </c:strRef>
          </c:cat>
          <c:val>
            <c:numRef>
              <c:f>'Year 8 English'!$B$79:$C$79</c:f>
              <c:numCache>
                <c:formatCode>0%</c:formatCode>
                <c:ptCount val="2"/>
                <c:pt idx="0">
                  <c:v>0.56999999999999995</c:v>
                </c:pt>
                <c:pt idx="1">
                  <c:v>0.35</c:v>
                </c:pt>
              </c:numCache>
            </c:numRef>
          </c:val>
        </c:ser>
        <c:ser>
          <c:idx val="2"/>
          <c:order val="2"/>
          <c:tx>
            <c:strRef>
              <c:f>'Year 8 English'!$A$80</c:f>
              <c:strCache>
                <c:ptCount val="1"/>
                <c:pt idx="0">
                  <c:v>working towards the expected level</c:v>
                </c:pt>
              </c:strCache>
            </c:strRef>
          </c:tx>
          <c:invertIfNegative val="0"/>
          <c:cat>
            <c:strRef>
              <c:f>'Year 8 English'!$B$77:$C$77</c:f>
              <c:strCache>
                <c:ptCount val="2"/>
                <c:pt idx="0">
                  <c:v>Male</c:v>
                </c:pt>
                <c:pt idx="1">
                  <c:v>Female</c:v>
                </c:pt>
              </c:strCache>
            </c:strRef>
          </c:cat>
          <c:val>
            <c:numRef>
              <c:f>'Year 8 English'!$B$80:$C$80</c:f>
              <c:numCache>
                <c:formatCode>0%</c:formatCode>
                <c:ptCount val="2"/>
                <c:pt idx="0">
                  <c:v>0.3</c:v>
                </c:pt>
                <c:pt idx="1">
                  <c:v>0.39</c:v>
                </c:pt>
              </c:numCache>
            </c:numRef>
          </c:val>
        </c:ser>
        <c:ser>
          <c:idx val="3"/>
          <c:order val="3"/>
          <c:tx>
            <c:strRef>
              <c:f>'Year 8 English'!$A$81</c:f>
              <c:strCache>
                <c:ptCount val="1"/>
                <c:pt idx="0">
                  <c:v>is working at the expected level</c:v>
                </c:pt>
              </c:strCache>
            </c:strRef>
          </c:tx>
          <c:invertIfNegative val="0"/>
          <c:cat>
            <c:strRef>
              <c:f>'Year 8 English'!$B$77:$C$77</c:f>
              <c:strCache>
                <c:ptCount val="2"/>
                <c:pt idx="0">
                  <c:v>Male</c:v>
                </c:pt>
                <c:pt idx="1">
                  <c:v>Female</c:v>
                </c:pt>
              </c:strCache>
            </c:strRef>
          </c:cat>
          <c:val>
            <c:numRef>
              <c:f>'Year 8 English'!$B$81:$C$81</c:f>
              <c:numCache>
                <c:formatCode>0%</c:formatCode>
                <c:ptCount val="2"/>
                <c:pt idx="0">
                  <c:v>0.12</c:v>
                </c:pt>
                <c:pt idx="1">
                  <c:v>0.19</c:v>
                </c:pt>
              </c:numCache>
            </c:numRef>
          </c:val>
        </c:ser>
        <c:ser>
          <c:idx val="4"/>
          <c:order val="4"/>
          <c:tx>
            <c:strRef>
              <c:f>'Year 8 English'!$A$82</c:f>
              <c:strCache>
                <c:ptCount val="1"/>
                <c:pt idx="0">
                  <c:v>is working above the expected level</c:v>
                </c:pt>
              </c:strCache>
            </c:strRef>
          </c:tx>
          <c:invertIfNegative val="0"/>
          <c:cat>
            <c:strRef>
              <c:f>'Year 8 English'!$B$77:$C$77</c:f>
              <c:strCache>
                <c:ptCount val="2"/>
                <c:pt idx="0">
                  <c:v>Male</c:v>
                </c:pt>
                <c:pt idx="1">
                  <c:v>Female</c:v>
                </c:pt>
              </c:strCache>
            </c:strRef>
          </c:cat>
          <c:val>
            <c:numRef>
              <c:f>'Year 8 English'!$B$82:$C$82</c:f>
              <c:numCache>
                <c:formatCode>0%</c:formatCode>
                <c:ptCount val="2"/>
                <c:pt idx="0">
                  <c:v>0.01</c:v>
                </c:pt>
                <c:pt idx="1">
                  <c:v>7.0000000000000007E-2</c:v>
                </c:pt>
              </c:numCache>
            </c:numRef>
          </c:val>
        </c:ser>
        <c:dLbls>
          <c:showLegendKey val="0"/>
          <c:showVal val="0"/>
          <c:showCatName val="0"/>
          <c:showSerName val="0"/>
          <c:showPercent val="0"/>
          <c:showBubbleSize val="0"/>
        </c:dLbls>
        <c:gapWidth val="150"/>
        <c:overlap val="100"/>
        <c:axId val="366582400"/>
        <c:axId val="366588288"/>
      </c:barChart>
      <c:catAx>
        <c:axId val="366582400"/>
        <c:scaling>
          <c:orientation val="minMax"/>
        </c:scaling>
        <c:delete val="0"/>
        <c:axPos val="b"/>
        <c:numFmt formatCode="General" sourceLinked="0"/>
        <c:majorTickMark val="out"/>
        <c:minorTickMark val="none"/>
        <c:tickLblPos val="nextTo"/>
        <c:crossAx val="366588288"/>
        <c:crosses val="autoZero"/>
        <c:auto val="1"/>
        <c:lblAlgn val="ctr"/>
        <c:lblOffset val="100"/>
        <c:noMultiLvlLbl val="0"/>
      </c:catAx>
      <c:valAx>
        <c:axId val="366588288"/>
        <c:scaling>
          <c:orientation val="minMax"/>
        </c:scaling>
        <c:delete val="0"/>
        <c:axPos val="l"/>
        <c:majorGridlines/>
        <c:title>
          <c:tx>
            <c:rich>
              <a:bodyPr rot="-5400000" vert="horz"/>
              <a:lstStyle/>
              <a:p>
                <a:pPr>
                  <a:defRPr/>
                </a:pPr>
                <a:r>
                  <a:rPr lang="en-US"/>
                  <a:t>Percentage</a:t>
                </a:r>
                <a:r>
                  <a:rPr lang="en-US" baseline="0"/>
                  <a:t> of students</a:t>
                </a:r>
                <a:endParaRPr lang="en-US"/>
              </a:p>
            </c:rich>
          </c:tx>
          <c:layout>
            <c:manualLayout>
              <c:xMode val="edge"/>
              <c:yMode val="edge"/>
              <c:x val="2.5060240963855399E-2"/>
              <c:y val="0.20653491872164101"/>
            </c:manualLayout>
          </c:layout>
          <c:overlay val="0"/>
        </c:title>
        <c:numFmt formatCode="0%" sourceLinked="1"/>
        <c:majorTickMark val="out"/>
        <c:minorTickMark val="none"/>
        <c:tickLblPos val="nextTo"/>
        <c:crossAx val="366582400"/>
        <c:crosses val="autoZero"/>
        <c:crossBetween val="between"/>
      </c:valAx>
    </c:plotArea>
    <c:legend>
      <c:legendPos val="r"/>
      <c:layout>
        <c:manualLayout>
          <c:xMode val="edge"/>
          <c:yMode val="edge"/>
          <c:x val="0.71686031973276099"/>
          <c:y val="4.6213849437044603E-2"/>
          <c:w val="0.26386256263421598"/>
          <c:h val="0.84253489341869603"/>
        </c:manualLayout>
      </c:layout>
      <c:overlay val="0"/>
      <c:txPr>
        <a:bodyPr/>
        <a:lstStyle/>
        <a:p>
          <a:pPr>
            <a:defRPr sz="700"/>
          </a:pPr>
          <a:endParaRPr lang="en-US"/>
        </a:p>
      </c:txPr>
    </c:legend>
    <c:plotVisOnly val="1"/>
    <c:dispBlanksAs val="gap"/>
    <c:showDLblsOverMax val="0"/>
  </c:chart>
  <c:txPr>
    <a:bodyPr/>
    <a:lstStyle/>
    <a:p>
      <a:pPr>
        <a:defRPr sz="800">
          <a:latin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0.3212</cdr:x>
      <cdr:y>0.15741</cdr:y>
    </cdr:from>
    <cdr:to>
      <cdr:x>0.32237</cdr:x>
      <cdr:y>1</cdr:y>
    </cdr:to>
    <cdr:cxnSp macro="">
      <cdr:nvCxnSpPr>
        <cdr:cNvPr id="3" name="Straight Connector 2"/>
        <cdr:cNvCxnSpPr/>
      </cdr:nvCxnSpPr>
      <cdr:spPr>
        <a:xfrm xmlns:a="http://schemas.openxmlformats.org/drawingml/2006/main">
          <a:off x="1692876" y="327455"/>
          <a:ext cx="6178" cy="175280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0.52634</cdr:x>
      <cdr:y>0.15741</cdr:y>
    </cdr:from>
    <cdr:to>
      <cdr:x>0.52895</cdr:x>
      <cdr:y>1</cdr:y>
    </cdr:to>
    <cdr:cxnSp macro="">
      <cdr:nvCxnSpPr>
        <cdr:cNvPr id="5" name="Straight Connector 4"/>
        <cdr:cNvCxnSpPr/>
      </cdr:nvCxnSpPr>
      <cdr:spPr>
        <a:xfrm xmlns:a="http://schemas.openxmlformats.org/drawingml/2006/main">
          <a:off x="2774092" y="327455"/>
          <a:ext cx="13730" cy="175280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Coffey%20Theme">
  <a:themeElements>
    <a:clrScheme name="Coffey">
      <a:dk1>
        <a:sysClr val="windowText" lastClr="000000"/>
      </a:dk1>
      <a:lt1>
        <a:sysClr val="window" lastClr="FFFFFF"/>
      </a:lt1>
      <a:dk2>
        <a:srgbClr val="EB6E08"/>
      </a:dk2>
      <a:lt2>
        <a:srgbClr val="EEF0F2"/>
      </a:lt2>
      <a:accent1>
        <a:srgbClr val="6CCE7D"/>
      </a:accent1>
      <a:accent2>
        <a:srgbClr val="04C3D5"/>
      </a:accent2>
      <a:accent3>
        <a:srgbClr val="5F5CB6"/>
      </a:accent3>
      <a:accent4>
        <a:srgbClr val="C17E9E"/>
      </a:accent4>
      <a:accent5>
        <a:srgbClr val="B9CBD5"/>
      </a:accent5>
      <a:accent6>
        <a:srgbClr val="000000"/>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3B93F-99D5-4271-BFD0-A0E1712CFF19}"/>
</file>

<file path=customXml/itemProps2.xml><?xml version="1.0" encoding="utf-8"?>
<ds:datastoreItem xmlns:ds="http://schemas.openxmlformats.org/officeDocument/2006/customXml" ds:itemID="{753D8415-5785-4F04-935E-BFA73494928D}"/>
</file>

<file path=customXml/itemProps3.xml><?xml version="1.0" encoding="utf-8"?>
<ds:datastoreItem xmlns:ds="http://schemas.openxmlformats.org/officeDocument/2006/customXml" ds:itemID="{3B2180CE-282C-4301-9E74-3DFE22141B99}"/>
</file>

<file path=customXml/itemProps4.xml><?xml version="1.0" encoding="utf-8"?>
<ds:datastoreItem xmlns:ds="http://schemas.openxmlformats.org/officeDocument/2006/customXml" ds:itemID="{9F8832CE-6F8B-43FC-8F20-286CD504D2BD}"/>
</file>

<file path=docProps/app.xml><?xml version="1.0" encoding="utf-8"?>
<Properties xmlns="http://schemas.openxmlformats.org/officeDocument/2006/extended-properties" xmlns:vt="http://schemas.openxmlformats.org/officeDocument/2006/docPropsVTypes">
  <Template>7226A4FF</Template>
  <TotalTime>0</TotalTime>
  <Pages>234</Pages>
  <Words>87286</Words>
  <Characters>497534</Characters>
  <Application>Microsoft Office Word</Application>
  <DocSecurity>0</DocSecurity>
  <Lines>4146</Lines>
  <Paragraphs>1167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2016-09-20T05:55:00Z</dcterms:created>
  <dcterms:modified xsi:type="dcterms:W3CDTF">2016-09-30T04:43:00Z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14482fcf-fe3b-4e68-a776-3f02e10aec8d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1062600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