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FB" w:rsidRPr="003C482B" w:rsidRDefault="008C512D" w:rsidP="00C657FB">
      <w:pPr>
        <w:pStyle w:val="DocName"/>
        <w:pBdr>
          <w:top w:val="single" w:sz="4" w:space="12" w:color="FF9900"/>
          <w:bottom w:val="single" w:sz="4" w:space="5" w:color="FF9900"/>
        </w:pBdr>
        <w:shd w:val="clear" w:color="auto" w:fill="FFFFCC"/>
        <w:spacing w:line="360" w:lineRule="auto"/>
        <w:rPr>
          <w:rFonts w:cs="Arial"/>
          <w:sz w:val="24"/>
          <w:lang w:eastAsia="en-AU"/>
        </w:rPr>
      </w:pPr>
      <w:bookmarkStart w:id="0" w:name="_GoBack"/>
      <w:bookmarkEnd w:id="0"/>
      <w:r w:rsidRPr="003C482B">
        <w:rPr>
          <w:rFonts w:cs="Arial"/>
          <w:sz w:val="24"/>
          <w:lang w:eastAsia="en-AU"/>
        </w:rPr>
        <w:t xml:space="preserve">Review </w:t>
      </w:r>
      <w:r w:rsidR="00CD0E7A" w:rsidRPr="003C482B">
        <w:rPr>
          <w:rFonts w:cs="Arial"/>
          <w:sz w:val="24"/>
          <w:lang w:eastAsia="en-AU"/>
        </w:rPr>
        <w:t>of Kiribati Australia Nursing Initiative</w:t>
      </w:r>
    </w:p>
    <w:p w:rsidR="00C657FB" w:rsidRPr="003C482B" w:rsidRDefault="00F37B61" w:rsidP="00C657FB">
      <w:pPr>
        <w:pStyle w:val="DocName"/>
        <w:pBdr>
          <w:top w:val="single" w:sz="4" w:space="12" w:color="FF9900"/>
          <w:bottom w:val="single" w:sz="4" w:space="5" w:color="FF9900"/>
        </w:pBdr>
        <w:shd w:val="clear" w:color="auto" w:fill="FFFFCC"/>
        <w:spacing w:line="360" w:lineRule="auto"/>
        <w:rPr>
          <w:rFonts w:cs="Arial"/>
          <w:sz w:val="24"/>
          <w:lang w:eastAsia="en-AU"/>
        </w:rPr>
      </w:pPr>
      <w:r w:rsidRPr="003C482B">
        <w:rPr>
          <w:rFonts w:cs="Arial"/>
          <w:sz w:val="24"/>
          <w:lang w:eastAsia="en-AU"/>
        </w:rPr>
        <w:t>MANAGEMENT RESPONSE</w:t>
      </w:r>
    </w:p>
    <w:p w:rsidR="00C657FB" w:rsidRPr="003C482B" w:rsidRDefault="000B520A" w:rsidP="00683EB4">
      <w:pPr>
        <w:pStyle w:val="Heading2"/>
      </w:pPr>
      <w:r w:rsidRPr="003C482B">
        <w:t xml:space="preserve">Initiative </w:t>
      </w:r>
      <w:r w:rsidR="00C657FB" w:rsidRPr="003C482B">
        <w:t>Summary</w:t>
      </w: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60"/>
        <w:gridCol w:w="2693"/>
        <w:gridCol w:w="1843"/>
        <w:gridCol w:w="2693"/>
      </w:tblGrid>
      <w:tr w:rsidR="00C657FB" w:rsidRPr="003C482B" w:rsidTr="00175FFC">
        <w:trPr>
          <w:cantSplit/>
          <w:tblHeader/>
        </w:trPr>
        <w:tc>
          <w:tcPr>
            <w:tcW w:w="2660" w:type="dxa"/>
            <w:shd w:val="clear" w:color="auto" w:fill="E0E0E0"/>
            <w:vAlign w:val="center"/>
          </w:tcPr>
          <w:p w:rsidR="00C657FB" w:rsidRPr="003C482B" w:rsidRDefault="00EF02B3" w:rsidP="00175FFC">
            <w:pPr>
              <w:pStyle w:val="Table-normal-text"/>
              <w:spacing w:before="120" w:after="120"/>
              <w:rPr>
                <w:rFonts w:cs="Arial"/>
                <w:b/>
              </w:rPr>
            </w:pPr>
            <w:r w:rsidRPr="003C482B">
              <w:rPr>
                <w:rFonts w:cs="Arial"/>
                <w:b/>
              </w:rPr>
              <w:t>Initiative</w:t>
            </w:r>
            <w:r w:rsidR="00C657FB" w:rsidRPr="003C482B">
              <w:rPr>
                <w:rFonts w:cs="Arial"/>
                <w:b/>
              </w:rPr>
              <w:t xml:space="preserve"> Name</w:t>
            </w:r>
          </w:p>
        </w:tc>
        <w:tc>
          <w:tcPr>
            <w:tcW w:w="7229" w:type="dxa"/>
            <w:gridSpan w:val="3"/>
            <w:shd w:val="clear" w:color="auto" w:fill="E0E0E0"/>
            <w:vAlign w:val="center"/>
          </w:tcPr>
          <w:p w:rsidR="00C657FB" w:rsidRPr="003C482B" w:rsidRDefault="00C657FB" w:rsidP="00175FFC">
            <w:pPr>
              <w:pStyle w:val="Table-normal-text"/>
              <w:spacing w:before="120" w:after="120"/>
              <w:rPr>
                <w:rFonts w:cs="Arial"/>
                <w:b/>
              </w:rPr>
            </w:pPr>
          </w:p>
        </w:tc>
      </w:tr>
      <w:tr w:rsidR="00C657FB" w:rsidRPr="003C482B" w:rsidTr="00CA790B">
        <w:trPr>
          <w:cantSplit/>
        </w:trPr>
        <w:tc>
          <w:tcPr>
            <w:tcW w:w="2660" w:type="dxa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AidWorks initiative number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3C482B" w:rsidRDefault="00CD0E7A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ING466</w:t>
            </w:r>
          </w:p>
        </w:tc>
      </w:tr>
      <w:tr w:rsidR="00C657FB" w:rsidRPr="003C482B" w:rsidTr="00CA790B">
        <w:trPr>
          <w:cantSplit/>
        </w:trPr>
        <w:tc>
          <w:tcPr>
            <w:tcW w:w="2660" w:type="dxa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Commencement date</w:t>
            </w:r>
          </w:p>
        </w:tc>
        <w:tc>
          <w:tcPr>
            <w:tcW w:w="2693" w:type="dxa"/>
            <w:shd w:val="clear" w:color="auto" w:fill="auto"/>
          </w:tcPr>
          <w:p w:rsidR="00C657FB" w:rsidRPr="003C482B" w:rsidRDefault="00CD0E7A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21</w:t>
            </w:r>
            <w:r w:rsidR="008A1FC0">
              <w:rPr>
                <w:rFonts w:cs="Arial"/>
              </w:rPr>
              <w:t xml:space="preserve"> March 2006</w:t>
            </w:r>
          </w:p>
        </w:tc>
        <w:tc>
          <w:tcPr>
            <w:tcW w:w="1843" w:type="dxa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Completion date</w:t>
            </w:r>
          </w:p>
        </w:tc>
        <w:tc>
          <w:tcPr>
            <w:tcW w:w="2693" w:type="dxa"/>
            <w:shd w:val="clear" w:color="auto" w:fill="auto"/>
          </w:tcPr>
          <w:p w:rsidR="00C657FB" w:rsidRPr="003C482B" w:rsidRDefault="00CD0E7A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30</w:t>
            </w:r>
            <w:r w:rsidR="008A1FC0">
              <w:rPr>
                <w:rFonts w:cs="Arial"/>
              </w:rPr>
              <w:t xml:space="preserve"> June 201</w:t>
            </w:r>
            <w:r w:rsidRPr="003C482B">
              <w:rPr>
                <w:rFonts w:cs="Arial"/>
              </w:rPr>
              <w:t>6</w:t>
            </w:r>
          </w:p>
        </w:tc>
      </w:tr>
      <w:tr w:rsidR="00C657FB" w:rsidRPr="003C482B" w:rsidTr="00CA790B">
        <w:trPr>
          <w:cantSplit/>
        </w:trPr>
        <w:tc>
          <w:tcPr>
            <w:tcW w:w="2660" w:type="dxa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Total Australian $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3C482B" w:rsidRDefault="008A1FC0" w:rsidP="00190704">
            <w:pPr>
              <w:pStyle w:val="Table-normal-text"/>
              <w:rPr>
                <w:rFonts w:cs="Arial"/>
              </w:rPr>
            </w:pPr>
            <w:r w:rsidRPr="00190704">
              <w:rPr>
                <w:rFonts w:cs="Arial"/>
              </w:rPr>
              <w:t>$</w:t>
            </w:r>
            <w:r w:rsidR="00CD0E7A" w:rsidRPr="00190704">
              <w:rPr>
                <w:rFonts w:cs="Arial"/>
              </w:rPr>
              <w:t>20,</w:t>
            </w:r>
            <w:r w:rsidR="00190704" w:rsidRPr="00190704">
              <w:rPr>
                <w:rFonts w:cs="Arial"/>
              </w:rPr>
              <w:t>7</w:t>
            </w:r>
            <w:r w:rsidR="00CD0E7A" w:rsidRPr="00190704">
              <w:rPr>
                <w:rFonts w:cs="Arial"/>
              </w:rPr>
              <w:t>51,293</w:t>
            </w:r>
          </w:p>
        </w:tc>
      </w:tr>
      <w:tr w:rsidR="00C657FB" w:rsidRPr="003C482B" w:rsidTr="00CA790B">
        <w:trPr>
          <w:cantSplit/>
        </w:trPr>
        <w:tc>
          <w:tcPr>
            <w:tcW w:w="2660" w:type="dxa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Total other $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3C482B" w:rsidRDefault="00CD0E7A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-</w:t>
            </w:r>
          </w:p>
        </w:tc>
      </w:tr>
      <w:tr w:rsidR="00C657FB" w:rsidRPr="003C482B" w:rsidTr="00CA790B">
        <w:trPr>
          <w:cantSplit/>
        </w:trPr>
        <w:tc>
          <w:tcPr>
            <w:tcW w:w="2660" w:type="dxa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Delivery organisation(s)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3C482B" w:rsidRDefault="00CD0E7A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Griffith University</w:t>
            </w:r>
          </w:p>
        </w:tc>
      </w:tr>
      <w:tr w:rsidR="00C657FB" w:rsidRPr="003C482B" w:rsidTr="00CA790B">
        <w:trPr>
          <w:cantSplit/>
        </w:trPr>
        <w:tc>
          <w:tcPr>
            <w:tcW w:w="2660" w:type="dxa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 xml:space="preserve">Implementing </w:t>
            </w:r>
            <w:r w:rsidR="00845B17" w:rsidRPr="003C482B">
              <w:rPr>
                <w:rFonts w:cs="Arial"/>
              </w:rPr>
              <w:t>partner</w:t>
            </w:r>
            <w:r w:rsidRPr="003C482B">
              <w:rPr>
                <w:rFonts w:cs="Arial"/>
              </w:rPr>
              <w:t>(s)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</w:p>
        </w:tc>
      </w:tr>
      <w:tr w:rsidR="00C657FB" w:rsidRPr="003C482B" w:rsidTr="00CA790B">
        <w:trPr>
          <w:cantSplit/>
        </w:trPr>
        <w:tc>
          <w:tcPr>
            <w:tcW w:w="2660" w:type="dxa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Country/Region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3C482B" w:rsidRDefault="00CD0E7A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Kiribati</w:t>
            </w:r>
          </w:p>
        </w:tc>
      </w:tr>
      <w:tr w:rsidR="00C657FB" w:rsidRPr="003C482B" w:rsidTr="00CA790B">
        <w:trPr>
          <w:cantSplit/>
        </w:trPr>
        <w:tc>
          <w:tcPr>
            <w:tcW w:w="2660" w:type="dxa"/>
            <w:shd w:val="clear" w:color="auto" w:fill="auto"/>
          </w:tcPr>
          <w:p w:rsidR="00C657FB" w:rsidRPr="003C482B" w:rsidRDefault="00C657FB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 xml:space="preserve">Primary </w:t>
            </w:r>
            <w:r w:rsidR="00845B17" w:rsidRPr="003C482B">
              <w:rPr>
                <w:rFonts w:cs="Arial"/>
              </w:rPr>
              <w:t>sector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C657FB" w:rsidRPr="003C482B" w:rsidRDefault="00CD0E7A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Medical Education / Training – Saving Lives</w:t>
            </w:r>
          </w:p>
        </w:tc>
      </w:tr>
      <w:tr w:rsidR="00C657FB" w:rsidRPr="003C482B" w:rsidTr="00CA790B">
        <w:trPr>
          <w:cantSplit/>
          <w:trHeight w:val="1345"/>
        </w:trPr>
        <w:tc>
          <w:tcPr>
            <w:tcW w:w="2660" w:type="dxa"/>
            <w:shd w:val="clear" w:color="auto" w:fill="auto"/>
          </w:tcPr>
          <w:p w:rsidR="00C657FB" w:rsidRPr="003C482B" w:rsidRDefault="00390A59" w:rsidP="00CA790B">
            <w:pPr>
              <w:pStyle w:val="Table-normal-text"/>
              <w:rPr>
                <w:rFonts w:cs="Arial"/>
              </w:rPr>
            </w:pPr>
            <w:r w:rsidRPr="003C482B">
              <w:rPr>
                <w:rFonts w:cs="Arial"/>
              </w:rPr>
              <w:t>Initiative</w:t>
            </w:r>
            <w:r w:rsidR="00C657FB" w:rsidRPr="003C482B">
              <w:rPr>
                <w:rFonts w:cs="Arial"/>
              </w:rPr>
              <w:t xml:space="preserve"> objective</w:t>
            </w:r>
            <w:r w:rsidR="00614E79" w:rsidRPr="003C482B">
              <w:rPr>
                <w:rFonts w:cs="Arial"/>
              </w:rPr>
              <w:t>/s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B22A33" w:rsidRPr="003C482B" w:rsidRDefault="00B22A33" w:rsidP="00CA790B">
            <w:pPr>
              <w:spacing w:before="0"/>
              <w:ind w:left="1026" w:hanging="1026"/>
              <w:rPr>
                <w:rFonts w:cs="Arial"/>
                <w:szCs w:val="20"/>
              </w:rPr>
            </w:pPr>
            <w:r w:rsidRPr="003C482B">
              <w:rPr>
                <w:rFonts w:cs="Arial"/>
                <w:szCs w:val="20"/>
              </w:rPr>
              <w:t xml:space="preserve">Goal  </w:t>
            </w:r>
            <w:r w:rsidR="008A1FC0">
              <w:rPr>
                <w:rFonts w:cs="Arial"/>
                <w:szCs w:val="20"/>
              </w:rPr>
              <w:tab/>
            </w:r>
            <w:r w:rsidRPr="003C482B">
              <w:rPr>
                <w:rFonts w:cs="Arial"/>
                <w:szCs w:val="20"/>
              </w:rPr>
              <w:t xml:space="preserve">To contribute to Government of Kiribati’s efforts to address a rapidly growing population and urbanisation, reduce youth unemployment, and diversify the country’s remittance base. </w:t>
            </w:r>
          </w:p>
          <w:p w:rsidR="00B22A33" w:rsidRPr="003C482B" w:rsidRDefault="00B22A33" w:rsidP="00CA790B">
            <w:pPr>
              <w:ind w:left="1026" w:hanging="1026"/>
              <w:rPr>
                <w:rFonts w:cs="Arial"/>
                <w:sz w:val="22"/>
                <w:szCs w:val="22"/>
              </w:rPr>
            </w:pPr>
            <w:r w:rsidRPr="003C482B">
              <w:rPr>
                <w:rFonts w:cs="Arial"/>
                <w:szCs w:val="20"/>
              </w:rPr>
              <w:t xml:space="preserve">Objective </w:t>
            </w:r>
            <w:r w:rsidR="008A1FC0">
              <w:rPr>
                <w:rFonts w:cs="Arial"/>
                <w:szCs w:val="20"/>
              </w:rPr>
              <w:tab/>
            </w:r>
            <w:r w:rsidR="007C742F" w:rsidRPr="003C482B">
              <w:rPr>
                <w:rFonts w:cs="Arial"/>
                <w:szCs w:val="20"/>
              </w:rPr>
              <w:t xml:space="preserve">To educate and skill </w:t>
            </w:r>
            <w:r w:rsidR="00746917" w:rsidRPr="003C482B">
              <w:rPr>
                <w:rFonts w:cs="Arial"/>
                <w:szCs w:val="20"/>
              </w:rPr>
              <w:t>I</w:t>
            </w:r>
            <w:r w:rsidR="007C742F" w:rsidRPr="003C482B">
              <w:rPr>
                <w:rFonts w:cs="Arial"/>
                <w:szCs w:val="20"/>
              </w:rPr>
              <w:t>-Kiribati youth to gain Australian and international employment in the nursing sector</w:t>
            </w:r>
          </w:p>
        </w:tc>
      </w:tr>
    </w:tbl>
    <w:p w:rsidR="00C657FB" w:rsidRPr="003C482B" w:rsidRDefault="00C657FB" w:rsidP="00C657FB">
      <w:pPr>
        <w:pStyle w:val="Heading2"/>
      </w:pPr>
      <w:r w:rsidRPr="003C482B">
        <w:t>Evaluation Summary</w:t>
      </w:r>
    </w:p>
    <w:p w:rsidR="00C657FB" w:rsidRPr="003C482B" w:rsidRDefault="00C657FB" w:rsidP="005F0156">
      <w:pPr>
        <w:rPr>
          <w:rFonts w:cs="Arial"/>
          <w:b/>
        </w:rPr>
      </w:pPr>
      <w:r w:rsidRPr="003C482B">
        <w:rPr>
          <w:rFonts w:cs="Arial"/>
          <w:b/>
        </w:rPr>
        <w:t xml:space="preserve">Evaluation Objective: </w:t>
      </w:r>
    </w:p>
    <w:p w:rsidR="007C742F" w:rsidRPr="003C482B" w:rsidRDefault="007C742F" w:rsidP="005F0156">
      <w:pPr>
        <w:outlineLvl w:val="0"/>
        <w:rPr>
          <w:rFonts w:cs="Arial"/>
          <w:szCs w:val="20"/>
        </w:rPr>
      </w:pPr>
      <w:r w:rsidRPr="003C482B">
        <w:rPr>
          <w:rFonts w:cs="Arial"/>
          <w:szCs w:val="20"/>
        </w:rPr>
        <w:t xml:space="preserve">The purpose of the review </w:t>
      </w:r>
      <w:r w:rsidR="00936A6D" w:rsidRPr="003C482B">
        <w:rPr>
          <w:rFonts w:cs="Arial"/>
          <w:szCs w:val="20"/>
        </w:rPr>
        <w:t>was</w:t>
      </w:r>
      <w:r w:rsidR="00110436" w:rsidRPr="003C482B">
        <w:rPr>
          <w:rFonts w:cs="Arial"/>
          <w:szCs w:val="20"/>
        </w:rPr>
        <w:t xml:space="preserve"> </w:t>
      </w:r>
      <w:r w:rsidRPr="003C482B">
        <w:rPr>
          <w:rFonts w:cs="Arial"/>
          <w:szCs w:val="20"/>
        </w:rPr>
        <w:t xml:space="preserve">to provide </w:t>
      </w:r>
      <w:r w:rsidR="0009274D">
        <w:rPr>
          <w:rFonts w:cs="Arial"/>
          <w:szCs w:val="20"/>
        </w:rPr>
        <w:t xml:space="preserve">(the then) </w:t>
      </w:r>
      <w:r w:rsidRPr="003C482B">
        <w:rPr>
          <w:rFonts w:cs="Arial"/>
          <w:szCs w:val="20"/>
        </w:rPr>
        <w:t xml:space="preserve">AusAID and the </w:t>
      </w:r>
      <w:r w:rsidR="00A96A0A" w:rsidRPr="003C482B">
        <w:rPr>
          <w:rFonts w:cs="Arial"/>
          <w:szCs w:val="20"/>
        </w:rPr>
        <w:t xml:space="preserve">Government of </w:t>
      </w:r>
      <w:r w:rsidRPr="003C482B">
        <w:rPr>
          <w:rFonts w:cs="Arial"/>
          <w:szCs w:val="20"/>
        </w:rPr>
        <w:t xml:space="preserve">Kiribati (GoK) with an assessment of whether </w:t>
      </w:r>
      <w:r w:rsidR="008856F9" w:rsidRPr="003C482B">
        <w:rPr>
          <w:rFonts w:cs="Arial"/>
          <w:szCs w:val="20"/>
        </w:rPr>
        <w:t>the Kiribati Australia Nursing Initiative (</w:t>
      </w:r>
      <w:r w:rsidRPr="003C482B">
        <w:rPr>
          <w:rFonts w:cs="Arial"/>
          <w:szCs w:val="20"/>
        </w:rPr>
        <w:t>KANI</w:t>
      </w:r>
      <w:r w:rsidR="008856F9" w:rsidRPr="003C482B">
        <w:rPr>
          <w:rFonts w:cs="Arial"/>
          <w:szCs w:val="20"/>
        </w:rPr>
        <w:t>)</w:t>
      </w:r>
      <w:r w:rsidRPr="003C482B">
        <w:rPr>
          <w:rFonts w:cs="Arial"/>
          <w:szCs w:val="20"/>
        </w:rPr>
        <w:t xml:space="preserve"> remains relevant to the needs of Kiribati, whether the objectives are on track to being achieved</w:t>
      </w:r>
      <w:r w:rsidR="008A1FC0">
        <w:rPr>
          <w:rFonts w:cs="Arial"/>
          <w:szCs w:val="20"/>
        </w:rPr>
        <w:t>,</w:t>
      </w:r>
      <w:r w:rsidRPr="003C482B">
        <w:rPr>
          <w:rFonts w:cs="Arial"/>
          <w:szCs w:val="20"/>
        </w:rPr>
        <w:t xml:space="preserve"> and whether the benefits of the activity justify the costs. In particular, this review </w:t>
      </w:r>
      <w:r w:rsidR="00936A6D" w:rsidRPr="003C482B">
        <w:rPr>
          <w:rFonts w:cs="Arial"/>
          <w:szCs w:val="20"/>
        </w:rPr>
        <w:t xml:space="preserve">was to </w:t>
      </w:r>
      <w:r w:rsidRPr="003C482B">
        <w:rPr>
          <w:rFonts w:cs="Arial"/>
          <w:szCs w:val="20"/>
        </w:rPr>
        <w:t xml:space="preserve">inform a decision on whether or not to continue KANI. If a future phase is warranted, the review </w:t>
      </w:r>
      <w:r w:rsidR="00AA713B" w:rsidRPr="003C482B">
        <w:rPr>
          <w:rFonts w:cs="Arial"/>
          <w:szCs w:val="20"/>
        </w:rPr>
        <w:t xml:space="preserve">was to </w:t>
      </w:r>
      <w:r w:rsidRPr="003C482B">
        <w:rPr>
          <w:rFonts w:cs="Arial"/>
          <w:szCs w:val="20"/>
        </w:rPr>
        <w:t>provide advice on key areas of the initiative that should be remodelled.</w:t>
      </w:r>
    </w:p>
    <w:p w:rsidR="00C657FB" w:rsidRPr="003C482B" w:rsidRDefault="00C657FB" w:rsidP="005F0156">
      <w:pPr>
        <w:rPr>
          <w:rFonts w:cs="Arial"/>
        </w:rPr>
      </w:pPr>
      <w:r w:rsidRPr="003C482B">
        <w:rPr>
          <w:rFonts w:cs="Arial"/>
          <w:b/>
        </w:rPr>
        <w:t xml:space="preserve">Evaluation Completion Date: </w:t>
      </w:r>
      <w:r w:rsidR="008A1FC0">
        <w:rPr>
          <w:rFonts w:cs="Arial"/>
        </w:rPr>
        <w:t>17 May 2013</w:t>
      </w:r>
    </w:p>
    <w:p w:rsidR="00C657FB" w:rsidRPr="003C482B" w:rsidRDefault="00C657FB" w:rsidP="005F0156">
      <w:pPr>
        <w:rPr>
          <w:rFonts w:cs="Arial"/>
        </w:rPr>
      </w:pPr>
      <w:r w:rsidRPr="003C482B">
        <w:rPr>
          <w:rFonts w:cs="Arial"/>
          <w:b/>
        </w:rPr>
        <w:t xml:space="preserve">Evaluation Team: </w:t>
      </w:r>
      <w:r w:rsidR="007C742F" w:rsidRPr="003C482B">
        <w:rPr>
          <w:rFonts w:cs="Arial"/>
        </w:rPr>
        <w:t>Lea Shaw</w:t>
      </w:r>
      <w:r w:rsidR="00742997">
        <w:rPr>
          <w:rFonts w:cs="Arial"/>
        </w:rPr>
        <w:t xml:space="preserve"> (</w:t>
      </w:r>
      <w:r w:rsidRPr="003C482B">
        <w:rPr>
          <w:rFonts w:cs="Arial"/>
        </w:rPr>
        <w:t>Team Leader</w:t>
      </w:r>
      <w:r w:rsidR="00742997">
        <w:rPr>
          <w:rFonts w:cs="Arial"/>
        </w:rPr>
        <w:t>),</w:t>
      </w:r>
      <w:r w:rsidRPr="003C482B">
        <w:rPr>
          <w:rFonts w:cs="Arial"/>
        </w:rPr>
        <w:t xml:space="preserve"> </w:t>
      </w:r>
      <w:r w:rsidR="007C742F" w:rsidRPr="003C482B">
        <w:rPr>
          <w:rFonts w:cs="Arial"/>
        </w:rPr>
        <w:t>Murray Edwards</w:t>
      </w:r>
      <w:r w:rsidR="00742997">
        <w:rPr>
          <w:rFonts w:cs="Arial"/>
        </w:rPr>
        <w:t xml:space="preserve"> (</w:t>
      </w:r>
      <w:r w:rsidR="007C742F" w:rsidRPr="003C482B">
        <w:rPr>
          <w:rFonts w:cs="Arial"/>
        </w:rPr>
        <w:t>Economist</w:t>
      </w:r>
      <w:r w:rsidR="00742997">
        <w:rPr>
          <w:rFonts w:cs="Arial"/>
        </w:rPr>
        <w:t>)</w:t>
      </w:r>
      <w:r w:rsidRPr="003C482B">
        <w:rPr>
          <w:rFonts w:cs="Arial"/>
        </w:rPr>
        <w:t xml:space="preserve"> and</w:t>
      </w:r>
      <w:r w:rsidR="007C742F" w:rsidRPr="003C482B">
        <w:rPr>
          <w:rFonts w:cs="Arial"/>
        </w:rPr>
        <w:t xml:space="preserve"> Akka Rimon</w:t>
      </w:r>
      <w:r w:rsidR="00742997">
        <w:rPr>
          <w:rFonts w:cs="Arial"/>
        </w:rPr>
        <w:t xml:space="preserve"> (</w:t>
      </w:r>
      <w:r w:rsidR="00DF5138">
        <w:rPr>
          <w:rFonts w:cs="Arial"/>
        </w:rPr>
        <w:t>GoK</w:t>
      </w:r>
      <w:r w:rsidR="00742997">
        <w:rPr>
          <w:rFonts w:cs="Arial"/>
        </w:rPr>
        <w:t>)</w:t>
      </w:r>
    </w:p>
    <w:p w:rsidR="005E3939" w:rsidRPr="00CA790B" w:rsidRDefault="00367DA3" w:rsidP="002E4E62">
      <w:pPr>
        <w:pStyle w:val="Heading2"/>
      </w:pPr>
      <w:r w:rsidRPr="00CA790B">
        <w:t>AusAID’s response to the evaluation report</w:t>
      </w:r>
    </w:p>
    <w:p w:rsidR="002E4E62" w:rsidRDefault="008856F9" w:rsidP="00B0466F">
      <w:pPr>
        <w:rPr>
          <w:rFonts w:cs="Arial"/>
        </w:rPr>
      </w:pPr>
      <w:r w:rsidRPr="003C482B">
        <w:rPr>
          <w:rFonts w:cs="Arial"/>
        </w:rPr>
        <w:t xml:space="preserve">The report </w:t>
      </w:r>
      <w:r w:rsidR="00AC1241" w:rsidRPr="003C482B">
        <w:rPr>
          <w:rFonts w:cs="Arial"/>
        </w:rPr>
        <w:t xml:space="preserve">provides a </w:t>
      </w:r>
      <w:r w:rsidR="00742997">
        <w:rPr>
          <w:rFonts w:cs="Arial"/>
        </w:rPr>
        <w:t>fair</w:t>
      </w:r>
      <w:r w:rsidR="00742997" w:rsidRPr="003C482B">
        <w:rPr>
          <w:rFonts w:cs="Arial"/>
        </w:rPr>
        <w:t xml:space="preserve"> </w:t>
      </w:r>
      <w:r w:rsidR="00AC1241" w:rsidRPr="003C482B">
        <w:rPr>
          <w:rFonts w:cs="Arial"/>
        </w:rPr>
        <w:t>assessment of the initiative’s strengths and weaknesses</w:t>
      </w:r>
      <w:r w:rsidR="00467C62" w:rsidRPr="003C482B">
        <w:rPr>
          <w:rFonts w:cs="Arial"/>
        </w:rPr>
        <w:t xml:space="preserve">, and </w:t>
      </w:r>
      <w:r w:rsidR="00AA713B" w:rsidRPr="003C482B">
        <w:rPr>
          <w:rFonts w:cs="Arial"/>
        </w:rPr>
        <w:t xml:space="preserve">a robust cost-benefit </w:t>
      </w:r>
      <w:r w:rsidR="003D0131" w:rsidRPr="003C482B">
        <w:rPr>
          <w:rFonts w:cs="Arial"/>
        </w:rPr>
        <w:t>analysis</w:t>
      </w:r>
      <w:r w:rsidR="00AC1241" w:rsidRPr="003C482B">
        <w:rPr>
          <w:rFonts w:cs="Arial"/>
        </w:rPr>
        <w:t>.</w:t>
      </w:r>
      <w:r w:rsidR="00B22A33" w:rsidRPr="003C482B">
        <w:rPr>
          <w:rFonts w:cs="Arial"/>
        </w:rPr>
        <w:t xml:space="preserve"> It provides a constructive and useful, if not limited, analysis of KANI and its achievements.</w:t>
      </w:r>
    </w:p>
    <w:p w:rsidR="00366BB9" w:rsidRPr="003C482B" w:rsidRDefault="00C90CFF" w:rsidP="00B0466F">
      <w:pPr>
        <w:rPr>
          <w:rFonts w:cs="Arial"/>
        </w:rPr>
      </w:pPr>
      <w:r w:rsidRPr="003C482B">
        <w:rPr>
          <w:rFonts w:cs="Arial"/>
        </w:rPr>
        <w:t xml:space="preserve">AusAID </w:t>
      </w:r>
      <w:r w:rsidR="00C365BC">
        <w:rPr>
          <w:rFonts w:cs="Arial"/>
        </w:rPr>
        <w:t xml:space="preserve">considers </w:t>
      </w:r>
      <w:r w:rsidR="00AC1241" w:rsidRPr="003C482B">
        <w:rPr>
          <w:rFonts w:cs="Arial"/>
        </w:rPr>
        <w:t xml:space="preserve">the </w:t>
      </w:r>
      <w:r w:rsidR="00451B34">
        <w:rPr>
          <w:rFonts w:cs="Arial"/>
        </w:rPr>
        <w:t xml:space="preserve">review </w:t>
      </w:r>
      <w:r w:rsidR="00AC1241" w:rsidRPr="003C482B">
        <w:rPr>
          <w:rFonts w:cs="Arial"/>
        </w:rPr>
        <w:t xml:space="preserve">ratings across all </w:t>
      </w:r>
      <w:r w:rsidR="00451B34">
        <w:rPr>
          <w:rFonts w:cs="Arial"/>
        </w:rPr>
        <w:t>evaluation criteria</w:t>
      </w:r>
      <w:r w:rsidR="00451B34" w:rsidRPr="003C482B">
        <w:rPr>
          <w:rFonts w:cs="Arial"/>
        </w:rPr>
        <w:t xml:space="preserve"> </w:t>
      </w:r>
      <w:r w:rsidR="00AC1241" w:rsidRPr="003C482B">
        <w:rPr>
          <w:rFonts w:cs="Arial"/>
        </w:rPr>
        <w:t>to be generous</w:t>
      </w:r>
      <w:r w:rsidR="00366BB9" w:rsidRPr="003C482B">
        <w:rPr>
          <w:rFonts w:cs="Arial"/>
        </w:rPr>
        <w:t xml:space="preserve">, and </w:t>
      </w:r>
      <w:r w:rsidR="00451B34">
        <w:rPr>
          <w:rFonts w:cs="Arial"/>
        </w:rPr>
        <w:t xml:space="preserve">notes they are </w:t>
      </w:r>
      <w:r w:rsidR="00366BB9" w:rsidRPr="003C482B">
        <w:rPr>
          <w:rFonts w:cs="Arial"/>
        </w:rPr>
        <w:t>higher than</w:t>
      </w:r>
      <w:r w:rsidR="00E872E6" w:rsidRPr="003C482B">
        <w:rPr>
          <w:rFonts w:cs="Arial"/>
        </w:rPr>
        <w:t xml:space="preserve"> the</w:t>
      </w:r>
      <w:r w:rsidR="00366BB9" w:rsidRPr="003C482B">
        <w:rPr>
          <w:rFonts w:cs="Arial"/>
        </w:rPr>
        <w:t xml:space="preserve"> ratings </w:t>
      </w:r>
      <w:r w:rsidR="00977DDC" w:rsidRPr="003C482B">
        <w:rPr>
          <w:rFonts w:cs="Arial"/>
        </w:rPr>
        <w:t>given</w:t>
      </w:r>
      <w:r w:rsidR="00366BB9" w:rsidRPr="003C482B">
        <w:rPr>
          <w:rFonts w:cs="Arial"/>
        </w:rPr>
        <w:t xml:space="preserve"> by </w:t>
      </w:r>
      <w:r w:rsidRPr="003C482B">
        <w:rPr>
          <w:rFonts w:cs="Arial"/>
        </w:rPr>
        <w:t xml:space="preserve">AusAID </w:t>
      </w:r>
      <w:r w:rsidR="00366BB9" w:rsidRPr="003C482B">
        <w:rPr>
          <w:rFonts w:cs="Arial"/>
        </w:rPr>
        <w:t xml:space="preserve">in </w:t>
      </w:r>
      <w:r w:rsidR="00C365BC">
        <w:rPr>
          <w:rFonts w:cs="Arial"/>
        </w:rPr>
        <w:t>a recent self-assessment of the initiative (</w:t>
      </w:r>
      <w:r w:rsidR="00366BB9" w:rsidRPr="003C482B">
        <w:rPr>
          <w:rFonts w:cs="Arial"/>
        </w:rPr>
        <w:t>Q</w:t>
      </w:r>
      <w:r w:rsidR="008C512D" w:rsidRPr="003C482B">
        <w:rPr>
          <w:rFonts w:cs="Arial"/>
        </w:rPr>
        <w:t xml:space="preserve">uality at </w:t>
      </w:r>
      <w:r w:rsidR="00366BB9" w:rsidRPr="003C482B">
        <w:rPr>
          <w:rFonts w:cs="Arial"/>
        </w:rPr>
        <w:t>I</w:t>
      </w:r>
      <w:r w:rsidR="008C512D" w:rsidRPr="003C482B">
        <w:rPr>
          <w:rFonts w:cs="Arial"/>
        </w:rPr>
        <w:t>mplementation</w:t>
      </w:r>
      <w:r w:rsidR="00C365BC">
        <w:rPr>
          <w:rFonts w:cs="Arial"/>
        </w:rPr>
        <w:t>).</w:t>
      </w:r>
    </w:p>
    <w:p w:rsidR="00451B34" w:rsidRDefault="00451B34" w:rsidP="005F0156">
      <w:pPr>
        <w:spacing w:before="0"/>
        <w:rPr>
          <w:rFonts w:cs="Arial"/>
        </w:rPr>
      </w:pPr>
    </w:p>
    <w:p w:rsidR="002E4E62" w:rsidRDefault="002E4E62" w:rsidP="005F0156">
      <w:pPr>
        <w:spacing w:before="0"/>
        <w:rPr>
          <w:rFonts w:cs="Arial"/>
        </w:rPr>
      </w:pPr>
      <w:r w:rsidRPr="002E4E62">
        <w:rPr>
          <w:rFonts w:cs="Arial"/>
        </w:rPr>
        <w:t>In particular, the review provides a narr</w:t>
      </w:r>
      <w:r w:rsidR="00C365BC">
        <w:rPr>
          <w:rFonts w:cs="Arial"/>
        </w:rPr>
        <w:t xml:space="preserve">ow assessment of </w:t>
      </w:r>
      <w:r w:rsidR="00C365BC" w:rsidRPr="00DF5138">
        <w:rPr>
          <w:rFonts w:cs="Arial"/>
          <w:u w:val="single"/>
        </w:rPr>
        <w:t>relevance</w:t>
      </w:r>
      <w:r w:rsidR="00C365BC">
        <w:rPr>
          <w:rFonts w:cs="Arial"/>
        </w:rPr>
        <w:t xml:space="preserve">. The assessment notes the relevance of KANI’s </w:t>
      </w:r>
      <w:r w:rsidR="00C365BC">
        <w:rPr>
          <w:rFonts w:cs="Arial"/>
          <w:i/>
        </w:rPr>
        <w:t>goal and objective</w:t>
      </w:r>
      <w:r w:rsidR="00C365BC">
        <w:rPr>
          <w:rFonts w:cs="Arial"/>
        </w:rPr>
        <w:t xml:space="preserve"> to GoK priorities and the Australia-Kiribati Partnership for Development, but the report </w:t>
      </w:r>
      <w:r w:rsidR="00C365BC" w:rsidRPr="002E4E62">
        <w:rPr>
          <w:rFonts w:cs="Arial"/>
        </w:rPr>
        <w:t>fails to consider whether KANI is the most appropriate means to achieve the broader goal and objective.</w:t>
      </w:r>
      <w:r w:rsidR="00C365BC">
        <w:rPr>
          <w:rFonts w:cs="Arial"/>
        </w:rPr>
        <w:t xml:space="preserve"> </w:t>
      </w:r>
      <w:r>
        <w:rPr>
          <w:rFonts w:cs="Arial"/>
        </w:rPr>
        <w:t xml:space="preserve">The review does not consider whether </w:t>
      </w:r>
      <w:r w:rsidR="00C365BC">
        <w:rPr>
          <w:rFonts w:cs="Arial"/>
        </w:rPr>
        <w:t xml:space="preserve">there are </w:t>
      </w:r>
      <w:r>
        <w:rPr>
          <w:rFonts w:cs="Arial"/>
        </w:rPr>
        <w:t>more appropriate and cost effective options.</w:t>
      </w:r>
    </w:p>
    <w:p w:rsidR="002E4E62" w:rsidRDefault="002E4E62" w:rsidP="005F0156">
      <w:pPr>
        <w:spacing w:before="0"/>
        <w:rPr>
          <w:rFonts w:cs="Arial"/>
        </w:rPr>
      </w:pPr>
    </w:p>
    <w:p w:rsidR="00B222DF" w:rsidRDefault="001216E4" w:rsidP="00DF5138">
      <w:pPr>
        <w:spacing w:before="0"/>
        <w:rPr>
          <w:rFonts w:cs="Arial"/>
        </w:rPr>
      </w:pPr>
      <w:r>
        <w:rPr>
          <w:rFonts w:cs="Arial"/>
        </w:rPr>
        <w:t>Importantly, t</w:t>
      </w:r>
      <w:r w:rsidR="003A1773">
        <w:rPr>
          <w:rFonts w:cs="Arial"/>
        </w:rPr>
        <w:t xml:space="preserve">he review concluded </w:t>
      </w:r>
      <w:r w:rsidR="00B0466F">
        <w:rPr>
          <w:rFonts w:cs="Arial"/>
        </w:rPr>
        <w:t>KANI</w:t>
      </w:r>
      <w:r w:rsidR="00C87222" w:rsidRPr="003C482B">
        <w:rPr>
          <w:rFonts w:cs="Arial"/>
        </w:rPr>
        <w:t xml:space="preserve"> will have</w:t>
      </w:r>
      <w:r w:rsidR="00DF5138">
        <w:rPr>
          <w:rFonts w:cs="Arial"/>
        </w:rPr>
        <w:t xml:space="preserve"> </w:t>
      </w:r>
      <w:r w:rsidR="00E558E2" w:rsidRPr="00DF5138">
        <w:rPr>
          <w:rFonts w:cs="Arial"/>
        </w:rPr>
        <w:t xml:space="preserve">limited </w:t>
      </w:r>
      <w:r w:rsidR="00E12F88" w:rsidRPr="00DF5138">
        <w:rPr>
          <w:rFonts w:cs="Arial"/>
          <w:u w:val="single"/>
        </w:rPr>
        <w:t>effectiveness</w:t>
      </w:r>
      <w:r w:rsidR="00E12F88" w:rsidRPr="00DF5138">
        <w:rPr>
          <w:rFonts w:cs="Arial"/>
        </w:rPr>
        <w:t>,</w:t>
      </w:r>
      <w:r w:rsidR="00B0466F" w:rsidRPr="00DF5138">
        <w:rPr>
          <w:rFonts w:cs="Arial"/>
        </w:rPr>
        <w:t xml:space="preserve"> particularly</w:t>
      </w:r>
      <w:r w:rsidR="00E12F88" w:rsidRPr="00DF5138">
        <w:rPr>
          <w:rFonts w:cs="Arial"/>
        </w:rPr>
        <w:t xml:space="preserve"> when measured in terms of </w:t>
      </w:r>
      <w:r w:rsidR="00C87222" w:rsidRPr="00DF5138">
        <w:rPr>
          <w:rFonts w:cs="Arial"/>
        </w:rPr>
        <w:t xml:space="preserve">reducing youth unemployment and diversifying </w:t>
      </w:r>
      <w:r w:rsidR="00B0466F" w:rsidRPr="00DF5138">
        <w:rPr>
          <w:rFonts w:cs="Arial"/>
        </w:rPr>
        <w:t xml:space="preserve">Kiribati’s </w:t>
      </w:r>
      <w:r w:rsidR="00C87222" w:rsidRPr="00DF5138">
        <w:rPr>
          <w:rFonts w:cs="Arial"/>
        </w:rPr>
        <w:t>remittance base</w:t>
      </w:r>
      <w:r w:rsidR="00A14C88" w:rsidRPr="00DF5138">
        <w:rPr>
          <w:rFonts w:cs="Arial"/>
        </w:rPr>
        <w:t xml:space="preserve">. </w:t>
      </w:r>
      <w:r w:rsidR="009078E6" w:rsidRPr="00DF5138">
        <w:rPr>
          <w:rFonts w:cs="Arial"/>
        </w:rPr>
        <w:t>T</w:t>
      </w:r>
      <w:r w:rsidR="00B222DF" w:rsidRPr="00DF5138">
        <w:rPr>
          <w:rFonts w:cs="Arial"/>
        </w:rPr>
        <w:t>he review found the initiative would need to continue over many years before remittance from nurses trained under the program would have any significant economic or social impact on Kiribati</w:t>
      </w:r>
      <w:r w:rsidR="00DF5138">
        <w:rPr>
          <w:rFonts w:cs="Arial"/>
        </w:rPr>
        <w:t>.</w:t>
      </w:r>
    </w:p>
    <w:p w:rsidR="00DF5138" w:rsidRDefault="00DF5138" w:rsidP="00DF5138">
      <w:pPr>
        <w:spacing w:before="0"/>
        <w:rPr>
          <w:rFonts w:cs="Arial"/>
        </w:rPr>
      </w:pPr>
    </w:p>
    <w:p w:rsidR="00367DA3" w:rsidRPr="00DF5138" w:rsidRDefault="00DF5138" w:rsidP="00DF5138">
      <w:pPr>
        <w:spacing w:before="0"/>
        <w:rPr>
          <w:rFonts w:cs="Arial"/>
        </w:rPr>
      </w:pPr>
      <w:r>
        <w:rPr>
          <w:rFonts w:cs="Arial"/>
        </w:rPr>
        <w:lastRenderedPageBreak/>
        <w:t xml:space="preserve">The review also concluded that KANI will have low </w:t>
      </w:r>
      <w:r w:rsidRPr="00DF5138">
        <w:rPr>
          <w:rFonts w:cs="Arial"/>
          <w:u w:val="single"/>
        </w:rPr>
        <w:t>cost-benefits</w:t>
      </w:r>
      <w:r>
        <w:rPr>
          <w:rFonts w:cs="Arial"/>
        </w:rPr>
        <w:t xml:space="preserve">. </w:t>
      </w:r>
      <w:r w:rsidR="00C87222" w:rsidRPr="00DF5138">
        <w:rPr>
          <w:rFonts w:cs="Arial"/>
        </w:rPr>
        <w:t>T</w:t>
      </w:r>
      <w:r w:rsidR="00B222DF" w:rsidRPr="00DF5138">
        <w:rPr>
          <w:rFonts w:cs="Arial"/>
        </w:rPr>
        <w:t xml:space="preserve">he review </w:t>
      </w:r>
      <w:r w:rsidR="00B0466F" w:rsidRPr="00DF5138">
        <w:rPr>
          <w:rFonts w:cs="Arial"/>
        </w:rPr>
        <w:t xml:space="preserve">reported </w:t>
      </w:r>
      <w:r w:rsidR="00167DA1" w:rsidRPr="00DF5138">
        <w:rPr>
          <w:rFonts w:cs="Arial"/>
        </w:rPr>
        <w:t xml:space="preserve">only marginally positive net benefits </w:t>
      </w:r>
      <w:r w:rsidR="00B0466F" w:rsidRPr="00DF5138">
        <w:rPr>
          <w:rFonts w:cs="Arial"/>
        </w:rPr>
        <w:t xml:space="preserve">would accrue over KANI’s life based </w:t>
      </w:r>
      <w:r w:rsidR="00167DA1" w:rsidRPr="00DF5138">
        <w:rPr>
          <w:rFonts w:cs="Arial"/>
        </w:rPr>
        <w:t>on realistic scenarios, and would have shown a negative net benefit had private salaries of individuals not been counted as ‘benefits’</w:t>
      </w:r>
      <w:r w:rsidR="00992DDD" w:rsidRPr="00DF5138">
        <w:rPr>
          <w:rFonts w:cs="Arial"/>
        </w:rPr>
        <w:t>.</w:t>
      </w:r>
    </w:p>
    <w:p w:rsidR="00366BB1" w:rsidRDefault="00343878" w:rsidP="005F0156">
      <w:pPr>
        <w:rPr>
          <w:rFonts w:cs="Arial"/>
        </w:rPr>
      </w:pPr>
      <w:r w:rsidRPr="003C482B">
        <w:rPr>
          <w:rFonts w:cs="Arial"/>
        </w:rPr>
        <w:t xml:space="preserve">The review </w:t>
      </w:r>
      <w:r w:rsidR="00AA5E51">
        <w:rPr>
          <w:rFonts w:cs="Arial"/>
        </w:rPr>
        <w:t>did not</w:t>
      </w:r>
      <w:r w:rsidRPr="003C482B">
        <w:rPr>
          <w:rFonts w:cs="Arial"/>
        </w:rPr>
        <w:t xml:space="preserve"> make any recommendation on whether KANI should be continued, adjusted or terminated. </w:t>
      </w:r>
      <w:r w:rsidR="004E18AF" w:rsidRPr="003C482B">
        <w:rPr>
          <w:rFonts w:cs="Arial"/>
        </w:rPr>
        <w:t xml:space="preserve">They indicated this was a decision for AusAID. Based on the above </w:t>
      </w:r>
      <w:r w:rsidR="00AA5E51">
        <w:rPr>
          <w:rFonts w:cs="Arial"/>
        </w:rPr>
        <w:t>conclusions, and the lack of compelling evidence indicating it should be continued</w:t>
      </w:r>
      <w:r w:rsidR="004E18AF" w:rsidRPr="003C482B">
        <w:rPr>
          <w:rFonts w:cs="Arial"/>
        </w:rPr>
        <w:t xml:space="preserve">, </w:t>
      </w:r>
      <w:r w:rsidRPr="003C482B">
        <w:rPr>
          <w:rFonts w:cs="Arial"/>
        </w:rPr>
        <w:t xml:space="preserve">AusAID </w:t>
      </w:r>
      <w:r w:rsidR="004E18AF" w:rsidRPr="003C482B">
        <w:rPr>
          <w:rFonts w:cs="Arial"/>
        </w:rPr>
        <w:t xml:space="preserve">will not </w:t>
      </w:r>
      <w:r w:rsidR="001216E4">
        <w:rPr>
          <w:rFonts w:cs="Arial"/>
        </w:rPr>
        <w:t xml:space="preserve">extend </w:t>
      </w:r>
      <w:r w:rsidRPr="003C482B">
        <w:rPr>
          <w:rFonts w:cs="Arial"/>
        </w:rPr>
        <w:t>KANI in its current form</w:t>
      </w:r>
      <w:r w:rsidR="000E2DAB">
        <w:rPr>
          <w:rFonts w:cs="Arial"/>
        </w:rPr>
        <w:t xml:space="preserve"> beyond </w:t>
      </w:r>
      <w:r w:rsidR="001216E4">
        <w:rPr>
          <w:rFonts w:cs="Arial"/>
        </w:rPr>
        <w:t>the current phase (</w:t>
      </w:r>
      <w:r w:rsidR="000A2E90">
        <w:rPr>
          <w:rFonts w:cs="Arial"/>
        </w:rPr>
        <w:t xml:space="preserve">allowing </w:t>
      </w:r>
      <w:r w:rsidR="001216E4">
        <w:rPr>
          <w:rFonts w:cs="Arial"/>
        </w:rPr>
        <w:t xml:space="preserve">students in the current cohorts to complete their </w:t>
      </w:r>
      <w:r w:rsidR="000E2DAB">
        <w:rPr>
          <w:rFonts w:cs="Arial"/>
        </w:rPr>
        <w:t>studies)</w:t>
      </w:r>
      <w:r w:rsidRPr="003C482B">
        <w:rPr>
          <w:rFonts w:cs="Arial"/>
        </w:rPr>
        <w:t>.</w:t>
      </w:r>
      <w:r w:rsidR="00366BB1">
        <w:rPr>
          <w:rFonts w:cs="Arial"/>
        </w:rPr>
        <w:t xml:space="preserve"> This decision is consistent with the Australian Government’s commitment to make Australian aid more effective (outlined in </w:t>
      </w:r>
      <w:r w:rsidR="00366BB1" w:rsidRPr="00366BB1">
        <w:rPr>
          <w:rFonts w:cs="Arial"/>
          <w:i/>
        </w:rPr>
        <w:t>An Effective Aid Program for Australia, Making a Read Difference – Delivering Real Results</w:t>
      </w:r>
      <w:r w:rsidR="00A11FB8">
        <w:rPr>
          <w:rFonts w:cs="Arial"/>
        </w:rPr>
        <w:t xml:space="preserve"> and </w:t>
      </w:r>
      <w:r w:rsidR="00366BB1">
        <w:rPr>
          <w:rFonts w:cs="Arial"/>
        </w:rPr>
        <w:t xml:space="preserve">AusAID’s </w:t>
      </w:r>
      <w:r w:rsidR="00366BB1" w:rsidRPr="00366BB1">
        <w:rPr>
          <w:rFonts w:cs="Arial"/>
          <w:i/>
        </w:rPr>
        <w:t>Comprehensive Aid Policy Framework</w:t>
      </w:r>
      <w:r w:rsidR="00366BB1">
        <w:rPr>
          <w:rFonts w:cs="Arial"/>
        </w:rPr>
        <w:t>).</w:t>
      </w:r>
    </w:p>
    <w:p w:rsidR="00792431" w:rsidRDefault="001216E4" w:rsidP="005F0156">
      <w:pPr>
        <w:rPr>
          <w:rFonts w:cs="Arial"/>
        </w:rPr>
      </w:pPr>
      <w:r>
        <w:rPr>
          <w:rFonts w:cs="Arial"/>
        </w:rPr>
        <w:t xml:space="preserve">However, AusAID recognises that </w:t>
      </w:r>
      <w:r w:rsidR="000E2DAB">
        <w:rPr>
          <w:rFonts w:cs="Arial"/>
        </w:rPr>
        <w:t>KANI</w:t>
      </w:r>
      <w:r w:rsidR="000A2E90">
        <w:rPr>
          <w:rFonts w:cs="Arial"/>
        </w:rPr>
        <w:t>’s goal and objective are</w:t>
      </w:r>
      <w:r w:rsidR="00DF5138">
        <w:rPr>
          <w:rFonts w:cs="Arial"/>
        </w:rPr>
        <w:t xml:space="preserve"> appropriate, and </w:t>
      </w:r>
      <w:r w:rsidR="000A2E90">
        <w:rPr>
          <w:rFonts w:cs="Arial"/>
        </w:rPr>
        <w:t xml:space="preserve">because of this </w:t>
      </w:r>
      <w:r w:rsidR="00DF5138">
        <w:rPr>
          <w:rFonts w:cs="Arial"/>
        </w:rPr>
        <w:t>the initiative</w:t>
      </w:r>
      <w:r w:rsidR="000E2DAB">
        <w:rPr>
          <w:rFonts w:cs="Arial"/>
        </w:rPr>
        <w:t xml:space="preserve"> is h</w:t>
      </w:r>
      <w:r w:rsidR="00DF5138">
        <w:rPr>
          <w:rFonts w:cs="Arial"/>
        </w:rPr>
        <w:t>ighly regarded in Kiribati. I</w:t>
      </w:r>
      <w:r w:rsidR="000E2DAB">
        <w:rPr>
          <w:rFonts w:cs="Arial"/>
        </w:rPr>
        <w:t>t seeks to address</w:t>
      </w:r>
      <w:r>
        <w:rPr>
          <w:rFonts w:cs="Arial"/>
        </w:rPr>
        <w:t xml:space="preserve"> </w:t>
      </w:r>
      <w:r w:rsidR="000E2DAB">
        <w:rPr>
          <w:rFonts w:cs="Arial"/>
        </w:rPr>
        <w:t xml:space="preserve">key challenges </w:t>
      </w:r>
      <w:r>
        <w:rPr>
          <w:rFonts w:cs="Arial"/>
        </w:rPr>
        <w:t>for the country</w:t>
      </w:r>
      <w:r w:rsidR="000E2DAB">
        <w:rPr>
          <w:rFonts w:cs="Arial"/>
        </w:rPr>
        <w:t xml:space="preserve">, namely a rapidly growing population and urbanisation and high rates of youth unemployment. As such, </w:t>
      </w:r>
      <w:r>
        <w:rPr>
          <w:rFonts w:cs="Arial"/>
        </w:rPr>
        <w:t xml:space="preserve">while AusAID does not intend to </w:t>
      </w:r>
      <w:r w:rsidR="000A2E90">
        <w:rPr>
          <w:rFonts w:cs="Arial"/>
        </w:rPr>
        <w:t xml:space="preserve">continue </w:t>
      </w:r>
      <w:r>
        <w:rPr>
          <w:rFonts w:cs="Arial"/>
        </w:rPr>
        <w:t xml:space="preserve">KANI, </w:t>
      </w:r>
      <w:r w:rsidR="00C90CFF" w:rsidRPr="003C482B">
        <w:rPr>
          <w:rFonts w:cs="Arial"/>
        </w:rPr>
        <w:t xml:space="preserve">AusAID </w:t>
      </w:r>
      <w:r w:rsidR="00B222DF" w:rsidRPr="003C482B">
        <w:rPr>
          <w:rFonts w:cs="Arial"/>
        </w:rPr>
        <w:t xml:space="preserve">will </w:t>
      </w:r>
      <w:r w:rsidR="00C90CFF" w:rsidRPr="003C482B">
        <w:rPr>
          <w:rFonts w:cs="Arial"/>
        </w:rPr>
        <w:t xml:space="preserve">work </w:t>
      </w:r>
      <w:r w:rsidR="000E2DAB">
        <w:rPr>
          <w:rFonts w:cs="Arial"/>
        </w:rPr>
        <w:t xml:space="preserve">closely </w:t>
      </w:r>
      <w:r w:rsidR="00C90CFF" w:rsidRPr="003C482B">
        <w:rPr>
          <w:rFonts w:cs="Arial"/>
        </w:rPr>
        <w:t xml:space="preserve">with </w:t>
      </w:r>
      <w:r w:rsidR="000E2DAB">
        <w:rPr>
          <w:rFonts w:cs="Arial"/>
        </w:rPr>
        <w:t xml:space="preserve">the </w:t>
      </w:r>
      <w:r w:rsidR="00C90CFF" w:rsidRPr="003C482B">
        <w:rPr>
          <w:rFonts w:cs="Arial"/>
        </w:rPr>
        <w:t xml:space="preserve">GoK to identify </w:t>
      </w:r>
      <w:r w:rsidR="000A2E90">
        <w:rPr>
          <w:rFonts w:cs="Arial"/>
        </w:rPr>
        <w:t xml:space="preserve">more </w:t>
      </w:r>
      <w:r w:rsidR="00E416FA">
        <w:rPr>
          <w:rFonts w:cs="Arial"/>
        </w:rPr>
        <w:t xml:space="preserve">targeted, </w:t>
      </w:r>
      <w:r w:rsidR="00B60860" w:rsidRPr="003C482B">
        <w:rPr>
          <w:rFonts w:cs="Arial"/>
        </w:rPr>
        <w:t>cost-</w:t>
      </w:r>
      <w:r w:rsidR="00C37DB6" w:rsidRPr="003C482B">
        <w:rPr>
          <w:rFonts w:cs="Arial"/>
        </w:rPr>
        <w:t xml:space="preserve">effective </w:t>
      </w:r>
      <w:r w:rsidR="00BB5757" w:rsidRPr="003C482B">
        <w:rPr>
          <w:rFonts w:cs="Arial"/>
        </w:rPr>
        <w:t>delivery mechanisms</w:t>
      </w:r>
      <w:r w:rsidR="00B222DF" w:rsidRPr="003C482B">
        <w:rPr>
          <w:rFonts w:cs="Arial"/>
        </w:rPr>
        <w:t xml:space="preserve"> </w:t>
      </w:r>
      <w:r w:rsidR="00DF5138">
        <w:rPr>
          <w:rFonts w:cs="Arial"/>
        </w:rPr>
        <w:t>to achieve</w:t>
      </w:r>
      <w:r w:rsidR="00DC0955" w:rsidRPr="003C482B">
        <w:rPr>
          <w:rFonts w:cs="Arial"/>
        </w:rPr>
        <w:t xml:space="preserve"> </w:t>
      </w:r>
      <w:r w:rsidR="00E416FA">
        <w:rPr>
          <w:rFonts w:cs="Arial"/>
        </w:rPr>
        <w:t>KANI</w:t>
      </w:r>
      <w:r w:rsidR="000E2DAB">
        <w:rPr>
          <w:rFonts w:cs="Arial"/>
        </w:rPr>
        <w:t>’s</w:t>
      </w:r>
      <w:r w:rsidR="003E5AD9">
        <w:rPr>
          <w:rFonts w:cs="Arial"/>
        </w:rPr>
        <w:t xml:space="preserve"> </w:t>
      </w:r>
      <w:r w:rsidR="000A2E90">
        <w:rPr>
          <w:rFonts w:cs="Arial"/>
        </w:rPr>
        <w:t>goals</w:t>
      </w:r>
      <w:r>
        <w:rPr>
          <w:rFonts w:cs="Arial"/>
        </w:rPr>
        <w:t>.</w:t>
      </w:r>
    </w:p>
    <w:p w:rsidR="00C657FB" w:rsidRPr="00CA790B" w:rsidRDefault="00CA790B" w:rsidP="002E4E62">
      <w:pPr>
        <w:pStyle w:val="Heading2"/>
      </w:pPr>
      <w:r>
        <w:t>A</w:t>
      </w:r>
      <w:r w:rsidRPr="00CA790B">
        <w:t>u</w:t>
      </w:r>
      <w:r>
        <w:t>sAID</w:t>
      </w:r>
      <w:r w:rsidRPr="00CA790B">
        <w:t>’s</w:t>
      </w:r>
      <w:r w:rsidR="00F63B43" w:rsidRPr="00CA790B">
        <w:t xml:space="preserve"> r</w:t>
      </w:r>
      <w:r w:rsidR="00C657FB" w:rsidRPr="00CA790B">
        <w:t>esponse to the specific rec</w:t>
      </w:r>
      <w:r w:rsidR="00367DA3" w:rsidRPr="00CA790B">
        <w:t>ommendations made in the report</w:t>
      </w:r>
    </w:p>
    <w:p w:rsidR="007C3F30" w:rsidRDefault="00263A50" w:rsidP="002E4E62">
      <w:pPr>
        <w:autoSpaceDE w:val="0"/>
        <w:autoSpaceDN w:val="0"/>
        <w:adjustRightInd w:val="0"/>
        <w:spacing w:before="240"/>
        <w:rPr>
          <w:rFonts w:cs="Arial"/>
          <w:lang w:eastAsia="en-AU"/>
        </w:rPr>
      </w:pPr>
      <w:r>
        <w:rPr>
          <w:rFonts w:cs="Arial"/>
          <w:lang w:eastAsia="en-AU"/>
        </w:rPr>
        <w:t xml:space="preserve">While most </w:t>
      </w:r>
      <w:r w:rsidR="00026DA2">
        <w:rPr>
          <w:rFonts w:cs="Arial"/>
          <w:lang w:eastAsia="en-AU"/>
        </w:rPr>
        <w:t>recommendations assume co</w:t>
      </w:r>
      <w:r>
        <w:rPr>
          <w:rFonts w:cs="Arial"/>
          <w:lang w:eastAsia="en-AU"/>
        </w:rPr>
        <w:t>ntinuation or re-design of KANI, t</w:t>
      </w:r>
      <w:r w:rsidR="00026DA2">
        <w:rPr>
          <w:rFonts w:cs="Arial"/>
          <w:lang w:eastAsia="en-AU"/>
        </w:rPr>
        <w:t xml:space="preserve">hese recommendations are nevertheless useful to the extent that they will inform discussions with </w:t>
      </w:r>
      <w:r w:rsidR="00DF5138">
        <w:rPr>
          <w:rFonts w:cs="Arial"/>
          <w:lang w:eastAsia="en-AU"/>
        </w:rPr>
        <w:t xml:space="preserve">the </w:t>
      </w:r>
      <w:r w:rsidR="00026DA2">
        <w:rPr>
          <w:rFonts w:cs="Arial"/>
          <w:lang w:eastAsia="en-AU"/>
        </w:rPr>
        <w:t>GoK on future options to address KANI’s goals</w:t>
      </w:r>
      <w:r>
        <w:rPr>
          <w:rFonts w:cs="Arial"/>
          <w:lang w:eastAsia="en-AU"/>
        </w:rPr>
        <w:t xml:space="preserve">. </w:t>
      </w:r>
      <w:r w:rsidR="008F508E">
        <w:rPr>
          <w:rFonts w:cs="Arial"/>
          <w:lang w:eastAsia="en-AU"/>
        </w:rPr>
        <w:t xml:space="preserve">In this context, </w:t>
      </w:r>
      <w:r>
        <w:rPr>
          <w:rFonts w:cs="Arial"/>
          <w:lang w:eastAsia="en-AU"/>
        </w:rPr>
        <w:t xml:space="preserve">AusAID agrees in principle with all but two recommendations (1 and 4). As </w:t>
      </w:r>
      <w:r w:rsidR="007C3F30">
        <w:rPr>
          <w:rFonts w:cs="Arial"/>
          <w:lang w:eastAsia="en-AU"/>
        </w:rPr>
        <w:t xml:space="preserve">part of </w:t>
      </w:r>
      <w:r w:rsidR="008827A6">
        <w:rPr>
          <w:rFonts w:cs="Arial"/>
          <w:lang w:eastAsia="en-AU"/>
        </w:rPr>
        <w:t xml:space="preserve">discussions with the GoK on </w:t>
      </w:r>
      <w:r w:rsidR="007C3F30">
        <w:rPr>
          <w:rFonts w:cs="Arial"/>
          <w:lang w:eastAsia="en-AU"/>
        </w:rPr>
        <w:t xml:space="preserve">options for future support, </w:t>
      </w:r>
      <w:r w:rsidR="007C0B1F">
        <w:rPr>
          <w:rFonts w:cs="Arial"/>
          <w:lang w:eastAsia="en-AU"/>
        </w:rPr>
        <w:t>consideration will be given to</w:t>
      </w:r>
      <w:r w:rsidR="007C3F30">
        <w:rPr>
          <w:rFonts w:cs="Arial"/>
          <w:lang w:eastAsia="en-AU"/>
        </w:rPr>
        <w:t>:</w:t>
      </w:r>
    </w:p>
    <w:p w:rsidR="007C3F30" w:rsidRDefault="008827A6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>how best to facilitate graduate</w:t>
      </w:r>
      <w:r w:rsidR="007C0B1F">
        <w:rPr>
          <w:rFonts w:cs="Arial"/>
        </w:rPr>
        <w:t>s</w:t>
      </w:r>
      <w:r>
        <w:rPr>
          <w:rFonts w:cs="Arial"/>
        </w:rPr>
        <w:t>’</w:t>
      </w:r>
      <w:r w:rsidR="007C0B1F">
        <w:rPr>
          <w:rFonts w:cs="Arial"/>
        </w:rPr>
        <w:t xml:space="preserve"> </w:t>
      </w:r>
      <w:r w:rsidR="007C3F30" w:rsidRPr="007C3F30">
        <w:rPr>
          <w:rFonts w:cs="Arial"/>
        </w:rPr>
        <w:t>transition to work</w:t>
      </w:r>
      <w:r w:rsidR="007C0B1F">
        <w:rPr>
          <w:rFonts w:cs="Arial"/>
        </w:rPr>
        <w:t>, including</w:t>
      </w:r>
      <w:r w:rsidR="007C3F30" w:rsidRPr="007C3F30">
        <w:rPr>
          <w:rFonts w:cs="Arial"/>
        </w:rPr>
        <w:t xml:space="preserve"> in off-short labour marke</w:t>
      </w:r>
      <w:r w:rsidR="007C3F30">
        <w:rPr>
          <w:rFonts w:cs="Arial"/>
        </w:rPr>
        <w:t>ts (</w:t>
      </w:r>
      <w:r w:rsidR="00DF5138">
        <w:rPr>
          <w:rFonts w:cs="Arial"/>
        </w:rPr>
        <w:t xml:space="preserve">see </w:t>
      </w:r>
      <w:r w:rsidR="007C3F30">
        <w:rPr>
          <w:rFonts w:cs="Arial"/>
        </w:rPr>
        <w:t>recommendation</w:t>
      </w:r>
      <w:r w:rsidR="00522C90">
        <w:rPr>
          <w:rFonts w:cs="Arial"/>
        </w:rPr>
        <w:t>s</w:t>
      </w:r>
      <w:r w:rsidR="007C3F30">
        <w:rPr>
          <w:rFonts w:cs="Arial"/>
        </w:rPr>
        <w:t xml:space="preserve"> 2</w:t>
      </w:r>
      <w:r w:rsidR="00522C90">
        <w:rPr>
          <w:rFonts w:cs="Arial"/>
        </w:rPr>
        <w:t>, 14 and 15</w:t>
      </w:r>
      <w:r w:rsidR="007C3F30">
        <w:rPr>
          <w:rFonts w:cs="Arial"/>
        </w:rPr>
        <w:t>);</w:t>
      </w:r>
    </w:p>
    <w:p w:rsidR="007C3F30" w:rsidRDefault="007C0B1F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>a range of regional institutions</w:t>
      </w:r>
      <w:r w:rsidR="008827A6">
        <w:rPr>
          <w:rFonts w:cs="Arial"/>
        </w:rPr>
        <w:t xml:space="preserve"> that can deliver courses</w:t>
      </w:r>
      <w:r>
        <w:rPr>
          <w:rFonts w:cs="Arial"/>
        </w:rPr>
        <w:t xml:space="preserve"> (</w:t>
      </w:r>
      <w:r w:rsidR="00DF5138">
        <w:rPr>
          <w:rFonts w:cs="Arial"/>
        </w:rPr>
        <w:t xml:space="preserve">see </w:t>
      </w:r>
      <w:r>
        <w:rPr>
          <w:rFonts w:cs="Arial"/>
        </w:rPr>
        <w:t>recommendations 3 and 6);</w:t>
      </w:r>
    </w:p>
    <w:p w:rsidR="007C0B1F" w:rsidRDefault="007C0B1F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 xml:space="preserve">a whole-of-government approach to migration issues, </w:t>
      </w:r>
      <w:r w:rsidR="008827A6">
        <w:rPr>
          <w:rFonts w:cs="Arial"/>
        </w:rPr>
        <w:t xml:space="preserve">which will involve discussions with the Australian Department of Immigration and Citizenship in particular </w:t>
      </w:r>
      <w:r>
        <w:rPr>
          <w:rFonts w:cs="Arial"/>
        </w:rPr>
        <w:t>(</w:t>
      </w:r>
      <w:r w:rsidR="00DF5138">
        <w:rPr>
          <w:rFonts w:cs="Arial"/>
        </w:rPr>
        <w:t xml:space="preserve">see </w:t>
      </w:r>
      <w:r>
        <w:rPr>
          <w:rFonts w:cs="Arial"/>
        </w:rPr>
        <w:t>recommendation</w:t>
      </w:r>
      <w:r w:rsidR="00522C90">
        <w:rPr>
          <w:rFonts w:cs="Arial"/>
        </w:rPr>
        <w:t>s</w:t>
      </w:r>
      <w:r>
        <w:rPr>
          <w:rFonts w:cs="Arial"/>
        </w:rPr>
        <w:t xml:space="preserve"> 5</w:t>
      </w:r>
      <w:r w:rsidR="00522C90">
        <w:rPr>
          <w:rFonts w:cs="Arial"/>
        </w:rPr>
        <w:t xml:space="preserve"> and 15</w:t>
      </w:r>
      <w:r>
        <w:rPr>
          <w:rFonts w:cs="Arial"/>
        </w:rPr>
        <w:t>);</w:t>
      </w:r>
    </w:p>
    <w:p w:rsidR="007C0B1F" w:rsidRDefault="008827A6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>how to ensure</w:t>
      </w:r>
      <w:r w:rsidR="007C0B1F">
        <w:rPr>
          <w:rFonts w:cs="Arial"/>
        </w:rPr>
        <w:t xml:space="preserve"> gender equality is mainstreamed into any future programs</w:t>
      </w:r>
      <w:r>
        <w:rPr>
          <w:rFonts w:cs="Arial"/>
        </w:rPr>
        <w:t xml:space="preserve"> and gender strategies are developed as appropriate</w:t>
      </w:r>
      <w:r w:rsidR="007C0B1F">
        <w:rPr>
          <w:rFonts w:cs="Arial"/>
        </w:rPr>
        <w:t xml:space="preserve"> (</w:t>
      </w:r>
      <w:r w:rsidR="00DF5138">
        <w:rPr>
          <w:rFonts w:cs="Arial"/>
        </w:rPr>
        <w:t xml:space="preserve">see </w:t>
      </w:r>
      <w:r w:rsidR="007C0B1F">
        <w:rPr>
          <w:rFonts w:cs="Arial"/>
        </w:rPr>
        <w:t>recommendation 7);</w:t>
      </w:r>
    </w:p>
    <w:p w:rsidR="007C0B1F" w:rsidRDefault="008827A6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>how to maintain</w:t>
      </w:r>
      <w:r w:rsidR="007C0B1F">
        <w:rPr>
          <w:rFonts w:cs="Arial"/>
        </w:rPr>
        <w:t xml:space="preserve"> a focus on employment for youth (</w:t>
      </w:r>
      <w:r w:rsidR="00DF5138">
        <w:rPr>
          <w:rFonts w:cs="Arial"/>
        </w:rPr>
        <w:t xml:space="preserve">see </w:t>
      </w:r>
      <w:r w:rsidR="007C0B1F">
        <w:rPr>
          <w:rFonts w:cs="Arial"/>
        </w:rPr>
        <w:t>recommendation 9);</w:t>
      </w:r>
    </w:p>
    <w:p w:rsidR="007C0B1F" w:rsidRDefault="008F508E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>how to improve English literacy skills to improve student readiness for post-secondary training (</w:t>
      </w:r>
      <w:r w:rsidR="00DF5138">
        <w:rPr>
          <w:rFonts w:cs="Arial"/>
        </w:rPr>
        <w:t xml:space="preserve">see </w:t>
      </w:r>
      <w:r>
        <w:rPr>
          <w:rFonts w:cs="Arial"/>
        </w:rPr>
        <w:t>recommendation 8), and ensure</w:t>
      </w:r>
      <w:r w:rsidR="007C0B1F">
        <w:rPr>
          <w:rFonts w:cs="Arial"/>
        </w:rPr>
        <w:t xml:space="preserve"> that any English-language testing protocols used will be fit-for-purpose (</w:t>
      </w:r>
      <w:r w:rsidR="00DF5138">
        <w:rPr>
          <w:rFonts w:cs="Arial"/>
        </w:rPr>
        <w:t xml:space="preserve">see </w:t>
      </w:r>
      <w:r w:rsidR="007C0B1F">
        <w:rPr>
          <w:rFonts w:cs="Arial"/>
        </w:rPr>
        <w:t>recommendation 11);</w:t>
      </w:r>
    </w:p>
    <w:p w:rsidR="007C0B1F" w:rsidRDefault="008827A6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 xml:space="preserve">whether KIT (and other local or regional institutions, such as USP) should be engaged </w:t>
      </w:r>
      <w:r w:rsidR="007C0B1F">
        <w:rPr>
          <w:rFonts w:cs="Arial"/>
        </w:rPr>
        <w:t>for English testing services (</w:t>
      </w:r>
      <w:r w:rsidR="00DF5138">
        <w:rPr>
          <w:rFonts w:cs="Arial"/>
        </w:rPr>
        <w:t xml:space="preserve">see </w:t>
      </w:r>
      <w:r w:rsidR="007C0B1F">
        <w:rPr>
          <w:rFonts w:cs="Arial"/>
        </w:rPr>
        <w:t>recommendation 12);</w:t>
      </w:r>
    </w:p>
    <w:p w:rsidR="007C0B1F" w:rsidRDefault="00522C90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 xml:space="preserve">prioritising the creation of viable graduate pathways and </w:t>
      </w:r>
      <w:r w:rsidR="008827A6">
        <w:rPr>
          <w:rFonts w:cs="Arial"/>
        </w:rPr>
        <w:t xml:space="preserve">implementing </w:t>
      </w:r>
      <w:r>
        <w:rPr>
          <w:rFonts w:cs="Arial"/>
        </w:rPr>
        <w:t>stronger and stricter academic achievement benchmarks at student exit points (</w:t>
      </w:r>
      <w:r w:rsidR="00DF5138">
        <w:rPr>
          <w:rFonts w:cs="Arial"/>
        </w:rPr>
        <w:t xml:space="preserve">see </w:t>
      </w:r>
      <w:r>
        <w:rPr>
          <w:rFonts w:cs="Arial"/>
        </w:rPr>
        <w:t>recommendation 13);</w:t>
      </w:r>
    </w:p>
    <w:p w:rsidR="00522C90" w:rsidRDefault="00522C90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 xml:space="preserve">AusAID’s broader workforce skills </w:t>
      </w:r>
      <w:r w:rsidR="008827A6">
        <w:rPr>
          <w:rFonts w:cs="Arial"/>
        </w:rPr>
        <w:t xml:space="preserve">and scholarships </w:t>
      </w:r>
      <w:r>
        <w:rPr>
          <w:rFonts w:cs="Arial"/>
        </w:rPr>
        <w:t>program</w:t>
      </w:r>
      <w:r w:rsidR="008827A6">
        <w:rPr>
          <w:rFonts w:cs="Arial"/>
        </w:rPr>
        <w:t>s</w:t>
      </w:r>
      <w:r>
        <w:rPr>
          <w:rFonts w:cs="Arial"/>
        </w:rPr>
        <w:t>, including options to mainstream any future support with the Australia Awards Scholarships program (</w:t>
      </w:r>
      <w:r w:rsidR="00DF5138">
        <w:rPr>
          <w:rFonts w:cs="Arial"/>
        </w:rPr>
        <w:t xml:space="preserve">see </w:t>
      </w:r>
      <w:r>
        <w:rPr>
          <w:rFonts w:cs="Arial"/>
        </w:rPr>
        <w:t>recommendation 16);</w:t>
      </w:r>
      <w:r w:rsidR="008827A6">
        <w:rPr>
          <w:rFonts w:cs="Arial"/>
        </w:rPr>
        <w:t xml:space="preserve"> and</w:t>
      </w:r>
    </w:p>
    <w:p w:rsidR="00263A50" w:rsidRPr="00263A50" w:rsidRDefault="008827A6" w:rsidP="008827A6">
      <w:pPr>
        <w:pStyle w:val="ListParagraph"/>
        <w:numPr>
          <w:ilvl w:val="0"/>
          <w:numId w:val="7"/>
        </w:numPr>
        <w:spacing w:after="120"/>
        <w:ind w:left="521" w:hanging="357"/>
        <w:contextualSpacing w:val="0"/>
        <w:rPr>
          <w:rFonts w:cs="Arial"/>
        </w:rPr>
      </w:pPr>
      <w:r>
        <w:rPr>
          <w:rFonts w:cs="Arial"/>
        </w:rPr>
        <w:t xml:space="preserve">how to address social issues faced by students – including through </w:t>
      </w:r>
      <w:r w:rsidR="00522C90">
        <w:rPr>
          <w:rFonts w:cs="Arial"/>
        </w:rPr>
        <w:t>improve</w:t>
      </w:r>
      <w:r>
        <w:rPr>
          <w:rFonts w:cs="Arial"/>
        </w:rPr>
        <w:t>d</w:t>
      </w:r>
      <w:r w:rsidR="00522C90">
        <w:rPr>
          <w:rFonts w:cs="Arial"/>
        </w:rPr>
        <w:t xml:space="preserve"> pre-departure briefing for students </w:t>
      </w:r>
      <w:r w:rsidR="00263A50">
        <w:rPr>
          <w:rFonts w:cs="Arial"/>
        </w:rPr>
        <w:t xml:space="preserve">and </w:t>
      </w:r>
      <w:r>
        <w:rPr>
          <w:rFonts w:cs="Arial"/>
        </w:rPr>
        <w:t xml:space="preserve">improved </w:t>
      </w:r>
      <w:r w:rsidR="00263A50">
        <w:rPr>
          <w:rFonts w:cs="Arial"/>
        </w:rPr>
        <w:t xml:space="preserve">support networks in the </w:t>
      </w:r>
      <w:r>
        <w:rPr>
          <w:rFonts w:cs="Arial"/>
        </w:rPr>
        <w:t xml:space="preserve">relevant institutions – and </w:t>
      </w:r>
      <w:r w:rsidR="00263A50">
        <w:rPr>
          <w:rFonts w:cs="Arial"/>
        </w:rPr>
        <w:t xml:space="preserve">how to improve transparency of selection processes, including through the </w:t>
      </w:r>
      <w:r>
        <w:rPr>
          <w:rFonts w:cs="Arial"/>
        </w:rPr>
        <w:t>Australia Awards Scholarships program</w:t>
      </w:r>
      <w:r w:rsidR="00263A50">
        <w:rPr>
          <w:rFonts w:cs="Arial"/>
        </w:rPr>
        <w:t xml:space="preserve"> (</w:t>
      </w:r>
      <w:r w:rsidR="00DF5138">
        <w:rPr>
          <w:rFonts w:cs="Arial"/>
        </w:rPr>
        <w:t xml:space="preserve">see </w:t>
      </w:r>
      <w:r>
        <w:rPr>
          <w:rFonts w:cs="Arial"/>
        </w:rPr>
        <w:t>recommendations 10, 17 and 18).</w:t>
      </w:r>
    </w:p>
    <w:p w:rsidR="00E73A7D" w:rsidRDefault="00E73A7D" w:rsidP="002E4E62">
      <w:pPr>
        <w:autoSpaceDE w:val="0"/>
        <w:autoSpaceDN w:val="0"/>
        <w:adjustRightInd w:val="0"/>
        <w:spacing w:before="240"/>
        <w:rPr>
          <w:rFonts w:cs="Arial"/>
          <w:lang w:eastAsia="en-AU"/>
        </w:rPr>
      </w:pPr>
      <w:r>
        <w:rPr>
          <w:rFonts w:cs="Arial"/>
          <w:lang w:eastAsia="en-AU"/>
        </w:rPr>
        <w:t>There are two recommendations AusAID disagrees with.</w:t>
      </w:r>
    </w:p>
    <w:p w:rsidR="00263A50" w:rsidRDefault="00DF5138" w:rsidP="002E4E62">
      <w:pPr>
        <w:autoSpaceDE w:val="0"/>
        <w:autoSpaceDN w:val="0"/>
        <w:adjustRightInd w:val="0"/>
        <w:spacing w:before="240"/>
        <w:rPr>
          <w:rFonts w:cs="Arial"/>
          <w:lang w:eastAsia="en-AU"/>
        </w:rPr>
      </w:pPr>
      <w:r>
        <w:rPr>
          <w:rFonts w:cs="Arial"/>
          <w:lang w:eastAsia="en-AU"/>
        </w:rPr>
        <w:t>For r</w:t>
      </w:r>
      <w:r w:rsidR="00263A50">
        <w:rPr>
          <w:rFonts w:cs="Arial"/>
          <w:lang w:eastAsia="en-AU"/>
        </w:rPr>
        <w:t>ecommendation 1 (</w:t>
      </w:r>
      <w:r w:rsidR="00263A50" w:rsidRPr="00263A50">
        <w:rPr>
          <w:rFonts w:cs="Arial"/>
          <w:i/>
          <w:lang w:eastAsia="en-AU"/>
        </w:rPr>
        <w:t>consideration be given to expanding the KANI concept to other environmentally fragile PIC with adolescent populations more than 40%</w:t>
      </w:r>
      <w:r w:rsidR="00263A50">
        <w:rPr>
          <w:rFonts w:cs="Arial"/>
          <w:lang w:eastAsia="en-AU"/>
        </w:rPr>
        <w:t xml:space="preserve">), </w:t>
      </w:r>
      <w:r w:rsidR="008827A6">
        <w:rPr>
          <w:rFonts w:cs="Arial"/>
          <w:lang w:eastAsia="en-AU"/>
        </w:rPr>
        <w:t xml:space="preserve">evidence suggests that </w:t>
      </w:r>
      <w:r w:rsidR="00263A50">
        <w:rPr>
          <w:rFonts w:cs="Arial"/>
          <w:lang w:eastAsia="en-AU"/>
        </w:rPr>
        <w:t xml:space="preserve">KANI has </w:t>
      </w:r>
      <w:r w:rsidR="008827A6">
        <w:rPr>
          <w:rFonts w:cs="Arial"/>
          <w:lang w:eastAsia="en-AU"/>
        </w:rPr>
        <w:t xml:space="preserve">not </w:t>
      </w:r>
      <w:r w:rsidR="00263A50">
        <w:rPr>
          <w:rFonts w:cs="Arial"/>
          <w:lang w:eastAsia="en-AU"/>
        </w:rPr>
        <w:t>performed sufficiently well to justi</w:t>
      </w:r>
      <w:r w:rsidR="008F508E">
        <w:rPr>
          <w:rFonts w:cs="Arial"/>
          <w:lang w:eastAsia="en-AU"/>
        </w:rPr>
        <w:t xml:space="preserve">fy any expansion of the </w:t>
      </w:r>
      <w:r>
        <w:rPr>
          <w:rFonts w:cs="Arial"/>
          <w:lang w:eastAsia="en-AU"/>
        </w:rPr>
        <w:t xml:space="preserve">initiative </w:t>
      </w:r>
      <w:r w:rsidR="008F508E">
        <w:rPr>
          <w:rFonts w:cs="Arial"/>
          <w:lang w:eastAsia="en-AU"/>
        </w:rPr>
        <w:t>at this stage.</w:t>
      </w:r>
    </w:p>
    <w:p w:rsidR="008F508E" w:rsidRDefault="008F508E" w:rsidP="002E4E62">
      <w:pPr>
        <w:autoSpaceDE w:val="0"/>
        <w:autoSpaceDN w:val="0"/>
        <w:adjustRightInd w:val="0"/>
        <w:spacing w:before="240"/>
        <w:rPr>
          <w:rFonts w:cs="Arial"/>
          <w:lang w:eastAsia="en-AU"/>
        </w:rPr>
      </w:pPr>
      <w:r>
        <w:rPr>
          <w:rFonts w:cs="Arial"/>
          <w:lang w:eastAsia="en-AU"/>
        </w:rPr>
        <w:t>In response to recommendation 4 (</w:t>
      </w:r>
      <w:r w:rsidRPr="008F508E">
        <w:rPr>
          <w:rFonts w:cs="Arial"/>
          <w:i/>
        </w:rPr>
        <w:t>consideration be given to the feasibility and cost effectiveness of contracting any post-KANI program through an Australian commercial managing contractor rather than through an educational institution so that all activities across all sectors can be subcontracted, supported, managed, monitored and reported</w:t>
      </w:r>
      <w:r>
        <w:rPr>
          <w:rFonts w:cs="Arial"/>
        </w:rPr>
        <w:t>), any future procurement of services must be open to the entire market. Being an educational institution should not exclude organisations from bidding.</w:t>
      </w:r>
    </w:p>
    <w:p w:rsidR="00913F5E" w:rsidRPr="00DF5138" w:rsidRDefault="00913F5E" w:rsidP="00CA790B">
      <w:pPr>
        <w:rPr>
          <w:rFonts w:cs="Arial"/>
          <w:b/>
          <w:color w:val="808080" w:themeColor="background1" w:themeShade="80"/>
        </w:rPr>
      </w:pPr>
    </w:p>
    <w:sectPr w:rsidR="00913F5E" w:rsidRPr="00DF5138" w:rsidSect="00223B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04" w:rsidRDefault="003F4C04">
      <w:pPr>
        <w:pStyle w:val="Table-list-number"/>
      </w:pPr>
      <w:r>
        <w:separator/>
      </w:r>
    </w:p>
  </w:endnote>
  <w:endnote w:type="continuationSeparator" w:id="0">
    <w:p w:rsidR="003F4C04" w:rsidRDefault="003F4C04">
      <w:pPr>
        <w:pStyle w:val="Table-list-numb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94" w:rsidRDefault="00324D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04" w:rsidRPr="00AE52D5" w:rsidRDefault="003F4C04" w:rsidP="00AE52D5">
    <w:pPr>
      <w:pStyle w:val="Footer"/>
      <w:pBdr>
        <w:top w:val="single" w:sz="4" w:space="7" w:color="333333"/>
      </w:pBdr>
      <w:tabs>
        <w:tab w:val="clear" w:pos="4153"/>
        <w:tab w:val="clear" w:pos="8306"/>
        <w:tab w:val="right" w:pos="9639"/>
      </w:tabs>
      <w:rPr>
        <w:rStyle w:val="PageNumber"/>
      </w:rPr>
    </w:pPr>
    <w:r w:rsidRPr="00AE52D5">
      <w:tab/>
      <w:t xml:space="preserve">page </w:t>
    </w:r>
    <w:r w:rsidRPr="00AE52D5">
      <w:rPr>
        <w:rStyle w:val="PageNumber"/>
      </w:rPr>
      <w:fldChar w:fldCharType="begin"/>
    </w:r>
    <w:r w:rsidRPr="00AE52D5">
      <w:rPr>
        <w:rStyle w:val="PageNumber"/>
      </w:rPr>
      <w:instrText xml:space="preserve"> PAGE </w:instrText>
    </w:r>
    <w:r w:rsidRPr="00AE52D5">
      <w:rPr>
        <w:rStyle w:val="PageNumber"/>
      </w:rPr>
      <w:fldChar w:fldCharType="separate"/>
    </w:r>
    <w:r w:rsidR="00995F15">
      <w:rPr>
        <w:rStyle w:val="PageNumber"/>
        <w:noProof/>
      </w:rPr>
      <w:t>1</w:t>
    </w:r>
    <w:r w:rsidRPr="00AE52D5">
      <w:rPr>
        <w:rStyle w:val="PageNumber"/>
      </w:rPr>
      <w:fldChar w:fldCharType="end"/>
    </w:r>
    <w:r w:rsidRPr="00AE52D5">
      <w:rPr>
        <w:rStyle w:val="PageNumber"/>
      </w:rPr>
      <w:t xml:space="preserve"> of </w:t>
    </w:r>
    <w:r w:rsidRPr="00AE52D5">
      <w:rPr>
        <w:rStyle w:val="PageNumber"/>
      </w:rPr>
      <w:fldChar w:fldCharType="begin"/>
    </w:r>
    <w:r w:rsidRPr="00AE52D5">
      <w:rPr>
        <w:rStyle w:val="PageNumber"/>
      </w:rPr>
      <w:instrText xml:space="preserve"> NUMPAGES </w:instrText>
    </w:r>
    <w:r w:rsidRPr="00AE52D5">
      <w:rPr>
        <w:rStyle w:val="PageNumber"/>
      </w:rPr>
      <w:fldChar w:fldCharType="separate"/>
    </w:r>
    <w:r w:rsidR="00995F15">
      <w:rPr>
        <w:rStyle w:val="PageNumber"/>
        <w:noProof/>
      </w:rPr>
      <w:t>2</w:t>
    </w:r>
    <w:r w:rsidRPr="00AE52D5">
      <w:rPr>
        <w:rStyle w:val="PageNumber"/>
      </w:rPr>
      <w:fldChar w:fldCharType="end"/>
    </w:r>
  </w:p>
  <w:p w:rsidR="003F4C04" w:rsidRPr="00223B9A" w:rsidRDefault="003F4C04" w:rsidP="00CA790B">
    <w:pPr>
      <w:pStyle w:val="Footer"/>
      <w:pBdr>
        <w:top w:val="single" w:sz="4" w:space="7" w:color="333333"/>
      </w:pBdr>
      <w:tabs>
        <w:tab w:val="clear" w:pos="4153"/>
        <w:tab w:val="clear" w:pos="8306"/>
        <w:tab w:val="right" w:pos="9639"/>
      </w:tabs>
      <w:jc w:val="center"/>
      <w:rPr>
        <w:sz w:val="20"/>
      </w:rPr>
    </w:pPr>
    <w:r w:rsidRPr="00223B9A">
      <w:rPr>
        <w:rStyle w:val="PageNumber"/>
        <w:sz w:val="20"/>
      </w:rPr>
      <w:t>UNCLASSIFIED</w:t>
    </w:r>
  </w:p>
  <w:p w:rsidR="003F4C04" w:rsidRPr="000815FC" w:rsidRDefault="003F4C04" w:rsidP="00887304">
    <w:pPr>
      <w:pStyle w:val="Footer"/>
      <w:pBdr>
        <w:top w:val="single" w:sz="4" w:space="8" w:color="999999"/>
      </w:pBdr>
      <w:tabs>
        <w:tab w:val="clear" w:pos="4153"/>
        <w:tab w:val="clear" w:pos="8306"/>
        <w:tab w:val="right" w:pos="9639"/>
      </w:tabs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94" w:rsidRDefault="00324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04" w:rsidRDefault="003F4C04">
      <w:pPr>
        <w:pStyle w:val="Table-list-number"/>
      </w:pPr>
      <w:r>
        <w:separator/>
      </w:r>
    </w:p>
  </w:footnote>
  <w:footnote w:type="continuationSeparator" w:id="0">
    <w:p w:rsidR="003F4C04" w:rsidRDefault="003F4C04">
      <w:pPr>
        <w:pStyle w:val="Table-list-numb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94" w:rsidRDefault="00324D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04" w:rsidRPr="00223B9A" w:rsidRDefault="003F4C04" w:rsidP="00077243">
    <w:pPr>
      <w:pStyle w:val="Header"/>
      <w:jc w:val="center"/>
      <w:rPr>
        <w:caps/>
        <w:sz w:val="20"/>
      </w:rPr>
    </w:pPr>
    <w:r w:rsidRPr="00223B9A">
      <w:rPr>
        <w:caps/>
        <w:sz w:val="20"/>
      </w:rPr>
      <w:t>Unclassified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94" w:rsidRDefault="00324D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9E6"/>
    <w:multiLevelType w:val="hybridMultilevel"/>
    <w:tmpl w:val="2BB08866"/>
    <w:lvl w:ilvl="0" w:tplc="AC2E0D00">
      <w:start w:val="1"/>
      <w:numFmt w:val="decimal"/>
      <w:pStyle w:val="Table-list-numb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264A5A"/>
    <w:multiLevelType w:val="hybridMultilevel"/>
    <w:tmpl w:val="0D2C9A66"/>
    <w:lvl w:ilvl="0" w:tplc="48FC474E">
      <w:start w:val="1"/>
      <w:numFmt w:val="bullet"/>
      <w:pStyle w:val="List-bullet-1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2FBD11B4"/>
    <w:multiLevelType w:val="multilevel"/>
    <w:tmpl w:val="88B61454"/>
    <w:lvl w:ilvl="0">
      <w:start w:val="1"/>
      <w:numFmt w:val="decimal"/>
      <w:pStyle w:val="List-number-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-number-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7531147"/>
    <w:multiLevelType w:val="hybridMultilevel"/>
    <w:tmpl w:val="D5B06BB0"/>
    <w:lvl w:ilvl="0" w:tplc="C5B0958A">
      <w:start w:val="1"/>
      <w:numFmt w:val="bullet"/>
      <w:pStyle w:val="List-bullet-2"/>
      <w:lvlText w:val="–"/>
      <w:lvlJc w:val="left"/>
      <w:pPr>
        <w:tabs>
          <w:tab w:val="num" w:pos="1021"/>
        </w:tabs>
        <w:ind w:left="1021" w:hanging="301"/>
      </w:pPr>
      <w:rPr>
        <w:rFonts w:hint="default"/>
        <w:color w:val="auto"/>
        <w:sz w:val="20"/>
      </w:rPr>
    </w:lvl>
    <w:lvl w:ilvl="1" w:tplc="416EABDE">
      <w:start w:val="1"/>
      <w:numFmt w:val="bullet"/>
      <w:lvlText w:val="–"/>
      <w:lvlJc w:val="left"/>
      <w:pPr>
        <w:tabs>
          <w:tab w:val="num" w:pos="1724"/>
        </w:tabs>
        <w:ind w:left="1724" w:hanging="36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4FD556CE"/>
    <w:multiLevelType w:val="hybridMultilevel"/>
    <w:tmpl w:val="0BAE63E2"/>
    <w:lvl w:ilvl="0" w:tplc="942AA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6401F"/>
    <w:multiLevelType w:val="multilevel"/>
    <w:tmpl w:val="5F303A0A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tabs>
          <w:tab w:val="num" w:pos="851"/>
        </w:tabs>
        <w:ind w:left="851" w:hanging="494"/>
      </w:pPr>
      <w:rPr>
        <w:rFonts w:ascii="Arial" w:hAnsi="Arial" w:hint="default"/>
        <w:b/>
        <w:i/>
        <w:sz w:val="22"/>
        <w:szCs w:val="18"/>
      </w:rPr>
    </w:lvl>
    <w:lvl w:ilvl="3">
      <w:start w:val="1"/>
      <w:numFmt w:val="lowerLetter"/>
      <w:pStyle w:val="List-outline-numbered"/>
      <w:lvlText w:val="%4.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4"/>
        </w:tabs>
        <w:ind w:left="122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"/>
        </w:tabs>
        <w:ind w:left="136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584"/>
      </w:pPr>
      <w:rPr>
        <w:rFonts w:hint="default"/>
      </w:rPr>
    </w:lvl>
  </w:abstractNum>
  <w:abstractNum w:abstractNumId="6">
    <w:nsid w:val="774868B9"/>
    <w:multiLevelType w:val="hybridMultilevel"/>
    <w:tmpl w:val="A02AF9EA"/>
    <w:lvl w:ilvl="0" w:tplc="F33CF392">
      <w:start w:val="1"/>
      <w:numFmt w:val="bullet"/>
      <w:pStyle w:val="Table-list-bullet"/>
      <w:lvlText w:val="–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2B7333"/>
    <w:multiLevelType w:val="hybridMultilevel"/>
    <w:tmpl w:val="6FCC5E02"/>
    <w:lvl w:ilvl="0" w:tplc="B8006AFA">
      <w:start w:val="1"/>
      <w:numFmt w:val="bullet"/>
      <w:lvlText w:val="−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drawingGridVerticalSpacing w:val="181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35"/>
    <w:rsid w:val="00012070"/>
    <w:rsid w:val="00012E96"/>
    <w:rsid w:val="000135D5"/>
    <w:rsid w:val="00015371"/>
    <w:rsid w:val="000163BD"/>
    <w:rsid w:val="00026DA2"/>
    <w:rsid w:val="000272E0"/>
    <w:rsid w:val="00031779"/>
    <w:rsid w:val="000412DD"/>
    <w:rsid w:val="00052316"/>
    <w:rsid w:val="00054700"/>
    <w:rsid w:val="00067C95"/>
    <w:rsid w:val="000704CE"/>
    <w:rsid w:val="0007162A"/>
    <w:rsid w:val="00071CEC"/>
    <w:rsid w:val="000728D3"/>
    <w:rsid w:val="000733A7"/>
    <w:rsid w:val="000765F5"/>
    <w:rsid w:val="00077243"/>
    <w:rsid w:val="000815FC"/>
    <w:rsid w:val="000869CE"/>
    <w:rsid w:val="0009274D"/>
    <w:rsid w:val="00094CE2"/>
    <w:rsid w:val="000A2E90"/>
    <w:rsid w:val="000A4E02"/>
    <w:rsid w:val="000A77DB"/>
    <w:rsid w:val="000B520A"/>
    <w:rsid w:val="000B7AFD"/>
    <w:rsid w:val="000C4574"/>
    <w:rsid w:val="000D316D"/>
    <w:rsid w:val="000D38AE"/>
    <w:rsid w:val="000E12A5"/>
    <w:rsid w:val="000E1475"/>
    <w:rsid w:val="000E1958"/>
    <w:rsid w:val="000E2DAB"/>
    <w:rsid w:val="000E711E"/>
    <w:rsid w:val="000F51D5"/>
    <w:rsid w:val="000F5FF5"/>
    <w:rsid w:val="0010006D"/>
    <w:rsid w:val="00102362"/>
    <w:rsid w:val="00104963"/>
    <w:rsid w:val="001077BF"/>
    <w:rsid w:val="00110436"/>
    <w:rsid w:val="00113C84"/>
    <w:rsid w:val="00116D39"/>
    <w:rsid w:val="001216E4"/>
    <w:rsid w:val="00121F43"/>
    <w:rsid w:val="001236CF"/>
    <w:rsid w:val="00123C3E"/>
    <w:rsid w:val="0012582F"/>
    <w:rsid w:val="00125BCC"/>
    <w:rsid w:val="00134B6C"/>
    <w:rsid w:val="001378B7"/>
    <w:rsid w:val="00140289"/>
    <w:rsid w:val="00144AF1"/>
    <w:rsid w:val="001461C8"/>
    <w:rsid w:val="001467C6"/>
    <w:rsid w:val="00151891"/>
    <w:rsid w:val="0015240F"/>
    <w:rsid w:val="00153F2A"/>
    <w:rsid w:val="001614B0"/>
    <w:rsid w:val="0016457C"/>
    <w:rsid w:val="00167DA1"/>
    <w:rsid w:val="00173632"/>
    <w:rsid w:val="00173E74"/>
    <w:rsid w:val="00175FFC"/>
    <w:rsid w:val="00177AC0"/>
    <w:rsid w:val="00184728"/>
    <w:rsid w:val="001874BC"/>
    <w:rsid w:val="00190704"/>
    <w:rsid w:val="001917F6"/>
    <w:rsid w:val="001B1EE4"/>
    <w:rsid w:val="001B5DEE"/>
    <w:rsid w:val="001C135B"/>
    <w:rsid w:val="001D7353"/>
    <w:rsid w:val="001E3D24"/>
    <w:rsid w:val="001E4372"/>
    <w:rsid w:val="001E4FCC"/>
    <w:rsid w:val="001F548E"/>
    <w:rsid w:val="00201759"/>
    <w:rsid w:val="00206132"/>
    <w:rsid w:val="00214F7F"/>
    <w:rsid w:val="00221D53"/>
    <w:rsid w:val="00223581"/>
    <w:rsid w:val="00223B9A"/>
    <w:rsid w:val="00232239"/>
    <w:rsid w:val="002425E0"/>
    <w:rsid w:val="002434E8"/>
    <w:rsid w:val="00245265"/>
    <w:rsid w:val="00250414"/>
    <w:rsid w:val="00250CB9"/>
    <w:rsid w:val="002524DA"/>
    <w:rsid w:val="002546B7"/>
    <w:rsid w:val="00255DF0"/>
    <w:rsid w:val="00263A50"/>
    <w:rsid w:val="00264366"/>
    <w:rsid w:val="00276F45"/>
    <w:rsid w:val="002824B7"/>
    <w:rsid w:val="002839B9"/>
    <w:rsid w:val="00294635"/>
    <w:rsid w:val="0029717D"/>
    <w:rsid w:val="002B2279"/>
    <w:rsid w:val="002B2BA6"/>
    <w:rsid w:val="002B5216"/>
    <w:rsid w:val="002C05DB"/>
    <w:rsid w:val="002D1173"/>
    <w:rsid w:val="002D4C96"/>
    <w:rsid w:val="002E0EA2"/>
    <w:rsid w:val="002E4E62"/>
    <w:rsid w:val="002E7065"/>
    <w:rsid w:val="002E7A09"/>
    <w:rsid w:val="002F001E"/>
    <w:rsid w:val="002F0A4A"/>
    <w:rsid w:val="002F13CD"/>
    <w:rsid w:val="002F3803"/>
    <w:rsid w:val="002F77B2"/>
    <w:rsid w:val="0030264B"/>
    <w:rsid w:val="00310523"/>
    <w:rsid w:val="00310FA6"/>
    <w:rsid w:val="00311FC7"/>
    <w:rsid w:val="0032115A"/>
    <w:rsid w:val="00324D94"/>
    <w:rsid w:val="00326D2A"/>
    <w:rsid w:val="00327493"/>
    <w:rsid w:val="00332F95"/>
    <w:rsid w:val="00334E51"/>
    <w:rsid w:val="00342870"/>
    <w:rsid w:val="00343878"/>
    <w:rsid w:val="00345F77"/>
    <w:rsid w:val="00350917"/>
    <w:rsid w:val="0035724B"/>
    <w:rsid w:val="00364F8D"/>
    <w:rsid w:val="00365759"/>
    <w:rsid w:val="00366BB1"/>
    <w:rsid w:val="00366BB9"/>
    <w:rsid w:val="00367DA3"/>
    <w:rsid w:val="003719DB"/>
    <w:rsid w:val="00371B8D"/>
    <w:rsid w:val="003725A9"/>
    <w:rsid w:val="00373EB2"/>
    <w:rsid w:val="0037535E"/>
    <w:rsid w:val="0039002F"/>
    <w:rsid w:val="00390A59"/>
    <w:rsid w:val="00394C72"/>
    <w:rsid w:val="00397F85"/>
    <w:rsid w:val="003A09AD"/>
    <w:rsid w:val="003A1773"/>
    <w:rsid w:val="003A273C"/>
    <w:rsid w:val="003A36D5"/>
    <w:rsid w:val="003A4611"/>
    <w:rsid w:val="003A4D26"/>
    <w:rsid w:val="003B518A"/>
    <w:rsid w:val="003C0A67"/>
    <w:rsid w:val="003C24EC"/>
    <w:rsid w:val="003C25ED"/>
    <w:rsid w:val="003C482B"/>
    <w:rsid w:val="003D0131"/>
    <w:rsid w:val="003D0C24"/>
    <w:rsid w:val="003D236A"/>
    <w:rsid w:val="003D4CAC"/>
    <w:rsid w:val="003D548A"/>
    <w:rsid w:val="003D5CFC"/>
    <w:rsid w:val="003D6E0A"/>
    <w:rsid w:val="003D7317"/>
    <w:rsid w:val="003E0DFE"/>
    <w:rsid w:val="003E2603"/>
    <w:rsid w:val="003E3E3E"/>
    <w:rsid w:val="003E5AD9"/>
    <w:rsid w:val="003E6561"/>
    <w:rsid w:val="003E7BC4"/>
    <w:rsid w:val="003F0F7E"/>
    <w:rsid w:val="003F1725"/>
    <w:rsid w:val="003F2997"/>
    <w:rsid w:val="003F43CF"/>
    <w:rsid w:val="003F43F9"/>
    <w:rsid w:val="003F4C04"/>
    <w:rsid w:val="003F7C64"/>
    <w:rsid w:val="004032D0"/>
    <w:rsid w:val="00404F60"/>
    <w:rsid w:val="00405D90"/>
    <w:rsid w:val="00406563"/>
    <w:rsid w:val="00406867"/>
    <w:rsid w:val="00406CD2"/>
    <w:rsid w:val="00411862"/>
    <w:rsid w:val="00416565"/>
    <w:rsid w:val="004221A5"/>
    <w:rsid w:val="00434134"/>
    <w:rsid w:val="00444D45"/>
    <w:rsid w:val="004461E7"/>
    <w:rsid w:val="00451B34"/>
    <w:rsid w:val="00454766"/>
    <w:rsid w:val="004555E2"/>
    <w:rsid w:val="00455F94"/>
    <w:rsid w:val="00456E9B"/>
    <w:rsid w:val="00461D80"/>
    <w:rsid w:val="00461E34"/>
    <w:rsid w:val="00466CDA"/>
    <w:rsid w:val="00466F49"/>
    <w:rsid w:val="00467C62"/>
    <w:rsid w:val="004707CB"/>
    <w:rsid w:val="00473AA7"/>
    <w:rsid w:val="00476FDC"/>
    <w:rsid w:val="0047719C"/>
    <w:rsid w:val="00482EA6"/>
    <w:rsid w:val="00490DC9"/>
    <w:rsid w:val="00496DB3"/>
    <w:rsid w:val="004A100E"/>
    <w:rsid w:val="004A56A0"/>
    <w:rsid w:val="004C00C0"/>
    <w:rsid w:val="004C29DA"/>
    <w:rsid w:val="004C429D"/>
    <w:rsid w:val="004C675F"/>
    <w:rsid w:val="004D1E00"/>
    <w:rsid w:val="004D3454"/>
    <w:rsid w:val="004E0A16"/>
    <w:rsid w:val="004E150A"/>
    <w:rsid w:val="004E18AF"/>
    <w:rsid w:val="004E37BD"/>
    <w:rsid w:val="004E67F2"/>
    <w:rsid w:val="004F037D"/>
    <w:rsid w:val="004F5F17"/>
    <w:rsid w:val="00504689"/>
    <w:rsid w:val="005077AB"/>
    <w:rsid w:val="005106C7"/>
    <w:rsid w:val="005143CE"/>
    <w:rsid w:val="005149FE"/>
    <w:rsid w:val="005154F9"/>
    <w:rsid w:val="0052010E"/>
    <w:rsid w:val="00522766"/>
    <w:rsid w:val="00522C90"/>
    <w:rsid w:val="00523BBF"/>
    <w:rsid w:val="00526813"/>
    <w:rsid w:val="00527530"/>
    <w:rsid w:val="00530283"/>
    <w:rsid w:val="00541CFA"/>
    <w:rsid w:val="005477B9"/>
    <w:rsid w:val="00550E26"/>
    <w:rsid w:val="005672CB"/>
    <w:rsid w:val="00576EED"/>
    <w:rsid w:val="005829CA"/>
    <w:rsid w:val="00586B72"/>
    <w:rsid w:val="0059065C"/>
    <w:rsid w:val="005928E6"/>
    <w:rsid w:val="00593BCE"/>
    <w:rsid w:val="00593DB7"/>
    <w:rsid w:val="0059519C"/>
    <w:rsid w:val="00596949"/>
    <w:rsid w:val="005A4455"/>
    <w:rsid w:val="005A47C3"/>
    <w:rsid w:val="005A6B4A"/>
    <w:rsid w:val="005A7156"/>
    <w:rsid w:val="005A7776"/>
    <w:rsid w:val="005D008B"/>
    <w:rsid w:val="005D137E"/>
    <w:rsid w:val="005D264D"/>
    <w:rsid w:val="005D3F4B"/>
    <w:rsid w:val="005E0F91"/>
    <w:rsid w:val="005E3939"/>
    <w:rsid w:val="005F0156"/>
    <w:rsid w:val="00611E1D"/>
    <w:rsid w:val="0061231E"/>
    <w:rsid w:val="00614E79"/>
    <w:rsid w:val="00614EC8"/>
    <w:rsid w:val="006153BC"/>
    <w:rsid w:val="00627160"/>
    <w:rsid w:val="00630522"/>
    <w:rsid w:val="00632714"/>
    <w:rsid w:val="00636F15"/>
    <w:rsid w:val="00642F53"/>
    <w:rsid w:val="00654BC0"/>
    <w:rsid w:val="00656E2F"/>
    <w:rsid w:val="00670D9D"/>
    <w:rsid w:val="00677BF8"/>
    <w:rsid w:val="00681953"/>
    <w:rsid w:val="00681FC6"/>
    <w:rsid w:val="00683EB4"/>
    <w:rsid w:val="00686F1B"/>
    <w:rsid w:val="00691182"/>
    <w:rsid w:val="00696A03"/>
    <w:rsid w:val="006A069A"/>
    <w:rsid w:val="006A0B30"/>
    <w:rsid w:val="006A33F8"/>
    <w:rsid w:val="006A6864"/>
    <w:rsid w:val="006B0754"/>
    <w:rsid w:val="006B0F3C"/>
    <w:rsid w:val="006B204D"/>
    <w:rsid w:val="006B4A7A"/>
    <w:rsid w:val="006B5E30"/>
    <w:rsid w:val="006B7BFE"/>
    <w:rsid w:val="006C2142"/>
    <w:rsid w:val="006C4FA5"/>
    <w:rsid w:val="006C6D02"/>
    <w:rsid w:val="006D31BA"/>
    <w:rsid w:val="006D7297"/>
    <w:rsid w:val="006E0843"/>
    <w:rsid w:val="006E08F6"/>
    <w:rsid w:val="007104C5"/>
    <w:rsid w:val="0072064D"/>
    <w:rsid w:val="007336DD"/>
    <w:rsid w:val="007369E8"/>
    <w:rsid w:val="0074103C"/>
    <w:rsid w:val="00742997"/>
    <w:rsid w:val="00743FDA"/>
    <w:rsid w:val="00744139"/>
    <w:rsid w:val="00746917"/>
    <w:rsid w:val="007478C2"/>
    <w:rsid w:val="00747B90"/>
    <w:rsid w:val="0075045E"/>
    <w:rsid w:val="00755ECE"/>
    <w:rsid w:val="007617BD"/>
    <w:rsid w:val="00762F7B"/>
    <w:rsid w:val="0076441A"/>
    <w:rsid w:val="00767EB4"/>
    <w:rsid w:val="007717B2"/>
    <w:rsid w:val="0077265D"/>
    <w:rsid w:val="0077577F"/>
    <w:rsid w:val="0077790F"/>
    <w:rsid w:val="007820D0"/>
    <w:rsid w:val="00783EFE"/>
    <w:rsid w:val="00783F58"/>
    <w:rsid w:val="00792431"/>
    <w:rsid w:val="007B042E"/>
    <w:rsid w:val="007C0B1F"/>
    <w:rsid w:val="007C0E48"/>
    <w:rsid w:val="007C3F30"/>
    <w:rsid w:val="007C5A0D"/>
    <w:rsid w:val="007C5FAB"/>
    <w:rsid w:val="007C742F"/>
    <w:rsid w:val="007D2631"/>
    <w:rsid w:val="007E37A6"/>
    <w:rsid w:val="007E4E22"/>
    <w:rsid w:val="007E4FE8"/>
    <w:rsid w:val="007E60A1"/>
    <w:rsid w:val="007E694D"/>
    <w:rsid w:val="007E6E4D"/>
    <w:rsid w:val="007F3EE5"/>
    <w:rsid w:val="00800650"/>
    <w:rsid w:val="00802A54"/>
    <w:rsid w:val="00804AEF"/>
    <w:rsid w:val="00804D49"/>
    <w:rsid w:val="00806888"/>
    <w:rsid w:val="00814D47"/>
    <w:rsid w:val="0081654C"/>
    <w:rsid w:val="00816584"/>
    <w:rsid w:val="00817570"/>
    <w:rsid w:val="00831FE2"/>
    <w:rsid w:val="00843412"/>
    <w:rsid w:val="00843D42"/>
    <w:rsid w:val="00845B17"/>
    <w:rsid w:val="00847FA2"/>
    <w:rsid w:val="00864A76"/>
    <w:rsid w:val="008727DC"/>
    <w:rsid w:val="0087604D"/>
    <w:rsid w:val="008827A6"/>
    <w:rsid w:val="008856F9"/>
    <w:rsid w:val="00886689"/>
    <w:rsid w:val="00887304"/>
    <w:rsid w:val="00894472"/>
    <w:rsid w:val="008A1FC0"/>
    <w:rsid w:val="008A7B3B"/>
    <w:rsid w:val="008B3156"/>
    <w:rsid w:val="008B7666"/>
    <w:rsid w:val="008C512D"/>
    <w:rsid w:val="008D105C"/>
    <w:rsid w:val="008D6B75"/>
    <w:rsid w:val="008D716B"/>
    <w:rsid w:val="008D7666"/>
    <w:rsid w:val="008E0C4C"/>
    <w:rsid w:val="008F36C7"/>
    <w:rsid w:val="008F508E"/>
    <w:rsid w:val="009078E6"/>
    <w:rsid w:val="0091135C"/>
    <w:rsid w:val="00913F5E"/>
    <w:rsid w:val="00921CBF"/>
    <w:rsid w:val="00923B0C"/>
    <w:rsid w:val="009247FD"/>
    <w:rsid w:val="00933765"/>
    <w:rsid w:val="00936948"/>
    <w:rsid w:val="00936A6D"/>
    <w:rsid w:val="00944BC2"/>
    <w:rsid w:val="009526A3"/>
    <w:rsid w:val="00953FAD"/>
    <w:rsid w:val="0095688C"/>
    <w:rsid w:val="00963C76"/>
    <w:rsid w:val="00963FE5"/>
    <w:rsid w:val="00975EFF"/>
    <w:rsid w:val="00977DDC"/>
    <w:rsid w:val="00982318"/>
    <w:rsid w:val="00982776"/>
    <w:rsid w:val="00983442"/>
    <w:rsid w:val="00992DDD"/>
    <w:rsid w:val="00993D41"/>
    <w:rsid w:val="00995F15"/>
    <w:rsid w:val="009A2F92"/>
    <w:rsid w:val="009A4B0D"/>
    <w:rsid w:val="009B1EDE"/>
    <w:rsid w:val="009B4B2D"/>
    <w:rsid w:val="009B6244"/>
    <w:rsid w:val="009B65F8"/>
    <w:rsid w:val="009B6A20"/>
    <w:rsid w:val="009C235A"/>
    <w:rsid w:val="009C34DA"/>
    <w:rsid w:val="009C4126"/>
    <w:rsid w:val="009C53B4"/>
    <w:rsid w:val="009C73C2"/>
    <w:rsid w:val="009D62FF"/>
    <w:rsid w:val="009D6DE1"/>
    <w:rsid w:val="009D7187"/>
    <w:rsid w:val="009E597E"/>
    <w:rsid w:val="009E74C0"/>
    <w:rsid w:val="00A02130"/>
    <w:rsid w:val="00A04888"/>
    <w:rsid w:val="00A0734A"/>
    <w:rsid w:val="00A11A3C"/>
    <w:rsid w:val="00A11FB8"/>
    <w:rsid w:val="00A14C88"/>
    <w:rsid w:val="00A236A7"/>
    <w:rsid w:val="00A2540E"/>
    <w:rsid w:val="00A268C7"/>
    <w:rsid w:val="00A32596"/>
    <w:rsid w:val="00A33696"/>
    <w:rsid w:val="00A36EBD"/>
    <w:rsid w:val="00A435F6"/>
    <w:rsid w:val="00A44E49"/>
    <w:rsid w:val="00A5059C"/>
    <w:rsid w:val="00A519CC"/>
    <w:rsid w:val="00A5273A"/>
    <w:rsid w:val="00A53647"/>
    <w:rsid w:val="00A558C5"/>
    <w:rsid w:val="00A55C90"/>
    <w:rsid w:val="00A62896"/>
    <w:rsid w:val="00A71362"/>
    <w:rsid w:val="00A7295D"/>
    <w:rsid w:val="00A75B48"/>
    <w:rsid w:val="00A817F8"/>
    <w:rsid w:val="00A85757"/>
    <w:rsid w:val="00A91D3A"/>
    <w:rsid w:val="00A94B71"/>
    <w:rsid w:val="00A967C8"/>
    <w:rsid w:val="00A96A0A"/>
    <w:rsid w:val="00AA34C2"/>
    <w:rsid w:val="00AA4991"/>
    <w:rsid w:val="00AA5E51"/>
    <w:rsid w:val="00AA713B"/>
    <w:rsid w:val="00AB6960"/>
    <w:rsid w:val="00AC1241"/>
    <w:rsid w:val="00AC3332"/>
    <w:rsid w:val="00AD1B8A"/>
    <w:rsid w:val="00AD4F58"/>
    <w:rsid w:val="00AE250D"/>
    <w:rsid w:val="00AE4297"/>
    <w:rsid w:val="00AE52D5"/>
    <w:rsid w:val="00AE5F85"/>
    <w:rsid w:val="00AE7561"/>
    <w:rsid w:val="00AF1433"/>
    <w:rsid w:val="00AF367C"/>
    <w:rsid w:val="00AF4FCA"/>
    <w:rsid w:val="00B008B4"/>
    <w:rsid w:val="00B04101"/>
    <w:rsid w:val="00B045C1"/>
    <w:rsid w:val="00B0466F"/>
    <w:rsid w:val="00B06A1E"/>
    <w:rsid w:val="00B07AD5"/>
    <w:rsid w:val="00B11A4D"/>
    <w:rsid w:val="00B12C95"/>
    <w:rsid w:val="00B222DF"/>
    <w:rsid w:val="00B22A33"/>
    <w:rsid w:val="00B24C7E"/>
    <w:rsid w:val="00B2593F"/>
    <w:rsid w:val="00B279D0"/>
    <w:rsid w:val="00B35F23"/>
    <w:rsid w:val="00B362C7"/>
    <w:rsid w:val="00B369D1"/>
    <w:rsid w:val="00B41A17"/>
    <w:rsid w:val="00B432DE"/>
    <w:rsid w:val="00B4437C"/>
    <w:rsid w:val="00B56E26"/>
    <w:rsid w:val="00B60860"/>
    <w:rsid w:val="00B67F3E"/>
    <w:rsid w:val="00B75863"/>
    <w:rsid w:val="00B766F4"/>
    <w:rsid w:val="00B8200C"/>
    <w:rsid w:val="00B84249"/>
    <w:rsid w:val="00B86E2F"/>
    <w:rsid w:val="00B91940"/>
    <w:rsid w:val="00B93137"/>
    <w:rsid w:val="00B93E67"/>
    <w:rsid w:val="00B9551F"/>
    <w:rsid w:val="00BA3C47"/>
    <w:rsid w:val="00BB53D4"/>
    <w:rsid w:val="00BB5757"/>
    <w:rsid w:val="00BC2C84"/>
    <w:rsid w:val="00BC5D5C"/>
    <w:rsid w:val="00BC600C"/>
    <w:rsid w:val="00BF3562"/>
    <w:rsid w:val="00BF3735"/>
    <w:rsid w:val="00C00100"/>
    <w:rsid w:val="00C01019"/>
    <w:rsid w:val="00C0509D"/>
    <w:rsid w:val="00C0520A"/>
    <w:rsid w:val="00C13229"/>
    <w:rsid w:val="00C1587C"/>
    <w:rsid w:val="00C16B9D"/>
    <w:rsid w:val="00C2004D"/>
    <w:rsid w:val="00C20446"/>
    <w:rsid w:val="00C263B2"/>
    <w:rsid w:val="00C2738E"/>
    <w:rsid w:val="00C365BC"/>
    <w:rsid w:val="00C37DB6"/>
    <w:rsid w:val="00C42279"/>
    <w:rsid w:val="00C441FE"/>
    <w:rsid w:val="00C4776D"/>
    <w:rsid w:val="00C51434"/>
    <w:rsid w:val="00C53398"/>
    <w:rsid w:val="00C538E7"/>
    <w:rsid w:val="00C6299D"/>
    <w:rsid w:val="00C64683"/>
    <w:rsid w:val="00C64B11"/>
    <w:rsid w:val="00C65145"/>
    <w:rsid w:val="00C657FB"/>
    <w:rsid w:val="00C65A25"/>
    <w:rsid w:val="00C65DDC"/>
    <w:rsid w:val="00C66DAE"/>
    <w:rsid w:val="00C679C9"/>
    <w:rsid w:val="00C700FD"/>
    <w:rsid w:val="00C74D90"/>
    <w:rsid w:val="00C77C7A"/>
    <w:rsid w:val="00C8100B"/>
    <w:rsid w:val="00C8709B"/>
    <w:rsid w:val="00C87222"/>
    <w:rsid w:val="00C90CFF"/>
    <w:rsid w:val="00CA2397"/>
    <w:rsid w:val="00CA5F98"/>
    <w:rsid w:val="00CA790B"/>
    <w:rsid w:val="00CB0D9F"/>
    <w:rsid w:val="00CB13C6"/>
    <w:rsid w:val="00CB24A3"/>
    <w:rsid w:val="00CC30D7"/>
    <w:rsid w:val="00CC5199"/>
    <w:rsid w:val="00CC7AE9"/>
    <w:rsid w:val="00CD0227"/>
    <w:rsid w:val="00CD075A"/>
    <w:rsid w:val="00CD099A"/>
    <w:rsid w:val="00CD0E7A"/>
    <w:rsid w:val="00CE0C47"/>
    <w:rsid w:val="00CF08F0"/>
    <w:rsid w:val="00CF31FA"/>
    <w:rsid w:val="00CF7A05"/>
    <w:rsid w:val="00D01688"/>
    <w:rsid w:val="00D02F70"/>
    <w:rsid w:val="00D11F62"/>
    <w:rsid w:val="00D17961"/>
    <w:rsid w:val="00D273CD"/>
    <w:rsid w:val="00D34B08"/>
    <w:rsid w:val="00D35C20"/>
    <w:rsid w:val="00D4711F"/>
    <w:rsid w:val="00D503E2"/>
    <w:rsid w:val="00D66ACD"/>
    <w:rsid w:val="00D709F8"/>
    <w:rsid w:val="00D721A2"/>
    <w:rsid w:val="00D72611"/>
    <w:rsid w:val="00D77E13"/>
    <w:rsid w:val="00D81AE0"/>
    <w:rsid w:val="00D82FCE"/>
    <w:rsid w:val="00D83C71"/>
    <w:rsid w:val="00D84B54"/>
    <w:rsid w:val="00D91610"/>
    <w:rsid w:val="00D9527A"/>
    <w:rsid w:val="00D95EB1"/>
    <w:rsid w:val="00D97C41"/>
    <w:rsid w:val="00DB1297"/>
    <w:rsid w:val="00DB20B2"/>
    <w:rsid w:val="00DC06C0"/>
    <w:rsid w:val="00DC0955"/>
    <w:rsid w:val="00DC4205"/>
    <w:rsid w:val="00DC5878"/>
    <w:rsid w:val="00DC73A5"/>
    <w:rsid w:val="00DC7D35"/>
    <w:rsid w:val="00DE11AB"/>
    <w:rsid w:val="00DE2470"/>
    <w:rsid w:val="00DF5138"/>
    <w:rsid w:val="00DF62D0"/>
    <w:rsid w:val="00E10870"/>
    <w:rsid w:val="00E12A1C"/>
    <w:rsid w:val="00E12F7B"/>
    <w:rsid w:val="00E12F88"/>
    <w:rsid w:val="00E20030"/>
    <w:rsid w:val="00E245E4"/>
    <w:rsid w:val="00E27F4A"/>
    <w:rsid w:val="00E30F79"/>
    <w:rsid w:val="00E33E4E"/>
    <w:rsid w:val="00E36400"/>
    <w:rsid w:val="00E416FA"/>
    <w:rsid w:val="00E44075"/>
    <w:rsid w:val="00E50AA1"/>
    <w:rsid w:val="00E5268B"/>
    <w:rsid w:val="00E558E2"/>
    <w:rsid w:val="00E57B1B"/>
    <w:rsid w:val="00E605EE"/>
    <w:rsid w:val="00E6298A"/>
    <w:rsid w:val="00E67963"/>
    <w:rsid w:val="00E67FAE"/>
    <w:rsid w:val="00E73A7D"/>
    <w:rsid w:val="00E77EAF"/>
    <w:rsid w:val="00E854B4"/>
    <w:rsid w:val="00E86F3D"/>
    <w:rsid w:val="00E872E6"/>
    <w:rsid w:val="00E879FB"/>
    <w:rsid w:val="00E9095B"/>
    <w:rsid w:val="00E9260F"/>
    <w:rsid w:val="00E932BC"/>
    <w:rsid w:val="00E9448D"/>
    <w:rsid w:val="00E96B7B"/>
    <w:rsid w:val="00EA1AA0"/>
    <w:rsid w:val="00EA5124"/>
    <w:rsid w:val="00EA6987"/>
    <w:rsid w:val="00EA6FCD"/>
    <w:rsid w:val="00EB3E0E"/>
    <w:rsid w:val="00EB3F2D"/>
    <w:rsid w:val="00EB74F2"/>
    <w:rsid w:val="00EC262F"/>
    <w:rsid w:val="00EC54C2"/>
    <w:rsid w:val="00EC6A26"/>
    <w:rsid w:val="00EF02B3"/>
    <w:rsid w:val="00EF116F"/>
    <w:rsid w:val="00EF51DB"/>
    <w:rsid w:val="00F00F21"/>
    <w:rsid w:val="00F01177"/>
    <w:rsid w:val="00F0610B"/>
    <w:rsid w:val="00F13AF9"/>
    <w:rsid w:val="00F22FFA"/>
    <w:rsid w:val="00F31F3B"/>
    <w:rsid w:val="00F36188"/>
    <w:rsid w:val="00F367B2"/>
    <w:rsid w:val="00F3700D"/>
    <w:rsid w:val="00F37B61"/>
    <w:rsid w:val="00F37DD4"/>
    <w:rsid w:val="00F4512D"/>
    <w:rsid w:val="00F52AAB"/>
    <w:rsid w:val="00F52EA1"/>
    <w:rsid w:val="00F54C6C"/>
    <w:rsid w:val="00F570DB"/>
    <w:rsid w:val="00F63B43"/>
    <w:rsid w:val="00F67830"/>
    <w:rsid w:val="00F931EC"/>
    <w:rsid w:val="00FA2BD3"/>
    <w:rsid w:val="00FA5AC3"/>
    <w:rsid w:val="00FB4715"/>
    <w:rsid w:val="00FC2E73"/>
    <w:rsid w:val="00FC32FD"/>
    <w:rsid w:val="00FC6229"/>
    <w:rsid w:val="00FD5536"/>
    <w:rsid w:val="00FE16B3"/>
    <w:rsid w:val="00FE5571"/>
    <w:rsid w:val="00FF0910"/>
    <w:rsid w:val="00FF18A8"/>
    <w:rsid w:val="00FF247F"/>
    <w:rsid w:val="00FF3066"/>
    <w:rsid w:val="00FF31DD"/>
    <w:rsid w:val="00FF5582"/>
    <w:rsid w:val="00FF5A97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7DB"/>
    <w:pPr>
      <w:spacing w:before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qFormat/>
    <w:rsid w:val="002B2279"/>
    <w:pPr>
      <w:keepNext/>
      <w:spacing w:before="240" w:after="60"/>
      <w:outlineLvl w:val="0"/>
    </w:pPr>
    <w:rPr>
      <w:rFonts w:ascii="Arial" w:hAnsi="Arial" w:cs="Arial"/>
      <w:b/>
      <w:sz w:val="26"/>
      <w:szCs w:val="32"/>
    </w:rPr>
  </w:style>
  <w:style w:type="paragraph" w:styleId="Heading2">
    <w:name w:val="heading 2"/>
    <w:basedOn w:val="Heading1"/>
    <w:next w:val="Normal"/>
    <w:link w:val="Heading2Char"/>
    <w:qFormat/>
    <w:rsid w:val="002B2279"/>
    <w:pPr>
      <w:outlineLvl w:val="1"/>
    </w:pPr>
    <w:rPr>
      <w:iCs/>
      <w:sz w:val="24"/>
      <w:szCs w:val="22"/>
    </w:rPr>
  </w:style>
  <w:style w:type="paragraph" w:styleId="Heading3">
    <w:name w:val="heading 3"/>
    <w:next w:val="Normal"/>
    <w:qFormat/>
    <w:rsid w:val="002B2279"/>
    <w:pPr>
      <w:keepNext/>
      <w:spacing w:before="160" w:after="60"/>
      <w:outlineLvl w:val="2"/>
    </w:pPr>
    <w:rPr>
      <w:rFonts w:ascii="Arial" w:hAnsi="Arial"/>
      <w:b/>
      <w:bCs/>
      <w:i/>
      <w:i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Name">
    <w:name w:val="DocName"/>
    <w:basedOn w:val="Normal"/>
    <w:link w:val="DocNameChar"/>
    <w:rsid w:val="002B2279"/>
    <w:pPr>
      <w:spacing w:before="0"/>
      <w:jc w:val="center"/>
    </w:pPr>
    <w:rPr>
      <w:b/>
      <w:bCs/>
      <w:sz w:val="28"/>
    </w:rPr>
  </w:style>
  <w:style w:type="paragraph" w:customStyle="1" w:styleId="DocStatus">
    <w:name w:val="DocStatus"/>
    <w:basedOn w:val="Normal"/>
    <w:rsid w:val="002B2279"/>
    <w:pPr>
      <w:spacing w:after="60"/>
      <w:jc w:val="center"/>
    </w:pPr>
    <w:rPr>
      <w:b/>
      <w:sz w:val="22"/>
    </w:rPr>
  </w:style>
  <w:style w:type="paragraph" w:customStyle="1" w:styleId="Heading2numbered">
    <w:name w:val="Heading 2 numbered"/>
    <w:basedOn w:val="Heading2"/>
    <w:next w:val="Normal"/>
    <w:rsid w:val="002B2279"/>
    <w:pPr>
      <w:numPr>
        <w:ilvl w:val="1"/>
        <w:numId w:val="4"/>
      </w:numPr>
    </w:pPr>
  </w:style>
  <w:style w:type="paragraph" w:customStyle="1" w:styleId="Heading3numbered">
    <w:name w:val="Heading 3 numbered"/>
    <w:basedOn w:val="Heading3"/>
    <w:next w:val="Normal"/>
    <w:rsid w:val="002B2279"/>
    <w:pPr>
      <w:numPr>
        <w:ilvl w:val="2"/>
        <w:numId w:val="4"/>
      </w:numPr>
    </w:pPr>
  </w:style>
  <w:style w:type="paragraph" w:customStyle="1" w:styleId="List-bullet-2">
    <w:name w:val="List-bullet-2"/>
    <w:basedOn w:val="Normal"/>
    <w:rsid w:val="002B2279"/>
    <w:pPr>
      <w:numPr>
        <w:numId w:val="2"/>
      </w:numPr>
      <w:spacing w:before="80"/>
    </w:pPr>
    <w:rPr>
      <w:rFonts w:cs="Arial"/>
      <w:szCs w:val="22"/>
      <w:lang w:val="en-US"/>
    </w:rPr>
  </w:style>
  <w:style w:type="paragraph" w:customStyle="1" w:styleId="List-number-2">
    <w:name w:val="List-number-2"/>
    <w:basedOn w:val="Normal"/>
    <w:link w:val="List-number-2Char"/>
    <w:rsid w:val="002B2279"/>
    <w:pPr>
      <w:numPr>
        <w:ilvl w:val="1"/>
        <w:numId w:val="3"/>
      </w:numPr>
    </w:pPr>
  </w:style>
  <w:style w:type="paragraph" w:customStyle="1" w:styleId="Normal-indent">
    <w:name w:val="Normal-indent"/>
    <w:basedOn w:val="Normal"/>
    <w:rsid w:val="002B2279"/>
    <w:pPr>
      <w:ind w:left="357"/>
    </w:pPr>
    <w:rPr>
      <w:lang w:eastAsia="en-AU"/>
    </w:rPr>
  </w:style>
  <w:style w:type="character" w:styleId="CommentReference">
    <w:name w:val="annotation reference"/>
    <w:semiHidden/>
    <w:rsid w:val="002B2279"/>
    <w:rPr>
      <w:sz w:val="16"/>
      <w:szCs w:val="16"/>
    </w:rPr>
  </w:style>
  <w:style w:type="paragraph" w:customStyle="1" w:styleId="TableHeader">
    <w:name w:val="TableHeader"/>
    <w:basedOn w:val="Normal"/>
    <w:rsid w:val="002B2279"/>
    <w:pPr>
      <w:keepNext/>
      <w:spacing w:before="60" w:after="40"/>
      <w:jc w:val="center"/>
    </w:pPr>
    <w:rPr>
      <w:rFonts w:cs="Arial"/>
      <w:b/>
    </w:rPr>
  </w:style>
  <w:style w:type="paragraph" w:customStyle="1" w:styleId="Table-normal-text">
    <w:name w:val="Table-normal-text"/>
    <w:basedOn w:val="Normal"/>
    <w:rsid w:val="002B2279"/>
    <w:pPr>
      <w:spacing w:before="60"/>
    </w:pPr>
  </w:style>
  <w:style w:type="paragraph" w:customStyle="1" w:styleId="Table-list-bullet">
    <w:name w:val="Table-list-bullet"/>
    <w:basedOn w:val="Table-normal-text"/>
    <w:rsid w:val="002B2279"/>
    <w:pPr>
      <w:numPr>
        <w:numId w:val="5"/>
      </w:numPr>
    </w:pPr>
  </w:style>
  <w:style w:type="paragraph" w:customStyle="1" w:styleId="Table-list-number">
    <w:name w:val="Table-list-number"/>
    <w:basedOn w:val="Table-normal-text"/>
    <w:rsid w:val="002B2279"/>
    <w:pPr>
      <w:numPr>
        <w:numId w:val="6"/>
      </w:numPr>
    </w:pPr>
  </w:style>
  <w:style w:type="paragraph" w:customStyle="1" w:styleId="TableTitle">
    <w:name w:val="TableTitle"/>
    <w:basedOn w:val="Normal"/>
    <w:next w:val="Table-normal-text"/>
    <w:rsid w:val="002B2279"/>
    <w:pPr>
      <w:keepNext/>
      <w:spacing w:before="240" w:after="120"/>
      <w:jc w:val="center"/>
    </w:pPr>
    <w:rPr>
      <w:b/>
    </w:rPr>
  </w:style>
  <w:style w:type="paragraph" w:styleId="Header">
    <w:name w:val="head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rsid w:val="002B2279"/>
    <w:rPr>
      <w:rFonts w:ascii="Arial" w:hAnsi="Arial"/>
      <w:sz w:val="16"/>
    </w:rPr>
  </w:style>
  <w:style w:type="character" w:styleId="Hyperlink">
    <w:name w:val="Hyperlink"/>
    <w:rsid w:val="002B2279"/>
    <w:rPr>
      <w:rFonts w:ascii="Arial" w:hAnsi="Arial"/>
      <w:color w:val="0000FF"/>
      <w:u w:val="single"/>
    </w:rPr>
  </w:style>
  <w:style w:type="paragraph" w:customStyle="1" w:styleId="List-outline-numbered">
    <w:name w:val="List-outline-numbered"/>
    <w:basedOn w:val="Normal"/>
    <w:rsid w:val="002B2279"/>
    <w:pPr>
      <w:numPr>
        <w:ilvl w:val="3"/>
        <w:numId w:val="4"/>
      </w:numPr>
    </w:pPr>
  </w:style>
  <w:style w:type="paragraph" w:customStyle="1" w:styleId="List-bullet-1">
    <w:name w:val="List-bullet-1"/>
    <w:basedOn w:val="Normal"/>
    <w:rsid w:val="002B2279"/>
    <w:pPr>
      <w:numPr>
        <w:numId w:val="1"/>
      </w:numPr>
    </w:pPr>
    <w:rPr>
      <w:rFonts w:cs="Arial"/>
      <w:szCs w:val="22"/>
    </w:rPr>
  </w:style>
  <w:style w:type="paragraph" w:customStyle="1" w:styleId="List-number-1">
    <w:name w:val="List-number-1"/>
    <w:basedOn w:val="Normal"/>
    <w:rsid w:val="002B2279"/>
    <w:pPr>
      <w:numPr>
        <w:numId w:val="3"/>
      </w:numPr>
    </w:pPr>
  </w:style>
  <w:style w:type="paragraph" w:styleId="BalloonText">
    <w:name w:val="Balloon Text"/>
    <w:basedOn w:val="Normal"/>
    <w:semiHidden/>
    <w:rsid w:val="002B2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2279"/>
    <w:pPr>
      <w:spacing w:before="60"/>
    </w:pPr>
    <w:rPr>
      <w:rFonts w:ascii="Arial" w:hAnsi="Arial"/>
      <w:sz w:val="18"/>
      <w:szCs w:val="18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57" w:type="dxa"/>
        <w:bottom w:w="28" w:type="dxa"/>
        <w:right w:w="57" w:type="dxa"/>
      </w:tblCellMar>
    </w:tblPr>
    <w:trPr>
      <w:cantSplit/>
    </w:trPr>
    <w:tblStylePr w:type="firstRow">
      <w:pPr>
        <w:jc w:val="center"/>
      </w:pPr>
      <w:rPr>
        <w:rFonts w:ascii="Arial" w:hAnsi="Arial"/>
        <w:b/>
        <w:sz w:val="18"/>
      </w:rPr>
      <w:tblPr/>
      <w:trPr>
        <w:tblHeader/>
      </w:trPr>
      <w:tcPr>
        <w:shd w:val="clear" w:color="auto" w:fill="E0E0E0"/>
        <w:vAlign w:val="center"/>
      </w:tcPr>
    </w:tblStylePr>
  </w:style>
  <w:style w:type="table" w:customStyle="1" w:styleId="TableCheckList-1">
    <w:name w:val="TableCheckList-1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firstCol">
      <w:tblPr/>
      <w:tcPr>
        <w:tcBorders>
          <w:bottom w:val="nil"/>
          <w:insideH w:val="single" w:sz="4" w:space="0" w:color="999999"/>
        </w:tcBorders>
      </w:tcPr>
    </w:tblStylePr>
  </w:style>
  <w:style w:type="table" w:customStyle="1" w:styleId="TableCheckList-2">
    <w:name w:val="TableCheckList-2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lastCol">
      <w:tblPr/>
      <w:tcPr>
        <w:tcBorders>
          <w:bottom w:val="single" w:sz="4" w:space="0" w:color="999999"/>
          <w:insideH w:val="single" w:sz="4" w:space="0" w:color="999999"/>
        </w:tcBorders>
      </w:tcPr>
    </w:tblStylePr>
  </w:style>
  <w:style w:type="paragraph" w:styleId="CommentText">
    <w:name w:val="annotation text"/>
    <w:basedOn w:val="Normal"/>
    <w:semiHidden/>
    <w:rsid w:val="002B227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B2279"/>
    <w:rPr>
      <w:b/>
      <w:bCs/>
    </w:rPr>
  </w:style>
  <w:style w:type="character" w:customStyle="1" w:styleId="List-number-2Char">
    <w:name w:val="List-number-2 Char"/>
    <w:link w:val="List-number-2"/>
    <w:rsid w:val="002B2279"/>
    <w:rPr>
      <w:rFonts w:ascii="Arial" w:hAnsi="Arial"/>
      <w:szCs w:val="24"/>
      <w:lang w:eastAsia="en-US"/>
    </w:rPr>
  </w:style>
  <w:style w:type="table" w:customStyle="1" w:styleId="Tablewithnoheader">
    <w:name w:val="Table with no header"/>
    <w:basedOn w:val="TableNormal"/>
    <w:rsid w:val="002B2279"/>
    <w:rPr>
      <w:rFonts w:ascii="Arial" w:hAnsi="Arial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</w:style>
  <w:style w:type="table" w:customStyle="1" w:styleId="Tablewithheader">
    <w:name w:val="Table with header"/>
    <w:basedOn w:val="Tablewithnoheader"/>
    <w:rsid w:val="002B2279"/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rFonts w:ascii="Arial" w:hAnsi="Arial"/>
        <w:b/>
        <w:sz w:val="20"/>
      </w:rPr>
      <w:tblPr/>
      <w:trPr>
        <w:tblHeader/>
      </w:trPr>
      <w:tcPr>
        <w:shd w:val="clear" w:color="auto" w:fill="E0E0E0"/>
        <w:vAlign w:val="center"/>
      </w:tcPr>
    </w:tblStylePr>
  </w:style>
  <w:style w:type="paragraph" w:styleId="TOC1">
    <w:name w:val="toc 1"/>
    <w:basedOn w:val="Normal"/>
    <w:next w:val="Normal"/>
    <w:autoRedefine/>
    <w:semiHidden/>
    <w:rsid w:val="002B2279"/>
    <w:pPr>
      <w:tabs>
        <w:tab w:val="left" w:pos="798"/>
      </w:tabs>
      <w:ind w:left="456"/>
    </w:pPr>
  </w:style>
  <w:style w:type="paragraph" w:styleId="TOC2">
    <w:name w:val="toc 2"/>
    <w:basedOn w:val="Normal"/>
    <w:next w:val="Normal"/>
    <w:autoRedefine/>
    <w:semiHidden/>
    <w:rsid w:val="002B2279"/>
    <w:pPr>
      <w:tabs>
        <w:tab w:val="left" w:pos="855"/>
      </w:tabs>
      <w:spacing w:before="80"/>
      <w:ind w:left="454"/>
    </w:pPr>
  </w:style>
  <w:style w:type="paragraph" w:styleId="TOC3">
    <w:name w:val="toc 3"/>
    <w:basedOn w:val="Normal"/>
    <w:next w:val="Normal"/>
    <w:autoRedefine/>
    <w:semiHidden/>
    <w:rsid w:val="002B2279"/>
    <w:pPr>
      <w:tabs>
        <w:tab w:val="left" w:pos="1311"/>
      </w:tabs>
      <w:spacing w:before="40"/>
      <w:ind w:left="856"/>
    </w:pPr>
  </w:style>
  <w:style w:type="character" w:customStyle="1" w:styleId="DocNameChar">
    <w:name w:val="DocName Char"/>
    <w:link w:val="DocName"/>
    <w:rsid w:val="003D6E0A"/>
    <w:rPr>
      <w:rFonts w:ascii="Arial" w:hAnsi="Arial"/>
      <w:b/>
      <w:bCs/>
      <w:sz w:val="28"/>
      <w:szCs w:val="24"/>
      <w:lang w:val="en-AU" w:eastAsia="en-US" w:bidi="ar-SA"/>
    </w:rPr>
  </w:style>
  <w:style w:type="character" w:customStyle="1" w:styleId="Heading2Char">
    <w:name w:val="Heading 2 Char"/>
    <w:link w:val="Heading2"/>
    <w:rsid w:val="00C657FB"/>
    <w:rPr>
      <w:rFonts w:ascii="Arial" w:hAnsi="Arial" w:cs="Arial"/>
      <w:b/>
      <w:iCs/>
      <w:sz w:val="24"/>
      <w:szCs w:val="22"/>
    </w:rPr>
  </w:style>
  <w:style w:type="character" w:styleId="FollowedHyperlink">
    <w:name w:val="FollowedHyperlink"/>
    <w:basedOn w:val="DefaultParagraphFont"/>
    <w:rsid w:val="00077243"/>
    <w:rPr>
      <w:color w:val="800080" w:themeColor="followedHyperlink"/>
      <w:u w:val="single"/>
    </w:rPr>
  </w:style>
  <w:style w:type="character" w:styleId="FootnoteReference">
    <w:name w:val="footnote reference"/>
    <w:rsid w:val="007C74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7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7DB"/>
    <w:pPr>
      <w:spacing w:before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qFormat/>
    <w:rsid w:val="002B2279"/>
    <w:pPr>
      <w:keepNext/>
      <w:spacing w:before="240" w:after="60"/>
      <w:outlineLvl w:val="0"/>
    </w:pPr>
    <w:rPr>
      <w:rFonts w:ascii="Arial" w:hAnsi="Arial" w:cs="Arial"/>
      <w:b/>
      <w:sz w:val="26"/>
      <w:szCs w:val="32"/>
    </w:rPr>
  </w:style>
  <w:style w:type="paragraph" w:styleId="Heading2">
    <w:name w:val="heading 2"/>
    <w:basedOn w:val="Heading1"/>
    <w:next w:val="Normal"/>
    <w:link w:val="Heading2Char"/>
    <w:qFormat/>
    <w:rsid w:val="002B2279"/>
    <w:pPr>
      <w:outlineLvl w:val="1"/>
    </w:pPr>
    <w:rPr>
      <w:iCs/>
      <w:sz w:val="24"/>
      <w:szCs w:val="22"/>
    </w:rPr>
  </w:style>
  <w:style w:type="paragraph" w:styleId="Heading3">
    <w:name w:val="heading 3"/>
    <w:next w:val="Normal"/>
    <w:qFormat/>
    <w:rsid w:val="002B2279"/>
    <w:pPr>
      <w:keepNext/>
      <w:spacing w:before="160" w:after="60"/>
      <w:outlineLvl w:val="2"/>
    </w:pPr>
    <w:rPr>
      <w:rFonts w:ascii="Arial" w:hAnsi="Arial"/>
      <w:b/>
      <w:bCs/>
      <w:i/>
      <w:i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Name">
    <w:name w:val="DocName"/>
    <w:basedOn w:val="Normal"/>
    <w:link w:val="DocNameChar"/>
    <w:rsid w:val="002B2279"/>
    <w:pPr>
      <w:spacing w:before="0"/>
      <w:jc w:val="center"/>
    </w:pPr>
    <w:rPr>
      <w:b/>
      <w:bCs/>
      <w:sz w:val="28"/>
    </w:rPr>
  </w:style>
  <w:style w:type="paragraph" w:customStyle="1" w:styleId="DocStatus">
    <w:name w:val="DocStatus"/>
    <w:basedOn w:val="Normal"/>
    <w:rsid w:val="002B2279"/>
    <w:pPr>
      <w:spacing w:after="60"/>
      <w:jc w:val="center"/>
    </w:pPr>
    <w:rPr>
      <w:b/>
      <w:sz w:val="22"/>
    </w:rPr>
  </w:style>
  <w:style w:type="paragraph" w:customStyle="1" w:styleId="Heading2numbered">
    <w:name w:val="Heading 2 numbered"/>
    <w:basedOn w:val="Heading2"/>
    <w:next w:val="Normal"/>
    <w:rsid w:val="002B2279"/>
    <w:pPr>
      <w:numPr>
        <w:ilvl w:val="1"/>
        <w:numId w:val="4"/>
      </w:numPr>
    </w:pPr>
  </w:style>
  <w:style w:type="paragraph" w:customStyle="1" w:styleId="Heading3numbered">
    <w:name w:val="Heading 3 numbered"/>
    <w:basedOn w:val="Heading3"/>
    <w:next w:val="Normal"/>
    <w:rsid w:val="002B2279"/>
    <w:pPr>
      <w:numPr>
        <w:ilvl w:val="2"/>
        <w:numId w:val="4"/>
      </w:numPr>
    </w:pPr>
  </w:style>
  <w:style w:type="paragraph" w:customStyle="1" w:styleId="List-bullet-2">
    <w:name w:val="List-bullet-2"/>
    <w:basedOn w:val="Normal"/>
    <w:rsid w:val="002B2279"/>
    <w:pPr>
      <w:numPr>
        <w:numId w:val="2"/>
      </w:numPr>
      <w:spacing w:before="80"/>
    </w:pPr>
    <w:rPr>
      <w:rFonts w:cs="Arial"/>
      <w:szCs w:val="22"/>
      <w:lang w:val="en-US"/>
    </w:rPr>
  </w:style>
  <w:style w:type="paragraph" w:customStyle="1" w:styleId="List-number-2">
    <w:name w:val="List-number-2"/>
    <w:basedOn w:val="Normal"/>
    <w:link w:val="List-number-2Char"/>
    <w:rsid w:val="002B2279"/>
    <w:pPr>
      <w:numPr>
        <w:ilvl w:val="1"/>
        <w:numId w:val="3"/>
      </w:numPr>
    </w:pPr>
  </w:style>
  <w:style w:type="paragraph" w:customStyle="1" w:styleId="Normal-indent">
    <w:name w:val="Normal-indent"/>
    <w:basedOn w:val="Normal"/>
    <w:rsid w:val="002B2279"/>
    <w:pPr>
      <w:ind w:left="357"/>
    </w:pPr>
    <w:rPr>
      <w:lang w:eastAsia="en-AU"/>
    </w:rPr>
  </w:style>
  <w:style w:type="character" w:styleId="CommentReference">
    <w:name w:val="annotation reference"/>
    <w:semiHidden/>
    <w:rsid w:val="002B2279"/>
    <w:rPr>
      <w:sz w:val="16"/>
      <w:szCs w:val="16"/>
    </w:rPr>
  </w:style>
  <w:style w:type="paragraph" w:customStyle="1" w:styleId="TableHeader">
    <w:name w:val="TableHeader"/>
    <w:basedOn w:val="Normal"/>
    <w:rsid w:val="002B2279"/>
    <w:pPr>
      <w:keepNext/>
      <w:spacing w:before="60" w:after="40"/>
      <w:jc w:val="center"/>
    </w:pPr>
    <w:rPr>
      <w:rFonts w:cs="Arial"/>
      <w:b/>
    </w:rPr>
  </w:style>
  <w:style w:type="paragraph" w:customStyle="1" w:styleId="Table-normal-text">
    <w:name w:val="Table-normal-text"/>
    <w:basedOn w:val="Normal"/>
    <w:rsid w:val="002B2279"/>
    <w:pPr>
      <w:spacing w:before="60"/>
    </w:pPr>
  </w:style>
  <w:style w:type="paragraph" w:customStyle="1" w:styleId="Table-list-bullet">
    <w:name w:val="Table-list-bullet"/>
    <w:basedOn w:val="Table-normal-text"/>
    <w:rsid w:val="002B2279"/>
    <w:pPr>
      <w:numPr>
        <w:numId w:val="5"/>
      </w:numPr>
    </w:pPr>
  </w:style>
  <w:style w:type="paragraph" w:customStyle="1" w:styleId="Table-list-number">
    <w:name w:val="Table-list-number"/>
    <w:basedOn w:val="Table-normal-text"/>
    <w:rsid w:val="002B2279"/>
    <w:pPr>
      <w:numPr>
        <w:numId w:val="6"/>
      </w:numPr>
    </w:pPr>
  </w:style>
  <w:style w:type="paragraph" w:customStyle="1" w:styleId="TableTitle">
    <w:name w:val="TableTitle"/>
    <w:basedOn w:val="Normal"/>
    <w:next w:val="Table-normal-text"/>
    <w:rsid w:val="002B2279"/>
    <w:pPr>
      <w:keepNext/>
      <w:spacing w:before="240" w:after="120"/>
      <w:jc w:val="center"/>
    </w:pPr>
    <w:rPr>
      <w:b/>
    </w:rPr>
  </w:style>
  <w:style w:type="paragraph" w:styleId="Header">
    <w:name w:val="head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rsid w:val="002B2279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rsid w:val="002B2279"/>
    <w:rPr>
      <w:rFonts w:ascii="Arial" w:hAnsi="Arial"/>
      <w:sz w:val="16"/>
    </w:rPr>
  </w:style>
  <w:style w:type="character" w:styleId="Hyperlink">
    <w:name w:val="Hyperlink"/>
    <w:rsid w:val="002B2279"/>
    <w:rPr>
      <w:rFonts w:ascii="Arial" w:hAnsi="Arial"/>
      <w:color w:val="0000FF"/>
      <w:u w:val="single"/>
    </w:rPr>
  </w:style>
  <w:style w:type="paragraph" w:customStyle="1" w:styleId="List-outline-numbered">
    <w:name w:val="List-outline-numbered"/>
    <w:basedOn w:val="Normal"/>
    <w:rsid w:val="002B2279"/>
    <w:pPr>
      <w:numPr>
        <w:ilvl w:val="3"/>
        <w:numId w:val="4"/>
      </w:numPr>
    </w:pPr>
  </w:style>
  <w:style w:type="paragraph" w:customStyle="1" w:styleId="List-bullet-1">
    <w:name w:val="List-bullet-1"/>
    <w:basedOn w:val="Normal"/>
    <w:rsid w:val="002B2279"/>
    <w:pPr>
      <w:numPr>
        <w:numId w:val="1"/>
      </w:numPr>
    </w:pPr>
    <w:rPr>
      <w:rFonts w:cs="Arial"/>
      <w:szCs w:val="22"/>
    </w:rPr>
  </w:style>
  <w:style w:type="paragraph" w:customStyle="1" w:styleId="List-number-1">
    <w:name w:val="List-number-1"/>
    <w:basedOn w:val="Normal"/>
    <w:rsid w:val="002B2279"/>
    <w:pPr>
      <w:numPr>
        <w:numId w:val="3"/>
      </w:numPr>
    </w:pPr>
  </w:style>
  <w:style w:type="paragraph" w:styleId="BalloonText">
    <w:name w:val="Balloon Text"/>
    <w:basedOn w:val="Normal"/>
    <w:semiHidden/>
    <w:rsid w:val="002B2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2279"/>
    <w:pPr>
      <w:spacing w:before="60"/>
    </w:pPr>
    <w:rPr>
      <w:rFonts w:ascii="Arial" w:hAnsi="Arial"/>
      <w:sz w:val="18"/>
      <w:szCs w:val="18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57" w:type="dxa"/>
        <w:bottom w:w="28" w:type="dxa"/>
        <w:right w:w="57" w:type="dxa"/>
      </w:tblCellMar>
    </w:tblPr>
    <w:trPr>
      <w:cantSplit/>
    </w:trPr>
    <w:tblStylePr w:type="firstRow">
      <w:pPr>
        <w:jc w:val="center"/>
      </w:pPr>
      <w:rPr>
        <w:rFonts w:ascii="Arial" w:hAnsi="Arial"/>
        <w:b/>
        <w:sz w:val="18"/>
      </w:rPr>
      <w:tblPr/>
      <w:trPr>
        <w:tblHeader/>
      </w:trPr>
      <w:tcPr>
        <w:shd w:val="clear" w:color="auto" w:fill="E0E0E0"/>
        <w:vAlign w:val="center"/>
      </w:tcPr>
    </w:tblStylePr>
  </w:style>
  <w:style w:type="table" w:customStyle="1" w:styleId="TableCheckList-1">
    <w:name w:val="TableCheckList-1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firstCol">
      <w:tblPr/>
      <w:tcPr>
        <w:tcBorders>
          <w:bottom w:val="nil"/>
          <w:insideH w:val="single" w:sz="4" w:space="0" w:color="999999"/>
        </w:tcBorders>
      </w:tcPr>
    </w:tblStylePr>
  </w:style>
  <w:style w:type="table" w:customStyle="1" w:styleId="TableCheckList-2">
    <w:name w:val="TableCheckList-2"/>
    <w:basedOn w:val="TableNormal"/>
    <w:rsid w:val="002B2279"/>
    <w:pPr>
      <w:spacing w:before="60"/>
    </w:pPr>
    <w:rPr>
      <w:rFonts w:ascii="Arial" w:hAnsi="Arial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0" w:type="dxa"/>
        <w:right w:w="57" w:type="dxa"/>
      </w:tblCellMar>
    </w:tblPr>
    <w:tblStylePr w:type="lastCol">
      <w:tblPr/>
      <w:tcPr>
        <w:tcBorders>
          <w:bottom w:val="single" w:sz="4" w:space="0" w:color="999999"/>
          <w:insideH w:val="single" w:sz="4" w:space="0" w:color="999999"/>
        </w:tcBorders>
      </w:tcPr>
    </w:tblStylePr>
  </w:style>
  <w:style w:type="paragraph" w:styleId="CommentText">
    <w:name w:val="annotation text"/>
    <w:basedOn w:val="Normal"/>
    <w:semiHidden/>
    <w:rsid w:val="002B227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B2279"/>
    <w:rPr>
      <w:b/>
      <w:bCs/>
    </w:rPr>
  </w:style>
  <w:style w:type="character" w:customStyle="1" w:styleId="List-number-2Char">
    <w:name w:val="List-number-2 Char"/>
    <w:link w:val="List-number-2"/>
    <w:rsid w:val="002B2279"/>
    <w:rPr>
      <w:rFonts w:ascii="Arial" w:hAnsi="Arial"/>
      <w:szCs w:val="24"/>
      <w:lang w:eastAsia="en-US"/>
    </w:rPr>
  </w:style>
  <w:style w:type="table" w:customStyle="1" w:styleId="Tablewithnoheader">
    <w:name w:val="Table with no header"/>
    <w:basedOn w:val="TableNormal"/>
    <w:rsid w:val="002B2279"/>
    <w:rPr>
      <w:rFonts w:ascii="Arial" w:hAnsi="Arial"/>
    </w:rPr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</w:style>
  <w:style w:type="table" w:customStyle="1" w:styleId="Tablewithheader">
    <w:name w:val="Table with header"/>
    <w:basedOn w:val="Tablewithnoheader"/>
    <w:rsid w:val="002B2279"/>
    <w:tblPr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rFonts w:ascii="Arial" w:hAnsi="Arial"/>
        <w:b/>
        <w:sz w:val="20"/>
      </w:rPr>
      <w:tblPr/>
      <w:trPr>
        <w:tblHeader/>
      </w:trPr>
      <w:tcPr>
        <w:shd w:val="clear" w:color="auto" w:fill="E0E0E0"/>
        <w:vAlign w:val="center"/>
      </w:tcPr>
    </w:tblStylePr>
  </w:style>
  <w:style w:type="paragraph" w:styleId="TOC1">
    <w:name w:val="toc 1"/>
    <w:basedOn w:val="Normal"/>
    <w:next w:val="Normal"/>
    <w:autoRedefine/>
    <w:semiHidden/>
    <w:rsid w:val="002B2279"/>
    <w:pPr>
      <w:tabs>
        <w:tab w:val="left" w:pos="798"/>
      </w:tabs>
      <w:ind w:left="456"/>
    </w:pPr>
  </w:style>
  <w:style w:type="paragraph" w:styleId="TOC2">
    <w:name w:val="toc 2"/>
    <w:basedOn w:val="Normal"/>
    <w:next w:val="Normal"/>
    <w:autoRedefine/>
    <w:semiHidden/>
    <w:rsid w:val="002B2279"/>
    <w:pPr>
      <w:tabs>
        <w:tab w:val="left" w:pos="855"/>
      </w:tabs>
      <w:spacing w:before="80"/>
      <w:ind w:left="454"/>
    </w:pPr>
  </w:style>
  <w:style w:type="paragraph" w:styleId="TOC3">
    <w:name w:val="toc 3"/>
    <w:basedOn w:val="Normal"/>
    <w:next w:val="Normal"/>
    <w:autoRedefine/>
    <w:semiHidden/>
    <w:rsid w:val="002B2279"/>
    <w:pPr>
      <w:tabs>
        <w:tab w:val="left" w:pos="1311"/>
      </w:tabs>
      <w:spacing w:before="40"/>
      <w:ind w:left="856"/>
    </w:pPr>
  </w:style>
  <w:style w:type="character" w:customStyle="1" w:styleId="DocNameChar">
    <w:name w:val="DocName Char"/>
    <w:link w:val="DocName"/>
    <w:rsid w:val="003D6E0A"/>
    <w:rPr>
      <w:rFonts w:ascii="Arial" w:hAnsi="Arial"/>
      <w:b/>
      <w:bCs/>
      <w:sz w:val="28"/>
      <w:szCs w:val="24"/>
      <w:lang w:val="en-AU" w:eastAsia="en-US" w:bidi="ar-SA"/>
    </w:rPr>
  </w:style>
  <w:style w:type="character" w:customStyle="1" w:styleId="Heading2Char">
    <w:name w:val="Heading 2 Char"/>
    <w:link w:val="Heading2"/>
    <w:rsid w:val="00C657FB"/>
    <w:rPr>
      <w:rFonts w:ascii="Arial" w:hAnsi="Arial" w:cs="Arial"/>
      <w:b/>
      <w:iCs/>
      <w:sz w:val="24"/>
      <w:szCs w:val="22"/>
    </w:rPr>
  </w:style>
  <w:style w:type="character" w:styleId="FollowedHyperlink">
    <w:name w:val="FollowedHyperlink"/>
    <w:basedOn w:val="DefaultParagraphFont"/>
    <w:rsid w:val="00077243"/>
    <w:rPr>
      <w:color w:val="800080" w:themeColor="followedHyperlink"/>
      <w:u w:val="single"/>
    </w:rPr>
  </w:style>
  <w:style w:type="character" w:styleId="FootnoteReference">
    <w:name w:val="footnote reference"/>
    <w:rsid w:val="007C74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778B1-9375-40FE-A24B-CA2A99D16DA9}"/>
</file>

<file path=customXml/itemProps2.xml><?xml version="1.0" encoding="utf-8"?>
<ds:datastoreItem xmlns:ds="http://schemas.openxmlformats.org/officeDocument/2006/customXml" ds:itemID="{1DACFF6B-5830-431E-B180-D4C39B69D5E5}"/>
</file>

<file path=customXml/itemProps3.xml><?xml version="1.0" encoding="utf-8"?>
<ds:datastoreItem xmlns:ds="http://schemas.openxmlformats.org/officeDocument/2006/customXml" ds:itemID="{B5C1B0E3-8140-4367-B16E-6A8551418B76}"/>
</file>

<file path=customXml/itemProps4.xml><?xml version="1.0" encoding="utf-8"?>
<ds:datastoreItem xmlns:ds="http://schemas.openxmlformats.org/officeDocument/2006/customXml" ds:itemID="{5F01A260-4D95-4CBE-8C00-074650D62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1043</Words>
  <Characters>6088</Characters>
  <Application>Microsoft Office Word</Application>
  <DocSecurity>0</DocSecurity>
  <Lines>117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2014-02-27T04:05:00Z</dcterms:created>
  <dcterms:modified xsi:type="dcterms:W3CDTF">2014-02-27T04:05:00Z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0x01010050F19AC2165D2E47A5E6B7F563E4CF00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