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 xml:space="preserve">report </w:t>
      </w:r>
      <w:r w:rsidR="00550890">
        <w:rPr>
          <w:spacing w:val="-20"/>
          <w:sz w:val="60"/>
        </w:rPr>
        <w:t xml:space="preserve">SUMMARY </w:t>
      </w:r>
      <w:r>
        <w:rPr>
          <w:spacing w:val="-20"/>
          <w:sz w:val="60"/>
        </w:rPr>
        <w:t>201</w:t>
      </w:r>
      <w:r w:rsidR="00550890">
        <w:rPr>
          <w:spacing w:val="-20"/>
          <w:sz w:val="60"/>
        </w:rPr>
        <w:t>8-19</w:t>
      </w:r>
    </w:p>
    <w:p w:rsidR="0059146A" w:rsidRDefault="00835BA0"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Kiribati</w:t>
      </w:r>
      <w:r w:rsidR="0059146A">
        <w:rPr>
          <w:sz w:val="40"/>
        </w:rPr>
        <w:br/>
      </w:r>
      <w:r w:rsidR="0059146A" w:rsidRPr="0059146A">
        <w:rPr>
          <w:sz w:val="24"/>
        </w:rPr>
        <w:t>September 201</w:t>
      </w:r>
      <w:r w:rsidR="00550890">
        <w:rPr>
          <w:sz w:val="24"/>
        </w:rPr>
        <w:t>9</w:t>
      </w:r>
    </w:p>
    <w:p w:rsidR="005B5769" w:rsidRPr="00BB648A" w:rsidRDefault="00835BA0" w:rsidP="00E01C62">
      <w:pPr>
        <w:pStyle w:val="Title"/>
        <w:spacing w:before="120" w:after="240" w:line="300" w:lineRule="exact"/>
        <w:contextualSpacing w:val="0"/>
        <w:rPr>
          <w:szCs w:val="38"/>
        </w:rPr>
      </w:pPr>
      <w:r w:rsidRPr="00835BA0">
        <w:rPr>
          <w:szCs w:val="38"/>
        </w:rPr>
        <w:lastRenderedPageBreak/>
        <w:t>Kiribati</w:t>
      </w:r>
      <w:r w:rsidR="005B5769" w:rsidRPr="00835BA0">
        <w:rPr>
          <w:szCs w:val="38"/>
        </w:rPr>
        <w:t xml:space="preserve"> </w:t>
      </w:r>
      <w:r w:rsidR="005B5769" w:rsidRPr="00BB648A">
        <w:rPr>
          <w:szCs w:val="38"/>
        </w:rPr>
        <w:t>Aid Program Performance Information 201</w:t>
      </w:r>
      <w:r w:rsidR="00272B5F">
        <w:rPr>
          <w:szCs w:val="38"/>
        </w:rPr>
        <w:t>8-19</w:t>
      </w:r>
    </w:p>
    <w:p w:rsidR="005B5769" w:rsidRPr="00877607"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877607">
        <w:rPr>
          <w:rFonts w:asciiTheme="majorHAnsi" w:eastAsiaTheme="majorEastAsia" w:hAnsiTheme="majorHAnsi" w:cstheme="majorBidi"/>
          <w:caps/>
          <w:color w:val="495965" w:themeColor="text2"/>
          <w:sz w:val="38"/>
          <w:szCs w:val="38"/>
          <w:lang w:val="en-GB" w:eastAsia="en-US"/>
        </w:rPr>
        <w:t>Summary</w:t>
      </w:r>
    </w:p>
    <w:p w:rsidR="00835BA0" w:rsidRPr="00835BA0" w:rsidRDefault="00835BA0" w:rsidP="00835BA0">
      <w:r w:rsidRPr="00835BA0">
        <w:t>This report summarises the performance of Australia’s aid program in Kiribati from July 2018 to June 2019 against the Kiribati Aid Investment Plan (AIP) 2015-16 to 2018-19</w:t>
      </w:r>
      <w:r w:rsidR="001D11F0">
        <w:t xml:space="preserve">. </w:t>
      </w:r>
      <w:r w:rsidRPr="00835BA0">
        <w:t>Kiribati is one of the poorest countries in the region, with GNI per capita estimated at USD3,010</w:t>
      </w:r>
      <w:r w:rsidR="00BE6D64">
        <w:t>, and is the poorest country in the Pacific based on nominal per capita income</w:t>
      </w:r>
      <w:r w:rsidRPr="00835BA0">
        <w:t xml:space="preserve">. Official development assistance (ODA) supports economic growth </w:t>
      </w:r>
      <w:r w:rsidR="00824319">
        <w:t xml:space="preserve">and human development </w:t>
      </w:r>
      <w:r w:rsidRPr="00835BA0">
        <w:t>in the context of a small and dispersed population, a narrow resource base, limited private sector activity and environmental vulnerability.</w:t>
      </w:r>
    </w:p>
    <w:p w:rsidR="00315935" w:rsidRDefault="00835BA0" w:rsidP="00835BA0">
      <w:r w:rsidRPr="00835BA0">
        <w:t>Australia’s development program priorities and methods contribute to the strategic objectives outlined in our 2017 Foreign Policy White Paper, particularly a stable and prosperous Indo-Pacific region. Australia’s programs in Kiribati address gender equality, disability inclusion and climate change resilience</w:t>
      </w:r>
      <w:r w:rsidR="004909AC">
        <w:t xml:space="preserve"> as critical to inclusive development outcomes</w:t>
      </w:r>
      <w:r w:rsidRPr="00835BA0">
        <w:t>.</w:t>
      </w:r>
      <w:r>
        <w:t xml:space="preserve"> </w:t>
      </w:r>
      <w:r w:rsidRPr="00835BA0">
        <w:t xml:space="preserve">Our activities are also consistent with the </w:t>
      </w:r>
      <w:r w:rsidRPr="00835BA0">
        <w:rPr>
          <w:i/>
        </w:rPr>
        <w:t>Kiribati 20-Year Vision: 2016-2036</w:t>
      </w:r>
      <w:r w:rsidRPr="00835BA0">
        <w:t>, in particular, the governance pillar and the wealth pillar’s focus on improving human capital.</w:t>
      </w:r>
      <w:r w:rsidR="00122F55" w:rsidRPr="00122F55">
        <w:t xml:space="preserve"> </w:t>
      </w:r>
    </w:p>
    <w:p w:rsidR="00315935" w:rsidRPr="00835BA0" w:rsidRDefault="00315935" w:rsidP="00315935">
      <w:r w:rsidRPr="00835BA0">
        <w:t>Australia’s aid program continued to support the Government of Kiribati’s (</w:t>
      </w:r>
      <w:proofErr w:type="spellStart"/>
      <w:r w:rsidRPr="00835BA0">
        <w:t>GoK</w:t>
      </w:r>
      <w:proofErr w:type="spellEnd"/>
      <w:r w:rsidRPr="00835BA0">
        <w:t xml:space="preserve">) economic reforms. In 2018-19, this included supporting two in-line technical advisers in the Ministry of Finance and Economic Development (MFED), who implemented reforms that facilitated </w:t>
      </w:r>
      <w:r w:rsidR="004233C0">
        <w:t xml:space="preserve">Australia’s </w:t>
      </w:r>
      <w:r w:rsidRPr="00835BA0">
        <w:t>direct budget support.</w:t>
      </w:r>
    </w:p>
    <w:p w:rsidR="00835BA0" w:rsidRDefault="004233C0" w:rsidP="00835BA0">
      <w:r>
        <w:t>Australia supports</w:t>
      </w:r>
      <w:r w:rsidR="00122F55" w:rsidRPr="00835BA0">
        <w:t xml:space="preserve"> economic prospects and resilience through developing a better</w:t>
      </w:r>
      <w:r w:rsidR="00122F55" w:rsidRPr="00835BA0">
        <w:noBreakHyphen/>
        <w:t xml:space="preserve">educated and healthier population. In 2018-19, </w:t>
      </w:r>
      <w:r w:rsidR="00122F55" w:rsidRPr="00835BA0">
        <w:rPr>
          <w:rFonts w:eastAsia="Times New Roman"/>
        </w:rPr>
        <w:t xml:space="preserve">Australia improved the quality and accessibility of primary and junior secondary education, including for children with disabilities. </w:t>
      </w:r>
      <w:r w:rsidR="00122F55" w:rsidRPr="00835BA0">
        <w:t>Australia provided tertiary scholarships for 30 women and men to study in Australian and regional universities</w:t>
      </w:r>
      <w:r w:rsidR="004909AC">
        <w:t xml:space="preserve"> and</w:t>
      </w:r>
      <w:r w:rsidR="00122F55">
        <w:t xml:space="preserve"> invested in </w:t>
      </w:r>
      <w:r w:rsidR="00122F55" w:rsidRPr="00835BA0">
        <w:t>quality technical and vocational education and training</w:t>
      </w:r>
      <w:r w:rsidR="00122F55" w:rsidRPr="00835BA0">
        <w:rPr>
          <w:rFonts w:eastAsia="Times New Roman"/>
        </w:rPr>
        <w:t xml:space="preserve"> </w:t>
      </w:r>
      <w:r w:rsidR="00122F55">
        <w:rPr>
          <w:rFonts w:eastAsia="Times New Roman"/>
        </w:rPr>
        <w:t>to enhance</w:t>
      </w:r>
      <w:r w:rsidR="00122F55" w:rsidRPr="00835BA0">
        <w:t xml:space="preserve"> employability of young I</w:t>
      </w:r>
      <w:r w:rsidR="00122F55" w:rsidRPr="00835BA0">
        <w:noBreakHyphen/>
        <w:t>Kiribati.</w:t>
      </w:r>
      <w:r w:rsidR="00122F55">
        <w:t xml:space="preserve"> </w:t>
      </w:r>
      <w:r w:rsidR="00315935">
        <w:t>Australia</w:t>
      </w:r>
      <w:r w:rsidR="00122F55" w:rsidRPr="00835BA0">
        <w:t xml:space="preserve"> supported 465 I</w:t>
      </w:r>
      <w:r w:rsidR="00122F55" w:rsidRPr="00835BA0">
        <w:noBreakHyphen/>
        <w:t xml:space="preserve">Kiribati workers </w:t>
      </w:r>
      <w:r w:rsidR="00122F55" w:rsidRPr="00835BA0">
        <w:rPr>
          <w:rFonts w:eastAsia="Times New Roman"/>
        </w:rPr>
        <w:t>secure temporary employment u</w:t>
      </w:r>
      <w:r w:rsidR="00122F55" w:rsidRPr="00835BA0">
        <w:t xml:space="preserve">nder Australia’s labour mobility programs (up from 412 in 2017-18, 127 workers in 2016-17 and 20 workers in 2015-16). Australia supported better health outcomes by </w:t>
      </w:r>
      <w:r w:rsidR="004909AC">
        <w:t>commencing</w:t>
      </w:r>
      <w:r w:rsidR="00122F55" w:rsidRPr="00835BA0">
        <w:t xml:space="preserve"> a new Kiribati Health Pro</w:t>
      </w:r>
      <w:r w:rsidR="00122F55">
        <w:t>gram ($3.6 million, 2018 -2021).</w:t>
      </w:r>
    </w:p>
    <w:p w:rsidR="00835BA0" w:rsidRPr="00835BA0" w:rsidRDefault="000D3232" w:rsidP="00835BA0">
      <w:proofErr w:type="spellStart"/>
      <w:r>
        <w:t>GoK’s</w:t>
      </w:r>
      <w:proofErr w:type="spellEnd"/>
      <w:r>
        <w:t xml:space="preserve"> 2018 total government recurrent and development expenditure was $223.1 million. </w:t>
      </w:r>
      <w:r w:rsidR="00835BA0" w:rsidRPr="00835BA0">
        <w:t xml:space="preserve">In 2018-19, </w:t>
      </w:r>
      <w:r w:rsidR="00315935">
        <w:t>Australia</w:t>
      </w:r>
      <w:r w:rsidR="00835BA0" w:rsidRPr="00835BA0">
        <w:t xml:space="preserve"> provided an estimated $27.4 million in ODA to Kiribati</w:t>
      </w:r>
      <w:r w:rsidR="004709A6">
        <w:t xml:space="preserve"> (</w:t>
      </w:r>
      <w:r w:rsidR="00BE6D64">
        <w:t xml:space="preserve">equivalent to </w:t>
      </w:r>
      <w:r w:rsidR="004709A6">
        <w:t xml:space="preserve">12.3 per cent of </w:t>
      </w:r>
      <w:proofErr w:type="spellStart"/>
      <w:r w:rsidR="004709A6">
        <w:t>GoK’s</w:t>
      </w:r>
      <w:proofErr w:type="spellEnd"/>
      <w:r w:rsidR="004709A6">
        <w:t xml:space="preserve"> 2018 expenditure)</w:t>
      </w:r>
      <w:r>
        <w:t xml:space="preserve">.  In 2018, </w:t>
      </w:r>
      <w:r w:rsidR="00835BA0" w:rsidRPr="00835BA0">
        <w:t xml:space="preserve">Taiwan </w:t>
      </w:r>
      <w:r>
        <w:t xml:space="preserve">contributed </w:t>
      </w:r>
      <w:r w:rsidR="00835BA0" w:rsidRPr="00835BA0">
        <w:t xml:space="preserve">$35 million, Japan </w:t>
      </w:r>
      <w:r>
        <w:t xml:space="preserve">contributed </w:t>
      </w:r>
      <w:r w:rsidR="00835BA0" w:rsidRPr="00835BA0">
        <w:t xml:space="preserve">$27 million, the European Union $21.9 million and New Zealand </w:t>
      </w:r>
      <w:r>
        <w:t xml:space="preserve">contributed </w:t>
      </w:r>
      <w:r w:rsidR="00835BA0" w:rsidRPr="00835BA0">
        <w:t>$17.2 million.</w:t>
      </w:r>
      <w:r w:rsidR="006E33B0" w:rsidRPr="00835BA0">
        <w:rPr>
          <w:vertAlign w:val="superscript"/>
        </w:rPr>
        <w:footnoteReference w:id="1"/>
      </w:r>
      <w:r w:rsidR="00835BA0" w:rsidRPr="00835BA0">
        <w:t xml:space="preserve"> In 2018 the Asian Development Bank (ADB) provided $36.5 million and the World Bank provided $28.1 million.</w:t>
      </w:r>
    </w:p>
    <w:p w:rsidR="00184F1E" w:rsidRPr="00BB648A" w:rsidRDefault="00184F1E"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B648A">
        <w:rPr>
          <w:rFonts w:asciiTheme="majorHAnsi" w:eastAsiaTheme="majorEastAsia" w:hAnsiTheme="majorHAnsi" w:cstheme="majorBidi"/>
          <w:caps/>
          <w:color w:val="495965" w:themeColor="text2"/>
          <w:sz w:val="38"/>
          <w:szCs w:val="38"/>
          <w:lang w:val="en-GB" w:eastAsia="en-US"/>
        </w:rPr>
        <w:t>Expenditure</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B22B8">
        <w:rPr>
          <w:b/>
          <w:noProof/>
          <w:sz w:val="24"/>
        </w:rPr>
        <w:t>1</w:t>
      </w:r>
      <w:r w:rsidRPr="008C2F58">
        <w:rPr>
          <w:b/>
          <w:noProof/>
          <w:sz w:val="24"/>
        </w:rPr>
        <w:fldChar w:fldCharType="end"/>
      </w:r>
      <w:r w:rsidRPr="008C2F58">
        <w:rPr>
          <w:b/>
          <w:sz w:val="24"/>
        </w:rPr>
        <w:t xml:space="preserve"> Total ODA Expenditure in FY 201</w:t>
      </w:r>
      <w:r w:rsidR="00272B5F">
        <w:rPr>
          <w:b/>
          <w:sz w:val="24"/>
        </w:rPr>
        <w:t>8-19</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Default="00CD1652" w:rsidP="00E01C62">
            <w:pPr>
              <w:spacing w:before="60"/>
              <w:rPr>
                <w:b/>
                <w:sz w:val="24"/>
              </w:rPr>
            </w:pPr>
            <w:r w:rsidRPr="00BE6C6D">
              <w:rPr>
                <w:sz w:val="20"/>
              </w:rPr>
              <w:t>Objective</w:t>
            </w:r>
          </w:p>
        </w:tc>
        <w:tc>
          <w:tcPr>
            <w:tcW w:w="1423" w:type="dxa"/>
          </w:tcPr>
          <w:p w:rsidR="00CD1652" w:rsidRDefault="00CD1652" w:rsidP="00E01C62">
            <w:pPr>
              <w:spacing w:before="60"/>
              <w:jc w:val="center"/>
              <w:rPr>
                <w:b/>
                <w:sz w:val="24"/>
              </w:rPr>
            </w:pPr>
            <w:r w:rsidRPr="00BE6C6D">
              <w:rPr>
                <w:sz w:val="20"/>
              </w:rPr>
              <w:t>A$ million</w:t>
            </w:r>
          </w:p>
        </w:tc>
        <w:tc>
          <w:tcPr>
            <w:tcW w:w="1417" w:type="dxa"/>
          </w:tcPr>
          <w:p w:rsidR="00CD1652" w:rsidRDefault="00CD1652" w:rsidP="00E01C62">
            <w:pPr>
              <w:spacing w:before="60"/>
              <w:jc w:val="center"/>
              <w:rPr>
                <w:b/>
                <w:sz w:val="24"/>
              </w:rPr>
            </w:pPr>
            <w:r w:rsidRPr="00BE6C6D">
              <w:rPr>
                <w:sz w:val="20"/>
              </w:rPr>
              <w:t>% of total ODA</w:t>
            </w:r>
          </w:p>
        </w:tc>
      </w:tr>
      <w:tr w:rsidR="00E9463A" w:rsidTr="00CD1652">
        <w:tc>
          <w:tcPr>
            <w:tcW w:w="6374" w:type="dxa"/>
          </w:tcPr>
          <w:p w:rsidR="00E9463A" w:rsidRDefault="00E9463A" w:rsidP="00E9463A">
            <w:pPr>
              <w:spacing w:before="60"/>
              <w:rPr>
                <w:b/>
                <w:sz w:val="24"/>
              </w:rPr>
            </w:pPr>
            <w:r w:rsidRPr="00E9463A">
              <w:rPr>
                <w:sz w:val="20"/>
              </w:rPr>
              <w:t>Objective 1 – Economic reform plan</w:t>
            </w:r>
          </w:p>
        </w:tc>
        <w:tc>
          <w:tcPr>
            <w:tcW w:w="1423" w:type="dxa"/>
          </w:tcPr>
          <w:p w:rsidR="00E9463A" w:rsidRDefault="00E9463A" w:rsidP="00E9463A">
            <w:pPr>
              <w:spacing w:before="60"/>
              <w:jc w:val="right"/>
              <w:rPr>
                <w:b/>
                <w:sz w:val="24"/>
              </w:rPr>
            </w:pPr>
            <w:r w:rsidRPr="002E2196">
              <w:rPr>
                <w:sz w:val="18"/>
                <w:szCs w:val="18"/>
              </w:rPr>
              <w:t>1</w:t>
            </w:r>
            <w:r>
              <w:rPr>
                <w:sz w:val="18"/>
                <w:szCs w:val="18"/>
              </w:rPr>
              <w:t>.0</w:t>
            </w:r>
          </w:p>
        </w:tc>
        <w:tc>
          <w:tcPr>
            <w:tcW w:w="1417" w:type="dxa"/>
          </w:tcPr>
          <w:p w:rsidR="00E9463A" w:rsidRDefault="00E9463A" w:rsidP="00E9463A">
            <w:pPr>
              <w:spacing w:before="60"/>
              <w:jc w:val="right"/>
              <w:rPr>
                <w:b/>
                <w:sz w:val="24"/>
              </w:rPr>
            </w:pPr>
            <w:r>
              <w:rPr>
                <w:sz w:val="18"/>
                <w:szCs w:val="18"/>
              </w:rPr>
              <w:t>3.6</w:t>
            </w:r>
          </w:p>
        </w:tc>
      </w:tr>
      <w:tr w:rsidR="00E9463A" w:rsidTr="00CD1652">
        <w:tc>
          <w:tcPr>
            <w:tcW w:w="6374" w:type="dxa"/>
          </w:tcPr>
          <w:p w:rsidR="00E9463A" w:rsidRDefault="00E9463A" w:rsidP="00E9463A">
            <w:pPr>
              <w:spacing w:before="60"/>
              <w:rPr>
                <w:b/>
                <w:sz w:val="24"/>
              </w:rPr>
            </w:pPr>
            <w:r w:rsidRPr="00E9463A">
              <w:rPr>
                <w:sz w:val="20"/>
              </w:rPr>
              <w:t>Objective 2 – Building a better educated and healthier population</w:t>
            </w:r>
          </w:p>
        </w:tc>
        <w:tc>
          <w:tcPr>
            <w:tcW w:w="1423" w:type="dxa"/>
          </w:tcPr>
          <w:p w:rsidR="00E9463A" w:rsidRDefault="00E9463A" w:rsidP="00E9463A">
            <w:pPr>
              <w:spacing w:before="60"/>
              <w:jc w:val="right"/>
              <w:rPr>
                <w:b/>
                <w:sz w:val="24"/>
              </w:rPr>
            </w:pPr>
            <w:r w:rsidRPr="002E2196">
              <w:rPr>
                <w:sz w:val="18"/>
                <w:szCs w:val="18"/>
              </w:rPr>
              <w:t>19.2</w:t>
            </w:r>
          </w:p>
        </w:tc>
        <w:tc>
          <w:tcPr>
            <w:tcW w:w="1417" w:type="dxa"/>
          </w:tcPr>
          <w:p w:rsidR="00E9463A" w:rsidRDefault="00E9463A" w:rsidP="00E9463A">
            <w:pPr>
              <w:spacing w:before="60"/>
              <w:jc w:val="right"/>
              <w:rPr>
                <w:b/>
                <w:sz w:val="24"/>
              </w:rPr>
            </w:pPr>
            <w:r w:rsidRPr="002E2196">
              <w:rPr>
                <w:sz w:val="18"/>
                <w:szCs w:val="18"/>
              </w:rPr>
              <w:t>70.1</w:t>
            </w:r>
          </w:p>
        </w:tc>
      </w:tr>
      <w:tr w:rsidR="00E9463A" w:rsidTr="00CD1652">
        <w:tc>
          <w:tcPr>
            <w:tcW w:w="6374" w:type="dxa"/>
          </w:tcPr>
          <w:p w:rsidR="00E9463A" w:rsidRPr="00E9463A" w:rsidRDefault="00E9463A" w:rsidP="00E9463A">
            <w:pPr>
              <w:spacing w:before="60"/>
              <w:rPr>
                <w:b/>
                <w:sz w:val="24"/>
              </w:rPr>
            </w:pPr>
            <w:r w:rsidRPr="00E9463A">
              <w:rPr>
                <w:b/>
                <w:sz w:val="20"/>
              </w:rPr>
              <w:t>Sub-Total Bilateral</w:t>
            </w:r>
          </w:p>
        </w:tc>
        <w:tc>
          <w:tcPr>
            <w:tcW w:w="1423" w:type="dxa"/>
          </w:tcPr>
          <w:p w:rsidR="00E9463A" w:rsidRPr="00E9463A" w:rsidRDefault="00E9463A" w:rsidP="00E9463A">
            <w:pPr>
              <w:spacing w:before="60"/>
              <w:jc w:val="right"/>
              <w:rPr>
                <w:b/>
                <w:sz w:val="18"/>
                <w:szCs w:val="18"/>
              </w:rPr>
            </w:pPr>
            <w:r w:rsidRPr="00E9463A">
              <w:rPr>
                <w:b/>
                <w:sz w:val="18"/>
                <w:szCs w:val="18"/>
              </w:rPr>
              <w:t>20.2</w:t>
            </w:r>
          </w:p>
        </w:tc>
        <w:tc>
          <w:tcPr>
            <w:tcW w:w="1417" w:type="dxa"/>
          </w:tcPr>
          <w:p w:rsidR="00E9463A" w:rsidRPr="00E9463A" w:rsidRDefault="00E9463A" w:rsidP="00E9463A">
            <w:pPr>
              <w:spacing w:before="60"/>
              <w:jc w:val="right"/>
              <w:rPr>
                <w:b/>
                <w:sz w:val="24"/>
              </w:rPr>
            </w:pPr>
            <w:r w:rsidRPr="00E9463A">
              <w:rPr>
                <w:b/>
                <w:sz w:val="18"/>
                <w:szCs w:val="18"/>
              </w:rPr>
              <w:t>73.7</w:t>
            </w:r>
          </w:p>
        </w:tc>
      </w:tr>
      <w:tr w:rsidR="00E9463A" w:rsidTr="00CD1652">
        <w:tc>
          <w:tcPr>
            <w:tcW w:w="6374" w:type="dxa"/>
          </w:tcPr>
          <w:p w:rsidR="00E9463A" w:rsidRDefault="00E9463A" w:rsidP="00E9463A">
            <w:pPr>
              <w:spacing w:before="60"/>
              <w:rPr>
                <w:b/>
                <w:sz w:val="24"/>
              </w:rPr>
            </w:pPr>
            <w:r w:rsidRPr="00BE6C6D">
              <w:rPr>
                <w:sz w:val="20"/>
              </w:rPr>
              <w:t>Regional and Global</w:t>
            </w:r>
          </w:p>
        </w:tc>
        <w:tc>
          <w:tcPr>
            <w:tcW w:w="1423" w:type="dxa"/>
          </w:tcPr>
          <w:p w:rsidR="00E9463A" w:rsidRDefault="00E9463A" w:rsidP="00E9463A">
            <w:pPr>
              <w:spacing w:before="60"/>
              <w:jc w:val="right"/>
              <w:rPr>
                <w:b/>
                <w:sz w:val="24"/>
              </w:rPr>
            </w:pPr>
            <w:r w:rsidRPr="002E2196">
              <w:rPr>
                <w:sz w:val="18"/>
                <w:szCs w:val="18"/>
              </w:rPr>
              <w:t>6.7</w:t>
            </w:r>
          </w:p>
        </w:tc>
        <w:tc>
          <w:tcPr>
            <w:tcW w:w="1417" w:type="dxa"/>
          </w:tcPr>
          <w:p w:rsidR="00E9463A" w:rsidRDefault="00E9463A" w:rsidP="00E9463A">
            <w:pPr>
              <w:spacing w:before="60"/>
              <w:jc w:val="right"/>
              <w:rPr>
                <w:b/>
                <w:sz w:val="24"/>
              </w:rPr>
            </w:pPr>
            <w:r w:rsidRPr="002E2196">
              <w:rPr>
                <w:sz w:val="18"/>
                <w:szCs w:val="18"/>
              </w:rPr>
              <w:t>24.5</w:t>
            </w:r>
          </w:p>
        </w:tc>
      </w:tr>
      <w:tr w:rsidR="00E9463A" w:rsidTr="00CD1652">
        <w:tc>
          <w:tcPr>
            <w:tcW w:w="6374" w:type="dxa"/>
          </w:tcPr>
          <w:p w:rsidR="00E9463A" w:rsidRDefault="00E9463A" w:rsidP="00E9463A">
            <w:pPr>
              <w:spacing w:before="60"/>
              <w:rPr>
                <w:b/>
                <w:sz w:val="24"/>
              </w:rPr>
            </w:pPr>
            <w:r w:rsidRPr="00BE6C6D">
              <w:rPr>
                <w:sz w:val="20"/>
              </w:rPr>
              <w:t>Other Government Departments</w:t>
            </w:r>
          </w:p>
        </w:tc>
        <w:tc>
          <w:tcPr>
            <w:tcW w:w="1423" w:type="dxa"/>
          </w:tcPr>
          <w:p w:rsidR="00E9463A" w:rsidRDefault="00E9463A" w:rsidP="00E9463A">
            <w:pPr>
              <w:spacing w:before="60"/>
              <w:jc w:val="right"/>
              <w:rPr>
                <w:b/>
                <w:sz w:val="24"/>
              </w:rPr>
            </w:pPr>
            <w:r w:rsidRPr="002E2196">
              <w:rPr>
                <w:sz w:val="18"/>
                <w:szCs w:val="18"/>
              </w:rPr>
              <w:t>0.5</w:t>
            </w:r>
          </w:p>
        </w:tc>
        <w:tc>
          <w:tcPr>
            <w:tcW w:w="1417" w:type="dxa"/>
          </w:tcPr>
          <w:p w:rsidR="00E9463A" w:rsidRDefault="00E9463A" w:rsidP="00E9463A">
            <w:pPr>
              <w:spacing w:before="60"/>
              <w:jc w:val="right"/>
              <w:rPr>
                <w:b/>
                <w:sz w:val="24"/>
              </w:rPr>
            </w:pPr>
            <w:r w:rsidRPr="002E2196">
              <w:rPr>
                <w:sz w:val="18"/>
                <w:szCs w:val="18"/>
              </w:rPr>
              <w:t>1.8</w:t>
            </w:r>
          </w:p>
        </w:tc>
      </w:tr>
      <w:tr w:rsidR="00E9463A" w:rsidTr="00CD1652">
        <w:tc>
          <w:tcPr>
            <w:tcW w:w="6374" w:type="dxa"/>
          </w:tcPr>
          <w:p w:rsidR="00E9463A" w:rsidRPr="00BF44D2" w:rsidRDefault="00E9463A" w:rsidP="00E9463A">
            <w:pPr>
              <w:spacing w:before="60"/>
              <w:rPr>
                <w:b/>
                <w:sz w:val="24"/>
              </w:rPr>
            </w:pPr>
            <w:r w:rsidRPr="00BF44D2">
              <w:rPr>
                <w:b/>
                <w:sz w:val="20"/>
              </w:rPr>
              <w:t>Total ODA Expenditure</w:t>
            </w:r>
          </w:p>
        </w:tc>
        <w:tc>
          <w:tcPr>
            <w:tcW w:w="1423" w:type="dxa"/>
          </w:tcPr>
          <w:p w:rsidR="00E9463A" w:rsidRDefault="00E9463A" w:rsidP="00E9463A">
            <w:pPr>
              <w:spacing w:before="60"/>
              <w:jc w:val="right"/>
              <w:rPr>
                <w:b/>
                <w:sz w:val="24"/>
              </w:rPr>
            </w:pPr>
            <w:r>
              <w:rPr>
                <w:b/>
                <w:sz w:val="18"/>
                <w:szCs w:val="18"/>
              </w:rPr>
              <w:t>27.4</w:t>
            </w:r>
          </w:p>
        </w:tc>
        <w:tc>
          <w:tcPr>
            <w:tcW w:w="1417" w:type="dxa"/>
          </w:tcPr>
          <w:p w:rsidR="00E9463A" w:rsidRDefault="00E9463A" w:rsidP="00E9463A">
            <w:pPr>
              <w:spacing w:before="60"/>
              <w:jc w:val="right"/>
              <w:rPr>
                <w:b/>
                <w:sz w:val="24"/>
              </w:rPr>
            </w:pPr>
            <w:r>
              <w:rPr>
                <w:b/>
                <w:sz w:val="18"/>
                <w:szCs w:val="18"/>
              </w:rPr>
              <w:t>100</w:t>
            </w:r>
          </w:p>
        </w:tc>
      </w:tr>
    </w:tbl>
    <w:p w:rsidR="005B5769" w:rsidRDefault="005B5769" w:rsidP="00323E53">
      <w:pPr>
        <w:pStyle w:val="ListBullet"/>
        <w:tabs>
          <w:tab w:val="clear" w:pos="284"/>
        </w:tabs>
        <w:spacing w:before="360" w:line="300" w:lineRule="exact"/>
        <w:rPr>
          <w:rFonts w:asciiTheme="majorHAnsi" w:eastAsiaTheme="majorEastAsia" w:hAnsiTheme="majorHAnsi" w:cstheme="majorBidi"/>
          <w:caps/>
          <w:color w:val="495965" w:themeColor="text2"/>
          <w:sz w:val="38"/>
          <w:szCs w:val="38"/>
          <w:lang w:val="en-GB" w:eastAsia="en-US"/>
        </w:rPr>
      </w:pPr>
      <w:r w:rsidRPr="00BD29CD">
        <w:rPr>
          <w:rFonts w:asciiTheme="majorHAnsi" w:eastAsiaTheme="majorEastAsia" w:hAnsiTheme="majorHAnsi" w:cstheme="majorBidi"/>
          <w:caps/>
          <w:color w:val="495965" w:themeColor="text2"/>
          <w:sz w:val="38"/>
          <w:szCs w:val="38"/>
          <w:lang w:val="en-GB" w:eastAsia="en-US"/>
        </w:rPr>
        <w:lastRenderedPageBreak/>
        <w:t xml:space="preserve">Performance </w:t>
      </w:r>
      <w:r w:rsidR="006545B9" w:rsidRPr="00BD29CD">
        <w:rPr>
          <w:rFonts w:asciiTheme="majorHAnsi" w:eastAsiaTheme="majorEastAsia" w:hAnsiTheme="majorHAnsi" w:cstheme="majorBidi"/>
          <w:caps/>
          <w:color w:val="495965" w:themeColor="text2"/>
          <w:sz w:val="38"/>
          <w:szCs w:val="38"/>
          <w:lang w:val="en-GB" w:eastAsia="en-US"/>
        </w:rPr>
        <w:t xml:space="preserve">TOWARDS aip </w:t>
      </w:r>
      <w:r w:rsidRPr="00BD29CD">
        <w:rPr>
          <w:rFonts w:asciiTheme="majorHAnsi" w:eastAsiaTheme="majorEastAsia" w:hAnsiTheme="majorHAnsi" w:cstheme="majorBidi"/>
          <w:caps/>
          <w:color w:val="495965" w:themeColor="text2"/>
          <w:sz w:val="38"/>
          <w:szCs w:val="38"/>
          <w:lang w:val="en-GB" w:eastAsia="en-US"/>
        </w:rPr>
        <w:t>Objectives</w:t>
      </w:r>
    </w:p>
    <w:p w:rsidR="00323E53" w:rsidRPr="00323E53" w:rsidRDefault="00323E53" w:rsidP="00323E53">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B22B8">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Look w:val="0000" w:firstRow="0" w:lastRow="0" w:firstColumn="0" w:lastColumn="0" w:noHBand="0" w:noVBand="0"/>
      </w:tblPr>
      <w:tblGrid>
        <w:gridCol w:w="6664"/>
        <w:gridCol w:w="1416"/>
        <w:gridCol w:w="1419"/>
      </w:tblGrid>
      <w:tr w:rsidR="00436526" w:rsidRPr="00812509" w:rsidTr="00436526">
        <w:trPr>
          <w:cnfStyle w:val="000000010000" w:firstRow="0" w:lastRow="0" w:firstColumn="0" w:lastColumn="0" w:oddVBand="0" w:evenVBand="0" w:oddHBand="0" w:evenHBand="1" w:firstRowFirstColumn="0" w:firstRowLastColumn="0" w:lastRowFirstColumn="0" w:lastRowLastColumn="0"/>
          <w:trHeight w:val="651"/>
        </w:trPr>
        <w:tc>
          <w:tcPr>
            <w:tcW w:w="6622" w:type="dxa"/>
          </w:tcPr>
          <w:p w:rsidR="00436526" w:rsidRPr="00812509" w:rsidRDefault="00436526" w:rsidP="00436526">
            <w:pPr>
              <w:pStyle w:val="TableTextColumnHeading"/>
              <w:ind w:left="0"/>
            </w:pPr>
            <w:r w:rsidRPr="00812509">
              <w:rPr>
                <w:noProof/>
              </w:rPr>
              <w:drawing>
                <wp:anchor distT="0" distB="0" distL="114300" distR="114300" simplePos="0" relativeHeight="251680768"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Pr>
          <w:p w:rsidR="00436526" w:rsidRPr="00812509" w:rsidRDefault="00436526" w:rsidP="00E65105">
            <w:pPr>
              <w:pStyle w:val="TableTextColumnHeading"/>
            </w:pPr>
            <w:r w:rsidRPr="00812509">
              <w:t>Previous Rating</w:t>
            </w:r>
          </w:p>
        </w:tc>
        <w:tc>
          <w:tcPr>
            <w:tcW w:w="1377" w:type="dxa"/>
          </w:tcPr>
          <w:p w:rsidR="00436526" w:rsidRPr="00812509" w:rsidRDefault="00436526" w:rsidP="00E65105">
            <w:pPr>
              <w:pStyle w:val="TableTextColumnHeading"/>
            </w:pPr>
            <w:r w:rsidRPr="00812509">
              <w:t>Current Rating</w:t>
            </w:r>
          </w:p>
        </w:tc>
      </w:tr>
      <w:tr w:rsidR="001D11F0" w:rsidRPr="00812509" w:rsidTr="00AF298E">
        <w:trPr>
          <w:cnfStyle w:val="000000010000" w:firstRow="0" w:lastRow="0" w:firstColumn="0" w:lastColumn="0" w:oddVBand="0" w:evenVBand="0" w:oddHBand="0" w:evenHBand="1" w:firstRowFirstColumn="0" w:firstRowLastColumn="0" w:lastRowFirstColumn="0" w:lastRowLastColumn="0"/>
        </w:trPr>
        <w:tc>
          <w:tcPr>
            <w:tcW w:w="6622" w:type="dxa"/>
          </w:tcPr>
          <w:p w:rsidR="001D11F0" w:rsidRPr="00812509" w:rsidRDefault="001D11F0" w:rsidP="001D11F0">
            <w:pPr>
              <w:pStyle w:val="TableTextEntries"/>
              <w:rPr>
                <w:rFonts w:asciiTheme="minorHAnsi" w:hAnsiTheme="minorHAnsi"/>
              </w:rPr>
            </w:pPr>
            <w:r>
              <w:rPr>
                <w:rFonts w:asciiTheme="minorHAnsi" w:hAnsiTheme="minorHAnsi"/>
              </w:rPr>
              <w:t xml:space="preserve">Objective 1 – </w:t>
            </w:r>
            <w:r w:rsidRPr="001D11F0">
              <w:rPr>
                <w:rFonts w:asciiTheme="minorHAnsi" w:hAnsiTheme="minorHAnsi"/>
              </w:rPr>
              <w:t>Economic reform plan</w:t>
            </w:r>
            <w:r w:rsidRPr="002E2196">
              <w:rPr>
                <w:rFonts w:asciiTheme="minorHAnsi" w:hAnsiTheme="minorHAnsi"/>
                <w:sz w:val="18"/>
                <w:szCs w:val="18"/>
              </w:rPr>
              <w:t xml:space="preserve"> </w:t>
            </w:r>
          </w:p>
        </w:tc>
        <w:tc>
          <w:tcPr>
            <w:tcW w:w="1388" w:type="dxa"/>
            <w:shd w:val="clear" w:color="auto" w:fill="72AF2F"/>
            <w:noWrap/>
          </w:tcPr>
          <w:p w:rsidR="001D11F0" w:rsidRPr="00812509" w:rsidRDefault="001D11F0" w:rsidP="001D11F0">
            <w:pPr>
              <w:pStyle w:val="TableTextEntries"/>
              <w:jc w:val="center"/>
              <w:rPr>
                <w:rFonts w:asciiTheme="minorHAnsi" w:hAnsiTheme="minorHAnsi"/>
                <w:color w:val="FFFFFF" w:themeColor="background1"/>
              </w:rPr>
            </w:pPr>
            <w:r w:rsidRPr="001D11F0">
              <w:rPr>
                <w:rFonts w:asciiTheme="minorHAnsi" w:hAnsiTheme="minorHAnsi"/>
                <w:color w:val="FFFFFF" w:themeColor="background1"/>
              </w:rPr>
              <w:t>Green</w:t>
            </w:r>
          </w:p>
        </w:tc>
        <w:tc>
          <w:tcPr>
            <w:tcW w:w="1377" w:type="dxa"/>
            <w:shd w:val="clear" w:color="auto" w:fill="72AF2F"/>
            <w:noWrap/>
          </w:tcPr>
          <w:p w:rsidR="001D11F0" w:rsidRPr="00812509" w:rsidRDefault="001D11F0" w:rsidP="001D11F0">
            <w:pPr>
              <w:pStyle w:val="TableTextEntries"/>
              <w:jc w:val="center"/>
              <w:rPr>
                <w:rFonts w:asciiTheme="minorHAnsi" w:hAnsiTheme="minorHAnsi"/>
                <w:color w:val="FFFFFF" w:themeColor="background1"/>
              </w:rPr>
            </w:pPr>
            <w:r w:rsidRPr="001D11F0">
              <w:rPr>
                <w:rFonts w:asciiTheme="minorHAnsi" w:hAnsiTheme="minorHAnsi"/>
                <w:color w:val="FFFFFF" w:themeColor="background1"/>
              </w:rPr>
              <w:t>Green</w:t>
            </w:r>
          </w:p>
        </w:tc>
      </w:tr>
      <w:tr w:rsidR="001D11F0" w:rsidRPr="00812509" w:rsidTr="00AF298E">
        <w:trPr>
          <w:cnfStyle w:val="000000010000" w:firstRow="0" w:lastRow="0" w:firstColumn="0" w:lastColumn="0" w:oddVBand="0" w:evenVBand="0" w:oddHBand="0" w:evenHBand="1" w:firstRowFirstColumn="0" w:firstRowLastColumn="0" w:lastRowFirstColumn="0" w:lastRowLastColumn="0"/>
        </w:trPr>
        <w:tc>
          <w:tcPr>
            <w:tcW w:w="6622" w:type="dxa"/>
          </w:tcPr>
          <w:p w:rsidR="001D11F0" w:rsidRPr="00812509" w:rsidRDefault="001D11F0" w:rsidP="001D11F0">
            <w:pPr>
              <w:pStyle w:val="TableTextEntries"/>
              <w:rPr>
                <w:rFonts w:asciiTheme="minorHAnsi" w:hAnsiTheme="minorHAnsi"/>
              </w:rPr>
            </w:pPr>
            <w:r>
              <w:rPr>
                <w:rFonts w:asciiTheme="minorHAnsi" w:hAnsiTheme="minorHAnsi"/>
              </w:rPr>
              <w:t xml:space="preserve">Objective 2 – </w:t>
            </w:r>
            <w:r w:rsidRPr="001D11F0">
              <w:rPr>
                <w:rFonts w:asciiTheme="minorHAnsi" w:hAnsiTheme="minorHAnsi"/>
              </w:rPr>
              <w:t>Building a better educated and healthier population</w:t>
            </w:r>
          </w:p>
        </w:tc>
        <w:tc>
          <w:tcPr>
            <w:tcW w:w="1388" w:type="dxa"/>
            <w:shd w:val="clear" w:color="auto" w:fill="72AF2F"/>
            <w:noWrap/>
          </w:tcPr>
          <w:p w:rsidR="001D11F0" w:rsidRPr="00812509" w:rsidRDefault="001D11F0" w:rsidP="001D11F0">
            <w:pPr>
              <w:pStyle w:val="TableTextEntries"/>
              <w:jc w:val="center"/>
              <w:rPr>
                <w:rFonts w:asciiTheme="minorHAnsi" w:hAnsiTheme="minorHAnsi"/>
                <w:color w:val="FFFFFF" w:themeColor="background1"/>
              </w:rPr>
            </w:pPr>
            <w:r w:rsidRPr="001D11F0">
              <w:rPr>
                <w:rFonts w:asciiTheme="minorHAnsi" w:hAnsiTheme="minorHAnsi"/>
                <w:color w:val="FFFFFF" w:themeColor="background1"/>
              </w:rPr>
              <w:t>Green</w:t>
            </w:r>
          </w:p>
        </w:tc>
        <w:tc>
          <w:tcPr>
            <w:tcW w:w="1377" w:type="dxa"/>
            <w:shd w:val="clear" w:color="auto" w:fill="72AF2F"/>
            <w:noWrap/>
          </w:tcPr>
          <w:p w:rsidR="001D11F0" w:rsidRPr="00812509" w:rsidRDefault="001D11F0" w:rsidP="001D11F0">
            <w:pPr>
              <w:pStyle w:val="TableTextEntries"/>
              <w:jc w:val="center"/>
              <w:rPr>
                <w:rFonts w:asciiTheme="minorHAnsi" w:hAnsiTheme="minorHAnsi"/>
                <w:color w:val="FFFFFF" w:themeColor="background1"/>
              </w:rPr>
            </w:pPr>
            <w:r w:rsidRPr="001D11F0">
              <w:rPr>
                <w:rFonts w:asciiTheme="minorHAnsi" w:hAnsiTheme="minorHAnsi"/>
                <w:color w:val="FFFFFF" w:themeColor="background1"/>
              </w:rPr>
              <w:t>Green</w:t>
            </w:r>
          </w:p>
        </w:tc>
      </w:tr>
    </w:tbl>
    <w:p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5B5769" w:rsidRPr="00C4114C" w:rsidRDefault="005B5769" w:rsidP="005B5769">
      <w:pPr>
        <w:pStyle w:val="Note"/>
      </w:pPr>
      <w:r w:rsidRPr="00C4114C">
        <w:t xml:space="preserve">  </w:t>
      </w:r>
    </w:p>
    <w:p w:rsidR="00695730" w:rsidRPr="00877607" w:rsidRDefault="00695730"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sidR="00436526">
        <w:rPr>
          <w:rFonts w:asciiTheme="majorHAnsi" w:eastAsiaTheme="majorEastAsia" w:hAnsiTheme="majorHAnsi" w:cstheme="majorBidi"/>
          <w:caps/>
          <w:sz w:val="32"/>
          <w:szCs w:val="32"/>
        </w:rPr>
        <w:t xml:space="preserve"> </w:t>
      </w:r>
      <w:r w:rsidR="001D11F0">
        <w:rPr>
          <w:rFonts w:asciiTheme="majorHAnsi" w:eastAsiaTheme="majorEastAsia" w:hAnsiTheme="majorHAnsi" w:cstheme="majorBidi"/>
          <w:caps/>
          <w:sz w:val="32"/>
          <w:szCs w:val="32"/>
        </w:rPr>
        <w:t>Economic reform plan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rsidTr="00CD1652">
        <w:tc>
          <w:tcPr>
            <w:tcW w:w="2016" w:type="dxa"/>
          </w:tcPr>
          <w:p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0A1445D" wp14:editId="35C87F6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695730" w:rsidRPr="00695730" w:rsidRDefault="001D11F0"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F8D84C9" wp14:editId="632BE0F1">
                  <wp:extent cx="609600" cy="609600"/>
                  <wp:effectExtent l="0" t="0" r="0" b="0"/>
                  <wp:docPr id="27" name="Picture 2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rsidR="00695730" w:rsidRPr="00695730" w:rsidRDefault="00BE6D64"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05D46A7" wp14:editId="156C21A1">
                  <wp:extent cx="612000"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95730" w:rsidRPr="00695730" w:rsidRDefault="00BE6D64"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1847577A" wp14:editId="03F3B140">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p>
        </w:tc>
      </w:tr>
    </w:tbl>
    <w:p w:rsidR="001D11F0" w:rsidRPr="001D11F0" w:rsidRDefault="001D11F0" w:rsidP="001D11F0">
      <w:r>
        <w:t>T</w:t>
      </w:r>
      <w:r w:rsidRPr="001D11F0">
        <w:t xml:space="preserve">he </w:t>
      </w:r>
      <w:r>
        <w:t>e</w:t>
      </w:r>
      <w:r w:rsidRPr="001D11F0">
        <w:t xml:space="preserve">conomic reform plan </w:t>
      </w:r>
      <w:r>
        <w:t>is rated</w:t>
      </w:r>
      <w:r w:rsidRPr="001D11F0">
        <w:t xml:space="preserve"> as </w:t>
      </w:r>
      <w:r w:rsidR="00F3237F">
        <w:t>‘green’</w:t>
      </w:r>
      <w:r w:rsidRPr="001D11F0">
        <w:t>, having met expectations for progress at</w:t>
      </w:r>
      <w:r>
        <w:t xml:space="preserve"> this stage of implementation and achieved the performance benchmark for the release of donor funds. </w:t>
      </w:r>
      <w:r w:rsidRPr="001D11F0">
        <w:t xml:space="preserve">The </w:t>
      </w:r>
      <w:proofErr w:type="spellStart"/>
      <w:r w:rsidRPr="001D11F0">
        <w:t>GoK</w:t>
      </w:r>
      <w:proofErr w:type="spellEnd"/>
      <w:r w:rsidRPr="001D11F0">
        <w:t xml:space="preserve"> achieved economic policy goals set by the Kiribati Economic Reform Taskforce (ERT), and made progress on other difficult reforms</w:t>
      </w:r>
      <w:r>
        <w:t>, with the support of Australia’s ongoing policy dialogue (see Annex A)</w:t>
      </w:r>
      <w:r w:rsidRPr="001D11F0">
        <w:t xml:space="preserve">. </w:t>
      </w:r>
    </w:p>
    <w:p w:rsidR="00C01EBB" w:rsidRDefault="001D11F0" w:rsidP="001D11F0">
      <w:r>
        <w:t>Australia’s funding for this objective ($1</w:t>
      </w:r>
      <w:r w:rsidR="00F3237F">
        <w:t>.0</w:t>
      </w:r>
      <w:r>
        <w:t xml:space="preserve"> million) is </w:t>
      </w:r>
      <w:r w:rsidR="00F3237F">
        <w:t>3.6</w:t>
      </w:r>
      <w:r>
        <w:t xml:space="preserve"> per cent of Australia’s total ODA</w:t>
      </w:r>
      <w:r w:rsidR="00F3237F">
        <w:t xml:space="preserve"> and around 5 per cent of Australia’s bilateral program</w:t>
      </w:r>
      <w:r>
        <w:t xml:space="preserve">. </w:t>
      </w:r>
      <w:r w:rsidR="00172E23">
        <w:t>Australia contributes to the Budget Support Program</w:t>
      </w:r>
      <w:r>
        <w:t xml:space="preserve"> </w:t>
      </w:r>
      <w:r w:rsidR="00172E23">
        <w:t xml:space="preserve">which establishes six key reforms for </w:t>
      </w:r>
      <w:proofErr w:type="spellStart"/>
      <w:r w:rsidR="00172E23">
        <w:t>GoK</w:t>
      </w:r>
      <w:proofErr w:type="spellEnd"/>
      <w:r w:rsidR="00172E23">
        <w:t xml:space="preserve"> to action, with successful completion triggering donor</w:t>
      </w:r>
      <w:r w:rsidR="00C01EBB">
        <w:t>s’</w:t>
      </w:r>
      <w:r w:rsidR="00172E23">
        <w:t xml:space="preserve"> budget support </w:t>
      </w:r>
      <w:r w:rsidR="00C01EBB">
        <w:t>payments</w:t>
      </w:r>
      <w:r w:rsidR="00172E23">
        <w:t xml:space="preserve">. </w:t>
      </w:r>
      <w:r w:rsidR="00C01EBB">
        <w:t>Governance</w:t>
      </w:r>
      <w:r w:rsidR="00172E23">
        <w:t xml:space="preserve"> and monitoring and evaluation is overseen by </w:t>
      </w:r>
      <w:r w:rsidR="00172E23" w:rsidRPr="001D11F0">
        <w:t xml:space="preserve">the joint Kiribati Economic Reform Taskforce (ERT), which comprises representatives from the </w:t>
      </w:r>
      <w:proofErr w:type="spellStart"/>
      <w:r w:rsidR="00172E23" w:rsidRPr="001D11F0">
        <w:t>GoK</w:t>
      </w:r>
      <w:proofErr w:type="spellEnd"/>
      <w:r w:rsidR="00172E23" w:rsidRPr="001D11F0">
        <w:t>, the World Bank, the European Union, New Zealand a</w:t>
      </w:r>
      <w:r w:rsidR="00172E23">
        <w:t xml:space="preserve">nd the Asian Development Bank. </w:t>
      </w:r>
      <w:r w:rsidR="00C01EBB">
        <w:t>In parallel, Australia provides</w:t>
      </w:r>
      <w:r w:rsidR="00172E23">
        <w:t xml:space="preserve"> technical advice through </w:t>
      </w:r>
      <w:r w:rsidR="00C01EBB">
        <w:t xml:space="preserve">a </w:t>
      </w:r>
      <w:r w:rsidR="00172E23" w:rsidRPr="001D11F0">
        <w:t xml:space="preserve">Pacific Technical Assistance Mechanism </w:t>
      </w:r>
      <w:r w:rsidR="00172E23">
        <w:t xml:space="preserve">2 (PACTAM2) </w:t>
      </w:r>
      <w:r w:rsidR="00C01EBB" w:rsidRPr="001D11F0">
        <w:t xml:space="preserve">adviser </w:t>
      </w:r>
      <w:r w:rsidR="00C01EBB">
        <w:t>who directly supports</w:t>
      </w:r>
      <w:r w:rsidR="00C01EBB" w:rsidRPr="001D11F0">
        <w:t xml:space="preserve">, inter alia, progressing </w:t>
      </w:r>
      <w:r w:rsidR="00C01EBB">
        <w:t>economic reform</w:t>
      </w:r>
      <w:r w:rsidR="00C01EBB" w:rsidRPr="001D11F0">
        <w:t xml:space="preserve"> work, devising the </w:t>
      </w:r>
      <w:proofErr w:type="spellStart"/>
      <w:r w:rsidR="00C01EBB" w:rsidRPr="001D11F0">
        <w:t>GoK</w:t>
      </w:r>
      <w:proofErr w:type="spellEnd"/>
      <w:r w:rsidR="00C01EBB" w:rsidRPr="001D11F0">
        <w:t xml:space="preserve"> budget strategy and preparing the Kiribati Development Plan</w:t>
      </w:r>
      <w:r w:rsidR="00C01EBB">
        <w:t>. A second adviser</w:t>
      </w:r>
      <w:r w:rsidR="00C01EBB" w:rsidRPr="00C01EBB">
        <w:t xml:space="preserve"> </w:t>
      </w:r>
      <w:r w:rsidR="00C01EBB">
        <w:t>provides technical assistance</w:t>
      </w:r>
      <w:r w:rsidR="00C01EBB" w:rsidRPr="001D11F0">
        <w:t xml:space="preserve"> on economic planning and climate financing</w:t>
      </w:r>
      <w:r w:rsidR="00C01EBB">
        <w:t>, which</w:t>
      </w:r>
      <w:r w:rsidR="00C01EBB" w:rsidRPr="001D11F0">
        <w:t xml:space="preserve"> has helped </w:t>
      </w:r>
      <w:r w:rsidR="00C01EBB">
        <w:t xml:space="preserve">the </w:t>
      </w:r>
      <w:proofErr w:type="spellStart"/>
      <w:r w:rsidR="00C01EBB">
        <w:t>GoK</w:t>
      </w:r>
      <w:proofErr w:type="spellEnd"/>
      <w:r w:rsidR="00C01EBB" w:rsidRPr="001D11F0">
        <w:t xml:space="preserve"> access over US$100 million in global climate finance and develop a pipeline of projects worth over $300 million.</w:t>
      </w:r>
    </w:p>
    <w:p w:rsidR="005B3541" w:rsidRDefault="00F3237F" w:rsidP="00C01EBB">
      <w:r>
        <w:t>I</w:t>
      </w:r>
      <w:r w:rsidRPr="001D11F0">
        <w:t>n 2018-19</w:t>
      </w:r>
      <w:r>
        <w:t xml:space="preserve"> t</w:t>
      </w:r>
      <w:r w:rsidR="001D11F0" w:rsidRPr="001D11F0">
        <w:t xml:space="preserve">he </w:t>
      </w:r>
      <w:proofErr w:type="spellStart"/>
      <w:r w:rsidR="001D11F0" w:rsidRPr="001D11F0">
        <w:t>GoK</w:t>
      </w:r>
      <w:proofErr w:type="spellEnd"/>
      <w:r w:rsidR="001D11F0" w:rsidRPr="001D11F0">
        <w:t xml:space="preserve"> </w:t>
      </w:r>
      <w:r w:rsidR="00C01EBB">
        <w:t>successfully implemented</w:t>
      </w:r>
      <w:r w:rsidR="001D11F0" w:rsidRPr="001D11F0">
        <w:t xml:space="preserve"> a range of </w:t>
      </w:r>
      <w:r w:rsidR="00C01EBB">
        <w:t xml:space="preserve">agreed </w:t>
      </w:r>
      <w:r w:rsidR="001D11F0" w:rsidRPr="001D11F0">
        <w:t>reforms</w:t>
      </w:r>
      <w:r>
        <w:t xml:space="preserve"> </w:t>
      </w:r>
      <w:r w:rsidR="00D95B55">
        <w:rPr>
          <w:rFonts w:eastAsia="Times New Roman"/>
        </w:rPr>
        <w:t>(</w:t>
      </w:r>
      <w:r w:rsidR="00C01EBB">
        <w:rPr>
          <w:rFonts w:eastAsia="Times New Roman"/>
        </w:rPr>
        <w:t>the key</w:t>
      </w:r>
      <w:r w:rsidR="00D95B55">
        <w:rPr>
          <w:rFonts w:eastAsia="Times New Roman"/>
        </w:rPr>
        <w:t xml:space="preserve"> performance benchmark – see Annex B)</w:t>
      </w:r>
      <w:r w:rsidR="001D11F0" w:rsidRPr="001D11F0">
        <w:t xml:space="preserve">, including </w:t>
      </w:r>
      <w:r w:rsidR="00C01EBB">
        <w:t>introducing a</w:t>
      </w:r>
      <w:r w:rsidR="001D11F0" w:rsidRPr="001D11F0">
        <w:t xml:space="preserve"> </w:t>
      </w:r>
      <w:r w:rsidR="00C01EBB">
        <w:t>cash</w:t>
      </w:r>
      <w:r w:rsidR="001D11F0" w:rsidRPr="001D11F0">
        <w:t xml:space="preserve"> management </w:t>
      </w:r>
      <w:r w:rsidR="00C01EBB">
        <w:t xml:space="preserve">policy, establishing a central procurement unit, and endorsement of clear investment objectives for the sovereign wealth fund. </w:t>
      </w:r>
      <w:r w:rsidR="001D11F0" w:rsidRPr="001D11F0">
        <w:t xml:space="preserve">The </w:t>
      </w:r>
      <w:proofErr w:type="spellStart"/>
      <w:r w:rsidR="001D11F0" w:rsidRPr="001D11F0">
        <w:t>GoK</w:t>
      </w:r>
      <w:proofErr w:type="spellEnd"/>
      <w:r w:rsidR="001D11F0" w:rsidRPr="001D11F0">
        <w:t xml:space="preserve"> also made progress on a drawdown policy for the country’s sovereign wealth fund, which is expected to receive Cabinet clearance in 2019-20</w:t>
      </w:r>
      <w:r>
        <w:t xml:space="preserve">. </w:t>
      </w:r>
      <w:r w:rsidR="005B3541">
        <w:t>The completion of reforms on schedule allowed disbursement of donor budget support of $14.</w:t>
      </w:r>
      <w:r w:rsidR="007F32CC">
        <w:t>3</w:t>
      </w:r>
      <w:r w:rsidR="004E0BC6">
        <w:t xml:space="preserve"> </w:t>
      </w:r>
      <w:r w:rsidR="005B3541">
        <w:t xml:space="preserve">million, of which </w:t>
      </w:r>
      <w:r w:rsidR="005B3541" w:rsidRPr="001D11F0">
        <w:t>Australia contributed $</w:t>
      </w:r>
      <w:r w:rsidR="005B3541">
        <w:t>0.5 million</w:t>
      </w:r>
      <w:r w:rsidR="005B3541" w:rsidRPr="001D11F0">
        <w:t xml:space="preserve"> in 2018 and</w:t>
      </w:r>
      <w:r w:rsidR="005B3541">
        <w:t xml:space="preserve">, based on progress over this period, </w:t>
      </w:r>
      <w:r w:rsidR="005B3541" w:rsidRPr="001D11F0">
        <w:t>is scheduled to make a further contribution of $</w:t>
      </w:r>
      <w:r w:rsidR="005B3541">
        <w:t>0.5 million</w:t>
      </w:r>
      <w:r w:rsidR="005B3541" w:rsidRPr="001D11F0">
        <w:t xml:space="preserve"> in December 2019.</w:t>
      </w:r>
    </w:p>
    <w:p w:rsidR="00C01EBB" w:rsidRPr="001D11F0" w:rsidRDefault="001D11F0" w:rsidP="00C01EBB">
      <w:r w:rsidRPr="001D11F0">
        <w:t xml:space="preserve">While the </w:t>
      </w:r>
      <w:proofErr w:type="spellStart"/>
      <w:r w:rsidRPr="001D11F0">
        <w:t>GoK</w:t>
      </w:r>
      <w:proofErr w:type="spellEnd"/>
      <w:r w:rsidRPr="001D11F0">
        <w:t xml:space="preserve"> reported a budget surplus in 2018, </w:t>
      </w:r>
      <w:r w:rsidR="00F3237F">
        <w:t>there remain concerns</w:t>
      </w:r>
      <w:r w:rsidRPr="001D11F0">
        <w:t xml:space="preserve"> about </w:t>
      </w:r>
      <w:r w:rsidR="00F3237F">
        <w:t>Kiribati’s</w:t>
      </w:r>
      <w:r w:rsidRPr="001D11F0">
        <w:t xml:space="preserve"> narrow revenue base and exposure of its sovereign wealth fund to global financial volatility.  Moreover, </w:t>
      </w:r>
      <w:r w:rsidR="00F3237F">
        <w:t xml:space="preserve">Australia </w:t>
      </w:r>
      <w:r w:rsidR="005B3541">
        <w:t>maintains an interest in</w:t>
      </w:r>
      <w:r w:rsidRPr="001D11F0">
        <w:t xml:space="preserve"> the </w:t>
      </w:r>
      <w:proofErr w:type="spellStart"/>
      <w:r w:rsidRPr="001D11F0">
        <w:t>GoK’s</w:t>
      </w:r>
      <w:proofErr w:type="spellEnd"/>
      <w:r w:rsidRPr="001D11F0">
        <w:t xml:space="preserve"> investment priorities, which </w:t>
      </w:r>
      <w:r w:rsidR="005B3541">
        <w:t>in some cases may not</w:t>
      </w:r>
      <w:r w:rsidRPr="001D11F0">
        <w:t xml:space="preserve"> offer financial, economic or social returns, and its public procurement practices.</w:t>
      </w:r>
      <w:r w:rsidR="00F3237F">
        <w:t xml:space="preserve"> Australia </w:t>
      </w:r>
      <w:r w:rsidRPr="001D11F0">
        <w:t xml:space="preserve">will work with </w:t>
      </w:r>
      <w:r w:rsidR="007F32CC">
        <w:t xml:space="preserve">the </w:t>
      </w:r>
      <w:proofErr w:type="spellStart"/>
      <w:r w:rsidR="007F32CC">
        <w:t>GoK</w:t>
      </w:r>
      <w:proofErr w:type="spellEnd"/>
      <w:r w:rsidR="007F32CC">
        <w:t xml:space="preserve"> and other </w:t>
      </w:r>
      <w:r w:rsidRPr="001D11F0">
        <w:t xml:space="preserve">ERT partners to monitor progress on outstanding actions and to </w:t>
      </w:r>
      <w:r w:rsidR="00F3237F">
        <w:t>develop</w:t>
      </w:r>
      <w:r w:rsidRPr="001D11F0">
        <w:t xml:space="preserve"> a new set of policy reforms for 2020-21.</w:t>
      </w:r>
      <w:r w:rsidR="00D95B55" w:rsidRPr="00D95B55">
        <w:rPr>
          <w:rFonts w:eastAsia="Times New Roman"/>
        </w:rPr>
        <w:t xml:space="preserve"> </w:t>
      </w:r>
    </w:p>
    <w:p w:rsidR="006545B9" w:rsidRPr="00877607" w:rsidRDefault="006545B9" w:rsidP="00877607">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Objective 2</w:t>
      </w:r>
      <w:r w:rsidR="00AF298E">
        <w:rPr>
          <w:rFonts w:asciiTheme="majorHAnsi" w:eastAsiaTheme="majorEastAsia" w:hAnsiTheme="majorHAnsi" w:cstheme="majorBidi"/>
          <w:caps/>
          <w:sz w:val="32"/>
          <w:szCs w:val="32"/>
        </w:rPr>
        <w:t xml:space="preserve"> </w:t>
      </w:r>
      <w:r w:rsidR="00AF298E" w:rsidRPr="00AF298E">
        <w:rPr>
          <w:rFonts w:asciiTheme="majorHAnsi" w:eastAsiaTheme="majorEastAsia" w:hAnsiTheme="majorHAnsi" w:cstheme="majorBidi"/>
          <w:caps/>
          <w:sz w:val="32"/>
          <w:szCs w:val="32"/>
        </w:rPr>
        <w:t>A BETTER EDUCATED AND HEALTHIER POPULATION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545B9" w:rsidRPr="00695730" w:rsidTr="00AF298E">
        <w:tc>
          <w:tcPr>
            <w:tcW w:w="2016" w:type="dxa"/>
          </w:tcPr>
          <w:p w:rsidR="006545B9" w:rsidRPr="00695730" w:rsidRDefault="006545B9" w:rsidP="00AF298E">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D8AFA16" wp14:editId="17A8F656">
                  <wp:extent cx="1137600" cy="720000"/>
                  <wp:effectExtent l="0" t="0" r="571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6545B9" w:rsidRPr="00695730" w:rsidRDefault="00AF298E" w:rsidP="00AF298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21648A5B" wp14:editId="291C8C9E">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545B9" w:rsidRPr="00695730" w:rsidRDefault="00AF298E" w:rsidP="00AF298E">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6337FB2D" wp14:editId="75ABEA8D">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545B9" w:rsidRPr="00695730" w:rsidRDefault="00AF298E" w:rsidP="00AF298E">
            <w:pPr>
              <w:suppressAutoHyphens w:val="0"/>
              <w:spacing w:before="160" w:after="80" w:line="240" w:lineRule="auto"/>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2AD85479" wp14:editId="482D66FF">
                  <wp:extent cx="609600" cy="609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6545B9" w:rsidRPr="00695730" w:rsidRDefault="006545B9" w:rsidP="00AF298E">
            <w:pPr>
              <w:suppressAutoHyphens w:val="0"/>
              <w:spacing w:before="160" w:after="80" w:line="240" w:lineRule="auto"/>
              <w:jc w:val="center"/>
              <w:rPr>
                <w:rFonts w:asciiTheme="majorHAnsi" w:eastAsiaTheme="majorEastAsia" w:hAnsiTheme="majorHAnsi" w:cstheme="majorBidi"/>
                <w:caps/>
                <w:sz w:val="38"/>
                <w:szCs w:val="26"/>
              </w:rPr>
            </w:pPr>
          </w:p>
        </w:tc>
      </w:tr>
    </w:tbl>
    <w:p w:rsidR="00AF298E" w:rsidRPr="00AF298E" w:rsidRDefault="00AF298E" w:rsidP="00AF298E">
      <w:pPr>
        <w:spacing w:after="120"/>
      </w:pPr>
      <w:r w:rsidRPr="00AF298E">
        <w:t xml:space="preserve">Overall, </w:t>
      </w:r>
      <w:r>
        <w:t>this</w:t>
      </w:r>
      <w:r w:rsidRPr="00AF298E">
        <w:t xml:space="preserve"> objective </w:t>
      </w:r>
      <w:r>
        <w:t xml:space="preserve">is assessed as ‘green’ on the basis of </w:t>
      </w:r>
      <w:r w:rsidRPr="00AF298E">
        <w:t xml:space="preserve">solid progress </w:t>
      </w:r>
      <w:r w:rsidR="005D543F">
        <w:t>towa</w:t>
      </w:r>
      <w:r w:rsidR="00122F55">
        <w:t xml:space="preserve">rd education benchmarks, including </w:t>
      </w:r>
      <w:r w:rsidR="00315935">
        <w:t>gender outcomes</w:t>
      </w:r>
      <w:r w:rsidR="00122F55">
        <w:t>;</w:t>
      </w:r>
      <w:r w:rsidR="005D543F">
        <w:t xml:space="preserve"> independent evidence</w:t>
      </w:r>
      <w:r w:rsidR="00122F55">
        <w:t xml:space="preserve"> of improved quality and accessibility of basic education</w:t>
      </w:r>
      <w:r w:rsidR="00315935">
        <w:t>,</w:t>
      </w:r>
      <w:r w:rsidR="00122F55">
        <w:t xml:space="preserve"> </w:t>
      </w:r>
      <w:r w:rsidR="00122F55" w:rsidRPr="00AF298E">
        <w:t xml:space="preserve">including for people with </w:t>
      </w:r>
      <w:r w:rsidR="00122F55">
        <w:t xml:space="preserve">disabilities; and </w:t>
      </w:r>
      <w:r w:rsidR="004233C0">
        <w:t>strong</w:t>
      </w:r>
      <w:r w:rsidR="00122F55">
        <w:t xml:space="preserve"> links between vocational education and employment. While </w:t>
      </w:r>
      <w:r w:rsidRPr="00AF298E">
        <w:t>consistent improvements in education outcomes are not yet apparent</w:t>
      </w:r>
      <w:r w:rsidR="00122F55">
        <w:t>, progress is as expected at this stage of investment given the contextual challenges faced by education partners in Kiribati</w:t>
      </w:r>
      <w:r w:rsidRPr="00AF298E">
        <w:t>.</w:t>
      </w:r>
      <w:r w:rsidR="00C7340F">
        <w:t xml:space="preserve"> </w:t>
      </w:r>
      <w:r w:rsidR="00122F55">
        <w:t xml:space="preserve">To address these </w:t>
      </w:r>
      <w:r w:rsidR="004233C0">
        <w:t>barriers</w:t>
      </w:r>
      <w:r w:rsidR="00122F55">
        <w:t>, the</w:t>
      </w:r>
      <w:r w:rsidR="00C7340F">
        <w:t xml:space="preserve"> next phase of Australia’s basic education investment will draw on recommendations from </w:t>
      </w:r>
      <w:r w:rsidR="004233C0">
        <w:t>an</w:t>
      </w:r>
      <w:r w:rsidR="00122F55">
        <w:t xml:space="preserve"> independent</w:t>
      </w:r>
      <w:r w:rsidR="00C7340F">
        <w:t xml:space="preserve"> review and ensure alignment with the Ministry of Education’s next strategic plan (2019-2023). </w:t>
      </w:r>
      <w:r w:rsidR="00122F55">
        <w:t xml:space="preserve">Australia’s health investment was initiated in 2019 and, while it is too early to see outcomes, progress is as expected at this early stage and a performance-based design is expected to incentivise strong results. </w:t>
      </w:r>
    </w:p>
    <w:p w:rsidR="00AF298E" w:rsidRPr="00AF298E" w:rsidRDefault="00AF298E" w:rsidP="00AF298E">
      <w:pPr>
        <w:spacing w:after="120"/>
      </w:pPr>
      <w:r w:rsidRPr="00AF298E">
        <w:t>This objective</w:t>
      </w:r>
      <w:r w:rsidR="00C7340F">
        <w:t xml:space="preserve"> comprises 70 per cent of Australia’s total ODA and 95 per cent of the bilateral program.</w:t>
      </w:r>
      <w:r w:rsidRPr="00AF298E">
        <w:t xml:space="preserve"> </w:t>
      </w:r>
      <w:r w:rsidR="00C7340F">
        <w:t xml:space="preserve">It </w:t>
      </w:r>
      <w:r w:rsidRPr="00AF298E">
        <w:t>is delivered through four major programs:</w:t>
      </w:r>
    </w:p>
    <w:p w:rsidR="00C7340F" w:rsidRPr="00AF298E" w:rsidRDefault="00C7340F" w:rsidP="00C7340F">
      <w:pPr>
        <w:pStyle w:val="Bullet1"/>
      </w:pPr>
      <w:r w:rsidRPr="00AF298E">
        <w:t>Australia Awards Scholarships and Australia Awards Pacific Scholarships</w:t>
      </w:r>
      <w:r w:rsidR="00EA5E62">
        <w:t xml:space="preserve"> ($3.2 million</w:t>
      </w:r>
      <w:r w:rsidR="00BF45B5">
        <w:t xml:space="preserve"> in 2018-19</w:t>
      </w:r>
      <w:r w:rsidR="00EA5E62">
        <w:t>)</w:t>
      </w:r>
      <w:r w:rsidRPr="00AF298E">
        <w:t xml:space="preserve">; </w:t>
      </w:r>
    </w:p>
    <w:p w:rsidR="00AF298E" w:rsidRPr="00AF298E" w:rsidRDefault="00AF298E" w:rsidP="00AF298E">
      <w:pPr>
        <w:pStyle w:val="Bullet1"/>
      </w:pPr>
      <w:r w:rsidRPr="00AF298E">
        <w:t>Kiribati Education Improvement Program Phase III (KEIP, $32 million, 2016-19);</w:t>
      </w:r>
    </w:p>
    <w:p w:rsidR="00AF298E" w:rsidRPr="00AF298E" w:rsidRDefault="00AF298E" w:rsidP="00AF298E">
      <w:pPr>
        <w:pStyle w:val="Bullet1"/>
      </w:pPr>
      <w:r w:rsidRPr="00AF298E">
        <w:t>Kiribati Facility ($20 million, 2016-20);</w:t>
      </w:r>
      <w:r>
        <w:t xml:space="preserve"> and</w:t>
      </w:r>
    </w:p>
    <w:p w:rsidR="00AF298E" w:rsidRPr="00AF298E" w:rsidRDefault="00AF298E" w:rsidP="00AF298E">
      <w:pPr>
        <w:pStyle w:val="Bullet1"/>
      </w:pPr>
      <w:r w:rsidRPr="00AF298E">
        <w:t>Kiribati-Australia Health Support Program (KAHSP, $3.6 million, 2019-2021)</w:t>
      </w:r>
      <w:r>
        <w:t xml:space="preserve">. </w:t>
      </w:r>
    </w:p>
    <w:p w:rsidR="00C7340F" w:rsidRPr="00AF298E" w:rsidRDefault="00C7340F" w:rsidP="00C7340F">
      <w:pPr>
        <w:spacing w:after="120"/>
      </w:pPr>
      <w:r w:rsidRPr="00AF298E">
        <w:t>In 2018-19, 30 I-Kiribati women and men (22 women) commenced undergraduate or postgraduate studies (17 postgraduate) in Australian and regional universities (17 in Australia) through the Australia Awards Scholarships and the Australia Awards Pacific Scholarships initiatives. They joined approximately 90 I-Kiribati scholars currently on award. Importantly a further 33 scholars (24 women) graduated and returned home to contribute to Kiribati’s economic and social development.</w:t>
      </w:r>
    </w:p>
    <w:p w:rsidR="00AF298E" w:rsidRPr="00AF298E" w:rsidRDefault="00AF298E" w:rsidP="00AF298E">
      <w:pPr>
        <w:spacing w:after="120"/>
      </w:pPr>
      <w:r w:rsidRPr="00AF298E">
        <w:t xml:space="preserve">An independent review of KEIP </w:t>
      </w:r>
      <w:r w:rsidR="005D543F">
        <w:t xml:space="preserve">($32 million over four years) </w:t>
      </w:r>
      <w:r w:rsidRPr="00AF298E">
        <w:t xml:space="preserve">in 2018 found that </w:t>
      </w:r>
      <w:r>
        <w:t>the program</w:t>
      </w:r>
      <w:r w:rsidRPr="00AF298E">
        <w:t xml:space="preserve"> was making good progress towards achieving its expected outputs, and </w:t>
      </w:r>
      <w:r w:rsidR="00BE6D64">
        <w:t xml:space="preserve">resulting in increased </w:t>
      </w:r>
      <w:r w:rsidRPr="00AF298E">
        <w:t>access to basic education</w:t>
      </w:r>
      <w:r>
        <w:t xml:space="preserve">. </w:t>
      </w:r>
      <w:r w:rsidRPr="00AF298E">
        <w:t>KEIP rehabilitated school buildings, benefiting 1,833</w:t>
      </w:r>
      <w:r>
        <w:rPr>
          <w:rStyle w:val="FootnoteReference"/>
        </w:rPr>
        <w:footnoteReference w:id="2"/>
      </w:r>
      <w:r w:rsidRPr="00AF298E">
        <w:t xml:space="preserve"> students; placed 26 students with </w:t>
      </w:r>
      <w:r>
        <w:t>disabilities</w:t>
      </w:r>
      <w:r w:rsidRPr="00AF298E">
        <w:t xml:space="preserve"> in mainstream schools; and facilitated 235 other students with disabilities to access quality education at the Kiribati School and Centre fo</w:t>
      </w:r>
      <w:r>
        <w:t xml:space="preserve">r Children with Special Needs. </w:t>
      </w:r>
      <w:r w:rsidRPr="00AF298E">
        <w:t>Rehabilitated school buildings have been designed to ensure their resilience to the impacts of climate change and extreme weather events, helping to ensure educational continuity. KEIP has also integrated climate change across the national curriculum, helping to increase students’ understanding of the implications of climate change for Kiribati</w:t>
      </w:r>
      <w:r>
        <w:t>’s</w:t>
      </w:r>
      <w:r w:rsidRPr="00AF298E">
        <w:t xml:space="preserve"> future. However, broader student learning outcomes remained a concern</w:t>
      </w:r>
      <w:r>
        <w:t xml:space="preserve">. </w:t>
      </w:r>
      <w:r w:rsidRPr="00AF298E">
        <w:t>Standardised Tests of National Achievement in Kiribati in 2018 showed improvements in literacy and numeracy of Year 4 and Year 6 students, but performance by Year 8 students decl</w:t>
      </w:r>
      <w:r>
        <w:t xml:space="preserve">ined compared to 2017 results. </w:t>
      </w:r>
      <w:r w:rsidRPr="00AF298E">
        <w:t xml:space="preserve">Moreover, the review found reforms to improve sectoral planning and management were </w:t>
      </w:r>
      <w:r w:rsidR="00BE6D64">
        <w:t>not yet fully implemented</w:t>
      </w:r>
      <w:r w:rsidRPr="00AF298E">
        <w:t xml:space="preserve">.  </w:t>
      </w:r>
    </w:p>
    <w:p w:rsidR="00AF298E" w:rsidRPr="00AF298E" w:rsidRDefault="00AF298E" w:rsidP="00AF298E">
      <w:pPr>
        <w:spacing w:after="120"/>
      </w:pPr>
      <w:r w:rsidRPr="00AF298E">
        <w:t>Education partners in Kiribati face many challenges, including remoteness, geographic dispersal and poor comm</w:t>
      </w:r>
      <w:r>
        <w:t xml:space="preserve">unication and transport links. </w:t>
      </w:r>
      <w:r w:rsidRPr="00AF298E">
        <w:t>Despite these challenges, the Ministry of Educati</w:t>
      </w:r>
      <w:r>
        <w:t xml:space="preserve">on provides strong leadership. </w:t>
      </w:r>
      <w:r w:rsidRPr="00AF298E">
        <w:t>The Ministry will prepare a sector strategic plan for 2019-2023 and the next phase of Australia’s investment, KEIP Phase</w:t>
      </w:r>
      <w:r w:rsidR="005D543F">
        <w:t xml:space="preserve"> IV, will align with that plan.</w:t>
      </w:r>
      <w:r w:rsidRPr="00AF298E">
        <w:t xml:space="preserve"> The design of KEIP Phase IV will also address the 14 </w:t>
      </w:r>
      <w:r w:rsidRPr="00AF298E">
        <w:lastRenderedPageBreak/>
        <w:t>recommendations from the independent review, including data gaps in measuring end-of-program outcomes, and understanding why children’s learning hasn’t increased as expected.</w:t>
      </w:r>
    </w:p>
    <w:p w:rsidR="00AF298E" w:rsidRPr="00AF298E" w:rsidRDefault="00AF298E" w:rsidP="00AF298E">
      <w:pPr>
        <w:spacing w:after="120"/>
      </w:pPr>
      <w:r w:rsidRPr="00AF298E">
        <w:t xml:space="preserve">The Kiribati Facility </w:t>
      </w:r>
      <w:r w:rsidR="005D543F">
        <w:t xml:space="preserve">($20 million over five years) </w:t>
      </w:r>
      <w:r w:rsidRPr="00AF298E">
        <w:t xml:space="preserve">aims to build a more capable, qualified and mobile I-Kiribati workforce, in particular through technical and vocational education and training at the Kiribati </w:t>
      </w:r>
      <w:r w:rsidR="005D543F">
        <w:t xml:space="preserve">Institute of Technology (KIT). </w:t>
      </w:r>
      <w:r w:rsidRPr="00AF298E">
        <w:t>KIT enrolled 387 students (190 female, 197 male) in certificate-level courses in 2018 (the total number of students was 537 in 2018) and a f</w:t>
      </w:r>
      <w:r w:rsidR="005D543F">
        <w:t xml:space="preserve">urther 1,383 in short courses. </w:t>
      </w:r>
      <w:r w:rsidRPr="00AF298E">
        <w:t xml:space="preserve">KIT supports participation by people with </w:t>
      </w:r>
      <w:r w:rsidR="005D543F">
        <w:t>disabilities</w:t>
      </w:r>
      <w:r w:rsidRPr="00AF298E">
        <w:t xml:space="preserve"> – six students with vision impairment graduated from customised certificate courses and another 13 hearing and vision impaired stude</w:t>
      </w:r>
      <w:r w:rsidR="005D543F">
        <w:t xml:space="preserve">nts completed short courses. </w:t>
      </w:r>
      <w:r w:rsidRPr="00AF298E">
        <w:t>KIT also supports young mothers and out-of-school youth, and achieved 27 per cent female participation in non-traditional courses</w:t>
      </w:r>
      <w:r w:rsidR="005D543F">
        <w:t>, exceeding the performance benchmark (20 per cent).</w:t>
      </w:r>
      <w:r w:rsidRPr="00AF298E">
        <w:t xml:space="preserve"> KIT graduates connect to the workforce – tracer surveys indicate 74 per cent of graduates are gainfully employed, including in Austra</w:t>
      </w:r>
      <w:r w:rsidR="005D543F">
        <w:t>lia’s labour mobility programs.</w:t>
      </w:r>
      <w:r w:rsidRPr="00AF298E">
        <w:t xml:space="preserve"> KIT also delivers pre-departure training for labour mobility candidates.</w:t>
      </w:r>
    </w:p>
    <w:p w:rsidR="00AF298E" w:rsidRPr="00AF298E" w:rsidRDefault="00AF298E" w:rsidP="00AF298E">
      <w:pPr>
        <w:spacing w:after="120"/>
      </w:pPr>
      <w:r w:rsidRPr="00AF298E">
        <w:t>A mid-term review</w:t>
      </w:r>
      <w:r w:rsidR="005D543F">
        <w:t xml:space="preserve"> of the Facility</w:t>
      </w:r>
      <w:r w:rsidRPr="00AF298E">
        <w:t xml:space="preserve"> in 2019 (</w:t>
      </w:r>
      <w:r w:rsidR="004233C0">
        <w:t>forthcoming</w:t>
      </w:r>
      <w:r w:rsidRPr="00AF298E">
        <w:t xml:space="preserve">) </w:t>
      </w:r>
      <w:r w:rsidR="005D543F">
        <w:t>provided some recommendations for improvement</w:t>
      </w:r>
      <w:r w:rsidRPr="00AF298E">
        <w:t>, including supporting the Ministry of Employment and Human Resource, vocational training policy dialogue with the Mi</w:t>
      </w:r>
      <w:r w:rsidR="005D543F">
        <w:t>nistry and development partners;</w:t>
      </w:r>
      <w:r w:rsidRPr="00AF298E">
        <w:t xml:space="preserve"> streamli</w:t>
      </w:r>
      <w:r w:rsidR="005D543F">
        <w:t>ning leadership of the Facility;</w:t>
      </w:r>
      <w:r w:rsidRPr="00AF298E">
        <w:t xml:space="preserve"> </w:t>
      </w:r>
      <w:r w:rsidR="005D543F">
        <w:t xml:space="preserve">strengthening </w:t>
      </w:r>
      <w:r w:rsidRPr="00AF298E">
        <w:t>KIT governance</w:t>
      </w:r>
      <w:r w:rsidR="005D543F">
        <w:t>;</w:t>
      </w:r>
      <w:r w:rsidRPr="00AF298E">
        <w:t xml:space="preserve"> and industry en</w:t>
      </w:r>
      <w:r w:rsidR="005D543F">
        <w:t>gagement on training needs.</w:t>
      </w:r>
      <w:r w:rsidRPr="00AF298E">
        <w:t xml:space="preserve"> </w:t>
      </w:r>
      <w:r w:rsidR="005D543F">
        <w:t>T</w:t>
      </w:r>
      <w:r w:rsidRPr="00AF298E">
        <w:t xml:space="preserve">he review </w:t>
      </w:r>
      <w:r w:rsidR="005D543F">
        <w:t xml:space="preserve">also </w:t>
      </w:r>
      <w:r w:rsidRPr="00AF298E">
        <w:t xml:space="preserve">provided recommendations regarding data collection </w:t>
      </w:r>
      <w:r w:rsidR="005D543F">
        <w:t>and measuring value for money. Australia</w:t>
      </w:r>
      <w:r w:rsidRPr="00AF298E">
        <w:t xml:space="preserve"> accepted eight of the 11 recommendations in full, and partly accepted the remaining t</w:t>
      </w:r>
      <w:r w:rsidR="005D543F">
        <w:t>hree.</w:t>
      </w:r>
      <w:r w:rsidRPr="00AF298E">
        <w:t xml:space="preserve"> DFAT is already implementing some recommendations while other actions will be </w:t>
      </w:r>
      <w:r w:rsidR="007F32CC">
        <w:t>delivered</w:t>
      </w:r>
      <w:r w:rsidRPr="00AF298E">
        <w:t xml:space="preserve"> in the next phase of the Facility.</w:t>
      </w:r>
    </w:p>
    <w:p w:rsidR="00AF298E" w:rsidRPr="00AF298E" w:rsidRDefault="00AF298E" w:rsidP="00AF298E">
      <w:pPr>
        <w:spacing w:after="120"/>
      </w:pPr>
      <w:r w:rsidRPr="00AF298E">
        <w:t>KAHSP</w:t>
      </w:r>
      <w:r w:rsidR="005D543F">
        <w:t xml:space="preserve"> ($3.6 million over 3 years)</w:t>
      </w:r>
      <w:r w:rsidRPr="00AF298E">
        <w:t xml:space="preserve"> commenced on 1 January 2019 and is aligned with the Ministry of Health and Medical Services’ priorities. It provides three years of funding certainty to the Ministry, while building on Australia’s previous support to the Kiribati health sector in areas such as mental health and rehabilitation services and preventing and managing high-burden infectious diseases (tuberculosis, leprosy a</w:t>
      </w:r>
      <w:r w:rsidR="005D543F">
        <w:t xml:space="preserve">nd hepatitis B in particular). </w:t>
      </w:r>
      <w:r w:rsidRPr="00AF298E">
        <w:t>The program also supports system strengthening in workforce development planning and h</w:t>
      </w:r>
      <w:r w:rsidR="005D543F">
        <w:t xml:space="preserve">ealth information improvement. </w:t>
      </w:r>
      <w:r w:rsidRPr="00AF298E">
        <w:t>KAHSP is performance based and will be assessed annually.</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4233C0" w:rsidRPr="004233C0" w:rsidRDefault="004233C0" w:rsidP="004233C0">
      <w:pPr>
        <w:spacing w:after="120"/>
        <w:rPr>
          <w:rFonts w:eastAsia="Times New Roman"/>
        </w:rPr>
      </w:pPr>
      <w:r w:rsidRPr="004233C0">
        <w:rPr>
          <w:rFonts w:eastAsia="Times New Roman"/>
        </w:rPr>
        <w:t xml:space="preserve">The AIP for Kiribati is based on shared goals and mutual obligations, which are regularly discussed with </w:t>
      </w:r>
      <w:proofErr w:type="spellStart"/>
      <w:r w:rsidRPr="004233C0">
        <w:rPr>
          <w:rFonts w:eastAsia="Times New Roman"/>
        </w:rPr>
        <w:t>GoK</w:t>
      </w:r>
      <w:proofErr w:type="spellEnd"/>
      <w:r w:rsidRPr="004233C0">
        <w:rPr>
          <w:rFonts w:eastAsia="Times New Roman"/>
        </w:rPr>
        <w:t xml:space="preserve"> partners</w:t>
      </w:r>
      <w:r>
        <w:rPr>
          <w:rFonts w:eastAsia="Times New Roman"/>
        </w:rPr>
        <w:t xml:space="preserve">. </w:t>
      </w:r>
      <w:r w:rsidRPr="004233C0">
        <w:rPr>
          <w:rFonts w:eastAsia="Times New Roman"/>
        </w:rPr>
        <w:t xml:space="preserve">Annual Senior Official Talks (held in May 2019) provide the opportunity to </w:t>
      </w:r>
      <w:r>
        <w:rPr>
          <w:rFonts w:eastAsia="Times New Roman"/>
        </w:rPr>
        <w:t>discuss</w:t>
      </w:r>
      <w:r w:rsidRPr="004233C0">
        <w:rPr>
          <w:rFonts w:eastAsia="Times New Roman"/>
        </w:rPr>
        <w:t xml:space="preserve"> policy developments that impact the development program. </w:t>
      </w:r>
    </w:p>
    <w:p w:rsidR="004233C0" w:rsidRPr="004233C0" w:rsidRDefault="004233C0" w:rsidP="004233C0">
      <w:pPr>
        <w:spacing w:after="120"/>
        <w:rPr>
          <w:rFonts w:eastAsia="Times New Roman"/>
        </w:rPr>
      </w:pPr>
      <w:r w:rsidRPr="004233C0">
        <w:rPr>
          <w:rFonts w:eastAsia="Times New Roman"/>
        </w:rPr>
        <w:t xml:space="preserve">The </w:t>
      </w:r>
      <w:proofErr w:type="spellStart"/>
      <w:r w:rsidRPr="004233C0">
        <w:rPr>
          <w:rFonts w:eastAsia="Times New Roman"/>
        </w:rPr>
        <w:t>GoK</w:t>
      </w:r>
      <w:proofErr w:type="spellEnd"/>
      <w:r w:rsidRPr="004233C0">
        <w:rPr>
          <w:rFonts w:eastAsia="Times New Roman"/>
        </w:rPr>
        <w:t xml:space="preserve"> committed to maintain or exceed expenditure on health and education as a p</w:t>
      </w:r>
      <w:r>
        <w:rPr>
          <w:rFonts w:eastAsia="Times New Roman"/>
        </w:rPr>
        <w:t xml:space="preserve">roportion of its total budget. </w:t>
      </w:r>
      <w:r w:rsidR="0078075A">
        <w:rPr>
          <w:rFonts w:eastAsia="Times New Roman"/>
        </w:rPr>
        <w:t>The 2019</w:t>
      </w:r>
      <w:r w:rsidRPr="004233C0">
        <w:rPr>
          <w:rFonts w:eastAsia="Times New Roman"/>
        </w:rPr>
        <w:t xml:space="preserve"> </w:t>
      </w:r>
      <w:proofErr w:type="spellStart"/>
      <w:r w:rsidRPr="004233C0">
        <w:rPr>
          <w:rFonts w:eastAsia="Times New Roman"/>
        </w:rPr>
        <w:t>GoK</w:t>
      </w:r>
      <w:proofErr w:type="spellEnd"/>
      <w:r w:rsidR="0078075A">
        <w:rPr>
          <w:rFonts w:eastAsia="Times New Roman"/>
        </w:rPr>
        <w:t xml:space="preserve"> budget</w:t>
      </w:r>
      <w:r w:rsidRPr="004233C0">
        <w:rPr>
          <w:rFonts w:eastAsia="Times New Roman"/>
        </w:rPr>
        <w:t>:</w:t>
      </w:r>
    </w:p>
    <w:p w:rsidR="004233C0" w:rsidRPr="004233C0" w:rsidRDefault="0078075A" w:rsidP="004233C0">
      <w:pPr>
        <w:pStyle w:val="Bullet1"/>
      </w:pPr>
      <w:r>
        <w:t>i</w:t>
      </w:r>
      <w:r w:rsidR="004233C0" w:rsidRPr="004233C0">
        <w:t xml:space="preserve">ncreased its </w:t>
      </w:r>
      <w:r>
        <w:t xml:space="preserve">estimated </w:t>
      </w:r>
      <w:r w:rsidR="004233C0" w:rsidRPr="004233C0">
        <w:t xml:space="preserve">2019 education </w:t>
      </w:r>
      <w:r>
        <w:t>expenditure</w:t>
      </w:r>
      <w:r w:rsidR="004233C0" w:rsidRPr="004233C0">
        <w:t xml:space="preserve"> </w:t>
      </w:r>
      <w:r>
        <w:t xml:space="preserve">to 14.2 per cent of the total budget (up from </w:t>
      </w:r>
      <w:r w:rsidR="004233C0" w:rsidRPr="004233C0">
        <w:t>1</w:t>
      </w:r>
      <w:r>
        <w:t>0.3</w:t>
      </w:r>
      <w:r w:rsidR="004233C0" w:rsidRPr="004233C0">
        <w:t xml:space="preserve"> per cent in 2017 </w:t>
      </w:r>
      <w:r>
        <w:t>and 12.3</w:t>
      </w:r>
      <w:r w:rsidR="004233C0" w:rsidRPr="004233C0">
        <w:t xml:space="preserve"> per cent in 2018</w:t>
      </w:r>
      <w:r>
        <w:t>), and</w:t>
      </w:r>
    </w:p>
    <w:p w:rsidR="004233C0" w:rsidRPr="004233C0" w:rsidRDefault="0078075A" w:rsidP="004233C0">
      <w:pPr>
        <w:pStyle w:val="Bullet1"/>
      </w:pPr>
      <w:r>
        <w:t>i</w:t>
      </w:r>
      <w:r w:rsidR="004233C0" w:rsidRPr="004233C0">
        <w:t xml:space="preserve">ncreased its estimated 2019 health </w:t>
      </w:r>
      <w:r>
        <w:t>expenditure to 12.1</w:t>
      </w:r>
      <w:r w:rsidR="004233C0" w:rsidRPr="004233C0">
        <w:t xml:space="preserve"> per cent</w:t>
      </w:r>
      <w:r>
        <w:t xml:space="preserve"> of the total budget</w:t>
      </w:r>
      <w:r w:rsidR="004233C0" w:rsidRPr="004233C0">
        <w:t xml:space="preserve"> </w:t>
      </w:r>
      <w:r>
        <w:t>(up from 8.9</w:t>
      </w:r>
      <w:r w:rsidR="004233C0" w:rsidRPr="004233C0">
        <w:t xml:space="preserve"> per cent in 2017 </w:t>
      </w:r>
      <w:r>
        <w:t>and 10.5</w:t>
      </w:r>
      <w:r w:rsidR="004233C0" w:rsidRPr="004233C0">
        <w:t xml:space="preserve"> per cent in 2018</w:t>
      </w:r>
      <w:r>
        <w:t>)</w:t>
      </w:r>
      <w:r w:rsidR="004233C0" w:rsidRPr="004233C0">
        <w:t>.</w:t>
      </w:r>
    </w:p>
    <w:p w:rsidR="00D95B55" w:rsidRDefault="004233C0" w:rsidP="00D95B55">
      <w:pPr>
        <w:spacing w:after="120"/>
        <w:rPr>
          <w:rFonts w:eastAsia="Times New Roman"/>
        </w:rPr>
      </w:pPr>
      <w:r w:rsidRPr="004233C0">
        <w:rPr>
          <w:rFonts w:eastAsia="Times New Roman"/>
        </w:rPr>
        <w:t xml:space="preserve">The </w:t>
      </w:r>
      <w:proofErr w:type="spellStart"/>
      <w:r w:rsidRPr="004233C0">
        <w:rPr>
          <w:rFonts w:eastAsia="Times New Roman"/>
        </w:rPr>
        <w:t>G</w:t>
      </w:r>
      <w:r w:rsidR="0078075A">
        <w:rPr>
          <w:rFonts w:eastAsia="Times New Roman"/>
        </w:rPr>
        <w:t>o</w:t>
      </w:r>
      <w:r w:rsidRPr="004233C0">
        <w:rPr>
          <w:rFonts w:eastAsia="Times New Roman"/>
        </w:rPr>
        <w:t>K</w:t>
      </w:r>
      <w:proofErr w:type="spellEnd"/>
      <w:r w:rsidRPr="004233C0">
        <w:rPr>
          <w:rFonts w:eastAsia="Times New Roman"/>
        </w:rPr>
        <w:t xml:space="preserve"> committed to implement reforms agreed under the Kiribati Economic Reform Plan (also included in the Joint Policy Reform Matrix)</w:t>
      </w:r>
      <w:r w:rsidR="00D95B55">
        <w:rPr>
          <w:rFonts w:eastAsia="Times New Roman"/>
        </w:rPr>
        <w:t>, which made good progress i</w:t>
      </w:r>
      <w:r w:rsidRPr="004233C0">
        <w:rPr>
          <w:rFonts w:eastAsia="Times New Roman"/>
        </w:rPr>
        <w:t>n 2018-19</w:t>
      </w:r>
      <w:r w:rsidR="00D95B55">
        <w:rPr>
          <w:rFonts w:eastAsia="Times New Roman"/>
        </w:rPr>
        <w:t xml:space="preserve"> (see Objective 1 and Annex B). </w:t>
      </w:r>
    </w:p>
    <w:p w:rsidR="004233C0" w:rsidRPr="004233C0" w:rsidRDefault="004233C0" w:rsidP="00D95B55">
      <w:pPr>
        <w:spacing w:after="120"/>
      </w:pPr>
      <w:r w:rsidRPr="004233C0">
        <w:t xml:space="preserve">The </w:t>
      </w:r>
      <w:proofErr w:type="spellStart"/>
      <w:r w:rsidRPr="004233C0">
        <w:t>GoK</w:t>
      </w:r>
      <w:proofErr w:type="spellEnd"/>
      <w:r w:rsidRPr="004233C0">
        <w:t xml:space="preserve"> has also made good progress in achieving gender commitments included in the Pacific Island Forum Leaders’ Gender Equality Declaration</w:t>
      </w:r>
      <w:r w:rsidR="00D95B55">
        <w:t xml:space="preserve"> and Kiribati Country Plan under </w:t>
      </w:r>
      <w:r w:rsidR="00D95B55">
        <w:rPr>
          <w:i/>
        </w:rPr>
        <w:t>Pacific Women Shaping Pacific Development</w:t>
      </w:r>
      <w:r w:rsidRPr="004233C0">
        <w:t>, including:</w:t>
      </w:r>
    </w:p>
    <w:p w:rsidR="004233C0" w:rsidRPr="004233C0" w:rsidRDefault="00D95B55" w:rsidP="004233C0">
      <w:pPr>
        <w:pStyle w:val="Bullet1"/>
      </w:pPr>
      <w:r>
        <w:t>I</w:t>
      </w:r>
      <w:r w:rsidR="004233C0" w:rsidRPr="004233C0">
        <w:t>ncreasing the number of protection orders issued by the police (78</w:t>
      </w:r>
      <w:r>
        <w:t>0 in 2018, up from 554 in 2017).</w:t>
      </w:r>
    </w:p>
    <w:p w:rsidR="004233C0" w:rsidRPr="004233C0" w:rsidRDefault="00D95B55" w:rsidP="004233C0">
      <w:pPr>
        <w:pStyle w:val="Bullet1"/>
      </w:pPr>
      <w:r>
        <w:t>I</w:t>
      </w:r>
      <w:r w:rsidR="004233C0" w:rsidRPr="004233C0">
        <w:t xml:space="preserve">ncreased </w:t>
      </w:r>
      <w:r>
        <w:t xml:space="preserve">the </w:t>
      </w:r>
      <w:r w:rsidR="004233C0" w:rsidRPr="004233C0">
        <w:t>number of women accessing services for victims of violence at the Kiribati Women and Children Support Centre and Health Family Clini</w:t>
      </w:r>
      <w:r>
        <w:t xml:space="preserve">c (both supported by Australia). </w:t>
      </w:r>
    </w:p>
    <w:p w:rsidR="004233C0" w:rsidRPr="004233C0" w:rsidRDefault="00D95B55" w:rsidP="004233C0">
      <w:pPr>
        <w:pStyle w:val="Bullet1"/>
      </w:pPr>
      <w:r>
        <w:lastRenderedPageBreak/>
        <w:t>L</w:t>
      </w:r>
      <w:r w:rsidR="004233C0" w:rsidRPr="004233C0">
        <w:t>aunching the Gender Equality and Women’s Development (GEWD) policy</w:t>
      </w:r>
      <w:r>
        <w:t xml:space="preserve"> in</w:t>
      </w:r>
      <w:r w:rsidR="004233C0" w:rsidRPr="004233C0">
        <w:t xml:space="preserve"> early 2019. </w:t>
      </w:r>
      <w:r>
        <w:t>Australia’s support</w:t>
      </w:r>
      <w:r w:rsidR="004233C0" w:rsidRPr="004233C0">
        <w:t xml:space="preserve"> helped finalise the policy </w:t>
      </w:r>
      <w:r>
        <w:t>and ensured women with disabilities</w:t>
      </w:r>
      <w:r w:rsidR="004233C0" w:rsidRPr="004233C0">
        <w:t xml:space="preserve"> were consulted in the preparation of the policy, and their needs were reflected in the economic empowerment priority area.</w:t>
      </w:r>
    </w:p>
    <w:p w:rsidR="004233C0" w:rsidRPr="004233C0" w:rsidRDefault="00D95B55" w:rsidP="00D95B55">
      <w:pPr>
        <w:pStyle w:val="Bullet1"/>
        <w:numPr>
          <w:ilvl w:val="0"/>
          <w:numId w:val="0"/>
        </w:numPr>
      </w:pPr>
      <w:r>
        <w:t xml:space="preserve">In </w:t>
      </w:r>
      <w:r w:rsidRPr="004233C0">
        <w:t>September 2018</w:t>
      </w:r>
      <w:r>
        <w:t xml:space="preserve"> </w:t>
      </w:r>
      <w:proofErr w:type="spellStart"/>
      <w:r>
        <w:t>GoK</w:t>
      </w:r>
      <w:proofErr w:type="spellEnd"/>
      <w:r>
        <w:t xml:space="preserve"> also l</w:t>
      </w:r>
      <w:r w:rsidR="004233C0" w:rsidRPr="004233C0">
        <w:t xml:space="preserve">aunched the Kiribati National Disability Policy and Action Plan (2018-2022) supporting international commitments under the UN Convention on the Rights of Persons with Disabilities. </w:t>
      </w:r>
    </w:p>
    <w:p w:rsidR="004233C0" w:rsidRPr="004233C0" w:rsidRDefault="004233C0" w:rsidP="004233C0">
      <w:pPr>
        <w:spacing w:after="120"/>
        <w:rPr>
          <w:rFonts w:eastAsia="Times New Roman"/>
        </w:rPr>
      </w:pPr>
      <w:r w:rsidRPr="004233C0">
        <w:rPr>
          <w:rFonts w:eastAsia="Times New Roman"/>
        </w:rPr>
        <w:t>Climate change is considered in all Australia’s programs in Kiribati, consistent with our mutual commitment.  KEIP and the Kiribati Facility incorporate climate change into basic education and technical and vocational e</w:t>
      </w:r>
      <w:r w:rsidR="00D95B55">
        <w:rPr>
          <w:rFonts w:eastAsia="Times New Roman"/>
        </w:rPr>
        <w:t xml:space="preserve">ducation and training courses. Australia’s </w:t>
      </w:r>
      <w:r w:rsidRPr="004233C0">
        <w:rPr>
          <w:rFonts w:eastAsia="Times New Roman"/>
        </w:rPr>
        <w:t xml:space="preserve">infrastructure </w:t>
      </w:r>
      <w:r w:rsidR="00D95B55">
        <w:rPr>
          <w:rFonts w:eastAsia="Times New Roman"/>
        </w:rPr>
        <w:t>investments</w:t>
      </w:r>
      <w:r w:rsidRPr="004233C0">
        <w:rPr>
          <w:rFonts w:eastAsia="Times New Roman"/>
        </w:rPr>
        <w:t xml:space="preserve"> (including school rehabilitation and building the </w:t>
      </w:r>
      <w:proofErr w:type="spellStart"/>
      <w:r w:rsidRPr="004233C0">
        <w:rPr>
          <w:rFonts w:eastAsia="Times New Roman"/>
        </w:rPr>
        <w:t>Te</w:t>
      </w:r>
      <w:proofErr w:type="spellEnd"/>
      <w:r w:rsidRPr="004233C0">
        <w:rPr>
          <w:rFonts w:eastAsia="Times New Roman"/>
        </w:rPr>
        <w:t xml:space="preserve"> Toa </w:t>
      </w:r>
      <w:proofErr w:type="spellStart"/>
      <w:r w:rsidRPr="004233C0">
        <w:rPr>
          <w:rFonts w:eastAsia="Times New Roman"/>
        </w:rPr>
        <w:t>Matoa</w:t>
      </w:r>
      <w:proofErr w:type="spellEnd"/>
      <w:r w:rsidRPr="004233C0">
        <w:rPr>
          <w:rFonts w:eastAsia="Times New Roman"/>
        </w:rPr>
        <w:t xml:space="preserve"> centre for disabled people) account for climate change impacts (including the possibility of inundation), and seek to mitigate climate change impacts (for example, installing solar panels at the KIT).</w:t>
      </w:r>
    </w:p>
    <w:p w:rsidR="004233C0" w:rsidRPr="004233C0" w:rsidRDefault="004233C0" w:rsidP="004233C0">
      <w:pPr>
        <w:spacing w:after="120"/>
        <w:rPr>
          <w:rFonts w:eastAsia="Times New Roman"/>
        </w:rPr>
      </w:pPr>
      <w:r w:rsidRPr="004233C0">
        <w:rPr>
          <w:rFonts w:eastAsia="Times New Roman"/>
        </w:rPr>
        <w:t xml:space="preserve">The governments of Australia and Kiribati have committed to a zero-tolerance approach to fraudulent and corrupt actions against Australia’s aid program to Kiribati. In 2018-19, </w:t>
      </w:r>
      <w:r w:rsidR="00036CB7">
        <w:rPr>
          <w:rFonts w:eastAsia="Times New Roman"/>
        </w:rPr>
        <w:t>Australia</w:t>
      </w:r>
      <w:r w:rsidRPr="004233C0">
        <w:rPr>
          <w:rFonts w:eastAsia="Times New Roman"/>
        </w:rPr>
        <w:t xml:space="preserve"> supported the development of financial and procurement guidelines for the Ministry of Education and the Ministry o</w:t>
      </w:r>
      <w:r w:rsidR="00036CB7">
        <w:rPr>
          <w:rFonts w:eastAsia="Times New Roman"/>
        </w:rPr>
        <w:t xml:space="preserve">f Health and Medical Services. </w:t>
      </w:r>
      <w:r w:rsidRPr="004233C0">
        <w:rPr>
          <w:rFonts w:eastAsia="Times New Roman"/>
        </w:rPr>
        <w:t>These guidelines will enhance the recording and reporting of aid expenditure.</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036CB7" w:rsidRPr="00036CB7" w:rsidRDefault="00036CB7" w:rsidP="00036CB7">
      <w:pPr>
        <w:spacing w:after="120"/>
      </w:pPr>
      <w:r w:rsidRPr="00036CB7">
        <w:t>Aid Quality Checks (AQC) ratings across all Kiribati investments were satisfactory and largely consistent with previous years (see Annex D).</w:t>
      </w:r>
      <w:r>
        <w:t xml:space="preserve"> It should be noted that results are not directly comparable between 2018 and 2019 given the rationalisation of criterion from six to </w:t>
      </w:r>
      <w:r w:rsidRPr="00036CB7">
        <w:t>three</w:t>
      </w:r>
      <w:r>
        <w:t>, with assessment of relevance, sustainability and monitoring and evaluation now included in the assessment of other</w:t>
      </w:r>
      <w:r w:rsidRPr="00036CB7">
        <w:t xml:space="preserve"> criteria </w:t>
      </w:r>
      <w:r>
        <w:t>(e</w:t>
      </w:r>
      <w:r w:rsidRPr="00036CB7">
        <w:t xml:space="preserve">ffectiveness, </w:t>
      </w:r>
      <w:r>
        <w:t>e</w:t>
      </w:r>
      <w:r w:rsidRPr="00036CB7">
        <w:t xml:space="preserve">fficiency and </w:t>
      </w:r>
      <w:r>
        <w:t>g</w:t>
      </w:r>
      <w:r w:rsidRPr="00036CB7">
        <w:t>ender equality</w:t>
      </w:r>
      <w:r>
        <w:t xml:space="preserve">). </w:t>
      </w:r>
    </w:p>
    <w:p w:rsidR="00036CB7" w:rsidRPr="00036CB7" w:rsidRDefault="00036CB7" w:rsidP="00036CB7">
      <w:pPr>
        <w:spacing w:after="120"/>
      </w:pPr>
      <w:r w:rsidRPr="00036CB7">
        <w:t xml:space="preserve">Ratings for the effectiveness and efficiency of Australia’s investment in basic </w:t>
      </w:r>
      <w:r>
        <w:t>education were downgraded from ‘</w:t>
      </w:r>
      <w:r w:rsidRPr="00036CB7">
        <w:t>Go</w:t>
      </w:r>
      <w:r>
        <w:t>od’ to ‘Adequate’ in 2018-19. T</w:t>
      </w:r>
      <w:r w:rsidRPr="00036CB7">
        <w:t xml:space="preserve">his reflected an independent evaluation that </w:t>
      </w:r>
      <w:r w:rsidR="007F32CC">
        <w:t>outcomes were</w:t>
      </w:r>
      <w:r w:rsidRPr="00036CB7">
        <w:t xml:space="preserve"> mixed</w:t>
      </w:r>
      <w:r>
        <w:t xml:space="preserve">, however </w:t>
      </w:r>
      <w:r w:rsidR="007F32CC">
        <w:t xml:space="preserve">given contextual challenges, </w:t>
      </w:r>
      <w:r>
        <w:t>progress continues to be</w:t>
      </w:r>
      <w:r w:rsidR="007F32CC">
        <w:t xml:space="preserve"> mostly</w:t>
      </w:r>
      <w:r>
        <w:t xml:space="preserve"> </w:t>
      </w:r>
      <w:r w:rsidR="007F32CC">
        <w:t>in line with expectations</w:t>
      </w:r>
      <w:r>
        <w:t xml:space="preserve">. </w:t>
      </w:r>
      <w:r w:rsidRPr="00036CB7">
        <w:t xml:space="preserve">The program design for the next phase of </w:t>
      </w:r>
      <w:r>
        <w:t>the</w:t>
      </w:r>
      <w:r w:rsidRPr="00036CB7">
        <w:t xml:space="preserve"> investment will </w:t>
      </w:r>
      <w:r>
        <w:t>address the challenges identified in the evaluation</w:t>
      </w:r>
      <w:r w:rsidRPr="00036CB7">
        <w:t>.</w:t>
      </w:r>
      <w:r>
        <w:t xml:space="preserve"> </w:t>
      </w:r>
    </w:p>
    <w:p w:rsidR="00036CB7" w:rsidRPr="00036CB7" w:rsidRDefault="00036CB7" w:rsidP="00036CB7">
      <w:pPr>
        <w:spacing w:after="120"/>
      </w:pPr>
      <w:r w:rsidRPr="00036CB7">
        <w:t>Ratings for the effectiveness and efficiency of the Kiribati Facility</w:t>
      </w:r>
      <w:r>
        <w:t xml:space="preserve"> increased in 2018-19, from ‘Adequate’ to ‘Good’. </w:t>
      </w:r>
      <w:r w:rsidRPr="00036CB7">
        <w:t>This reflected good progress against three of the</w:t>
      </w:r>
      <w:r>
        <w:t xml:space="preserve"> four end of program outcomes. </w:t>
      </w:r>
      <w:r w:rsidRPr="00036CB7">
        <w:t>Participation in skills for employment programs increased: enrolments increased; the proportion of females enrolling increased; course withdrawals decreased; and enrolments by people from disadvantaged groups increased.  Graduates from KIT en</w:t>
      </w:r>
      <w:r>
        <w:t xml:space="preserve">joyed good employment records. </w:t>
      </w:r>
      <w:r w:rsidRPr="00036CB7">
        <w:t>KIT has obtained regional accreditation as a post-secondary educ</w:t>
      </w:r>
      <w:r>
        <w:t>ation and training institution.</w:t>
      </w:r>
      <w:r w:rsidRPr="00036CB7">
        <w:t xml:space="preserve"> The Facility will increase </w:t>
      </w:r>
      <w:r w:rsidR="007F32CC">
        <w:t>its</w:t>
      </w:r>
      <w:r w:rsidR="007F32CC" w:rsidRPr="00036CB7">
        <w:t xml:space="preserve"> </w:t>
      </w:r>
      <w:r w:rsidRPr="00036CB7">
        <w:t>focus on strengthening management and coordination of the skills and employment sector based on recommendations from the mid-term review</w:t>
      </w:r>
      <w:r>
        <w:t xml:space="preserve"> (forthcoming)</w:t>
      </w:r>
      <w:r w:rsidRPr="00036CB7">
        <w:t>.</w:t>
      </w:r>
    </w:p>
    <w:p w:rsidR="00036CB7" w:rsidRPr="00036CB7" w:rsidRDefault="00036CB7" w:rsidP="00036CB7">
      <w:pPr>
        <w:spacing w:after="120"/>
      </w:pPr>
      <w:r w:rsidRPr="00036CB7">
        <w:t>Ratings for the effectiveness and efficiency of the Kiribati Infrastructure program also</w:t>
      </w:r>
      <w:r>
        <w:t xml:space="preserve"> increased in 2018-19, from ‘Adequate’ to ‘Good’. </w:t>
      </w:r>
      <w:r w:rsidRPr="00036CB7">
        <w:t>The Kiribati Road Rehabilitation Project (KRRP) concluded in 2018 and the South Tarawa Sanitation Improvement Support Proje</w:t>
      </w:r>
      <w:r>
        <w:t xml:space="preserve">ct (STSISP) concludes in 2019. </w:t>
      </w:r>
      <w:r w:rsidRPr="00036CB7">
        <w:t xml:space="preserve">For KRRP, the major outstanding issue </w:t>
      </w:r>
      <w:r>
        <w:t>is</w:t>
      </w:r>
      <w:r w:rsidRPr="00036CB7">
        <w:t xml:space="preserve"> ongoing road maintenance</w:t>
      </w:r>
      <w:r>
        <w:t xml:space="preserve">. </w:t>
      </w:r>
      <w:r w:rsidRPr="00036CB7">
        <w:t xml:space="preserve">The </w:t>
      </w:r>
      <w:proofErr w:type="spellStart"/>
      <w:r>
        <w:t>GoK</w:t>
      </w:r>
      <w:proofErr w:type="spellEnd"/>
      <w:r w:rsidRPr="00036CB7">
        <w:t xml:space="preserve"> endorsed an Asset Management Plan that increases budget allocations for asset maintenance, from $500,000 in 2017 to $1.27 million in 2018, $2.23 million in 2019 and $6 million in 2020</w:t>
      </w:r>
      <w:r w:rsidR="00C75CFE">
        <w:t xml:space="preserve">. </w:t>
      </w:r>
      <w:r w:rsidRPr="00036CB7">
        <w:t>Construction work on STSISP successfully concluded in early-2019, with defect liability inspections to be co</w:t>
      </w:r>
      <w:r w:rsidR="00C75CFE">
        <w:t xml:space="preserve">mpleted early in 2019-20. </w:t>
      </w:r>
      <w:r w:rsidRPr="00036CB7">
        <w:t xml:space="preserve">Community engagement efforts concluded in July 2019, and have contributed to sanitation behaviour changes and a reduction in waterborne diseases.  Australia’s infrastructure investment will be subject to </w:t>
      </w:r>
      <w:r w:rsidR="00C75CFE">
        <w:t xml:space="preserve">a Final </w:t>
      </w:r>
      <w:r w:rsidRPr="00036CB7">
        <w:t>AQC in 2019-20.</w:t>
      </w:r>
    </w:p>
    <w:p w:rsidR="00036CB7" w:rsidRPr="00036CB7" w:rsidRDefault="00036CB7" w:rsidP="00036CB7">
      <w:pPr>
        <w:spacing w:after="120"/>
        <w:rPr>
          <w:highlight w:val="yellow"/>
        </w:rPr>
      </w:pPr>
      <w:r w:rsidRPr="00036CB7">
        <w:t>Gender ratings improved in 2018-19 for our Kiribati Facility, Kiribati infrastructure, and Growth and economic management investments</w:t>
      </w:r>
      <w:r w:rsidR="00C75CFE">
        <w:t>. This is a key achievement, with 100 per cent of Australia’s programs now rated ‘satisfactory’ for gender as compared to 50 per cent (2 out of 4) in 2018</w:t>
      </w:r>
      <w:r w:rsidRPr="00036CB7">
        <w:t>.</w:t>
      </w:r>
      <w:r w:rsidR="00C75CFE">
        <w:t xml:space="preserve"> Australia’s program in </w:t>
      </w:r>
      <w:r w:rsidR="00C75CFE">
        <w:lastRenderedPageBreak/>
        <w:t xml:space="preserve">Kiribati now meets the performance target for gender across the Australian aid program (80 per cent of investments satisfactory or above). </w:t>
      </w:r>
      <w:r w:rsidRPr="00036CB7">
        <w:t>The Kiribati Facility met its target of increasing women’s participation in traditional and non-traditional trades and ensuring KIT’s infrastructure is ge</w:t>
      </w:r>
      <w:r w:rsidR="00C75CFE">
        <w:t xml:space="preserve">nder and disability-inclusive. </w:t>
      </w:r>
      <w:r w:rsidRPr="00036CB7">
        <w:t xml:space="preserve">KIT established on its </w:t>
      </w:r>
      <w:proofErr w:type="spellStart"/>
      <w:r w:rsidRPr="00036CB7">
        <w:t>Betio</w:t>
      </w:r>
      <w:proofErr w:type="spellEnd"/>
      <w:r w:rsidRPr="00036CB7">
        <w:t xml:space="preserve"> campus a Parents’ Room, a Student Support Office and a Sexual Health and Wel</w:t>
      </w:r>
      <w:r w:rsidR="00C75CFE">
        <w:t xml:space="preserve">lbeing Clinic during the year. </w:t>
      </w:r>
      <w:r w:rsidRPr="00036CB7">
        <w:t xml:space="preserve">The focus of our Infrastructure investments shifted to community outreach in 2018-19, which engaged women’s groups across South Tarawa to deliver sanitation and hygiene training.  Gender equality was mainstreamed in the National Economic Planning Office, which now comprises 70 per cent female employees.  </w:t>
      </w:r>
    </w:p>
    <w:p w:rsidR="005B5769" w:rsidRPr="00036CB7" w:rsidRDefault="00036CB7" w:rsidP="00036CB7">
      <w:pPr>
        <w:spacing w:after="120"/>
      </w:pPr>
      <w:r w:rsidRPr="00036CB7">
        <w:t>Gender ratings were unchanged in 2018-19 for our educati</w:t>
      </w:r>
      <w:r w:rsidR="00C75CFE">
        <w:t xml:space="preserve">on and disability investments. </w:t>
      </w:r>
      <w:r w:rsidRPr="00036CB7">
        <w:t>The Kiribati Education Improvement Program continues to strengthen the gender equality components of school curricula, teaching materials and teachers’ professional development, and improving the safety and accessibility of school infrastructure for girls</w:t>
      </w:r>
      <w:r w:rsidR="00C75CFE">
        <w:t>. Australia’s</w:t>
      </w:r>
      <w:r w:rsidRPr="00036CB7">
        <w:t xml:space="preserve"> disability </w:t>
      </w:r>
      <w:r w:rsidR="00C75CFE">
        <w:t>programs</w:t>
      </w:r>
      <w:r w:rsidRPr="00036CB7">
        <w:t xml:space="preserve"> are gender informed, including in infrastructure development, program design and implementation.</w:t>
      </w:r>
    </w:p>
    <w:p w:rsidR="005B5769" w:rsidRPr="00015316" w:rsidRDefault="005B5769" w:rsidP="00BB648A">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C75CFE" w:rsidRPr="0078075A" w:rsidRDefault="004709A6" w:rsidP="00C75CFE">
      <w:pPr>
        <w:spacing w:after="120"/>
      </w:pPr>
      <w:r>
        <w:t xml:space="preserve">Australia’s development of a new Aid Investment Plan (AIP) is an opportunity to reconfirm </w:t>
      </w:r>
      <w:r w:rsidR="005151FD">
        <w:t>aid program</w:t>
      </w:r>
      <w:r>
        <w:t xml:space="preserve"> priorities for Australia and Kiribati’s partnership</w:t>
      </w:r>
      <w:r w:rsidR="005151FD">
        <w:t xml:space="preserve"> and strengthen the alignment of performance benchmarks</w:t>
      </w:r>
      <w:r>
        <w:t xml:space="preserve">. In addition, </w:t>
      </w:r>
      <w:r w:rsidR="00C75CFE" w:rsidRPr="00C75CFE">
        <w:t xml:space="preserve">Australia will take the following management actions to increase the effectiveness of Australian aid to </w:t>
      </w:r>
      <w:r w:rsidR="00C75CFE" w:rsidRPr="0078075A">
        <w:t>Kiribati in 2019-20:</w:t>
      </w:r>
    </w:p>
    <w:p w:rsidR="00C75CFE" w:rsidRPr="00506B01" w:rsidRDefault="00506B01" w:rsidP="005B3541">
      <w:pPr>
        <w:pStyle w:val="Bullet1"/>
      </w:pPr>
      <w:r w:rsidRPr="00506B01">
        <w:t xml:space="preserve">Articulate Australia’s role and contribution to </w:t>
      </w:r>
      <w:proofErr w:type="spellStart"/>
      <w:r w:rsidRPr="00506B01">
        <w:t>GoK</w:t>
      </w:r>
      <w:proofErr w:type="spellEnd"/>
      <w:r w:rsidRPr="00506B01">
        <w:t xml:space="preserve"> financial reform through the new Aid Investment Plan, including Australia’s comparative advantage in implementing</w:t>
      </w:r>
      <w:r w:rsidR="005B3541" w:rsidRPr="00506B01">
        <w:t xml:space="preserve"> gender, disability inclusion and social incl</w:t>
      </w:r>
      <w:r w:rsidR="002D5FB5" w:rsidRPr="00506B01">
        <w:t>usion considerations</w:t>
      </w:r>
      <w:r w:rsidR="005B3541" w:rsidRPr="00506B01">
        <w:t xml:space="preserve">. </w:t>
      </w:r>
      <w:r w:rsidR="00C75CFE" w:rsidRPr="00506B01">
        <w:t xml:space="preserve"> </w:t>
      </w:r>
    </w:p>
    <w:p w:rsidR="0078075A" w:rsidRDefault="00C75CFE" w:rsidP="00C75CFE">
      <w:pPr>
        <w:pStyle w:val="Bullet1"/>
      </w:pPr>
      <w:r w:rsidRPr="0078075A">
        <w:t>Maintain</w:t>
      </w:r>
      <w:r w:rsidR="007F32CC">
        <w:t xml:space="preserve"> and strengthen</w:t>
      </w:r>
      <w:r w:rsidRPr="0078075A">
        <w:t xml:space="preserve"> regular strategic dialogue with </w:t>
      </w:r>
      <w:r w:rsidR="007F32CC">
        <w:t xml:space="preserve">relevant </w:t>
      </w:r>
      <w:proofErr w:type="spellStart"/>
      <w:r w:rsidR="007F32CC">
        <w:t>GoK</w:t>
      </w:r>
      <w:proofErr w:type="spellEnd"/>
      <w:r w:rsidR="007F32CC">
        <w:t xml:space="preserve"> stakeholders</w:t>
      </w:r>
      <w:r w:rsidR="00551060">
        <w:t>,</w:t>
      </w:r>
      <w:r w:rsidR="007F32CC">
        <w:t xml:space="preserve"> including </w:t>
      </w:r>
      <w:r w:rsidR="00551060">
        <w:t xml:space="preserve">to promote maintenance of major Kiribati Infrastructure. </w:t>
      </w:r>
    </w:p>
    <w:p w:rsidR="0078075A" w:rsidRPr="0078075A" w:rsidRDefault="0078075A" w:rsidP="00EA5E62">
      <w:pPr>
        <w:pStyle w:val="Bullet1"/>
      </w:pPr>
      <w:r>
        <w:t>Work to address limited progress in broader learning outcomes in primary and secondary education</w:t>
      </w:r>
      <w:r w:rsidR="00551060">
        <w:t>.</w:t>
      </w:r>
      <w:r>
        <w:t xml:space="preserve"> </w:t>
      </w:r>
    </w:p>
    <w:p w:rsidR="00C75CFE" w:rsidRPr="0078075A" w:rsidRDefault="00F918A4" w:rsidP="00C75CFE">
      <w:pPr>
        <w:pStyle w:val="Bullet1"/>
      </w:pPr>
      <w:r>
        <w:t xml:space="preserve">Undertake targeted work across all investments to </w:t>
      </w:r>
      <w:r w:rsidR="007B2338">
        <w:t xml:space="preserve">strengthen </w:t>
      </w:r>
      <w:r>
        <w:t>gender outcomes</w:t>
      </w:r>
      <w:r w:rsidR="007B2338">
        <w:t xml:space="preserve"> and</w:t>
      </w:r>
      <w:r w:rsidR="007B2338" w:rsidRPr="007B2338">
        <w:t xml:space="preserve"> </w:t>
      </w:r>
      <w:r w:rsidR="007B2338">
        <w:t>collect gender- and disability-</w:t>
      </w:r>
      <w:r w:rsidR="007B2338" w:rsidRPr="0078075A">
        <w:t>disaggregated data</w:t>
      </w:r>
      <w:r>
        <w:t xml:space="preserve">. </w:t>
      </w:r>
    </w:p>
    <w:p w:rsidR="00C75CFE" w:rsidRPr="0078075A" w:rsidRDefault="00C75CFE" w:rsidP="00C75CFE">
      <w:pPr>
        <w:pStyle w:val="Bullet1"/>
      </w:pPr>
      <w:r w:rsidRPr="0078075A">
        <w:t>Continue to integrate climate change across the bilateral program, including through new designs.</w:t>
      </w:r>
    </w:p>
    <w:p w:rsidR="00015316" w:rsidRDefault="00015316" w:rsidP="005B5769">
      <w:pPr>
        <w:pStyle w:val="ListBullet"/>
        <w:tabs>
          <w:tab w:val="clear" w:pos="284"/>
        </w:tabs>
      </w:pPr>
    </w:p>
    <w:p w:rsidR="00D00802" w:rsidRDefault="00D00802" w:rsidP="005B5769">
      <w:pPr>
        <w:pStyle w:val="ListBullet"/>
        <w:tabs>
          <w:tab w:val="clear" w:pos="284"/>
        </w:tabs>
        <w:sectPr w:rsidR="00D00802" w:rsidSect="00D2653F">
          <w:headerReference w:type="default" r:id="rId24"/>
          <w:footerReference w:type="default" r:id="rId25"/>
          <w:pgSz w:w="11906" w:h="16838" w:code="9"/>
          <w:pgMar w:top="1811" w:right="1134" w:bottom="851" w:left="1134" w:header="1565" w:footer="342" w:gutter="0"/>
          <w:cols w:space="397"/>
          <w:docGrid w:linePitch="360"/>
        </w:sectPr>
      </w:pPr>
    </w:p>
    <w:p w:rsidR="00AF1B85" w:rsidRPr="00B7018A" w:rsidRDefault="00AF1B85" w:rsidP="00B701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A - Progress in Addressing Management Responses</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1"/>
        <w:gridCol w:w="1179"/>
        <w:gridCol w:w="6733"/>
      </w:tblGrid>
      <w:tr w:rsidR="00AF1B85" w:rsidRPr="00812509" w:rsidTr="00B7018A">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5D57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sidR="005D5723">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AF1B85" w:rsidP="005D5723">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D5723">
              <w:rPr>
                <w:rFonts w:asciiTheme="minorHAnsi" w:eastAsia="Times New Roman" w:hAnsiTheme="minorHAnsi"/>
                <w:b/>
                <w:iCs/>
                <w:szCs w:val="17"/>
                <w:lang w:eastAsia="en-US"/>
              </w:rPr>
              <w:t>8-19</w:t>
            </w:r>
          </w:p>
        </w:tc>
      </w:tr>
      <w:tr w:rsidR="00AF1B85" w:rsidRPr="00812509" w:rsidTr="00B7018A">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918A4" w:rsidP="00D15A00">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Maintain regular, open dialogue on the macroeconomic policy framework and risks to Kiribati’s future fiscal sustainability with the Kiribati Economic Taskforce.</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F918A4" w:rsidRDefault="00F918A4" w:rsidP="00D15A00">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Australia participated in Economic Reform Taskforce meetings throughout 2018-19, and paid its budget support contribution based on achievement of reform milestones at the end of 2018.  The Australian-funded Director of the National Economic Planning Office continues to play a critical role in delivering these reforms.</w:t>
            </w:r>
          </w:p>
        </w:tc>
      </w:tr>
      <w:tr w:rsidR="00AF1B85" w:rsidRPr="00812509" w:rsidTr="00B7018A">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918A4" w:rsidP="00D15A00">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Monitor the Ministry of Education’s effectiveness in maintaining school facilities following a survey to assess and prioritise maintenance requirements.</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F918A4" w:rsidRDefault="00F918A4" w:rsidP="00D15A00">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 xml:space="preserve">Australia’s infrastructure team, along with </w:t>
            </w:r>
            <w:proofErr w:type="spellStart"/>
            <w:r w:rsidRPr="00F918A4">
              <w:rPr>
                <w:rFonts w:asciiTheme="minorHAnsi" w:eastAsia="Times New Roman" w:hAnsiTheme="minorHAnsi"/>
                <w:iCs/>
                <w:szCs w:val="17"/>
                <w:lang w:eastAsia="en-US"/>
              </w:rPr>
              <w:t>GoK</w:t>
            </w:r>
            <w:proofErr w:type="spellEnd"/>
            <w:r w:rsidRPr="00F918A4">
              <w:rPr>
                <w:rFonts w:asciiTheme="minorHAnsi" w:eastAsia="Times New Roman" w:hAnsiTheme="minorHAnsi"/>
                <w:iCs/>
                <w:szCs w:val="17"/>
                <w:lang w:eastAsia="en-US"/>
              </w:rPr>
              <w:t xml:space="preserve"> counterparts, undertook a Repair and Maintenance Survey in 2018 which examined 28 schools on nine islands (18 of which were built with Australian aid funds during phases I and II of KEIP). Based on this survey a costed, prioritised maintenance plan was developed. The 2019 national budget provided budget for school maintenance. Australia will continue to work with school communities to care for refurbished school buildings and engage with </w:t>
            </w:r>
            <w:proofErr w:type="spellStart"/>
            <w:r w:rsidRPr="00F918A4">
              <w:rPr>
                <w:rFonts w:asciiTheme="minorHAnsi" w:eastAsia="Times New Roman" w:hAnsiTheme="minorHAnsi"/>
                <w:iCs/>
                <w:szCs w:val="17"/>
                <w:lang w:eastAsia="en-US"/>
              </w:rPr>
              <w:t>GoK</w:t>
            </w:r>
            <w:proofErr w:type="spellEnd"/>
            <w:r w:rsidRPr="00F918A4">
              <w:rPr>
                <w:rFonts w:asciiTheme="minorHAnsi" w:eastAsia="Times New Roman" w:hAnsiTheme="minorHAnsi"/>
                <w:iCs/>
                <w:szCs w:val="17"/>
                <w:lang w:eastAsia="en-US"/>
              </w:rPr>
              <w:t xml:space="preserve"> to develop a clear, realistic </w:t>
            </w:r>
            <w:proofErr w:type="spellStart"/>
            <w:r w:rsidRPr="00F918A4">
              <w:rPr>
                <w:rFonts w:asciiTheme="minorHAnsi" w:eastAsia="Times New Roman" w:hAnsiTheme="minorHAnsi"/>
                <w:iCs/>
                <w:szCs w:val="17"/>
                <w:lang w:eastAsia="en-US"/>
              </w:rPr>
              <w:t>GoK</w:t>
            </w:r>
            <w:proofErr w:type="spellEnd"/>
            <w:r w:rsidRPr="00F918A4">
              <w:rPr>
                <w:rFonts w:asciiTheme="minorHAnsi" w:eastAsia="Times New Roman" w:hAnsiTheme="minorHAnsi"/>
                <w:iCs/>
                <w:szCs w:val="17"/>
                <w:lang w:eastAsia="en-US"/>
              </w:rPr>
              <w:t xml:space="preserve"> maintenance policy for new builds, as recommended in the 2018 KEIP evaluation.</w:t>
            </w:r>
          </w:p>
        </w:tc>
      </w:tr>
      <w:tr w:rsidR="00AF1B85" w:rsidRPr="00812509" w:rsidTr="00B7018A">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812509" w:rsidRDefault="00F918A4" w:rsidP="00D15A00">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Evaluate the results of the 2018 Pacific Islands Literacy and Numeracy Assessment (PILNA), along with national literacy and numeracy tests, to help inform the extent to which Australia’s investments in primary and secondary education are improving learning outcomes.</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F1B85" w:rsidRPr="00F918A4" w:rsidRDefault="00F918A4" w:rsidP="00D15A00">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The 2018 independent evaluation of the Kiribati Education Improvement Program analysed Standardised Test of Achievement in Kiribati (</w:t>
            </w:r>
            <w:proofErr w:type="spellStart"/>
            <w:r w:rsidRPr="00F918A4">
              <w:rPr>
                <w:rFonts w:asciiTheme="minorHAnsi" w:eastAsia="Times New Roman" w:hAnsiTheme="minorHAnsi"/>
                <w:iCs/>
                <w:szCs w:val="17"/>
                <w:lang w:eastAsia="en-US"/>
              </w:rPr>
              <w:t>STAKi</w:t>
            </w:r>
            <w:proofErr w:type="spellEnd"/>
            <w:r w:rsidRPr="00F918A4">
              <w:rPr>
                <w:rFonts w:asciiTheme="minorHAnsi" w:eastAsia="Times New Roman" w:hAnsiTheme="minorHAnsi"/>
                <w:iCs/>
                <w:szCs w:val="17"/>
                <w:lang w:eastAsia="en-US"/>
              </w:rPr>
              <w:t xml:space="preserve">) results and found improvements in literacy and numeracy of Year 4 and Year 6 students by 2018, but performance by Year 8 students declined compared to 2017 results. An analysis of longer term </w:t>
            </w:r>
            <w:proofErr w:type="spellStart"/>
            <w:r w:rsidRPr="00F918A4">
              <w:rPr>
                <w:rFonts w:asciiTheme="minorHAnsi" w:eastAsia="Times New Roman" w:hAnsiTheme="minorHAnsi"/>
                <w:iCs/>
                <w:szCs w:val="17"/>
                <w:lang w:eastAsia="en-US"/>
              </w:rPr>
              <w:t>STAKi</w:t>
            </w:r>
            <w:proofErr w:type="spellEnd"/>
            <w:r w:rsidRPr="00F918A4">
              <w:rPr>
                <w:rFonts w:asciiTheme="minorHAnsi" w:eastAsia="Times New Roman" w:hAnsiTheme="minorHAnsi"/>
                <w:iCs/>
                <w:szCs w:val="17"/>
                <w:lang w:eastAsia="en-US"/>
              </w:rPr>
              <w:t xml:space="preserve"> trends since 2013 shows learning outcomes are not yet showing consistent upward trends. The evaluation also found that girls outperformed boys in standardised tests; and that no standard methodology was being used to identify students with disabilities or disaggregate education data by disability. The PILNA 2018 report was published in July 2019 so was not available for analysis over this period.</w:t>
            </w:r>
          </w:p>
        </w:tc>
      </w:tr>
      <w:tr w:rsidR="00B7018A" w:rsidRPr="00812509" w:rsidTr="00172E23">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7018A" w:rsidRPr="00812509" w:rsidRDefault="00B7018A" w:rsidP="00B7018A">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Work with the Government of Kiribati to develop a plan to expand KIT’s facilities.</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tcPr>
          <w:p w:rsidR="00B7018A" w:rsidRPr="00812509" w:rsidRDefault="00B7018A" w:rsidP="00B7018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7018A" w:rsidRPr="00F918A4" w:rsidRDefault="00B7018A" w:rsidP="00EA5E62">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 xml:space="preserve">Australia </w:t>
            </w:r>
            <w:r w:rsidR="007B2338">
              <w:rPr>
                <w:rFonts w:asciiTheme="minorHAnsi" w:eastAsia="Times New Roman" w:hAnsiTheme="minorHAnsi"/>
                <w:iCs/>
                <w:szCs w:val="17"/>
                <w:lang w:eastAsia="en-US"/>
              </w:rPr>
              <w:t>agreed to</w:t>
            </w:r>
            <w:r w:rsidR="007B2338" w:rsidRPr="00F918A4">
              <w:rPr>
                <w:rFonts w:asciiTheme="minorHAnsi" w:eastAsia="Times New Roman" w:hAnsiTheme="minorHAnsi"/>
                <w:iCs/>
                <w:szCs w:val="17"/>
                <w:lang w:eastAsia="en-US"/>
              </w:rPr>
              <w:t xml:space="preserve"> </w:t>
            </w:r>
            <w:r w:rsidRPr="00F918A4">
              <w:rPr>
                <w:rFonts w:asciiTheme="minorHAnsi" w:eastAsia="Times New Roman" w:hAnsiTheme="minorHAnsi"/>
                <w:iCs/>
                <w:szCs w:val="17"/>
                <w:lang w:eastAsia="en-US"/>
              </w:rPr>
              <w:t>support the expansion of KIT’s infrastructure through a co-funding arrangement with New Zealand.</w:t>
            </w:r>
          </w:p>
        </w:tc>
      </w:tr>
      <w:tr w:rsidR="00B7018A" w:rsidRPr="00812509" w:rsidTr="00B7018A">
        <w:trPr>
          <w:cnfStyle w:val="000000010000" w:firstRow="0" w:lastRow="0" w:firstColumn="0" w:lastColumn="0" w:oddVBand="0" w:evenVBand="0" w:oddHBand="0" w:evenHBand="1" w:firstRowFirstColumn="0" w:firstRowLastColumn="0" w:lastRowFirstColumn="0" w:lastRowLastColumn="0"/>
        </w:trPr>
        <w:tc>
          <w:tcPr>
            <w:tcW w:w="627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7018A" w:rsidRPr="00812509" w:rsidRDefault="00B7018A" w:rsidP="00B7018A">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 xml:space="preserve">Monitor the implementation of actions to improve the gender ratings across key priority investments including the </w:t>
            </w:r>
            <w:r w:rsidRPr="00F918A4">
              <w:rPr>
                <w:rFonts w:asciiTheme="minorHAnsi" w:eastAsia="Times New Roman" w:hAnsiTheme="minorHAnsi"/>
                <w:i/>
                <w:iCs/>
                <w:szCs w:val="17"/>
                <w:lang w:eastAsia="en-US"/>
              </w:rPr>
              <w:t>Kiribati Education Improvement Program</w:t>
            </w:r>
            <w:r w:rsidRPr="00F918A4">
              <w:rPr>
                <w:rFonts w:asciiTheme="minorHAnsi" w:eastAsia="Times New Roman" w:hAnsiTheme="minorHAnsi"/>
                <w:iCs/>
                <w:szCs w:val="17"/>
                <w:lang w:eastAsia="en-US"/>
              </w:rPr>
              <w:t xml:space="preserve">, the </w:t>
            </w:r>
            <w:r w:rsidRPr="00F918A4">
              <w:rPr>
                <w:rFonts w:asciiTheme="minorHAnsi" w:eastAsia="Times New Roman" w:hAnsiTheme="minorHAnsi"/>
                <w:i/>
                <w:iCs/>
                <w:szCs w:val="17"/>
                <w:lang w:eastAsia="en-US"/>
              </w:rPr>
              <w:t xml:space="preserve">Skills for Employment Program </w:t>
            </w:r>
            <w:r w:rsidRPr="00F918A4">
              <w:rPr>
                <w:rFonts w:asciiTheme="minorHAnsi" w:eastAsia="Times New Roman" w:hAnsiTheme="minorHAnsi"/>
                <w:iCs/>
                <w:szCs w:val="17"/>
                <w:lang w:eastAsia="en-US"/>
              </w:rPr>
              <w:t xml:space="preserve">and the </w:t>
            </w:r>
            <w:r w:rsidRPr="00F918A4">
              <w:rPr>
                <w:rFonts w:asciiTheme="minorHAnsi" w:eastAsia="Times New Roman" w:hAnsiTheme="minorHAnsi"/>
                <w:i/>
                <w:iCs/>
                <w:szCs w:val="17"/>
                <w:lang w:eastAsia="en-US"/>
              </w:rPr>
              <w:t>Kiribati Health Program.</w:t>
            </w:r>
          </w:p>
        </w:tc>
        <w:tc>
          <w:tcPr>
            <w:tcW w:w="115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cPr>
          <w:p w:rsidR="00B7018A" w:rsidRPr="00812509" w:rsidRDefault="00B7018A" w:rsidP="00B7018A">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7018A" w:rsidRPr="00F918A4" w:rsidRDefault="00B7018A" w:rsidP="00B7018A">
            <w:pPr>
              <w:keepLines/>
              <w:spacing w:before="40" w:after="40" w:line="200" w:lineRule="atLeast"/>
              <w:rPr>
                <w:rFonts w:asciiTheme="minorHAnsi" w:eastAsia="Times New Roman" w:hAnsiTheme="minorHAnsi"/>
                <w:iCs/>
                <w:szCs w:val="17"/>
                <w:lang w:eastAsia="en-US"/>
              </w:rPr>
            </w:pPr>
            <w:r w:rsidRPr="00F918A4">
              <w:rPr>
                <w:rFonts w:asciiTheme="minorHAnsi" w:eastAsia="Times New Roman" w:hAnsiTheme="minorHAnsi"/>
                <w:iCs/>
                <w:szCs w:val="17"/>
                <w:lang w:eastAsia="en-US"/>
              </w:rPr>
              <w:t>Actions implemented to improve gender equality ratings for investments in Growth and economic management; Kiribati infrastructure; and the Kiribati Facility. Action is partly achieved as education investment saw more limited improvement, maintaining an ‘adequate’ rating. Scope to continue upward trend with all investments rated ‘adequate’, except Kiribati Facility which was rated ‘good’.</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26"/>
          <w:pgSz w:w="16838" w:h="11906" w:orient="landscape" w:code="9"/>
          <w:pgMar w:top="1134" w:right="1952" w:bottom="1134" w:left="851" w:header="1107" w:footer="567" w:gutter="0"/>
          <w:cols w:space="397"/>
          <w:titlePg/>
          <w:docGrid w:linePitch="360"/>
        </w:sectPr>
      </w:pPr>
    </w:p>
    <w:p w:rsidR="00184F1E" w:rsidRPr="00EF26B5" w:rsidRDefault="00184F1E"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lastRenderedPageBreak/>
        <w:t>Annex B – PERFORMANCE BENCHMARKS</w:t>
      </w:r>
    </w:p>
    <w:p w:rsidR="00184F1E" w:rsidRPr="00F8189A" w:rsidRDefault="00F8189A" w:rsidP="00184F1E">
      <w:pPr>
        <w:rPr>
          <w:rFonts w:eastAsia="Times New Roman" w:cstheme="minorHAnsi"/>
          <w:sz w:val="32"/>
          <w:szCs w:val="32"/>
        </w:rPr>
      </w:pPr>
      <w:r>
        <w:rPr>
          <w:rFonts w:eastAsia="Times New Roman" w:cstheme="minorHAnsi"/>
          <w:sz w:val="32"/>
          <w:szCs w:val="32"/>
        </w:rPr>
        <w:t xml:space="preserve">1 </w:t>
      </w:r>
      <w:r w:rsidR="00184F1E" w:rsidRPr="00F8189A">
        <w:rPr>
          <w:rFonts w:eastAsia="Times New Roman" w:cstheme="minorHAnsi"/>
          <w:sz w:val="32"/>
          <w:szCs w:val="32"/>
        </w:rPr>
        <w:t>Progress towards Performance Benchmarks in 201</w:t>
      </w:r>
      <w:r w:rsidRPr="00F8189A">
        <w:rPr>
          <w:rFonts w:eastAsia="Times New Roman" w:cstheme="minorHAnsi"/>
          <w:sz w:val="32"/>
          <w:szCs w:val="32"/>
        </w:rPr>
        <w:t>8-19</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4676"/>
        <w:gridCol w:w="1279"/>
        <w:gridCol w:w="5947"/>
      </w:tblGrid>
      <w:tr w:rsidR="00485745" w:rsidRPr="00C61187" w:rsidTr="00485745">
        <w:trPr>
          <w:tblHeader/>
        </w:trPr>
        <w:tc>
          <w:tcPr>
            <w:tcW w:w="757" w:type="pct"/>
            <w:tcMar>
              <w:top w:w="57" w:type="dxa"/>
              <w:bottom w:w="57" w:type="dxa"/>
            </w:tcMar>
          </w:tcPr>
          <w:p w:rsidR="00184F1E" w:rsidRPr="00880004" w:rsidRDefault="00184F1E" w:rsidP="00485745">
            <w:pPr>
              <w:keepLines/>
              <w:spacing w:before="0" w:after="0" w:line="12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667" w:type="pct"/>
          </w:tcPr>
          <w:p w:rsidR="00184F1E" w:rsidRPr="00880004" w:rsidRDefault="00184F1E" w:rsidP="00485745">
            <w:pPr>
              <w:keepLines/>
              <w:spacing w:before="0" w:after="0" w:line="12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56" w:type="pct"/>
          </w:tcPr>
          <w:p w:rsidR="00184F1E" w:rsidRPr="00880004" w:rsidRDefault="00184F1E" w:rsidP="00485745">
            <w:pPr>
              <w:keepLines/>
              <w:spacing w:before="0" w:after="0" w:line="12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120" w:type="pct"/>
          </w:tcPr>
          <w:p w:rsidR="00184F1E" w:rsidRPr="00880004" w:rsidRDefault="00184F1E" w:rsidP="00485745">
            <w:pPr>
              <w:keepLines/>
              <w:spacing w:before="0" w:after="0" w:line="12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0847AD">
              <w:rPr>
                <w:rFonts w:asciiTheme="minorHAnsi" w:eastAsia="Times New Roman" w:hAnsiTheme="minorHAnsi"/>
                <w:b/>
                <w:iCs/>
                <w:szCs w:val="17"/>
                <w:lang w:eastAsia="en-US"/>
              </w:rPr>
              <w:t>8-19</w:t>
            </w:r>
          </w:p>
        </w:tc>
      </w:tr>
      <w:tr w:rsidR="00485745" w:rsidRPr="00C61187" w:rsidTr="00485745">
        <w:tc>
          <w:tcPr>
            <w:tcW w:w="757" w:type="pct"/>
            <w:tcMar>
              <w:top w:w="57" w:type="dxa"/>
              <w:bottom w:w="57" w:type="dxa"/>
            </w:tcMar>
          </w:tcPr>
          <w:p w:rsidR="00B7018A" w:rsidRPr="00B7018A" w:rsidRDefault="00B7018A" w:rsidP="00B7018A">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Implementing economic reforms</w:t>
            </w:r>
          </w:p>
        </w:tc>
        <w:tc>
          <w:tcPr>
            <w:tcW w:w="1667" w:type="pct"/>
          </w:tcPr>
          <w:p w:rsidR="00B7018A" w:rsidRPr="00B7018A" w:rsidRDefault="00B7018A" w:rsidP="00B7018A">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Achievement of all prior actions under the Joint Policy Matrix triggers the release of donor funding.</w:t>
            </w:r>
          </w:p>
        </w:tc>
        <w:tc>
          <w:tcPr>
            <w:tcW w:w="456" w:type="pct"/>
            <w:shd w:val="clear" w:color="auto" w:fill="92D050"/>
          </w:tcPr>
          <w:p w:rsidR="00B7018A" w:rsidRPr="00B7018A" w:rsidRDefault="00B7018A" w:rsidP="00B7018A">
            <w:pPr>
              <w:keepLines/>
              <w:spacing w:before="40" w:after="40" w:line="180" w:lineRule="atLeast"/>
              <w:jc w:val="center"/>
              <w:rPr>
                <w:rFonts w:asciiTheme="minorHAnsi" w:eastAsia="Times New Roman" w:hAnsiTheme="minorHAnsi" w:cstheme="minorHAnsi"/>
                <w:iCs/>
                <w:color w:val="FFFFFF" w:themeColor="background1"/>
                <w:szCs w:val="17"/>
              </w:rPr>
            </w:pPr>
            <w:r w:rsidRPr="00B7018A">
              <w:rPr>
                <w:rFonts w:asciiTheme="minorHAnsi" w:eastAsia="Times New Roman" w:hAnsiTheme="minorHAnsi" w:cstheme="minorHAnsi"/>
                <w:iCs/>
                <w:color w:val="FFFFFF" w:themeColor="background1"/>
                <w:szCs w:val="17"/>
              </w:rPr>
              <w:t>Achieved</w:t>
            </w:r>
          </w:p>
        </w:tc>
        <w:tc>
          <w:tcPr>
            <w:tcW w:w="2120" w:type="pct"/>
          </w:tcPr>
          <w:p w:rsidR="00B7018A" w:rsidRPr="005B3541" w:rsidRDefault="00B7018A" w:rsidP="005B3541">
            <w:pPr>
              <w:keepLines/>
              <w:spacing w:before="40" w:after="40" w:line="180" w:lineRule="atLeast"/>
              <w:rPr>
                <w:rFonts w:asciiTheme="minorHAnsi" w:eastAsia="Times New Roman" w:hAnsiTheme="minorHAnsi"/>
                <w:iCs/>
                <w:szCs w:val="17"/>
                <w:lang w:eastAsia="en-US"/>
              </w:rPr>
            </w:pPr>
            <w:r w:rsidRPr="00B7018A">
              <w:rPr>
                <w:rFonts w:asciiTheme="minorHAnsi" w:eastAsia="Times New Roman" w:hAnsiTheme="minorHAnsi"/>
                <w:iCs/>
                <w:szCs w:val="17"/>
                <w:lang w:eastAsia="en-US"/>
              </w:rPr>
              <w:t>DFAT budget support was released in recognition that policy actions were implemented to our satisfaction.</w:t>
            </w:r>
            <w:r w:rsidR="005B3541">
              <w:rPr>
                <w:rFonts w:asciiTheme="minorHAnsi" w:eastAsia="Times New Roman" w:hAnsiTheme="minorHAnsi"/>
                <w:iCs/>
                <w:szCs w:val="17"/>
                <w:lang w:eastAsia="en-US"/>
              </w:rPr>
              <w:t xml:space="preserve"> Key reforms were: establishing</w:t>
            </w:r>
            <w:r w:rsidR="005B3541" w:rsidRPr="005B3541">
              <w:rPr>
                <w:rFonts w:asciiTheme="minorHAnsi" w:eastAsia="Times New Roman" w:hAnsiTheme="minorHAnsi"/>
                <w:iCs/>
                <w:szCs w:val="17"/>
                <w:lang w:eastAsia="en-US"/>
              </w:rPr>
              <w:t xml:space="preserve"> a central</w:t>
            </w:r>
            <w:r w:rsidR="005B3541">
              <w:rPr>
                <w:rFonts w:asciiTheme="minorHAnsi" w:eastAsia="Times New Roman" w:hAnsiTheme="minorHAnsi"/>
                <w:iCs/>
                <w:szCs w:val="17"/>
                <w:lang w:eastAsia="en-US"/>
              </w:rPr>
              <w:t xml:space="preserve"> procurement unit within MFED; endorsing</w:t>
            </w:r>
            <w:r w:rsidR="005B3541" w:rsidRPr="005B3541">
              <w:rPr>
                <w:rFonts w:asciiTheme="minorHAnsi" w:eastAsia="Times New Roman" w:hAnsiTheme="minorHAnsi"/>
                <w:iCs/>
                <w:szCs w:val="17"/>
                <w:lang w:eastAsia="en-US"/>
              </w:rPr>
              <w:t xml:space="preserve"> clear investment objectives for Kiribati</w:t>
            </w:r>
            <w:r w:rsidR="005B3541">
              <w:rPr>
                <w:rFonts w:asciiTheme="minorHAnsi" w:eastAsia="Times New Roman" w:hAnsiTheme="minorHAnsi"/>
                <w:iCs/>
                <w:szCs w:val="17"/>
                <w:lang w:eastAsia="en-US"/>
              </w:rPr>
              <w:t>’s sovereign wealth fund; and i</w:t>
            </w:r>
            <w:r w:rsidR="005B3541" w:rsidRPr="005B3541">
              <w:rPr>
                <w:rFonts w:asciiTheme="minorHAnsi" w:eastAsia="Times New Roman" w:hAnsiTheme="minorHAnsi"/>
                <w:iCs/>
                <w:szCs w:val="17"/>
                <w:lang w:eastAsia="en-US"/>
              </w:rPr>
              <w:t>mplement</w:t>
            </w:r>
            <w:r w:rsidR="005B3541">
              <w:rPr>
                <w:rFonts w:asciiTheme="minorHAnsi" w:eastAsia="Times New Roman" w:hAnsiTheme="minorHAnsi"/>
                <w:iCs/>
                <w:szCs w:val="17"/>
                <w:lang w:eastAsia="en-US"/>
              </w:rPr>
              <w:t>ation of</w:t>
            </w:r>
            <w:r w:rsidR="005B3541" w:rsidRPr="005B3541">
              <w:rPr>
                <w:rFonts w:asciiTheme="minorHAnsi" w:eastAsia="Times New Roman" w:hAnsiTheme="minorHAnsi"/>
                <w:iCs/>
                <w:szCs w:val="17"/>
                <w:lang w:eastAsia="en-US"/>
              </w:rPr>
              <w:t xml:space="preserve"> a cash management policy.</w:t>
            </w:r>
          </w:p>
        </w:tc>
      </w:tr>
      <w:tr w:rsidR="007B2338" w:rsidRPr="00C61187" w:rsidTr="00EA5E62">
        <w:tc>
          <w:tcPr>
            <w:tcW w:w="757" w:type="pct"/>
            <w:vMerge w:val="restart"/>
            <w:tcMar>
              <w:top w:w="57" w:type="dxa"/>
              <w:bottom w:w="57" w:type="dxa"/>
            </w:tcMar>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Building a better educated and healthier population</w:t>
            </w: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80 per cent of permanent and contract teachers complete training in the delivery of new year 8 curriculum.</w:t>
            </w:r>
          </w:p>
        </w:tc>
        <w:tc>
          <w:tcPr>
            <w:tcW w:w="456" w:type="pct"/>
            <w:shd w:val="clear" w:color="auto" w:fill="92D050"/>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B7018A">
              <w:rPr>
                <w:rFonts w:asciiTheme="minorHAnsi" w:eastAsia="Times New Roman" w:hAnsiTheme="minorHAnsi" w:cstheme="minorHAnsi"/>
                <w:iCs/>
                <w:color w:val="FFFFFF" w:themeColor="background1"/>
                <w:szCs w:val="17"/>
              </w:rPr>
              <w:t>Achieved</w:t>
            </w:r>
          </w:p>
        </w:tc>
        <w:tc>
          <w:tcPr>
            <w:tcW w:w="2120" w:type="pct"/>
          </w:tcPr>
          <w:p w:rsidR="007B2338" w:rsidRPr="00E53D97" w:rsidRDefault="007B2338">
            <w:pPr>
              <w:keepLines/>
              <w:spacing w:before="40" w:after="40" w:line="180" w:lineRule="atLeast"/>
              <w:rPr>
                <w:rFonts w:eastAsia="Times New Roman"/>
                <w:b/>
                <w:iCs/>
                <w:szCs w:val="17"/>
              </w:rPr>
            </w:pPr>
            <w:r>
              <w:rPr>
                <w:rFonts w:asciiTheme="minorHAnsi" w:eastAsia="Times New Roman" w:hAnsiTheme="minorHAnsi"/>
                <w:iCs/>
                <w:szCs w:val="17"/>
                <w:lang w:eastAsia="en-US"/>
              </w:rPr>
              <w:t>95 per cent of all teachers (350 out of 369) undertook professional development to prepare for delivery of the new curriculum. Year 8 curriculum is included in Semester 1, 2019 materials for 2</w:t>
            </w:r>
            <w:r w:rsidRPr="00EA5E62">
              <w:rPr>
                <w:rFonts w:eastAsia="Times New Roman"/>
                <w:iCs/>
                <w:szCs w:val="17"/>
                <w:vertAlign w:val="superscript"/>
              </w:rPr>
              <w:t>nd</w:t>
            </w:r>
            <w:r>
              <w:rPr>
                <w:rFonts w:asciiTheme="minorHAnsi" w:eastAsia="Times New Roman" w:hAnsiTheme="minorHAnsi"/>
                <w:iCs/>
                <w:szCs w:val="17"/>
                <w:lang w:eastAsia="en-US"/>
              </w:rPr>
              <w:t xml:space="preserve"> year student teachers. </w:t>
            </w:r>
          </w:p>
        </w:tc>
      </w:tr>
      <w:tr w:rsidR="007B2338" w:rsidRPr="00C61187" w:rsidTr="00485745">
        <w:tc>
          <w:tcPr>
            <w:tcW w:w="757" w:type="pct"/>
            <w:vMerge/>
            <w:tcMar>
              <w:top w:w="57" w:type="dxa"/>
              <w:bottom w:w="57" w:type="dxa"/>
            </w:tcMar>
          </w:tcPr>
          <w:p w:rsidR="007B2338" w:rsidRPr="00B7018A" w:rsidRDefault="007B2338" w:rsidP="007B2338">
            <w:pPr>
              <w:keepLines/>
              <w:spacing w:before="40" w:after="40" w:line="180" w:lineRule="atLeast"/>
              <w:rPr>
                <w:rFonts w:eastAsia="Times New Roman"/>
                <w:iCs/>
                <w:szCs w:val="17"/>
              </w:rPr>
            </w:pP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 xml:space="preserve">936 children with improved learning spaces, and access for girls and boys </w:t>
            </w:r>
          </w:p>
        </w:tc>
        <w:tc>
          <w:tcPr>
            <w:tcW w:w="456" w:type="pct"/>
            <w:shd w:val="clear" w:color="auto" w:fill="92D050"/>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B7018A">
              <w:rPr>
                <w:rFonts w:asciiTheme="minorHAnsi" w:eastAsia="Times New Roman" w:hAnsiTheme="minorHAnsi" w:cstheme="minorHAnsi"/>
                <w:iCs/>
                <w:color w:val="FFFFFF" w:themeColor="background1"/>
                <w:szCs w:val="17"/>
              </w:rPr>
              <w:t>Achieved</w:t>
            </w:r>
          </w:p>
        </w:tc>
        <w:tc>
          <w:tcPr>
            <w:tcW w:w="2120"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More than 1,800 children at schools that received new learning spaces in 2018.</w:t>
            </w:r>
          </w:p>
        </w:tc>
      </w:tr>
      <w:tr w:rsidR="007B2338" w:rsidRPr="00C61187" w:rsidTr="00485745">
        <w:tc>
          <w:tcPr>
            <w:tcW w:w="757" w:type="pct"/>
            <w:vMerge/>
            <w:tcMar>
              <w:top w:w="57" w:type="dxa"/>
              <w:bottom w:w="57" w:type="dxa"/>
            </w:tcMar>
          </w:tcPr>
          <w:p w:rsidR="007B2338" w:rsidRPr="00B7018A" w:rsidRDefault="007B2338" w:rsidP="007B2338">
            <w:pPr>
              <w:keepLines/>
              <w:spacing w:before="40" w:after="40" w:line="180" w:lineRule="atLeast"/>
              <w:rPr>
                <w:rFonts w:eastAsia="Times New Roman"/>
                <w:iCs/>
                <w:szCs w:val="17"/>
              </w:rPr>
            </w:pP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All new trainers at KIT will have commenced training to obtain professional qualifications for their industry within 12 months of starting employment.</w:t>
            </w:r>
          </w:p>
        </w:tc>
        <w:tc>
          <w:tcPr>
            <w:tcW w:w="456" w:type="pct"/>
            <w:shd w:val="clear" w:color="auto" w:fill="92D050"/>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B7018A">
              <w:rPr>
                <w:rFonts w:asciiTheme="minorHAnsi" w:eastAsia="Times New Roman" w:hAnsiTheme="minorHAnsi" w:cstheme="minorHAnsi"/>
                <w:iCs/>
                <w:color w:val="FFFFFF" w:themeColor="background1"/>
                <w:szCs w:val="17"/>
              </w:rPr>
              <w:t>Achieved</w:t>
            </w:r>
          </w:p>
        </w:tc>
        <w:tc>
          <w:tcPr>
            <w:tcW w:w="2120"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 xml:space="preserve">As at December 2018, 42 out of 62 (68 per cent) KIT academic staff either had, or were in the process of obtaining </w:t>
            </w:r>
            <w:r>
              <w:rPr>
                <w:rFonts w:asciiTheme="minorHAnsi" w:eastAsia="Times New Roman" w:hAnsiTheme="minorHAnsi"/>
                <w:iCs/>
                <w:szCs w:val="17"/>
                <w:lang w:eastAsia="en-US"/>
              </w:rPr>
              <w:t xml:space="preserve">a Cert IV TAE (or equivalent). </w:t>
            </w:r>
            <w:r w:rsidRPr="00B7018A">
              <w:rPr>
                <w:rFonts w:asciiTheme="minorHAnsi" w:eastAsia="Times New Roman" w:hAnsiTheme="minorHAnsi"/>
                <w:iCs/>
                <w:szCs w:val="17"/>
                <w:lang w:eastAsia="en-US"/>
              </w:rPr>
              <w:t>The remaining staff commenced training in early 2019.</w:t>
            </w:r>
          </w:p>
        </w:tc>
      </w:tr>
      <w:tr w:rsidR="007B2338" w:rsidRPr="00C61187" w:rsidTr="00485745">
        <w:tc>
          <w:tcPr>
            <w:tcW w:w="757" w:type="pct"/>
            <w:vMerge/>
            <w:tcMar>
              <w:top w:w="57" w:type="dxa"/>
              <w:bottom w:w="57" w:type="dxa"/>
            </w:tcMar>
          </w:tcPr>
          <w:p w:rsidR="007B2338" w:rsidRPr="00B7018A" w:rsidRDefault="007B2338" w:rsidP="007B2338">
            <w:pPr>
              <w:keepLines/>
              <w:spacing w:before="40" w:after="40" w:line="180" w:lineRule="atLeast"/>
              <w:rPr>
                <w:rFonts w:eastAsia="Times New Roman"/>
                <w:iCs/>
                <w:szCs w:val="17"/>
              </w:rPr>
            </w:pP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Accredited courses (in 2019) at KIT have a female participation rate of 50 per cent and a participation rate of five per cent by people with a declared disability.</w:t>
            </w:r>
          </w:p>
        </w:tc>
        <w:tc>
          <w:tcPr>
            <w:tcW w:w="456" w:type="pct"/>
            <w:shd w:val="clear" w:color="auto" w:fill="92D050"/>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B7018A">
              <w:rPr>
                <w:rFonts w:asciiTheme="minorHAnsi" w:eastAsia="Times New Roman" w:hAnsiTheme="minorHAnsi" w:cstheme="minorHAnsi"/>
                <w:iCs/>
                <w:color w:val="FFFFFF" w:themeColor="background1"/>
                <w:szCs w:val="17"/>
              </w:rPr>
              <w:t>Achieved</w:t>
            </w:r>
          </w:p>
        </w:tc>
        <w:tc>
          <w:tcPr>
            <w:tcW w:w="2120" w:type="pct"/>
          </w:tcPr>
          <w:p w:rsidR="007B2338" w:rsidRPr="00B7018A" w:rsidRDefault="007B2338" w:rsidP="007B2338">
            <w:pPr>
              <w:keepLines/>
              <w:spacing w:before="40" w:after="40" w:line="180" w:lineRule="atLeast"/>
              <w:rPr>
                <w:rFonts w:asciiTheme="minorHAnsi" w:eastAsia="Times New Roman" w:hAnsiTheme="minorHAnsi"/>
                <w:iCs/>
                <w:szCs w:val="17"/>
                <w:lang w:eastAsia="en-US"/>
              </w:rPr>
            </w:pPr>
            <w:r w:rsidRPr="00B7018A">
              <w:rPr>
                <w:rFonts w:asciiTheme="minorHAnsi" w:eastAsia="Times New Roman" w:hAnsiTheme="minorHAnsi"/>
                <w:iCs/>
                <w:szCs w:val="17"/>
                <w:lang w:eastAsia="en-US"/>
              </w:rPr>
              <w:t>The aggregate participation rate of females in KIT courses (certificate courses or short courses) was 50.2 per cent (963 out of 1,920 enrolments).</w:t>
            </w:r>
          </w:p>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Forty six students identified as having a disability or functional difficulty that may impact on learning in 2018 (nine per cent of the total number of students participating in certificate courses).</w:t>
            </w:r>
          </w:p>
        </w:tc>
      </w:tr>
      <w:tr w:rsidR="007B2338" w:rsidRPr="00C61187" w:rsidTr="00485745">
        <w:tc>
          <w:tcPr>
            <w:tcW w:w="757" w:type="pct"/>
            <w:vMerge/>
            <w:tcMar>
              <w:top w:w="57" w:type="dxa"/>
              <w:bottom w:w="57" w:type="dxa"/>
            </w:tcMar>
          </w:tcPr>
          <w:p w:rsidR="007B2338" w:rsidRPr="00B7018A" w:rsidRDefault="007B2338" w:rsidP="007B2338">
            <w:pPr>
              <w:keepLines/>
              <w:spacing w:before="40" w:after="40" w:line="180" w:lineRule="atLeast"/>
              <w:rPr>
                <w:rFonts w:eastAsia="Times New Roman"/>
                <w:iCs/>
                <w:szCs w:val="17"/>
              </w:rPr>
            </w:pP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Tuberculosis case notification rate of 600 (all forms), per 100,000 population.</w:t>
            </w:r>
          </w:p>
        </w:tc>
        <w:tc>
          <w:tcPr>
            <w:tcW w:w="456" w:type="pct"/>
            <w:shd w:val="clear" w:color="auto" w:fill="F7AA32"/>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120" w:type="pct"/>
          </w:tcPr>
          <w:p w:rsidR="00817190" w:rsidRDefault="007B2338" w:rsidP="00817190">
            <w:pPr>
              <w:keepLines/>
              <w:spacing w:before="40" w:after="40" w:line="180" w:lineRule="atLeast"/>
              <w:rPr>
                <w:rFonts w:asciiTheme="minorHAnsi" w:eastAsia="Times New Roman" w:hAnsiTheme="minorHAnsi"/>
                <w:iCs/>
                <w:szCs w:val="17"/>
                <w:lang w:eastAsia="en-US"/>
              </w:rPr>
            </w:pPr>
            <w:r w:rsidRPr="00B7018A">
              <w:rPr>
                <w:rFonts w:asciiTheme="minorHAnsi" w:eastAsia="Times New Roman" w:hAnsiTheme="minorHAnsi"/>
                <w:iCs/>
                <w:szCs w:val="17"/>
                <w:lang w:eastAsia="en-US"/>
              </w:rPr>
              <w:t xml:space="preserve">The </w:t>
            </w:r>
            <w:r w:rsidR="00B96AE4">
              <w:rPr>
                <w:rFonts w:asciiTheme="minorHAnsi" w:eastAsia="Times New Roman" w:hAnsiTheme="minorHAnsi"/>
                <w:iCs/>
                <w:szCs w:val="17"/>
                <w:lang w:eastAsia="en-US"/>
              </w:rPr>
              <w:t>t</w:t>
            </w:r>
            <w:r w:rsidRPr="00B7018A">
              <w:rPr>
                <w:rFonts w:asciiTheme="minorHAnsi" w:eastAsia="Times New Roman" w:hAnsiTheme="minorHAnsi"/>
                <w:iCs/>
                <w:szCs w:val="17"/>
                <w:lang w:eastAsia="en-US"/>
              </w:rPr>
              <w:t>uberculosis notification rate per 100,000 population was 245 in 2018, down from 331 in 2017.  In the first six months of 2019, the notification rate was 172</w:t>
            </w:r>
            <w:r w:rsidR="00824319">
              <w:rPr>
                <w:rFonts w:asciiTheme="minorHAnsi" w:eastAsia="Times New Roman" w:hAnsiTheme="minorHAnsi"/>
                <w:iCs/>
                <w:szCs w:val="17"/>
                <w:lang w:eastAsia="en-US"/>
              </w:rPr>
              <w:t xml:space="preserve"> for an annualised projected rate of 344</w:t>
            </w:r>
            <w:r w:rsidR="00817190">
              <w:rPr>
                <w:rFonts w:asciiTheme="minorHAnsi" w:eastAsia="Times New Roman" w:hAnsiTheme="minorHAnsi"/>
                <w:iCs/>
                <w:szCs w:val="17"/>
                <w:lang w:eastAsia="en-US"/>
              </w:rPr>
              <w:t xml:space="preserve"> notif</w:t>
            </w:r>
            <w:r w:rsidR="00824319">
              <w:rPr>
                <w:rFonts w:asciiTheme="minorHAnsi" w:eastAsia="Times New Roman" w:hAnsiTheme="minorHAnsi"/>
                <w:iCs/>
                <w:szCs w:val="17"/>
                <w:lang w:eastAsia="en-US"/>
              </w:rPr>
              <w:t>ications</w:t>
            </w:r>
            <w:r w:rsidR="00B96AE4">
              <w:rPr>
                <w:rFonts w:asciiTheme="minorHAnsi" w:eastAsia="Times New Roman" w:hAnsiTheme="minorHAnsi"/>
                <w:iCs/>
                <w:szCs w:val="17"/>
                <w:lang w:eastAsia="en-US"/>
              </w:rPr>
              <w:t>.</w:t>
            </w:r>
            <w:r w:rsidR="00817190">
              <w:rPr>
                <w:rFonts w:asciiTheme="minorHAnsi" w:eastAsia="Times New Roman" w:hAnsiTheme="minorHAnsi"/>
                <w:iCs/>
                <w:szCs w:val="17"/>
                <w:lang w:eastAsia="en-US"/>
              </w:rPr>
              <w:t xml:space="preserve"> </w:t>
            </w:r>
          </w:p>
          <w:p w:rsidR="007B2338" w:rsidRPr="00B7018A" w:rsidRDefault="00B96AE4" w:rsidP="00B96AE4">
            <w:pPr>
              <w:keepLines/>
              <w:spacing w:before="40" w:after="40" w:line="180" w:lineRule="atLeast"/>
              <w:rPr>
                <w:rFonts w:eastAsia="Times New Roman"/>
                <w:iCs/>
                <w:szCs w:val="17"/>
              </w:rPr>
            </w:pPr>
            <w:r w:rsidRPr="00B96AE4">
              <w:rPr>
                <w:rFonts w:asciiTheme="minorHAnsi" w:eastAsia="Times New Roman" w:hAnsiTheme="minorHAnsi"/>
                <w:iCs/>
                <w:szCs w:val="17"/>
                <w:lang w:eastAsia="en-US"/>
              </w:rPr>
              <w:t>Tuberculosis notifications in Kiribati are lower than expected compared to estimated levels of TB prevalence. This means TB patients are not getting a diagnosis or accessing the treatment needed to prevent more acute cases developing and greater levels of transmission of the infection.  This indicator demonstrates whether levels of diagnosis and reporting of TB cases are increasing.</w:t>
            </w:r>
          </w:p>
        </w:tc>
      </w:tr>
      <w:tr w:rsidR="007B2338" w:rsidRPr="00C61187" w:rsidTr="00485745">
        <w:tc>
          <w:tcPr>
            <w:tcW w:w="757" w:type="pct"/>
            <w:vMerge/>
            <w:tcMar>
              <w:top w:w="57" w:type="dxa"/>
              <w:bottom w:w="57" w:type="dxa"/>
            </w:tcMar>
          </w:tcPr>
          <w:p w:rsidR="007B2338" w:rsidRPr="00B7018A" w:rsidRDefault="007B2338" w:rsidP="007B2338">
            <w:pPr>
              <w:keepLines/>
              <w:spacing w:before="40" w:after="40" w:line="180" w:lineRule="atLeast"/>
              <w:rPr>
                <w:rFonts w:eastAsia="Times New Roman"/>
                <w:iCs/>
                <w:szCs w:val="17"/>
              </w:rPr>
            </w:pP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70 per cent of communities in South Tarawa are actively engaged in health and sanitation awareness programs.</w:t>
            </w:r>
          </w:p>
        </w:tc>
        <w:tc>
          <w:tcPr>
            <w:tcW w:w="456" w:type="pct"/>
            <w:shd w:val="clear" w:color="auto" w:fill="92D050"/>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B7018A">
              <w:rPr>
                <w:rFonts w:asciiTheme="minorHAnsi" w:eastAsia="Times New Roman" w:hAnsiTheme="minorHAnsi" w:cstheme="minorHAnsi"/>
                <w:iCs/>
                <w:color w:val="FFFFFF" w:themeColor="background1"/>
                <w:szCs w:val="17"/>
              </w:rPr>
              <w:t>Achieved</w:t>
            </w:r>
          </w:p>
        </w:tc>
        <w:tc>
          <w:tcPr>
            <w:tcW w:w="2120"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 xml:space="preserve">Health “mother committees” were created in 17 of the 20 communities on South Tarawa (85 per cent).  Each “mother committee” worked with at least 10 sub-committees (each with more than 15 members) to promote hygienic sanitation practices.  A conservative estimate of 25,000 people were reached. </w:t>
            </w:r>
          </w:p>
        </w:tc>
      </w:tr>
      <w:tr w:rsidR="007B2338" w:rsidRPr="00C61187" w:rsidTr="00485745">
        <w:tc>
          <w:tcPr>
            <w:tcW w:w="757" w:type="pct"/>
            <w:tcMar>
              <w:top w:w="57" w:type="dxa"/>
              <w:bottom w:w="57" w:type="dxa"/>
            </w:tcMar>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Cross-cutting issues across all development assistance</w:t>
            </w:r>
          </w:p>
        </w:tc>
        <w:tc>
          <w:tcPr>
            <w:tcW w:w="1667" w:type="pct"/>
          </w:tcPr>
          <w:p w:rsidR="007B2338" w:rsidRPr="00B7018A" w:rsidRDefault="007B2338" w:rsidP="007B2338">
            <w:pPr>
              <w:keepLines/>
              <w:spacing w:before="40" w:after="40" w:line="180" w:lineRule="atLeast"/>
              <w:rPr>
                <w:rFonts w:eastAsia="Times New Roman"/>
                <w:iCs/>
                <w:szCs w:val="17"/>
              </w:rPr>
            </w:pPr>
            <w:r w:rsidRPr="00B7018A">
              <w:rPr>
                <w:rFonts w:asciiTheme="minorHAnsi" w:eastAsia="Times New Roman" w:hAnsiTheme="minorHAnsi"/>
                <w:iCs/>
                <w:szCs w:val="17"/>
                <w:lang w:eastAsia="en-US"/>
              </w:rPr>
              <w:t>At least 30 per cent of all domestic violence cases result in protection orders.</w:t>
            </w:r>
          </w:p>
        </w:tc>
        <w:tc>
          <w:tcPr>
            <w:tcW w:w="456" w:type="pct"/>
            <w:shd w:val="clear" w:color="auto" w:fill="F7AA32"/>
          </w:tcPr>
          <w:p w:rsidR="007B2338" w:rsidRPr="00B7018A" w:rsidRDefault="007B2338" w:rsidP="007B2338">
            <w:pPr>
              <w:keepLines/>
              <w:spacing w:before="40" w:after="40" w:line="180" w:lineRule="atLeast"/>
              <w:jc w:val="center"/>
              <w:rPr>
                <w:rFonts w:asciiTheme="minorHAnsi" w:eastAsia="Times New Roman" w:hAnsiTheme="minorHAnsi" w:cstheme="minorHAnsi"/>
                <w:iCs/>
                <w:color w:val="FFFFFF" w:themeColor="background1"/>
                <w:szCs w:val="17"/>
              </w:rPr>
            </w:pPr>
            <w:r w:rsidRPr="00880004">
              <w:rPr>
                <w:rFonts w:asciiTheme="minorHAnsi" w:eastAsia="Times New Roman" w:hAnsiTheme="minorHAnsi"/>
                <w:iCs/>
                <w:color w:val="FFFFFF" w:themeColor="background1"/>
                <w:szCs w:val="17"/>
                <w:lang w:eastAsia="en-US"/>
              </w:rPr>
              <w:t>Partly achieved</w:t>
            </w:r>
          </w:p>
        </w:tc>
        <w:tc>
          <w:tcPr>
            <w:tcW w:w="2120" w:type="pct"/>
          </w:tcPr>
          <w:p w:rsidR="007B2338" w:rsidRPr="00485745" w:rsidRDefault="007B2338" w:rsidP="007B2338">
            <w:pPr>
              <w:keepLines/>
              <w:spacing w:before="40" w:after="40" w:line="180" w:lineRule="atLeast"/>
              <w:rPr>
                <w:rFonts w:asciiTheme="minorHAnsi" w:eastAsia="Times New Roman" w:hAnsiTheme="minorHAnsi"/>
                <w:iCs/>
                <w:szCs w:val="17"/>
                <w:lang w:eastAsia="en-US"/>
              </w:rPr>
            </w:pPr>
            <w:r w:rsidRPr="00506B01">
              <w:rPr>
                <w:rFonts w:asciiTheme="minorHAnsi" w:eastAsia="Times New Roman" w:hAnsiTheme="minorHAnsi"/>
                <w:iCs/>
                <w:szCs w:val="17"/>
                <w:lang w:eastAsia="en-US"/>
              </w:rPr>
              <w:t xml:space="preserve">This benchmark requires review as data collection was </w:t>
            </w:r>
            <w:r>
              <w:rPr>
                <w:rFonts w:asciiTheme="minorHAnsi" w:eastAsia="Times New Roman" w:hAnsiTheme="minorHAnsi"/>
                <w:iCs/>
                <w:szCs w:val="17"/>
                <w:lang w:eastAsia="en-US"/>
              </w:rPr>
              <w:t>delayed</w:t>
            </w:r>
            <w:r w:rsidRPr="00506B01">
              <w:rPr>
                <w:rFonts w:asciiTheme="minorHAnsi" w:eastAsia="Times New Roman" w:hAnsiTheme="minorHAnsi"/>
                <w:iCs/>
                <w:szCs w:val="17"/>
                <w:lang w:eastAsia="en-US"/>
              </w:rPr>
              <w:t xml:space="preserve"> and a baseline </w:t>
            </w:r>
            <w:r>
              <w:rPr>
                <w:rFonts w:asciiTheme="minorHAnsi" w:eastAsia="Times New Roman" w:hAnsiTheme="minorHAnsi"/>
                <w:iCs/>
                <w:szCs w:val="17"/>
                <w:lang w:eastAsia="en-US"/>
              </w:rPr>
              <w:t>has not been established</w:t>
            </w:r>
            <w:r w:rsidRPr="00506B01">
              <w:rPr>
                <w:rFonts w:asciiTheme="minorHAnsi" w:eastAsia="Times New Roman" w:hAnsiTheme="minorHAnsi"/>
                <w:iCs/>
                <w:szCs w:val="17"/>
                <w:lang w:eastAsia="en-US"/>
              </w:rPr>
              <w:t>. Benchmark is noted as partly achieved as protection orders increased from 554 in 2017 to 780 in 2018.</w:t>
            </w:r>
            <w:r>
              <w:rPr>
                <w:rFonts w:asciiTheme="minorHAnsi" w:eastAsia="Times New Roman" w:hAnsiTheme="minorHAnsi"/>
                <w:iCs/>
                <w:szCs w:val="17"/>
                <w:lang w:eastAsia="en-US"/>
              </w:rPr>
              <w:t xml:space="preserve"> </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184F1E"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r w:rsidR="00485745">
        <w:rPr>
          <w:rFonts w:eastAsia="Times New Roman"/>
          <w:b/>
          <w:sz w:val="16"/>
          <w:szCs w:val="14"/>
        </w:rPr>
        <w:t xml:space="preserve">. </w:t>
      </w:r>
    </w:p>
    <w:p w:rsidR="005B3541" w:rsidRPr="00880004" w:rsidRDefault="005B3541" w:rsidP="00184F1E">
      <w:pPr>
        <w:spacing w:before="20" w:after="20" w:line="180" w:lineRule="atLeast"/>
        <w:jc w:val="both"/>
        <w:rPr>
          <w:rFonts w:eastAsia="Times New Roman"/>
          <w:b/>
          <w:sz w:val="16"/>
          <w:szCs w:val="14"/>
        </w:rPr>
      </w:pPr>
    </w:p>
    <w:p w:rsidR="00184F1E" w:rsidRPr="00F8189A" w:rsidRDefault="00F8189A" w:rsidP="00184F1E">
      <w:pPr>
        <w:rPr>
          <w:rFonts w:eastAsia="Times New Roman" w:cstheme="minorHAnsi"/>
          <w:sz w:val="32"/>
          <w:szCs w:val="32"/>
        </w:rPr>
      </w:pPr>
      <w:r w:rsidRPr="00F8189A">
        <w:rPr>
          <w:rFonts w:eastAsia="Times New Roman" w:cstheme="minorHAnsi"/>
          <w:sz w:val="32"/>
          <w:szCs w:val="32"/>
        </w:rPr>
        <w:t xml:space="preserve">2 </w:t>
      </w:r>
      <w:r w:rsidR="00184F1E" w:rsidRPr="00F8189A">
        <w:rPr>
          <w:rFonts w:eastAsia="Times New Roman" w:cstheme="minorHAnsi"/>
          <w:sz w:val="32"/>
          <w:szCs w:val="32"/>
        </w:rPr>
        <w:t xml:space="preserve">Performance Benchmarks for </w:t>
      </w:r>
      <w:r>
        <w:rPr>
          <w:rFonts w:eastAsia="Times New Roman" w:cstheme="minorHAnsi"/>
          <w:sz w:val="32"/>
          <w:szCs w:val="32"/>
        </w:rPr>
        <w:t>2019-20</w:t>
      </w:r>
    </w:p>
    <w:tbl>
      <w:tblPr>
        <w:tblStyle w:val="DFA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3142"/>
        <w:gridCol w:w="4252"/>
        <w:gridCol w:w="4390"/>
      </w:tblGrid>
      <w:tr w:rsidR="005B027B" w:rsidTr="001A242F">
        <w:trPr>
          <w:trHeight w:val="245"/>
        </w:trPr>
        <w:tc>
          <w:tcPr>
            <w:tcW w:w="799" w:type="pct"/>
          </w:tcPr>
          <w:p w:rsidR="005B027B" w:rsidRPr="00BE6C6D" w:rsidRDefault="005B027B" w:rsidP="00485745">
            <w:pPr>
              <w:pStyle w:val="NormalIndented"/>
              <w:spacing w:before="60"/>
              <w:ind w:left="0"/>
              <w:rPr>
                <w:rFonts w:asciiTheme="minorHAnsi" w:hAnsiTheme="minorHAnsi"/>
              </w:rPr>
            </w:pPr>
            <w:r w:rsidRPr="00880004">
              <w:rPr>
                <w:rFonts w:asciiTheme="minorHAnsi" w:eastAsia="Times New Roman" w:hAnsiTheme="minorHAnsi"/>
                <w:b/>
                <w:iCs/>
                <w:szCs w:val="17"/>
                <w:lang w:eastAsia="en-US"/>
              </w:rPr>
              <w:t>Aid objective</w:t>
            </w:r>
          </w:p>
        </w:tc>
        <w:tc>
          <w:tcPr>
            <w:tcW w:w="1120" w:type="pct"/>
          </w:tcPr>
          <w:p w:rsidR="005B027B" w:rsidRPr="00BE6C6D" w:rsidRDefault="005B027B" w:rsidP="00485745">
            <w:pPr>
              <w:pStyle w:val="NormalIndented"/>
              <w:spacing w:before="60"/>
              <w:ind w:left="0"/>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516" w:type="pct"/>
            <w:hideMark/>
          </w:tcPr>
          <w:p w:rsidR="005B027B" w:rsidRPr="00BE6C6D" w:rsidRDefault="005B027B" w:rsidP="00485745">
            <w:pPr>
              <w:pStyle w:val="NormalIndented"/>
              <w:spacing w:before="60"/>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565" w:type="pct"/>
            <w:hideMark/>
          </w:tcPr>
          <w:p w:rsidR="005B027B" w:rsidRPr="00BE6C6D" w:rsidRDefault="005B027B" w:rsidP="00485745">
            <w:pPr>
              <w:pStyle w:val="NormalIndented"/>
              <w:spacing w:before="60"/>
              <w:ind w:left="33"/>
              <w:jc w:val="center"/>
              <w:rPr>
                <w:rFonts w:asciiTheme="minorHAnsi" w:hAnsiTheme="minorHAnsi"/>
                <w:b/>
              </w:rPr>
            </w:pPr>
            <w:r w:rsidRPr="00BE6C6D">
              <w:rPr>
                <w:rFonts w:asciiTheme="minorHAnsi" w:hAnsiTheme="minorHAnsi"/>
                <w:b/>
              </w:rPr>
              <w:t>201</w:t>
            </w:r>
            <w:r>
              <w:rPr>
                <w:rFonts w:asciiTheme="minorHAnsi" w:hAnsiTheme="minorHAnsi"/>
                <w:b/>
              </w:rPr>
              <w:t>9-20</w:t>
            </w:r>
            <w:r w:rsidR="00887D1B">
              <w:rPr>
                <w:rStyle w:val="FootnoteReference"/>
                <w:rFonts w:asciiTheme="minorHAnsi" w:hAnsiTheme="minorHAnsi"/>
                <w:b/>
              </w:rPr>
              <w:footnoteReference w:id="3"/>
            </w:r>
          </w:p>
        </w:tc>
      </w:tr>
      <w:tr w:rsidR="00887D1B" w:rsidTr="001A242F">
        <w:trPr>
          <w:trHeight w:val="455"/>
        </w:trPr>
        <w:tc>
          <w:tcPr>
            <w:tcW w:w="799" w:type="pct"/>
          </w:tcPr>
          <w:p w:rsidR="00887D1B" w:rsidRPr="00887D1B" w:rsidRDefault="00887D1B" w:rsidP="00887D1B">
            <w:pPr>
              <w:pStyle w:val="NormalIndented"/>
              <w:spacing w:before="40" w:after="40"/>
              <w:ind w:left="0"/>
              <w:rPr>
                <w:rFonts w:asciiTheme="minorHAnsi" w:hAnsiTheme="minorHAnsi"/>
                <w:sz w:val="18"/>
              </w:rPr>
            </w:pPr>
            <w:r w:rsidRPr="00887D1B">
              <w:rPr>
                <w:rFonts w:asciiTheme="minorHAnsi" w:eastAsia="Times New Roman" w:hAnsiTheme="minorHAnsi"/>
                <w:iCs/>
                <w:szCs w:val="17"/>
                <w:lang w:eastAsia="en-US"/>
              </w:rPr>
              <w:t>Implementing economic reforms</w:t>
            </w:r>
          </w:p>
        </w:tc>
        <w:tc>
          <w:tcPr>
            <w:tcW w:w="1120" w:type="pct"/>
          </w:tcPr>
          <w:p w:rsidR="00887D1B" w:rsidRPr="00887D1B" w:rsidRDefault="00887D1B" w:rsidP="00887D1B">
            <w:pPr>
              <w:pStyle w:val="NormalIndented"/>
              <w:spacing w:before="40" w:after="40"/>
              <w:ind w:left="0"/>
              <w:rPr>
                <w:rFonts w:asciiTheme="minorHAnsi" w:hAnsiTheme="minorHAnsi"/>
                <w:szCs w:val="20"/>
                <w:lang w:eastAsia="en-US"/>
              </w:rPr>
            </w:pPr>
            <w:r w:rsidRPr="00887D1B">
              <w:rPr>
                <w:rFonts w:asciiTheme="minorHAnsi" w:eastAsia="Times New Roman" w:hAnsiTheme="minorHAnsi"/>
                <w:iCs/>
                <w:szCs w:val="17"/>
                <w:lang w:eastAsia="en-US"/>
              </w:rPr>
              <w:t>Achievement of all prior actions under the Joint Policy Matrix triggers the release of donor funding.</w:t>
            </w:r>
          </w:p>
        </w:tc>
        <w:tc>
          <w:tcPr>
            <w:tcW w:w="1516" w:type="pct"/>
          </w:tcPr>
          <w:p w:rsidR="00887D1B" w:rsidRPr="00887D1B" w:rsidRDefault="00887D1B" w:rsidP="00887D1B">
            <w:pPr>
              <w:pStyle w:val="NormalIndented"/>
              <w:spacing w:before="40" w:after="40"/>
              <w:ind w:left="33"/>
              <w:rPr>
                <w:rFonts w:asciiTheme="minorHAnsi" w:hAnsiTheme="minorHAnsi"/>
                <w:szCs w:val="20"/>
                <w:lang w:eastAsia="en-US"/>
              </w:rPr>
            </w:pPr>
            <w:r w:rsidRPr="00887D1B">
              <w:rPr>
                <w:rFonts w:asciiTheme="minorHAnsi" w:eastAsia="Times New Roman" w:hAnsiTheme="minorHAnsi"/>
                <w:iCs/>
                <w:szCs w:val="17"/>
                <w:lang w:eastAsia="en-US"/>
              </w:rPr>
              <w:t>Achievement of all prior actions under the Joint Policy Matrix triggers the release of donor funding.</w:t>
            </w:r>
          </w:p>
        </w:tc>
        <w:tc>
          <w:tcPr>
            <w:tcW w:w="1565" w:type="pct"/>
          </w:tcPr>
          <w:p w:rsidR="00887D1B" w:rsidRPr="00887D1B" w:rsidRDefault="00887D1B" w:rsidP="00887D1B">
            <w:pPr>
              <w:pStyle w:val="NormalIndented"/>
              <w:spacing w:before="40" w:after="40"/>
              <w:ind w:left="33"/>
              <w:rPr>
                <w:rFonts w:asciiTheme="minorHAnsi" w:hAnsiTheme="minorHAnsi"/>
                <w:szCs w:val="20"/>
                <w:lang w:eastAsia="en-US"/>
              </w:rPr>
            </w:pPr>
            <w:r w:rsidRPr="00887D1B">
              <w:rPr>
                <w:rFonts w:asciiTheme="minorHAnsi" w:hAnsiTheme="minorHAnsi"/>
                <w:szCs w:val="20"/>
                <w:lang w:eastAsia="en-US"/>
              </w:rPr>
              <w:t>Achievement of all prior actions under the Joint Policy Matrix triggers the release of donor funding.</w:t>
            </w:r>
          </w:p>
        </w:tc>
      </w:tr>
      <w:tr w:rsidR="00887D1B" w:rsidTr="001A242F">
        <w:trPr>
          <w:trHeight w:val="455"/>
        </w:trPr>
        <w:tc>
          <w:tcPr>
            <w:tcW w:w="799" w:type="pct"/>
            <w:vMerge w:val="restart"/>
          </w:tcPr>
          <w:p w:rsidR="00887D1B" w:rsidRPr="00887D1B" w:rsidRDefault="00887D1B" w:rsidP="00887D1B">
            <w:pPr>
              <w:pStyle w:val="NormalIndented"/>
              <w:spacing w:before="40" w:after="40"/>
              <w:ind w:left="0"/>
              <w:rPr>
                <w:i/>
                <w:sz w:val="18"/>
              </w:rPr>
            </w:pPr>
            <w:r w:rsidRPr="00887D1B">
              <w:rPr>
                <w:rFonts w:asciiTheme="minorHAnsi" w:eastAsia="Times New Roman" w:hAnsiTheme="minorHAnsi"/>
                <w:iCs/>
                <w:szCs w:val="17"/>
                <w:lang w:eastAsia="en-US"/>
              </w:rPr>
              <w:t>Building a better educated and healthier population</w:t>
            </w:r>
          </w:p>
        </w:tc>
        <w:tc>
          <w:tcPr>
            <w:tcW w:w="1120" w:type="pct"/>
            <w:vMerge w:val="restart"/>
          </w:tcPr>
          <w:p w:rsidR="00887D1B" w:rsidRPr="00887D1B" w:rsidRDefault="00887D1B" w:rsidP="00887D1B">
            <w:pPr>
              <w:pStyle w:val="NormalIndented"/>
              <w:spacing w:before="40" w:after="40"/>
              <w:ind w:left="0"/>
              <w:rPr>
                <w:rFonts w:asciiTheme="minorHAnsi" w:hAnsiTheme="minorHAnsi"/>
                <w:i/>
                <w:szCs w:val="20"/>
                <w:lang w:eastAsia="en-US"/>
              </w:rPr>
            </w:pPr>
            <w:r w:rsidRPr="00887D1B">
              <w:rPr>
                <w:rFonts w:asciiTheme="minorHAnsi" w:eastAsia="Times New Roman" w:hAnsiTheme="minorHAnsi"/>
                <w:iCs/>
                <w:szCs w:val="17"/>
                <w:lang w:eastAsia="en-US"/>
              </w:rPr>
              <w:t>Improve standards in basic education</w:t>
            </w: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80 per cent of permanent and contract teachers complete training in the delivery of new year 8 curriculum.</w:t>
            </w:r>
          </w:p>
        </w:tc>
        <w:tc>
          <w:tcPr>
            <w:tcW w:w="1565" w:type="pct"/>
          </w:tcPr>
          <w:p w:rsidR="00EF63E6" w:rsidRPr="00EF63E6" w:rsidRDefault="00EF63E6" w:rsidP="00EF63E6">
            <w:pPr>
              <w:pStyle w:val="NormalIndented"/>
              <w:spacing w:before="40" w:after="40"/>
              <w:ind w:left="33"/>
              <w:rPr>
                <w:rFonts w:asciiTheme="minorHAnsi" w:eastAsia="Times New Roman" w:hAnsiTheme="minorHAnsi"/>
                <w:iCs/>
                <w:szCs w:val="17"/>
                <w:lang w:eastAsia="en-US"/>
              </w:rPr>
            </w:pPr>
            <w:r w:rsidRPr="00EF63E6">
              <w:rPr>
                <w:rFonts w:asciiTheme="minorHAnsi" w:eastAsia="Times New Roman" w:hAnsiTheme="minorHAnsi"/>
                <w:iCs/>
                <w:szCs w:val="17"/>
                <w:lang w:eastAsia="en-US"/>
              </w:rPr>
              <w:t>Literacy and numeracy rates for Year 6 students:</w:t>
            </w:r>
          </w:p>
          <w:p w:rsidR="00EF63E6" w:rsidRPr="00EF63E6" w:rsidRDefault="00EF63E6" w:rsidP="00EF63E6">
            <w:pPr>
              <w:pStyle w:val="TableBullet1"/>
              <w:rPr>
                <w:rFonts w:asciiTheme="minorHAnsi" w:hAnsiTheme="minorHAnsi" w:cstheme="minorHAnsi"/>
                <w:sz w:val="17"/>
                <w:szCs w:val="17"/>
                <w:lang w:eastAsia="en-US"/>
              </w:rPr>
            </w:pPr>
            <w:r w:rsidRPr="00EF63E6">
              <w:rPr>
                <w:rFonts w:asciiTheme="minorHAnsi" w:hAnsiTheme="minorHAnsi" w:cstheme="minorHAnsi"/>
                <w:sz w:val="17"/>
                <w:szCs w:val="17"/>
                <w:lang w:eastAsia="en-US"/>
              </w:rPr>
              <w:t>Year 6 numeracy – 59% working at or beyond the expected level [52% boys and 64% girls]</w:t>
            </w:r>
          </w:p>
          <w:p w:rsidR="00EF63E6" w:rsidRPr="00EF63E6" w:rsidRDefault="00EF63E6" w:rsidP="00EF63E6">
            <w:pPr>
              <w:pStyle w:val="TableBullet1"/>
              <w:rPr>
                <w:rFonts w:asciiTheme="minorHAnsi" w:hAnsiTheme="minorHAnsi" w:cstheme="minorHAnsi"/>
                <w:sz w:val="17"/>
                <w:szCs w:val="17"/>
                <w:lang w:eastAsia="en-US"/>
              </w:rPr>
            </w:pPr>
            <w:r w:rsidRPr="00EF63E6">
              <w:rPr>
                <w:rFonts w:asciiTheme="minorHAnsi" w:hAnsiTheme="minorHAnsi" w:cstheme="minorHAnsi"/>
                <w:sz w:val="17"/>
                <w:szCs w:val="17"/>
                <w:lang w:eastAsia="en-US"/>
              </w:rPr>
              <w:t xml:space="preserve">Year 6 </w:t>
            </w:r>
            <w:proofErr w:type="spellStart"/>
            <w:r w:rsidRPr="00EF63E6">
              <w:rPr>
                <w:rFonts w:asciiTheme="minorHAnsi" w:hAnsiTheme="minorHAnsi" w:cstheme="minorHAnsi"/>
                <w:sz w:val="17"/>
                <w:szCs w:val="17"/>
                <w:lang w:eastAsia="en-US"/>
              </w:rPr>
              <w:t>te</w:t>
            </w:r>
            <w:proofErr w:type="spellEnd"/>
            <w:r w:rsidRPr="00EF63E6">
              <w:rPr>
                <w:rFonts w:asciiTheme="minorHAnsi" w:hAnsiTheme="minorHAnsi" w:cstheme="minorHAnsi"/>
                <w:sz w:val="17"/>
                <w:szCs w:val="17"/>
                <w:lang w:eastAsia="en-US"/>
              </w:rPr>
              <w:t>-Kiribati literacy – 72% working at or beyond the expected level [62% boys and 84% girls]</w:t>
            </w:r>
          </w:p>
          <w:p w:rsidR="00887D1B" w:rsidRPr="00EF63E6" w:rsidRDefault="00EF63E6" w:rsidP="00EF63E6">
            <w:pPr>
              <w:pStyle w:val="TableBullet1"/>
              <w:rPr>
                <w:rFonts w:asciiTheme="minorHAnsi" w:hAnsiTheme="minorHAnsi" w:cstheme="minorHAnsi"/>
                <w:sz w:val="17"/>
                <w:szCs w:val="17"/>
                <w:lang w:eastAsia="en-US"/>
              </w:rPr>
            </w:pPr>
            <w:r w:rsidRPr="00EF63E6">
              <w:rPr>
                <w:rFonts w:asciiTheme="minorHAnsi" w:hAnsiTheme="minorHAnsi" w:cstheme="minorHAnsi"/>
                <w:sz w:val="17"/>
                <w:szCs w:val="17"/>
                <w:lang w:eastAsia="en-US"/>
              </w:rPr>
              <w:t>Year 6 English literacy – 42% working at or beyond the expected level [30% boys and 52% girls]</w:t>
            </w:r>
          </w:p>
        </w:tc>
      </w:tr>
      <w:tr w:rsidR="00887D1B" w:rsidTr="001A242F">
        <w:trPr>
          <w:trHeight w:val="455"/>
        </w:trPr>
        <w:tc>
          <w:tcPr>
            <w:tcW w:w="799" w:type="pct"/>
            <w:vMerge/>
          </w:tcPr>
          <w:p w:rsidR="00887D1B" w:rsidRPr="00887D1B" w:rsidRDefault="00887D1B" w:rsidP="00887D1B">
            <w:pPr>
              <w:pStyle w:val="NormalIndented"/>
              <w:spacing w:before="40" w:after="40"/>
              <w:ind w:left="0"/>
              <w:rPr>
                <w:i/>
                <w:sz w:val="18"/>
              </w:rPr>
            </w:pPr>
          </w:p>
        </w:tc>
        <w:tc>
          <w:tcPr>
            <w:tcW w:w="1120" w:type="pct"/>
            <w:vMerge/>
          </w:tcPr>
          <w:p w:rsidR="00887D1B" w:rsidRPr="00887D1B" w:rsidRDefault="00887D1B" w:rsidP="00887D1B">
            <w:pPr>
              <w:pStyle w:val="NormalIndented"/>
              <w:spacing w:before="40" w:after="40"/>
              <w:ind w:left="0"/>
              <w:rPr>
                <w:i/>
                <w:szCs w:val="20"/>
              </w:rPr>
            </w:pP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 xml:space="preserve">936 children with improved learning spaces, and access for girls and boys </w:t>
            </w:r>
          </w:p>
        </w:tc>
        <w:tc>
          <w:tcPr>
            <w:tcW w:w="1565" w:type="pct"/>
          </w:tcPr>
          <w:p w:rsidR="00887D1B" w:rsidRPr="00887D1B" w:rsidRDefault="00861217" w:rsidP="00887D1B">
            <w:pPr>
              <w:pStyle w:val="NormalIndented"/>
              <w:spacing w:before="40" w:after="40"/>
              <w:ind w:left="33"/>
              <w:rPr>
                <w:i/>
                <w:szCs w:val="20"/>
              </w:rPr>
            </w:pPr>
            <w:r w:rsidRPr="00861217">
              <w:rPr>
                <w:rFonts w:asciiTheme="minorHAnsi" w:hAnsiTheme="minorHAnsi" w:cstheme="minorHAnsi"/>
                <w:szCs w:val="20"/>
              </w:rPr>
              <w:t>1,020 students in 34 new classrooms at 4 primary schools</w:t>
            </w:r>
          </w:p>
        </w:tc>
      </w:tr>
      <w:tr w:rsidR="00887D1B" w:rsidTr="001A242F">
        <w:trPr>
          <w:trHeight w:val="455"/>
        </w:trPr>
        <w:tc>
          <w:tcPr>
            <w:tcW w:w="799" w:type="pct"/>
            <w:vMerge/>
          </w:tcPr>
          <w:p w:rsidR="00887D1B" w:rsidRPr="00887D1B" w:rsidRDefault="00887D1B" w:rsidP="00887D1B">
            <w:pPr>
              <w:pStyle w:val="NormalIndented"/>
              <w:spacing w:before="40" w:after="40"/>
              <w:ind w:left="0"/>
              <w:rPr>
                <w:i/>
                <w:sz w:val="18"/>
              </w:rPr>
            </w:pPr>
          </w:p>
        </w:tc>
        <w:tc>
          <w:tcPr>
            <w:tcW w:w="1120" w:type="pct"/>
            <w:vMerge w:val="restart"/>
          </w:tcPr>
          <w:p w:rsidR="00887D1B" w:rsidRPr="00887D1B" w:rsidRDefault="00887D1B" w:rsidP="00887D1B">
            <w:pPr>
              <w:pStyle w:val="NormalIndented"/>
              <w:spacing w:before="40" w:after="40"/>
              <w:ind w:left="0"/>
              <w:rPr>
                <w:rFonts w:asciiTheme="minorHAnsi" w:eastAsia="Times New Roman" w:hAnsiTheme="minorHAnsi"/>
                <w:iCs/>
                <w:szCs w:val="17"/>
                <w:lang w:eastAsia="en-US"/>
              </w:rPr>
            </w:pPr>
            <w:r w:rsidRPr="00887D1B">
              <w:rPr>
                <w:rFonts w:asciiTheme="minorHAnsi" w:eastAsia="Times New Roman" w:hAnsiTheme="minorHAnsi"/>
                <w:iCs/>
                <w:szCs w:val="17"/>
                <w:lang w:eastAsia="en-US"/>
              </w:rPr>
              <w:t xml:space="preserve">Provision of quality skills training aligned with labour market demand </w:t>
            </w: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All new trainers at KIT will have commenced training to obtain professional qualifications for their industry within 12 months of starting employment.</w:t>
            </w:r>
          </w:p>
        </w:tc>
        <w:tc>
          <w:tcPr>
            <w:tcW w:w="1565" w:type="pct"/>
          </w:tcPr>
          <w:p w:rsidR="00887D1B" w:rsidRPr="00887D1B" w:rsidRDefault="00887D1B" w:rsidP="00887D1B">
            <w:pPr>
              <w:pStyle w:val="NormalIndented"/>
              <w:spacing w:before="40" w:after="40"/>
              <w:ind w:left="33"/>
              <w:rPr>
                <w:i/>
                <w:szCs w:val="20"/>
              </w:rPr>
            </w:pPr>
            <w:r w:rsidRPr="00887D1B">
              <w:rPr>
                <w:rFonts w:asciiTheme="minorHAnsi" w:hAnsiTheme="minorHAnsi" w:cstheme="minorHAnsi"/>
                <w:szCs w:val="20"/>
              </w:rPr>
              <w:t>All new trainers at KIT will have commenced training to obtain professional qualifications for their industry within 12 months of starting employment.</w:t>
            </w:r>
          </w:p>
        </w:tc>
      </w:tr>
      <w:tr w:rsidR="00887D1B" w:rsidTr="001A242F">
        <w:trPr>
          <w:trHeight w:val="455"/>
        </w:trPr>
        <w:tc>
          <w:tcPr>
            <w:tcW w:w="799" w:type="pct"/>
            <w:vMerge/>
          </w:tcPr>
          <w:p w:rsidR="00887D1B" w:rsidRPr="00887D1B" w:rsidRDefault="00887D1B" w:rsidP="00887D1B">
            <w:pPr>
              <w:pStyle w:val="NormalIndented"/>
              <w:spacing w:before="40" w:after="40"/>
              <w:ind w:left="0"/>
              <w:rPr>
                <w:i/>
                <w:sz w:val="18"/>
              </w:rPr>
            </w:pPr>
          </w:p>
        </w:tc>
        <w:tc>
          <w:tcPr>
            <w:tcW w:w="1120" w:type="pct"/>
            <w:vMerge/>
          </w:tcPr>
          <w:p w:rsidR="00887D1B" w:rsidRPr="00887D1B" w:rsidRDefault="00887D1B" w:rsidP="00887D1B">
            <w:pPr>
              <w:pStyle w:val="NormalIndented"/>
              <w:spacing w:before="40" w:after="40"/>
              <w:ind w:left="0"/>
              <w:rPr>
                <w:i/>
                <w:szCs w:val="20"/>
              </w:rPr>
            </w:pP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Accredited courses (in 2019) at KIT have a female participation rate of 50 per cent and a participation rate of five per cent by people with a declared disability.</w:t>
            </w:r>
          </w:p>
        </w:tc>
        <w:tc>
          <w:tcPr>
            <w:tcW w:w="1565"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Accredited courses (in 2020) at KIT have a female participation rate of 50 per cent and a participation rate of 5 per cent by people with a declared disability.</w:t>
            </w:r>
          </w:p>
        </w:tc>
      </w:tr>
      <w:tr w:rsidR="00887D1B" w:rsidTr="001A242F">
        <w:trPr>
          <w:trHeight w:val="455"/>
        </w:trPr>
        <w:tc>
          <w:tcPr>
            <w:tcW w:w="799" w:type="pct"/>
            <w:vMerge/>
          </w:tcPr>
          <w:p w:rsidR="00887D1B" w:rsidRPr="00887D1B" w:rsidRDefault="00887D1B" w:rsidP="00887D1B">
            <w:pPr>
              <w:pStyle w:val="NormalIndented"/>
              <w:spacing w:before="40" w:after="40"/>
              <w:ind w:left="0"/>
              <w:rPr>
                <w:i/>
                <w:sz w:val="18"/>
              </w:rPr>
            </w:pPr>
          </w:p>
        </w:tc>
        <w:tc>
          <w:tcPr>
            <w:tcW w:w="1120" w:type="pct"/>
            <w:vMerge w:val="restart"/>
          </w:tcPr>
          <w:p w:rsidR="00887D1B" w:rsidRPr="00887D1B" w:rsidRDefault="00887D1B" w:rsidP="00887D1B">
            <w:pPr>
              <w:pStyle w:val="NormalIndented"/>
              <w:spacing w:before="40" w:after="40"/>
              <w:ind w:left="0"/>
              <w:rPr>
                <w:i/>
                <w:szCs w:val="20"/>
              </w:rPr>
            </w:pPr>
            <w:r w:rsidRPr="00887D1B">
              <w:rPr>
                <w:rFonts w:asciiTheme="minorHAnsi" w:eastAsia="Times New Roman" w:hAnsiTheme="minorHAnsi"/>
                <w:iCs/>
                <w:szCs w:val="17"/>
                <w:lang w:eastAsia="en-US"/>
              </w:rPr>
              <w:t>Improved health outcomes</w:t>
            </w: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Tuberculosis case notification rate of 600 (all forms), per 100,000 population.</w:t>
            </w:r>
          </w:p>
        </w:tc>
        <w:tc>
          <w:tcPr>
            <w:tcW w:w="1565" w:type="pct"/>
          </w:tcPr>
          <w:p w:rsidR="00887D1B" w:rsidRPr="00887D1B" w:rsidRDefault="00824319" w:rsidP="00817190">
            <w:pPr>
              <w:pStyle w:val="NormalIndented"/>
              <w:spacing w:before="40" w:after="40"/>
              <w:ind w:left="33"/>
              <w:rPr>
                <w:szCs w:val="20"/>
              </w:rPr>
            </w:pPr>
            <w:r w:rsidRPr="00887D1B">
              <w:rPr>
                <w:rFonts w:asciiTheme="minorHAnsi" w:eastAsia="Times New Roman" w:hAnsiTheme="minorHAnsi"/>
                <w:iCs/>
                <w:szCs w:val="17"/>
                <w:lang w:eastAsia="en-US"/>
              </w:rPr>
              <w:t>Tuberculosis case notification rate of 600 (all forms), per 100,000 population.</w:t>
            </w:r>
          </w:p>
        </w:tc>
      </w:tr>
      <w:tr w:rsidR="00887D1B" w:rsidTr="001A242F">
        <w:trPr>
          <w:trHeight w:val="455"/>
        </w:trPr>
        <w:tc>
          <w:tcPr>
            <w:tcW w:w="799" w:type="pct"/>
            <w:vMerge/>
          </w:tcPr>
          <w:p w:rsidR="00887D1B" w:rsidRPr="00887D1B" w:rsidRDefault="00887D1B" w:rsidP="00887D1B">
            <w:pPr>
              <w:pStyle w:val="NormalIndented"/>
              <w:spacing w:before="40" w:after="40"/>
              <w:ind w:left="0"/>
              <w:rPr>
                <w:i/>
                <w:sz w:val="18"/>
              </w:rPr>
            </w:pPr>
          </w:p>
        </w:tc>
        <w:tc>
          <w:tcPr>
            <w:tcW w:w="1120" w:type="pct"/>
            <w:vMerge/>
          </w:tcPr>
          <w:p w:rsidR="00887D1B" w:rsidRPr="00887D1B" w:rsidRDefault="00887D1B" w:rsidP="00887D1B">
            <w:pPr>
              <w:pStyle w:val="NormalIndented"/>
              <w:spacing w:before="40" w:after="40"/>
              <w:ind w:left="0"/>
              <w:rPr>
                <w:i/>
                <w:szCs w:val="20"/>
              </w:rPr>
            </w:pP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70 per cent of communities in South Tarawa are actively engaged in health and sanitation awareness programs.</w:t>
            </w:r>
          </w:p>
        </w:tc>
        <w:tc>
          <w:tcPr>
            <w:tcW w:w="1565" w:type="pct"/>
          </w:tcPr>
          <w:p w:rsidR="00887D1B" w:rsidRPr="00887D1B" w:rsidRDefault="004E0BC6" w:rsidP="00887D1B">
            <w:pPr>
              <w:pStyle w:val="NormalIndented"/>
              <w:spacing w:before="40" w:after="40"/>
              <w:ind w:left="33"/>
              <w:rPr>
                <w:i/>
                <w:szCs w:val="20"/>
              </w:rPr>
            </w:pPr>
            <w:proofErr w:type="spellStart"/>
            <w:r>
              <w:rPr>
                <w:rFonts w:asciiTheme="minorHAnsi" w:eastAsia="Times New Roman" w:hAnsiTheme="minorHAnsi"/>
                <w:iCs/>
                <w:szCs w:val="17"/>
                <w:lang w:eastAsia="en-US"/>
              </w:rPr>
              <w:t>GoK</w:t>
            </w:r>
            <w:proofErr w:type="spellEnd"/>
            <w:r>
              <w:rPr>
                <w:rFonts w:asciiTheme="minorHAnsi" w:eastAsia="Times New Roman" w:hAnsiTheme="minorHAnsi"/>
                <w:iCs/>
                <w:szCs w:val="17"/>
                <w:lang w:eastAsia="en-US"/>
              </w:rPr>
              <w:t xml:space="preserve"> establish</w:t>
            </w:r>
            <w:r w:rsidR="00887D1B" w:rsidRPr="00887D1B">
              <w:rPr>
                <w:rFonts w:asciiTheme="minorHAnsi" w:eastAsia="Times New Roman" w:hAnsiTheme="minorHAnsi"/>
                <w:iCs/>
                <w:szCs w:val="17"/>
                <w:lang w:eastAsia="en-US"/>
              </w:rPr>
              <w:t xml:space="preserve"> Sanitation Maintenance Fund program.</w:t>
            </w:r>
          </w:p>
        </w:tc>
      </w:tr>
      <w:tr w:rsidR="00887D1B" w:rsidTr="001A242F">
        <w:trPr>
          <w:trHeight w:val="455"/>
        </w:trPr>
        <w:tc>
          <w:tcPr>
            <w:tcW w:w="799" w:type="pct"/>
          </w:tcPr>
          <w:p w:rsidR="00887D1B" w:rsidRPr="00887D1B" w:rsidRDefault="00887D1B" w:rsidP="00887D1B">
            <w:pPr>
              <w:pStyle w:val="NormalIndented"/>
              <w:spacing w:before="40" w:after="40"/>
              <w:ind w:left="0"/>
              <w:rPr>
                <w:i/>
                <w:sz w:val="18"/>
              </w:rPr>
            </w:pPr>
            <w:r w:rsidRPr="00887D1B">
              <w:rPr>
                <w:rFonts w:asciiTheme="minorHAnsi" w:eastAsia="Times New Roman" w:hAnsiTheme="minorHAnsi"/>
                <w:iCs/>
                <w:szCs w:val="17"/>
                <w:lang w:eastAsia="en-US"/>
              </w:rPr>
              <w:t>Cross-cutting issues across all development assistance</w:t>
            </w:r>
          </w:p>
        </w:tc>
        <w:tc>
          <w:tcPr>
            <w:tcW w:w="1120" w:type="pct"/>
          </w:tcPr>
          <w:p w:rsidR="00887D1B" w:rsidRPr="00887D1B" w:rsidRDefault="00887D1B" w:rsidP="00887D1B">
            <w:pPr>
              <w:pStyle w:val="NormalIndented"/>
              <w:spacing w:before="40" w:after="40"/>
              <w:ind w:left="0"/>
              <w:rPr>
                <w:i/>
                <w:szCs w:val="20"/>
              </w:rPr>
            </w:pPr>
            <w:r>
              <w:rPr>
                <w:rFonts w:asciiTheme="minorHAnsi" w:eastAsia="Times New Roman" w:hAnsiTheme="minorHAnsi"/>
                <w:iCs/>
                <w:szCs w:val="17"/>
                <w:lang w:eastAsia="en-US"/>
              </w:rPr>
              <w:t>Gender outcomes</w:t>
            </w:r>
          </w:p>
        </w:tc>
        <w:tc>
          <w:tcPr>
            <w:tcW w:w="1516" w:type="pct"/>
          </w:tcPr>
          <w:p w:rsidR="00887D1B" w:rsidRPr="00887D1B" w:rsidRDefault="00887D1B" w:rsidP="00887D1B">
            <w:pPr>
              <w:pStyle w:val="NormalIndented"/>
              <w:spacing w:before="40" w:after="40"/>
              <w:ind w:left="33"/>
              <w:rPr>
                <w:i/>
                <w:szCs w:val="20"/>
              </w:rPr>
            </w:pPr>
            <w:r w:rsidRPr="00887D1B">
              <w:rPr>
                <w:rFonts w:asciiTheme="minorHAnsi" w:eastAsia="Times New Roman" w:hAnsiTheme="minorHAnsi"/>
                <w:iCs/>
                <w:szCs w:val="17"/>
                <w:lang w:eastAsia="en-US"/>
              </w:rPr>
              <w:t>At least 30 per cent of all domestic violence cases result in protection orders.</w:t>
            </w:r>
          </w:p>
        </w:tc>
        <w:tc>
          <w:tcPr>
            <w:tcW w:w="1565" w:type="pct"/>
          </w:tcPr>
          <w:p w:rsidR="00887D1B" w:rsidRPr="00887D1B" w:rsidRDefault="004E0BC6" w:rsidP="00E53D97">
            <w:pPr>
              <w:pStyle w:val="NormalIndented"/>
              <w:spacing w:before="40" w:after="40"/>
              <w:ind w:left="33"/>
              <w:rPr>
                <w:i/>
                <w:szCs w:val="20"/>
              </w:rPr>
            </w:pPr>
            <w:r w:rsidRPr="00887D1B">
              <w:rPr>
                <w:rFonts w:asciiTheme="minorHAnsi" w:eastAsia="Times New Roman" w:hAnsiTheme="minorHAnsi"/>
                <w:iCs/>
                <w:szCs w:val="17"/>
                <w:lang w:eastAsia="en-US"/>
              </w:rPr>
              <w:t>At least 30 per cent of all domestic violence cases result in protection orders</w:t>
            </w:r>
            <w:r w:rsidR="00E53D97">
              <w:rPr>
                <w:rFonts w:asciiTheme="minorHAnsi" w:eastAsia="Times New Roman" w:hAnsiTheme="minorHAnsi"/>
                <w:iCs/>
                <w:szCs w:val="17"/>
                <w:lang w:eastAsia="en-US"/>
              </w:rPr>
              <w:t xml:space="preserve">. </w:t>
            </w:r>
          </w:p>
        </w:tc>
      </w:tr>
    </w:tbl>
    <w:p w:rsidR="00AF1B85" w:rsidRPr="00EF26B5" w:rsidRDefault="00184F1E" w:rsidP="00BB648A">
      <w:pPr>
        <w:pStyle w:val="Subtitle"/>
        <w:spacing w:before="360" w:after="120" w:line="300" w:lineRule="exact"/>
        <w:rPr>
          <w:rFonts w:asciiTheme="majorHAnsi" w:hAnsiTheme="majorHAnsi" w:cstheme="majorHAnsi"/>
        </w:rPr>
      </w:pPr>
      <w:r>
        <w:br w:type="page"/>
      </w:r>
      <w:r w:rsidR="00AF1B85" w:rsidRPr="00EF26B5">
        <w:rPr>
          <w:rFonts w:asciiTheme="majorHAnsi" w:hAnsiTheme="majorHAnsi" w:cstheme="majorHAnsi"/>
        </w:rPr>
        <w:lastRenderedPageBreak/>
        <w:t xml:space="preserve">Annex </w:t>
      </w:r>
      <w:r w:rsidRPr="00EF26B5">
        <w:rPr>
          <w:rFonts w:asciiTheme="majorHAnsi" w:hAnsiTheme="majorHAnsi" w:cstheme="majorHAnsi"/>
        </w:rPr>
        <w:t>C</w:t>
      </w:r>
      <w:r w:rsidR="00AF1B85" w:rsidRPr="00EF26B5">
        <w:rPr>
          <w:rFonts w:asciiTheme="majorHAnsi" w:hAnsiTheme="majorHAnsi" w:cstheme="majorHAnsi"/>
        </w:rPr>
        <w:t xml:space="preserve"> - Evaluation Planning</w:t>
      </w:r>
    </w:p>
    <w:p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1 </w:t>
      </w:r>
      <w:r w:rsidR="00AF1B85" w:rsidRPr="00EF26B5">
        <w:rPr>
          <w:rFonts w:eastAsiaTheme="majorEastAsia" w:cstheme="minorHAnsi"/>
          <w:caps/>
          <w:sz w:val="36"/>
          <w:szCs w:val="36"/>
        </w:rPr>
        <w:t xml:space="preserve">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410"/>
        <w:gridCol w:w="1708"/>
        <w:gridCol w:w="1981"/>
        <w:gridCol w:w="1699"/>
        <w:gridCol w:w="2407"/>
      </w:tblGrid>
      <w:tr w:rsidR="00AF1B85" w:rsidRPr="00C61187" w:rsidTr="00E53D97">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382"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680"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Date Evaluation report Uploaded into </w:t>
            </w:r>
            <w:proofErr w:type="spellStart"/>
            <w:r w:rsidRPr="00812509">
              <w:rPr>
                <w:rFonts w:asciiTheme="minorHAnsi" w:eastAsia="Times New Roman" w:hAnsiTheme="minorHAnsi"/>
                <w:iCs/>
                <w:szCs w:val="17"/>
                <w:lang w:eastAsia="en-US"/>
              </w:rPr>
              <w:t>AidWorks</w:t>
            </w:r>
            <w:proofErr w:type="spellEnd"/>
          </w:p>
        </w:tc>
        <w:tc>
          <w:tcPr>
            <w:tcW w:w="1671"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Date Management response uploaded into </w:t>
            </w:r>
            <w:proofErr w:type="spellStart"/>
            <w:r w:rsidRPr="00812509">
              <w:rPr>
                <w:rFonts w:asciiTheme="minorHAnsi" w:eastAsia="Times New Roman" w:hAnsiTheme="minorHAnsi"/>
                <w:iCs/>
                <w:szCs w:val="17"/>
                <w:lang w:eastAsia="en-US"/>
              </w:rPr>
              <w:t>AidWorks</w:t>
            </w:r>
            <w:proofErr w:type="spellEnd"/>
          </w:p>
        </w:tc>
        <w:tc>
          <w:tcPr>
            <w:tcW w:w="2365" w:type="dxa"/>
            <w:tcBorders>
              <w:top w:val="none" w:sz="0" w:space="0" w:color="auto"/>
              <w:bottom w:val="none" w:sz="0" w:space="0" w:color="auto"/>
            </w:tcBorders>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E53D97" w:rsidRPr="003B5EE5" w:rsidTr="00E53D97">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rsidR="00E53D97" w:rsidRPr="00E53D97" w:rsidRDefault="00E53D97" w:rsidP="00E53D97">
            <w:pPr>
              <w:keepLines/>
              <w:spacing w:before="40" w:after="40" w:line="200" w:lineRule="atLeast"/>
              <w:rPr>
                <w:rFonts w:asciiTheme="minorHAnsi" w:eastAsia="Times New Roman" w:hAnsiTheme="minorHAnsi"/>
                <w:b w:val="0"/>
                <w:iCs/>
                <w:szCs w:val="17"/>
                <w:lang w:eastAsia="en-US"/>
              </w:rPr>
            </w:pPr>
            <w:r w:rsidRPr="00E53D97">
              <w:rPr>
                <w:rFonts w:asciiTheme="minorHAnsi" w:eastAsia="Times New Roman" w:hAnsiTheme="minorHAnsi"/>
                <w:b w:val="0"/>
                <w:iCs/>
                <w:szCs w:val="17"/>
                <w:lang w:eastAsia="en-US"/>
              </w:rPr>
              <w:t>INI620 – Improved Basic Education</w:t>
            </w:r>
          </w:p>
        </w:tc>
        <w:tc>
          <w:tcPr>
            <w:tcW w:w="3382" w:type="dxa"/>
            <w:tcBorders>
              <w:bottom w:val="none" w:sz="0" w:space="0" w:color="auto"/>
            </w:tcBorders>
          </w:tcPr>
          <w:p w:rsidR="00E53D97" w:rsidRPr="00E53D97" w:rsidRDefault="00E53D97" w:rsidP="00E53D97">
            <w:pPr>
              <w:keepLines/>
              <w:spacing w:before="40" w:after="40" w:line="200" w:lineRule="atLeast"/>
              <w:rPr>
                <w:rFonts w:asciiTheme="minorHAnsi" w:eastAsia="Times New Roman" w:hAnsiTheme="minorHAnsi"/>
                <w:b w:val="0"/>
                <w:iCs/>
                <w:szCs w:val="17"/>
                <w:lang w:eastAsia="en-US"/>
              </w:rPr>
            </w:pPr>
            <w:r w:rsidRPr="00E53D97">
              <w:rPr>
                <w:rFonts w:asciiTheme="minorHAnsi" w:eastAsia="Times New Roman" w:hAnsiTheme="minorHAnsi"/>
                <w:b w:val="0"/>
                <w:iCs/>
                <w:szCs w:val="17"/>
                <w:lang w:eastAsia="en-US"/>
              </w:rPr>
              <w:t>Kiribati Education Improvement Program (KEIP) Independent Evaluation 2018</w:t>
            </w:r>
          </w:p>
        </w:tc>
        <w:tc>
          <w:tcPr>
            <w:tcW w:w="1680" w:type="dxa"/>
            <w:tcBorders>
              <w:bottom w:val="none" w:sz="0" w:space="0" w:color="auto"/>
            </w:tcBorders>
          </w:tcPr>
          <w:p w:rsidR="00E53D97" w:rsidRPr="00E53D97" w:rsidRDefault="00E53D97" w:rsidP="00E53D97">
            <w:pPr>
              <w:keepLines/>
              <w:spacing w:before="40" w:after="40" w:line="200" w:lineRule="atLeast"/>
              <w:rPr>
                <w:rFonts w:asciiTheme="minorHAnsi" w:eastAsia="Times New Roman" w:hAnsiTheme="minorHAnsi"/>
                <w:b w:val="0"/>
                <w:iCs/>
                <w:szCs w:val="17"/>
                <w:lang w:eastAsia="en-US"/>
              </w:rPr>
            </w:pPr>
            <w:r w:rsidRPr="00E53D97">
              <w:rPr>
                <w:rFonts w:asciiTheme="minorHAnsi" w:eastAsia="Times New Roman" w:hAnsiTheme="minorHAnsi"/>
                <w:b w:val="0"/>
                <w:iCs/>
                <w:szCs w:val="17"/>
                <w:lang w:eastAsia="en-US"/>
              </w:rPr>
              <w:t>12 December 2018</w:t>
            </w:r>
          </w:p>
        </w:tc>
        <w:tc>
          <w:tcPr>
            <w:tcW w:w="1953" w:type="dxa"/>
            <w:tcBorders>
              <w:bottom w:val="none" w:sz="0" w:space="0" w:color="auto"/>
            </w:tcBorders>
          </w:tcPr>
          <w:p w:rsidR="00E53D97" w:rsidRPr="00E53D97" w:rsidRDefault="00E53D97" w:rsidP="00E53D97">
            <w:pPr>
              <w:keepLines/>
              <w:spacing w:before="40" w:after="40" w:line="200" w:lineRule="atLeast"/>
              <w:rPr>
                <w:rFonts w:asciiTheme="minorHAnsi" w:eastAsia="Times New Roman" w:hAnsiTheme="minorHAnsi"/>
                <w:b w:val="0"/>
                <w:iCs/>
                <w:szCs w:val="17"/>
                <w:lang w:eastAsia="en-US"/>
              </w:rPr>
            </w:pPr>
            <w:r w:rsidRPr="00E53D97">
              <w:rPr>
                <w:rFonts w:asciiTheme="minorHAnsi" w:eastAsia="Times New Roman" w:hAnsiTheme="minorHAnsi"/>
                <w:b w:val="0"/>
                <w:iCs/>
                <w:szCs w:val="17"/>
                <w:lang w:eastAsia="en-US"/>
              </w:rPr>
              <w:t xml:space="preserve">18 March 2019 </w:t>
            </w:r>
          </w:p>
        </w:tc>
        <w:tc>
          <w:tcPr>
            <w:tcW w:w="1671" w:type="dxa"/>
            <w:tcBorders>
              <w:bottom w:val="none" w:sz="0" w:space="0" w:color="auto"/>
            </w:tcBorders>
          </w:tcPr>
          <w:p w:rsidR="00E53D97" w:rsidRPr="00E53D97" w:rsidRDefault="00E53D97" w:rsidP="00E53D97">
            <w:pPr>
              <w:keepLines/>
              <w:spacing w:before="40" w:after="40" w:line="200" w:lineRule="atLeast"/>
              <w:rPr>
                <w:rFonts w:asciiTheme="minorHAnsi" w:eastAsia="Times New Roman" w:hAnsiTheme="minorHAnsi"/>
                <w:b w:val="0"/>
                <w:iCs/>
                <w:szCs w:val="17"/>
                <w:lang w:eastAsia="en-US"/>
              </w:rPr>
            </w:pPr>
            <w:r w:rsidRPr="00E53D97">
              <w:rPr>
                <w:rFonts w:asciiTheme="minorHAnsi" w:eastAsia="Times New Roman" w:hAnsiTheme="minorHAnsi"/>
                <w:b w:val="0"/>
                <w:iCs/>
                <w:szCs w:val="17"/>
                <w:lang w:eastAsia="en-US"/>
              </w:rPr>
              <w:t>5 May 2019</w:t>
            </w:r>
          </w:p>
        </w:tc>
        <w:tc>
          <w:tcPr>
            <w:tcW w:w="2365" w:type="dxa"/>
            <w:tcBorders>
              <w:bottom w:val="none" w:sz="0" w:space="0" w:color="auto"/>
            </w:tcBorders>
          </w:tcPr>
          <w:p w:rsidR="00E53D97" w:rsidRPr="00E53D97" w:rsidRDefault="00E53D97" w:rsidP="00E53D97">
            <w:pPr>
              <w:keepLines/>
              <w:spacing w:before="40" w:after="40" w:line="200" w:lineRule="atLeast"/>
              <w:rPr>
                <w:rFonts w:asciiTheme="minorHAnsi" w:eastAsia="Times New Roman" w:hAnsiTheme="minorHAnsi"/>
                <w:b w:val="0"/>
                <w:iCs/>
                <w:szCs w:val="17"/>
                <w:lang w:eastAsia="en-US"/>
              </w:rPr>
            </w:pPr>
            <w:r w:rsidRPr="00E53D97">
              <w:rPr>
                <w:rFonts w:asciiTheme="minorHAnsi" w:eastAsia="Times New Roman" w:hAnsiTheme="minorHAnsi"/>
                <w:b w:val="0"/>
                <w:iCs/>
                <w:szCs w:val="17"/>
                <w:lang w:eastAsia="en-US"/>
              </w:rPr>
              <w:t>12 December 2018</w:t>
            </w:r>
          </w:p>
        </w:tc>
      </w:tr>
    </w:tbl>
    <w:p w:rsidR="00AF1B85" w:rsidRPr="00EF26B5" w:rsidRDefault="00EF26B5" w:rsidP="007A13AE">
      <w:pPr>
        <w:spacing w:before="360"/>
        <w:rPr>
          <w:rFonts w:eastAsiaTheme="majorEastAsia" w:cstheme="minorHAnsi"/>
          <w:caps/>
          <w:sz w:val="36"/>
          <w:szCs w:val="36"/>
        </w:rPr>
      </w:pPr>
      <w:r w:rsidRPr="00EF26B5">
        <w:rPr>
          <w:rFonts w:eastAsiaTheme="majorEastAsia" w:cstheme="minorHAnsi"/>
          <w:caps/>
          <w:sz w:val="36"/>
          <w:szCs w:val="36"/>
        </w:rPr>
        <w:t xml:space="preserve">2 </w:t>
      </w:r>
      <w:r w:rsidR="00AF1B85" w:rsidRPr="00EF26B5">
        <w:rPr>
          <w:rFonts w:eastAsiaTheme="majorEastAsia" w:cstheme="minorHAnsi"/>
          <w:caps/>
          <w:sz w:val="36"/>
          <w:szCs w:val="36"/>
        </w:rPr>
        <w:t xml:space="preserve">List of program prioritised evaluations planned for the next 12 months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86"/>
        <w:gridCol w:w="2045"/>
        <w:gridCol w:w="1985"/>
        <w:gridCol w:w="2268"/>
        <w:gridCol w:w="3969"/>
        <w:gridCol w:w="1558"/>
      </w:tblGrid>
      <w:tr w:rsidR="00AF1B85" w:rsidRPr="00C61187" w:rsidTr="00E53D97">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017"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1957"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3941"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151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E53D97" w:rsidRPr="00C61187" w:rsidTr="00E53D97">
        <w:tc>
          <w:tcPr>
            <w:tcW w:w="2444" w:type="dxa"/>
          </w:tcPr>
          <w:p w:rsidR="00E53D97" w:rsidRPr="00E53D97" w:rsidRDefault="00E53D97" w:rsidP="00E53D97">
            <w:pPr>
              <w:keepLines/>
              <w:spacing w:before="40" w:after="40" w:line="200" w:lineRule="atLeast"/>
              <w:rPr>
                <w:rFonts w:asciiTheme="minorHAnsi" w:eastAsia="Times New Roman" w:hAnsiTheme="minorHAnsi"/>
                <w:iCs/>
                <w:szCs w:val="17"/>
                <w:lang w:eastAsia="en-US"/>
              </w:rPr>
            </w:pPr>
            <w:r w:rsidRPr="00E53D97">
              <w:rPr>
                <w:rFonts w:asciiTheme="minorHAnsi" w:eastAsia="Times New Roman" w:hAnsiTheme="minorHAnsi"/>
                <w:iCs/>
                <w:szCs w:val="17"/>
                <w:lang w:eastAsia="en-US"/>
              </w:rPr>
              <w:t xml:space="preserve">Kiribati Facility mid-term review </w:t>
            </w:r>
          </w:p>
        </w:tc>
        <w:tc>
          <w:tcPr>
            <w:tcW w:w="2017" w:type="dxa"/>
          </w:tcPr>
          <w:p w:rsidR="00E53D97" w:rsidRPr="00E53D97" w:rsidRDefault="00E53D97" w:rsidP="00E53D97">
            <w:pPr>
              <w:keepLines/>
              <w:spacing w:before="40" w:after="40" w:line="200" w:lineRule="atLeast"/>
              <w:rPr>
                <w:rFonts w:asciiTheme="minorHAnsi" w:eastAsia="Times New Roman" w:hAnsiTheme="minorHAnsi"/>
                <w:iCs/>
                <w:szCs w:val="17"/>
                <w:lang w:eastAsia="en-US"/>
              </w:rPr>
            </w:pPr>
            <w:r w:rsidRPr="00E53D97">
              <w:rPr>
                <w:rFonts w:asciiTheme="minorHAnsi" w:eastAsia="Times New Roman" w:hAnsiTheme="minorHAnsi"/>
                <w:iCs/>
                <w:szCs w:val="17"/>
                <w:lang w:eastAsia="en-US"/>
              </w:rPr>
              <w:t>INL921 – Kiribati Facility</w:t>
            </w:r>
          </w:p>
        </w:tc>
        <w:tc>
          <w:tcPr>
            <w:tcW w:w="1957" w:type="dxa"/>
          </w:tcPr>
          <w:p w:rsidR="00E53D97" w:rsidRPr="00E53D97" w:rsidRDefault="00E53D97" w:rsidP="00E53D9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April 2019</w:t>
            </w:r>
          </w:p>
        </w:tc>
        <w:tc>
          <w:tcPr>
            <w:tcW w:w="2240" w:type="dxa"/>
          </w:tcPr>
          <w:p w:rsidR="00E53D97" w:rsidRPr="00E53D97" w:rsidRDefault="00E53D97" w:rsidP="00E53D9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2019</w:t>
            </w:r>
          </w:p>
        </w:tc>
        <w:tc>
          <w:tcPr>
            <w:tcW w:w="3941" w:type="dxa"/>
          </w:tcPr>
          <w:p w:rsidR="00E53D97" w:rsidRPr="00E53D97" w:rsidRDefault="00E53D97" w:rsidP="00E53D9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Mid-term review to demonstrate results, verify performance, strengthen investment and examine value for money. Results to</w:t>
            </w:r>
            <w:r w:rsidRPr="00E53D97">
              <w:rPr>
                <w:rFonts w:asciiTheme="minorHAnsi" w:eastAsia="Times New Roman" w:hAnsiTheme="minorHAnsi"/>
                <w:iCs/>
                <w:szCs w:val="17"/>
                <w:lang w:eastAsia="en-US"/>
              </w:rPr>
              <w:t xml:space="preserve"> inform the next phase of the Kiribati Facility.  </w:t>
            </w:r>
          </w:p>
        </w:tc>
        <w:tc>
          <w:tcPr>
            <w:tcW w:w="1516" w:type="dxa"/>
          </w:tcPr>
          <w:p w:rsidR="00E53D97" w:rsidRPr="00E53D97" w:rsidRDefault="00E53D97" w:rsidP="00E53D97">
            <w:pPr>
              <w:keepLines/>
              <w:spacing w:before="40" w:after="40" w:line="200" w:lineRule="atLeast"/>
              <w:rPr>
                <w:rFonts w:asciiTheme="minorHAnsi" w:eastAsia="Times New Roman" w:hAnsiTheme="minorHAnsi"/>
                <w:iCs/>
                <w:szCs w:val="17"/>
                <w:lang w:eastAsia="en-US"/>
              </w:rPr>
            </w:pPr>
            <w:r w:rsidRPr="00E53D97">
              <w:rPr>
                <w:rFonts w:asciiTheme="minorHAnsi" w:eastAsia="Times New Roman" w:hAnsiTheme="minorHAnsi"/>
                <w:iCs/>
                <w:szCs w:val="17"/>
                <w:lang w:eastAsia="en-US"/>
              </w:rPr>
              <w:t>DFAT led.</w:t>
            </w: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27"/>
          <w:headerReference w:type="first" r:id="rId28"/>
          <w:pgSz w:w="16838" w:h="11906" w:orient="landscape" w:code="9"/>
          <w:pgMar w:top="1134" w:right="1952" w:bottom="1134" w:left="851" w:header="1107" w:footer="567" w:gutter="0"/>
          <w:cols w:space="397"/>
          <w:docGrid w:linePitch="360"/>
        </w:sectPr>
      </w:pPr>
    </w:p>
    <w:p w:rsidR="0059146A" w:rsidRDefault="0059146A" w:rsidP="005B5769">
      <w:pPr>
        <w:pStyle w:val="ListBullet"/>
        <w:tabs>
          <w:tab w:val="clear" w:pos="284"/>
        </w:tabs>
      </w:pPr>
    </w:p>
    <w:p w:rsidR="005E606B" w:rsidRPr="00EF26B5" w:rsidRDefault="005E606B" w:rsidP="00BB648A">
      <w:pPr>
        <w:pStyle w:val="Subtitle"/>
        <w:spacing w:before="360" w:after="120" w:line="300" w:lineRule="exact"/>
        <w:rPr>
          <w:rFonts w:asciiTheme="majorHAnsi" w:hAnsiTheme="majorHAnsi" w:cstheme="majorHAnsi"/>
        </w:rPr>
      </w:pPr>
      <w:r w:rsidRPr="00EF26B5">
        <w:rPr>
          <w:rFonts w:asciiTheme="majorHAnsi" w:hAnsiTheme="majorHAnsi" w:cstheme="majorHAnsi"/>
        </w:rPr>
        <w:t xml:space="preserve">Annex </w:t>
      </w:r>
      <w:r w:rsidR="00184F1E" w:rsidRPr="00EF26B5">
        <w:rPr>
          <w:rFonts w:asciiTheme="majorHAnsi" w:hAnsiTheme="majorHAnsi" w:cstheme="majorHAnsi"/>
        </w:rPr>
        <w:t>D</w:t>
      </w:r>
      <w:r w:rsidRPr="00EF26B5">
        <w:rPr>
          <w:rFonts w:asciiTheme="majorHAnsi" w:hAnsiTheme="majorHAnsi" w:cstheme="majorHAnsi"/>
        </w:rPr>
        <w:t xml:space="preserve"> - Aid Quality Check ratings</w:t>
      </w:r>
    </w:p>
    <w:p w:rsidR="00E53D97" w:rsidRPr="00EF26B5" w:rsidRDefault="005E606B" w:rsidP="00A8197B">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AQC ratings</w:t>
      </w:r>
    </w:p>
    <w:tbl>
      <w:tblPr>
        <w:tblStyle w:val="AP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966"/>
        <w:gridCol w:w="799"/>
        <w:gridCol w:w="618"/>
        <w:gridCol w:w="618"/>
        <w:gridCol w:w="640"/>
        <w:gridCol w:w="695"/>
        <w:gridCol w:w="619"/>
        <w:gridCol w:w="668"/>
        <w:gridCol w:w="633"/>
      </w:tblGrid>
      <w:tr w:rsidR="00E53D97" w:rsidRPr="00C61187" w:rsidTr="00172E23">
        <w:trPr>
          <w:cnfStyle w:val="000000010000" w:firstRow="0" w:lastRow="0" w:firstColumn="0" w:lastColumn="0" w:oddVBand="0" w:evenVBand="0" w:oddHBand="0" w:evenHBand="1" w:firstRowFirstColumn="0" w:firstRowLastColumn="0" w:lastRowFirstColumn="0" w:lastRowLastColumn="0"/>
          <w:trHeight w:val="1413"/>
        </w:trPr>
        <w:tc>
          <w:tcPr>
            <w:tcW w:w="1639" w:type="pct"/>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2816" behindDoc="0" locked="0" layoutInCell="1" allowOverlap="1" wp14:anchorId="0397BEB2" wp14:editId="6F7B5534">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01"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2"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315"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15"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27"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56"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15"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41"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15" w:type="pct"/>
            <w:textDirection w:val="btLr"/>
          </w:tcPr>
          <w:p w:rsidR="00E53D97" w:rsidRPr="00812509" w:rsidRDefault="00E53D97" w:rsidP="00172E23">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INI620 – Improved basic education</w:t>
            </w:r>
          </w:p>
        </w:tc>
        <w:tc>
          <w:tcPr>
            <w:tcW w:w="501" w:type="pct"/>
            <w:vMerge w:val="restart"/>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 xml:space="preserve">$72m </w:t>
            </w:r>
          </w:p>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09-19</w:t>
            </w:r>
          </w:p>
        </w:tc>
        <w:tc>
          <w:tcPr>
            <w:tcW w:w="412" w:type="pct"/>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7" w:type="pct"/>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p>
        </w:tc>
        <w:tc>
          <w:tcPr>
            <w:tcW w:w="501" w:type="pct"/>
            <w:vMerge/>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15" w:type="pct"/>
            <w:tcBorders>
              <w:bottom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7" w:type="pct"/>
            <w:tcBorders>
              <w:bottom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tcBorders>
              <w:bottom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bottom w:val="single" w:sz="4" w:space="0" w:color="auto"/>
            </w:tcBorders>
            <w:shd w:val="clear" w:color="auto" w:fill="auto"/>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I</w:t>
            </w:r>
            <w:r>
              <w:rPr>
                <w:rFonts w:asciiTheme="minorHAnsi" w:eastAsia="Times New Roman" w:hAnsiTheme="minorHAnsi"/>
                <w:iCs/>
                <w:szCs w:val="17"/>
                <w:lang w:eastAsia="en-US"/>
              </w:rPr>
              <w:t>NJ383 – Growth and economic management</w:t>
            </w:r>
          </w:p>
        </w:tc>
        <w:tc>
          <w:tcPr>
            <w:tcW w:w="501" w:type="pct"/>
            <w:vMerge w:val="restart"/>
            <w:tcBorders>
              <w:top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 xml:space="preserve">$17m </w:t>
            </w:r>
          </w:p>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w:t>
            </w:r>
          </w:p>
        </w:tc>
        <w:tc>
          <w:tcPr>
            <w:tcW w:w="412" w:type="pct"/>
            <w:tcBorders>
              <w:top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top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top w:val="single" w:sz="4" w:space="0" w:color="auto"/>
            </w:tcBorders>
            <w:shd w:val="clear" w:color="auto" w:fill="auto"/>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p>
        </w:tc>
        <w:tc>
          <w:tcPr>
            <w:tcW w:w="501" w:type="pct"/>
            <w:vMerge/>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tcBorders>
              <w:bottom w:val="single" w:sz="4" w:space="0" w:color="auto"/>
            </w:tcBorders>
            <w:shd w:val="clear" w:color="auto" w:fill="FFC0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tcBorders>
              <w:bottom w:val="single" w:sz="4" w:space="0" w:color="auto"/>
            </w:tcBorders>
            <w:shd w:val="clear" w:color="auto" w:fill="auto"/>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INK327 – Kiribati infrastructure</w:t>
            </w:r>
          </w:p>
        </w:tc>
        <w:tc>
          <w:tcPr>
            <w:tcW w:w="501" w:type="pct"/>
            <w:vMerge w:val="restart"/>
            <w:tcBorders>
              <w:top w:val="single" w:sz="4" w:space="0" w:color="auto"/>
            </w:tcBorders>
          </w:tcPr>
          <w:p w:rsidR="00E53D97" w:rsidRDefault="00E53D97" w:rsidP="00172E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$35m </w:t>
            </w:r>
          </w:p>
          <w:p w:rsidR="00E53D97" w:rsidRPr="00812509" w:rsidRDefault="00E53D97" w:rsidP="00172E23">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2011-21</w:t>
            </w:r>
          </w:p>
        </w:tc>
        <w:tc>
          <w:tcPr>
            <w:tcW w:w="412" w:type="pct"/>
            <w:tcBorders>
              <w:top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5" w:type="pct"/>
            <w:tcBorders>
              <w:top w:val="single" w:sz="4" w:space="0" w:color="auto"/>
            </w:tcBorders>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7" w:type="pct"/>
            <w:tcBorders>
              <w:top w:val="single" w:sz="4" w:space="0" w:color="auto"/>
            </w:tcBorders>
            <w:shd w:val="clear" w:color="auto" w:fill="92D05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tcBorders>
              <w:top w:val="single" w:sz="4" w:space="0" w:color="auto"/>
            </w:tcBorders>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top w:val="single" w:sz="4" w:space="0" w:color="auto"/>
            </w:tcBorders>
            <w:shd w:val="clear" w:color="auto" w:fill="auto"/>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p>
        </w:tc>
        <w:tc>
          <w:tcPr>
            <w:tcW w:w="501" w:type="pct"/>
            <w:vMerge/>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E53D97" w:rsidRPr="00812509" w:rsidRDefault="00E53D97" w:rsidP="00172E23">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315"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tcBorders>
              <w:bottom w:val="single" w:sz="4" w:space="0" w:color="auto"/>
            </w:tcBorders>
            <w:shd w:val="clear" w:color="auto" w:fill="FFC0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tcBorders>
              <w:bottom w:val="single" w:sz="4" w:space="0" w:color="auto"/>
            </w:tcBorders>
            <w:shd w:val="clear" w:color="auto" w:fill="FFFF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tcBorders>
              <w:bottom w:val="single" w:sz="4" w:space="0" w:color="auto"/>
            </w:tcBorders>
            <w:shd w:val="clear" w:color="auto" w:fill="FFC000"/>
            <w:noWrap/>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5" w:type="pct"/>
            <w:tcBorders>
              <w:bottom w:val="single" w:sz="4" w:space="0" w:color="auto"/>
            </w:tcBorders>
            <w:shd w:val="clear" w:color="auto" w:fill="auto"/>
          </w:tcPr>
          <w:p w:rsidR="00E53D97" w:rsidRPr="00812509" w:rsidRDefault="00E53D97" w:rsidP="00172E23">
            <w:pPr>
              <w:keepLines/>
              <w:spacing w:before="40" w:after="40" w:line="200" w:lineRule="atLeast"/>
              <w:jc w:val="center"/>
              <w:rPr>
                <w:rFonts w:asciiTheme="minorHAnsi" w:eastAsia="Times New Roman" w:hAnsiTheme="minorHAnsi"/>
                <w:iCs/>
                <w:szCs w:val="17"/>
                <w:lang w:eastAsia="en-US"/>
              </w:rPr>
            </w:pP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INK504 – Kiribati disability</w:t>
            </w:r>
          </w:p>
        </w:tc>
        <w:tc>
          <w:tcPr>
            <w:tcW w:w="501" w:type="pct"/>
            <w:vMerge w:val="restart"/>
            <w:tcBorders>
              <w:top w:val="single" w:sz="4" w:space="0" w:color="auto"/>
            </w:tcBorders>
          </w:tcPr>
          <w:p w:rsidR="00E53D97"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 xml:space="preserve">$4.8m </w:t>
            </w:r>
          </w:p>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w:t>
            </w:r>
            <w:r>
              <w:rPr>
                <w:rFonts w:asciiTheme="minorHAnsi" w:eastAsia="Times New Roman" w:hAnsiTheme="minorHAnsi"/>
                <w:iCs/>
                <w:szCs w:val="17"/>
                <w:lang w:eastAsia="en-US"/>
              </w:rPr>
              <w:t>12-20</w:t>
            </w:r>
          </w:p>
        </w:tc>
        <w:tc>
          <w:tcPr>
            <w:tcW w:w="412" w:type="pct"/>
            <w:tcBorders>
              <w:top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2019 AQC</w:t>
            </w:r>
          </w:p>
        </w:tc>
        <w:tc>
          <w:tcPr>
            <w:tcW w:w="315" w:type="pct"/>
            <w:tcBorders>
              <w:top w:val="single" w:sz="4" w:space="0" w:color="auto"/>
            </w:tcBorders>
            <w:shd w:val="clear" w:color="auto" w:fill="auto"/>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top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tcBorders>
              <w:top w:val="single" w:sz="4" w:space="0" w:color="auto"/>
            </w:tcBorders>
            <w:shd w:val="clear" w:color="auto" w:fill="auto"/>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top w:val="single" w:sz="4" w:space="0" w:color="auto"/>
            </w:tcBorders>
            <w:shd w:val="clear" w:color="auto" w:fill="auto"/>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tcBorders>
              <w:bottom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p>
        </w:tc>
        <w:tc>
          <w:tcPr>
            <w:tcW w:w="501" w:type="pct"/>
            <w:vMerge/>
            <w:tcBorders>
              <w:bottom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2018 AQC</w:t>
            </w:r>
          </w:p>
        </w:tc>
        <w:tc>
          <w:tcPr>
            <w:tcW w:w="315" w:type="pct"/>
            <w:tcBorders>
              <w:bottom w:val="single" w:sz="4" w:space="0" w:color="auto"/>
            </w:tcBorders>
            <w:shd w:val="clear" w:color="auto" w:fill="92D05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bottom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tcBorders>
              <w:bottom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tcBorders>
              <w:bottom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bottom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41" w:type="pct"/>
            <w:tcBorders>
              <w:bottom w:val="single" w:sz="4" w:space="0" w:color="auto"/>
            </w:tcBorders>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tcBorders>
              <w:bottom w:val="single" w:sz="4" w:space="0" w:color="auto"/>
            </w:tcBorders>
            <w:shd w:val="clear" w:color="auto" w:fill="auto"/>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val="restart"/>
            <w:tcBorders>
              <w:top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 xml:space="preserve">INL921 – </w:t>
            </w:r>
            <w:r>
              <w:rPr>
                <w:rFonts w:asciiTheme="minorHAnsi" w:eastAsia="Times New Roman" w:hAnsiTheme="minorHAnsi"/>
                <w:iCs/>
                <w:szCs w:val="17"/>
                <w:lang w:eastAsia="en-US"/>
              </w:rPr>
              <w:t>Kiribati F</w:t>
            </w:r>
            <w:r w:rsidRPr="009F077D">
              <w:rPr>
                <w:rFonts w:asciiTheme="minorHAnsi" w:eastAsia="Times New Roman" w:hAnsiTheme="minorHAnsi"/>
                <w:iCs/>
                <w:szCs w:val="17"/>
                <w:lang w:eastAsia="en-US"/>
              </w:rPr>
              <w:t>acility</w:t>
            </w:r>
          </w:p>
        </w:tc>
        <w:tc>
          <w:tcPr>
            <w:tcW w:w="501" w:type="pct"/>
            <w:vMerge w:val="restart"/>
            <w:tcBorders>
              <w:top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$20m</w:t>
            </w:r>
          </w:p>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w:t>
            </w:r>
            <w:r>
              <w:rPr>
                <w:rFonts w:asciiTheme="minorHAnsi" w:eastAsia="Times New Roman" w:hAnsiTheme="minorHAnsi"/>
                <w:iCs/>
                <w:szCs w:val="17"/>
                <w:lang w:eastAsia="en-US"/>
              </w:rPr>
              <w:t>16</w:t>
            </w:r>
            <w:r w:rsidRPr="009F077D">
              <w:rPr>
                <w:rFonts w:asciiTheme="minorHAnsi" w:eastAsia="Times New Roman" w:hAnsiTheme="minorHAnsi"/>
                <w:iCs/>
                <w:szCs w:val="17"/>
                <w:lang w:eastAsia="en-US"/>
              </w:rPr>
              <w:t>-</w:t>
            </w:r>
            <w:r>
              <w:rPr>
                <w:rFonts w:asciiTheme="minorHAnsi" w:eastAsia="Times New Roman" w:hAnsiTheme="minorHAnsi"/>
                <w:iCs/>
                <w:szCs w:val="17"/>
                <w:lang w:eastAsia="en-US"/>
              </w:rPr>
              <w:t>20</w:t>
            </w:r>
          </w:p>
        </w:tc>
        <w:tc>
          <w:tcPr>
            <w:tcW w:w="412" w:type="pct"/>
            <w:tcBorders>
              <w:top w:val="single" w:sz="4" w:space="0" w:color="auto"/>
            </w:tcBorders>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2019 AQC</w:t>
            </w:r>
          </w:p>
        </w:tc>
        <w:tc>
          <w:tcPr>
            <w:tcW w:w="315" w:type="pct"/>
            <w:tcBorders>
              <w:top w:val="single" w:sz="4" w:space="0" w:color="auto"/>
            </w:tcBorders>
            <w:shd w:val="clear" w:color="auto" w:fill="auto"/>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92D05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7" w:type="pct"/>
            <w:tcBorders>
              <w:top w:val="single" w:sz="4" w:space="0" w:color="auto"/>
            </w:tcBorders>
            <w:shd w:val="clear" w:color="auto" w:fill="92D05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tcBorders>
              <w:top w:val="single" w:sz="4" w:space="0" w:color="auto"/>
            </w:tcBorders>
            <w:shd w:val="clear" w:color="auto" w:fill="auto"/>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15" w:type="pct"/>
            <w:tcBorders>
              <w:top w:val="single" w:sz="4" w:space="0" w:color="auto"/>
            </w:tcBorders>
            <w:shd w:val="clear" w:color="auto" w:fill="auto"/>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c>
          <w:tcPr>
            <w:tcW w:w="341" w:type="pct"/>
            <w:tcBorders>
              <w:top w:val="single" w:sz="4" w:space="0" w:color="auto"/>
            </w:tcBorders>
            <w:shd w:val="clear" w:color="auto" w:fill="92D05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15" w:type="pct"/>
            <w:tcBorders>
              <w:top w:val="single" w:sz="4" w:space="0" w:color="auto"/>
            </w:tcBorders>
            <w:shd w:val="clear" w:color="auto" w:fill="auto"/>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p>
        </w:tc>
      </w:tr>
      <w:tr w:rsidR="00E53D97" w:rsidRPr="00C61187" w:rsidTr="00E53D97">
        <w:trPr>
          <w:cnfStyle w:val="000000010000" w:firstRow="0" w:lastRow="0" w:firstColumn="0" w:lastColumn="0" w:oddVBand="0" w:evenVBand="0" w:oddHBand="0" w:evenHBand="1" w:firstRowFirstColumn="0" w:firstRowLastColumn="0" w:lastRowFirstColumn="0" w:lastRowLastColumn="0"/>
          <w:trHeight w:val="284"/>
        </w:trPr>
        <w:tc>
          <w:tcPr>
            <w:tcW w:w="1639" w:type="pct"/>
            <w:vMerge/>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p>
        </w:tc>
        <w:tc>
          <w:tcPr>
            <w:tcW w:w="501" w:type="pct"/>
            <w:vMerge/>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p>
        </w:tc>
        <w:tc>
          <w:tcPr>
            <w:tcW w:w="412" w:type="pct"/>
          </w:tcPr>
          <w:p w:rsidR="00E53D97" w:rsidRPr="009F077D" w:rsidRDefault="00E53D97" w:rsidP="00172E23">
            <w:pPr>
              <w:keepLines/>
              <w:spacing w:before="40" w:after="40" w:line="200" w:lineRule="atLeast"/>
              <w:rPr>
                <w:rFonts w:asciiTheme="minorHAnsi" w:eastAsia="Times New Roman" w:hAnsiTheme="minorHAnsi"/>
                <w:iCs/>
                <w:szCs w:val="17"/>
                <w:lang w:eastAsia="en-US"/>
              </w:rPr>
            </w:pPr>
            <w:r w:rsidRPr="009F077D">
              <w:rPr>
                <w:rFonts w:asciiTheme="minorHAnsi" w:eastAsia="Times New Roman" w:hAnsiTheme="minorHAnsi"/>
                <w:iCs/>
                <w:szCs w:val="17"/>
                <w:lang w:eastAsia="en-US"/>
              </w:rPr>
              <w:t>2018 AQC</w:t>
            </w:r>
          </w:p>
        </w:tc>
        <w:tc>
          <w:tcPr>
            <w:tcW w:w="315" w:type="pct"/>
            <w:shd w:val="clear" w:color="auto" w:fill="92D05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315" w:type="pct"/>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7" w:type="pct"/>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92D05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41" w:type="pct"/>
            <w:shd w:val="clear" w:color="auto" w:fill="FFFF00"/>
            <w:noWrap/>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5" w:type="pct"/>
            <w:shd w:val="clear" w:color="auto" w:fill="auto"/>
          </w:tcPr>
          <w:p w:rsidR="00E53D97" w:rsidRPr="009F077D" w:rsidRDefault="00E53D97" w:rsidP="00172E23">
            <w:pPr>
              <w:keepLines/>
              <w:spacing w:before="40" w:after="40" w:line="200" w:lineRule="atLeast"/>
              <w:jc w:val="center"/>
              <w:rPr>
                <w:rFonts w:asciiTheme="minorHAnsi" w:eastAsia="Times New Roman" w:hAnsiTheme="minorHAnsi"/>
                <w:iCs/>
                <w:szCs w:val="17"/>
                <w:lang w:eastAsia="en-US"/>
              </w:rPr>
            </w:pP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A8197B" w:rsidRDefault="00A8197B" w:rsidP="00A8197B">
      <w:pPr>
        <w:pStyle w:val="ListBullet"/>
        <w:tabs>
          <w:tab w:val="clear" w:pos="284"/>
        </w:tabs>
      </w:pPr>
    </w:p>
    <w:p w:rsidR="00A8197B" w:rsidRPr="00A8197B" w:rsidRDefault="00A8197B" w:rsidP="00A8197B"/>
    <w:p w:rsidR="00184F1E" w:rsidRDefault="00184F1E">
      <w:pPr>
        <w:suppressAutoHyphens w:val="0"/>
        <w:spacing w:before="0" w:after="120" w:line="440" w:lineRule="atLeast"/>
        <w:rPr>
          <w:rFonts w:ascii="Franklin Gothic Book" w:eastAsia="Times New Roman" w:hAnsi="Franklin Gothic Book" w:cs="Times New Roman"/>
          <w:color w:val="auto"/>
          <w:sz w:val="21"/>
          <w:szCs w:val="24"/>
          <w:lang w:val="en-AU" w:eastAsia="en-AU"/>
        </w:rPr>
      </w:pPr>
      <w:r>
        <w:br w:type="page"/>
      </w:r>
    </w:p>
    <w:p w:rsidR="00A92CF2" w:rsidRPr="00EF26B5" w:rsidRDefault="00A92CF2" w:rsidP="00A92CF2">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A92CF2" w:rsidTr="00AF298E">
        <w:trPr>
          <w:trHeight w:val="1156"/>
        </w:trPr>
        <w:tc>
          <w:tcPr>
            <w:tcW w:w="1271" w:type="dxa"/>
            <w:shd w:val="clear" w:color="auto" w:fill="D7DEE2" w:themeFill="text2" w:themeFillTint="33"/>
          </w:tcPr>
          <w:p w:rsidR="00A92CF2" w:rsidRDefault="00A92CF2" w:rsidP="00AF298E">
            <w:pPr>
              <w:spacing w:before="80" w:after="80"/>
            </w:pPr>
            <w:r w:rsidRPr="00F75380">
              <w:rPr>
                <w:noProof/>
                <w:lang w:val="en-AU" w:eastAsia="en-AU"/>
              </w:rPr>
              <w:drawing>
                <wp:inline distT="0" distB="0" distL="0" distR="0" wp14:anchorId="7FC04EB3" wp14:editId="0F981EF8">
                  <wp:extent cx="612000" cy="612000"/>
                  <wp:effectExtent l="0" t="0" r="0" b="0"/>
                  <wp:docPr id="11" name="Picture 1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59E8BFF9" wp14:editId="51198FEB">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Reduce inequality within</w:t>
            </w:r>
            <w:r>
              <w:rPr>
                <w:sz w:val="16"/>
              </w:rPr>
              <w:t xml:space="preserve"> </w:t>
            </w:r>
            <w:r w:rsidRPr="00AB289B">
              <w:rPr>
                <w:sz w:val="16"/>
              </w:rPr>
              <w:t>and among countries</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5CB309C1" wp14:editId="5B8A13B8">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5B23552E" wp14:editId="7587AFA8">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716ABA16" wp14:editId="2671DA26">
                  <wp:extent cx="612000" cy="61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78CABCE4" wp14:editId="14BD75E9">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43612185" wp14:editId="004FB5CD">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0CFE1BB8" wp14:editId="0B7A15B3">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659F2A30" wp14:editId="262270E6">
                  <wp:extent cx="612000" cy="61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1251E500" wp14:editId="6ACAE260">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045B719E" wp14:editId="43226DE0">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1ADDFC0D" wp14:editId="511B31C0">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1B5060FA" wp14:editId="75A52292">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5B2C2D61" wp14:editId="48D5C345">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4BB11086" wp14:editId="62D3B214">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6E639B74" wp14:editId="7E4FAA72">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A92CF2" w:rsidRPr="00AB289B" w:rsidRDefault="00A92CF2" w:rsidP="00AF298E">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A92CF2" w:rsidTr="00AF298E">
        <w:tc>
          <w:tcPr>
            <w:tcW w:w="1271" w:type="dxa"/>
            <w:shd w:val="clear" w:color="auto" w:fill="D7DEE2" w:themeFill="text2" w:themeFillTint="33"/>
          </w:tcPr>
          <w:p w:rsidR="00A92CF2" w:rsidRDefault="00A92CF2" w:rsidP="00AF298E">
            <w:pPr>
              <w:spacing w:before="80" w:after="80"/>
            </w:pPr>
            <w:r>
              <w:rPr>
                <w:noProof/>
                <w:lang w:val="en-AU" w:eastAsia="en-AU"/>
              </w:rPr>
              <w:drawing>
                <wp:inline distT="0" distB="0" distL="0" distR="0" wp14:anchorId="514ADA9D" wp14:editId="3FB194F9">
                  <wp:extent cx="612000" cy="61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A92CF2" w:rsidRPr="00AB289B" w:rsidRDefault="00A92CF2" w:rsidP="00AF298E">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A92CF2" w:rsidRDefault="00A92CF2" w:rsidP="00AF298E"/>
        </w:tc>
        <w:tc>
          <w:tcPr>
            <w:tcW w:w="1276" w:type="dxa"/>
            <w:shd w:val="clear" w:color="auto" w:fill="D7DEE2" w:themeFill="text2" w:themeFillTint="33"/>
          </w:tcPr>
          <w:p w:rsidR="00A92CF2" w:rsidRPr="00AB289B" w:rsidRDefault="00A92CF2" w:rsidP="00AF298E">
            <w:pPr>
              <w:spacing w:before="80" w:after="80"/>
              <w:rPr>
                <w:sz w:val="16"/>
              </w:rPr>
            </w:pPr>
          </w:p>
        </w:tc>
        <w:tc>
          <w:tcPr>
            <w:tcW w:w="3544" w:type="dxa"/>
            <w:shd w:val="clear" w:color="auto" w:fill="D7DEE2" w:themeFill="text2" w:themeFillTint="33"/>
          </w:tcPr>
          <w:p w:rsidR="00A92CF2" w:rsidRPr="00AB289B" w:rsidRDefault="00A92CF2" w:rsidP="00AF298E">
            <w:pPr>
              <w:spacing w:before="80" w:after="80"/>
              <w:rPr>
                <w:sz w:val="16"/>
              </w:rPr>
            </w:pPr>
          </w:p>
        </w:tc>
      </w:tr>
    </w:tbl>
    <w:p w:rsidR="00A92CF2" w:rsidRPr="00EF26B5" w:rsidRDefault="00A92CF2" w:rsidP="00C73C66">
      <w:pPr>
        <w:spacing w:after="120"/>
        <w:rPr>
          <w:color w:val="FF0000"/>
        </w:rPr>
      </w:pPr>
    </w:p>
    <w:sectPr w:rsidR="00A92CF2" w:rsidRPr="00EF26B5" w:rsidSect="004839E3">
      <w:headerReference w:type="default" r:id="rId41"/>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F5" w:rsidRDefault="00A856F5" w:rsidP="00EF4574">
      <w:pPr>
        <w:spacing w:before="0" w:after="0" w:line="240" w:lineRule="auto"/>
      </w:pPr>
      <w:r>
        <w:separator/>
      </w:r>
    </w:p>
  </w:endnote>
  <w:endnote w:type="continuationSeparator" w:id="0">
    <w:p w:rsidR="00A856F5" w:rsidRDefault="00A856F5"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D2" w:rsidRDefault="001D6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Default="00EA5E62" w:rsidP="004839E3">
    <w:pPr>
      <w:pStyle w:val="Footer"/>
      <w:rPr>
        <w:lang w:val="en-AU"/>
      </w:rPr>
    </w:pPr>
  </w:p>
  <w:p w:rsidR="00EA5E62" w:rsidRDefault="00EA5E62" w:rsidP="004839E3">
    <w:pPr>
      <w:pStyle w:val="Footer"/>
    </w:pPr>
  </w:p>
  <w:p w:rsidR="00EA5E62" w:rsidRPr="00CD0E4B" w:rsidRDefault="00EA5E62"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EA5E62" w:rsidRPr="00CD0E4B" w:rsidRDefault="00EA5E62" w:rsidP="004839E3">
    <w:pPr>
      <w:pStyle w:val="Footer"/>
      <w:rPr>
        <w:color w:val="ACD08C" w:themeColor="accent3"/>
      </w:rPr>
    </w:pPr>
    <w:r w:rsidRPr="00CD0E4B">
      <w:rPr>
        <w:color w:val="ACD08C" w:themeColor="accent3"/>
      </w:rPr>
      <w:t>DFAT.GOV.AU</w:t>
    </w:r>
  </w:p>
  <w:p w:rsidR="00EA5E62" w:rsidRPr="004839E3" w:rsidRDefault="00EA5E62"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4839E3" w:rsidRDefault="00EA5E62"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EA5E62" w:rsidRDefault="00EA5E62"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Default="00EA5E62" w:rsidP="004839E3">
    <w:pPr>
      <w:pStyle w:val="Footer"/>
      <w:rPr>
        <w:lang w:val="en-AU"/>
      </w:rPr>
    </w:pPr>
  </w:p>
  <w:p w:rsidR="00EA5E62" w:rsidRDefault="00EA5E62" w:rsidP="004839E3">
    <w:pPr>
      <w:pStyle w:val="Footer"/>
    </w:pPr>
  </w:p>
  <w:p w:rsidR="00EA5E62" w:rsidRPr="00CD0E4B" w:rsidRDefault="00EA5E62" w:rsidP="004839E3">
    <w:pPr>
      <w:pStyle w:val="Footer"/>
    </w:pPr>
    <w:r w:rsidRPr="00CD0E4B">
      <w:rPr>
        <w:noProof/>
        <w:lang w:val="en-AU" w:eastAsia="en-AU"/>
      </w:rPr>
      <w:drawing>
        <wp:inline distT="0" distB="0" distL="0" distR="0" wp14:anchorId="629D54FA" wp14:editId="48D1EF42">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EA5E62" w:rsidRPr="00CD0E4B" w:rsidRDefault="00EA5E62" w:rsidP="004839E3">
    <w:pPr>
      <w:pStyle w:val="Footer"/>
      <w:rPr>
        <w:color w:val="ACD08C" w:themeColor="accent3"/>
      </w:rPr>
    </w:pPr>
    <w:r w:rsidRPr="00CD0E4B">
      <w:rPr>
        <w:color w:val="ACD08C" w:themeColor="accent3"/>
      </w:rPr>
      <w:t>DFAT.GOV.AU</w:t>
    </w:r>
  </w:p>
  <w:p w:rsidR="00EA5E62" w:rsidRPr="004839E3" w:rsidRDefault="00EA5E62"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F5" w:rsidRPr="008C5A0E" w:rsidRDefault="00A856F5" w:rsidP="001D663E">
      <w:pPr>
        <w:pStyle w:val="Footer"/>
        <w:pBdr>
          <w:top w:val="single" w:sz="4" w:space="1" w:color="495965" w:themeColor="text2"/>
        </w:pBdr>
      </w:pPr>
    </w:p>
  </w:footnote>
  <w:footnote w:type="continuationSeparator" w:id="0">
    <w:p w:rsidR="00A856F5" w:rsidRDefault="00A856F5" w:rsidP="00EF4574">
      <w:pPr>
        <w:spacing w:before="0" w:after="0" w:line="240" w:lineRule="auto"/>
      </w:pPr>
      <w:r>
        <w:continuationSeparator/>
      </w:r>
    </w:p>
  </w:footnote>
  <w:footnote w:id="1">
    <w:p w:rsidR="00EA5E62" w:rsidRPr="00E9463A" w:rsidRDefault="00EA5E62" w:rsidP="006E33B0">
      <w:pPr>
        <w:pStyle w:val="FootnoteText"/>
        <w:rPr>
          <w:color w:val="auto"/>
          <w:sz w:val="16"/>
          <w:szCs w:val="16"/>
          <w:lang w:val="en-AU"/>
        </w:rPr>
      </w:pPr>
      <w:r w:rsidRPr="00E9463A">
        <w:rPr>
          <w:rStyle w:val="FootnoteReference"/>
          <w:sz w:val="16"/>
          <w:szCs w:val="16"/>
        </w:rPr>
        <w:footnoteRef/>
      </w:r>
      <w:r w:rsidRPr="00E9463A">
        <w:rPr>
          <w:sz w:val="16"/>
          <w:szCs w:val="16"/>
        </w:rPr>
        <w:t xml:space="preserve"> </w:t>
      </w:r>
      <w:r w:rsidRPr="00315935">
        <w:rPr>
          <w:lang w:val="en-AU"/>
        </w:rPr>
        <w:t xml:space="preserve">The aid contributions of Kiribati’s other development partners are revised 2018 outcomes taken from the Government of Kiribati’s 2019 budget: </w:t>
      </w:r>
      <w:hyperlink r:id="rId1" w:history="1">
        <w:r w:rsidRPr="00315935">
          <w:t>http://www.mfed.gov.ki/</w:t>
        </w:r>
      </w:hyperlink>
      <w:r w:rsidRPr="00315935">
        <w:rPr>
          <w:lang w:val="en-AU"/>
        </w:rPr>
        <w:t>.</w:t>
      </w:r>
    </w:p>
  </w:footnote>
  <w:footnote w:id="2">
    <w:p w:rsidR="00EA5E62" w:rsidRPr="00AF298E" w:rsidRDefault="00EA5E62">
      <w:pPr>
        <w:pStyle w:val="FootnoteText"/>
        <w:rPr>
          <w:lang w:val="en-AU"/>
        </w:rPr>
      </w:pPr>
      <w:r>
        <w:rPr>
          <w:rStyle w:val="FootnoteReference"/>
        </w:rPr>
        <w:footnoteRef/>
      </w:r>
      <w:r>
        <w:t xml:space="preserve"> </w:t>
      </w:r>
      <w:r>
        <w:rPr>
          <w:lang w:val="en-AU"/>
        </w:rPr>
        <w:t xml:space="preserve">Note that gender-disaggregated data was not available for this reporting period. This is identified as a management action for 2019-20. </w:t>
      </w:r>
    </w:p>
  </w:footnote>
  <w:footnote w:id="3">
    <w:p w:rsidR="00EA5E62" w:rsidRPr="00887D1B" w:rsidRDefault="00EA5E62">
      <w:pPr>
        <w:pStyle w:val="FootnoteText"/>
        <w:rPr>
          <w:lang w:val="en-AU"/>
        </w:rPr>
      </w:pPr>
      <w:r>
        <w:rPr>
          <w:rStyle w:val="FootnoteReference"/>
        </w:rPr>
        <w:footnoteRef/>
      </w:r>
      <w:r>
        <w:t xml:space="preserve"> </w:t>
      </w:r>
      <w:r>
        <w:rPr>
          <w:lang w:val="en-AU"/>
        </w:rPr>
        <w:t xml:space="preserve">2019-20 Performance Benchmarks are preliminary and may be revised during development of the new Aid Investment Plan.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D2" w:rsidRDefault="001D6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33501" w:rsidRDefault="00EA5E62"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D352D" w:rsidRDefault="00EA5E62"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33501" w:rsidRDefault="00EA5E62"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D352D" w:rsidRDefault="00EA5E62"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33501" w:rsidRDefault="00EA5E62"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D352D" w:rsidRDefault="00EA5E62"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62" w:rsidRPr="00333501" w:rsidRDefault="00EA5E62"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E13976"/>
    <w:multiLevelType w:val="hybridMultilevel"/>
    <w:tmpl w:val="69FEC37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0B19AC"/>
    <w:multiLevelType w:val="hybridMultilevel"/>
    <w:tmpl w:val="456E167E"/>
    <w:lvl w:ilvl="0" w:tplc="2304987C">
      <w:numFmt w:val="bullet"/>
      <w:lvlText w:val="·"/>
      <w:lvlJc w:val="left"/>
      <w:pPr>
        <w:ind w:left="423" w:hanging="390"/>
      </w:pPr>
      <w:rPr>
        <w:rFonts w:ascii="Calibri Light" w:eastAsia="Times New Roman" w:hAnsi="Calibri Light" w:cs="Calibri Light"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18"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43428892"/>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AEE79F2"/>
    <w:multiLevelType w:val="hybridMultilevel"/>
    <w:tmpl w:val="F724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4"/>
  </w:num>
  <w:num w:numId="23">
    <w:abstractNumId w:val="14"/>
  </w:num>
  <w:num w:numId="24">
    <w:abstractNumId w:val="21"/>
  </w:num>
  <w:num w:numId="25">
    <w:abstractNumId w:val="21"/>
  </w:num>
  <w:num w:numId="26">
    <w:abstractNumId w:val="21"/>
  </w:num>
  <w:num w:numId="27">
    <w:abstractNumId w:val="20"/>
  </w:num>
  <w:num w:numId="28">
    <w:abstractNumId w:val="10"/>
  </w:num>
  <w:num w:numId="29">
    <w:abstractNumId w:val="10"/>
  </w:num>
  <w:num w:numId="30">
    <w:abstractNumId w:val="10"/>
  </w:num>
  <w:num w:numId="31">
    <w:abstractNumId w:val="15"/>
  </w:num>
  <w:num w:numId="32">
    <w:abstractNumId w:val="19"/>
  </w:num>
  <w:num w:numId="33">
    <w:abstractNumId w:val="25"/>
  </w:num>
  <w:num w:numId="34">
    <w:abstractNumId w:val="18"/>
  </w:num>
  <w:num w:numId="35">
    <w:abstractNumId w:val="12"/>
  </w:num>
  <w:num w:numId="36">
    <w:abstractNumId w:val="16"/>
  </w:num>
  <w:num w:numId="37">
    <w:abstractNumId w:val="23"/>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15316"/>
    <w:rsid w:val="0002080A"/>
    <w:rsid w:val="0002782F"/>
    <w:rsid w:val="00031512"/>
    <w:rsid w:val="00036CB7"/>
    <w:rsid w:val="00054E4D"/>
    <w:rsid w:val="00057C66"/>
    <w:rsid w:val="00060073"/>
    <w:rsid w:val="00060268"/>
    <w:rsid w:val="00076806"/>
    <w:rsid w:val="00084483"/>
    <w:rsid w:val="000847AD"/>
    <w:rsid w:val="00085E5F"/>
    <w:rsid w:val="0009201C"/>
    <w:rsid w:val="000D3232"/>
    <w:rsid w:val="000D66D6"/>
    <w:rsid w:val="000E1E2C"/>
    <w:rsid w:val="000E314A"/>
    <w:rsid w:val="00122F55"/>
    <w:rsid w:val="001413A3"/>
    <w:rsid w:val="00141AA1"/>
    <w:rsid w:val="001446E7"/>
    <w:rsid w:val="00144867"/>
    <w:rsid w:val="001541EA"/>
    <w:rsid w:val="0016171A"/>
    <w:rsid w:val="00162DE2"/>
    <w:rsid w:val="00166DDA"/>
    <w:rsid w:val="00172E23"/>
    <w:rsid w:val="001827E8"/>
    <w:rsid w:val="00184F1E"/>
    <w:rsid w:val="001A242F"/>
    <w:rsid w:val="001A49BB"/>
    <w:rsid w:val="001C45FF"/>
    <w:rsid w:val="001D11F0"/>
    <w:rsid w:val="001D62D2"/>
    <w:rsid w:val="001D663E"/>
    <w:rsid w:val="001E1DC0"/>
    <w:rsid w:val="001F5C34"/>
    <w:rsid w:val="00207085"/>
    <w:rsid w:val="00212FB7"/>
    <w:rsid w:val="00236A53"/>
    <w:rsid w:val="00272B5F"/>
    <w:rsid w:val="00275DB7"/>
    <w:rsid w:val="00284957"/>
    <w:rsid w:val="0028602A"/>
    <w:rsid w:val="002A4A0E"/>
    <w:rsid w:val="002A51CA"/>
    <w:rsid w:val="002A62C8"/>
    <w:rsid w:val="002B3E95"/>
    <w:rsid w:val="002B5E10"/>
    <w:rsid w:val="002D5FB5"/>
    <w:rsid w:val="002D7317"/>
    <w:rsid w:val="003002C0"/>
    <w:rsid w:val="00301144"/>
    <w:rsid w:val="003148B7"/>
    <w:rsid w:val="003158C3"/>
    <w:rsid w:val="00315935"/>
    <w:rsid w:val="00323E53"/>
    <w:rsid w:val="003274CD"/>
    <w:rsid w:val="00333501"/>
    <w:rsid w:val="003457C4"/>
    <w:rsid w:val="00347EC3"/>
    <w:rsid w:val="0035119D"/>
    <w:rsid w:val="00353365"/>
    <w:rsid w:val="00355299"/>
    <w:rsid w:val="00375EB5"/>
    <w:rsid w:val="00380104"/>
    <w:rsid w:val="003B4F12"/>
    <w:rsid w:val="003C14B0"/>
    <w:rsid w:val="003D352D"/>
    <w:rsid w:val="003E305C"/>
    <w:rsid w:val="003F015A"/>
    <w:rsid w:val="00400B0F"/>
    <w:rsid w:val="00402ACC"/>
    <w:rsid w:val="004120EC"/>
    <w:rsid w:val="0042041F"/>
    <w:rsid w:val="004233C0"/>
    <w:rsid w:val="00423F31"/>
    <w:rsid w:val="00431899"/>
    <w:rsid w:val="00433A3D"/>
    <w:rsid w:val="00436526"/>
    <w:rsid w:val="004527D9"/>
    <w:rsid w:val="004709A6"/>
    <w:rsid w:val="00480422"/>
    <w:rsid w:val="00480CF2"/>
    <w:rsid w:val="004839E3"/>
    <w:rsid w:val="00485745"/>
    <w:rsid w:val="00486804"/>
    <w:rsid w:val="004909AC"/>
    <w:rsid w:val="004977A1"/>
    <w:rsid w:val="004B3775"/>
    <w:rsid w:val="004D0BA0"/>
    <w:rsid w:val="004E0264"/>
    <w:rsid w:val="004E058F"/>
    <w:rsid w:val="004E0BC6"/>
    <w:rsid w:val="004E3B87"/>
    <w:rsid w:val="004F6B1D"/>
    <w:rsid w:val="00506B01"/>
    <w:rsid w:val="00510921"/>
    <w:rsid w:val="00510AD3"/>
    <w:rsid w:val="00513348"/>
    <w:rsid w:val="005151FD"/>
    <w:rsid w:val="00533B5D"/>
    <w:rsid w:val="005347AB"/>
    <w:rsid w:val="00550890"/>
    <w:rsid w:val="00551060"/>
    <w:rsid w:val="005511BF"/>
    <w:rsid w:val="005541EF"/>
    <w:rsid w:val="00580A64"/>
    <w:rsid w:val="0059146A"/>
    <w:rsid w:val="005A06C8"/>
    <w:rsid w:val="005B027B"/>
    <w:rsid w:val="005B1F70"/>
    <w:rsid w:val="005B3541"/>
    <w:rsid w:val="005B5769"/>
    <w:rsid w:val="005B6CF8"/>
    <w:rsid w:val="005C78DB"/>
    <w:rsid w:val="005D3655"/>
    <w:rsid w:val="005D543F"/>
    <w:rsid w:val="005D5723"/>
    <w:rsid w:val="005E606B"/>
    <w:rsid w:val="005F4699"/>
    <w:rsid w:val="00623BA1"/>
    <w:rsid w:val="006346BC"/>
    <w:rsid w:val="006545B9"/>
    <w:rsid w:val="0065778D"/>
    <w:rsid w:val="0066138E"/>
    <w:rsid w:val="0066652A"/>
    <w:rsid w:val="00672654"/>
    <w:rsid w:val="00680522"/>
    <w:rsid w:val="00681F08"/>
    <w:rsid w:val="00682167"/>
    <w:rsid w:val="00695730"/>
    <w:rsid w:val="006C42AF"/>
    <w:rsid w:val="006E33B0"/>
    <w:rsid w:val="006F27B1"/>
    <w:rsid w:val="006F4992"/>
    <w:rsid w:val="00711D8E"/>
    <w:rsid w:val="00712672"/>
    <w:rsid w:val="00734E3F"/>
    <w:rsid w:val="007367F9"/>
    <w:rsid w:val="00736985"/>
    <w:rsid w:val="00745DF5"/>
    <w:rsid w:val="0076250F"/>
    <w:rsid w:val="00762D05"/>
    <w:rsid w:val="00771B53"/>
    <w:rsid w:val="0078075A"/>
    <w:rsid w:val="00784031"/>
    <w:rsid w:val="007A13AE"/>
    <w:rsid w:val="007A6119"/>
    <w:rsid w:val="007A61AD"/>
    <w:rsid w:val="007B2338"/>
    <w:rsid w:val="007B6200"/>
    <w:rsid w:val="007E6475"/>
    <w:rsid w:val="007F32CC"/>
    <w:rsid w:val="007F3395"/>
    <w:rsid w:val="00801B9F"/>
    <w:rsid w:val="008057FD"/>
    <w:rsid w:val="00812509"/>
    <w:rsid w:val="00817190"/>
    <w:rsid w:val="00824319"/>
    <w:rsid w:val="00830D47"/>
    <w:rsid w:val="00835BA0"/>
    <w:rsid w:val="008433E9"/>
    <w:rsid w:val="008475F0"/>
    <w:rsid w:val="00861217"/>
    <w:rsid w:val="00864210"/>
    <w:rsid w:val="00877607"/>
    <w:rsid w:val="00887D1B"/>
    <w:rsid w:val="008A5AFE"/>
    <w:rsid w:val="008B68D7"/>
    <w:rsid w:val="008C2F58"/>
    <w:rsid w:val="008C5A0E"/>
    <w:rsid w:val="008C79BA"/>
    <w:rsid w:val="008D4779"/>
    <w:rsid w:val="008F56A8"/>
    <w:rsid w:val="00916FB1"/>
    <w:rsid w:val="00926FBC"/>
    <w:rsid w:val="009903F3"/>
    <w:rsid w:val="00992C76"/>
    <w:rsid w:val="009B4D3B"/>
    <w:rsid w:val="009D0E69"/>
    <w:rsid w:val="009D3BB9"/>
    <w:rsid w:val="009D7407"/>
    <w:rsid w:val="009E0866"/>
    <w:rsid w:val="009F5488"/>
    <w:rsid w:val="009F6423"/>
    <w:rsid w:val="00A071C1"/>
    <w:rsid w:val="00A10CE8"/>
    <w:rsid w:val="00A24A62"/>
    <w:rsid w:val="00A31C9F"/>
    <w:rsid w:val="00A4144F"/>
    <w:rsid w:val="00A56F14"/>
    <w:rsid w:val="00A56FC0"/>
    <w:rsid w:val="00A70265"/>
    <w:rsid w:val="00A80F95"/>
    <w:rsid w:val="00A8197B"/>
    <w:rsid w:val="00A84162"/>
    <w:rsid w:val="00A856F5"/>
    <w:rsid w:val="00A92CF2"/>
    <w:rsid w:val="00A938DA"/>
    <w:rsid w:val="00A94E8A"/>
    <w:rsid w:val="00AA7BE3"/>
    <w:rsid w:val="00AB5E7F"/>
    <w:rsid w:val="00AC164A"/>
    <w:rsid w:val="00AD27EB"/>
    <w:rsid w:val="00AE2B01"/>
    <w:rsid w:val="00AF0F3F"/>
    <w:rsid w:val="00AF1B85"/>
    <w:rsid w:val="00AF2050"/>
    <w:rsid w:val="00AF298E"/>
    <w:rsid w:val="00B03CA8"/>
    <w:rsid w:val="00B12980"/>
    <w:rsid w:val="00B331DC"/>
    <w:rsid w:val="00B438D3"/>
    <w:rsid w:val="00B55E19"/>
    <w:rsid w:val="00B7018A"/>
    <w:rsid w:val="00B717A8"/>
    <w:rsid w:val="00B754C8"/>
    <w:rsid w:val="00B8475C"/>
    <w:rsid w:val="00B903FE"/>
    <w:rsid w:val="00B907C7"/>
    <w:rsid w:val="00B96AE4"/>
    <w:rsid w:val="00BA4B6D"/>
    <w:rsid w:val="00BB26C5"/>
    <w:rsid w:val="00BB648A"/>
    <w:rsid w:val="00BC055A"/>
    <w:rsid w:val="00BD29CD"/>
    <w:rsid w:val="00BE1BEB"/>
    <w:rsid w:val="00BE6D64"/>
    <w:rsid w:val="00BF3260"/>
    <w:rsid w:val="00BF44D2"/>
    <w:rsid w:val="00BF45B5"/>
    <w:rsid w:val="00BF4DE6"/>
    <w:rsid w:val="00C01EBB"/>
    <w:rsid w:val="00C074B6"/>
    <w:rsid w:val="00C33BA3"/>
    <w:rsid w:val="00C42CDE"/>
    <w:rsid w:val="00C5182A"/>
    <w:rsid w:val="00C523F9"/>
    <w:rsid w:val="00C56C26"/>
    <w:rsid w:val="00C56C62"/>
    <w:rsid w:val="00C6297B"/>
    <w:rsid w:val="00C63EE9"/>
    <w:rsid w:val="00C6626C"/>
    <w:rsid w:val="00C7139B"/>
    <w:rsid w:val="00C7340F"/>
    <w:rsid w:val="00C73C66"/>
    <w:rsid w:val="00C75CFE"/>
    <w:rsid w:val="00CA37B1"/>
    <w:rsid w:val="00CA7371"/>
    <w:rsid w:val="00CB1959"/>
    <w:rsid w:val="00CB47C4"/>
    <w:rsid w:val="00CB6995"/>
    <w:rsid w:val="00CC4767"/>
    <w:rsid w:val="00CD0E4B"/>
    <w:rsid w:val="00CD1652"/>
    <w:rsid w:val="00CE0155"/>
    <w:rsid w:val="00CE2B3E"/>
    <w:rsid w:val="00CF670F"/>
    <w:rsid w:val="00CF6FF5"/>
    <w:rsid w:val="00D00802"/>
    <w:rsid w:val="00D0296C"/>
    <w:rsid w:val="00D061BB"/>
    <w:rsid w:val="00D146A2"/>
    <w:rsid w:val="00D15A00"/>
    <w:rsid w:val="00D2653F"/>
    <w:rsid w:val="00D3008A"/>
    <w:rsid w:val="00D64BD1"/>
    <w:rsid w:val="00D72760"/>
    <w:rsid w:val="00D95B55"/>
    <w:rsid w:val="00DB22B8"/>
    <w:rsid w:val="00DB3620"/>
    <w:rsid w:val="00DD1986"/>
    <w:rsid w:val="00DD3362"/>
    <w:rsid w:val="00DD3FAF"/>
    <w:rsid w:val="00DE084C"/>
    <w:rsid w:val="00DF55AA"/>
    <w:rsid w:val="00E01C62"/>
    <w:rsid w:val="00E01E95"/>
    <w:rsid w:val="00E26799"/>
    <w:rsid w:val="00E3522B"/>
    <w:rsid w:val="00E357B7"/>
    <w:rsid w:val="00E41DEE"/>
    <w:rsid w:val="00E53800"/>
    <w:rsid w:val="00E53D97"/>
    <w:rsid w:val="00E6081F"/>
    <w:rsid w:val="00E65105"/>
    <w:rsid w:val="00E9463A"/>
    <w:rsid w:val="00E9577E"/>
    <w:rsid w:val="00EA04B2"/>
    <w:rsid w:val="00EA20F3"/>
    <w:rsid w:val="00EA5E62"/>
    <w:rsid w:val="00EA6E81"/>
    <w:rsid w:val="00ED1CD6"/>
    <w:rsid w:val="00ED2831"/>
    <w:rsid w:val="00ED43D1"/>
    <w:rsid w:val="00EE4EE1"/>
    <w:rsid w:val="00EF26B5"/>
    <w:rsid w:val="00EF4574"/>
    <w:rsid w:val="00EF4AD9"/>
    <w:rsid w:val="00EF63E6"/>
    <w:rsid w:val="00F06182"/>
    <w:rsid w:val="00F2684E"/>
    <w:rsid w:val="00F27D08"/>
    <w:rsid w:val="00F30714"/>
    <w:rsid w:val="00F3237F"/>
    <w:rsid w:val="00F4140A"/>
    <w:rsid w:val="00F51130"/>
    <w:rsid w:val="00F5404C"/>
    <w:rsid w:val="00F729EF"/>
    <w:rsid w:val="00F7583B"/>
    <w:rsid w:val="00F77CAE"/>
    <w:rsid w:val="00F813BC"/>
    <w:rsid w:val="00F8189A"/>
    <w:rsid w:val="00F81B6E"/>
    <w:rsid w:val="00F82271"/>
    <w:rsid w:val="00F83428"/>
    <w:rsid w:val="00F84330"/>
    <w:rsid w:val="00F918A4"/>
    <w:rsid w:val="00F96BB9"/>
    <w:rsid w:val="00FB4F75"/>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aliases w:val="ftref,fr,16 Point,Superscript 6 Point,Normal + Font:9 Point,Superscript 3 Point Times,Ref,de nota al pie,(NECG) Footnote Reference"/>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98E"/>
    <w:pPr>
      <w:ind w:left="720"/>
      <w:contextualSpacing/>
    </w:pPr>
  </w:style>
  <w:style w:type="character" w:styleId="CommentReference">
    <w:name w:val="annotation reference"/>
    <w:basedOn w:val="DefaultParagraphFont"/>
    <w:uiPriority w:val="99"/>
    <w:semiHidden/>
    <w:unhideWhenUsed/>
    <w:rsid w:val="00AF298E"/>
    <w:rPr>
      <w:sz w:val="16"/>
      <w:szCs w:val="16"/>
    </w:rPr>
  </w:style>
  <w:style w:type="paragraph" w:styleId="CommentText">
    <w:name w:val="annotation text"/>
    <w:basedOn w:val="Normal"/>
    <w:link w:val="CommentTextChar"/>
    <w:uiPriority w:val="99"/>
    <w:unhideWhenUsed/>
    <w:rsid w:val="00AF298E"/>
    <w:pPr>
      <w:spacing w:line="240" w:lineRule="auto"/>
    </w:pPr>
    <w:rPr>
      <w:sz w:val="20"/>
      <w:szCs w:val="20"/>
    </w:rPr>
  </w:style>
  <w:style w:type="character" w:customStyle="1" w:styleId="CommentTextChar">
    <w:name w:val="Comment Text Char"/>
    <w:basedOn w:val="DefaultParagraphFont"/>
    <w:link w:val="CommentText"/>
    <w:uiPriority w:val="99"/>
    <w:rsid w:val="00AF298E"/>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909AC"/>
    <w:rPr>
      <w:b/>
      <w:bCs/>
    </w:rPr>
  </w:style>
  <w:style w:type="character" w:customStyle="1" w:styleId="CommentSubjectChar">
    <w:name w:val="Comment Subject Char"/>
    <w:basedOn w:val="CommentTextChar"/>
    <w:link w:val="CommentSubject"/>
    <w:uiPriority w:val="99"/>
    <w:semiHidden/>
    <w:rsid w:val="004909AC"/>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1648">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413934760">
      <w:bodyDiv w:val="1"/>
      <w:marLeft w:val="0"/>
      <w:marRight w:val="0"/>
      <w:marTop w:val="0"/>
      <w:marBottom w:val="0"/>
      <w:divBdr>
        <w:top w:val="none" w:sz="0" w:space="0" w:color="auto"/>
        <w:left w:val="none" w:sz="0" w:space="0" w:color="auto"/>
        <w:bottom w:val="none" w:sz="0" w:space="0" w:color="auto"/>
        <w:right w:val="none" w:sz="0" w:space="0" w:color="auto"/>
      </w:divBdr>
    </w:div>
    <w:div w:id="695038033">
      <w:bodyDiv w:val="1"/>
      <w:marLeft w:val="0"/>
      <w:marRight w:val="0"/>
      <w:marTop w:val="0"/>
      <w:marBottom w:val="0"/>
      <w:divBdr>
        <w:top w:val="none" w:sz="0" w:space="0" w:color="auto"/>
        <w:left w:val="none" w:sz="0" w:space="0" w:color="auto"/>
        <w:bottom w:val="none" w:sz="0" w:space="0" w:color="auto"/>
        <w:right w:val="none" w:sz="0" w:space="0" w:color="auto"/>
      </w:divBdr>
    </w:div>
    <w:div w:id="1283532290">
      <w:bodyDiv w:val="1"/>
      <w:marLeft w:val="0"/>
      <w:marRight w:val="0"/>
      <w:marTop w:val="0"/>
      <w:marBottom w:val="0"/>
      <w:divBdr>
        <w:top w:val="none" w:sz="0" w:space="0" w:color="auto"/>
        <w:left w:val="none" w:sz="0" w:space="0" w:color="auto"/>
        <w:bottom w:val="none" w:sz="0" w:space="0" w:color="auto"/>
        <w:right w:val="none" w:sz="0" w:space="0" w:color="auto"/>
      </w:divBdr>
    </w:div>
    <w:div w:id="17461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eader" Target="header5.xml"/><Relationship Id="rId39" Type="http://schemas.openxmlformats.org/officeDocument/2006/relationships/image" Target="media/image23.png"/><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image" Target="media/image16.jpe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7.xml"/><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6.xml"/><Relationship Id="rId30" Type="http://schemas.openxmlformats.org/officeDocument/2006/relationships/image" Target="media/image14.png"/><Relationship Id="rId35" Type="http://schemas.openxmlformats.org/officeDocument/2006/relationships/image" Target="media/image19.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footer" Target="footer4.xml"/><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customXml" Target="../customXml/item4.xml"/><Relationship Id="rId20" Type="http://schemas.openxmlformats.org/officeDocument/2006/relationships/image" Target="media/image9.png"/><Relationship Id="rId41"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mfed.gov.k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FD4875-260F-4E11-A27E-6BE8087BB869}"/>
</file>

<file path=customXml/itemProps2.xml><?xml version="1.0" encoding="utf-8"?>
<ds:datastoreItem xmlns:ds="http://schemas.openxmlformats.org/officeDocument/2006/customXml" ds:itemID="{DA4066B3-7A49-47FB-B6F0-A6CE3DA8E772}"/>
</file>

<file path=customXml/itemProps3.xml><?xml version="1.0" encoding="utf-8"?>
<ds:datastoreItem xmlns:ds="http://schemas.openxmlformats.org/officeDocument/2006/customXml" ds:itemID="{7FADB1F9-51EB-4220-B027-BE932AABBE4B}"/>
</file>

<file path=customXml/itemProps4.xml><?xml version="1.0" encoding="utf-8"?>
<ds:datastoreItem xmlns:ds="http://schemas.openxmlformats.org/officeDocument/2006/customXml" ds:itemID="{73261957-AD3D-4C5B-83EB-07EA7F8AD1A4}"/>
</file>

<file path=docProps/app.xml><?xml version="1.0" encoding="utf-8"?>
<Properties xmlns="http://schemas.openxmlformats.org/officeDocument/2006/extended-properties" xmlns:vt="http://schemas.openxmlformats.org/officeDocument/2006/docPropsVTypes">
  <Template>Normal.dotm</Template>
  <TotalTime>0</TotalTime>
  <Pages>14</Pages>
  <Words>5154</Words>
  <Characters>29382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2019-09-27T04:45:00Z</dcterms:created>
  <dcterms:modified xsi:type="dcterms:W3CDTF">2019-09-27T04:45:00Z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50ed7477-a05d-4e18-a05d-47dbfe76f5a2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1267400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