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330E2E0" w14:textId="77777777" w:rsidR="003D352D" w:rsidRPr="00093306" w:rsidRDefault="00A56F14" w:rsidP="00D146A2">
      <w:r w:rsidRPr="00093306">
        <w:rPr>
          <w:noProof/>
          <w:lang w:val="en-AU" w:eastAsia="en-AU"/>
        </w:rPr>
        <w:drawing>
          <wp:anchor distT="0" distB="0" distL="114300" distR="114300" simplePos="0" relativeHeight="251661312" behindDoc="1" locked="1" layoutInCell="1" allowOverlap="1" wp14:anchorId="0EE66B50" wp14:editId="38AFA1D2">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093306">
        <w:rPr>
          <w:noProof/>
          <w:lang w:val="en-AU" w:eastAsia="en-AU"/>
        </w:rPr>
        <w:drawing>
          <wp:anchor distT="0" distB="0" distL="114300" distR="114300" simplePos="0" relativeHeight="251659264" behindDoc="1" locked="1" layoutInCell="1" allowOverlap="1" wp14:anchorId="44DFD340" wp14:editId="59B80F8C">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057C4D9F" w14:textId="77777777" w:rsidR="003D352D" w:rsidRPr="00093306" w:rsidRDefault="003D352D" w:rsidP="00D146A2"/>
    <w:p w14:paraId="0CBA809E" w14:textId="77777777" w:rsidR="003D352D" w:rsidRPr="00093306" w:rsidRDefault="003D352D" w:rsidP="00D146A2"/>
    <w:p w14:paraId="69E4EC2D" w14:textId="77777777" w:rsidR="003D352D" w:rsidRPr="00093306" w:rsidRDefault="003D352D" w:rsidP="00D146A2"/>
    <w:p w14:paraId="0E45738A" w14:textId="77777777" w:rsidR="003D352D" w:rsidRPr="00093306" w:rsidRDefault="003D352D" w:rsidP="00D146A2"/>
    <w:p w14:paraId="196E2504" w14:textId="77777777" w:rsidR="003D352D" w:rsidRPr="00093306" w:rsidRDefault="003D352D" w:rsidP="00D146A2"/>
    <w:p w14:paraId="318EC08D" w14:textId="77777777" w:rsidR="003D352D" w:rsidRPr="00093306" w:rsidRDefault="003D352D" w:rsidP="00D146A2"/>
    <w:p w14:paraId="4C7DC09B" w14:textId="77777777" w:rsidR="003D352D" w:rsidRPr="00093306" w:rsidRDefault="003D352D" w:rsidP="00D146A2"/>
    <w:p w14:paraId="0F52DCEB" w14:textId="77777777" w:rsidR="003D352D" w:rsidRPr="00093306" w:rsidRDefault="003D352D" w:rsidP="00D146A2"/>
    <w:p w14:paraId="78F1D858" w14:textId="77777777" w:rsidR="003D352D" w:rsidRPr="00093306" w:rsidRDefault="003D352D" w:rsidP="00D146A2"/>
    <w:p w14:paraId="710591EA" w14:textId="77777777" w:rsidR="003D352D" w:rsidRPr="00093306" w:rsidRDefault="003D352D" w:rsidP="00D146A2"/>
    <w:p w14:paraId="7DBBB836" w14:textId="77777777" w:rsidR="003D352D" w:rsidRPr="00093306" w:rsidRDefault="003D352D" w:rsidP="00D146A2"/>
    <w:p w14:paraId="2596F9B6" w14:textId="77777777" w:rsidR="003D352D" w:rsidRPr="00093306" w:rsidRDefault="003D352D" w:rsidP="00D146A2"/>
    <w:p w14:paraId="2BF68BF7" w14:textId="77777777" w:rsidR="003D352D" w:rsidRPr="00093306" w:rsidRDefault="003D352D" w:rsidP="00D146A2"/>
    <w:p w14:paraId="2C645C32" w14:textId="77777777" w:rsidR="003D352D" w:rsidRPr="00093306" w:rsidRDefault="003D352D" w:rsidP="00D146A2"/>
    <w:p w14:paraId="2131BF5C" w14:textId="77777777" w:rsidR="003D352D" w:rsidRPr="00093306" w:rsidRDefault="003D352D" w:rsidP="00D146A2"/>
    <w:p w14:paraId="0C86F40F" w14:textId="77777777" w:rsidR="003D352D" w:rsidRPr="00093306" w:rsidRDefault="003D352D" w:rsidP="0059146A"/>
    <w:p w14:paraId="304D8970" w14:textId="77777777" w:rsidR="003D352D" w:rsidRPr="00093306" w:rsidRDefault="003D352D" w:rsidP="0059146A"/>
    <w:p w14:paraId="299E6B0D" w14:textId="77777777" w:rsidR="003D352D" w:rsidRPr="00093306" w:rsidRDefault="003D352D" w:rsidP="0059146A"/>
    <w:p w14:paraId="3D7D91A3" w14:textId="77777777" w:rsidR="003D352D" w:rsidRPr="00093306" w:rsidRDefault="003D352D" w:rsidP="0059146A"/>
    <w:p w14:paraId="1548F1BC" w14:textId="77777777" w:rsidR="003D352D" w:rsidRPr="00093306" w:rsidRDefault="003D352D" w:rsidP="0059146A"/>
    <w:p w14:paraId="2A6E72C5" w14:textId="77777777" w:rsidR="003D352D" w:rsidRPr="00093306" w:rsidRDefault="003D352D" w:rsidP="0059146A"/>
    <w:p w14:paraId="6A35AF41" w14:textId="77777777" w:rsidR="00A56F14" w:rsidRPr="00093306" w:rsidRDefault="00A56F14" w:rsidP="00A56F14"/>
    <w:p w14:paraId="28913997" w14:textId="77777777" w:rsidR="00A56F14" w:rsidRPr="00093306" w:rsidRDefault="00A56F14" w:rsidP="0059146A"/>
    <w:p w14:paraId="665B1BB0" w14:textId="77777777" w:rsidR="00A56F14" w:rsidRPr="00093306" w:rsidRDefault="00A56F14" w:rsidP="0059146A"/>
    <w:p w14:paraId="504213DE" w14:textId="77777777" w:rsidR="0059146A" w:rsidRPr="00093306" w:rsidRDefault="0059146A" w:rsidP="0059146A"/>
    <w:p w14:paraId="1200F8D4" w14:textId="77777777" w:rsidR="0059146A" w:rsidRPr="00093306" w:rsidRDefault="0059146A" w:rsidP="0059146A"/>
    <w:p w14:paraId="4A5693F0" w14:textId="77777777" w:rsidR="0059146A" w:rsidRPr="00093306" w:rsidRDefault="0059146A" w:rsidP="0059146A"/>
    <w:p w14:paraId="76763D7E" w14:textId="77777777" w:rsidR="0059146A" w:rsidRPr="00093306" w:rsidRDefault="0059146A" w:rsidP="0059146A"/>
    <w:p w14:paraId="31220CC6" w14:textId="77777777" w:rsidR="003D352D" w:rsidRPr="00093306" w:rsidRDefault="00A56F14" w:rsidP="003D352D">
      <w:pPr>
        <w:pStyle w:val="Title"/>
        <w:spacing w:after="120" w:line="600" w:lineRule="exact"/>
        <w:rPr>
          <w:spacing w:val="-20"/>
          <w:sz w:val="60"/>
        </w:rPr>
      </w:pPr>
      <w:r w:rsidRPr="00093306">
        <w:rPr>
          <w:spacing w:val="-20"/>
          <w:sz w:val="60"/>
        </w:rPr>
        <w:t>Aid program performance</w:t>
      </w:r>
      <w:r w:rsidR="003D352D" w:rsidRPr="00093306">
        <w:rPr>
          <w:spacing w:val="-20"/>
          <w:sz w:val="60"/>
        </w:rPr>
        <w:t xml:space="preserve"> </w:t>
      </w:r>
      <w:r w:rsidRPr="00093306">
        <w:rPr>
          <w:spacing w:val="-20"/>
          <w:sz w:val="60"/>
        </w:rPr>
        <w:t>report 201</w:t>
      </w:r>
      <w:r w:rsidR="00580A64" w:rsidRPr="00093306">
        <w:rPr>
          <w:spacing w:val="-20"/>
          <w:sz w:val="60"/>
        </w:rPr>
        <w:t>7</w:t>
      </w:r>
      <w:r w:rsidRPr="00093306">
        <w:rPr>
          <w:spacing w:val="-20"/>
          <w:sz w:val="60"/>
        </w:rPr>
        <w:t>-1</w:t>
      </w:r>
      <w:r w:rsidR="00580A64" w:rsidRPr="00093306">
        <w:rPr>
          <w:spacing w:val="-20"/>
          <w:sz w:val="60"/>
        </w:rPr>
        <w:t>8</w:t>
      </w:r>
    </w:p>
    <w:p w14:paraId="0250E778" w14:textId="77777777" w:rsidR="0059146A" w:rsidRPr="00093306" w:rsidRDefault="001712EB" w:rsidP="00A56F14">
      <w:pPr>
        <w:rPr>
          <w:sz w:val="24"/>
        </w:rPr>
        <w:sectPr w:rsidR="0059146A" w:rsidRPr="00093306"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sidRPr="00093306">
        <w:rPr>
          <w:sz w:val="40"/>
        </w:rPr>
        <w:t>Kiribati</w:t>
      </w:r>
      <w:r w:rsidR="0059146A" w:rsidRPr="00093306">
        <w:rPr>
          <w:sz w:val="40"/>
        </w:rPr>
        <w:br/>
      </w:r>
      <w:r w:rsidR="0059146A" w:rsidRPr="00093306">
        <w:rPr>
          <w:sz w:val="24"/>
        </w:rPr>
        <w:t>September 201</w:t>
      </w:r>
      <w:r w:rsidR="00580A64" w:rsidRPr="00093306">
        <w:rPr>
          <w:sz w:val="24"/>
        </w:rPr>
        <w:t>8</w:t>
      </w:r>
    </w:p>
    <w:p w14:paraId="74CC8A68" w14:textId="77777777" w:rsidR="005B5769" w:rsidRPr="00093306" w:rsidRDefault="001712EB" w:rsidP="00B438D3">
      <w:pPr>
        <w:pStyle w:val="Title"/>
      </w:pPr>
      <w:r w:rsidRPr="00093306">
        <w:lastRenderedPageBreak/>
        <w:t>KIRibati</w:t>
      </w:r>
      <w:r w:rsidR="005B5769" w:rsidRPr="00093306">
        <w:t xml:space="preserve"> Aid Program Performance Information 201</w:t>
      </w:r>
      <w:r w:rsidR="00580A64" w:rsidRPr="00093306">
        <w:t>7</w:t>
      </w:r>
      <w:r w:rsidR="005B5769" w:rsidRPr="00093306">
        <w:t>-1</w:t>
      </w:r>
      <w:r w:rsidR="00580A64" w:rsidRPr="00093306">
        <w:t>8</w:t>
      </w:r>
    </w:p>
    <w:p w14:paraId="65E6B13E" w14:textId="77777777" w:rsidR="005B5769" w:rsidRPr="00093306" w:rsidRDefault="005B5769" w:rsidP="00B438D3">
      <w:pPr>
        <w:pStyle w:val="Subtitle"/>
      </w:pPr>
      <w:r w:rsidRPr="00093306">
        <w:t>Summary</w:t>
      </w:r>
    </w:p>
    <w:p w14:paraId="5E2A72DC" w14:textId="66A34ADB" w:rsidR="00CD1652" w:rsidRPr="00093306" w:rsidRDefault="00CD1652" w:rsidP="00CD1652">
      <w:pPr>
        <w:rPr>
          <w:color w:val="auto"/>
        </w:rPr>
      </w:pPr>
      <w:r w:rsidRPr="00093306">
        <w:rPr>
          <w:color w:val="auto"/>
        </w:rPr>
        <w:t xml:space="preserve">This report summarises the performance of Australia’s aid program in </w:t>
      </w:r>
      <w:r w:rsidR="001712EB" w:rsidRPr="00093306">
        <w:rPr>
          <w:color w:val="auto"/>
        </w:rPr>
        <w:t xml:space="preserve">Kiribati </w:t>
      </w:r>
      <w:r w:rsidRPr="00093306">
        <w:rPr>
          <w:color w:val="auto"/>
        </w:rPr>
        <w:t>from July 201</w:t>
      </w:r>
      <w:r w:rsidR="00580A64" w:rsidRPr="00093306">
        <w:rPr>
          <w:color w:val="auto"/>
        </w:rPr>
        <w:t>7</w:t>
      </w:r>
      <w:r w:rsidRPr="00093306">
        <w:rPr>
          <w:color w:val="auto"/>
        </w:rPr>
        <w:t xml:space="preserve"> to June 201</w:t>
      </w:r>
      <w:r w:rsidR="00580A64" w:rsidRPr="00093306">
        <w:rPr>
          <w:color w:val="auto"/>
        </w:rPr>
        <w:t>8</w:t>
      </w:r>
      <w:r w:rsidRPr="00093306">
        <w:rPr>
          <w:color w:val="auto"/>
        </w:rPr>
        <w:t xml:space="preserve"> against the </w:t>
      </w:r>
      <w:r w:rsidR="00895CBF" w:rsidRPr="00093306">
        <w:rPr>
          <w:color w:val="auto"/>
        </w:rPr>
        <w:t>Kiribati A</w:t>
      </w:r>
      <w:r w:rsidRPr="00093306">
        <w:rPr>
          <w:color w:val="auto"/>
        </w:rPr>
        <w:t xml:space="preserve">id Investment Plan </w:t>
      </w:r>
      <w:r w:rsidR="00895CBF" w:rsidRPr="00093306">
        <w:rPr>
          <w:color w:val="auto"/>
        </w:rPr>
        <w:t>2016-17 to 2019-20</w:t>
      </w:r>
      <w:r w:rsidRPr="00093306">
        <w:rPr>
          <w:color w:val="auto"/>
        </w:rPr>
        <w:t xml:space="preserve">. </w:t>
      </w:r>
    </w:p>
    <w:p w14:paraId="1D854BDF" w14:textId="016A92B4" w:rsidR="008763EF" w:rsidRPr="00093306" w:rsidRDefault="008763EF" w:rsidP="00174E97">
      <w:pPr>
        <w:rPr>
          <w:color w:val="auto"/>
        </w:rPr>
      </w:pPr>
      <w:r w:rsidRPr="00093306">
        <w:rPr>
          <w:color w:val="auto"/>
        </w:rPr>
        <w:t xml:space="preserve">Australia’s aid program continues to support the Government of Kiribati to implement its significant economic reforms. In 2017-18, this included </w:t>
      </w:r>
      <w:r w:rsidR="008F0931" w:rsidRPr="00093306">
        <w:rPr>
          <w:color w:val="auto"/>
        </w:rPr>
        <w:t xml:space="preserve">developing a fiscal strategy for the 2019 budget and establishing a procurement unit in the Ministry of Finance and Economic Development to manage all government procurement activities. </w:t>
      </w:r>
    </w:p>
    <w:p w14:paraId="1DBC7DB6" w14:textId="44DBD558" w:rsidR="00104515" w:rsidRPr="00093306" w:rsidRDefault="008763EF" w:rsidP="008763EF">
      <w:pPr>
        <w:rPr>
          <w:color w:val="auto"/>
        </w:rPr>
      </w:pPr>
      <w:r w:rsidRPr="00093306">
        <w:rPr>
          <w:color w:val="auto"/>
        </w:rPr>
        <w:t xml:space="preserve">Our aid program </w:t>
      </w:r>
      <w:r w:rsidR="00FC7286" w:rsidRPr="00093306">
        <w:rPr>
          <w:color w:val="auto"/>
        </w:rPr>
        <w:t xml:space="preserve">is </w:t>
      </w:r>
      <w:r w:rsidRPr="00093306">
        <w:rPr>
          <w:color w:val="auto"/>
        </w:rPr>
        <w:t>also improv</w:t>
      </w:r>
      <w:r w:rsidR="00FC7286" w:rsidRPr="00093306">
        <w:rPr>
          <w:color w:val="auto"/>
        </w:rPr>
        <w:t>ing</w:t>
      </w:r>
      <w:r w:rsidRPr="00093306">
        <w:rPr>
          <w:color w:val="auto"/>
        </w:rPr>
        <w:t xml:space="preserve"> Kiribati’s economic prospects and resilience through developing a better</w:t>
      </w:r>
      <w:r w:rsidR="00A2458A" w:rsidRPr="00093306">
        <w:rPr>
          <w:color w:val="auto"/>
        </w:rPr>
        <w:noBreakHyphen/>
      </w:r>
      <w:r w:rsidRPr="00093306">
        <w:rPr>
          <w:color w:val="auto"/>
        </w:rPr>
        <w:t>educated and healthier population. In 2017-18,</w:t>
      </w:r>
      <w:r w:rsidR="0038345D" w:rsidRPr="00093306">
        <w:rPr>
          <w:color w:val="auto"/>
        </w:rPr>
        <w:t xml:space="preserve"> </w:t>
      </w:r>
      <w:r w:rsidR="00A405C6" w:rsidRPr="00093306">
        <w:rPr>
          <w:rFonts w:eastAsia="Times New Roman"/>
          <w:color w:val="auto"/>
        </w:rPr>
        <w:t>Australia improved</w:t>
      </w:r>
      <w:r w:rsidR="000F4DEE" w:rsidRPr="00093306">
        <w:rPr>
          <w:rFonts w:eastAsia="Times New Roman"/>
          <w:color w:val="auto"/>
        </w:rPr>
        <w:t xml:space="preserve"> the quality and accessibility of</w:t>
      </w:r>
      <w:r w:rsidR="00A405C6" w:rsidRPr="00093306">
        <w:rPr>
          <w:rFonts w:eastAsia="Times New Roman"/>
          <w:color w:val="auto"/>
        </w:rPr>
        <w:t xml:space="preserve"> primar</w:t>
      </w:r>
      <w:r w:rsidR="000F4DEE" w:rsidRPr="00093306">
        <w:rPr>
          <w:rFonts w:eastAsia="Times New Roman"/>
          <w:color w:val="auto"/>
        </w:rPr>
        <w:t>y and secondary education and</w:t>
      </w:r>
      <w:r w:rsidR="0038345D" w:rsidRPr="00093306">
        <w:rPr>
          <w:rFonts w:eastAsia="Times New Roman"/>
          <w:color w:val="auto"/>
        </w:rPr>
        <w:t xml:space="preserve"> </w:t>
      </w:r>
      <w:r w:rsidRPr="00093306">
        <w:rPr>
          <w:color w:val="auto"/>
        </w:rPr>
        <w:t>enhanced the employability of young I-Kiribati</w:t>
      </w:r>
      <w:r w:rsidR="00A2458A" w:rsidRPr="00093306">
        <w:rPr>
          <w:color w:val="auto"/>
        </w:rPr>
        <w:t>,</w:t>
      </w:r>
      <w:r w:rsidR="000F4DEE" w:rsidRPr="00093306">
        <w:rPr>
          <w:color w:val="auto"/>
        </w:rPr>
        <w:t xml:space="preserve"> thereby improving </w:t>
      </w:r>
      <w:r w:rsidRPr="00093306">
        <w:rPr>
          <w:color w:val="auto"/>
        </w:rPr>
        <w:t>their chances of accessing migration opportunities in Australia and elsewhere.</w:t>
      </w:r>
      <w:r w:rsidR="0038345D" w:rsidRPr="00093306">
        <w:rPr>
          <w:color w:val="auto"/>
        </w:rPr>
        <w:t xml:space="preserve"> </w:t>
      </w:r>
      <w:r w:rsidR="000F4DEE" w:rsidRPr="00093306">
        <w:rPr>
          <w:color w:val="auto"/>
        </w:rPr>
        <w:t xml:space="preserve">We also supported </w:t>
      </w:r>
      <w:r w:rsidR="0038345D" w:rsidRPr="00093306">
        <w:rPr>
          <w:color w:val="auto"/>
        </w:rPr>
        <w:t>4</w:t>
      </w:r>
      <w:r w:rsidR="00866D87" w:rsidRPr="00093306">
        <w:rPr>
          <w:color w:val="auto"/>
        </w:rPr>
        <w:t>12</w:t>
      </w:r>
      <w:r w:rsidR="0038345D" w:rsidRPr="00AB1782">
        <w:rPr>
          <w:color w:val="auto"/>
        </w:rPr>
        <w:t xml:space="preserve"> I</w:t>
      </w:r>
      <w:r w:rsidR="00A2458A" w:rsidRPr="00AB1782">
        <w:rPr>
          <w:color w:val="auto"/>
        </w:rPr>
        <w:noBreakHyphen/>
      </w:r>
      <w:r w:rsidR="0038345D" w:rsidRPr="00AB1782">
        <w:rPr>
          <w:color w:val="auto"/>
        </w:rPr>
        <w:t xml:space="preserve">Kiribati </w:t>
      </w:r>
      <w:r w:rsidR="00664F80" w:rsidRPr="00AB1782">
        <w:rPr>
          <w:color w:val="auto"/>
        </w:rPr>
        <w:t>workers</w:t>
      </w:r>
      <w:r w:rsidR="00866D87" w:rsidRPr="00AB1782">
        <w:rPr>
          <w:color w:val="auto"/>
        </w:rPr>
        <w:t xml:space="preserve"> (87 women and</w:t>
      </w:r>
      <w:r w:rsidR="00866D87" w:rsidRPr="00093306">
        <w:rPr>
          <w:color w:val="auto"/>
        </w:rPr>
        <w:t xml:space="preserve"> 325 men)</w:t>
      </w:r>
      <w:r w:rsidR="00664F80" w:rsidRPr="00093306">
        <w:rPr>
          <w:color w:val="auto"/>
        </w:rPr>
        <w:t xml:space="preserve"> </w:t>
      </w:r>
      <w:r w:rsidR="0038345D" w:rsidRPr="00093306">
        <w:rPr>
          <w:rFonts w:eastAsia="Times New Roman"/>
          <w:color w:val="auto"/>
        </w:rPr>
        <w:t>secure temporary employment u</w:t>
      </w:r>
      <w:r w:rsidR="0038345D" w:rsidRPr="00093306">
        <w:rPr>
          <w:color w:val="auto"/>
        </w:rPr>
        <w:t>nder Australia’s labour mobility programs (a significant increase from 127 workers in 2016-17 and 20 workers in 2015-16).</w:t>
      </w:r>
      <w:r w:rsidR="00300638" w:rsidRPr="00093306">
        <w:rPr>
          <w:color w:val="auto"/>
        </w:rPr>
        <w:t xml:space="preserve"> A</w:t>
      </w:r>
      <w:r w:rsidR="0038345D" w:rsidRPr="00093306">
        <w:rPr>
          <w:color w:val="auto"/>
        </w:rPr>
        <w:t>u</w:t>
      </w:r>
      <w:r w:rsidR="00300638" w:rsidRPr="00093306">
        <w:rPr>
          <w:color w:val="auto"/>
        </w:rPr>
        <w:t>s</w:t>
      </w:r>
      <w:r w:rsidR="0038345D" w:rsidRPr="00093306">
        <w:rPr>
          <w:color w:val="auto"/>
        </w:rPr>
        <w:t>tralia al</w:t>
      </w:r>
      <w:r w:rsidR="00300638" w:rsidRPr="00093306">
        <w:rPr>
          <w:color w:val="auto"/>
        </w:rPr>
        <w:t>s</w:t>
      </w:r>
      <w:r w:rsidR="0038345D" w:rsidRPr="00093306">
        <w:rPr>
          <w:color w:val="auto"/>
        </w:rPr>
        <w:t>o supported better health outcomes by</w:t>
      </w:r>
      <w:r w:rsidR="00300638" w:rsidRPr="00093306">
        <w:rPr>
          <w:color w:val="auto"/>
        </w:rPr>
        <w:t xml:space="preserve"> continuing to</w:t>
      </w:r>
      <w:r w:rsidR="006738ED" w:rsidRPr="00093306">
        <w:rPr>
          <w:color w:val="auto"/>
        </w:rPr>
        <w:t xml:space="preserve"> fund the Government of Kiribati’s </w:t>
      </w:r>
      <w:r w:rsidR="006738ED" w:rsidRPr="00093306">
        <w:rPr>
          <w:i/>
          <w:color w:val="auto"/>
        </w:rPr>
        <w:t>National Tuberculosis Program</w:t>
      </w:r>
      <w:r w:rsidR="00300638" w:rsidRPr="00093306">
        <w:rPr>
          <w:color w:val="auto"/>
        </w:rPr>
        <w:t xml:space="preserve"> and de</w:t>
      </w:r>
      <w:r w:rsidR="000F4DEE" w:rsidRPr="00093306">
        <w:rPr>
          <w:color w:val="auto"/>
        </w:rPr>
        <w:t xml:space="preserve">signing </w:t>
      </w:r>
      <w:r w:rsidR="00300638" w:rsidRPr="00093306">
        <w:rPr>
          <w:color w:val="auto"/>
        </w:rPr>
        <w:t xml:space="preserve">a new </w:t>
      </w:r>
      <w:r w:rsidR="006738ED" w:rsidRPr="00093306">
        <w:rPr>
          <w:i/>
          <w:color w:val="auto"/>
        </w:rPr>
        <w:t>Kiribati Health P</w:t>
      </w:r>
      <w:r w:rsidR="00300638" w:rsidRPr="00093306">
        <w:rPr>
          <w:i/>
          <w:color w:val="auto"/>
        </w:rPr>
        <w:t>rogram</w:t>
      </w:r>
      <w:r w:rsidR="006738ED" w:rsidRPr="00093306">
        <w:rPr>
          <w:color w:val="auto"/>
        </w:rPr>
        <w:t xml:space="preserve"> (</w:t>
      </w:r>
      <w:r w:rsidR="00681BDD" w:rsidRPr="00093306">
        <w:rPr>
          <w:color w:val="auto"/>
        </w:rPr>
        <w:t>$</w:t>
      </w:r>
      <w:r w:rsidR="004F1E09" w:rsidRPr="00093306">
        <w:rPr>
          <w:color w:val="auto"/>
        </w:rPr>
        <w:t>3.6</w:t>
      </w:r>
      <w:r w:rsidR="00681BDD" w:rsidRPr="00093306">
        <w:rPr>
          <w:color w:val="auto"/>
        </w:rPr>
        <w:t xml:space="preserve"> </w:t>
      </w:r>
      <w:r w:rsidR="006738ED" w:rsidRPr="00093306">
        <w:rPr>
          <w:color w:val="auto"/>
        </w:rPr>
        <w:t>million, 20</w:t>
      </w:r>
      <w:r w:rsidR="004F1E09" w:rsidRPr="00093306">
        <w:rPr>
          <w:color w:val="auto"/>
        </w:rPr>
        <w:t xml:space="preserve">18 </w:t>
      </w:r>
      <w:r w:rsidR="006738ED" w:rsidRPr="00093306">
        <w:rPr>
          <w:color w:val="auto"/>
        </w:rPr>
        <w:t>-</w:t>
      </w:r>
      <w:r w:rsidR="004F1E09" w:rsidRPr="00093306">
        <w:rPr>
          <w:color w:val="auto"/>
        </w:rPr>
        <w:t>2021</w:t>
      </w:r>
      <w:r w:rsidR="006738ED" w:rsidRPr="00093306">
        <w:rPr>
          <w:color w:val="auto"/>
        </w:rPr>
        <w:t>)</w:t>
      </w:r>
      <w:r w:rsidR="00300638" w:rsidRPr="00093306">
        <w:rPr>
          <w:color w:val="auto"/>
        </w:rPr>
        <w:t xml:space="preserve">. </w:t>
      </w:r>
      <w:r w:rsidR="00104515" w:rsidRPr="00093306">
        <w:rPr>
          <w:color w:val="auto"/>
        </w:rPr>
        <w:t xml:space="preserve">Australia </w:t>
      </w:r>
      <w:r w:rsidR="00290161" w:rsidRPr="00093306">
        <w:rPr>
          <w:color w:val="auto"/>
        </w:rPr>
        <w:t xml:space="preserve">is </w:t>
      </w:r>
      <w:r w:rsidR="00104515" w:rsidRPr="00093306">
        <w:rPr>
          <w:color w:val="auto"/>
        </w:rPr>
        <w:t>working to address issues of gender equality, inclusion of people with disability and climate change resilience across all our investments.</w:t>
      </w:r>
    </w:p>
    <w:p w14:paraId="57C7AE9B" w14:textId="4FC7BD12" w:rsidR="00553366" w:rsidRPr="00093306" w:rsidRDefault="008763EF" w:rsidP="001E07B7">
      <w:pPr>
        <w:rPr>
          <w:color w:val="auto"/>
        </w:rPr>
      </w:pPr>
      <w:r w:rsidRPr="00093306">
        <w:rPr>
          <w:color w:val="auto"/>
        </w:rPr>
        <w:t>Australia’s program priorities and methods</w:t>
      </w:r>
      <w:r w:rsidR="000F4DEE" w:rsidRPr="00093306">
        <w:rPr>
          <w:color w:val="auto"/>
        </w:rPr>
        <w:t xml:space="preserve"> continue to be </w:t>
      </w:r>
      <w:r w:rsidRPr="00093306">
        <w:rPr>
          <w:color w:val="auto"/>
        </w:rPr>
        <w:t xml:space="preserve">relevant and are consistent with the </w:t>
      </w:r>
      <w:r w:rsidRPr="00093306">
        <w:rPr>
          <w:i/>
          <w:color w:val="auto"/>
        </w:rPr>
        <w:t>Kiribati Development Plan (2016-19)</w:t>
      </w:r>
      <w:r w:rsidRPr="00093306">
        <w:rPr>
          <w:color w:val="auto"/>
        </w:rPr>
        <w:t xml:space="preserve">, the </w:t>
      </w:r>
      <w:r w:rsidRPr="00093306">
        <w:rPr>
          <w:i/>
          <w:color w:val="auto"/>
        </w:rPr>
        <w:t>Kiribati 20 Year Vision</w:t>
      </w:r>
      <w:r w:rsidRPr="00093306">
        <w:rPr>
          <w:color w:val="auto"/>
        </w:rPr>
        <w:t xml:space="preserve">, as well as our own aid policies. </w:t>
      </w:r>
      <w:r w:rsidR="008C33B0" w:rsidRPr="00093306">
        <w:rPr>
          <w:color w:val="auto"/>
        </w:rPr>
        <w:t>Our</w:t>
      </w:r>
      <w:r w:rsidR="00553366" w:rsidRPr="00093306">
        <w:rPr>
          <w:color w:val="auto"/>
        </w:rPr>
        <w:t xml:space="preserve"> aid program to Kiribati also contributes to the strategic objectives outline</w:t>
      </w:r>
      <w:r w:rsidR="008C33B0" w:rsidRPr="00093306">
        <w:rPr>
          <w:color w:val="auto"/>
        </w:rPr>
        <w:t>d</w:t>
      </w:r>
      <w:r w:rsidR="00553366" w:rsidRPr="00093306">
        <w:rPr>
          <w:color w:val="auto"/>
        </w:rPr>
        <w:t xml:space="preserve"> in </w:t>
      </w:r>
      <w:r w:rsidR="008C33B0" w:rsidRPr="00093306">
        <w:rPr>
          <w:color w:val="auto"/>
        </w:rPr>
        <w:t>our</w:t>
      </w:r>
      <w:r w:rsidR="00553366" w:rsidRPr="00093306">
        <w:rPr>
          <w:color w:val="auto"/>
        </w:rPr>
        <w:t xml:space="preserve"> 2017 Foreign White Paper, particularly a stable and prosperous </w:t>
      </w:r>
      <w:r w:rsidR="008C33B0" w:rsidRPr="00093306">
        <w:rPr>
          <w:color w:val="auto"/>
        </w:rPr>
        <w:t>Indo-</w:t>
      </w:r>
      <w:r w:rsidR="00553366" w:rsidRPr="00093306">
        <w:rPr>
          <w:color w:val="auto"/>
        </w:rPr>
        <w:t>Pacific region. With GNI per capita at USD2,800, Kiribati is one of the poor</w:t>
      </w:r>
      <w:r w:rsidR="008669D5">
        <w:rPr>
          <w:color w:val="auto"/>
        </w:rPr>
        <w:t>est</w:t>
      </w:r>
      <w:r w:rsidR="00553366" w:rsidRPr="00093306">
        <w:rPr>
          <w:color w:val="auto"/>
        </w:rPr>
        <w:t xml:space="preserve"> countries in the region. Its </w:t>
      </w:r>
      <w:r w:rsidR="00DF3282" w:rsidRPr="00093306">
        <w:rPr>
          <w:color w:val="auto"/>
        </w:rPr>
        <w:t>distance from markets, small and dispersed population</w:t>
      </w:r>
      <w:r w:rsidR="00553366" w:rsidRPr="00093306">
        <w:rPr>
          <w:color w:val="auto"/>
        </w:rPr>
        <w:t>,</w:t>
      </w:r>
      <w:r w:rsidR="008C33B0" w:rsidRPr="00093306">
        <w:rPr>
          <w:color w:val="auto"/>
        </w:rPr>
        <w:t xml:space="preserve"> </w:t>
      </w:r>
      <w:r w:rsidR="00936C10" w:rsidRPr="00093306">
        <w:rPr>
          <w:color w:val="auto"/>
        </w:rPr>
        <w:t>narrow resource base,</w:t>
      </w:r>
      <w:r w:rsidR="00553366" w:rsidRPr="00093306">
        <w:rPr>
          <w:color w:val="auto"/>
        </w:rPr>
        <w:t xml:space="preserve"> limited private sector activity </w:t>
      </w:r>
      <w:r w:rsidR="00936C10" w:rsidRPr="00093306">
        <w:rPr>
          <w:color w:val="auto"/>
        </w:rPr>
        <w:t xml:space="preserve">and environmental </w:t>
      </w:r>
      <w:r w:rsidR="00DF3282" w:rsidRPr="00093306">
        <w:rPr>
          <w:color w:val="auto"/>
        </w:rPr>
        <w:t xml:space="preserve">vulnerability </w:t>
      </w:r>
      <w:r w:rsidR="00553366" w:rsidRPr="00093306">
        <w:rPr>
          <w:color w:val="auto"/>
        </w:rPr>
        <w:t>means that it relies heavily on</w:t>
      </w:r>
      <w:r w:rsidR="008669D5">
        <w:rPr>
          <w:color w:val="auto"/>
        </w:rPr>
        <w:t xml:space="preserve"> official</w:t>
      </w:r>
      <w:r w:rsidR="00553366" w:rsidRPr="00093306">
        <w:rPr>
          <w:color w:val="auto"/>
        </w:rPr>
        <w:t xml:space="preserve"> development assistance</w:t>
      </w:r>
      <w:r w:rsidR="008669D5">
        <w:rPr>
          <w:color w:val="auto"/>
        </w:rPr>
        <w:t xml:space="preserve"> (ODA)</w:t>
      </w:r>
      <w:r w:rsidR="008C33B0" w:rsidRPr="00093306">
        <w:rPr>
          <w:color w:val="auto"/>
        </w:rPr>
        <w:t xml:space="preserve"> for economic and social stability.</w:t>
      </w:r>
      <w:r w:rsidR="00553366" w:rsidRPr="00093306">
        <w:rPr>
          <w:color w:val="auto"/>
        </w:rPr>
        <w:t xml:space="preserve"> </w:t>
      </w:r>
    </w:p>
    <w:p w14:paraId="47BB87D1" w14:textId="25E1FDE8" w:rsidR="0031704D" w:rsidRPr="00093306" w:rsidRDefault="00B94FAA">
      <w:pPr>
        <w:rPr>
          <w:color w:val="auto"/>
        </w:rPr>
      </w:pPr>
      <w:r w:rsidRPr="00093306">
        <w:rPr>
          <w:color w:val="auto"/>
        </w:rPr>
        <w:t>Australia</w:t>
      </w:r>
      <w:r w:rsidR="008763EF" w:rsidRPr="00093306">
        <w:rPr>
          <w:color w:val="auto"/>
        </w:rPr>
        <w:t xml:space="preserve"> </w:t>
      </w:r>
      <w:r w:rsidR="00936C10" w:rsidRPr="00093306">
        <w:rPr>
          <w:color w:val="auto"/>
        </w:rPr>
        <w:t>i</w:t>
      </w:r>
      <w:r w:rsidR="008C33B0" w:rsidRPr="00093306">
        <w:rPr>
          <w:color w:val="auto"/>
        </w:rPr>
        <w:t>s</w:t>
      </w:r>
      <w:r w:rsidR="008763EF" w:rsidRPr="00093306">
        <w:rPr>
          <w:color w:val="auto"/>
        </w:rPr>
        <w:t xml:space="preserve"> Kiribati’s largest </w:t>
      </w:r>
      <w:r w:rsidR="00FD6512" w:rsidRPr="00093306">
        <w:rPr>
          <w:color w:val="auto"/>
        </w:rPr>
        <w:t xml:space="preserve">bilateral </w:t>
      </w:r>
      <w:r w:rsidR="008763EF" w:rsidRPr="00093306">
        <w:rPr>
          <w:color w:val="auto"/>
        </w:rPr>
        <w:t xml:space="preserve">aid donor. In 2017-18, </w:t>
      </w:r>
      <w:r w:rsidRPr="00093306">
        <w:rPr>
          <w:color w:val="auto"/>
        </w:rPr>
        <w:t>we</w:t>
      </w:r>
      <w:r w:rsidR="008763EF" w:rsidRPr="00093306">
        <w:rPr>
          <w:color w:val="auto"/>
        </w:rPr>
        <w:t xml:space="preserve"> provided an estimated $27.7</w:t>
      </w:r>
      <w:r w:rsidR="008C33B0" w:rsidRPr="00093306">
        <w:rPr>
          <w:color w:val="auto"/>
        </w:rPr>
        <w:t> </w:t>
      </w:r>
      <w:r w:rsidR="008763EF" w:rsidRPr="00093306">
        <w:rPr>
          <w:color w:val="auto"/>
        </w:rPr>
        <w:t>million in ODA to Kiribati</w:t>
      </w:r>
      <w:r w:rsidR="00E9247F" w:rsidRPr="00093306">
        <w:rPr>
          <w:color w:val="auto"/>
        </w:rPr>
        <w:t xml:space="preserve"> (</w:t>
      </w:r>
      <w:r w:rsidR="00741B84" w:rsidRPr="00093306">
        <w:rPr>
          <w:color w:val="auto"/>
        </w:rPr>
        <w:t xml:space="preserve">equivalent to </w:t>
      </w:r>
      <w:r w:rsidR="00E9247F" w:rsidRPr="00093306">
        <w:rPr>
          <w:color w:val="auto"/>
        </w:rPr>
        <w:t>almost 15</w:t>
      </w:r>
      <w:r w:rsidR="008763EF" w:rsidRPr="00093306">
        <w:rPr>
          <w:color w:val="auto"/>
        </w:rPr>
        <w:t xml:space="preserve"> per cent of </w:t>
      </w:r>
      <w:r w:rsidR="00E9247F" w:rsidRPr="00093306">
        <w:rPr>
          <w:color w:val="auto"/>
        </w:rPr>
        <w:t>the Government</w:t>
      </w:r>
      <w:r w:rsidR="00741B84" w:rsidRPr="00093306">
        <w:rPr>
          <w:color w:val="auto"/>
        </w:rPr>
        <w:t xml:space="preserve"> of Kiribati</w:t>
      </w:r>
      <w:r w:rsidR="00E9247F" w:rsidRPr="00093306">
        <w:rPr>
          <w:color w:val="auto"/>
        </w:rPr>
        <w:t xml:space="preserve">’s estimated </w:t>
      </w:r>
      <w:r w:rsidR="00FD6512" w:rsidRPr="00093306">
        <w:rPr>
          <w:color w:val="auto"/>
        </w:rPr>
        <w:t>2018</w:t>
      </w:r>
      <w:r w:rsidR="008763EF" w:rsidRPr="00093306">
        <w:rPr>
          <w:color w:val="auto"/>
        </w:rPr>
        <w:t xml:space="preserve"> </w:t>
      </w:r>
      <w:r w:rsidR="00E9247F" w:rsidRPr="00093306">
        <w:rPr>
          <w:color w:val="auto"/>
        </w:rPr>
        <w:t>expenditure</w:t>
      </w:r>
      <w:r w:rsidR="008763EF" w:rsidRPr="00093306">
        <w:rPr>
          <w:color w:val="auto"/>
        </w:rPr>
        <w:t>).</w:t>
      </w:r>
      <w:r w:rsidR="0032485B" w:rsidRPr="00093306">
        <w:rPr>
          <w:rStyle w:val="FootnoteReference"/>
          <w:color w:val="auto"/>
        </w:rPr>
        <w:footnoteReference w:id="1"/>
      </w:r>
      <w:r w:rsidR="008763EF" w:rsidRPr="00093306">
        <w:rPr>
          <w:color w:val="auto"/>
        </w:rPr>
        <w:t xml:space="preserve"> Kiribati’s other long-term</w:t>
      </w:r>
      <w:r w:rsidR="00FD6512" w:rsidRPr="00093306">
        <w:rPr>
          <w:color w:val="auto"/>
        </w:rPr>
        <w:t xml:space="preserve"> bilateral</w:t>
      </w:r>
      <w:r w:rsidR="008763EF" w:rsidRPr="000D787E">
        <w:rPr>
          <w:color w:val="auto"/>
        </w:rPr>
        <w:t xml:space="preserve"> partners include Japan</w:t>
      </w:r>
      <w:r w:rsidR="008763EF" w:rsidRPr="00AB1782">
        <w:rPr>
          <w:color w:val="auto"/>
        </w:rPr>
        <w:t xml:space="preserve"> ($2</w:t>
      </w:r>
      <w:r w:rsidR="00FD6512" w:rsidRPr="00AB1782">
        <w:rPr>
          <w:color w:val="auto"/>
        </w:rPr>
        <w:t>3.9</w:t>
      </w:r>
      <w:r w:rsidR="00741B84" w:rsidRPr="00AB1782">
        <w:rPr>
          <w:color w:val="auto"/>
        </w:rPr>
        <w:t> </w:t>
      </w:r>
      <w:r w:rsidR="008763EF" w:rsidRPr="00AB1782">
        <w:rPr>
          <w:color w:val="auto"/>
        </w:rPr>
        <w:t>million),</w:t>
      </w:r>
      <w:r w:rsidR="00D10F14" w:rsidRPr="00AB1782">
        <w:rPr>
          <w:color w:val="auto"/>
        </w:rPr>
        <w:t xml:space="preserve"> the European Union ($21.9 million)</w:t>
      </w:r>
      <w:r w:rsidR="008763EF" w:rsidRPr="00AB1782">
        <w:rPr>
          <w:color w:val="auto"/>
        </w:rPr>
        <w:t>,</w:t>
      </w:r>
      <w:r w:rsidR="00D10F14" w:rsidRPr="00093306">
        <w:rPr>
          <w:color w:val="auto"/>
        </w:rPr>
        <w:t xml:space="preserve"> Taiwan ($20</w:t>
      </w:r>
      <w:r w:rsidR="00F27A66" w:rsidRPr="00093306">
        <w:rPr>
          <w:color w:val="auto"/>
        </w:rPr>
        <w:t> </w:t>
      </w:r>
      <w:r w:rsidR="00D10F14" w:rsidRPr="00093306">
        <w:rPr>
          <w:color w:val="auto"/>
        </w:rPr>
        <w:t>million) and</w:t>
      </w:r>
      <w:r w:rsidR="008763EF" w:rsidRPr="00093306">
        <w:rPr>
          <w:color w:val="auto"/>
        </w:rPr>
        <w:t xml:space="preserve"> New Zealand ($14</w:t>
      </w:r>
      <w:r w:rsidR="00D10F14" w:rsidRPr="00093306">
        <w:rPr>
          <w:color w:val="auto"/>
        </w:rPr>
        <w:t>.2</w:t>
      </w:r>
      <w:r w:rsidR="008763EF" w:rsidRPr="00093306">
        <w:rPr>
          <w:color w:val="auto"/>
        </w:rPr>
        <w:t xml:space="preserve"> million)</w:t>
      </w:r>
      <w:r w:rsidR="00D10F14" w:rsidRPr="00093306">
        <w:rPr>
          <w:color w:val="auto"/>
        </w:rPr>
        <w:t>.</w:t>
      </w:r>
      <w:r w:rsidR="008763EF" w:rsidRPr="00093306">
        <w:rPr>
          <w:color w:val="auto"/>
        </w:rPr>
        <w:t xml:space="preserve"> </w:t>
      </w:r>
      <w:r w:rsidR="00F27A66" w:rsidRPr="00093306">
        <w:rPr>
          <w:color w:val="auto"/>
        </w:rPr>
        <w:t xml:space="preserve">The multilateral development banks are also major donors to Kiribati </w:t>
      </w:r>
      <w:r w:rsidR="00681BDD" w:rsidRPr="00093306">
        <w:rPr>
          <w:color w:val="auto"/>
        </w:rPr>
        <w:t>and wi</w:t>
      </w:r>
      <w:r w:rsidR="00290161" w:rsidRPr="00093306">
        <w:rPr>
          <w:color w:val="auto"/>
        </w:rPr>
        <w:t>ll</w:t>
      </w:r>
      <w:r w:rsidR="00681BDD" w:rsidRPr="00093306">
        <w:rPr>
          <w:color w:val="auto"/>
        </w:rPr>
        <w:t xml:space="preserve"> surpass Australia’s contribution in 2018 </w:t>
      </w:r>
      <w:r w:rsidR="00F27A66" w:rsidRPr="00093306">
        <w:rPr>
          <w:color w:val="auto"/>
        </w:rPr>
        <w:t>with</w:t>
      </w:r>
      <w:r w:rsidR="008763EF" w:rsidRPr="00093306">
        <w:rPr>
          <w:color w:val="auto"/>
        </w:rPr>
        <w:t xml:space="preserve"> the Asian Development Bank </w:t>
      </w:r>
      <w:r w:rsidR="00E40738">
        <w:rPr>
          <w:color w:val="auto"/>
        </w:rPr>
        <w:t xml:space="preserve">(ADB) </w:t>
      </w:r>
      <w:r w:rsidR="00F27A66" w:rsidRPr="00093306">
        <w:rPr>
          <w:color w:val="auto"/>
        </w:rPr>
        <w:t>providing $33.4</w:t>
      </w:r>
      <w:r w:rsidR="008763EF" w:rsidRPr="00093306">
        <w:rPr>
          <w:color w:val="auto"/>
        </w:rPr>
        <w:t xml:space="preserve"> million</w:t>
      </w:r>
      <w:r w:rsidR="00F27A66" w:rsidRPr="00093306">
        <w:rPr>
          <w:color w:val="auto"/>
        </w:rPr>
        <w:t xml:space="preserve"> and</w:t>
      </w:r>
      <w:r w:rsidR="00FD6512" w:rsidRPr="00093306">
        <w:rPr>
          <w:color w:val="auto"/>
        </w:rPr>
        <w:t xml:space="preserve"> the World Bank</w:t>
      </w:r>
      <w:r w:rsidR="00741B84" w:rsidRPr="00093306">
        <w:rPr>
          <w:color w:val="auto"/>
        </w:rPr>
        <w:t xml:space="preserve"> providing</w:t>
      </w:r>
      <w:r w:rsidR="00FD6512" w:rsidRPr="00093306">
        <w:rPr>
          <w:color w:val="auto"/>
        </w:rPr>
        <w:t xml:space="preserve"> </w:t>
      </w:r>
      <w:r w:rsidR="00F27A66" w:rsidRPr="00093306">
        <w:rPr>
          <w:color w:val="auto"/>
        </w:rPr>
        <w:t>$30.2</w:t>
      </w:r>
      <w:r w:rsidR="00E9247F" w:rsidRPr="00093306">
        <w:rPr>
          <w:color w:val="auto"/>
        </w:rPr>
        <w:t> </w:t>
      </w:r>
      <w:r w:rsidR="00F27A66" w:rsidRPr="00093306">
        <w:rPr>
          <w:color w:val="auto"/>
        </w:rPr>
        <w:t xml:space="preserve">million. </w:t>
      </w:r>
    </w:p>
    <w:p w14:paraId="081A6E3C" w14:textId="77777777" w:rsidR="00184F1E" w:rsidRPr="00093306" w:rsidRDefault="00184F1E"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093306">
        <w:rPr>
          <w:rFonts w:asciiTheme="majorHAnsi" w:eastAsiaTheme="majorEastAsia" w:hAnsiTheme="majorHAnsi" w:cstheme="majorBidi"/>
          <w:caps/>
          <w:color w:val="495965" w:themeColor="text2"/>
          <w:sz w:val="38"/>
          <w:szCs w:val="26"/>
          <w:lang w:val="en-GB" w:eastAsia="en-US"/>
        </w:rPr>
        <w:t>Expenditure</w:t>
      </w:r>
    </w:p>
    <w:p w14:paraId="1D20AF80" w14:textId="655BAC0F" w:rsidR="00184F1E" w:rsidRPr="000D787E" w:rsidRDefault="00184F1E" w:rsidP="00184F1E">
      <w:pPr>
        <w:rPr>
          <w:b/>
          <w:sz w:val="24"/>
        </w:rPr>
      </w:pPr>
      <w:r w:rsidRPr="00093306">
        <w:rPr>
          <w:b/>
          <w:sz w:val="24"/>
        </w:rPr>
        <w:t xml:space="preserve">Table </w:t>
      </w:r>
      <w:r w:rsidRPr="00093306">
        <w:rPr>
          <w:b/>
          <w:sz w:val="24"/>
        </w:rPr>
        <w:fldChar w:fldCharType="begin"/>
      </w:r>
      <w:r w:rsidRPr="00093306">
        <w:rPr>
          <w:b/>
          <w:sz w:val="24"/>
        </w:rPr>
        <w:instrText xml:space="preserve"> SEQ Table \* ARABIC </w:instrText>
      </w:r>
      <w:r w:rsidRPr="00093306">
        <w:rPr>
          <w:b/>
          <w:sz w:val="24"/>
        </w:rPr>
        <w:fldChar w:fldCharType="separate"/>
      </w:r>
      <w:r w:rsidR="00E14F12">
        <w:rPr>
          <w:b/>
          <w:noProof/>
          <w:sz w:val="24"/>
        </w:rPr>
        <w:t>1</w:t>
      </w:r>
      <w:r w:rsidRPr="00093306">
        <w:rPr>
          <w:b/>
          <w:noProof/>
          <w:sz w:val="24"/>
        </w:rPr>
        <w:fldChar w:fldCharType="end"/>
      </w:r>
      <w:r w:rsidRPr="00093306">
        <w:rPr>
          <w:b/>
          <w:sz w:val="24"/>
        </w:rPr>
        <w:t xml:space="preserve"> Total ODA Expenditure in FY 201</w:t>
      </w:r>
      <w:r w:rsidR="00580A64" w:rsidRPr="00093306">
        <w:rPr>
          <w:b/>
          <w:sz w:val="24"/>
        </w:rPr>
        <w:t>7</w:t>
      </w:r>
      <w:r w:rsidRPr="000D787E">
        <w:rPr>
          <w:b/>
          <w:sz w:val="24"/>
        </w:rPr>
        <w:t>-1</w:t>
      </w:r>
      <w:r w:rsidR="00580A64" w:rsidRPr="000D787E">
        <w:rPr>
          <w:b/>
          <w:sz w:val="24"/>
        </w:rPr>
        <w:t>8</w:t>
      </w:r>
      <w:r w:rsidR="008337D9" w:rsidRPr="000D787E">
        <w:rPr>
          <w:b/>
          <w:sz w:val="24"/>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RPr="00093306" w14:paraId="3CEAA723" w14:textId="77777777" w:rsidTr="00CD1652">
        <w:tc>
          <w:tcPr>
            <w:tcW w:w="6374" w:type="dxa"/>
          </w:tcPr>
          <w:p w14:paraId="09F97BDF" w14:textId="77777777" w:rsidR="00CD1652" w:rsidRPr="00AB1782" w:rsidRDefault="00CD1652" w:rsidP="00C33696">
            <w:pPr>
              <w:rPr>
                <w:b/>
                <w:sz w:val="24"/>
              </w:rPr>
            </w:pPr>
            <w:r w:rsidRPr="00AB1782">
              <w:rPr>
                <w:sz w:val="20"/>
              </w:rPr>
              <w:t>Objective</w:t>
            </w:r>
          </w:p>
        </w:tc>
        <w:tc>
          <w:tcPr>
            <w:tcW w:w="1423" w:type="dxa"/>
          </w:tcPr>
          <w:p w14:paraId="4311E098" w14:textId="77777777" w:rsidR="00CD1652" w:rsidRPr="00AB1782" w:rsidRDefault="00CD1652" w:rsidP="00C33696">
            <w:pPr>
              <w:jc w:val="center"/>
              <w:rPr>
                <w:b/>
                <w:sz w:val="24"/>
              </w:rPr>
            </w:pPr>
            <w:r w:rsidRPr="00AB1782">
              <w:rPr>
                <w:sz w:val="20"/>
              </w:rPr>
              <w:t>A$ million</w:t>
            </w:r>
          </w:p>
        </w:tc>
        <w:tc>
          <w:tcPr>
            <w:tcW w:w="1417" w:type="dxa"/>
          </w:tcPr>
          <w:p w14:paraId="1FE2051B" w14:textId="77777777" w:rsidR="00CD1652" w:rsidRPr="00093306" w:rsidRDefault="00CD1652" w:rsidP="00C33696">
            <w:pPr>
              <w:jc w:val="center"/>
              <w:rPr>
                <w:b/>
                <w:sz w:val="24"/>
              </w:rPr>
            </w:pPr>
            <w:r w:rsidRPr="00093306">
              <w:rPr>
                <w:sz w:val="20"/>
              </w:rPr>
              <w:t>% of total ODA</w:t>
            </w:r>
          </w:p>
        </w:tc>
      </w:tr>
      <w:tr w:rsidR="00CD1652" w:rsidRPr="00093306" w14:paraId="272210D7" w14:textId="77777777" w:rsidTr="007F6FEE">
        <w:tc>
          <w:tcPr>
            <w:tcW w:w="6374" w:type="dxa"/>
          </w:tcPr>
          <w:p w14:paraId="111ACAC0" w14:textId="77777777" w:rsidR="00CD1652" w:rsidRPr="00093306" w:rsidRDefault="00CD1652" w:rsidP="00C33696">
            <w:pPr>
              <w:rPr>
                <w:b/>
                <w:sz w:val="24"/>
              </w:rPr>
            </w:pPr>
            <w:r w:rsidRPr="00093306">
              <w:rPr>
                <w:sz w:val="20"/>
              </w:rPr>
              <w:t>Objective 1</w:t>
            </w:r>
            <w:r w:rsidR="001D333D" w:rsidRPr="00093306">
              <w:t>: Implementing economic reforms</w:t>
            </w:r>
          </w:p>
        </w:tc>
        <w:tc>
          <w:tcPr>
            <w:tcW w:w="1423" w:type="dxa"/>
            <w:shd w:val="clear" w:color="auto" w:fill="FFFFFF" w:themeFill="background1"/>
          </w:tcPr>
          <w:p w14:paraId="4BE0E3D8" w14:textId="77AD5851" w:rsidR="00CD1652" w:rsidRPr="00093306" w:rsidRDefault="007F6FEE" w:rsidP="00E820CC">
            <w:pPr>
              <w:jc w:val="right"/>
              <w:rPr>
                <w:sz w:val="20"/>
              </w:rPr>
            </w:pPr>
            <w:r w:rsidRPr="00093306">
              <w:rPr>
                <w:sz w:val="20"/>
              </w:rPr>
              <w:t>1</w:t>
            </w:r>
          </w:p>
        </w:tc>
        <w:tc>
          <w:tcPr>
            <w:tcW w:w="1417" w:type="dxa"/>
            <w:shd w:val="clear" w:color="auto" w:fill="FFFFFF" w:themeFill="background1"/>
          </w:tcPr>
          <w:p w14:paraId="0D91A2E0" w14:textId="2FC287E1" w:rsidR="00CD1652" w:rsidRPr="00093306" w:rsidRDefault="007F6FEE" w:rsidP="00E820CC">
            <w:pPr>
              <w:jc w:val="right"/>
              <w:rPr>
                <w:sz w:val="20"/>
              </w:rPr>
            </w:pPr>
            <w:r w:rsidRPr="00093306">
              <w:rPr>
                <w:sz w:val="20"/>
              </w:rPr>
              <w:t>4</w:t>
            </w:r>
          </w:p>
        </w:tc>
      </w:tr>
      <w:tr w:rsidR="00CD1652" w:rsidRPr="00093306" w14:paraId="2E5BE2C0" w14:textId="77777777" w:rsidTr="007F6FEE">
        <w:tc>
          <w:tcPr>
            <w:tcW w:w="6374" w:type="dxa"/>
          </w:tcPr>
          <w:p w14:paraId="60ECDB0D" w14:textId="77777777" w:rsidR="00CD1652" w:rsidRPr="00093306" w:rsidRDefault="00CD1652" w:rsidP="00C33696">
            <w:pPr>
              <w:rPr>
                <w:b/>
                <w:sz w:val="24"/>
              </w:rPr>
            </w:pPr>
            <w:r w:rsidRPr="00093306">
              <w:rPr>
                <w:sz w:val="20"/>
              </w:rPr>
              <w:t>Objective 2</w:t>
            </w:r>
            <w:r w:rsidR="001D333D" w:rsidRPr="00093306">
              <w:t>: Building a better educated and healthier population</w:t>
            </w:r>
          </w:p>
        </w:tc>
        <w:tc>
          <w:tcPr>
            <w:tcW w:w="1423" w:type="dxa"/>
            <w:shd w:val="clear" w:color="auto" w:fill="auto"/>
          </w:tcPr>
          <w:p w14:paraId="799C5E7B" w14:textId="6B7AB1B3" w:rsidR="00CD1652" w:rsidRPr="00093306" w:rsidRDefault="007F6FEE" w:rsidP="00E820CC">
            <w:pPr>
              <w:jc w:val="right"/>
              <w:rPr>
                <w:sz w:val="20"/>
              </w:rPr>
            </w:pPr>
            <w:r w:rsidRPr="00093306">
              <w:rPr>
                <w:sz w:val="20"/>
              </w:rPr>
              <w:t>19.2</w:t>
            </w:r>
          </w:p>
        </w:tc>
        <w:tc>
          <w:tcPr>
            <w:tcW w:w="1417" w:type="dxa"/>
            <w:shd w:val="clear" w:color="auto" w:fill="FFFFFF" w:themeFill="background1"/>
          </w:tcPr>
          <w:p w14:paraId="7EE18FF0" w14:textId="1F46A266" w:rsidR="00CD1652" w:rsidRPr="00093306" w:rsidRDefault="007F6FEE" w:rsidP="00E820CC">
            <w:pPr>
              <w:jc w:val="right"/>
              <w:rPr>
                <w:sz w:val="20"/>
              </w:rPr>
            </w:pPr>
            <w:r w:rsidRPr="00093306">
              <w:rPr>
                <w:sz w:val="20"/>
              </w:rPr>
              <w:t>69</w:t>
            </w:r>
          </w:p>
        </w:tc>
      </w:tr>
      <w:tr w:rsidR="00CD1652" w:rsidRPr="00093306" w14:paraId="326366FB" w14:textId="77777777" w:rsidTr="00CD1652">
        <w:tc>
          <w:tcPr>
            <w:tcW w:w="6374" w:type="dxa"/>
          </w:tcPr>
          <w:p w14:paraId="16169D45" w14:textId="77777777" w:rsidR="00CD1652" w:rsidRPr="00093306" w:rsidRDefault="00CD1652" w:rsidP="00C33696">
            <w:pPr>
              <w:rPr>
                <w:b/>
                <w:sz w:val="24"/>
              </w:rPr>
            </w:pPr>
            <w:r w:rsidRPr="00093306">
              <w:rPr>
                <w:b/>
                <w:sz w:val="20"/>
              </w:rPr>
              <w:t>Sub-Total Bilateral</w:t>
            </w:r>
          </w:p>
        </w:tc>
        <w:tc>
          <w:tcPr>
            <w:tcW w:w="1423" w:type="dxa"/>
          </w:tcPr>
          <w:p w14:paraId="7C9C1869" w14:textId="77777777" w:rsidR="00CD1652" w:rsidRPr="00093306" w:rsidRDefault="00E820CC" w:rsidP="00E820CC">
            <w:pPr>
              <w:jc w:val="right"/>
              <w:rPr>
                <w:b/>
                <w:sz w:val="20"/>
              </w:rPr>
            </w:pPr>
            <w:r w:rsidRPr="00093306">
              <w:rPr>
                <w:b/>
                <w:sz w:val="20"/>
              </w:rPr>
              <w:t>20.2</w:t>
            </w:r>
          </w:p>
        </w:tc>
        <w:tc>
          <w:tcPr>
            <w:tcW w:w="1417" w:type="dxa"/>
          </w:tcPr>
          <w:p w14:paraId="0B6164C4" w14:textId="77777777" w:rsidR="00CD1652" w:rsidRPr="00093306" w:rsidRDefault="00E820CC" w:rsidP="00E820CC">
            <w:pPr>
              <w:jc w:val="right"/>
              <w:rPr>
                <w:b/>
                <w:sz w:val="20"/>
              </w:rPr>
            </w:pPr>
            <w:r w:rsidRPr="00093306">
              <w:rPr>
                <w:b/>
                <w:sz w:val="20"/>
              </w:rPr>
              <w:t>72.9</w:t>
            </w:r>
          </w:p>
        </w:tc>
      </w:tr>
      <w:tr w:rsidR="00CD1652" w:rsidRPr="00093306" w14:paraId="590E823A" w14:textId="77777777" w:rsidTr="00CD1652">
        <w:tc>
          <w:tcPr>
            <w:tcW w:w="6374" w:type="dxa"/>
          </w:tcPr>
          <w:p w14:paraId="2A72725E" w14:textId="77777777" w:rsidR="00CD1652" w:rsidRPr="00093306" w:rsidRDefault="00CD1652" w:rsidP="00C33696">
            <w:pPr>
              <w:rPr>
                <w:b/>
                <w:sz w:val="24"/>
              </w:rPr>
            </w:pPr>
            <w:r w:rsidRPr="00093306">
              <w:rPr>
                <w:sz w:val="20"/>
              </w:rPr>
              <w:lastRenderedPageBreak/>
              <w:t>Regional and Global</w:t>
            </w:r>
          </w:p>
        </w:tc>
        <w:tc>
          <w:tcPr>
            <w:tcW w:w="1423" w:type="dxa"/>
          </w:tcPr>
          <w:p w14:paraId="039A490F" w14:textId="77777777" w:rsidR="00CD1652" w:rsidRPr="00093306" w:rsidRDefault="006335A5" w:rsidP="00E820CC">
            <w:pPr>
              <w:jc w:val="right"/>
              <w:rPr>
                <w:sz w:val="20"/>
              </w:rPr>
            </w:pPr>
            <w:r w:rsidRPr="00093306">
              <w:rPr>
                <w:sz w:val="20"/>
              </w:rPr>
              <w:t>7.0</w:t>
            </w:r>
          </w:p>
        </w:tc>
        <w:tc>
          <w:tcPr>
            <w:tcW w:w="1417" w:type="dxa"/>
          </w:tcPr>
          <w:p w14:paraId="50F16DCF" w14:textId="77777777" w:rsidR="00CD1652" w:rsidRPr="00093306" w:rsidRDefault="00E820CC" w:rsidP="00E820CC">
            <w:pPr>
              <w:jc w:val="right"/>
              <w:rPr>
                <w:sz w:val="20"/>
              </w:rPr>
            </w:pPr>
            <w:r w:rsidRPr="00093306">
              <w:rPr>
                <w:sz w:val="20"/>
              </w:rPr>
              <w:t>25.3</w:t>
            </w:r>
          </w:p>
        </w:tc>
      </w:tr>
      <w:tr w:rsidR="00CD1652" w:rsidRPr="00093306" w14:paraId="2322BF0C" w14:textId="77777777" w:rsidTr="00CD1652">
        <w:tc>
          <w:tcPr>
            <w:tcW w:w="6374" w:type="dxa"/>
          </w:tcPr>
          <w:p w14:paraId="1CA6D7B8" w14:textId="77777777" w:rsidR="00CD1652" w:rsidRPr="00093306" w:rsidRDefault="00CD1652" w:rsidP="00C33696">
            <w:pPr>
              <w:rPr>
                <w:b/>
                <w:sz w:val="24"/>
              </w:rPr>
            </w:pPr>
            <w:r w:rsidRPr="00093306">
              <w:rPr>
                <w:sz w:val="20"/>
              </w:rPr>
              <w:t>Other Government Departments</w:t>
            </w:r>
          </w:p>
        </w:tc>
        <w:tc>
          <w:tcPr>
            <w:tcW w:w="1423" w:type="dxa"/>
          </w:tcPr>
          <w:p w14:paraId="47AE6FDB" w14:textId="77777777" w:rsidR="00CD1652" w:rsidRPr="00093306" w:rsidRDefault="006335A5" w:rsidP="00E820CC">
            <w:pPr>
              <w:jc w:val="right"/>
              <w:rPr>
                <w:sz w:val="20"/>
              </w:rPr>
            </w:pPr>
            <w:r w:rsidRPr="00093306">
              <w:rPr>
                <w:sz w:val="20"/>
              </w:rPr>
              <w:t>0.5</w:t>
            </w:r>
          </w:p>
        </w:tc>
        <w:tc>
          <w:tcPr>
            <w:tcW w:w="1417" w:type="dxa"/>
          </w:tcPr>
          <w:p w14:paraId="0A05FF60" w14:textId="77777777" w:rsidR="00CD1652" w:rsidRPr="00093306" w:rsidRDefault="00E820CC" w:rsidP="00E820CC">
            <w:pPr>
              <w:jc w:val="right"/>
              <w:rPr>
                <w:sz w:val="20"/>
              </w:rPr>
            </w:pPr>
            <w:r w:rsidRPr="00093306">
              <w:rPr>
                <w:sz w:val="20"/>
              </w:rPr>
              <w:t>1.8</w:t>
            </w:r>
          </w:p>
        </w:tc>
      </w:tr>
      <w:tr w:rsidR="00CD1652" w:rsidRPr="00093306" w14:paraId="0840C739" w14:textId="77777777" w:rsidTr="00CD1652">
        <w:tc>
          <w:tcPr>
            <w:tcW w:w="6374" w:type="dxa"/>
          </w:tcPr>
          <w:p w14:paraId="0707F98B" w14:textId="77777777" w:rsidR="00CD1652" w:rsidRPr="00093306" w:rsidRDefault="00CD1652" w:rsidP="00C33696">
            <w:pPr>
              <w:rPr>
                <w:b/>
                <w:sz w:val="24"/>
              </w:rPr>
            </w:pPr>
            <w:r w:rsidRPr="00093306">
              <w:rPr>
                <w:b/>
                <w:sz w:val="20"/>
              </w:rPr>
              <w:t>Total ODA Expenditure</w:t>
            </w:r>
          </w:p>
        </w:tc>
        <w:tc>
          <w:tcPr>
            <w:tcW w:w="1423" w:type="dxa"/>
          </w:tcPr>
          <w:p w14:paraId="57FCF63A" w14:textId="77777777" w:rsidR="00CD1652" w:rsidRPr="00093306" w:rsidRDefault="006335A5" w:rsidP="00E820CC">
            <w:pPr>
              <w:jc w:val="right"/>
              <w:rPr>
                <w:b/>
                <w:sz w:val="20"/>
              </w:rPr>
            </w:pPr>
            <w:r w:rsidRPr="00093306">
              <w:rPr>
                <w:b/>
                <w:sz w:val="20"/>
              </w:rPr>
              <w:t>27.7</w:t>
            </w:r>
          </w:p>
        </w:tc>
        <w:tc>
          <w:tcPr>
            <w:tcW w:w="1417" w:type="dxa"/>
          </w:tcPr>
          <w:p w14:paraId="1E7EF9C5" w14:textId="77777777" w:rsidR="00CD1652" w:rsidRPr="00093306" w:rsidRDefault="00E820CC" w:rsidP="00E820CC">
            <w:pPr>
              <w:jc w:val="right"/>
              <w:rPr>
                <w:b/>
                <w:sz w:val="20"/>
              </w:rPr>
            </w:pPr>
            <w:r w:rsidRPr="00093306">
              <w:rPr>
                <w:b/>
                <w:sz w:val="20"/>
              </w:rPr>
              <w:t>100</w:t>
            </w:r>
          </w:p>
        </w:tc>
      </w:tr>
    </w:tbl>
    <w:p w14:paraId="052ABFDF" w14:textId="6574683D" w:rsidR="00A35F95" w:rsidRPr="00093306" w:rsidRDefault="00A35F95" w:rsidP="001E07B7">
      <w:pPr>
        <w:pStyle w:val="ListBullet"/>
        <w:tabs>
          <w:tab w:val="clear" w:pos="284"/>
        </w:tabs>
        <w:spacing w:before="120" w:after="60"/>
        <w:rPr>
          <w:rFonts w:asciiTheme="minorHAnsi" w:eastAsiaTheme="minorHAnsi" w:hAnsiTheme="minorHAnsi" w:cstheme="minorBidi"/>
          <w:sz w:val="22"/>
          <w:szCs w:val="22"/>
          <w:lang w:val="en-GB" w:eastAsia="en-US"/>
        </w:rPr>
      </w:pPr>
      <w:r w:rsidRPr="00093306">
        <w:rPr>
          <w:rFonts w:asciiTheme="minorHAnsi" w:eastAsiaTheme="minorHAnsi" w:hAnsiTheme="minorHAnsi" w:cstheme="minorBidi"/>
          <w:sz w:val="22"/>
          <w:szCs w:val="22"/>
          <w:lang w:val="en-GB" w:eastAsia="en-US"/>
        </w:rPr>
        <w:t xml:space="preserve">The majority of bilateral </w:t>
      </w:r>
      <w:r w:rsidR="00936C10" w:rsidRPr="00093306">
        <w:rPr>
          <w:rFonts w:asciiTheme="minorHAnsi" w:eastAsiaTheme="minorHAnsi" w:hAnsiTheme="minorHAnsi" w:cstheme="minorBidi"/>
          <w:sz w:val="22"/>
          <w:szCs w:val="22"/>
          <w:lang w:val="en-GB" w:eastAsia="en-US"/>
        </w:rPr>
        <w:t xml:space="preserve">program </w:t>
      </w:r>
      <w:r w:rsidRPr="00093306">
        <w:rPr>
          <w:rFonts w:asciiTheme="minorHAnsi" w:eastAsiaTheme="minorHAnsi" w:hAnsiTheme="minorHAnsi" w:cstheme="minorBidi"/>
          <w:sz w:val="22"/>
          <w:szCs w:val="22"/>
          <w:lang w:val="en-GB" w:eastAsia="en-US"/>
        </w:rPr>
        <w:t>expenditure</w:t>
      </w:r>
      <w:r w:rsidR="00936C10" w:rsidRPr="00093306">
        <w:rPr>
          <w:rFonts w:asciiTheme="minorHAnsi" w:eastAsiaTheme="minorHAnsi" w:hAnsiTheme="minorHAnsi" w:cstheme="minorBidi"/>
          <w:sz w:val="22"/>
          <w:szCs w:val="22"/>
          <w:lang w:val="en-GB" w:eastAsia="en-US"/>
        </w:rPr>
        <w:t xml:space="preserve"> relates to Australia second objective, reflecting the </w:t>
      </w:r>
      <w:r w:rsidR="00DF3282" w:rsidRPr="00093306">
        <w:rPr>
          <w:rFonts w:asciiTheme="minorHAnsi" w:eastAsiaTheme="minorHAnsi" w:hAnsiTheme="minorHAnsi" w:cstheme="minorBidi"/>
          <w:sz w:val="22"/>
          <w:szCs w:val="22"/>
          <w:lang w:val="en-GB" w:eastAsia="en-US"/>
        </w:rPr>
        <w:t xml:space="preserve">relatively high </w:t>
      </w:r>
      <w:r w:rsidR="00936C10" w:rsidRPr="00093306">
        <w:rPr>
          <w:rFonts w:asciiTheme="minorHAnsi" w:eastAsiaTheme="minorHAnsi" w:hAnsiTheme="minorHAnsi" w:cstheme="minorBidi"/>
          <w:sz w:val="22"/>
          <w:szCs w:val="22"/>
          <w:lang w:val="en-GB" w:eastAsia="en-US"/>
        </w:rPr>
        <w:t xml:space="preserve">costs </w:t>
      </w:r>
      <w:r w:rsidR="00DF3282" w:rsidRPr="00093306">
        <w:rPr>
          <w:rFonts w:asciiTheme="minorHAnsi" w:eastAsiaTheme="minorHAnsi" w:hAnsiTheme="minorHAnsi" w:cstheme="minorBidi"/>
          <w:sz w:val="22"/>
          <w:szCs w:val="22"/>
          <w:lang w:val="en-GB" w:eastAsia="en-US"/>
        </w:rPr>
        <w:t>associated with delivering</w:t>
      </w:r>
      <w:r w:rsidR="00936C10" w:rsidRPr="00093306">
        <w:rPr>
          <w:rFonts w:asciiTheme="minorHAnsi" w:eastAsiaTheme="minorHAnsi" w:hAnsiTheme="minorHAnsi" w:cstheme="minorBidi"/>
          <w:sz w:val="22"/>
          <w:szCs w:val="22"/>
          <w:lang w:val="en-GB" w:eastAsia="en-US"/>
        </w:rPr>
        <w:t xml:space="preserve"> education and health programs. </w:t>
      </w:r>
      <w:r w:rsidR="00887669" w:rsidRPr="00093306">
        <w:rPr>
          <w:rFonts w:asciiTheme="minorHAnsi" w:eastAsiaTheme="minorHAnsi" w:hAnsiTheme="minorHAnsi" w:cstheme="minorBidi"/>
          <w:sz w:val="22"/>
          <w:szCs w:val="22"/>
          <w:lang w:val="en-GB" w:eastAsia="en-US"/>
        </w:rPr>
        <w:t>Conversely</w:t>
      </w:r>
      <w:r w:rsidR="00DF3282" w:rsidRPr="00093306">
        <w:rPr>
          <w:rFonts w:asciiTheme="minorHAnsi" w:eastAsiaTheme="minorHAnsi" w:hAnsiTheme="minorHAnsi" w:cstheme="minorBidi"/>
          <w:sz w:val="22"/>
          <w:szCs w:val="22"/>
          <w:lang w:val="en-GB" w:eastAsia="en-US"/>
        </w:rPr>
        <w:t>, o</w:t>
      </w:r>
      <w:r w:rsidR="00936C10" w:rsidRPr="00093306">
        <w:rPr>
          <w:rFonts w:asciiTheme="minorHAnsi" w:eastAsiaTheme="minorHAnsi" w:hAnsiTheme="minorHAnsi" w:cstheme="minorBidi"/>
          <w:sz w:val="22"/>
          <w:szCs w:val="22"/>
          <w:lang w:val="en-GB" w:eastAsia="en-US"/>
        </w:rPr>
        <w:t xml:space="preserve">ur </w:t>
      </w:r>
      <w:r w:rsidR="00DF3282" w:rsidRPr="00093306">
        <w:rPr>
          <w:rFonts w:asciiTheme="minorHAnsi" w:eastAsiaTheme="minorHAnsi" w:hAnsiTheme="minorHAnsi" w:cstheme="minorBidi"/>
          <w:sz w:val="22"/>
          <w:szCs w:val="22"/>
          <w:lang w:val="en-GB" w:eastAsia="en-US"/>
        </w:rPr>
        <w:t>support for economic reform</w:t>
      </w:r>
      <w:r w:rsidR="00887669" w:rsidRPr="00093306">
        <w:rPr>
          <w:rFonts w:asciiTheme="minorHAnsi" w:eastAsiaTheme="minorHAnsi" w:hAnsiTheme="minorHAnsi" w:cstheme="minorBidi"/>
          <w:sz w:val="22"/>
          <w:szCs w:val="22"/>
          <w:lang w:val="en-GB" w:eastAsia="en-US"/>
        </w:rPr>
        <w:t xml:space="preserve"> primarily consists of technical assistance and policy dialogue. Consequently</w:t>
      </w:r>
      <w:r w:rsidR="00E40738">
        <w:rPr>
          <w:rFonts w:asciiTheme="minorHAnsi" w:eastAsiaTheme="minorHAnsi" w:hAnsiTheme="minorHAnsi" w:cstheme="minorBidi"/>
          <w:sz w:val="22"/>
          <w:szCs w:val="22"/>
          <w:lang w:val="en-GB" w:eastAsia="en-US"/>
        </w:rPr>
        <w:t>,</w:t>
      </w:r>
      <w:r w:rsidR="00887669" w:rsidRPr="00093306">
        <w:rPr>
          <w:rFonts w:asciiTheme="minorHAnsi" w:eastAsiaTheme="minorHAnsi" w:hAnsiTheme="minorHAnsi" w:cstheme="minorBidi"/>
          <w:sz w:val="22"/>
          <w:szCs w:val="22"/>
          <w:lang w:val="en-GB" w:eastAsia="en-US"/>
        </w:rPr>
        <w:t xml:space="preserve"> our expenditure against this objective is much smaller. </w:t>
      </w:r>
      <w:r w:rsidRPr="00093306">
        <w:rPr>
          <w:rFonts w:asciiTheme="minorHAnsi" w:eastAsiaTheme="minorHAnsi" w:hAnsiTheme="minorHAnsi" w:cstheme="minorBidi"/>
          <w:sz w:val="22"/>
          <w:szCs w:val="22"/>
          <w:lang w:val="en-GB" w:eastAsia="en-US"/>
        </w:rPr>
        <w:t>The majority of regional and global expenditure relates to regional health, education, disability and gender</w:t>
      </w:r>
      <w:r w:rsidR="00F24D51" w:rsidRPr="00093306">
        <w:rPr>
          <w:rFonts w:asciiTheme="minorHAnsi" w:eastAsiaTheme="minorHAnsi" w:hAnsiTheme="minorHAnsi" w:cstheme="minorBidi"/>
          <w:sz w:val="22"/>
          <w:szCs w:val="22"/>
          <w:lang w:val="en-GB" w:eastAsia="en-US"/>
        </w:rPr>
        <w:t xml:space="preserve"> programs. Other </w:t>
      </w:r>
      <w:r w:rsidR="005A032C">
        <w:rPr>
          <w:rFonts w:asciiTheme="minorHAnsi" w:eastAsiaTheme="minorHAnsi" w:hAnsiTheme="minorHAnsi" w:cstheme="minorBidi"/>
          <w:sz w:val="22"/>
          <w:szCs w:val="22"/>
          <w:lang w:val="en-GB" w:eastAsia="en-US"/>
        </w:rPr>
        <w:t xml:space="preserve">Australian </w:t>
      </w:r>
      <w:r w:rsidR="00887669" w:rsidRPr="00093306">
        <w:rPr>
          <w:rFonts w:asciiTheme="minorHAnsi" w:eastAsiaTheme="minorHAnsi" w:hAnsiTheme="minorHAnsi" w:cstheme="minorBidi"/>
          <w:sz w:val="22"/>
          <w:szCs w:val="22"/>
          <w:lang w:val="en-GB" w:eastAsia="en-US"/>
        </w:rPr>
        <w:t>agencies that</w:t>
      </w:r>
      <w:r w:rsidR="00F24D51" w:rsidRPr="00093306">
        <w:rPr>
          <w:rFonts w:asciiTheme="minorHAnsi" w:eastAsiaTheme="minorHAnsi" w:hAnsiTheme="minorHAnsi" w:cstheme="minorBidi"/>
          <w:sz w:val="22"/>
          <w:szCs w:val="22"/>
          <w:lang w:val="en-GB" w:eastAsia="en-US"/>
        </w:rPr>
        <w:t xml:space="preserve"> deliver </w:t>
      </w:r>
      <w:r w:rsidR="00E40738">
        <w:rPr>
          <w:rFonts w:asciiTheme="minorHAnsi" w:eastAsiaTheme="minorHAnsi" w:hAnsiTheme="minorHAnsi" w:cstheme="minorBidi"/>
          <w:sz w:val="22"/>
          <w:szCs w:val="22"/>
          <w:lang w:val="en-GB" w:eastAsia="en-US"/>
        </w:rPr>
        <w:t>ODA</w:t>
      </w:r>
      <w:r w:rsidR="00F24D51" w:rsidRPr="00093306">
        <w:rPr>
          <w:rFonts w:asciiTheme="minorHAnsi" w:eastAsiaTheme="minorHAnsi" w:hAnsiTheme="minorHAnsi" w:cstheme="minorBidi"/>
          <w:sz w:val="22"/>
          <w:szCs w:val="22"/>
          <w:lang w:val="en-GB" w:eastAsia="en-US"/>
        </w:rPr>
        <w:t xml:space="preserve"> to Kiribati are the Attorney-General’</w:t>
      </w:r>
      <w:r w:rsidR="00887669" w:rsidRPr="00093306">
        <w:rPr>
          <w:rFonts w:asciiTheme="minorHAnsi" w:eastAsiaTheme="minorHAnsi" w:hAnsiTheme="minorHAnsi" w:cstheme="minorBidi"/>
          <w:sz w:val="22"/>
          <w:szCs w:val="22"/>
          <w:lang w:val="en-GB" w:eastAsia="en-US"/>
        </w:rPr>
        <w:t>s Department,</w:t>
      </w:r>
      <w:r w:rsidR="00F24D51" w:rsidRPr="00093306">
        <w:rPr>
          <w:rFonts w:asciiTheme="minorHAnsi" w:eastAsiaTheme="minorHAnsi" w:hAnsiTheme="minorHAnsi" w:cstheme="minorBidi"/>
          <w:sz w:val="22"/>
          <w:szCs w:val="22"/>
          <w:lang w:val="en-GB" w:eastAsia="en-US"/>
        </w:rPr>
        <w:t xml:space="preserve"> the Australian Federal Police</w:t>
      </w:r>
      <w:r w:rsidR="00887669" w:rsidRPr="00093306">
        <w:rPr>
          <w:rFonts w:asciiTheme="minorHAnsi" w:eastAsiaTheme="minorHAnsi" w:hAnsiTheme="minorHAnsi" w:cstheme="minorBidi"/>
          <w:sz w:val="22"/>
          <w:szCs w:val="22"/>
          <w:lang w:val="en-GB" w:eastAsia="en-US"/>
        </w:rPr>
        <w:t xml:space="preserve"> and the Australian Centre of International Agricultural Research</w:t>
      </w:r>
      <w:r w:rsidR="00F24D51" w:rsidRPr="00093306">
        <w:rPr>
          <w:rFonts w:asciiTheme="minorHAnsi" w:eastAsiaTheme="minorHAnsi" w:hAnsiTheme="minorHAnsi" w:cstheme="minorBidi"/>
          <w:sz w:val="22"/>
          <w:szCs w:val="22"/>
          <w:lang w:val="en-GB" w:eastAsia="en-US"/>
        </w:rPr>
        <w:t xml:space="preserve">. </w:t>
      </w:r>
      <w:r w:rsidRPr="00093306">
        <w:rPr>
          <w:rFonts w:asciiTheme="minorHAnsi" w:eastAsiaTheme="minorHAnsi" w:hAnsiTheme="minorHAnsi" w:cstheme="minorBidi"/>
          <w:sz w:val="22"/>
          <w:szCs w:val="22"/>
          <w:lang w:val="en-GB" w:eastAsia="en-US"/>
        </w:rPr>
        <w:t xml:space="preserve"> </w:t>
      </w:r>
    </w:p>
    <w:p w14:paraId="38278237" w14:textId="10BB2574" w:rsidR="005B5769" w:rsidRPr="00093306"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093306">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54" w:type="pct"/>
        <w:tblLook w:val="0000" w:firstRow="0" w:lastRow="0" w:firstColumn="0" w:lastColumn="0" w:noHBand="0" w:noVBand="0"/>
      </w:tblPr>
      <w:tblGrid>
        <w:gridCol w:w="5913"/>
        <w:gridCol w:w="1138"/>
        <w:gridCol w:w="434"/>
        <w:gridCol w:w="1208"/>
        <w:gridCol w:w="1049"/>
      </w:tblGrid>
      <w:tr w:rsidR="002A4A0E" w:rsidRPr="00093306" w14:paraId="4A06CF78" w14:textId="77777777" w:rsidTr="00D34907">
        <w:trPr>
          <w:cnfStyle w:val="000000010000" w:firstRow="0" w:lastRow="0" w:firstColumn="0" w:lastColumn="0" w:oddVBand="0" w:evenVBand="0" w:oddHBand="0" w:evenHBand="1" w:firstRowFirstColumn="0" w:firstRowLastColumn="0" w:lastRowFirstColumn="0" w:lastRowLastColumn="0"/>
          <w:trHeight w:val="734"/>
        </w:trPr>
        <w:tc>
          <w:tcPr>
            <w:tcW w:w="5872" w:type="dxa"/>
          </w:tcPr>
          <w:p w14:paraId="5EBB4DC6" w14:textId="77777777" w:rsidR="002A4A0E" w:rsidRPr="00093306" w:rsidRDefault="002A4A0E" w:rsidP="00E65105">
            <w:pPr>
              <w:pStyle w:val="TableTextColumnHeading"/>
            </w:pPr>
            <w:r w:rsidRPr="00093306">
              <w:rPr>
                <w:noProof/>
              </w:rPr>
              <w:drawing>
                <wp:anchor distT="0" distB="0" distL="114300" distR="114300" simplePos="0" relativeHeight="251674624" behindDoc="0" locked="0" layoutInCell="1" allowOverlap="1" wp14:anchorId="05394AC6" wp14:editId="01F64A67">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306">
              <w:t>Objective</w:t>
            </w:r>
          </w:p>
        </w:tc>
        <w:tc>
          <w:tcPr>
            <w:tcW w:w="1110" w:type="dxa"/>
          </w:tcPr>
          <w:p w14:paraId="52A37DF2" w14:textId="77777777" w:rsidR="002A4A0E" w:rsidRPr="000D787E" w:rsidRDefault="002A4A0E" w:rsidP="00E65105">
            <w:pPr>
              <w:pStyle w:val="TableTextColumnHeading"/>
            </w:pPr>
            <w:r w:rsidRPr="00093306">
              <w:t>Previou</w:t>
            </w:r>
            <w:r w:rsidRPr="000D787E">
              <w:t>s Rating</w:t>
            </w:r>
          </w:p>
        </w:tc>
        <w:tc>
          <w:tcPr>
            <w:tcW w:w="406" w:type="dxa"/>
          </w:tcPr>
          <w:p w14:paraId="65237EA9" w14:textId="77777777" w:rsidR="002A4A0E" w:rsidRPr="00AB1782" w:rsidRDefault="002A4A0E" w:rsidP="00E65105">
            <w:pPr>
              <w:pStyle w:val="TableTextColumnHeading"/>
            </w:pPr>
          </w:p>
        </w:tc>
        <w:tc>
          <w:tcPr>
            <w:tcW w:w="1180" w:type="dxa"/>
          </w:tcPr>
          <w:p w14:paraId="1DBEF9C1" w14:textId="77777777" w:rsidR="002A4A0E" w:rsidRPr="00AB1782" w:rsidRDefault="002A4A0E" w:rsidP="00E65105">
            <w:pPr>
              <w:pStyle w:val="TableTextColumnHeading"/>
            </w:pPr>
            <w:r w:rsidRPr="00AB1782">
              <w:t>Current Rating</w:t>
            </w:r>
          </w:p>
        </w:tc>
        <w:tc>
          <w:tcPr>
            <w:tcW w:w="1007" w:type="dxa"/>
          </w:tcPr>
          <w:p w14:paraId="42802B38" w14:textId="77777777" w:rsidR="002A4A0E" w:rsidRPr="00AB1782" w:rsidRDefault="002A4A0E" w:rsidP="00E65105">
            <w:pPr>
              <w:pStyle w:val="TableTextColumnHeading"/>
            </w:pPr>
          </w:p>
        </w:tc>
      </w:tr>
      <w:tr w:rsidR="002A4A0E" w:rsidRPr="00093306" w14:paraId="1A3B7202" w14:textId="77777777" w:rsidTr="00D34907">
        <w:trPr>
          <w:cnfStyle w:val="000000010000" w:firstRow="0" w:lastRow="0" w:firstColumn="0" w:lastColumn="0" w:oddVBand="0" w:evenVBand="0" w:oddHBand="0" w:evenHBand="1" w:firstRowFirstColumn="0" w:firstRowLastColumn="0" w:lastRowFirstColumn="0" w:lastRowLastColumn="0"/>
          <w:trHeight w:val="321"/>
        </w:trPr>
        <w:tc>
          <w:tcPr>
            <w:tcW w:w="5872" w:type="dxa"/>
          </w:tcPr>
          <w:p w14:paraId="02521D6B" w14:textId="77777777" w:rsidR="002A4A0E" w:rsidRPr="00093306" w:rsidRDefault="00D34907" w:rsidP="001D333D">
            <w:pPr>
              <w:pStyle w:val="TableTextEntries"/>
              <w:rPr>
                <w:rFonts w:asciiTheme="minorHAnsi" w:hAnsiTheme="minorHAnsi"/>
              </w:rPr>
            </w:pPr>
            <w:r w:rsidRPr="00093306">
              <w:rPr>
                <w:rFonts w:asciiTheme="minorHAnsi" w:hAnsiTheme="minorHAnsi"/>
              </w:rPr>
              <w:t xml:space="preserve">   </w:t>
            </w:r>
            <w:r w:rsidR="002A4A0E" w:rsidRPr="00093306">
              <w:rPr>
                <w:rFonts w:asciiTheme="minorHAnsi" w:hAnsiTheme="minorHAnsi"/>
              </w:rPr>
              <w:t>Objective 1</w:t>
            </w:r>
            <w:r w:rsidR="001D333D" w:rsidRPr="00093306">
              <w:rPr>
                <w:rFonts w:asciiTheme="minorHAnsi" w:hAnsiTheme="minorHAnsi"/>
              </w:rPr>
              <w:t>: Implementing economic reforms</w:t>
            </w:r>
          </w:p>
        </w:tc>
        <w:tc>
          <w:tcPr>
            <w:tcW w:w="1110" w:type="dxa"/>
            <w:shd w:val="clear" w:color="auto" w:fill="92D050"/>
            <w:noWrap/>
          </w:tcPr>
          <w:p w14:paraId="233F37C9" w14:textId="77777777" w:rsidR="002A4A0E" w:rsidRPr="00093306" w:rsidRDefault="002A4A0E" w:rsidP="002A4A0E">
            <w:pPr>
              <w:pStyle w:val="TableTextEntries"/>
              <w:jc w:val="center"/>
              <w:rPr>
                <w:rFonts w:asciiTheme="minorHAnsi" w:hAnsiTheme="minorHAnsi"/>
                <w:color w:val="FFFFFF" w:themeColor="background1"/>
              </w:rPr>
            </w:pPr>
            <w:r w:rsidRPr="00093306">
              <w:rPr>
                <w:rFonts w:asciiTheme="minorHAnsi" w:hAnsiTheme="minorHAnsi"/>
                <w:color w:val="FFFFFF" w:themeColor="background1"/>
              </w:rPr>
              <w:t>Green</w:t>
            </w:r>
          </w:p>
        </w:tc>
        <w:tc>
          <w:tcPr>
            <w:tcW w:w="406" w:type="dxa"/>
          </w:tcPr>
          <w:p w14:paraId="4B4BF06A" w14:textId="77777777" w:rsidR="002A4A0E" w:rsidRPr="00093306" w:rsidRDefault="002A4A0E" w:rsidP="007A6119">
            <w:pPr>
              <w:pStyle w:val="TableTextEntries"/>
              <w:jc w:val="center"/>
              <w:rPr>
                <w:rFonts w:asciiTheme="minorHAnsi" w:hAnsiTheme="minorHAnsi"/>
                <w:color w:val="FFFFFF" w:themeColor="background1"/>
              </w:rPr>
            </w:pPr>
          </w:p>
        </w:tc>
        <w:tc>
          <w:tcPr>
            <w:tcW w:w="1180" w:type="dxa"/>
            <w:shd w:val="clear" w:color="auto" w:fill="92D050"/>
            <w:noWrap/>
          </w:tcPr>
          <w:p w14:paraId="3B52ED8C" w14:textId="77777777" w:rsidR="002A4A0E" w:rsidRPr="00093306" w:rsidRDefault="001D333D">
            <w:pPr>
              <w:pStyle w:val="TableTextEntries"/>
              <w:jc w:val="center"/>
              <w:rPr>
                <w:rFonts w:asciiTheme="minorHAnsi" w:hAnsiTheme="minorHAnsi"/>
                <w:color w:val="FFFFFF" w:themeColor="background1"/>
              </w:rPr>
            </w:pPr>
            <w:r w:rsidRPr="00093306">
              <w:rPr>
                <w:rFonts w:asciiTheme="minorHAnsi" w:hAnsiTheme="minorHAnsi"/>
                <w:color w:val="FFFFFF" w:themeColor="background1"/>
              </w:rPr>
              <w:t>Green</w:t>
            </w:r>
          </w:p>
        </w:tc>
        <w:tc>
          <w:tcPr>
            <w:tcW w:w="1007" w:type="dxa"/>
            <w:shd w:val="clear" w:color="auto" w:fill="auto"/>
          </w:tcPr>
          <w:p w14:paraId="776FE1EE" w14:textId="77777777" w:rsidR="002A4A0E" w:rsidRPr="00093306" w:rsidRDefault="002A4A0E" w:rsidP="00184F1E">
            <w:pPr>
              <w:pStyle w:val="TableTextEntries"/>
              <w:jc w:val="center"/>
              <w:rPr>
                <w:rFonts w:asciiTheme="minorHAnsi" w:hAnsiTheme="minorHAnsi"/>
                <w:color w:val="FFFFFF" w:themeColor="background1"/>
              </w:rPr>
            </w:pPr>
          </w:p>
        </w:tc>
      </w:tr>
      <w:tr w:rsidR="002A4A0E" w:rsidRPr="00093306" w14:paraId="74C22011" w14:textId="77777777" w:rsidTr="00D34907">
        <w:trPr>
          <w:cnfStyle w:val="000000010000" w:firstRow="0" w:lastRow="0" w:firstColumn="0" w:lastColumn="0" w:oddVBand="0" w:evenVBand="0" w:oddHBand="0" w:evenHBand="1" w:firstRowFirstColumn="0" w:firstRowLastColumn="0" w:lastRowFirstColumn="0" w:lastRowLastColumn="0"/>
          <w:trHeight w:val="337"/>
        </w:trPr>
        <w:tc>
          <w:tcPr>
            <w:tcW w:w="5872" w:type="dxa"/>
          </w:tcPr>
          <w:p w14:paraId="759164A8" w14:textId="77777777" w:rsidR="002A4A0E" w:rsidRPr="00093306" w:rsidRDefault="00D34907" w:rsidP="002A4A0E">
            <w:pPr>
              <w:pStyle w:val="TableTextEntries"/>
              <w:rPr>
                <w:rFonts w:asciiTheme="minorHAnsi" w:hAnsiTheme="minorHAnsi"/>
              </w:rPr>
            </w:pPr>
            <w:r w:rsidRPr="00093306">
              <w:rPr>
                <w:rFonts w:asciiTheme="minorHAnsi" w:hAnsiTheme="minorHAnsi"/>
              </w:rPr>
              <w:t xml:space="preserve">   </w:t>
            </w:r>
            <w:r w:rsidR="002A4A0E" w:rsidRPr="00093306">
              <w:rPr>
                <w:rFonts w:asciiTheme="minorHAnsi" w:hAnsiTheme="minorHAnsi"/>
              </w:rPr>
              <w:t>Objective 2</w:t>
            </w:r>
            <w:r w:rsidR="001D333D" w:rsidRPr="00093306">
              <w:rPr>
                <w:rFonts w:asciiTheme="minorHAnsi" w:hAnsiTheme="minorHAnsi"/>
              </w:rPr>
              <w:t>: Building a better educated and healthier population</w:t>
            </w:r>
          </w:p>
        </w:tc>
        <w:tc>
          <w:tcPr>
            <w:tcW w:w="1110" w:type="dxa"/>
            <w:shd w:val="clear" w:color="auto" w:fill="92D050"/>
            <w:noWrap/>
          </w:tcPr>
          <w:p w14:paraId="65CF6821" w14:textId="77777777" w:rsidR="002A4A0E" w:rsidRPr="00093306" w:rsidRDefault="001D333D" w:rsidP="002A4A0E">
            <w:pPr>
              <w:pStyle w:val="TableTextEntries"/>
              <w:jc w:val="center"/>
              <w:rPr>
                <w:rFonts w:asciiTheme="minorHAnsi" w:hAnsiTheme="minorHAnsi"/>
                <w:color w:val="FFFFFF" w:themeColor="background1"/>
              </w:rPr>
            </w:pPr>
            <w:r w:rsidRPr="00093306">
              <w:rPr>
                <w:rFonts w:asciiTheme="minorHAnsi" w:hAnsiTheme="minorHAnsi"/>
                <w:color w:val="FFFFFF" w:themeColor="background1"/>
              </w:rPr>
              <w:t>Green</w:t>
            </w:r>
          </w:p>
        </w:tc>
        <w:tc>
          <w:tcPr>
            <w:tcW w:w="406" w:type="dxa"/>
          </w:tcPr>
          <w:p w14:paraId="60DAB7CB" w14:textId="77777777" w:rsidR="002A4A0E" w:rsidRPr="00093306" w:rsidRDefault="002A4A0E" w:rsidP="007A6119">
            <w:pPr>
              <w:pStyle w:val="TableTextEntries"/>
              <w:jc w:val="center"/>
              <w:rPr>
                <w:rFonts w:asciiTheme="minorHAnsi" w:hAnsiTheme="minorHAnsi"/>
                <w:color w:val="FFFFFF" w:themeColor="background1"/>
              </w:rPr>
            </w:pPr>
          </w:p>
        </w:tc>
        <w:tc>
          <w:tcPr>
            <w:tcW w:w="1180" w:type="dxa"/>
            <w:shd w:val="clear" w:color="auto" w:fill="92D050"/>
            <w:noWrap/>
          </w:tcPr>
          <w:p w14:paraId="41C9BF9C" w14:textId="77777777" w:rsidR="002A4A0E" w:rsidRPr="00093306" w:rsidRDefault="002A4A0E">
            <w:pPr>
              <w:pStyle w:val="TableTextEntries"/>
              <w:jc w:val="center"/>
              <w:rPr>
                <w:rFonts w:asciiTheme="minorHAnsi" w:hAnsiTheme="minorHAnsi"/>
                <w:color w:val="FFFFFF" w:themeColor="background1"/>
              </w:rPr>
            </w:pPr>
            <w:r w:rsidRPr="00093306">
              <w:rPr>
                <w:rFonts w:asciiTheme="minorHAnsi" w:hAnsiTheme="minorHAnsi"/>
                <w:color w:val="FFFFFF" w:themeColor="background1"/>
              </w:rPr>
              <w:t>Green</w:t>
            </w:r>
          </w:p>
        </w:tc>
        <w:tc>
          <w:tcPr>
            <w:tcW w:w="1007" w:type="dxa"/>
            <w:shd w:val="clear" w:color="auto" w:fill="auto"/>
          </w:tcPr>
          <w:p w14:paraId="73C8ADD8" w14:textId="77777777" w:rsidR="002A4A0E" w:rsidRPr="00093306" w:rsidRDefault="002A4A0E" w:rsidP="00184F1E">
            <w:pPr>
              <w:pStyle w:val="TableTextEntries"/>
              <w:jc w:val="center"/>
              <w:rPr>
                <w:rFonts w:asciiTheme="minorHAnsi" w:hAnsiTheme="minorHAnsi"/>
                <w:color w:val="FFFFFF" w:themeColor="background1"/>
              </w:rPr>
            </w:pPr>
          </w:p>
        </w:tc>
      </w:tr>
    </w:tbl>
    <w:p w14:paraId="56551BE5" w14:textId="77777777" w:rsidR="005B5769" w:rsidRPr="00093306" w:rsidRDefault="005B5769" w:rsidP="002A4A0E">
      <w:pPr>
        <w:pStyle w:val="Note"/>
        <w:rPr>
          <w:rFonts w:asciiTheme="minorHAnsi" w:hAnsiTheme="minorHAnsi"/>
          <w:sz w:val="16"/>
        </w:rPr>
      </w:pPr>
      <w:r w:rsidRPr="00093306">
        <w:rPr>
          <w:rFonts w:asciiTheme="minorHAnsi" w:hAnsiTheme="minorHAnsi"/>
          <w:sz w:val="16"/>
        </w:rPr>
        <w:t xml:space="preserve">Note: </w:t>
      </w:r>
    </w:p>
    <w:p w14:paraId="1A1BF370" w14:textId="77777777" w:rsidR="005B5769" w:rsidRPr="00093306" w:rsidRDefault="005B5769">
      <w:pPr>
        <w:pStyle w:val="Note"/>
        <w:rPr>
          <w:rFonts w:asciiTheme="minorHAnsi" w:hAnsiTheme="minorHAnsi"/>
          <w:sz w:val="16"/>
        </w:rPr>
      </w:pPr>
      <w:r w:rsidRPr="00093306">
        <w:rPr>
          <w:rFonts w:asciiTheme="minorHAnsi" w:hAnsiTheme="minorHAnsi"/>
          <w:color w:val="72AF2F"/>
          <w:sz w:val="16"/>
        </w:rPr>
        <w:sym w:font="Webdings" w:char="F067"/>
      </w:r>
      <w:r w:rsidRPr="00093306">
        <w:rPr>
          <w:rFonts w:asciiTheme="minorHAnsi" w:hAnsiTheme="minorHAnsi"/>
          <w:sz w:val="16"/>
        </w:rPr>
        <w:t> </w:t>
      </w:r>
      <w:r w:rsidRPr="00093306">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3D56E1F6" w14:textId="77777777" w:rsidR="005B5769" w:rsidRPr="00AB1782" w:rsidRDefault="005B5769">
      <w:pPr>
        <w:pStyle w:val="Note"/>
        <w:rPr>
          <w:rFonts w:asciiTheme="minorHAnsi" w:hAnsiTheme="minorHAnsi"/>
          <w:sz w:val="16"/>
        </w:rPr>
      </w:pPr>
      <w:r w:rsidRPr="00093306">
        <w:rPr>
          <w:rFonts w:asciiTheme="minorHAnsi" w:hAnsiTheme="minorHAnsi"/>
          <w:color w:val="E36C0A"/>
          <w:sz w:val="16"/>
        </w:rPr>
        <w:sym w:font="Webdings" w:char="F067"/>
      </w:r>
      <w:r w:rsidRPr="00093306">
        <w:rPr>
          <w:rFonts w:asciiTheme="minorHAnsi" w:hAnsiTheme="minorHAnsi"/>
          <w:sz w:val="16"/>
        </w:rPr>
        <w:t> </w:t>
      </w:r>
      <w:r w:rsidRPr="00093306">
        <w:rPr>
          <w:rFonts w:asciiTheme="minorHAnsi" w:hAnsiTheme="minorHAnsi"/>
          <w:sz w:val="16"/>
        </w:rPr>
        <w:t xml:space="preserve"> Amber. Progress is somewhat less than expected at this stage of implementation and restorative action will be necessary if the objective is to be achieved. C</w:t>
      </w:r>
      <w:r w:rsidRPr="00AB1782">
        <w:rPr>
          <w:rFonts w:asciiTheme="minorHAnsi" w:hAnsiTheme="minorHAnsi"/>
          <w:sz w:val="16"/>
        </w:rPr>
        <w:t>lose performance monitoring is recommended.</w:t>
      </w:r>
    </w:p>
    <w:p w14:paraId="49275EC7" w14:textId="77777777" w:rsidR="005B5769" w:rsidRPr="00093306" w:rsidRDefault="005B5769">
      <w:pPr>
        <w:pStyle w:val="Note"/>
        <w:rPr>
          <w:rFonts w:asciiTheme="minorHAnsi" w:hAnsiTheme="minorHAnsi"/>
          <w:sz w:val="16"/>
        </w:rPr>
      </w:pPr>
      <w:r w:rsidRPr="00093306">
        <w:rPr>
          <w:rFonts w:asciiTheme="minorHAnsi" w:hAnsiTheme="minorHAnsi"/>
          <w:color w:val="FF0000"/>
          <w:sz w:val="16"/>
        </w:rPr>
        <w:sym w:font="Webdings" w:char="F067"/>
      </w:r>
      <w:r w:rsidRPr="00093306">
        <w:rPr>
          <w:rFonts w:asciiTheme="minorHAnsi" w:hAnsiTheme="minorHAnsi"/>
          <w:sz w:val="16"/>
        </w:rPr>
        <w:t> </w:t>
      </w:r>
      <w:r w:rsidRPr="00093306">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066BCBEB" w14:textId="77777777" w:rsidR="005B5769" w:rsidRPr="00AB1782" w:rsidRDefault="005B5769" w:rsidP="005B5769">
      <w:pPr>
        <w:pStyle w:val="Note"/>
      </w:pPr>
      <w:r w:rsidRPr="00AB1782">
        <w:t xml:space="preserve">  </w:t>
      </w:r>
    </w:p>
    <w:p w14:paraId="2B294EA5" w14:textId="77777777" w:rsidR="00695730" w:rsidRPr="00093306" w:rsidRDefault="00695730" w:rsidP="00C523F9">
      <w:pPr>
        <w:rPr>
          <w:rFonts w:asciiTheme="majorHAnsi" w:eastAsiaTheme="majorEastAsia" w:hAnsiTheme="majorHAnsi" w:cstheme="majorBidi"/>
          <w:caps/>
          <w:sz w:val="38"/>
          <w:szCs w:val="26"/>
        </w:rPr>
      </w:pPr>
      <w:r w:rsidRPr="00AB1782">
        <w:rPr>
          <w:rFonts w:asciiTheme="majorHAnsi" w:eastAsiaTheme="majorEastAsia" w:hAnsiTheme="majorHAnsi" w:cstheme="majorBidi"/>
          <w:caps/>
          <w:sz w:val="38"/>
          <w:szCs w:val="26"/>
        </w:rPr>
        <w:t>Objective 1</w:t>
      </w:r>
      <w:r w:rsidR="001C3C05" w:rsidRPr="00093306">
        <w:rPr>
          <w:rFonts w:asciiTheme="majorHAnsi" w:eastAsiaTheme="majorEastAsia" w:hAnsiTheme="majorHAnsi" w:cstheme="majorBidi"/>
          <w:caps/>
          <w:sz w:val="38"/>
          <w:szCs w:val="26"/>
        </w:rPr>
        <w:t>:</w:t>
      </w:r>
      <w:r w:rsidR="005D56AD" w:rsidRPr="00093306">
        <w:rPr>
          <w:rFonts w:asciiTheme="majorHAnsi" w:eastAsiaTheme="majorEastAsia" w:hAnsiTheme="majorHAnsi" w:cstheme="majorBidi"/>
          <w:caps/>
          <w:sz w:val="38"/>
          <w:szCs w:val="26"/>
        </w:rPr>
        <w:t xml:space="preserve"> Implementing economic reforms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093306" w14:paraId="47A6A066" w14:textId="77777777" w:rsidTr="00CD1652">
        <w:tc>
          <w:tcPr>
            <w:tcW w:w="2016" w:type="dxa"/>
          </w:tcPr>
          <w:p w14:paraId="6ABAE595" w14:textId="77777777" w:rsidR="00695730" w:rsidRPr="00093306"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093306">
              <w:rPr>
                <w:rFonts w:asciiTheme="majorHAnsi" w:eastAsiaTheme="majorEastAsia" w:hAnsiTheme="majorHAnsi" w:cstheme="majorBidi"/>
                <w:caps/>
                <w:noProof/>
                <w:sz w:val="38"/>
                <w:szCs w:val="26"/>
                <w:lang w:val="en-AU" w:eastAsia="en-AU"/>
              </w:rPr>
              <w:drawing>
                <wp:inline distT="0" distB="0" distL="0" distR="0" wp14:anchorId="6090F4EF" wp14:editId="3411526A">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F067693" w14:textId="77777777" w:rsidR="00695730" w:rsidRPr="00093306" w:rsidRDefault="005D56AD" w:rsidP="005D56AD">
            <w:pPr>
              <w:suppressAutoHyphens w:val="0"/>
              <w:spacing w:before="160" w:after="80" w:line="240" w:lineRule="auto"/>
              <w:rPr>
                <w:rFonts w:asciiTheme="majorHAnsi" w:eastAsiaTheme="majorEastAsia" w:hAnsiTheme="majorHAnsi" w:cstheme="majorBidi"/>
                <w:caps/>
                <w:sz w:val="38"/>
                <w:szCs w:val="26"/>
              </w:rPr>
            </w:pPr>
            <w:r w:rsidRPr="00093306">
              <w:rPr>
                <w:noProof/>
                <w:lang w:val="en-AU" w:eastAsia="en-AU"/>
              </w:rPr>
              <w:drawing>
                <wp:anchor distT="0" distB="0" distL="114300" distR="114300" simplePos="0" relativeHeight="251680768" behindDoc="1" locked="0" layoutInCell="1" allowOverlap="1" wp14:anchorId="179371F8" wp14:editId="0E87F92F">
                  <wp:simplePos x="0" y="0"/>
                  <wp:positionH relativeFrom="column">
                    <wp:posOffset>118110</wp:posOffset>
                  </wp:positionH>
                  <wp:positionV relativeFrom="paragraph">
                    <wp:posOffset>102870</wp:posOffset>
                  </wp:positionV>
                  <wp:extent cx="609600" cy="609600"/>
                  <wp:effectExtent l="0" t="0" r="0" b="0"/>
                  <wp:wrapTight wrapText="bothSides">
                    <wp:wrapPolygon edited="0">
                      <wp:start x="0" y="0"/>
                      <wp:lineTo x="0" y="20925"/>
                      <wp:lineTo x="20925" y="20925"/>
                      <wp:lineTo x="20925" y="0"/>
                      <wp:lineTo x="0" y="0"/>
                    </wp:wrapPolygon>
                  </wp:wrapTight>
                  <wp:docPr id="17" name="Picture 1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tc>
        <w:tc>
          <w:tcPr>
            <w:tcW w:w="1906" w:type="dxa"/>
          </w:tcPr>
          <w:p w14:paraId="55FF9907" w14:textId="77777777" w:rsidR="00695730" w:rsidRPr="00AB1782"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p>
        </w:tc>
        <w:tc>
          <w:tcPr>
            <w:tcW w:w="1906" w:type="dxa"/>
          </w:tcPr>
          <w:p w14:paraId="499E8127" w14:textId="77777777" w:rsidR="00695730" w:rsidRPr="00AB1782"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p>
        </w:tc>
        <w:tc>
          <w:tcPr>
            <w:tcW w:w="1906" w:type="dxa"/>
          </w:tcPr>
          <w:p w14:paraId="60CD8650" w14:textId="77777777" w:rsidR="00695730" w:rsidRPr="00AB1782"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p>
        </w:tc>
      </w:tr>
    </w:tbl>
    <w:p w14:paraId="5E645420" w14:textId="24FC4A3B" w:rsidR="00A8774A" w:rsidRPr="00093306" w:rsidRDefault="00217CB2" w:rsidP="00A8774A">
      <w:pPr>
        <w:spacing w:before="240" w:line="240" w:lineRule="auto"/>
        <w:rPr>
          <w:rFonts w:eastAsia="Times New Roman"/>
          <w:color w:val="auto"/>
        </w:rPr>
      </w:pPr>
      <w:r w:rsidRPr="00093306">
        <w:rPr>
          <w:rFonts w:eastAsia="Times New Roman"/>
          <w:color w:val="auto"/>
        </w:rPr>
        <w:t>As part of</w:t>
      </w:r>
      <w:r w:rsidR="00681BDD" w:rsidRPr="00093306">
        <w:rPr>
          <w:rFonts w:eastAsia="Times New Roman"/>
          <w:color w:val="auto"/>
        </w:rPr>
        <w:t xml:space="preserve"> our</w:t>
      </w:r>
      <w:r w:rsidRPr="00093306">
        <w:rPr>
          <w:rFonts w:eastAsia="Times New Roman"/>
          <w:color w:val="auto"/>
        </w:rPr>
        <w:t xml:space="preserve"> work to support the Government of Kiribati to implement its </w:t>
      </w:r>
      <w:r w:rsidRPr="001B3568">
        <w:rPr>
          <w:rFonts w:eastAsia="Times New Roman"/>
          <w:i/>
          <w:color w:val="auto"/>
        </w:rPr>
        <w:t>Economic Reform Plan</w:t>
      </w:r>
      <w:r w:rsidRPr="00093306">
        <w:rPr>
          <w:rFonts w:eastAsia="Times New Roman"/>
          <w:color w:val="auto"/>
        </w:rPr>
        <w:t>, Australia continued to engage closely with the Kiribati Economic Taskforce (</w:t>
      </w:r>
      <w:r w:rsidR="00694836" w:rsidRPr="00093306">
        <w:rPr>
          <w:rFonts w:eastAsia="Times New Roman"/>
          <w:color w:val="auto"/>
        </w:rPr>
        <w:t>which includes representatives from</w:t>
      </w:r>
      <w:r w:rsidRPr="00093306">
        <w:rPr>
          <w:rFonts w:eastAsia="Times New Roman"/>
          <w:color w:val="auto"/>
        </w:rPr>
        <w:t xml:space="preserve"> the Government of Kiribati,</w:t>
      </w:r>
      <w:r w:rsidR="00694836" w:rsidRPr="00093306">
        <w:rPr>
          <w:rFonts w:eastAsia="Times New Roman"/>
          <w:color w:val="auto"/>
        </w:rPr>
        <w:t xml:space="preserve"> </w:t>
      </w:r>
      <w:r w:rsidRPr="00093306">
        <w:rPr>
          <w:rFonts w:eastAsia="Times New Roman"/>
          <w:color w:val="auto"/>
        </w:rPr>
        <w:t>ADB,</w:t>
      </w:r>
      <w:r w:rsidR="00694836" w:rsidRPr="00093306">
        <w:rPr>
          <w:rFonts w:eastAsia="Times New Roman"/>
          <w:color w:val="auto"/>
        </w:rPr>
        <w:t xml:space="preserve"> the</w:t>
      </w:r>
      <w:r w:rsidRPr="00093306">
        <w:rPr>
          <w:rFonts w:eastAsia="Times New Roman"/>
          <w:color w:val="auto"/>
        </w:rPr>
        <w:t xml:space="preserve"> World Bank,</w:t>
      </w:r>
      <w:r w:rsidR="00694836" w:rsidRPr="00093306">
        <w:rPr>
          <w:rFonts w:eastAsia="Times New Roman"/>
          <w:color w:val="auto"/>
        </w:rPr>
        <w:t xml:space="preserve"> the</w:t>
      </w:r>
      <w:r w:rsidRPr="00093306">
        <w:rPr>
          <w:rFonts w:eastAsia="Times New Roman"/>
          <w:color w:val="auto"/>
        </w:rPr>
        <w:t xml:space="preserve"> European Union and New Zealand) on progressing agreed economic reform priorities.</w:t>
      </w:r>
      <w:r w:rsidR="00A8774A" w:rsidRPr="00093306">
        <w:rPr>
          <w:rFonts w:eastAsia="Times New Roman"/>
          <w:color w:val="auto"/>
        </w:rPr>
        <w:t xml:space="preserve"> These reforms aim to: improve public financial management; improve the management of public assets and liabilities; and create an environment for private sector led growth. Our work to support implementation is enabled through the Joint Policy Reform Matrix</w:t>
      </w:r>
      <w:r w:rsidR="009D3A26" w:rsidRPr="00093306">
        <w:rPr>
          <w:rFonts w:eastAsia="Times New Roman"/>
          <w:color w:val="auto"/>
        </w:rPr>
        <w:t xml:space="preserve">. This is </w:t>
      </w:r>
      <w:r w:rsidR="00A8774A" w:rsidRPr="00093306">
        <w:rPr>
          <w:rFonts w:eastAsia="Times New Roman"/>
          <w:color w:val="auto"/>
        </w:rPr>
        <w:t xml:space="preserve">an arrangement </w:t>
      </w:r>
      <w:r w:rsidR="009D3A26" w:rsidRPr="00093306">
        <w:rPr>
          <w:rFonts w:eastAsia="Times New Roman"/>
          <w:color w:val="auto"/>
        </w:rPr>
        <w:t>that</w:t>
      </w:r>
      <w:r w:rsidR="00A8774A" w:rsidRPr="00093306">
        <w:rPr>
          <w:rFonts w:eastAsia="Times New Roman"/>
          <w:color w:val="auto"/>
        </w:rPr>
        <w:t xml:space="preserve"> incentivises economic reform by disbursing funds to the government when jointly agreed reform targets (or policy actions)</w:t>
      </w:r>
      <w:r w:rsidR="00E40738">
        <w:rPr>
          <w:rFonts w:eastAsia="Times New Roman"/>
          <w:color w:val="auto"/>
        </w:rPr>
        <w:t xml:space="preserve"> are achieved</w:t>
      </w:r>
      <w:r w:rsidR="00A8774A" w:rsidRPr="00093306">
        <w:rPr>
          <w:rFonts w:eastAsia="Times New Roman"/>
          <w:color w:val="auto"/>
        </w:rPr>
        <w:t>. In July 2017, Australia made its first financial contribution</w:t>
      </w:r>
      <w:r w:rsidR="009D3A26" w:rsidRPr="00093306">
        <w:rPr>
          <w:rFonts w:eastAsia="Times New Roman"/>
          <w:color w:val="auto"/>
        </w:rPr>
        <w:t xml:space="preserve"> ($500,000</w:t>
      </w:r>
      <w:r w:rsidR="00D40FAF" w:rsidRPr="00093306">
        <w:rPr>
          <w:rFonts w:eastAsia="Times New Roman"/>
          <w:color w:val="auto"/>
        </w:rPr>
        <w:t>)</w:t>
      </w:r>
      <w:r w:rsidR="00A8774A" w:rsidRPr="00093306">
        <w:rPr>
          <w:rFonts w:eastAsia="Times New Roman"/>
          <w:color w:val="auto"/>
        </w:rPr>
        <w:t xml:space="preserve"> under</w:t>
      </w:r>
      <w:r w:rsidR="00104515" w:rsidRPr="00093306">
        <w:rPr>
          <w:rFonts w:eastAsia="Times New Roman"/>
          <w:color w:val="auto"/>
        </w:rPr>
        <w:t xml:space="preserve"> the Joint Policy Reform Matrix and is scheduled to make a second contribution</w:t>
      </w:r>
      <w:r w:rsidR="0023195E" w:rsidRPr="00093306">
        <w:rPr>
          <w:rFonts w:eastAsia="Times New Roman"/>
          <w:color w:val="auto"/>
        </w:rPr>
        <w:t xml:space="preserve"> </w:t>
      </w:r>
      <w:r w:rsidR="00016E31" w:rsidRPr="00093306">
        <w:rPr>
          <w:rFonts w:eastAsia="Times New Roman"/>
          <w:color w:val="auto"/>
        </w:rPr>
        <w:t>by December 2018.</w:t>
      </w:r>
    </w:p>
    <w:p w14:paraId="49FC3F1E" w14:textId="4394F7DD" w:rsidR="00E36900" w:rsidRPr="00093306" w:rsidRDefault="00A8774A" w:rsidP="00D40FAF">
      <w:pPr>
        <w:spacing w:line="240" w:lineRule="auto"/>
        <w:rPr>
          <w:rFonts w:eastAsia="Times New Roman"/>
          <w:color w:val="auto"/>
        </w:rPr>
      </w:pPr>
      <w:r w:rsidRPr="00093306">
        <w:rPr>
          <w:rFonts w:eastAsia="Times New Roman"/>
          <w:color w:val="auto"/>
        </w:rPr>
        <w:t>DFAT rates progress against this objective as green, as</w:t>
      </w:r>
      <w:r w:rsidR="00756526" w:rsidRPr="00093306">
        <w:rPr>
          <w:rFonts w:eastAsia="Times New Roman"/>
          <w:color w:val="auto"/>
        </w:rPr>
        <w:t xml:space="preserve"> fourteen</w:t>
      </w:r>
      <w:r w:rsidRPr="00093306">
        <w:rPr>
          <w:rFonts w:eastAsia="Times New Roman"/>
          <w:color w:val="auto"/>
        </w:rPr>
        <w:t xml:space="preserve"> of the </w:t>
      </w:r>
      <w:r w:rsidR="00E36900" w:rsidRPr="00093306">
        <w:rPr>
          <w:rFonts w:eastAsia="Times New Roman"/>
          <w:color w:val="auto"/>
        </w:rPr>
        <w:t>fifteen policy actions for 2017</w:t>
      </w:r>
      <w:r w:rsidRPr="00093306">
        <w:rPr>
          <w:rFonts w:eastAsia="Times New Roman"/>
          <w:color w:val="auto"/>
        </w:rPr>
        <w:t xml:space="preserve"> were fully </w:t>
      </w:r>
      <w:r w:rsidR="00D40FAF" w:rsidRPr="00093306">
        <w:rPr>
          <w:rFonts w:eastAsia="Times New Roman"/>
          <w:color w:val="auto"/>
        </w:rPr>
        <w:t>achieved</w:t>
      </w:r>
      <w:r w:rsidRPr="00093306">
        <w:rPr>
          <w:rFonts w:eastAsia="Times New Roman"/>
          <w:color w:val="auto"/>
        </w:rPr>
        <w:t>.</w:t>
      </w:r>
      <w:r w:rsidR="00E36900" w:rsidRPr="00093306">
        <w:rPr>
          <w:rFonts w:eastAsia="Times New Roman"/>
          <w:color w:val="auto"/>
        </w:rPr>
        <w:t xml:space="preserve"> The remaining policy action related to the Revenue Equalisation Reserve Fund Strategy, which has been drafted and submitted to Cabinet</w:t>
      </w:r>
      <w:r w:rsidR="005274C7" w:rsidRPr="00093306">
        <w:rPr>
          <w:rFonts w:eastAsia="Times New Roman"/>
          <w:color w:val="auto"/>
        </w:rPr>
        <w:t xml:space="preserve"> but not</w:t>
      </w:r>
      <w:r w:rsidR="00290161" w:rsidRPr="00093306">
        <w:rPr>
          <w:rFonts w:eastAsia="Times New Roman"/>
          <w:color w:val="auto"/>
        </w:rPr>
        <w:t xml:space="preserve"> yet</w:t>
      </w:r>
      <w:r w:rsidR="005274C7" w:rsidRPr="00093306">
        <w:rPr>
          <w:rFonts w:eastAsia="Times New Roman"/>
          <w:color w:val="auto"/>
        </w:rPr>
        <w:t xml:space="preserve"> finalised</w:t>
      </w:r>
      <w:r w:rsidR="00E36900" w:rsidRPr="00093306">
        <w:rPr>
          <w:rFonts w:eastAsia="Times New Roman"/>
          <w:color w:val="auto"/>
        </w:rPr>
        <w:t>.</w:t>
      </w:r>
      <w:r w:rsidR="00D40FAF" w:rsidRPr="00093306">
        <w:rPr>
          <w:rFonts w:eastAsia="Times New Roman"/>
          <w:color w:val="auto"/>
        </w:rPr>
        <w:t xml:space="preserve"> Fiscal sustainability was maintained for a third consecutive year with a surplus of over $9 million. However</w:t>
      </w:r>
      <w:r w:rsidR="00694836" w:rsidRPr="00093306">
        <w:rPr>
          <w:rFonts w:eastAsia="Times New Roman"/>
          <w:color w:val="auto"/>
        </w:rPr>
        <w:t>,</w:t>
      </w:r>
      <w:r w:rsidR="00D40FAF" w:rsidRPr="00093306">
        <w:rPr>
          <w:rFonts w:eastAsia="Times New Roman"/>
          <w:color w:val="auto"/>
        </w:rPr>
        <w:t xml:space="preserve"> Australia is concerned that Kiribati’s f</w:t>
      </w:r>
      <w:r w:rsidR="005274C7" w:rsidRPr="00093306">
        <w:rPr>
          <w:rFonts w:eastAsia="Times New Roman"/>
          <w:color w:val="auto"/>
        </w:rPr>
        <w:t>uture fiscal sustainability might</w:t>
      </w:r>
      <w:r w:rsidR="00D40FAF" w:rsidRPr="00093306">
        <w:rPr>
          <w:rFonts w:eastAsia="Times New Roman"/>
          <w:color w:val="auto"/>
        </w:rPr>
        <w:t xml:space="preserve"> be </w:t>
      </w:r>
      <w:r w:rsidR="00EA3F43" w:rsidRPr="00093306">
        <w:rPr>
          <w:rFonts w:eastAsia="Times New Roman"/>
          <w:color w:val="auto"/>
        </w:rPr>
        <w:t>jeopardised</w:t>
      </w:r>
      <w:r w:rsidR="00D40FAF" w:rsidRPr="00093306">
        <w:rPr>
          <w:rFonts w:eastAsia="Times New Roman"/>
          <w:color w:val="auto"/>
        </w:rPr>
        <w:t xml:space="preserve"> </w:t>
      </w:r>
      <w:r w:rsidR="005274C7" w:rsidRPr="00093306">
        <w:rPr>
          <w:rFonts w:eastAsia="Times New Roman"/>
          <w:color w:val="auto"/>
        </w:rPr>
        <w:t xml:space="preserve">by a number of the Government’s </w:t>
      </w:r>
      <w:r w:rsidR="00D40FAF" w:rsidRPr="00093306">
        <w:rPr>
          <w:rFonts w:eastAsia="Times New Roman"/>
          <w:color w:val="auto"/>
        </w:rPr>
        <w:t xml:space="preserve">uncosted </w:t>
      </w:r>
      <w:r w:rsidR="00D40FAF" w:rsidRPr="00093306">
        <w:rPr>
          <w:rFonts w:eastAsia="Times New Roman"/>
          <w:i/>
          <w:color w:val="auto"/>
        </w:rPr>
        <w:t>Kiribati 20 year Vision</w:t>
      </w:r>
      <w:r w:rsidR="00D40FAF" w:rsidRPr="00093306">
        <w:rPr>
          <w:rFonts w:eastAsia="Times New Roman"/>
          <w:color w:val="auto"/>
        </w:rPr>
        <w:t xml:space="preserve"> </w:t>
      </w:r>
      <w:r w:rsidR="00D40FAF" w:rsidRPr="00093306">
        <w:rPr>
          <w:rFonts w:eastAsia="Times New Roman"/>
          <w:color w:val="auto"/>
        </w:rPr>
        <w:lastRenderedPageBreak/>
        <w:t xml:space="preserve">initiatives. Other </w:t>
      </w:r>
      <w:r w:rsidR="005274C7" w:rsidRPr="00093306">
        <w:rPr>
          <w:rFonts w:eastAsia="Times New Roman"/>
          <w:color w:val="auto"/>
        </w:rPr>
        <w:t xml:space="preserve">fiscal </w:t>
      </w:r>
      <w:r w:rsidR="00D40FAF" w:rsidRPr="00093306">
        <w:rPr>
          <w:rFonts w:eastAsia="Times New Roman"/>
          <w:color w:val="auto"/>
        </w:rPr>
        <w:t>risks include external factors affecting fishing revenue and</w:t>
      </w:r>
      <w:r w:rsidR="00694836" w:rsidRPr="00093306">
        <w:rPr>
          <w:rFonts w:eastAsia="Times New Roman"/>
          <w:color w:val="auto"/>
        </w:rPr>
        <w:t xml:space="preserve"> movements in</w:t>
      </w:r>
      <w:r w:rsidR="00D40FAF" w:rsidRPr="00093306">
        <w:rPr>
          <w:rFonts w:eastAsia="Times New Roman"/>
          <w:color w:val="auto"/>
        </w:rPr>
        <w:t xml:space="preserve"> global </w:t>
      </w:r>
      <w:r w:rsidR="00EA3F43" w:rsidRPr="00093306">
        <w:rPr>
          <w:rFonts w:eastAsia="Times New Roman"/>
          <w:color w:val="auto"/>
        </w:rPr>
        <w:t>financial</w:t>
      </w:r>
      <w:r w:rsidR="00D40FAF" w:rsidRPr="00093306">
        <w:rPr>
          <w:rFonts w:eastAsia="Times New Roman"/>
          <w:color w:val="auto"/>
        </w:rPr>
        <w:t xml:space="preserve"> marke</w:t>
      </w:r>
      <w:r w:rsidR="00694836" w:rsidRPr="00093306">
        <w:rPr>
          <w:rFonts w:eastAsia="Times New Roman"/>
          <w:color w:val="auto"/>
        </w:rPr>
        <w:t>t</w:t>
      </w:r>
      <w:r w:rsidR="00D40FAF" w:rsidRPr="00093306">
        <w:rPr>
          <w:rFonts w:eastAsia="Times New Roman"/>
          <w:color w:val="auto"/>
        </w:rPr>
        <w:t>s impacting on the foreign assets in the Revenue Equalisation Reserve Fund. In 2018</w:t>
      </w:r>
      <w:r w:rsidR="005274C7" w:rsidRPr="00093306">
        <w:rPr>
          <w:rFonts w:eastAsia="Times New Roman"/>
          <w:color w:val="auto"/>
        </w:rPr>
        <w:noBreakHyphen/>
      </w:r>
      <w:r w:rsidR="00D40FAF" w:rsidRPr="00093306">
        <w:rPr>
          <w:rFonts w:eastAsia="Times New Roman"/>
          <w:color w:val="auto"/>
        </w:rPr>
        <w:t xml:space="preserve">19, Australia will maintain regular, open dialogue on the macroeconomic policy </w:t>
      </w:r>
      <w:r w:rsidR="00290161" w:rsidRPr="00093306">
        <w:rPr>
          <w:rFonts w:eastAsia="Times New Roman"/>
          <w:color w:val="auto"/>
        </w:rPr>
        <w:t>framework and</w:t>
      </w:r>
      <w:r w:rsidR="005274C7" w:rsidRPr="00093306">
        <w:rPr>
          <w:rFonts w:eastAsia="Times New Roman"/>
          <w:color w:val="auto"/>
        </w:rPr>
        <w:t xml:space="preserve"> </w:t>
      </w:r>
      <w:r w:rsidR="00EA3F43" w:rsidRPr="00093306">
        <w:rPr>
          <w:rFonts w:eastAsia="Times New Roman"/>
          <w:color w:val="auto"/>
        </w:rPr>
        <w:t>fiscal risks with the Kiribati Economic Taskforce.</w:t>
      </w:r>
    </w:p>
    <w:p w14:paraId="6D0E4686" w14:textId="00456A45" w:rsidR="00217CB2" w:rsidRPr="00093306" w:rsidRDefault="00217CB2" w:rsidP="00E36900">
      <w:pPr>
        <w:spacing w:line="240" w:lineRule="auto"/>
        <w:rPr>
          <w:rFonts w:eastAsia="Times New Roman"/>
          <w:color w:val="auto"/>
        </w:rPr>
      </w:pPr>
      <w:r w:rsidRPr="00093306">
        <w:rPr>
          <w:rFonts w:eastAsia="Times New Roman"/>
          <w:color w:val="auto"/>
        </w:rPr>
        <w:t>Australia is</w:t>
      </w:r>
      <w:r w:rsidR="00A8774A" w:rsidRPr="00093306">
        <w:rPr>
          <w:rFonts w:eastAsia="Times New Roman"/>
          <w:color w:val="auto"/>
        </w:rPr>
        <w:t xml:space="preserve"> also</w:t>
      </w:r>
      <w:r w:rsidRPr="00093306">
        <w:rPr>
          <w:rFonts w:eastAsia="Times New Roman"/>
          <w:color w:val="auto"/>
        </w:rPr>
        <w:t xml:space="preserve"> supporting the implementation of Kiribati’s Economic Reform Plan by funding </w:t>
      </w:r>
      <w:r w:rsidR="00A8774A" w:rsidRPr="00093306">
        <w:rPr>
          <w:rFonts w:eastAsia="Times New Roman"/>
          <w:color w:val="auto"/>
        </w:rPr>
        <w:t>two</w:t>
      </w:r>
      <w:r w:rsidRPr="00093306">
        <w:rPr>
          <w:rFonts w:eastAsia="Times New Roman"/>
          <w:color w:val="auto"/>
        </w:rPr>
        <w:t xml:space="preserve"> advisers through the Pacific Technical Assistance Mechanism</w:t>
      </w:r>
      <w:r w:rsidR="009D3A26" w:rsidRPr="00093306">
        <w:rPr>
          <w:rFonts w:eastAsia="Times New Roman"/>
          <w:color w:val="auto"/>
        </w:rPr>
        <w:t xml:space="preserve"> II</w:t>
      </w:r>
      <w:r w:rsidR="00A8774A" w:rsidRPr="00093306">
        <w:rPr>
          <w:rFonts w:eastAsia="Times New Roman"/>
          <w:color w:val="auto"/>
        </w:rPr>
        <w:t xml:space="preserve"> to advise on economic planning and climate financing. </w:t>
      </w:r>
      <w:r w:rsidRPr="00093306">
        <w:rPr>
          <w:rFonts w:eastAsia="Times New Roman"/>
          <w:color w:val="auto"/>
        </w:rPr>
        <w:t>This support</w:t>
      </w:r>
      <w:r w:rsidR="00E36900" w:rsidRPr="00093306">
        <w:rPr>
          <w:rFonts w:eastAsia="Times New Roman"/>
          <w:color w:val="auto"/>
        </w:rPr>
        <w:t xml:space="preserve"> continued to be </w:t>
      </w:r>
      <w:r w:rsidR="00A8774A" w:rsidRPr="00093306">
        <w:rPr>
          <w:rFonts w:eastAsia="Times New Roman"/>
          <w:color w:val="auto"/>
        </w:rPr>
        <w:t xml:space="preserve">highly </w:t>
      </w:r>
      <w:r w:rsidRPr="00093306">
        <w:rPr>
          <w:rFonts w:eastAsia="Times New Roman"/>
          <w:color w:val="auto"/>
        </w:rPr>
        <w:t>valued by the Government of Kiribati and other stakeholders</w:t>
      </w:r>
      <w:r w:rsidR="00E36900" w:rsidRPr="00093306">
        <w:rPr>
          <w:rFonts w:eastAsia="Times New Roman"/>
          <w:color w:val="auto"/>
        </w:rPr>
        <w:t xml:space="preserve"> in 2017-18</w:t>
      </w:r>
      <w:r w:rsidRPr="00093306">
        <w:rPr>
          <w:rFonts w:eastAsia="Times New Roman"/>
          <w:color w:val="auto"/>
        </w:rPr>
        <w:t>.</w:t>
      </w:r>
    </w:p>
    <w:p w14:paraId="57B480B5" w14:textId="14C507BA" w:rsidR="001C3C05" w:rsidRDefault="001C3C05" w:rsidP="001C3C05">
      <w:pPr>
        <w:spacing w:before="400"/>
        <w:rPr>
          <w:rFonts w:asciiTheme="majorHAnsi" w:eastAsiaTheme="majorEastAsia" w:hAnsiTheme="majorHAnsi" w:cstheme="majorBidi"/>
          <w:caps/>
          <w:sz w:val="38"/>
          <w:szCs w:val="26"/>
        </w:rPr>
      </w:pPr>
      <w:r w:rsidRPr="00093306">
        <w:rPr>
          <w:rFonts w:asciiTheme="majorHAnsi" w:eastAsiaTheme="majorEastAsia" w:hAnsiTheme="majorHAnsi" w:cstheme="majorBidi"/>
          <w:caps/>
          <w:sz w:val="38"/>
          <w:szCs w:val="26"/>
        </w:rPr>
        <w:t>Objective 2: building a better educated and healthier population</w:t>
      </w:r>
    </w:p>
    <w:p w14:paraId="42BA8DAD" w14:textId="4B6AA0D8" w:rsidR="001C3C05" w:rsidRPr="00093306" w:rsidRDefault="005A032C" w:rsidP="001C3C05">
      <w:pPr>
        <w:spacing w:before="240" w:line="240" w:lineRule="auto"/>
        <w:rPr>
          <w:rFonts w:eastAsia="Times New Roman"/>
          <w:color w:val="auto"/>
        </w:rPr>
      </w:pPr>
      <w:r w:rsidRPr="00093306">
        <w:rPr>
          <w:noProof/>
          <w:lang w:val="en-AU" w:eastAsia="en-AU"/>
        </w:rPr>
        <w:drawing>
          <wp:anchor distT="0" distB="0" distL="114300" distR="114300" simplePos="0" relativeHeight="251692032" behindDoc="0" locked="0" layoutInCell="1" allowOverlap="1" wp14:anchorId="61EC4C3D" wp14:editId="2F560A7E">
            <wp:simplePos x="0" y="0"/>
            <wp:positionH relativeFrom="column">
              <wp:posOffset>3023235</wp:posOffset>
            </wp:positionH>
            <wp:positionV relativeFrom="paragraph">
              <wp:posOffset>167005</wp:posOffset>
            </wp:positionV>
            <wp:extent cx="611505" cy="6115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anchor>
        </w:drawing>
      </w:r>
      <w:r w:rsidR="001C3C05" w:rsidRPr="00093306">
        <w:rPr>
          <w:rFonts w:ascii="Franklin Gothic Book" w:eastAsia="Times New Roman" w:hAnsi="Franklin Gothic Book" w:cs="Times New Roman"/>
          <w:noProof/>
          <w:color w:val="auto"/>
          <w:sz w:val="21"/>
          <w:szCs w:val="24"/>
          <w:lang w:val="en-AU" w:eastAsia="en-AU"/>
        </w:rPr>
        <w:drawing>
          <wp:anchor distT="0" distB="0" distL="114300" distR="114300" simplePos="0" relativeHeight="251682816" behindDoc="1" locked="0" layoutInCell="1" allowOverlap="1" wp14:anchorId="116F3B7F" wp14:editId="05B51EF3">
            <wp:simplePos x="0" y="0"/>
            <wp:positionH relativeFrom="column">
              <wp:posOffset>1351500</wp:posOffset>
            </wp:positionH>
            <wp:positionV relativeFrom="paragraph">
              <wp:posOffset>164686</wp:posOffset>
            </wp:positionV>
            <wp:extent cx="611505" cy="611505"/>
            <wp:effectExtent l="0" t="0" r="0" b="0"/>
            <wp:wrapTight wrapText="bothSides">
              <wp:wrapPolygon edited="0">
                <wp:start x="0" y="0"/>
                <wp:lineTo x="0" y="20860"/>
                <wp:lineTo x="20860" y="20860"/>
                <wp:lineTo x="208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anchor>
        </w:drawing>
      </w:r>
      <w:r w:rsidR="001C3C05" w:rsidRPr="005A032C">
        <w:rPr>
          <w:rFonts w:ascii="Franklin Gothic Book" w:eastAsia="Times New Roman" w:hAnsi="Franklin Gothic Book" w:cs="Times New Roman"/>
          <w:noProof/>
          <w:color w:val="auto"/>
          <w:sz w:val="21"/>
          <w:szCs w:val="24"/>
          <w:lang w:val="en-AU" w:eastAsia="en-AU"/>
        </w:rPr>
        <w:drawing>
          <wp:anchor distT="0" distB="0" distL="114300" distR="114300" simplePos="0" relativeHeight="251683840" behindDoc="1" locked="0" layoutInCell="1" allowOverlap="1" wp14:anchorId="7F8DF7FD" wp14:editId="046F9AED">
            <wp:simplePos x="0" y="0"/>
            <wp:positionH relativeFrom="column">
              <wp:posOffset>2181832</wp:posOffset>
            </wp:positionH>
            <wp:positionV relativeFrom="paragraph">
              <wp:posOffset>162395</wp:posOffset>
            </wp:positionV>
            <wp:extent cx="611505" cy="611505"/>
            <wp:effectExtent l="0" t="0" r="0" b="0"/>
            <wp:wrapTight wrapText="bothSides">
              <wp:wrapPolygon edited="0">
                <wp:start x="0" y="0"/>
                <wp:lineTo x="0" y="20860"/>
                <wp:lineTo x="20860" y="20860"/>
                <wp:lineTo x="208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anchor>
        </w:drawing>
      </w:r>
      <w:r w:rsidR="001C3C05" w:rsidRPr="00791F53">
        <w:rPr>
          <w:rFonts w:asciiTheme="majorHAnsi" w:eastAsiaTheme="majorEastAsia" w:hAnsiTheme="majorHAnsi" w:cstheme="majorBidi"/>
          <w:caps/>
          <w:noProof/>
          <w:sz w:val="38"/>
          <w:szCs w:val="26"/>
          <w:lang w:val="en-AU" w:eastAsia="en-AU"/>
        </w:rPr>
        <w:drawing>
          <wp:inline distT="0" distB="0" distL="0" distR="0" wp14:anchorId="48972CDF" wp14:editId="3C4DF74E">
            <wp:extent cx="1137600" cy="720000"/>
            <wp:effectExtent l="0" t="0" r="571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p w14:paraId="09D9EB3C" w14:textId="5B970368" w:rsidR="009D3A26" w:rsidRPr="00093306" w:rsidRDefault="00290161" w:rsidP="00CA232F">
      <w:pPr>
        <w:spacing w:before="240" w:line="240" w:lineRule="auto"/>
        <w:rPr>
          <w:rFonts w:eastAsia="Times New Roman"/>
          <w:color w:val="auto"/>
        </w:rPr>
      </w:pPr>
      <w:r w:rsidRPr="00AB1782">
        <w:rPr>
          <w:rFonts w:eastAsia="Times New Roman"/>
          <w:color w:val="auto"/>
        </w:rPr>
        <w:t xml:space="preserve">In 2017-18, </w:t>
      </w:r>
      <w:r w:rsidR="00CA232F" w:rsidRPr="00AB1782">
        <w:rPr>
          <w:rFonts w:eastAsia="Times New Roman"/>
          <w:color w:val="auto"/>
        </w:rPr>
        <w:t>Australia work</w:t>
      </w:r>
      <w:r w:rsidRPr="00AB1782">
        <w:rPr>
          <w:rFonts w:eastAsia="Times New Roman"/>
          <w:color w:val="auto"/>
        </w:rPr>
        <w:t>ed</w:t>
      </w:r>
      <w:r w:rsidR="00CA232F" w:rsidRPr="00AB1782">
        <w:rPr>
          <w:rFonts w:eastAsia="Times New Roman"/>
          <w:color w:val="auto"/>
        </w:rPr>
        <w:t xml:space="preserve"> with the Government of Kiribati to improve</w:t>
      </w:r>
      <w:r w:rsidR="00694836" w:rsidRPr="00AB1782">
        <w:rPr>
          <w:rFonts w:eastAsia="Times New Roman"/>
          <w:color w:val="auto"/>
        </w:rPr>
        <w:t xml:space="preserve"> the quality and accessibility of</w:t>
      </w:r>
      <w:r w:rsidR="00CA232F" w:rsidRPr="00093306">
        <w:rPr>
          <w:rFonts w:eastAsia="Times New Roman"/>
          <w:color w:val="auto"/>
        </w:rPr>
        <w:t xml:space="preserve"> primary</w:t>
      </w:r>
      <w:r w:rsidR="009D3A26" w:rsidRPr="00093306">
        <w:rPr>
          <w:rFonts w:eastAsia="Times New Roman"/>
          <w:color w:val="auto"/>
        </w:rPr>
        <w:t xml:space="preserve"> and secondary</w:t>
      </w:r>
      <w:r w:rsidRPr="00093306">
        <w:rPr>
          <w:rFonts w:eastAsia="Times New Roman"/>
          <w:color w:val="auto"/>
        </w:rPr>
        <w:t xml:space="preserve"> education, prov</w:t>
      </w:r>
      <w:r w:rsidR="00CA232F" w:rsidRPr="00093306">
        <w:rPr>
          <w:rFonts w:eastAsia="Times New Roman"/>
          <w:color w:val="auto"/>
        </w:rPr>
        <w:t xml:space="preserve">ide work-skills training aligned with labour market demands and </w:t>
      </w:r>
      <w:r w:rsidRPr="00093306">
        <w:rPr>
          <w:rFonts w:eastAsia="Times New Roman"/>
          <w:color w:val="auto"/>
        </w:rPr>
        <w:t>reduce the incidence of tuberculous and other</w:t>
      </w:r>
      <w:r w:rsidR="00CA232F" w:rsidRPr="00093306">
        <w:rPr>
          <w:rFonts w:eastAsia="Times New Roman"/>
          <w:color w:val="auto"/>
        </w:rPr>
        <w:t xml:space="preserve"> communicable diseases. DFAT rates progress against this objective as green, with good progre</w:t>
      </w:r>
      <w:r w:rsidR="009D3A26" w:rsidRPr="00093306">
        <w:rPr>
          <w:rFonts w:eastAsia="Times New Roman"/>
          <w:color w:val="auto"/>
        </w:rPr>
        <w:t xml:space="preserve">ss continuing to be achieved across all </w:t>
      </w:r>
      <w:r w:rsidR="00CA232F" w:rsidRPr="00093306">
        <w:rPr>
          <w:rFonts w:eastAsia="Times New Roman"/>
          <w:color w:val="auto"/>
        </w:rPr>
        <w:t xml:space="preserve">investments. </w:t>
      </w:r>
    </w:p>
    <w:p w14:paraId="082217EB" w14:textId="77777777" w:rsidR="009D3A26" w:rsidRPr="00093306" w:rsidRDefault="009D3A26" w:rsidP="009D3A26">
      <w:pPr>
        <w:rPr>
          <w:rFonts w:eastAsia="Times New Roman"/>
          <w:color w:val="auto"/>
        </w:rPr>
      </w:pPr>
      <w:r w:rsidRPr="00093306">
        <w:rPr>
          <w:rFonts w:eastAsia="Times New Roman"/>
          <w:color w:val="auto"/>
        </w:rPr>
        <w:t xml:space="preserve">Key </w:t>
      </w:r>
      <w:r w:rsidR="003E3AB5" w:rsidRPr="00093306">
        <w:rPr>
          <w:rFonts w:eastAsia="Times New Roman"/>
          <w:color w:val="auto"/>
        </w:rPr>
        <w:t>achievement</w:t>
      </w:r>
      <w:r w:rsidRPr="00093306">
        <w:rPr>
          <w:rFonts w:eastAsia="Times New Roman"/>
          <w:color w:val="auto"/>
        </w:rPr>
        <w:t xml:space="preserve"> under Australia’s </w:t>
      </w:r>
      <w:r w:rsidRPr="00093306">
        <w:rPr>
          <w:rFonts w:eastAsia="Times New Roman"/>
          <w:i/>
          <w:color w:val="auto"/>
        </w:rPr>
        <w:t>Kiribati Education Improvement Program</w:t>
      </w:r>
      <w:r w:rsidR="003E3AB5" w:rsidRPr="00093306">
        <w:rPr>
          <w:rFonts w:eastAsia="Times New Roman"/>
          <w:color w:val="auto"/>
        </w:rPr>
        <w:t xml:space="preserve"> </w:t>
      </w:r>
      <w:r w:rsidR="00CA6F97" w:rsidRPr="00093306">
        <w:rPr>
          <w:rFonts w:eastAsia="Times New Roman"/>
          <w:color w:val="auto"/>
        </w:rPr>
        <w:t xml:space="preserve">Phase III </w:t>
      </w:r>
      <w:r w:rsidR="0063744A" w:rsidRPr="00093306">
        <w:rPr>
          <w:rFonts w:eastAsia="Times New Roman"/>
          <w:color w:val="auto"/>
        </w:rPr>
        <w:t>($</w:t>
      </w:r>
      <w:r w:rsidR="00CA6F97" w:rsidRPr="00093306">
        <w:rPr>
          <w:rFonts w:eastAsia="Times New Roman"/>
          <w:color w:val="auto"/>
        </w:rPr>
        <w:t>32</w:t>
      </w:r>
      <w:r w:rsidR="0063744A" w:rsidRPr="00093306">
        <w:rPr>
          <w:rFonts w:eastAsia="Times New Roman"/>
          <w:color w:val="auto"/>
        </w:rPr>
        <w:t xml:space="preserve"> million, 201</w:t>
      </w:r>
      <w:r w:rsidR="00CA6F97" w:rsidRPr="00093306">
        <w:rPr>
          <w:rFonts w:eastAsia="Times New Roman"/>
          <w:color w:val="auto"/>
        </w:rPr>
        <w:t>6</w:t>
      </w:r>
      <w:r w:rsidR="0063744A" w:rsidRPr="00093306">
        <w:rPr>
          <w:rFonts w:eastAsia="Times New Roman"/>
          <w:color w:val="auto"/>
        </w:rPr>
        <w:t xml:space="preserve">-19) </w:t>
      </w:r>
      <w:r w:rsidRPr="00093306">
        <w:rPr>
          <w:rFonts w:eastAsia="Times New Roman"/>
          <w:color w:val="auto"/>
        </w:rPr>
        <w:t>in 201</w:t>
      </w:r>
      <w:r w:rsidR="003E3AB5" w:rsidRPr="00093306">
        <w:rPr>
          <w:rFonts w:eastAsia="Times New Roman"/>
          <w:color w:val="auto"/>
        </w:rPr>
        <w:t>7</w:t>
      </w:r>
      <w:r w:rsidR="00F86D1B" w:rsidRPr="00093306">
        <w:rPr>
          <w:rFonts w:eastAsia="Times New Roman"/>
          <w:color w:val="auto"/>
        </w:rPr>
        <w:t>-18</w:t>
      </w:r>
      <w:r w:rsidRPr="00093306">
        <w:rPr>
          <w:rFonts w:eastAsia="Times New Roman"/>
          <w:color w:val="auto"/>
        </w:rPr>
        <w:t xml:space="preserve"> include:</w:t>
      </w:r>
    </w:p>
    <w:p w14:paraId="1EFC51EA" w14:textId="5E193CCE" w:rsidR="009D3A26" w:rsidRPr="00093306" w:rsidRDefault="00F86D1B" w:rsidP="003E3AB5">
      <w:pPr>
        <w:pStyle w:val="ListParagraph"/>
        <w:numPr>
          <w:ilvl w:val="0"/>
          <w:numId w:val="39"/>
        </w:numPr>
        <w:suppressAutoHyphens w:val="0"/>
        <w:spacing w:before="0" w:after="0" w:line="240" w:lineRule="auto"/>
        <w:ind w:left="357" w:hanging="357"/>
        <w:contextualSpacing w:val="0"/>
        <w:rPr>
          <w:rFonts w:eastAsia="SimSun"/>
          <w:color w:val="auto"/>
        </w:rPr>
      </w:pPr>
      <w:r w:rsidRPr="00093306">
        <w:rPr>
          <w:rFonts w:eastAsia="SimSun"/>
          <w:color w:val="auto"/>
        </w:rPr>
        <w:t>a</w:t>
      </w:r>
      <w:r w:rsidR="009D3A26" w:rsidRPr="00093306">
        <w:rPr>
          <w:rFonts w:eastAsia="SimSun"/>
          <w:color w:val="auto"/>
        </w:rPr>
        <w:t>ll Year 7 students had access to a new curriculum</w:t>
      </w:r>
      <w:r w:rsidR="00034AEE" w:rsidRPr="00093306">
        <w:rPr>
          <w:rFonts w:eastAsia="SimSun"/>
          <w:color w:val="auto"/>
        </w:rPr>
        <w:t xml:space="preserve"> as </w:t>
      </w:r>
      <w:r w:rsidR="00791F53">
        <w:rPr>
          <w:rFonts w:eastAsia="SimSun"/>
          <w:color w:val="auto"/>
        </w:rPr>
        <w:t>planned</w:t>
      </w:r>
      <w:r w:rsidR="00694836" w:rsidRPr="00093306">
        <w:rPr>
          <w:rFonts w:eastAsia="SimSun"/>
          <w:color w:val="auto"/>
        </w:rPr>
        <w:t>;</w:t>
      </w:r>
      <w:r w:rsidR="009D3A26" w:rsidRPr="00093306">
        <w:rPr>
          <w:rFonts w:eastAsia="SimSun"/>
          <w:color w:val="auto"/>
        </w:rPr>
        <w:t xml:space="preserve"> </w:t>
      </w:r>
    </w:p>
    <w:p w14:paraId="50DF32AF" w14:textId="64286BD8" w:rsidR="00E229F5" w:rsidRPr="00093306" w:rsidRDefault="00E229F5" w:rsidP="00E229F5">
      <w:pPr>
        <w:pStyle w:val="ListParagraph"/>
        <w:numPr>
          <w:ilvl w:val="0"/>
          <w:numId w:val="39"/>
        </w:numPr>
        <w:suppressAutoHyphens w:val="0"/>
        <w:spacing w:before="0" w:after="0" w:line="240" w:lineRule="auto"/>
        <w:ind w:left="357" w:hanging="357"/>
        <w:contextualSpacing w:val="0"/>
        <w:rPr>
          <w:rFonts w:eastAsia="SimSun"/>
          <w:color w:val="auto"/>
        </w:rPr>
      </w:pPr>
      <w:r w:rsidRPr="00093306">
        <w:rPr>
          <w:rFonts w:eastAsia="Times New Roman"/>
          <w:iCs/>
          <w:color w:val="auto"/>
          <w:szCs w:val="17"/>
        </w:rPr>
        <w:t xml:space="preserve">311 Year 7 teachers (86 per cent – surpassing the program’s target of 80 per cent) </w:t>
      </w:r>
      <w:r w:rsidRPr="00093306">
        <w:rPr>
          <w:rFonts w:eastAsia="SimSun"/>
          <w:color w:val="auto"/>
        </w:rPr>
        <w:t>were trained in the new Year 7 curriculum and an additional 578 (96 per cent) of primary school teacher received additional coaching</w:t>
      </w:r>
      <w:r w:rsidR="00694836" w:rsidRPr="00093306">
        <w:rPr>
          <w:rFonts w:eastAsia="SimSun"/>
          <w:color w:val="auto"/>
        </w:rPr>
        <w:t>;</w:t>
      </w:r>
    </w:p>
    <w:p w14:paraId="1DA831A7" w14:textId="539DB27B" w:rsidR="009D3A26" w:rsidRPr="00093306" w:rsidRDefault="009D3A26" w:rsidP="003E3AB5">
      <w:pPr>
        <w:pStyle w:val="ListParagraph"/>
        <w:numPr>
          <w:ilvl w:val="0"/>
          <w:numId w:val="39"/>
        </w:numPr>
        <w:suppressAutoHyphens w:val="0"/>
        <w:spacing w:before="0" w:after="0" w:line="240" w:lineRule="auto"/>
        <w:ind w:left="357" w:hanging="357"/>
        <w:contextualSpacing w:val="0"/>
        <w:rPr>
          <w:rFonts w:eastAsia="SimSun"/>
          <w:color w:val="auto"/>
        </w:rPr>
      </w:pPr>
      <w:r w:rsidRPr="00093306">
        <w:rPr>
          <w:rFonts w:eastAsia="SimSun"/>
          <w:color w:val="auto"/>
        </w:rPr>
        <w:t>2</w:t>
      </w:r>
      <w:r w:rsidR="00174E97" w:rsidRPr="00093306">
        <w:rPr>
          <w:rFonts w:eastAsia="SimSun"/>
          <w:color w:val="auto"/>
        </w:rPr>
        <w:t>,</w:t>
      </w:r>
      <w:r w:rsidRPr="00093306">
        <w:rPr>
          <w:rFonts w:eastAsia="SimSun"/>
          <w:color w:val="auto"/>
        </w:rPr>
        <w:t>0</w:t>
      </w:r>
      <w:r w:rsidR="003E3AB5" w:rsidRPr="00093306">
        <w:rPr>
          <w:rFonts w:eastAsia="SimSun"/>
          <w:color w:val="auto"/>
        </w:rPr>
        <w:t>31</w:t>
      </w:r>
      <w:r w:rsidRPr="00093306">
        <w:rPr>
          <w:rFonts w:eastAsia="SimSun"/>
          <w:color w:val="auto"/>
        </w:rPr>
        <w:t xml:space="preserve"> children </w:t>
      </w:r>
      <w:r w:rsidR="00E229F5" w:rsidRPr="00093306">
        <w:rPr>
          <w:rFonts w:eastAsia="SimSun"/>
          <w:color w:val="auto"/>
        </w:rPr>
        <w:t>(surpassing the program’s target of 1</w:t>
      </w:r>
      <w:r w:rsidR="00174E97" w:rsidRPr="00093306">
        <w:rPr>
          <w:rFonts w:eastAsia="SimSun"/>
          <w:color w:val="auto"/>
        </w:rPr>
        <w:t>,</w:t>
      </w:r>
      <w:r w:rsidR="00E229F5" w:rsidRPr="00093306">
        <w:rPr>
          <w:rFonts w:eastAsia="SimSun"/>
          <w:color w:val="auto"/>
        </w:rPr>
        <w:t xml:space="preserve">896 children) </w:t>
      </w:r>
      <w:r w:rsidRPr="00093306">
        <w:rPr>
          <w:rFonts w:eastAsia="SimSun"/>
          <w:color w:val="auto"/>
        </w:rPr>
        <w:t>benefited from rehabilitated primary school buildings, built in line with</w:t>
      </w:r>
      <w:r w:rsidR="00694836" w:rsidRPr="00093306">
        <w:rPr>
          <w:rFonts w:eastAsia="SimSun"/>
          <w:color w:val="auto"/>
        </w:rPr>
        <w:t xml:space="preserve"> globally recognised a</w:t>
      </w:r>
      <w:r w:rsidRPr="00093306">
        <w:rPr>
          <w:rFonts w:eastAsia="SimSun"/>
          <w:color w:val="auto"/>
        </w:rPr>
        <w:t xml:space="preserve">ccessibility </w:t>
      </w:r>
      <w:r w:rsidR="00694836" w:rsidRPr="00093306">
        <w:rPr>
          <w:rFonts w:eastAsia="SimSun"/>
          <w:color w:val="auto"/>
        </w:rPr>
        <w:t>d</w:t>
      </w:r>
      <w:r w:rsidRPr="00093306">
        <w:rPr>
          <w:rFonts w:eastAsia="SimSun"/>
          <w:color w:val="auto"/>
        </w:rPr>
        <w:t>esign standards;</w:t>
      </w:r>
    </w:p>
    <w:p w14:paraId="0A8DD2D4" w14:textId="27EBF79D" w:rsidR="00866D87" w:rsidRPr="00093306" w:rsidRDefault="00E920C9" w:rsidP="00E920C9">
      <w:pPr>
        <w:pStyle w:val="ListParagraph"/>
        <w:numPr>
          <w:ilvl w:val="0"/>
          <w:numId w:val="39"/>
        </w:numPr>
        <w:rPr>
          <w:rFonts w:eastAsia="SimSun"/>
          <w:color w:val="auto"/>
        </w:rPr>
      </w:pPr>
      <w:r w:rsidRPr="00093306">
        <w:rPr>
          <w:rFonts w:eastAsia="SimSun"/>
          <w:color w:val="auto"/>
        </w:rPr>
        <w:t>12 children living with a disability were supported to access mainstream education at one of the Ministry of Education’s six newly established Model Inclusion Schools;</w:t>
      </w:r>
    </w:p>
    <w:p w14:paraId="4B556816" w14:textId="328B69BE" w:rsidR="00E920C9" w:rsidRPr="00093306" w:rsidRDefault="009D3A26" w:rsidP="0016136F">
      <w:pPr>
        <w:pStyle w:val="ListParagraph"/>
        <w:numPr>
          <w:ilvl w:val="0"/>
          <w:numId w:val="39"/>
        </w:numPr>
        <w:suppressAutoHyphens w:val="0"/>
        <w:spacing w:before="0" w:after="0" w:line="240" w:lineRule="auto"/>
        <w:ind w:left="357" w:hanging="357"/>
        <w:contextualSpacing w:val="0"/>
        <w:rPr>
          <w:rFonts w:eastAsia="SimSun"/>
          <w:color w:val="auto"/>
        </w:rPr>
      </w:pPr>
      <w:r w:rsidRPr="00093306">
        <w:rPr>
          <w:rFonts w:eastAsia="SimSun"/>
          <w:color w:val="auto"/>
        </w:rPr>
        <w:t xml:space="preserve">more children with a disability (from </w:t>
      </w:r>
      <w:r w:rsidR="00866D87" w:rsidRPr="00093306">
        <w:rPr>
          <w:rFonts w:eastAsia="SimSun"/>
          <w:color w:val="auto"/>
        </w:rPr>
        <w:t>185</w:t>
      </w:r>
      <w:r w:rsidRPr="00093306">
        <w:rPr>
          <w:rFonts w:eastAsia="SimSun"/>
          <w:color w:val="auto"/>
        </w:rPr>
        <w:t xml:space="preserve"> in 201</w:t>
      </w:r>
      <w:r w:rsidR="00866D87" w:rsidRPr="00093306">
        <w:rPr>
          <w:rFonts w:eastAsia="SimSun"/>
          <w:color w:val="auto"/>
        </w:rPr>
        <w:t>6</w:t>
      </w:r>
      <w:r w:rsidR="003E3AB5" w:rsidRPr="00093306">
        <w:rPr>
          <w:rFonts w:eastAsia="SimSun"/>
          <w:color w:val="auto"/>
        </w:rPr>
        <w:t xml:space="preserve"> – </w:t>
      </w:r>
      <w:r w:rsidR="00866D87" w:rsidRPr="00093306">
        <w:rPr>
          <w:rFonts w:eastAsia="SimSun"/>
          <w:color w:val="auto"/>
        </w:rPr>
        <w:t>106</w:t>
      </w:r>
      <w:r w:rsidRPr="00093306">
        <w:rPr>
          <w:rFonts w:eastAsia="SimSun"/>
          <w:color w:val="auto"/>
        </w:rPr>
        <w:t xml:space="preserve"> boys and </w:t>
      </w:r>
      <w:r w:rsidR="00866D87" w:rsidRPr="00093306">
        <w:rPr>
          <w:rFonts w:eastAsia="SimSun"/>
          <w:color w:val="auto"/>
        </w:rPr>
        <w:t>79</w:t>
      </w:r>
      <w:r w:rsidR="003E3AB5" w:rsidRPr="00093306">
        <w:rPr>
          <w:rFonts w:eastAsia="SimSun"/>
          <w:color w:val="auto"/>
        </w:rPr>
        <w:t xml:space="preserve"> girls to</w:t>
      </w:r>
      <w:r w:rsidR="00AB0B7D" w:rsidRPr="00093306">
        <w:rPr>
          <w:rFonts w:eastAsia="SimSun"/>
          <w:color w:val="auto"/>
        </w:rPr>
        <w:t xml:space="preserve"> </w:t>
      </w:r>
      <w:r w:rsidR="00866D87" w:rsidRPr="00093306">
        <w:rPr>
          <w:rFonts w:eastAsia="SimSun"/>
          <w:color w:val="auto"/>
        </w:rPr>
        <w:t>203</w:t>
      </w:r>
      <w:r w:rsidR="00AB0B7D" w:rsidRPr="00093306">
        <w:rPr>
          <w:rFonts w:eastAsia="SimSun"/>
          <w:color w:val="auto"/>
        </w:rPr>
        <w:t xml:space="preserve"> in </w:t>
      </w:r>
      <w:r w:rsidRPr="00093306">
        <w:rPr>
          <w:rFonts w:eastAsia="SimSun"/>
          <w:color w:val="auto"/>
        </w:rPr>
        <w:t>201</w:t>
      </w:r>
      <w:r w:rsidR="00AB0B7D" w:rsidRPr="00093306">
        <w:rPr>
          <w:rFonts w:eastAsia="SimSun"/>
          <w:color w:val="auto"/>
        </w:rPr>
        <w:t>8</w:t>
      </w:r>
      <w:r w:rsidRPr="00093306">
        <w:rPr>
          <w:rFonts w:eastAsia="SimSun"/>
          <w:color w:val="auto"/>
        </w:rPr>
        <w:t xml:space="preserve"> – </w:t>
      </w:r>
      <w:r w:rsidR="00866D87" w:rsidRPr="00093306">
        <w:rPr>
          <w:color w:val="auto"/>
        </w:rPr>
        <w:t>106</w:t>
      </w:r>
      <w:r w:rsidR="003E3AB5" w:rsidRPr="00093306">
        <w:rPr>
          <w:color w:val="auto"/>
        </w:rPr>
        <w:t xml:space="preserve"> b</w:t>
      </w:r>
      <w:r w:rsidRPr="00093306">
        <w:rPr>
          <w:color w:val="auto"/>
        </w:rPr>
        <w:t xml:space="preserve">oys and </w:t>
      </w:r>
      <w:r w:rsidR="00866D87" w:rsidRPr="00093306">
        <w:rPr>
          <w:color w:val="auto"/>
        </w:rPr>
        <w:t>97</w:t>
      </w:r>
      <w:r w:rsidRPr="00093306">
        <w:rPr>
          <w:color w:val="auto"/>
        </w:rPr>
        <w:t xml:space="preserve"> girls</w:t>
      </w:r>
      <w:r w:rsidRPr="00093306">
        <w:rPr>
          <w:rFonts w:eastAsia="SimSun"/>
          <w:color w:val="auto"/>
        </w:rPr>
        <w:t>) were able to access quality education services at the Kiribati School for Children with Special Needs</w:t>
      </w:r>
      <w:r w:rsidR="00E920C9" w:rsidRPr="00093306">
        <w:rPr>
          <w:rFonts w:eastAsia="SimSun"/>
          <w:color w:val="auto"/>
        </w:rPr>
        <w:t>;</w:t>
      </w:r>
      <w:r w:rsidR="00694836" w:rsidRPr="00093306">
        <w:rPr>
          <w:rFonts w:eastAsia="SimSun"/>
          <w:color w:val="auto"/>
        </w:rPr>
        <w:t xml:space="preserve"> and</w:t>
      </w:r>
    </w:p>
    <w:p w14:paraId="212278C5" w14:textId="7B67A552" w:rsidR="00E920C9" w:rsidRPr="00093306" w:rsidRDefault="00E920C9" w:rsidP="006F0954">
      <w:pPr>
        <w:pStyle w:val="ListParagraph"/>
        <w:numPr>
          <w:ilvl w:val="0"/>
          <w:numId w:val="39"/>
        </w:numPr>
        <w:suppressAutoHyphens w:val="0"/>
        <w:spacing w:before="0" w:after="0" w:line="240" w:lineRule="auto"/>
        <w:ind w:left="357" w:hanging="357"/>
        <w:contextualSpacing w:val="0"/>
        <w:rPr>
          <w:rFonts w:eastAsia="SimSun"/>
          <w:color w:val="auto"/>
        </w:rPr>
      </w:pPr>
      <w:r w:rsidRPr="00093306">
        <w:rPr>
          <w:rFonts w:eastAsia="Times New Roman"/>
          <w:color w:val="auto"/>
        </w:rPr>
        <w:t xml:space="preserve">Australia worked with the Ministry of Education to address the ongoing challenge of maintaining school facilities – a survey was undertaken to assess and prioritise maintenance requirements.  </w:t>
      </w:r>
    </w:p>
    <w:p w14:paraId="208B9FFA" w14:textId="78473462" w:rsidR="0063744A" w:rsidRPr="00093306" w:rsidRDefault="00F86D1B" w:rsidP="00D647E4">
      <w:pPr>
        <w:suppressAutoHyphens w:val="0"/>
        <w:spacing w:line="240" w:lineRule="auto"/>
        <w:rPr>
          <w:rFonts w:eastAsia="SimSun"/>
          <w:color w:val="auto"/>
        </w:rPr>
      </w:pPr>
      <w:r w:rsidRPr="00093306">
        <w:rPr>
          <w:rFonts w:eastAsia="Times New Roman"/>
          <w:color w:val="auto"/>
        </w:rPr>
        <w:t xml:space="preserve">While </w:t>
      </w:r>
      <w:r w:rsidR="00CA6F97" w:rsidRPr="00093306">
        <w:rPr>
          <w:rFonts w:eastAsia="Times New Roman"/>
          <w:color w:val="auto"/>
        </w:rPr>
        <w:t>a</w:t>
      </w:r>
      <w:r w:rsidRPr="00093306">
        <w:rPr>
          <w:rFonts w:eastAsia="Times New Roman"/>
          <w:color w:val="auto"/>
        </w:rPr>
        <w:t xml:space="preserve">nnual targets continue to be met, </w:t>
      </w:r>
      <w:r w:rsidR="00C92C84" w:rsidRPr="00093306">
        <w:rPr>
          <w:rFonts w:eastAsia="Times New Roman"/>
          <w:color w:val="auto"/>
        </w:rPr>
        <w:t xml:space="preserve">Australia </w:t>
      </w:r>
      <w:r w:rsidRPr="00093306">
        <w:rPr>
          <w:rFonts w:eastAsia="Times New Roman"/>
          <w:color w:val="auto"/>
        </w:rPr>
        <w:t>req</w:t>
      </w:r>
      <w:r w:rsidR="00CA6F97" w:rsidRPr="00093306">
        <w:rPr>
          <w:rFonts w:eastAsia="Times New Roman"/>
          <w:color w:val="auto"/>
        </w:rPr>
        <w:t>uires more evidence to assess</w:t>
      </w:r>
      <w:r w:rsidRPr="00093306">
        <w:rPr>
          <w:rFonts w:eastAsia="Times New Roman"/>
          <w:color w:val="auto"/>
        </w:rPr>
        <w:t xml:space="preserve"> how </w:t>
      </w:r>
      <w:r w:rsidR="00CA6F97" w:rsidRPr="00093306">
        <w:rPr>
          <w:rFonts w:eastAsia="Times New Roman"/>
          <w:color w:val="auto"/>
        </w:rPr>
        <w:t>the program is tracking towards its end-of-program outcome of improved</w:t>
      </w:r>
      <w:r w:rsidRPr="00093306">
        <w:rPr>
          <w:rFonts w:eastAsia="Times New Roman"/>
          <w:color w:val="auto"/>
        </w:rPr>
        <w:t xml:space="preserve"> learning outcomes</w:t>
      </w:r>
      <w:r w:rsidR="00597664" w:rsidRPr="00093306">
        <w:rPr>
          <w:rFonts w:eastAsia="Times New Roman"/>
          <w:color w:val="auto"/>
        </w:rPr>
        <w:t xml:space="preserve">. The </w:t>
      </w:r>
      <w:r w:rsidR="00EA6B2E" w:rsidRPr="00093306">
        <w:rPr>
          <w:rFonts w:eastAsia="Times New Roman"/>
          <w:color w:val="auto"/>
        </w:rPr>
        <w:t>next</w:t>
      </w:r>
      <w:r w:rsidR="00C92C84" w:rsidRPr="00093306">
        <w:rPr>
          <w:rFonts w:eastAsia="Times New Roman"/>
          <w:color w:val="auto"/>
        </w:rPr>
        <w:t xml:space="preserve"> Pacific Islands Literacy and Numeracy Asses</w:t>
      </w:r>
      <w:r w:rsidR="003B6392" w:rsidRPr="00093306">
        <w:rPr>
          <w:rFonts w:eastAsia="Times New Roman"/>
          <w:color w:val="auto"/>
        </w:rPr>
        <w:t>s</w:t>
      </w:r>
      <w:r w:rsidR="00C92C84" w:rsidRPr="00093306">
        <w:rPr>
          <w:rFonts w:eastAsia="Times New Roman"/>
          <w:color w:val="auto"/>
        </w:rPr>
        <w:t xml:space="preserve">ment </w:t>
      </w:r>
      <w:r w:rsidR="00EA6B2E" w:rsidRPr="00093306">
        <w:rPr>
          <w:rFonts w:eastAsia="Times New Roman"/>
          <w:color w:val="auto"/>
        </w:rPr>
        <w:t>(to be undertaken in late 2018)</w:t>
      </w:r>
      <w:r w:rsidR="00694836" w:rsidRPr="00093306">
        <w:rPr>
          <w:rFonts w:eastAsia="Times New Roman"/>
          <w:color w:val="auto"/>
        </w:rPr>
        <w:t>,</w:t>
      </w:r>
      <w:r w:rsidR="00EA6B2E" w:rsidRPr="00093306">
        <w:rPr>
          <w:rFonts w:eastAsia="Times New Roman"/>
          <w:color w:val="auto"/>
        </w:rPr>
        <w:t xml:space="preserve"> </w:t>
      </w:r>
      <w:r w:rsidR="003B6392" w:rsidRPr="00093306">
        <w:rPr>
          <w:rFonts w:eastAsia="Times New Roman"/>
          <w:color w:val="auto"/>
        </w:rPr>
        <w:t>along with national literacy and numeracy tests</w:t>
      </w:r>
      <w:r w:rsidR="00597664" w:rsidRPr="00093306">
        <w:rPr>
          <w:rFonts w:eastAsia="Times New Roman"/>
          <w:color w:val="auto"/>
        </w:rPr>
        <w:t xml:space="preserve">, will provide Australia with a </w:t>
      </w:r>
      <w:r w:rsidR="003B6392" w:rsidRPr="00093306">
        <w:rPr>
          <w:rFonts w:eastAsia="Times New Roman"/>
          <w:color w:val="auto"/>
        </w:rPr>
        <w:t>clearer sense</w:t>
      </w:r>
      <w:r w:rsidR="005274C7" w:rsidRPr="00093306">
        <w:rPr>
          <w:rFonts w:eastAsia="Times New Roman"/>
          <w:color w:val="auto"/>
        </w:rPr>
        <w:t xml:space="preserve"> of the</w:t>
      </w:r>
      <w:r w:rsidRPr="00093306">
        <w:rPr>
          <w:rFonts w:eastAsia="Times New Roman"/>
          <w:color w:val="auto"/>
        </w:rPr>
        <w:t xml:space="preserve"> extent to which the program ha</w:t>
      </w:r>
      <w:r w:rsidR="005274C7" w:rsidRPr="00093306">
        <w:rPr>
          <w:rFonts w:eastAsia="Times New Roman"/>
          <w:color w:val="auto"/>
        </w:rPr>
        <w:t>s</w:t>
      </w:r>
      <w:r w:rsidRPr="00093306">
        <w:rPr>
          <w:rFonts w:eastAsia="Times New Roman"/>
          <w:color w:val="auto"/>
        </w:rPr>
        <w:t xml:space="preserve"> been</w:t>
      </w:r>
      <w:r w:rsidR="005274C7" w:rsidRPr="00093306">
        <w:rPr>
          <w:rFonts w:eastAsia="Times New Roman"/>
          <w:color w:val="auto"/>
        </w:rPr>
        <w:t xml:space="preserve"> success</w:t>
      </w:r>
      <w:r w:rsidRPr="00093306">
        <w:rPr>
          <w:rFonts w:eastAsia="Times New Roman"/>
          <w:color w:val="auto"/>
        </w:rPr>
        <w:t>ful</w:t>
      </w:r>
      <w:r w:rsidR="00597664" w:rsidRPr="00093306">
        <w:rPr>
          <w:rFonts w:eastAsia="Times New Roman"/>
          <w:color w:val="auto"/>
        </w:rPr>
        <w:t>. The</w:t>
      </w:r>
      <w:r w:rsidR="00EA6B2E" w:rsidRPr="00093306">
        <w:rPr>
          <w:rFonts w:eastAsia="Times New Roman"/>
          <w:color w:val="auto"/>
        </w:rPr>
        <w:t>s</w:t>
      </w:r>
      <w:r w:rsidR="00597664" w:rsidRPr="00093306">
        <w:rPr>
          <w:rFonts w:eastAsia="Times New Roman"/>
          <w:color w:val="auto"/>
        </w:rPr>
        <w:t>e results</w:t>
      </w:r>
      <w:r w:rsidR="00EA6B2E" w:rsidRPr="00093306">
        <w:rPr>
          <w:rFonts w:eastAsia="Times New Roman"/>
          <w:color w:val="auto"/>
        </w:rPr>
        <w:t>, together with an independent evaluation of the program that commenced in July 2018, will</w:t>
      </w:r>
      <w:r w:rsidR="003B6392" w:rsidRPr="00093306">
        <w:rPr>
          <w:rFonts w:eastAsia="Times New Roman"/>
          <w:color w:val="auto"/>
        </w:rPr>
        <w:t xml:space="preserve"> inform our investment</w:t>
      </w:r>
      <w:r w:rsidR="00B57AEB" w:rsidRPr="00093306">
        <w:rPr>
          <w:rFonts w:eastAsia="Times New Roman"/>
          <w:color w:val="auto"/>
        </w:rPr>
        <w:t xml:space="preserve"> in Kiribati’s education system</w:t>
      </w:r>
      <w:r w:rsidR="00CC2E7A" w:rsidRPr="00093306">
        <w:rPr>
          <w:rFonts w:eastAsia="Times New Roman"/>
          <w:color w:val="auto"/>
        </w:rPr>
        <w:t xml:space="preserve"> beyond 2019.  </w:t>
      </w:r>
    </w:p>
    <w:p w14:paraId="27850F17" w14:textId="12693662" w:rsidR="0038345D" w:rsidRPr="00093306" w:rsidRDefault="00597664" w:rsidP="00D647E4">
      <w:pPr>
        <w:suppressAutoHyphens w:val="0"/>
        <w:spacing w:line="240" w:lineRule="auto"/>
        <w:rPr>
          <w:color w:val="auto"/>
        </w:rPr>
      </w:pPr>
      <w:r w:rsidRPr="00093306">
        <w:rPr>
          <w:rFonts w:eastAsia="Times New Roman"/>
          <w:color w:val="auto"/>
        </w:rPr>
        <w:t xml:space="preserve">The </w:t>
      </w:r>
      <w:r w:rsidRPr="00093306">
        <w:rPr>
          <w:rFonts w:eastAsia="Times New Roman"/>
          <w:i/>
          <w:color w:val="auto"/>
        </w:rPr>
        <w:t>Skills for Employment Program</w:t>
      </w:r>
      <w:r w:rsidRPr="00093306">
        <w:rPr>
          <w:rFonts w:eastAsia="Times New Roman"/>
          <w:color w:val="auto"/>
        </w:rPr>
        <w:t xml:space="preserve"> (2016-20, $17 million) is improving access to courses delivered by the Kiribati Institute of Technology (KIT) for young people (16-24 years) and includes efforts to engage young mothers, people with a disability and people from the outer islands. In 2017, </w:t>
      </w:r>
      <w:r w:rsidR="007B58AE" w:rsidRPr="00093306">
        <w:rPr>
          <w:rFonts w:eastAsia="SimSun"/>
          <w:color w:val="auto"/>
        </w:rPr>
        <w:t xml:space="preserve">98 </w:t>
      </w:r>
      <w:r w:rsidRPr="00093306">
        <w:rPr>
          <w:rFonts w:eastAsia="SimSun"/>
          <w:color w:val="auto"/>
        </w:rPr>
        <w:t xml:space="preserve">I-Kiribati women and </w:t>
      </w:r>
      <w:r w:rsidR="007B58AE" w:rsidRPr="00093306">
        <w:rPr>
          <w:rFonts w:eastAsia="SimSun"/>
          <w:color w:val="auto"/>
        </w:rPr>
        <w:t xml:space="preserve">67 </w:t>
      </w:r>
      <w:r w:rsidR="0023195E" w:rsidRPr="00093306">
        <w:rPr>
          <w:rFonts w:eastAsia="SimSun"/>
          <w:color w:val="auto"/>
        </w:rPr>
        <w:t>men</w:t>
      </w:r>
      <w:r w:rsidRPr="00093306">
        <w:rPr>
          <w:rFonts w:eastAsia="SimSun"/>
          <w:color w:val="auto"/>
        </w:rPr>
        <w:t xml:space="preserve"> graduated</w:t>
      </w:r>
      <w:r w:rsidRPr="00093306">
        <w:rPr>
          <w:rFonts w:eastAsia="Times New Roman"/>
          <w:color w:val="auto"/>
        </w:rPr>
        <w:t xml:space="preserve"> with an internationally r</w:t>
      </w:r>
      <w:r w:rsidR="00174E97" w:rsidRPr="00093306">
        <w:rPr>
          <w:rFonts w:eastAsia="Times New Roman"/>
          <w:color w:val="auto"/>
        </w:rPr>
        <w:t>ecognised qualification from</w:t>
      </w:r>
      <w:r w:rsidRPr="00093306">
        <w:rPr>
          <w:rFonts w:eastAsia="Times New Roman"/>
          <w:color w:val="auto"/>
        </w:rPr>
        <w:t xml:space="preserve"> </w:t>
      </w:r>
      <w:r w:rsidR="00174E97" w:rsidRPr="00093306">
        <w:rPr>
          <w:rFonts w:eastAsia="Times New Roman"/>
          <w:color w:val="auto"/>
        </w:rPr>
        <w:t>KIT</w:t>
      </w:r>
      <w:r w:rsidRPr="00093306">
        <w:rPr>
          <w:rFonts w:eastAsia="Times New Roman"/>
          <w:color w:val="auto"/>
        </w:rPr>
        <w:t xml:space="preserve"> in line with the program’s </w:t>
      </w:r>
      <w:r w:rsidR="00B57AEB" w:rsidRPr="00093306">
        <w:rPr>
          <w:rFonts w:eastAsia="Times New Roman"/>
          <w:color w:val="auto"/>
        </w:rPr>
        <w:t>target</w:t>
      </w:r>
      <w:r w:rsidRPr="00093306">
        <w:rPr>
          <w:rFonts w:eastAsia="Times New Roman"/>
          <w:color w:val="auto"/>
        </w:rPr>
        <w:t xml:space="preserve">. The </w:t>
      </w:r>
      <w:r w:rsidR="00A405C6" w:rsidRPr="00093306">
        <w:rPr>
          <w:rFonts w:eastAsia="Times New Roman"/>
          <w:color w:val="auto"/>
        </w:rPr>
        <w:lastRenderedPageBreak/>
        <w:t>participation</w:t>
      </w:r>
      <w:r w:rsidRPr="00093306">
        <w:rPr>
          <w:rFonts w:eastAsia="Times New Roman"/>
          <w:color w:val="auto"/>
        </w:rPr>
        <w:t xml:space="preserve"> rate of women was </w:t>
      </w:r>
      <w:r w:rsidR="007B58AE" w:rsidRPr="00093306">
        <w:rPr>
          <w:rFonts w:eastAsia="Times New Roman"/>
          <w:color w:val="auto"/>
        </w:rPr>
        <w:t xml:space="preserve">59 </w:t>
      </w:r>
      <w:r w:rsidRPr="00093306">
        <w:rPr>
          <w:rFonts w:eastAsia="Times New Roman"/>
          <w:color w:val="auto"/>
        </w:rPr>
        <w:t>per cent</w:t>
      </w:r>
      <w:r w:rsidR="00C36024" w:rsidRPr="00093306">
        <w:rPr>
          <w:rFonts w:eastAsia="Times New Roman"/>
          <w:color w:val="auto"/>
        </w:rPr>
        <w:t xml:space="preserve"> (above the program target of 50 per cent)</w:t>
      </w:r>
      <w:r w:rsidRPr="00093306">
        <w:rPr>
          <w:rFonts w:eastAsia="Times New Roman"/>
          <w:color w:val="auto"/>
        </w:rPr>
        <w:t xml:space="preserve"> and people with a declared disability was 4.4 per cent</w:t>
      </w:r>
      <w:r w:rsidR="00C36024" w:rsidRPr="00093306">
        <w:rPr>
          <w:rFonts w:eastAsia="Times New Roman"/>
          <w:color w:val="auto"/>
        </w:rPr>
        <w:t xml:space="preserve"> (above the program target of 3 per cent)</w:t>
      </w:r>
      <w:r w:rsidRPr="00093306">
        <w:rPr>
          <w:rFonts w:eastAsia="Times New Roman"/>
          <w:color w:val="auto"/>
        </w:rPr>
        <w:t xml:space="preserve">. </w:t>
      </w:r>
      <w:r w:rsidR="0038345D" w:rsidRPr="00093306">
        <w:rPr>
          <w:color w:val="auto"/>
        </w:rPr>
        <w:t>A key risk to the continued growth in the number of I-Kiribati undertaking courses</w:t>
      </w:r>
      <w:r w:rsidR="00300638" w:rsidRPr="00093306">
        <w:rPr>
          <w:color w:val="auto"/>
        </w:rPr>
        <w:t xml:space="preserve"> at KIT is </w:t>
      </w:r>
      <w:r w:rsidR="0038345D" w:rsidRPr="00093306">
        <w:rPr>
          <w:color w:val="auto"/>
        </w:rPr>
        <w:t xml:space="preserve">the </w:t>
      </w:r>
      <w:r w:rsidR="00300638" w:rsidRPr="00093306">
        <w:rPr>
          <w:color w:val="auto"/>
        </w:rPr>
        <w:t>limit</w:t>
      </w:r>
      <w:r w:rsidR="00420879" w:rsidRPr="00093306">
        <w:rPr>
          <w:color w:val="auto"/>
        </w:rPr>
        <w:t xml:space="preserve">ed capacity </w:t>
      </w:r>
      <w:r w:rsidR="0038345D" w:rsidRPr="00093306">
        <w:rPr>
          <w:color w:val="auto"/>
        </w:rPr>
        <w:t>of the current facilities. In 2018-19, Australia will work with the Government of K</w:t>
      </w:r>
      <w:r w:rsidR="00300638" w:rsidRPr="00093306">
        <w:rPr>
          <w:color w:val="auto"/>
        </w:rPr>
        <w:t>iribati to develop a plan to ex</w:t>
      </w:r>
      <w:r w:rsidR="0038345D" w:rsidRPr="00093306">
        <w:rPr>
          <w:color w:val="auto"/>
        </w:rPr>
        <w:t>pand KIT’s facilities.</w:t>
      </w:r>
    </w:p>
    <w:p w14:paraId="36A0B3F5" w14:textId="31BD88E7" w:rsidR="00664F80" w:rsidRPr="00093306" w:rsidRDefault="00664F80" w:rsidP="00D647E4">
      <w:pPr>
        <w:spacing w:line="240" w:lineRule="auto"/>
        <w:rPr>
          <w:color w:val="auto"/>
        </w:rPr>
      </w:pPr>
      <w:r w:rsidRPr="00093306">
        <w:rPr>
          <w:rFonts w:eastAsia="Times New Roman"/>
          <w:color w:val="auto"/>
        </w:rPr>
        <w:t xml:space="preserve">The </w:t>
      </w:r>
      <w:r w:rsidRPr="00093306">
        <w:rPr>
          <w:rFonts w:eastAsia="Times New Roman"/>
          <w:i/>
          <w:color w:val="auto"/>
        </w:rPr>
        <w:t>Skills for Employment Program</w:t>
      </w:r>
      <w:r w:rsidRPr="00093306">
        <w:rPr>
          <w:rFonts w:eastAsia="Times New Roman"/>
          <w:color w:val="auto"/>
        </w:rPr>
        <w:t xml:space="preserve"> is also supporting I-Kiribati to secure employment both in Kiribati and overseas through the recently established Employment Support Services </w:t>
      </w:r>
      <w:r w:rsidR="00420879" w:rsidRPr="00093306">
        <w:rPr>
          <w:rFonts w:eastAsia="Times New Roman"/>
          <w:color w:val="auto"/>
        </w:rPr>
        <w:t xml:space="preserve">Unit </w:t>
      </w:r>
      <w:r w:rsidRPr="00093306">
        <w:rPr>
          <w:rFonts w:eastAsia="Times New Roman"/>
          <w:color w:val="auto"/>
        </w:rPr>
        <w:t xml:space="preserve">at KIT. </w:t>
      </w:r>
      <w:r w:rsidR="00420879" w:rsidRPr="00093306">
        <w:rPr>
          <w:color w:val="auto"/>
        </w:rPr>
        <w:t>In 2017-18, 364 I</w:t>
      </w:r>
      <w:r w:rsidR="00420879" w:rsidRPr="00093306">
        <w:rPr>
          <w:color w:val="auto"/>
        </w:rPr>
        <w:noBreakHyphen/>
      </w:r>
      <w:r w:rsidRPr="00093306">
        <w:rPr>
          <w:color w:val="auto"/>
        </w:rPr>
        <w:t xml:space="preserve">Kiribati workers </w:t>
      </w:r>
      <w:r w:rsidR="00866D87" w:rsidRPr="00093306">
        <w:rPr>
          <w:color w:val="auto"/>
        </w:rPr>
        <w:t xml:space="preserve">(59 women and 305 men) </w:t>
      </w:r>
      <w:r w:rsidRPr="00093306">
        <w:rPr>
          <w:color w:val="auto"/>
        </w:rPr>
        <w:t xml:space="preserve">were employed in Australia under </w:t>
      </w:r>
      <w:r w:rsidRPr="00093306">
        <w:rPr>
          <w:i/>
          <w:color w:val="auto"/>
        </w:rPr>
        <w:t>the Seasonal Workers Programme</w:t>
      </w:r>
      <w:r w:rsidRPr="00093306">
        <w:rPr>
          <w:color w:val="auto"/>
        </w:rPr>
        <w:t xml:space="preserve"> and 4</w:t>
      </w:r>
      <w:r w:rsidR="00866D87" w:rsidRPr="00093306">
        <w:rPr>
          <w:color w:val="auto"/>
        </w:rPr>
        <w:t>8</w:t>
      </w:r>
      <w:r w:rsidRPr="00093306">
        <w:rPr>
          <w:color w:val="auto"/>
        </w:rPr>
        <w:t xml:space="preserve"> I-Kiribati workers </w:t>
      </w:r>
      <w:r w:rsidR="00866D87" w:rsidRPr="00093306">
        <w:rPr>
          <w:color w:val="auto"/>
        </w:rPr>
        <w:t xml:space="preserve">(28 women and 20 men) </w:t>
      </w:r>
      <w:r w:rsidRPr="00093306">
        <w:rPr>
          <w:color w:val="auto"/>
        </w:rPr>
        <w:t xml:space="preserve">were employed in the hospitality industry on Hamilton </w:t>
      </w:r>
      <w:r w:rsidR="00791F53">
        <w:rPr>
          <w:color w:val="auto"/>
        </w:rPr>
        <w:t xml:space="preserve">Island </w:t>
      </w:r>
      <w:r w:rsidRPr="00093306">
        <w:rPr>
          <w:color w:val="auto"/>
        </w:rPr>
        <w:t xml:space="preserve">and Hayman Island under the </w:t>
      </w:r>
      <w:r w:rsidRPr="00093306">
        <w:rPr>
          <w:i/>
          <w:color w:val="auto"/>
        </w:rPr>
        <w:t>Pacific Microstates – Northern Australia Worker Pilot Program</w:t>
      </w:r>
      <w:r w:rsidRPr="00093306">
        <w:rPr>
          <w:color w:val="auto"/>
        </w:rPr>
        <w:t xml:space="preserve">. Australia also assisted the Government of Kiribati prepare for the new </w:t>
      </w:r>
      <w:hyperlink r:id="rId22" w:history="1">
        <w:r w:rsidRPr="00093306">
          <w:rPr>
            <w:i/>
            <w:color w:val="auto"/>
          </w:rPr>
          <w:t>Pacific Labour Scheme</w:t>
        </w:r>
      </w:hyperlink>
      <w:r w:rsidRPr="00093306">
        <w:rPr>
          <w:i/>
          <w:color w:val="auto"/>
        </w:rPr>
        <w:t xml:space="preserve"> </w:t>
      </w:r>
      <w:r w:rsidR="00174E97" w:rsidRPr="00093306">
        <w:rPr>
          <w:color w:val="auto"/>
        </w:rPr>
        <w:t>that</w:t>
      </w:r>
      <w:r w:rsidRPr="000D787E">
        <w:rPr>
          <w:color w:val="auto"/>
        </w:rPr>
        <w:t xml:space="preserve"> commenced on 1 July 2018</w:t>
      </w:r>
      <w:r w:rsidR="00174E97" w:rsidRPr="00AB1782">
        <w:rPr>
          <w:color w:val="auto"/>
        </w:rPr>
        <w:t xml:space="preserve">. The scheme </w:t>
      </w:r>
      <w:r w:rsidRPr="00AB1782">
        <w:rPr>
          <w:color w:val="auto"/>
        </w:rPr>
        <w:t>will enable workers from Kiribati and other Pacific isla</w:t>
      </w:r>
      <w:r w:rsidRPr="00AB1782">
        <w:rPr>
          <w:rFonts w:eastAsia="Times New Roman"/>
          <w:color w:val="auto"/>
        </w:rPr>
        <w:t>nd countries to take up low and semi-skilled work opportunities in rural and regional Australia for up to three years. Australia’s labour mobility program</w:t>
      </w:r>
      <w:r w:rsidRPr="00093306">
        <w:rPr>
          <w:rFonts w:eastAsia="Times New Roman"/>
          <w:color w:val="auto"/>
        </w:rPr>
        <w:t>s provide opportunities for I-Kiribati workers to gain important workforce skills and experiences, and</w:t>
      </w:r>
      <w:r w:rsidR="00420879" w:rsidRPr="00093306">
        <w:rPr>
          <w:rFonts w:eastAsia="Times New Roman"/>
          <w:color w:val="auto"/>
        </w:rPr>
        <w:t xml:space="preserve"> provide</w:t>
      </w:r>
      <w:r w:rsidRPr="00093306">
        <w:rPr>
          <w:rFonts w:eastAsia="Times New Roman"/>
          <w:color w:val="auto"/>
        </w:rPr>
        <w:t xml:space="preserve"> remittances to their families.</w:t>
      </w:r>
    </w:p>
    <w:p w14:paraId="01BCF302" w14:textId="77777777" w:rsidR="00791F53" w:rsidRDefault="001C136C" w:rsidP="001E07B7">
      <w:pPr>
        <w:suppressAutoHyphens w:val="0"/>
        <w:spacing w:line="240" w:lineRule="auto"/>
        <w:rPr>
          <w:rFonts w:eastAsia="Times New Roman"/>
          <w:color w:val="auto"/>
        </w:rPr>
      </w:pPr>
      <w:r w:rsidRPr="00093306">
        <w:rPr>
          <w:rFonts w:eastAsia="Times New Roman"/>
          <w:color w:val="auto"/>
        </w:rPr>
        <w:t>Australia is supporting better health outcomes in Kiribati</w:t>
      </w:r>
      <w:r w:rsidR="00456AD9" w:rsidRPr="00093306">
        <w:rPr>
          <w:rFonts w:eastAsia="Times New Roman"/>
          <w:color w:val="auto"/>
        </w:rPr>
        <w:t xml:space="preserve"> ($2.5 million in 2017-18 across bilateral and regional programs)</w:t>
      </w:r>
      <w:r w:rsidR="00403CB7" w:rsidRPr="00093306">
        <w:rPr>
          <w:rFonts w:eastAsia="Times New Roman"/>
          <w:color w:val="auto"/>
        </w:rPr>
        <w:t>.</w:t>
      </w:r>
      <w:r w:rsidR="00933169" w:rsidRPr="00093306">
        <w:rPr>
          <w:rStyle w:val="FootnoteReference"/>
          <w:rFonts w:eastAsia="Times New Roman"/>
          <w:color w:val="auto"/>
        </w:rPr>
        <w:footnoteReference w:id="2"/>
      </w:r>
      <w:r w:rsidR="00403CB7" w:rsidRPr="00093306">
        <w:rPr>
          <w:rFonts w:eastAsia="Times New Roman"/>
          <w:color w:val="auto"/>
        </w:rPr>
        <w:t xml:space="preserve"> In 2017-18, Australia continued to support the Government of Kiribati’s </w:t>
      </w:r>
      <w:r w:rsidR="00403CB7" w:rsidRPr="000D787E">
        <w:rPr>
          <w:rFonts w:eastAsia="Times New Roman"/>
          <w:i/>
          <w:color w:val="auto"/>
        </w:rPr>
        <w:t>National Tuberculosis Program</w:t>
      </w:r>
      <w:r w:rsidR="00E3702C" w:rsidRPr="00AB1782">
        <w:rPr>
          <w:rFonts w:eastAsia="Times New Roman"/>
          <w:i/>
          <w:color w:val="auto"/>
        </w:rPr>
        <w:t>.</w:t>
      </w:r>
      <w:r w:rsidR="00403CB7" w:rsidRPr="00AB1782">
        <w:rPr>
          <w:rFonts w:eastAsia="Times New Roman"/>
          <w:color w:val="auto"/>
        </w:rPr>
        <w:t xml:space="preserve"> Kiribati has the highest rate of tuberculosis in the Pacific outside of Papua New Guinea and </w:t>
      </w:r>
      <w:r w:rsidR="00420879" w:rsidRPr="00AB1782">
        <w:rPr>
          <w:rFonts w:eastAsia="Times New Roman"/>
          <w:color w:val="auto"/>
        </w:rPr>
        <w:t xml:space="preserve">preventing the spread of </w:t>
      </w:r>
      <w:r w:rsidR="00403CB7" w:rsidRPr="00AB1782">
        <w:rPr>
          <w:rFonts w:eastAsia="Times New Roman"/>
          <w:color w:val="auto"/>
        </w:rPr>
        <w:t xml:space="preserve">the disease remains </w:t>
      </w:r>
      <w:r w:rsidR="00420879" w:rsidRPr="00AB1782">
        <w:rPr>
          <w:rFonts w:eastAsia="Times New Roman"/>
          <w:color w:val="auto"/>
        </w:rPr>
        <w:t xml:space="preserve">an important </w:t>
      </w:r>
      <w:r w:rsidR="00403CB7" w:rsidRPr="00093306">
        <w:rPr>
          <w:rFonts w:eastAsia="Times New Roman"/>
          <w:color w:val="auto"/>
        </w:rPr>
        <w:t>priority</w:t>
      </w:r>
      <w:r w:rsidR="00420879" w:rsidRPr="00093306">
        <w:rPr>
          <w:rFonts w:eastAsia="Times New Roman"/>
          <w:color w:val="auto"/>
        </w:rPr>
        <w:t xml:space="preserve"> for Kiribati</w:t>
      </w:r>
      <w:r w:rsidR="00403CB7" w:rsidRPr="00093306">
        <w:rPr>
          <w:rFonts w:eastAsia="Times New Roman"/>
          <w:color w:val="auto"/>
        </w:rPr>
        <w:t xml:space="preserve">. In 2017-18, the </w:t>
      </w:r>
      <w:r w:rsidR="00A405C6" w:rsidRPr="00093306">
        <w:rPr>
          <w:rFonts w:eastAsia="Times New Roman"/>
          <w:color w:val="auto"/>
        </w:rPr>
        <w:t>tuberculous</w:t>
      </w:r>
      <w:r w:rsidR="00403CB7" w:rsidRPr="00093306">
        <w:rPr>
          <w:rFonts w:eastAsia="Times New Roman"/>
          <w:color w:val="auto"/>
        </w:rPr>
        <w:t xml:space="preserve"> notification rate was 394 cases per 100,000 </w:t>
      </w:r>
      <w:r w:rsidR="00E3702C" w:rsidRPr="00093306">
        <w:rPr>
          <w:rFonts w:eastAsia="Times New Roman"/>
          <w:color w:val="auto"/>
        </w:rPr>
        <w:t>p</w:t>
      </w:r>
      <w:r w:rsidR="00921F83" w:rsidRPr="00093306">
        <w:rPr>
          <w:rFonts w:eastAsia="Times New Roman"/>
          <w:color w:val="auto"/>
        </w:rPr>
        <w:t>eople</w:t>
      </w:r>
      <w:r w:rsidR="00403CB7" w:rsidRPr="00093306">
        <w:rPr>
          <w:rFonts w:eastAsia="Times New Roman"/>
          <w:color w:val="auto"/>
        </w:rPr>
        <w:t xml:space="preserve">, below the </w:t>
      </w:r>
      <w:r w:rsidR="00E3702C" w:rsidRPr="00093306">
        <w:rPr>
          <w:rFonts w:eastAsia="Times New Roman"/>
          <w:color w:val="auto"/>
        </w:rPr>
        <w:t xml:space="preserve">program’s </w:t>
      </w:r>
      <w:r w:rsidR="00403CB7" w:rsidRPr="00093306">
        <w:rPr>
          <w:rFonts w:eastAsia="Times New Roman"/>
          <w:color w:val="auto"/>
        </w:rPr>
        <w:t xml:space="preserve">performance benchmark of 570 </w:t>
      </w:r>
      <w:r w:rsidR="00E3702C" w:rsidRPr="00093306">
        <w:rPr>
          <w:rFonts w:eastAsia="Times New Roman"/>
          <w:color w:val="auto"/>
        </w:rPr>
        <w:t>cases</w:t>
      </w:r>
      <w:r w:rsidR="00403CB7" w:rsidRPr="00093306">
        <w:rPr>
          <w:rFonts w:eastAsia="Times New Roman"/>
          <w:color w:val="auto"/>
        </w:rPr>
        <w:t>. Changes in staffing and leadership within the program in late 2017 adversely impacted</w:t>
      </w:r>
      <w:r w:rsidR="00E3702C" w:rsidRPr="00093306">
        <w:rPr>
          <w:rFonts w:eastAsia="Times New Roman"/>
          <w:color w:val="auto"/>
        </w:rPr>
        <w:t xml:space="preserve"> on </w:t>
      </w:r>
      <w:r w:rsidR="00A405C6" w:rsidRPr="00093306">
        <w:rPr>
          <w:rFonts w:eastAsia="Times New Roman"/>
          <w:color w:val="auto"/>
        </w:rPr>
        <w:t>notification rates</w:t>
      </w:r>
      <w:r w:rsidR="00403CB7" w:rsidRPr="00093306">
        <w:rPr>
          <w:rFonts w:eastAsia="Times New Roman"/>
          <w:color w:val="auto"/>
        </w:rPr>
        <w:t xml:space="preserve">. The program </w:t>
      </w:r>
      <w:r w:rsidR="00E3702C" w:rsidRPr="00093306">
        <w:rPr>
          <w:rFonts w:eastAsia="Times New Roman"/>
          <w:color w:val="auto"/>
        </w:rPr>
        <w:t xml:space="preserve">has since been </w:t>
      </w:r>
      <w:r w:rsidR="00403CB7" w:rsidRPr="00093306">
        <w:rPr>
          <w:rFonts w:eastAsia="Times New Roman"/>
          <w:color w:val="auto"/>
        </w:rPr>
        <w:t xml:space="preserve">fully staffed </w:t>
      </w:r>
      <w:r w:rsidR="00E3702C" w:rsidRPr="00093306">
        <w:rPr>
          <w:rFonts w:eastAsia="Times New Roman"/>
          <w:color w:val="auto"/>
        </w:rPr>
        <w:t>and ad</w:t>
      </w:r>
      <w:r w:rsidR="00403CB7" w:rsidRPr="00093306">
        <w:rPr>
          <w:rFonts w:eastAsia="Times New Roman"/>
          <w:color w:val="auto"/>
        </w:rPr>
        <w:t>ditional technical advisory support</w:t>
      </w:r>
      <w:r w:rsidR="00E3702C" w:rsidRPr="00093306">
        <w:rPr>
          <w:rFonts w:eastAsia="Times New Roman"/>
          <w:color w:val="auto"/>
        </w:rPr>
        <w:t xml:space="preserve"> has been engaged</w:t>
      </w:r>
      <w:r w:rsidR="00403CB7" w:rsidRPr="00093306">
        <w:rPr>
          <w:rFonts w:eastAsia="Times New Roman"/>
          <w:color w:val="auto"/>
        </w:rPr>
        <w:t xml:space="preserve">. </w:t>
      </w:r>
      <w:r w:rsidR="00A405C6" w:rsidRPr="00093306">
        <w:rPr>
          <w:rFonts w:eastAsia="Times New Roman"/>
          <w:color w:val="auto"/>
        </w:rPr>
        <w:t>In 2017-</w:t>
      </w:r>
      <w:r w:rsidR="00523EB4" w:rsidRPr="00093306">
        <w:rPr>
          <w:rFonts w:eastAsia="Times New Roman"/>
          <w:color w:val="auto"/>
        </w:rPr>
        <w:t>18</w:t>
      </w:r>
      <w:r w:rsidR="00A405C6" w:rsidRPr="00093306">
        <w:rPr>
          <w:rFonts w:eastAsia="Times New Roman"/>
          <w:color w:val="auto"/>
        </w:rPr>
        <w:t>, the program</w:t>
      </w:r>
      <w:r w:rsidR="00921F83" w:rsidRPr="00093306">
        <w:rPr>
          <w:rFonts w:eastAsia="Times New Roman"/>
          <w:color w:val="auto"/>
        </w:rPr>
        <w:t>’s</w:t>
      </w:r>
      <w:r w:rsidR="00A405C6" w:rsidRPr="00093306">
        <w:rPr>
          <w:rFonts w:eastAsia="Times New Roman"/>
          <w:color w:val="auto"/>
        </w:rPr>
        <w:t xml:space="preserve"> succ</w:t>
      </w:r>
      <w:r w:rsidR="00921F83" w:rsidRPr="00093306">
        <w:rPr>
          <w:rFonts w:eastAsia="Times New Roman"/>
          <w:color w:val="auto"/>
        </w:rPr>
        <w:t>essful treatment rate of 87 per </w:t>
      </w:r>
      <w:r w:rsidR="00A405C6" w:rsidRPr="00093306">
        <w:rPr>
          <w:rFonts w:eastAsia="Times New Roman"/>
          <w:color w:val="auto"/>
        </w:rPr>
        <w:t>cent remained above the World Health Organisation’s benchmark of 85 per cent</w:t>
      </w:r>
      <w:r w:rsidR="00523EB4" w:rsidRPr="00093306">
        <w:rPr>
          <w:rFonts w:eastAsia="Times New Roman"/>
          <w:color w:val="auto"/>
        </w:rPr>
        <w:t>. T</w:t>
      </w:r>
      <w:r w:rsidR="00A405C6" w:rsidRPr="00093306">
        <w:rPr>
          <w:rFonts w:eastAsia="Times New Roman"/>
          <w:color w:val="auto"/>
        </w:rPr>
        <w:t xml:space="preserve">he </w:t>
      </w:r>
      <w:r w:rsidR="00403CB7" w:rsidRPr="00093306">
        <w:rPr>
          <w:rFonts w:eastAsia="Times New Roman"/>
          <w:color w:val="auto"/>
        </w:rPr>
        <w:t>Ministry</w:t>
      </w:r>
      <w:r w:rsidR="00A405C6" w:rsidRPr="00093306">
        <w:rPr>
          <w:rFonts w:eastAsia="Times New Roman"/>
          <w:color w:val="auto"/>
        </w:rPr>
        <w:t xml:space="preserve"> of</w:t>
      </w:r>
      <w:r w:rsidR="00403CB7" w:rsidRPr="00093306">
        <w:rPr>
          <w:rFonts w:eastAsia="Times New Roman"/>
          <w:color w:val="auto"/>
        </w:rPr>
        <w:t xml:space="preserve"> Health and Medical Services</w:t>
      </w:r>
      <w:r w:rsidR="00E3702C" w:rsidRPr="00093306">
        <w:rPr>
          <w:rFonts w:eastAsia="Times New Roman"/>
          <w:color w:val="auto"/>
        </w:rPr>
        <w:t xml:space="preserve"> </w:t>
      </w:r>
      <w:r w:rsidR="00A405C6" w:rsidRPr="00093306">
        <w:rPr>
          <w:rFonts w:eastAsia="Times New Roman"/>
          <w:color w:val="auto"/>
        </w:rPr>
        <w:t>has committed to</w:t>
      </w:r>
      <w:r w:rsidR="00E3702C" w:rsidRPr="00093306">
        <w:rPr>
          <w:rFonts w:eastAsia="Times New Roman"/>
          <w:color w:val="auto"/>
        </w:rPr>
        <w:t xml:space="preserve"> </w:t>
      </w:r>
      <w:r w:rsidR="00523EB4" w:rsidRPr="00093306">
        <w:rPr>
          <w:rFonts w:eastAsia="Times New Roman"/>
          <w:color w:val="auto"/>
        </w:rPr>
        <w:t xml:space="preserve">fund </w:t>
      </w:r>
      <w:r w:rsidR="00A405C6" w:rsidRPr="00093306">
        <w:rPr>
          <w:rFonts w:eastAsia="Times New Roman"/>
          <w:color w:val="auto"/>
        </w:rPr>
        <w:t>m</w:t>
      </w:r>
      <w:r w:rsidR="00E3702C" w:rsidRPr="00093306">
        <w:rPr>
          <w:rFonts w:eastAsia="Times New Roman"/>
          <w:color w:val="auto"/>
        </w:rPr>
        <w:t xml:space="preserve">ore </w:t>
      </w:r>
      <w:r w:rsidR="00403CB7" w:rsidRPr="00093306">
        <w:rPr>
          <w:rFonts w:eastAsia="Times New Roman"/>
          <w:color w:val="auto"/>
        </w:rPr>
        <w:t>of the operational costs,</w:t>
      </w:r>
      <w:r w:rsidR="00E3702C" w:rsidRPr="00093306">
        <w:rPr>
          <w:rFonts w:eastAsia="Times New Roman"/>
          <w:color w:val="auto"/>
        </w:rPr>
        <w:t xml:space="preserve"> thereby safeguarding future sustainability of the program. </w:t>
      </w:r>
    </w:p>
    <w:p w14:paraId="1BD2E56F" w14:textId="368A14C8" w:rsidR="00C53BE5" w:rsidRPr="00093306" w:rsidRDefault="00E3702C" w:rsidP="001E07B7">
      <w:pPr>
        <w:suppressAutoHyphens w:val="0"/>
        <w:spacing w:line="240" w:lineRule="auto"/>
        <w:rPr>
          <w:rFonts w:eastAsia="Times New Roman"/>
          <w:color w:val="auto"/>
        </w:rPr>
      </w:pPr>
      <w:r w:rsidRPr="00093306">
        <w:rPr>
          <w:rFonts w:eastAsia="Times New Roman"/>
          <w:color w:val="auto"/>
        </w:rPr>
        <w:t>S</w:t>
      </w:r>
      <w:r w:rsidR="00403CB7" w:rsidRPr="00093306">
        <w:rPr>
          <w:rFonts w:eastAsia="Times New Roman"/>
          <w:color w:val="auto"/>
        </w:rPr>
        <w:t xml:space="preserve">upport for </w:t>
      </w:r>
      <w:r w:rsidR="00174E97" w:rsidRPr="00093306">
        <w:rPr>
          <w:rFonts w:eastAsia="Times New Roman"/>
          <w:color w:val="auto"/>
        </w:rPr>
        <w:t>t</w:t>
      </w:r>
      <w:r w:rsidRPr="00093306">
        <w:rPr>
          <w:rFonts w:eastAsia="Times New Roman"/>
          <w:color w:val="auto"/>
        </w:rPr>
        <w:t>uberculous</w:t>
      </w:r>
      <w:r w:rsidR="00403CB7" w:rsidRPr="00093306">
        <w:rPr>
          <w:rFonts w:eastAsia="Times New Roman"/>
          <w:color w:val="auto"/>
        </w:rPr>
        <w:t xml:space="preserve"> will rema</w:t>
      </w:r>
      <w:r w:rsidRPr="00093306">
        <w:rPr>
          <w:rFonts w:eastAsia="Times New Roman"/>
          <w:color w:val="auto"/>
        </w:rPr>
        <w:t xml:space="preserve">in central to Australia’s </w:t>
      </w:r>
      <w:r w:rsidR="00403CB7" w:rsidRPr="00093306">
        <w:rPr>
          <w:rFonts w:eastAsia="Times New Roman"/>
          <w:color w:val="auto"/>
        </w:rPr>
        <w:t>new</w:t>
      </w:r>
      <w:r w:rsidR="00174E97" w:rsidRPr="00093306">
        <w:rPr>
          <w:rFonts w:eastAsia="Times New Roman"/>
          <w:color w:val="auto"/>
        </w:rPr>
        <w:t xml:space="preserve"> </w:t>
      </w:r>
      <w:r w:rsidR="00174E97" w:rsidRPr="00791F53">
        <w:rPr>
          <w:rFonts w:eastAsia="Times New Roman"/>
          <w:i/>
          <w:color w:val="auto"/>
        </w:rPr>
        <w:t>Kiribati</w:t>
      </w:r>
      <w:r w:rsidR="00403CB7" w:rsidRPr="00791F53">
        <w:rPr>
          <w:rFonts w:eastAsia="Times New Roman"/>
          <w:i/>
          <w:color w:val="auto"/>
        </w:rPr>
        <w:t xml:space="preserve"> Health Program</w:t>
      </w:r>
      <w:r w:rsidRPr="00093306">
        <w:rPr>
          <w:rFonts w:eastAsia="Times New Roman"/>
          <w:color w:val="auto"/>
        </w:rPr>
        <w:t xml:space="preserve">, which </w:t>
      </w:r>
      <w:r w:rsidR="00403CB7" w:rsidRPr="00093306">
        <w:rPr>
          <w:rFonts w:eastAsia="Times New Roman"/>
          <w:color w:val="auto"/>
        </w:rPr>
        <w:t>was designed in 2017-18</w:t>
      </w:r>
      <w:r w:rsidRPr="00093306">
        <w:rPr>
          <w:rFonts w:eastAsia="Times New Roman"/>
          <w:color w:val="auto"/>
        </w:rPr>
        <w:t>.</w:t>
      </w:r>
      <w:r w:rsidR="00403CB7" w:rsidRPr="00093306">
        <w:rPr>
          <w:rFonts w:eastAsia="Times New Roman"/>
          <w:color w:val="auto"/>
        </w:rPr>
        <w:t xml:space="preserve"> The new p</w:t>
      </w:r>
      <w:r w:rsidR="00A405C6" w:rsidRPr="00093306">
        <w:rPr>
          <w:rFonts w:eastAsia="Times New Roman"/>
          <w:color w:val="auto"/>
        </w:rPr>
        <w:t>rogram will enhance Kiribati’s capacity to control endemic communicable diseases; reduce mental health</w:t>
      </w:r>
      <w:r w:rsidR="00C53BE5" w:rsidRPr="00093306">
        <w:rPr>
          <w:rFonts w:eastAsia="Times New Roman"/>
          <w:color w:val="auto"/>
        </w:rPr>
        <w:t xml:space="preserve"> disability</w:t>
      </w:r>
      <w:r w:rsidR="00A405C6" w:rsidRPr="00093306">
        <w:rPr>
          <w:rFonts w:eastAsia="Times New Roman"/>
          <w:color w:val="auto"/>
        </w:rPr>
        <w:t xml:space="preserve"> and non-communicable disease-r</w:t>
      </w:r>
      <w:r w:rsidR="00921F83" w:rsidRPr="00093306">
        <w:rPr>
          <w:rFonts w:eastAsia="Times New Roman"/>
          <w:color w:val="auto"/>
        </w:rPr>
        <w:t xml:space="preserve">elated amputation; </w:t>
      </w:r>
      <w:r w:rsidR="00C53BE5" w:rsidRPr="00093306">
        <w:rPr>
          <w:rFonts w:eastAsia="Times New Roman"/>
          <w:color w:val="auto"/>
        </w:rPr>
        <w:t xml:space="preserve">and </w:t>
      </w:r>
      <w:r w:rsidR="00921F83" w:rsidRPr="00093306">
        <w:rPr>
          <w:rFonts w:eastAsia="Times New Roman"/>
          <w:color w:val="auto"/>
        </w:rPr>
        <w:t>strengthen</w:t>
      </w:r>
      <w:r w:rsidR="00A405C6" w:rsidRPr="00093306">
        <w:rPr>
          <w:rFonts w:eastAsia="Times New Roman"/>
          <w:color w:val="auto"/>
        </w:rPr>
        <w:t xml:space="preserve"> capacity to administer the national health system and respond to national health threats. It</w:t>
      </w:r>
      <w:r w:rsidRPr="00093306">
        <w:rPr>
          <w:rFonts w:eastAsia="Times New Roman"/>
          <w:color w:val="auto"/>
        </w:rPr>
        <w:t xml:space="preserve"> </w:t>
      </w:r>
      <w:r w:rsidR="00A405C6" w:rsidRPr="00093306">
        <w:rPr>
          <w:rFonts w:eastAsia="Times New Roman"/>
          <w:color w:val="auto"/>
        </w:rPr>
        <w:t>i</w:t>
      </w:r>
      <w:r w:rsidR="00403CB7" w:rsidRPr="00093306">
        <w:rPr>
          <w:rFonts w:eastAsia="Times New Roman"/>
          <w:color w:val="auto"/>
        </w:rPr>
        <w:t>s ali</w:t>
      </w:r>
      <w:r w:rsidRPr="00093306">
        <w:rPr>
          <w:rFonts w:eastAsia="Times New Roman"/>
          <w:color w:val="auto"/>
        </w:rPr>
        <w:t>gned with the priorities of the</w:t>
      </w:r>
      <w:r w:rsidR="00403CB7" w:rsidRPr="00093306">
        <w:rPr>
          <w:rFonts w:eastAsia="Times New Roman"/>
          <w:color w:val="auto"/>
        </w:rPr>
        <w:t xml:space="preserve"> </w:t>
      </w:r>
      <w:r w:rsidR="00921F83" w:rsidRPr="00093306">
        <w:rPr>
          <w:rFonts w:eastAsia="Times New Roman"/>
          <w:color w:val="auto"/>
        </w:rPr>
        <w:t xml:space="preserve">Kiribati </w:t>
      </w:r>
      <w:r w:rsidR="00403CB7" w:rsidRPr="00093306">
        <w:rPr>
          <w:rFonts w:eastAsia="Times New Roman"/>
          <w:color w:val="auto"/>
        </w:rPr>
        <w:t xml:space="preserve">Ministry of Health and Medical Services </w:t>
      </w:r>
      <w:r w:rsidR="00403CB7" w:rsidRPr="00791F53">
        <w:rPr>
          <w:rFonts w:eastAsia="Times New Roman"/>
          <w:i/>
          <w:color w:val="auto"/>
        </w:rPr>
        <w:t xml:space="preserve">Ministry Strategic Plan </w:t>
      </w:r>
      <w:r w:rsidR="00A405C6" w:rsidRPr="00791F53">
        <w:rPr>
          <w:rFonts w:eastAsia="Times New Roman"/>
          <w:i/>
          <w:color w:val="auto"/>
        </w:rPr>
        <w:t>2016</w:t>
      </w:r>
      <w:r w:rsidR="00A405C6" w:rsidRPr="00791F53">
        <w:rPr>
          <w:rFonts w:eastAsia="Times New Roman"/>
          <w:i/>
          <w:color w:val="auto"/>
        </w:rPr>
        <w:noBreakHyphen/>
      </w:r>
      <w:r w:rsidR="00403CB7" w:rsidRPr="00791F53">
        <w:rPr>
          <w:rFonts w:eastAsia="Times New Roman"/>
          <w:i/>
          <w:color w:val="auto"/>
        </w:rPr>
        <w:t>19</w:t>
      </w:r>
      <w:r w:rsidR="00403CB7" w:rsidRPr="00093306">
        <w:rPr>
          <w:rFonts w:eastAsia="Times New Roman"/>
          <w:color w:val="auto"/>
        </w:rPr>
        <w:t>; builds on existing Australian inputs; leverages Australian comparative advantage; and is complementary to the inputs of other development partners.</w:t>
      </w:r>
      <w:r w:rsidR="00C53BE5" w:rsidRPr="00093306">
        <w:rPr>
          <w:rFonts w:eastAsia="Times New Roman"/>
          <w:color w:val="auto"/>
        </w:rPr>
        <w:t xml:space="preserve"> K</w:t>
      </w:r>
      <w:r w:rsidR="00DF670E" w:rsidRPr="00093306">
        <w:rPr>
          <w:rFonts w:eastAsia="Times New Roman"/>
          <w:color w:val="auto"/>
        </w:rPr>
        <w:t>ey</w:t>
      </w:r>
      <w:r w:rsidR="00C53BE5" w:rsidRPr="00093306">
        <w:rPr>
          <w:rFonts w:eastAsia="Times New Roman"/>
          <w:color w:val="auto"/>
        </w:rPr>
        <w:t xml:space="preserve"> risks</w:t>
      </w:r>
      <w:r w:rsidR="001E07B7" w:rsidRPr="00093306">
        <w:rPr>
          <w:rFonts w:eastAsia="Times New Roman"/>
          <w:color w:val="auto"/>
        </w:rPr>
        <w:t xml:space="preserve"> to be managed relate </w:t>
      </w:r>
      <w:r w:rsidR="00606CB5">
        <w:rPr>
          <w:rFonts w:eastAsia="Times New Roman"/>
          <w:color w:val="auto"/>
        </w:rPr>
        <w:t xml:space="preserve">to </w:t>
      </w:r>
      <w:r w:rsidR="001E07B7" w:rsidRPr="00093306">
        <w:rPr>
          <w:rFonts w:eastAsia="Times New Roman"/>
          <w:color w:val="auto"/>
        </w:rPr>
        <w:t>the Kiribati</w:t>
      </w:r>
      <w:r w:rsidR="00C53BE5" w:rsidRPr="00093306">
        <w:rPr>
          <w:rFonts w:eastAsia="Times New Roman"/>
          <w:color w:val="auto"/>
        </w:rPr>
        <w:t xml:space="preserve"> Ministry of Health and Medical Services</w:t>
      </w:r>
      <w:r w:rsidR="001E07B7" w:rsidRPr="00093306">
        <w:rPr>
          <w:rFonts w:eastAsia="Times New Roman"/>
          <w:color w:val="auto"/>
        </w:rPr>
        <w:t>’ capacity</w:t>
      </w:r>
      <w:r w:rsidR="00C53BE5" w:rsidRPr="00093306">
        <w:rPr>
          <w:rFonts w:eastAsia="Times New Roman"/>
          <w:color w:val="auto"/>
        </w:rPr>
        <w:t xml:space="preserve"> </w:t>
      </w:r>
      <w:r w:rsidR="001E07B7" w:rsidRPr="00093306">
        <w:rPr>
          <w:rFonts w:eastAsia="Times New Roman"/>
          <w:color w:val="auto"/>
        </w:rPr>
        <w:t>to achieve the program’s ambitious targets and financial governance issues.</w:t>
      </w:r>
    </w:p>
    <w:p w14:paraId="7C2F0929" w14:textId="77777777" w:rsidR="005B5769" w:rsidRPr="00093306" w:rsidRDefault="005B5769" w:rsidP="001E07B7">
      <w:pPr>
        <w:suppressAutoHyphens w:val="0"/>
        <w:spacing w:line="240" w:lineRule="auto"/>
        <w:rPr>
          <w:rFonts w:asciiTheme="majorHAnsi" w:eastAsiaTheme="majorEastAsia" w:hAnsiTheme="majorHAnsi" w:cstheme="majorBidi"/>
          <w:caps/>
          <w:sz w:val="38"/>
          <w:szCs w:val="26"/>
        </w:rPr>
      </w:pPr>
      <w:r w:rsidRPr="00093306">
        <w:rPr>
          <w:rFonts w:asciiTheme="majorHAnsi" w:eastAsiaTheme="majorEastAsia" w:hAnsiTheme="majorHAnsi" w:cstheme="majorBidi"/>
          <w:caps/>
          <w:sz w:val="38"/>
          <w:szCs w:val="26"/>
        </w:rPr>
        <w:t>Mutual Obligations</w:t>
      </w:r>
    </w:p>
    <w:p w14:paraId="3EF60F4E" w14:textId="77777777" w:rsidR="00E40738" w:rsidRDefault="00EF3E93" w:rsidP="00D647E4">
      <w:pPr>
        <w:pStyle w:val="BodyText"/>
        <w:spacing w:after="60" w:line="240" w:lineRule="auto"/>
        <w:rPr>
          <w:rFonts w:asciiTheme="minorHAnsi" w:hAnsiTheme="minorHAnsi" w:cstheme="minorBidi"/>
          <w:sz w:val="22"/>
          <w:szCs w:val="22"/>
          <w:lang w:val="en-GB" w:eastAsia="en-US"/>
        </w:rPr>
      </w:pPr>
      <w:r w:rsidRPr="00093306">
        <w:rPr>
          <w:rFonts w:asciiTheme="minorHAnsi" w:hAnsiTheme="minorHAnsi" w:cstheme="minorBidi"/>
          <w:sz w:val="22"/>
          <w:szCs w:val="22"/>
          <w:lang w:val="en-GB" w:eastAsia="en-US"/>
        </w:rPr>
        <w:t xml:space="preserve">The Australian Aid Investment Plan for Kiribati is based on shared goals and mutual obligations. Our mutual obligations are </w:t>
      </w:r>
      <w:r w:rsidR="00F95D4B" w:rsidRPr="00093306">
        <w:rPr>
          <w:rFonts w:asciiTheme="minorHAnsi" w:hAnsiTheme="minorHAnsi" w:cstheme="minorBidi"/>
          <w:sz w:val="22"/>
          <w:szCs w:val="22"/>
          <w:lang w:val="en-GB" w:eastAsia="en-US"/>
        </w:rPr>
        <w:t xml:space="preserve">regularly </w:t>
      </w:r>
      <w:r w:rsidRPr="00093306">
        <w:rPr>
          <w:rFonts w:asciiTheme="minorHAnsi" w:hAnsiTheme="minorHAnsi" w:cstheme="minorBidi"/>
          <w:sz w:val="22"/>
          <w:szCs w:val="22"/>
          <w:lang w:val="en-GB" w:eastAsia="en-US"/>
        </w:rPr>
        <w:t>discussed</w:t>
      </w:r>
      <w:r w:rsidR="00921F83" w:rsidRPr="00093306">
        <w:rPr>
          <w:rFonts w:asciiTheme="minorHAnsi" w:hAnsiTheme="minorHAnsi" w:cstheme="minorBidi"/>
          <w:sz w:val="22"/>
          <w:szCs w:val="22"/>
          <w:lang w:val="en-GB" w:eastAsia="en-US"/>
        </w:rPr>
        <w:t xml:space="preserve"> with </w:t>
      </w:r>
      <w:r w:rsidR="00F95D4B" w:rsidRPr="00093306">
        <w:rPr>
          <w:rFonts w:asciiTheme="minorHAnsi" w:hAnsiTheme="minorHAnsi" w:cstheme="minorBidi"/>
          <w:sz w:val="22"/>
          <w:szCs w:val="22"/>
          <w:lang w:val="en-GB" w:eastAsia="en-US"/>
        </w:rPr>
        <w:t>Government of Kiribati partners, a</w:t>
      </w:r>
      <w:r w:rsidR="00921F83" w:rsidRPr="00093306">
        <w:rPr>
          <w:rFonts w:asciiTheme="minorHAnsi" w:hAnsiTheme="minorHAnsi" w:cstheme="minorBidi"/>
          <w:sz w:val="22"/>
          <w:szCs w:val="22"/>
          <w:lang w:val="en-GB" w:eastAsia="en-US"/>
        </w:rPr>
        <w:t>nd a</w:t>
      </w:r>
      <w:r w:rsidR="00F95D4B" w:rsidRPr="00093306">
        <w:rPr>
          <w:rFonts w:asciiTheme="minorHAnsi" w:hAnsiTheme="minorHAnsi" w:cstheme="minorBidi"/>
          <w:sz w:val="22"/>
          <w:szCs w:val="22"/>
          <w:lang w:val="en-GB" w:eastAsia="en-US"/>
        </w:rPr>
        <w:t>t a</w:t>
      </w:r>
      <w:r w:rsidRPr="00093306">
        <w:rPr>
          <w:rFonts w:asciiTheme="minorHAnsi" w:hAnsiTheme="minorHAnsi" w:cstheme="minorBidi"/>
          <w:sz w:val="22"/>
          <w:szCs w:val="22"/>
          <w:lang w:val="en-GB" w:eastAsia="en-US"/>
        </w:rPr>
        <w:t xml:space="preserve">nnual Senior Official Talks. </w:t>
      </w:r>
    </w:p>
    <w:p w14:paraId="337F532B" w14:textId="7AE504CC" w:rsidR="00EF3E93" w:rsidRPr="00093306" w:rsidRDefault="00EF3E93" w:rsidP="00D647E4">
      <w:pPr>
        <w:pStyle w:val="BodyText"/>
        <w:spacing w:after="60" w:line="240" w:lineRule="auto"/>
        <w:rPr>
          <w:rFonts w:asciiTheme="minorHAnsi" w:hAnsiTheme="minorHAnsi" w:cstheme="minorBidi"/>
          <w:sz w:val="22"/>
          <w:szCs w:val="22"/>
          <w:lang w:val="en-GB" w:eastAsia="en-US"/>
        </w:rPr>
      </w:pPr>
      <w:r w:rsidRPr="00093306">
        <w:rPr>
          <w:rFonts w:asciiTheme="minorHAnsi" w:hAnsiTheme="minorHAnsi" w:cstheme="minorBidi"/>
          <w:sz w:val="22"/>
          <w:szCs w:val="22"/>
          <w:lang w:val="en-GB" w:eastAsia="en-US"/>
        </w:rPr>
        <w:t>In 2017-18, the Government of Kiribati:</w:t>
      </w:r>
    </w:p>
    <w:p w14:paraId="36A67A67" w14:textId="3AB07ABA" w:rsidR="00BC1735" w:rsidRPr="00093306" w:rsidRDefault="001C3C05" w:rsidP="00BC1735">
      <w:pPr>
        <w:pStyle w:val="ListParagraph"/>
        <w:numPr>
          <w:ilvl w:val="0"/>
          <w:numId w:val="38"/>
        </w:numPr>
        <w:ind w:left="360"/>
        <w:rPr>
          <w:rFonts w:eastAsia="Times New Roman"/>
          <w:color w:val="auto"/>
        </w:rPr>
      </w:pPr>
      <w:r w:rsidRPr="00093306">
        <w:rPr>
          <w:rFonts w:eastAsia="Times New Roman"/>
          <w:color w:val="auto"/>
        </w:rPr>
        <w:t xml:space="preserve">increased </w:t>
      </w:r>
      <w:r w:rsidR="00BC1735" w:rsidRPr="00093306">
        <w:rPr>
          <w:rFonts w:eastAsia="Times New Roman"/>
          <w:color w:val="auto"/>
        </w:rPr>
        <w:t>its</w:t>
      </w:r>
      <w:r w:rsidRPr="00093306">
        <w:rPr>
          <w:rFonts w:eastAsia="Times New Roman"/>
          <w:color w:val="auto"/>
        </w:rPr>
        <w:t xml:space="preserve"> </w:t>
      </w:r>
      <w:r w:rsidR="00BC1735" w:rsidRPr="00093306">
        <w:rPr>
          <w:rFonts w:eastAsia="Times New Roman"/>
          <w:color w:val="auto"/>
        </w:rPr>
        <w:t xml:space="preserve">estimated </w:t>
      </w:r>
      <w:r w:rsidRPr="00093306">
        <w:rPr>
          <w:rFonts w:eastAsia="Times New Roman"/>
          <w:color w:val="auto"/>
        </w:rPr>
        <w:t>201</w:t>
      </w:r>
      <w:r w:rsidR="004D3F38" w:rsidRPr="00093306">
        <w:rPr>
          <w:rFonts w:eastAsia="Times New Roman"/>
          <w:color w:val="auto"/>
        </w:rPr>
        <w:t>8</w:t>
      </w:r>
      <w:r w:rsidRPr="00093306">
        <w:rPr>
          <w:rFonts w:eastAsia="Times New Roman"/>
          <w:color w:val="auto"/>
        </w:rPr>
        <w:t xml:space="preserve"> education budget</w:t>
      </w:r>
      <w:r w:rsidR="004D3F38" w:rsidRPr="00093306">
        <w:rPr>
          <w:rFonts w:eastAsia="Times New Roman"/>
          <w:color w:val="auto"/>
        </w:rPr>
        <w:t xml:space="preserve"> by approximately 20 per cent</w:t>
      </w:r>
      <w:r w:rsidR="00BC1735" w:rsidRPr="00093306">
        <w:rPr>
          <w:rFonts w:eastAsia="Times New Roman"/>
          <w:color w:val="auto"/>
        </w:rPr>
        <w:t xml:space="preserve"> – overall education expenditure as</w:t>
      </w:r>
      <w:r w:rsidR="00921F83" w:rsidRPr="00093306">
        <w:rPr>
          <w:rFonts w:eastAsia="Times New Roman"/>
          <w:color w:val="auto"/>
        </w:rPr>
        <w:t xml:space="preserve"> a</w:t>
      </w:r>
      <w:r w:rsidR="00BC1735" w:rsidRPr="00093306">
        <w:rPr>
          <w:rFonts w:eastAsia="Times New Roman"/>
          <w:color w:val="auto"/>
        </w:rPr>
        <w:t xml:space="preserve"> proportion of the Government of Kiribati’s total expenditure is estimated to have increased</w:t>
      </w:r>
      <w:r w:rsidRPr="00093306">
        <w:rPr>
          <w:rFonts w:eastAsia="Times New Roman"/>
          <w:color w:val="auto"/>
        </w:rPr>
        <w:t xml:space="preserve"> </w:t>
      </w:r>
      <w:r w:rsidR="00BC1735" w:rsidRPr="00093306">
        <w:rPr>
          <w:rFonts w:eastAsia="Times New Roman"/>
          <w:color w:val="auto"/>
        </w:rPr>
        <w:t>from 11 per cent in 2017 to 14 per cent in 2018</w:t>
      </w:r>
      <w:r w:rsidR="00EF3E93" w:rsidRPr="00093306">
        <w:rPr>
          <w:rFonts w:eastAsia="Times New Roman"/>
          <w:color w:val="auto"/>
        </w:rPr>
        <w:t>.</w:t>
      </w:r>
      <w:r w:rsidRPr="00093306">
        <w:rPr>
          <w:rFonts w:eastAsia="Times New Roman"/>
          <w:color w:val="auto"/>
        </w:rPr>
        <w:t xml:space="preserve"> </w:t>
      </w:r>
    </w:p>
    <w:p w14:paraId="7E3761EE" w14:textId="6969E807" w:rsidR="00BC1735" w:rsidRPr="00093306" w:rsidRDefault="00BC1735" w:rsidP="00BC1735">
      <w:pPr>
        <w:pStyle w:val="ListParagraph"/>
        <w:numPr>
          <w:ilvl w:val="0"/>
          <w:numId w:val="38"/>
        </w:numPr>
        <w:ind w:left="360"/>
        <w:rPr>
          <w:rFonts w:eastAsia="Times New Roman"/>
          <w:color w:val="auto"/>
        </w:rPr>
      </w:pPr>
      <w:r w:rsidRPr="00093306">
        <w:rPr>
          <w:rFonts w:eastAsia="Times New Roman"/>
          <w:color w:val="auto"/>
        </w:rPr>
        <w:lastRenderedPageBreak/>
        <w:t xml:space="preserve">increased its estimated 2018 </w:t>
      </w:r>
      <w:r w:rsidR="00CB2A69" w:rsidRPr="00093306">
        <w:rPr>
          <w:rFonts w:eastAsia="Times New Roman"/>
          <w:color w:val="auto"/>
        </w:rPr>
        <w:t>health</w:t>
      </w:r>
      <w:r w:rsidRPr="00093306">
        <w:rPr>
          <w:rFonts w:eastAsia="Times New Roman"/>
          <w:color w:val="auto"/>
        </w:rPr>
        <w:t xml:space="preserve"> budget by approximately </w:t>
      </w:r>
      <w:r w:rsidR="00CB2A69" w:rsidRPr="00093306">
        <w:rPr>
          <w:rFonts w:eastAsia="Times New Roman"/>
          <w:color w:val="auto"/>
        </w:rPr>
        <w:t xml:space="preserve">15 </w:t>
      </w:r>
      <w:r w:rsidRPr="00093306">
        <w:rPr>
          <w:rFonts w:eastAsia="Times New Roman"/>
          <w:color w:val="auto"/>
        </w:rPr>
        <w:t xml:space="preserve">per cent – overall </w:t>
      </w:r>
      <w:r w:rsidR="00CB2A69" w:rsidRPr="00093306">
        <w:rPr>
          <w:rFonts w:eastAsia="Times New Roman"/>
          <w:color w:val="auto"/>
        </w:rPr>
        <w:t xml:space="preserve">health </w:t>
      </w:r>
      <w:r w:rsidRPr="00093306">
        <w:rPr>
          <w:rFonts w:eastAsia="Times New Roman"/>
          <w:color w:val="auto"/>
        </w:rPr>
        <w:t>expenditure as</w:t>
      </w:r>
      <w:r w:rsidR="00921F83" w:rsidRPr="00093306">
        <w:rPr>
          <w:rFonts w:eastAsia="Times New Roman"/>
          <w:color w:val="auto"/>
        </w:rPr>
        <w:t xml:space="preserve"> a</w:t>
      </w:r>
      <w:r w:rsidRPr="00093306">
        <w:rPr>
          <w:rFonts w:eastAsia="Times New Roman"/>
          <w:color w:val="auto"/>
        </w:rPr>
        <w:t xml:space="preserve"> proportion of the Government of Kiribati’s total expenditure is estimated to have increased from </w:t>
      </w:r>
      <w:r w:rsidR="00CB2A69" w:rsidRPr="00093306">
        <w:rPr>
          <w:rFonts w:eastAsia="Times New Roman"/>
          <w:color w:val="auto"/>
        </w:rPr>
        <w:t>9 </w:t>
      </w:r>
      <w:r w:rsidRPr="00093306">
        <w:rPr>
          <w:rFonts w:eastAsia="Times New Roman"/>
          <w:color w:val="auto"/>
        </w:rPr>
        <w:t>per</w:t>
      </w:r>
      <w:r w:rsidR="00CB2A69" w:rsidRPr="00093306">
        <w:rPr>
          <w:rFonts w:eastAsia="Times New Roman"/>
          <w:color w:val="auto"/>
        </w:rPr>
        <w:t> cent in 2017 to 12</w:t>
      </w:r>
      <w:r w:rsidRPr="00093306">
        <w:rPr>
          <w:rFonts w:eastAsia="Times New Roman"/>
          <w:color w:val="auto"/>
        </w:rPr>
        <w:t xml:space="preserve"> per cent in 2018</w:t>
      </w:r>
      <w:r w:rsidR="00CB2A69" w:rsidRPr="00093306">
        <w:rPr>
          <w:rFonts w:eastAsia="Times New Roman"/>
          <w:color w:val="auto"/>
        </w:rPr>
        <w:t>.</w:t>
      </w:r>
      <w:r w:rsidRPr="00093306">
        <w:rPr>
          <w:rFonts w:eastAsia="Times New Roman"/>
          <w:color w:val="auto"/>
        </w:rPr>
        <w:t xml:space="preserve"> </w:t>
      </w:r>
    </w:p>
    <w:p w14:paraId="0E9E684D" w14:textId="164D2A86" w:rsidR="00BC1735" w:rsidRPr="00AB1782" w:rsidRDefault="001C3C05" w:rsidP="00BC1735">
      <w:pPr>
        <w:pStyle w:val="ListParagraph"/>
        <w:numPr>
          <w:ilvl w:val="0"/>
          <w:numId w:val="38"/>
        </w:numPr>
        <w:ind w:left="360"/>
        <w:rPr>
          <w:rFonts w:eastAsia="Times New Roman"/>
          <w:color w:val="auto"/>
        </w:rPr>
      </w:pPr>
      <w:r w:rsidRPr="00093306">
        <w:rPr>
          <w:color w:val="auto"/>
        </w:rPr>
        <w:t xml:space="preserve">implemented reforms agreed under the </w:t>
      </w:r>
      <w:r w:rsidRPr="00093306">
        <w:rPr>
          <w:i/>
          <w:color w:val="auto"/>
        </w:rPr>
        <w:t>Kiribati</w:t>
      </w:r>
      <w:r w:rsidRPr="00093306">
        <w:rPr>
          <w:color w:val="auto"/>
        </w:rPr>
        <w:t xml:space="preserve"> </w:t>
      </w:r>
      <w:r w:rsidRPr="00093306">
        <w:rPr>
          <w:i/>
          <w:color w:val="auto"/>
        </w:rPr>
        <w:t>Economic Reform Plan</w:t>
      </w:r>
      <w:r w:rsidRPr="00093306">
        <w:rPr>
          <w:color w:val="auto"/>
        </w:rPr>
        <w:t xml:space="preserve"> (also included in the Joint Policy Reform Matrix), including </w:t>
      </w:r>
      <w:r w:rsidR="00717000" w:rsidRPr="00093306">
        <w:rPr>
          <w:color w:val="auto"/>
        </w:rPr>
        <w:t xml:space="preserve">appointing a new custodian for the Revenue Equalisation Reserve Fund </w:t>
      </w:r>
      <w:r w:rsidR="005A032C">
        <w:rPr>
          <w:color w:val="auto"/>
        </w:rPr>
        <w:t xml:space="preserve">in August 2018 </w:t>
      </w:r>
      <w:r w:rsidR="00717000" w:rsidRPr="00093306">
        <w:rPr>
          <w:color w:val="auto"/>
        </w:rPr>
        <w:t xml:space="preserve">and establishing a new database to monitor government guarantees and liabilities, including those of </w:t>
      </w:r>
      <w:r w:rsidR="005A032C">
        <w:rPr>
          <w:color w:val="auto"/>
        </w:rPr>
        <w:t>s</w:t>
      </w:r>
      <w:r w:rsidR="00717000" w:rsidRPr="00093306">
        <w:rPr>
          <w:color w:val="auto"/>
        </w:rPr>
        <w:t xml:space="preserve">tate </w:t>
      </w:r>
      <w:r w:rsidR="005A032C">
        <w:rPr>
          <w:color w:val="auto"/>
        </w:rPr>
        <w:t>o</w:t>
      </w:r>
      <w:r w:rsidR="00717000" w:rsidRPr="00093306">
        <w:rPr>
          <w:color w:val="auto"/>
        </w:rPr>
        <w:t xml:space="preserve">wned </w:t>
      </w:r>
      <w:r w:rsidR="005A032C">
        <w:rPr>
          <w:color w:val="auto"/>
        </w:rPr>
        <w:t>e</w:t>
      </w:r>
      <w:r w:rsidR="00717000" w:rsidRPr="00093306">
        <w:rPr>
          <w:color w:val="auto"/>
        </w:rPr>
        <w:t>nterprises</w:t>
      </w:r>
      <w:r w:rsidR="00AB1782">
        <w:rPr>
          <w:color w:val="auto"/>
        </w:rPr>
        <w:t>.</w:t>
      </w:r>
      <w:r w:rsidR="00BC1735" w:rsidRPr="00AB1782">
        <w:rPr>
          <w:color w:val="auto"/>
        </w:rPr>
        <w:t xml:space="preserve"> </w:t>
      </w:r>
    </w:p>
    <w:p w14:paraId="118679ED" w14:textId="6E1C877B" w:rsidR="00EF3E93" w:rsidRPr="00093306" w:rsidRDefault="00EF3E93" w:rsidP="00D647E4">
      <w:pPr>
        <w:pStyle w:val="ListParagraph"/>
        <w:numPr>
          <w:ilvl w:val="0"/>
          <w:numId w:val="38"/>
        </w:numPr>
        <w:spacing w:line="240" w:lineRule="auto"/>
        <w:ind w:left="360"/>
        <w:rPr>
          <w:rFonts w:eastAsia="Times New Roman"/>
          <w:color w:val="auto"/>
        </w:rPr>
      </w:pPr>
      <w:r w:rsidRPr="00AB1782">
        <w:rPr>
          <w:rFonts w:eastAsia="Times New Roman"/>
          <w:color w:val="auto"/>
        </w:rPr>
        <w:t>made good progress</w:t>
      </w:r>
      <w:r w:rsidR="00921F83" w:rsidRPr="00AB1782">
        <w:rPr>
          <w:rFonts w:eastAsia="Times New Roman"/>
          <w:color w:val="auto"/>
        </w:rPr>
        <w:t xml:space="preserve"> in achieving </w:t>
      </w:r>
      <w:r w:rsidR="001C3C05" w:rsidRPr="00AB1782">
        <w:rPr>
          <w:rFonts w:eastAsia="Times New Roman"/>
          <w:color w:val="auto"/>
        </w:rPr>
        <w:t>gender equality indicators committed to in the Pacific Island Forum Leaders’ Gender Equality Declaration,</w:t>
      </w:r>
      <w:r w:rsidR="00597664" w:rsidRPr="00AB1782">
        <w:rPr>
          <w:rFonts w:eastAsia="Times New Roman"/>
          <w:color w:val="auto"/>
        </w:rPr>
        <w:t xml:space="preserve"> including</w:t>
      </w:r>
      <w:r w:rsidR="00606CB5">
        <w:rPr>
          <w:rFonts w:eastAsia="Times New Roman"/>
          <w:color w:val="auto"/>
        </w:rPr>
        <w:t xml:space="preserve"> </w:t>
      </w:r>
      <w:r w:rsidR="008B4E23">
        <w:rPr>
          <w:rFonts w:eastAsia="Times New Roman"/>
          <w:color w:val="auto"/>
        </w:rPr>
        <w:t>strengthening</w:t>
      </w:r>
      <w:r w:rsidR="0038080B" w:rsidRPr="001B3568">
        <w:rPr>
          <w:rFonts w:eastAsia="Times New Roman"/>
          <w:color w:val="auto"/>
        </w:rPr>
        <w:t xml:space="preserve"> </w:t>
      </w:r>
      <w:r w:rsidR="006921B7" w:rsidRPr="001B3568">
        <w:rPr>
          <w:rFonts w:eastAsia="Times New Roman"/>
          <w:color w:val="auto"/>
        </w:rPr>
        <w:t>response services with</w:t>
      </w:r>
      <w:r w:rsidR="00720BBC" w:rsidRPr="00093306">
        <w:rPr>
          <w:rFonts w:eastAsia="Times New Roman"/>
          <w:color w:val="auto"/>
        </w:rPr>
        <w:t xml:space="preserve"> the opening of the</w:t>
      </w:r>
      <w:r w:rsidR="004A056E" w:rsidRPr="001B3568">
        <w:rPr>
          <w:rFonts w:eastAsia="Times New Roman"/>
          <w:color w:val="auto"/>
        </w:rPr>
        <w:t xml:space="preserve"> first independent</w:t>
      </w:r>
      <w:r w:rsidR="00720BBC" w:rsidRPr="00093306">
        <w:rPr>
          <w:rFonts w:eastAsia="Times New Roman"/>
          <w:color w:val="auto"/>
        </w:rPr>
        <w:t xml:space="preserve"> Kiribati Women and </w:t>
      </w:r>
      <w:r w:rsidR="00FB5DFD" w:rsidRPr="00093306">
        <w:rPr>
          <w:rFonts w:eastAsia="Times New Roman"/>
          <w:color w:val="auto"/>
        </w:rPr>
        <w:t>Children</w:t>
      </w:r>
      <w:r w:rsidR="00720BBC" w:rsidRPr="000D787E">
        <w:rPr>
          <w:rFonts w:eastAsia="Times New Roman"/>
          <w:color w:val="auto"/>
        </w:rPr>
        <w:t xml:space="preserve"> </w:t>
      </w:r>
      <w:r w:rsidR="00FB5DFD" w:rsidRPr="000D787E">
        <w:rPr>
          <w:rFonts w:eastAsia="Times New Roman"/>
          <w:color w:val="auto"/>
        </w:rPr>
        <w:t>Support</w:t>
      </w:r>
      <w:r w:rsidR="00720BBC" w:rsidRPr="000D787E">
        <w:rPr>
          <w:rFonts w:eastAsia="Times New Roman"/>
          <w:color w:val="auto"/>
        </w:rPr>
        <w:t xml:space="preserve"> Centre </w:t>
      </w:r>
      <w:r w:rsidR="00921F83" w:rsidRPr="000D787E">
        <w:rPr>
          <w:rFonts w:eastAsia="Times New Roman"/>
          <w:color w:val="auto"/>
        </w:rPr>
        <w:t>(Crisis Centre) in January 2018</w:t>
      </w:r>
      <w:r w:rsidR="00B1585C">
        <w:rPr>
          <w:rFonts w:eastAsia="Times New Roman"/>
          <w:color w:val="auto"/>
        </w:rPr>
        <w:t>,</w:t>
      </w:r>
      <w:r w:rsidR="00606CB5">
        <w:rPr>
          <w:rFonts w:eastAsia="Times New Roman"/>
          <w:color w:val="auto"/>
        </w:rPr>
        <w:t xml:space="preserve"> and</w:t>
      </w:r>
      <w:r w:rsidR="00720BBC" w:rsidRPr="00093306">
        <w:rPr>
          <w:rFonts w:eastAsia="Times New Roman"/>
          <w:color w:val="auto"/>
        </w:rPr>
        <w:t xml:space="preserve"> </w:t>
      </w:r>
      <w:r w:rsidR="0038080B" w:rsidRPr="001B3568">
        <w:rPr>
          <w:rFonts w:eastAsia="Times New Roman"/>
          <w:color w:val="auto"/>
        </w:rPr>
        <w:t xml:space="preserve"> strengthening </w:t>
      </w:r>
      <w:r w:rsidR="006921B7" w:rsidRPr="001B3568">
        <w:rPr>
          <w:rFonts w:eastAsia="Times New Roman"/>
          <w:color w:val="auto"/>
        </w:rPr>
        <w:t>prevention interventions with</w:t>
      </w:r>
      <w:r w:rsidR="00720BBC" w:rsidRPr="00093306">
        <w:rPr>
          <w:rFonts w:eastAsia="Times New Roman"/>
          <w:color w:val="auto"/>
        </w:rPr>
        <w:t xml:space="preserve"> the development of a Respectful Relationship Program (with support from YWCA Australia) </w:t>
      </w:r>
      <w:r w:rsidR="00B1585C">
        <w:rPr>
          <w:rFonts w:eastAsia="Times New Roman"/>
          <w:color w:val="auto"/>
        </w:rPr>
        <w:t>to</w:t>
      </w:r>
      <w:r w:rsidR="00720BBC" w:rsidRPr="00093306">
        <w:rPr>
          <w:rFonts w:eastAsia="Times New Roman"/>
          <w:color w:val="auto"/>
        </w:rPr>
        <w:t xml:space="preserve"> be rolled out in 2019</w:t>
      </w:r>
      <w:r w:rsidR="00684A5F" w:rsidRPr="001B3568">
        <w:rPr>
          <w:rFonts w:eastAsia="Times New Roman"/>
          <w:color w:val="auto"/>
        </w:rPr>
        <w:t xml:space="preserve"> and implemented</w:t>
      </w:r>
      <w:r w:rsidR="006921B7" w:rsidRPr="001B3568">
        <w:rPr>
          <w:rFonts w:eastAsia="Times New Roman"/>
          <w:color w:val="auto"/>
        </w:rPr>
        <w:t xml:space="preserve"> </w:t>
      </w:r>
      <w:r w:rsidR="00684A5F" w:rsidRPr="001B3568">
        <w:rPr>
          <w:rFonts w:eastAsia="Times New Roman"/>
          <w:color w:val="auto"/>
        </w:rPr>
        <w:t xml:space="preserve">in </w:t>
      </w:r>
      <w:r w:rsidR="006921B7" w:rsidRPr="001B3568">
        <w:rPr>
          <w:rFonts w:eastAsia="Times New Roman"/>
          <w:color w:val="auto"/>
        </w:rPr>
        <w:t>collaborati</w:t>
      </w:r>
      <w:r w:rsidR="00606CB5">
        <w:rPr>
          <w:rFonts w:eastAsia="Times New Roman"/>
          <w:color w:val="auto"/>
        </w:rPr>
        <w:t>on</w:t>
      </w:r>
      <w:r w:rsidR="006921B7" w:rsidRPr="001B3568">
        <w:rPr>
          <w:rFonts w:eastAsia="Times New Roman"/>
          <w:color w:val="auto"/>
        </w:rPr>
        <w:t xml:space="preserve"> with UN Wome</w:t>
      </w:r>
      <w:r w:rsidR="00606CB5">
        <w:rPr>
          <w:rFonts w:eastAsia="Times New Roman"/>
          <w:color w:val="auto"/>
        </w:rPr>
        <w:t>n.</w:t>
      </w:r>
    </w:p>
    <w:p w14:paraId="6F00356A" w14:textId="3F2887AA" w:rsidR="00EF3E93" w:rsidRPr="00093306" w:rsidRDefault="00921F83" w:rsidP="00D647E4">
      <w:pPr>
        <w:pStyle w:val="BodyText"/>
        <w:spacing w:before="120" w:after="60" w:line="240" w:lineRule="auto"/>
        <w:rPr>
          <w:rFonts w:asciiTheme="minorHAnsi" w:hAnsiTheme="minorHAnsi" w:cstheme="minorBidi"/>
          <w:sz w:val="22"/>
          <w:szCs w:val="22"/>
          <w:lang w:val="en-GB" w:eastAsia="en-US"/>
        </w:rPr>
      </w:pPr>
      <w:r w:rsidRPr="00AB1782">
        <w:rPr>
          <w:rFonts w:asciiTheme="minorHAnsi" w:hAnsiTheme="minorHAnsi" w:cstheme="minorBidi"/>
          <w:sz w:val="22"/>
          <w:szCs w:val="22"/>
          <w:lang w:val="en-GB" w:eastAsia="en-US"/>
        </w:rPr>
        <w:t>Both the g</w:t>
      </w:r>
      <w:r w:rsidR="00EF3E93" w:rsidRPr="00AB1782">
        <w:rPr>
          <w:rFonts w:asciiTheme="minorHAnsi" w:hAnsiTheme="minorHAnsi" w:cstheme="minorBidi"/>
          <w:sz w:val="22"/>
          <w:szCs w:val="22"/>
          <w:lang w:val="en-GB" w:eastAsia="en-US"/>
        </w:rPr>
        <w:t>overnments of Australia and Kiribati have committed to a zero-tolerance approach to fraudulent and corrupt actions against Australia’s aid program to Kiribati. In 2017-18, improvements were made to Kiribati’s procurement and financial systems to ensure that Australian aid funds are disbursed effectively, efficiently, economically and ethically. These include</w:t>
      </w:r>
      <w:r w:rsidR="000F2AE7" w:rsidRPr="00AB1782">
        <w:rPr>
          <w:rFonts w:asciiTheme="minorHAnsi" w:hAnsiTheme="minorHAnsi" w:cstheme="minorBidi"/>
          <w:sz w:val="22"/>
          <w:szCs w:val="22"/>
          <w:lang w:val="en-GB" w:eastAsia="en-US"/>
        </w:rPr>
        <w:t xml:space="preserve"> establishing a procurement unit within the Ministry of Finance and Economic Development to manage all government procuremen</w:t>
      </w:r>
      <w:r w:rsidR="000F2AE7" w:rsidRPr="00093306">
        <w:rPr>
          <w:rFonts w:asciiTheme="minorHAnsi" w:hAnsiTheme="minorHAnsi" w:cstheme="minorBidi"/>
          <w:sz w:val="22"/>
          <w:szCs w:val="22"/>
          <w:lang w:val="en-GB" w:eastAsia="en-US"/>
        </w:rPr>
        <w:t>t activities.</w:t>
      </w:r>
      <w:r w:rsidR="000F2AE7" w:rsidRPr="001B3568">
        <w:rPr>
          <w:rFonts w:asciiTheme="minorHAnsi" w:hAnsiTheme="minorHAnsi" w:cstheme="minorBidi"/>
          <w:sz w:val="22"/>
          <w:szCs w:val="22"/>
          <w:lang w:val="en-GB" w:eastAsia="en-US"/>
        </w:rPr>
        <w:t xml:space="preserve"> </w:t>
      </w:r>
    </w:p>
    <w:p w14:paraId="1301E265" w14:textId="253E4646" w:rsidR="005B5769" w:rsidRPr="00AB1782" w:rsidRDefault="005B5769" w:rsidP="00EF3E93">
      <w:pPr>
        <w:rPr>
          <w:rFonts w:asciiTheme="majorHAnsi" w:eastAsiaTheme="majorEastAsia" w:hAnsiTheme="majorHAnsi" w:cstheme="majorBidi"/>
          <w:caps/>
          <w:sz w:val="38"/>
          <w:szCs w:val="26"/>
        </w:rPr>
      </w:pPr>
      <w:r w:rsidRPr="00AB1782">
        <w:rPr>
          <w:rFonts w:asciiTheme="majorHAnsi" w:eastAsiaTheme="majorEastAsia" w:hAnsiTheme="majorHAnsi" w:cstheme="majorBidi"/>
          <w:caps/>
          <w:sz w:val="38"/>
          <w:szCs w:val="26"/>
        </w:rPr>
        <w:t>Program Quality</w:t>
      </w:r>
    </w:p>
    <w:p w14:paraId="11D2B831" w14:textId="77777777" w:rsidR="00D647E4" w:rsidRPr="00AB1782" w:rsidRDefault="00D647E4" w:rsidP="00D647E4">
      <w:pPr>
        <w:spacing w:line="240" w:lineRule="auto"/>
        <w:rPr>
          <w:rFonts w:eastAsia="Times New Roman"/>
          <w:color w:val="auto"/>
        </w:rPr>
      </w:pPr>
      <w:r w:rsidRPr="00AB1782">
        <w:rPr>
          <w:rFonts w:eastAsia="Times New Roman"/>
          <w:color w:val="auto"/>
        </w:rPr>
        <w:t>Aid Quality Checks ratings across all Kiribati investments were satisfactory and largely consistent with previous years.</w:t>
      </w:r>
    </w:p>
    <w:p w14:paraId="2DC07215" w14:textId="289E7E10" w:rsidR="00D647E4" w:rsidRPr="00093306" w:rsidRDefault="00D647E4" w:rsidP="003109F2">
      <w:pPr>
        <w:spacing w:line="240" w:lineRule="auto"/>
        <w:rPr>
          <w:rFonts w:eastAsia="Times New Roman"/>
          <w:color w:val="auto"/>
        </w:rPr>
      </w:pPr>
      <w:r w:rsidRPr="00093306">
        <w:rPr>
          <w:rFonts w:eastAsia="Times New Roman"/>
          <w:color w:val="auto"/>
        </w:rPr>
        <w:t xml:space="preserve">The rating for monitoring and evaluation </w:t>
      </w:r>
      <w:r w:rsidR="00EE4BF6" w:rsidRPr="00093306">
        <w:rPr>
          <w:rFonts w:eastAsia="Times New Roman"/>
          <w:color w:val="auto"/>
        </w:rPr>
        <w:t>of</w:t>
      </w:r>
      <w:r w:rsidRPr="00093306">
        <w:rPr>
          <w:rFonts w:eastAsia="Times New Roman"/>
          <w:color w:val="auto"/>
        </w:rPr>
        <w:t xml:space="preserve"> the infrastructure investment</w:t>
      </w:r>
      <w:r w:rsidR="000D7AD5" w:rsidRPr="00093306">
        <w:rPr>
          <w:rStyle w:val="FootnoteReference"/>
          <w:rFonts w:eastAsia="Times New Roman"/>
          <w:color w:val="auto"/>
        </w:rPr>
        <w:footnoteReference w:id="3"/>
      </w:r>
      <w:r w:rsidRPr="00093306">
        <w:rPr>
          <w:rFonts w:eastAsia="Times New Roman"/>
          <w:color w:val="auto"/>
        </w:rPr>
        <w:t xml:space="preserve"> was downgraded</w:t>
      </w:r>
      <w:r w:rsidR="009629D1" w:rsidRPr="000D787E">
        <w:rPr>
          <w:rFonts w:eastAsia="Times New Roman"/>
          <w:color w:val="auto"/>
        </w:rPr>
        <w:t xml:space="preserve"> from</w:t>
      </w:r>
      <w:r w:rsidRPr="000D787E">
        <w:rPr>
          <w:rFonts w:eastAsia="Times New Roman"/>
          <w:color w:val="auto"/>
        </w:rPr>
        <w:t xml:space="preserve"> ‘adequate (4)’ in 201</w:t>
      </w:r>
      <w:r w:rsidR="00B92DB6" w:rsidRPr="00AB1782">
        <w:rPr>
          <w:rFonts w:eastAsia="Times New Roman"/>
          <w:color w:val="auto"/>
        </w:rPr>
        <w:t>6</w:t>
      </w:r>
      <w:r w:rsidRPr="00AB1782">
        <w:rPr>
          <w:rFonts w:eastAsia="Times New Roman"/>
          <w:color w:val="auto"/>
        </w:rPr>
        <w:t>-1</w:t>
      </w:r>
      <w:r w:rsidR="00B92DB6" w:rsidRPr="00AB1782">
        <w:rPr>
          <w:rFonts w:eastAsia="Times New Roman"/>
          <w:color w:val="auto"/>
        </w:rPr>
        <w:t>7</w:t>
      </w:r>
      <w:r w:rsidRPr="00AB1782">
        <w:rPr>
          <w:rFonts w:eastAsia="Times New Roman"/>
          <w:color w:val="auto"/>
        </w:rPr>
        <w:t xml:space="preserve"> to ‘less than adequate (3)</w:t>
      </w:r>
      <w:r w:rsidR="00B92DB6" w:rsidRPr="00AB1782">
        <w:rPr>
          <w:rFonts w:eastAsia="Times New Roman"/>
          <w:color w:val="auto"/>
        </w:rPr>
        <w:t>’ in 2017-18</w:t>
      </w:r>
      <w:r w:rsidRPr="00093306">
        <w:rPr>
          <w:rFonts w:eastAsia="Times New Roman"/>
          <w:color w:val="auto"/>
        </w:rPr>
        <w:t>. This reflect</w:t>
      </w:r>
      <w:r w:rsidR="009629D1" w:rsidRPr="00093306">
        <w:rPr>
          <w:rFonts w:eastAsia="Times New Roman"/>
          <w:color w:val="auto"/>
        </w:rPr>
        <w:t>ed</w:t>
      </w:r>
      <w:r w:rsidRPr="00093306">
        <w:rPr>
          <w:rFonts w:eastAsia="Times New Roman"/>
          <w:color w:val="auto"/>
        </w:rPr>
        <w:t xml:space="preserve"> </w:t>
      </w:r>
      <w:r w:rsidR="00EE4BF6" w:rsidRPr="00093306">
        <w:rPr>
          <w:rFonts w:eastAsia="Times New Roman"/>
          <w:color w:val="auto"/>
        </w:rPr>
        <w:t>a</w:t>
      </w:r>
      <w:r w:rsidR="009629D1" w:rsidRPr="00093306">
        <w:rPr>
          <w:rFonts w:eastAsia="Times New Roman"/>
          <w:color w:val="auto"/>
        </w:rPr>
        <w:t xml:space="preserve"> lack of reliable baseline data and an inconsistent quality of reporting from the supervising contractor </w:t>
      </w:r>
      <w:r w:rsidR="005E5A60" w:rsidRPr="00093306">
        <w:rPr>
          <w:rFonts w:eastAsia="Times New Roman"/>
          <w:color w:val="auto"/>
        </w:rPr>
        <w:t>for</w:t>
      </w:r>
      <w:r w:rsidR="009629D1" w:rsidRPr="00093306">
        <w:rPr>
          <w:rFonts w:eastAsia="Times New Roman"/>
          <w:color w:val="auto"/>
        </w:rPr>
        <w:t xml:space="preserve"> the </w:t>
      </w:r>
      <w:r w:rsidR="009629D1" w:rsidRPr="00093306">
        <w:rPr>
          <w:rFonts w:eastAsia="Times New Roman"/>
          <w:i/>
          <w:color w:val="auto"/>
        </w:rPr>
        <w:t>South Tarawa Sanitation Improvement Sector Project</w:t>
      </w:r>
      <w:r w:rsidR="009629D1" w:rsidRPr="00093306">
        <w:rPr>
          <w:rFonts w:eastAsia="Times New Roman"/>
          <w:color w:val="auto"/>
        </w:rPr>
        <w:t>. Australia and the A</w:t>
      </w:r>
      <w:r w:rsidR="00B1585C">
        <w:rPr>
          <w:rFonts w:eastAsia="Times New Roman"/>
          <w:color w:val="auto"/>
        </w:rPr>
        <w:t xml:space="preserve">DB </w:t>
      </w:r>
      <w:r w:rsidR="009629D1" w:rsidRPr="00093306">
        <w:rPr>
          <w:rFonts w:eastAsia="Times New Roman"/>
          <w:color w:val="auto"/>
        </w:rPr>
        <w:t xml:space="preserve">(which is </w:t>
      </w:r>
      <w:r w:rsidR="003109F2" w:rsidRPr="00093306">
        <w:rPr>
          <w:rFonts w:eastAsia="Times New Roman"/>
          <w:color w:val="auto"/>
        </w:rPr>
        <w:t>co-financing the project) are considering a review of the data quality and collection methods to improve monitoring and evaluat</w:t>
      </w:r>
      <w:r w:rsidR="00B92DB6" w:rsidRPr="00093306">
        <w:rPr>
          <w:rFonts w:eastAsia="Times New Roman"/>
          <w:color w:val="auto"/>
        </w:rPr>
        <w:t>ion for the remainder</w:t>
      </w:r>
      <w:r w:rsidR="003109F2" w:rsidRPr="00093306">
        <w:rPr>
          <w:rFonts w:eastAsia="Times New Roman"/>
          <w:color w:val="auto"/>
        </w:rPr>
        <w:t xml:space="preserve"> of the project.</w:t>
      </w:r>
      <w:r w:rsidRPr="00093306">
        <w:rPr>
          <w:rFonts w:eastAsia="Times New Roman"/>
          <w:color w:val="auto"/>
        </w:rPr>
        <w:t xml:space="preserve"> </w:t>
      </w:r>
    </w:p>
    <w:p w14:paraId="253BA25C" w14:textId="60C25F88" w:rsidR="006A6CDD" w:rsidRPr="001B3568" w:rsidRDefault="00AB0B7D" w:rsidP="00D647E4">
      <w:pPr>
        <w:spacing w:line="240" w:lineRule="auto"/>
        <w:rPr>
          <w:rFonts w:eastAsia="Times New Roman"/>
          <w:color w:val="auto"/>
        </w:rPr>
      </w:pPr>
      <w:r w:rsidRPr="00093306">
        <w:rPr>
          <w:rFonts w:eastAsia="Times New Roman"/>
          <w:color w:val="auto"/>
        </w:rPr>
        <w:t>Gender ratings across all of Australia’</w:t>
      </w:r>
      <w:r w:rsidR="00544E5D" w:rsidRPr="00093306">
        <w:rPr>
          <w:rFonts w:eastAsia="Times New Roman"/>
          <w:color w:val="auto"/>
        </w:rPr>
        <w:t xml:space="preserve">s investments in Kiribati continued to </w:t>
      </w:r>
      <w:r w:rsidR="003109F2" w:rsidRPr="00093306">
        <w:rPr>
          <w:rFonts w:eastAsia="Times New Roman"/>
          <w:color w:val="auto"/>
        </w:rPr>
        <w:t xml:space="preserve">be </w:t>
      </w:r>
      <w:r w:rsidR="00544E5D" w:rsidRPr="00093306">
        <w:rPr>
          <w:rFonts w:eastAsia="Times New Roman"/>
          <w:color w:val="auto"/>
        </w:rPr>
        <w:t>poor in 2017-18</w:t>
      </w:r>
      <w:r w:rsidR="003109F2" w:rsidRPr="00093306">
        <w:rPr>
          <w:rFonts w:eastAsia="Times New Roman"/>
          <w:color w:val="auto"/>
        </w:rPr>
        <w:t xml:space="preserve">. The </w:t>
      </w:r>
      <w:r w:rsidR="00544E5D" w:rsidRPr="00093306">
        <w:rPr>
          <w:rFonts w:eastAsia="Times New Roman"/>
          <w:color w:val="auto"/>
        </w:rPr>
        <w:t xml:space="preserve">gender rating for </w:t>
      </w:r>
      <w:r w:rsidR="00EE4BF6" w:rsidRPr="00093306">
        <w:rPr>
          <w:rFonts w:eastAsia="Times New Roman"/>
          <w:color w:val="auto"/>
        </w:rPr>
        <w:t>the</w:t>
      </w:r>
      <w:r w:rsidR="00544E5D" w:rsidRPr="00093306">
        <w:rPr>
          <w:rFonts w:eastAsia="Times New Roman"/>
          <w:color w:val="auto"/>
        </w:rPr>
        <w:t xml:space="preserve"> infrastructure investment was downgrade</w:t>
      </w:r>
      <w:r w:rsidR="005E5A60" w:rsidRPr="00093306">
        <w:rPr>
          <w:rFonts w:eastAsia="Times New Roman"/>
          <w:color w:val="auto"/>
        </w:rPr>
        <w:t>d</w:t>
      </w:r>
      <w:r w:rsidR="00544E5D" w:rsidRPr="00093306">
        <w:rPr>
          <w:rFonts w:eastAsia="Times New Roman"/>
          <w:color w:val="auto"/>
        </w:rPr>
        <w:t xml:space="preserve"> from ‘adequate (4)’ in 201</w:t>
      </w:r>
      <w:r w:rsidR="00A2458A" w:rsidRPr="00093306">
        <w:rPr>
          <w:rFonts w:eastAsia="Times New Roman"/>
          <w:color w:val="auto"/>
        </w:rPr>
        <w:t>6</w:t>
      </w:r>
      <w:r w:rsidR="003109F2" w:rsidRPr="00093306">
        <w:rPr>
          <w:rFonts w:eastAsia="Times New Roman"/>
          <w:color w:val="auto"/>
        </w:rPr>
        <w:t>-1</w:t>
      </w:r>
      <w:r w:rsidR="00A2458A" w:rsidRPr="00093306">
        <w:rPr>
          <w:rFonts w:eastAsia="Times New Roman"/>
          <w:color w:val="auto"/>
        </w:rPr>
        <w:t>7</w:t>
      </w:r>
      <w:r w:rsidR="003109F2" w:rsidRPr="00093306">
        <w:rPr>
          <w:rFonts w:eastAsia="Times New Roman"/>
          <w:color w:val="auto"/>
        </w:rPr>
        <w:t xml:space="preserve"> to ‘less than adequate (3)</w:t>
      </w:r>
      <w:r w:rsidR="00B92DB6" w:rsidRPr="00093306">
        <w:rPr>
          <w:rFonts w:eastAsia="Times New Roman"/>
          <w:color w:val="auto"/>
        </w:rPr>
        <w:t>’</w:t>
      </w:r>
      <w:r w:rsidR="003109F2" w:rsidRPr="00093306">
        <w:rPr>
          <w:rFonts w:eastAsia="Times New Roman"/>
          <w:color w:val="auto"/>
        </w:rPr>
        <w:t xml:space="preserve"> </w:t>
      </w:r>
      <w:r w:rsidR="00B92DB6" w:rsidRPr="00093306">
        <w:rPr>
          <w:rFonts w:eastAsia="Times New Roman"/>
          <w:color w:val="auto"/>
        </w:rPr>
        <w:t xml:space="preserve">reflecting the potential to improve the implementation of, and </w:t>
      </w:r>
      <w:r w:rsidR="003109F2" w:rsidRPr="00093306">
        <w:rPr>
          <w:rFonts w:eastAsia="Times New Roman"/>
          <w:color w:val="auto"/>
        </w:rPr>
        <w:t>reportin</w:t>
      </w:r>
      <w:r w:rsidR="00B92DB6" w:rsidRPr="00093306">
        <w:rPr>
          <w:rFonts w:eastAsia="Times New Roman"/>
          <w:color w:val="auto"/>
        </w:rPr>
        <w:t>g</w:t>
      </w:r>
      <w:r w:rsidR="003109F2" w:rsidRPr="00093306">
        <w:rPr>
          <w:rFonts w:eastAsia="Times New Roman"/>
          <w:color w:val="auto"/>
        </w:rPr>
        <w:t xml:space="preserve"> on the </w:t>
      </w:r>
      <w:r w:rsidR="00B92DB6" w:rsidRPr="00093306">
        <w:rPr>
          <w:rFonts w:eastAsia="Times New Roman"/>
          <w:i/>
          <w:color w:val="auto"/>
        </w:rPr>
        <w:t>South Tarawa Sanitation Improvement Sector Project</w:t>
      </w:r>
      <w:r w:rsidR="00B92DB6" w:rsidRPr="00093306">
        <w:rPr>
          <w:rFonts w:eastAsia="Times New Roman"/>
          <w:color w:val="auto"/>
        </w:rPr>
        <w:t xml:space="preserve"> G</w:t>
      </w:r>
      <w:r w:rsidR="003109F2" w:rsidRPr="00093306">
        <w:rPr>
          <w:rFonts w:eastAsia="Times New Roman"/>
          <w:color w:val="auto"/>
        </w:rPr>
        <w:t>e</w:t>
      </w:r>
      <w:r w:rsidR="00B92DB6" w:rsidRPr="00093306">
        <w:rPr>
          <w:rFonts w:eastAsia="Times New Roman"/>
          <w:color w:val="auto"/>
        </w:rPr>
        <w:t>nder Action Plan</w:t>
      </w:r>
      <w:r w:rsidR="00544E5D" w:rsidRPr="00093306">
        <w:rPr>
          <w:rFonts w:eastAsia="Times New Roman"/>
          <w:color w:val="auto"/>
        </w:rPr>
        <w:t>.</w:t>
      </w:r>
      <w:r w:rsidR="00D647E4" w:rsidRPr="00093306">
        <w:rPr>
          <w:rFonts w:eastAsia="Times New Roman"/>
          <w:color w:val="auto"/>
        </w:rPr>
        <w:t xml:space="preserve"> </w:t>
      </w:r>
      <w:r w:rsidR="00D63208" w:rsidRPr="001B3568">
        <w:rPr>
          <w:rFonts w:eastAsia="Times New Roman"/>
          <w:color w:val="auto"/>
        </w:rPr>
        <w:t xml:space="preserve">It is anticipated that </w:t>
      </w:r>
      <w:r w:rsidR="00791F53">
        <w:rPr>
          <w:rFonts w:eastAsia="Times New Roman"/>
          <w:color w:val="auto"/>
        </w:rPr>
        <w:t>activities</w:t>
      </w:r>
      <w:r w:rsidR="00606CB5">
        <w:rPr>
          <w:rFonts w:eastAsia="Times New Roman"/>
          <w:color w:val="auto"/>
        </w:rPr>
        <w:t xml:space="preserve"> Australia </w:t>
      </w:r>
      <w:r w:rsidR="00791F53">
        <w:rPr>
          <w:rFonts w:eastAsia="Times New Roman"/>
          <w:color w:val="auto"/>
        </w:rPr>
        <w:t>under</w:t>
      </w:r>
      <w:r w:rsidR="00606CB5">
        <w:rPr>
          <w:rFonts w:eastAsia="Times New Roman"/>
          <w:color w:val="auto"/>
        </w:rPr>
        <w:t xml:space="preserve">took in 2017-18 </w:t>
      </w:r>
      <w:r w:rsidR="00791F53">
        <w:rPr>
          <w:rFonts w:eastAsia="Times New Roman"/>
          <w:color w:val="auto"/>
        </w:rPr>
        <w:t xml:space="preserve">will result in an improvement in </w:t>
      </w:r>
      <w:r w:rsidR="00606CB5">
        <w:rPr>
          <w:rFonts w:eastAsia="Times New Roman"/>
          <w:color w:val="auto"/>
        </w:rPr>
        <w:t xml:space="preserve">gender ratings across a number of investments </w:t>
      </w:r>
      <w:r w:rsidR="00791F53">
        <w:rPr>
          <w:rFonts w:eastAsia="Times New Roman"/>
          <w:color w:val="auto"/>
        </w:rPr>
        <w:t>in 2</w:t>
      </w:r>
      <w:r w:rsidR="00D63208" w:rsidRPr="001B3568">
        <w:rPr>
          <w:rFonts w:eastAsia="Times New Roman"/>
          <w:color w:val="auto"/>
        </w:rPr>
        <w:t>018</w:t>
      </w:r>
      <w:r w:rsidR="00791F53">
        <w:rPr>
          <w:rFonts w:eastAsia="Times New Roman"/>
          <w:color w:val="auto"/>
        </w:rPr>
        <w:noBreakHyphen/>
      </w:r>
      <w:r w:rsidR="00D63208" w:rsidRPr="001B3568">
        <w:rPr>
          <w:rFonts w:eastAsia="Times New Roman"/>
          <w:color w:val="auto"/>
        </w:rPr>
        <w:t>19</w:t>
      </w:r>
      <w:r w:rsidR="00791F53">
        <w:rPr>
          <w:rFonts w:eastAsia="Times New Roman"/>
          <w:color w:val="auto"/>
        </w:rPr>
        <w:t xml:space="preserve">. These activities </w:t>
      </w:r>
      <w:r w:rsidR="00606CB5">
        <w:rPr>
          <w:rFonts w:eastAsia="Times New Roman"/>
          <w:color w:val="auto"/>
        </w:rPr>
        <w:t>includ</w:t>
      </w:r>
      <w:r w:rsidR="00791F53">
        <w:rPr>
          <w:rFonts w:eastAsia="Times New Roman"/>
          <w:color w:val="auto"/>
        </w:rPr>
        <w:t>e</w:t>
      </w:r>
      <w:r w:rsidR="00606CB5">
        <w:rPr>
          <w:rFonts w:eastAsia="Times New Roman"/>
          <w:color w:val="auto"/>
        </w:rPr>
        <w:t>:</w:t>
      </w:r>
    </w:p>
    <w:p w14:paraId="09B4FEDB" w14:textId="5DB35FBC" w:rsidR="00E51195" w:rsidRPr="00E51195" w:rsidRDefault="00E51195" w:rsidP="00E51195">
      <w:pPr>
        <w:pStyle w:val="ListParagraph"/>
        <w:numPr>
          <w:ilvl w:val="0"/>
          <w:numId w:val="42"/>
        </w:numPr>
        <w:spacing w:line="240" w:lineRule="auto"/>
        <w:rPr>
          <w:rFonts w:eastAsia="Times New Roman"/>
          <w:color w:val="auto"/>
        </w:rPr>
      </w:pPr>
      <w:r>
        <w:rPr>
          <w:rFonts w:eastAsia="Times New Roman"/>
          <w:color w:val="auto"/>
        </w:rPr>
        <w:t xml:space="preserve">strengthening  the gender equality components of </w:t>
      </w:r>
      <w:r w:rsidRPr="000D787E">
        <w:rPr>
          <w:rFonts w:eastAsia="Times New Roman"/>
          <w:color w:val="auto"/>
        </w:rPr>
        <w:t>school curricul</w:t>
      </w:r>
      <w:r>
        <w:rPr>
          <w:rFonts w:eastAsia="Times New Roman"/>
          <w:color w:val="auto"/>
        </w:rPr>
        <w:t>a,</w:t>
      </w:r>
      <w:r w:rsidRPr="000D787E">
        <w:rPr>
          <w:rFonts w:eastAsia="Times New Roman"/>
          <w:color w:val="auto"/>
        </w:rPr>
        <w:t xml:space="preserve"> teaching materials</w:t>
      </w:r>
      <w:r>
        <w:rPr>
          <w:rFonts w:eastAsia="Times New Roman"/>
          <w:color w:val="auto"/>
        </w:rPr>
        <w:t xml:space="preserve"> and </w:t>
      </w:r>
      <w:r w:rsidRPr="00AB1782">
        <w:rPr>
          <w:rFonts w:eastAsia="Times New Roman"/>
          <w:color w:val="auto"/>
        </w:rPr>
        <w:t>teachers</w:t>
      </w:r>
      <w:r>
        <w:rPr>
          <w:rFonts w:eastAsia="Times New Roman"/>
          <w:color w:val="auto"/>
        </w:rPr>
        <w:t>’</w:t>
      </w:r>
      <w:r w:rsidRPr="00AB1782">
        <w:rPr>
          <w:rFonts w:eastAsia="Times New Roman"/>
          <w:color w:val="auto"/>
        </w:rPr>
        <w:t xml:space="preserve"> professional development</w:t>
      </w:r>
      <w:r w:rsidR="00B1585C">
        <w:rPr>
          <w:rFonts w:eastAsia="Times New Roman"/>
          <w:color w:val="auto"/>
        </w:rPr>
        <w:t xml:space="preserve">, </w:t>
      </w:r>
      <w:r>
        <w:rPr>
          <w:rFonts w:eastAsia="Times New Roman"/>
          <w:color w:val="auto"/>
        </w:rPr>
        <w:t>and improving t</w:t>
      </w:r>
      <w:r w:rsidRPr="00E51195">
        <w:rPr>
          <w:rFonts w:eastAsia="Times New Roman"/>
          <w:color w:val="auto"/>
        </w:rPr>
        <w:t xml:space="preserve">he safety and accessibility of school infrastructure for girls under the </w:t>
      </w:r>
      <w:r w:rsidRPr="001B3568">
        <w:rPr>
          <w:rFonts w:eastAsia="Times New Roman"/>
          <w:i/>
          <w:color w:val="auto"/>
        </w:rPr>
        <w:t>Kiribati Education Improvement Program</w:t>
      </w:r>
      <w:r w:rsidR="00884E07" w:rsidRPr="00884E07">
        <w:rPr>
          <w:rFonts w:eastAsia="Times New Roman"/>
          <w:color w:val="auto"/>
        </w:rPr>
        <w:t>; and</w:t>
      </w:r>
    </w:p>
    <w:p w14:paraId="44B34CA2" w14:textId="4EF6A7D1" w:rsidR="00544E5D" w:rsidRPr="00093306" w:rsidRDefault="00C63B75" w:rsidP="001B3568">
      <w:pPr>
        <w:pStyle w:val="ListParagraph"/>
        <w:numPr>
          <w:ilvl w:val="0"/>
          <w:numId w:val="42"/>
        </w:numPr>
        <w:spacing w:line="240" w:lineRule="auto"/>
      </w:pPr>
      <w:r w:rsidRPr="00884E07">
        <w:rPr>
          <w:rFonts w:eastAsia="Times New Roman"/>
          <w:color w:val="auto"/>
        </w:rPr>
        <w:t>increasing women’s participation in traditional and non-traditional trades</w:t>
      </w:r>
      <w:r w:rsidR="00884E07" w:rsidRPr="00884E07">
        <w:rPr>
          <w:rFonts w:eastAsia="Times New Roman"/>
          <w:color w:val="auto"/>
        </w:rPr>
        <w:t xml:space="preserve"> and ensuring KIT’s infrastructure i</w:t>
      </w:r>
      <w:r w:rsidR="00F966FB">
        <w:rPr>
          <w:rFonts w:eastAsia="Times New Roman"/>
          <w:color w:val="auto"/>
        </w:rPr>
        <w:t>s</w:t>
      </w:r>
      <w:r w:rsidR="00884E07" w:rsidRPr="00884E07">
        <w:rPr>
          <w:rFonts w:eastAsia="Times New Roman"/>
          <w:color w:val="auto"/>
        </w:rPr>
        <w:t xml:space="preserve"> </w:t>
      </w:r>
      <w:r w:rsidR="006879BF" w:rsidRPr="00884E07">
        <w:rPr>
          <w:rFonts w:eastAsia="Times New Roman"/>
          <w:color w:val="auto"/>
        </w:rPr>
        <w:t>gender</w:t>
      </w:r>
      <w:r w:rsidR="00884E07" w:rsidRPr="00884E07">
        <w:rPr>
          <w:rFonts w:eastAsia="Times New Roman"/>
          <w:color w:val="auto"/>
        </w:rPr>
        <w:t xml:space="preserve"> </w:t>
      </w:r>
      <w:r w:rsidR="00884E07">
        <w:rPr>
          <w:rFonts w:eastAsia="Times New Roman"/>
          <w:color w:val="auto"/>
        </w:rPr>
        <w:t>and d</w:t>
      </w:r>
      <w:r w:rsidR="006879BF" w:rsidRPr="00884E07">
        <w:rPr>
          <w:rFonts w:eastAsia="Times New Roman"/>
          <w:color w:val="auto"/>
        </w:rPr>
        <w:t>isability</w:t>
      </w:r>
      <w:r w:rsidR="00F966FB">
        <w:rPr>
          <w:rFonts w:eastAsia="Times New Roman"/>
          <w:color w:val="auto"/>
        </w:rPr>
        <w:t>-</w:t>
      </w:r>
      <w:r w:rsidR="006879BF" w:rsidRPr="00884E07">
        <w:rPr>
          <w:rFonts w:eastAsia="Times New Roman"/>
          <w:color w:val="auto"/>
        </w:rPr>
        <w:t xml:space="preserve">inclusive </w:t>
      </w:r>
      <w:r w:rsidR="00884E07" w:rsidRPr="00884E07">
        <w:rPr>
          <w:rFonts w:eastAsia="Times New Roman"/>
          <w:color w:val="auto"/>
        </w:rPr>
        <w:t xml:space="preserve">under the </w:t>
      </w:r>
      <w:r w:rsidR="00E51195" w:rsidRPr="001B3568">
        <w:rPr>
          <w:rFonts w:eastAsia="Times New Roman"/>
          <w:i/>
          <w:color w:val="auto"/>
        </w:rPr>
        <w:t>Skills for Employment Program</w:t>
      </w:r>
      <w:r w:rsidR="00884E07">
        <w:t>.</w:t>
      </w:r>
      <w:r w:rsidR="00E51195" w:rsidRPr="001B3568">
        <w:rPr>
          <w:i/>
        </w:rPr>
        <w:t xml:space="preserve"> </w:t>
      </w:r>
    </w:p>
    <w:p w14:paraId="0B92EF2C" w14:textId="4CE44AB3" w:rsidR="00544E5D" w:rsidRPr="00AB1782" w:rsidRDefault="00544E5D" w:rsidP="00D647E4">
      <w:pPr>
        <w:spacing w:line="240" w:lineRule="auto"/>
        <w:rPr>
          <w:rFonts w:eastAsia="Times New Roman"/>
          <w:color w:val="auto"/>
        </w:rPr>
      </w:pPr>
      <w:r w:rsidRPr="00093306">
        <w:rPr>
          <w:rFonts w:eastAsia="Times New Roman"/>
          <w:color w:val="auto"/>
        </w:rPr>
        <w:lastRenderedPageBreak/>
        <w:t>No independent evaluations of Australia’s inve</w:t>
      </w:r>
      <w:r w:rsidR="00D647E4" w:rsidRPr="000D787E">
        <w:rPr>
          <w:rFonts w:eastAsia="Times New Roman"/>
          <w:color w:val="auto"/>
        </w:rPr>
        <w:t>st</w:t>
      </w:r>
      <w:r w:rsidRPr="000D787E">
        <w:rPr>
          <w:rFonts w:eastAsia="Times New Roman"/>
          <w:color w:val="auto"/>
        </w:rPr>
        <w:t xml:space="preserve">ments to Kiribati were undertaken in 2017-18. Independent evaluations of both the </w:t>
      </w:r>
      <w:r w:rsidRPr="00AB1782">
        <w:rPr>
          <w:rFonts w:eastAsia="Times New Roman"/>
          <w:i/>
          <w:color w:val="auto"/>
        </w:rPr>
        <w:t>Kiribati Education Improvement Program Phase III</w:t>
      </w:r>
      <w:r w:rsidRPr="00AB1782">
        <w:rPr>
          <w:rFonts w:eastAsia="Times New Roman"/>
          <w:color w:val="auto"/>
        </w:rPr>
        <w:t xml:space="preserve"> and the </w:t>
      </w:r>
      <w:r w:rsidRPr="00AB1782">
        <w:rPr>
          <w:rFonts w:eastAsia="Times New Roman"/>
          <w:i/>
          <w:color w:val="auto"/>
        </w:rPr>
        <w:t>Kiribati Facility</w:t>
      </w:r>
      <w:r w:rsidRPr="00AB1782">
        <w:rPr>
          <w:rFonts w:eastAsia="Times New Roman"/>
          <w:color w:val="auto"/>
        </w:rPr>
        <w:t xml:space="preserve"> will be undertaken in 2018-19.</w:t>
      </w:r>
    </w:p>
    <w:p w14:paraId="036DFD20" w14:textId="77777777" w:rsidR="005B5769" w:rsidRPr="0009330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93306">
        <w:rPr>
          <w:rFonts w:asciiTheme="majorHAnsi" w:eastAsiaTheme="majorEastAsia" w:hAnsiTheme="majorHAnsi" w:cstheme="majorBidi"/>
          <w:caps/>
          <w:color w:val="495965" w:themeColor="text2"/>
          <w:sz w:val="38"/>
          <w:szCs w:val="26"/>
          <w:lang w:val="en-GB" w:eastAsia="en-US"/>
        </w:rPr>
        <w:t xml:space="preserve">Management </w:t>
      </w:r>
      <w:r w:rsidR="00E65105" w:rsidRPr="00093306">
        <w:rPr>
          <w:rFonts w:asciiTheme="majorHAnsi" w:eastAsiaTheme="majorEastAsia" w:hAnsiTheme="majorHAnsi" w:cstheme="majorBidi"/>
          <w:caps/>
          <w:color w:val="495965" w:themeColor="text2"/>
          <w:sz w:val="38"/>
          <w:szCs w:val="26"/>
          <w:lang w:val="en-GB" w:eastAsia="en-US"/>
        </w:rPr>
        <w:t>actions</w:t>
      </w:r>
    </w:p>
    <w:p w14:paraId="2D946DF2" w14:textId="595D3B38" w:rsidR="00EA3F43" w:rsidRPr="00093306" w:rsidRDefault="00884E07" w:rsidP="00EA3F43">
      <w:pPr>
        <w:rPr>
          <w:color w:val="auto"/>
        </w:rPr>
      </w:pPr>
      <w:r>
        <w:rPr>
          <w:color w:val="auto"/>
        </w:rPr>
        <w:t xml:space="preserve">To increase the effectiveness of Australian aid to Kiribati, Australia will take the following management actions in </w:t>
      </w:r>
      <w:r w:rsidR="00EA3F43" w:rsidRPr="00093306">
        <w:rPr>
          <w:color w:val="auto"/>
        </w:rPr>
        <w:t>2018-19:</w:t>
      </w:r>
    </w:p>
    <w:p w14:paraId="770FBEC2" w14:textId="5BDF2732" w:rsidR="00664F80" w:rsidRPr="00093306" w:rsidRDefault="008129F9" w:rsidP="00E920C9">
      <w:pPr>
        <w:pStyle w:val="ListParagraph"/>
        <w:numPr>
          <w:ilvl w:val="0"/>
          <w:numId w:val="38"/>
        </w:numPr>
        <w:ind w:left="360"/>
        <w:rPr>
          <w:rFonts w:eastAsia="Times New Roman"/>
          <w:color w:val="auto"/>
        </w:rPr>
      </w:pPr>
      <w:r w:rsidRPr="00093306">
        <w:rPr>
          <w:rFonts w:eastAsia="Times New Roman"/>
          <w:color w:val="auto"/>
        </w:rPr>
        <w:t xml:space="preserve">maintain regular, open dialogue on the macroeconomic policy framework and risks to Kiribati’s future fiscal sustainability with the Kiribati Economic Taskforce. </w:t>
      </w:r>
      <w:r w:rsidR="00EA3F43" w:rsidRPr="00093306">
        <w:rPr>
          <w:rFonts w:eastAsia="Times New Roman"/>
          <w:color w:val="auto"/>
        </w:rPr>
        <w:t xml:space="preserve"> </w:t>
      </w:r>
    </w:p>
    <w:p w14:paraId="7A648E2A" w14:textId="16D6DA27" w:rsidR="006045E0" w:rsidRPr="00093306" w:rsidRDefault="00D8123A" w:rsidP="006045E0">
      <w:pPr>
        <w:pStyle w:val="ListParagraph"/>
        <w:numPr>
          <w:ilvl w:val="0"/>
          <w:numId w:val="39"/>
        </w:numPr>
        <w:suppressAutoHyphens w:val="0"/>
        <w:spacing w:before="0" w:after="0" w:line="240" w:lineRule="auto"/>
        <w:ind w:left="357" w:hanging="357"/>
        <w:contextualSpacing w:val="0"/>
        <w:rPr>
          <w:rFonts w:eastAsia="SimSun"/>
          <w:color w:val="auto"/>
        </w:rPr>
      </w:pPr>
      <w:r w:rsidRPr="00093306">
        <w:rPr>
          <w:rFonts w:eastAsia="Times New Roman"/>
          <w:color w:val="auto"/>
        </w:rPr>
        <w:t>monitor the Ministry of Education’s effectiveness in maintaining school facilities</w:t>
      </w:r>
      <w:r w:rsidR="006045E0" w:rsidRPr="00093306">
        <w:rPr>
          <w:rFonts w:eastAsia="Times New Roman"/>
          <w:color w:val="auto"/>
        </w:rPr>
        <w:t xml:space="preserve"> following a survey to assess and prioritise maintenance requirements.  </w:t>
      </w:r>
    </w:p>
    <w:p w14:paraId="321603ED" w14:textId="77777777" w:rsidR="00664F80" w:rsidRPr="00093306" w:rsidRDefault="00664F80" w:rsidP="00F86D1B">
      <w:pPr>
        <w:pStyle w:val="ListParagraph"/>
        <w:numPr>
          <w:ilvl w:val="0"/>
          <w:numId w:val="38"/>
        </w:numPr>
        <w:ind w:left="360"/>
        <w:rPr>
          <w:color w:val="auto"/>
        </w:rPr>
      </w:pPr>
      <w:r w:rsidRPr="00093306">
        <w:rPr>
          <w:rFonts w:eastAsia="Times New Roman"/>
          <w:color w:val="auto"/>
        </w:rPr>
        <w:t>evaluate</w:t>
      </w:r>
      <w:r w:rsidR="00E724AC" w:rsidRPr="00093306">
        <w:rPr>
          <w:rFonts w:eastAsia="Times New Roman"/>
          <w:color w:val="auto"/>
        </w:rPr>
        <w:t xml:space="preserve"> the </w:t>
      </w:r>
      <w:r w:rsidRPr="00093306">
        <w:rPr>
          <w:rFonts w:eastAsia="Times New Roman"/>
          <w:color w:val="auto"/>
        </w:rPr>
        <w:t>results of the 2018</w:t>
      </w:r>
      <w:r w:rsidR="00E724AC" w:rsidRPr="00093306">
        <w:rPr>
          <w:rFonts w:eastAsia="Times New Roman"/>
          <w:color w:val="auto"/>
        </w:rPr>
        <w:t xml:space="preserve"> Pacific Islands Literacy and Numeracy Assessment</w:t>
      </w:r>
      <w:r w:rsidRPr="00093306">
        <w:rPr>
          <w:rFonts w:eastAsia="Times New Roman"/>
          <w:color w:val="auto"/>
        </w:rPr>
        <w:t xml:space="preserve">, </w:t>
      </w:r>
      <w:r w:rsidR="00E724AC" w:rsidRPr="00093306">
        <w:rPr>
          <w:rFonts w:eastAsia="Times New Roman"/>
          <w:color w:val="auto"/>
        </w:rPr>
        <w:t>along with national</w:t>
      </w:r>
      <w:r w:rsidR="00E724AC" w:rsidRPr="00093306">
        <w:rPr>
          <w:color w:val="auto"/>
        </w:rPr>
        <w:t xml:space="preserve"> literacy and numeracy tests,</w:t>
      </w:r>
      <w:r w:rsidRPr="00093306">
        <w:rPr>
          <w:color w:val="auto"/>
        </w:rPr>
        <w:t xml:space="preserve"> to </w:t>
      </w:r>
      <w:r w:rsidR="00C302A3" w:rsidRPr="00093306">
        <w:rPr>
          <w:color w:val="auto"/>
        </w:rPr>
        <w:t xml:space="preserve">help inform the </w:t>
      </w:r>
      <w:r w:rsidR="00EA3F43" w:rsidRPr="00093306">
        <w:rPr>
          <w:color w:val="auto"/>
        </w:rPr>
        <w:t xml:space="preserve">extent </w:t>
      </w:r>
      <w:r w:rsidR="00C302A3" w:rsidRPr="00093306">
        <w:rPr>
          <w:color w:val="auto"/>
        </w:rPr>
        <w:t xml:space="preserve">to which Australia’s investments in primary and secondary education are improving learning outcomes. </w:t>
      </w:r>
    </w:p>
    <w:p w14:paraId="11A160DC" w14:textId="1185AE5A" w:rsidR="00664F80" w:rsidRPr="00093306" w:rsidRDefault="00664F80" w:rsidP="00F86D1B">
      <w:pPr>
        <w:pStyle w:val="ListParagraph"/>
        <w:numPr>
          <w:ilvl w:val="0"/>
          <w:numId w:val="38"/>
        </w:numPr>
        <w:ind w:left="360"/>
        <w:rPr>
          <w:color w:val="auto"/>
        </w:rPr>
      </w:pPr>
      <w:r w:rsidRPr="00093306">
        <w:rPr>
          <w:color w:val="auto"/>
        </w:rPr>
        <w:t xml:space="preserve">work with the Government of Kiribati to develop a plan to expand </w:t>
      </w:r>
      <w:r w:rsidR="005E5A60" w:rsidRPr="00093306">
        <w:rPr>
          <w:color w:val="auto"/>
        </w:rPr>
        <w:t>KIT</w:t>
      </w:r>
      <w:r w:rsidRPr="00093306">
        <w:rPr>
          <w:color w:val="auto"/>
        </w:rPr>
        <w:t>’s facilities.</w:t>
      </w:r>
    </w:p>
    <w:p w14:paraId="770D8F84" w14:textId="0EF38A6E" w:rsidR="00D91E9C" w:rsidRPr="00093306" w:rsidRDefault="00D91E9C" w:rsidP="00D91E9C">
      <w:pPr>
        <w:pStyle w:val="ListParagraph"/>
        <w:numPr>
          <w:ilvl w:val="0"/>
          <w:numId w:val="38"/>
        </w:numPr>
        <w:ind w:left="360"/>
        <w:rPr>
          <w:color w:val="auto"/>
        </w:rPr>
      </w:pPr>
      <w:r w:rsidRPr="00093306">
        <w:rPr>
          <w:color w:val="auto"/>
        </w:rPr>
        <w:t xml:space="preserve">monitor the implementation of actions to improve the gender ratings across key priority investments including the </w:t>
      </w:r>
      <w:r w:rsidRPr="00093306">
        <w:rPr>
          <w:i/>
          <w:color w:val="auto"/>
        </w:rPr>
        <w:t>Kiribati Education Improvement Program</w:t>
      </w:r>
      <w:r w:rsidRPr="00093306">
        <w:rPr>
          <w:color w:val="auto"/>
        </w:rPr>
        <w:t xml:space="preserve">, the </w:t>
      </w:r>
      <w:r w:rsidRPr="00093306">
        <w:rPr>
          <w:i/>
          <w:color w:val="auto"/>
        </w:rPr>
        <w:t xml:space="preserve">Skills for Employment Program </w:t>
      </w:r>
      <w:r w:rsidR="006045E0" w:rsidRPr="00093306">
        <w:rPr>
          <w:color w:val="auto"/>
        </w:rPr>
        <w:t xml:space="preserve">and the </w:t>
      </w:r>
      <w:r w:rsidR="006045E0" w:rsidRPr="00093306">
        <w:rPr>
          <w:i/>
          <w:color w:val="auto"/>
        </w:rPr>
        <w:t>Kiribati Health</w:t>
      </w:r>
      <w:r w:rsidRPr="00093306">
        <w:rPr>
          <w:i/>
          <w:color w:val="auto"/>
        </w:rPr>
        <w:t xml:space="preserve"> Program</w:t>
      </w:r>
      <w:r w:rsidR="006045E0" w:rsidRPr="00093306">
        <w:rPr>
          <w:color w:val="auto"/>
        </w:rPr>
        <w:t>.</w:t>
      </w:r>
      <w:r w:rsidRPr="00093306">
        <w:rPr>
          <w:color w:val="auto"/>
        </w:rPr>
        <w:t xml:space="preserve"> </w:t>
      </w:r>
    </w:p>
    <w:p w14:paraId="5E47B29D" w14:textId="77777777" w:rsidR="00015316" w:rsidRPr="00093306" w:rsidRDefault="00015316" w:rsidP="005B5769">
      <w:pPr>
        <w:pStyle w:val="ListBullet"/>
        <w:tabs>
          <w:tab w:val="clear" w:pos="284"/>
        </w:tabs>
      </w:pPr>
    </w:p>
    <w:p w14:paraId="7F9C0E05" w14:textId="77777777" w:rsidR="00015316" w:rsidRPr="00093306" w:rsidRDefault="00015316" w:rsidP="005B5769">
      <w:pPr>
        <w:pStyle w:val="ListBullet"/>
        <w:tabs>
          <w:tab w:val="clear" w:pos="284"/>
        </w:tabs>
      </w:pPr>
    </w:p>
    <w:p w14:paraId="20D2BF9E" w14:textId="77777777" w:rsidR="00D00802" w:rsidRPr="00093306" w:rsidRDefault="00D00802" w:rsidP="005B5769">
      <w:pPr>
        <w:pStyle w:val="ListBullet"/>
        <w:tabs>
          <w:tab w:val="clear" w:pos="284"/>
        </w:tabs>
        <w:sectPr w:rsidR="00D00802" w:rsidRPr="00093306" w:rsidSect="00D2653F">
          <w:headerReference w:type="default" r:id="rId23"/>
          <w:footerReference w:type="default" r:id="rId24"/>
          <w:pgSz w:w="11906" w:h="16838" w:code="9"/>
          <w:pgMar w:top="1811" w:right="1134" w:bottom="851" w:left="1134" w:header="1565" w:footer="342" w:gutter="0"/>
          <w:cols w:space="397"/>
          <w:docGrid w:linePitch="360"/>
        </w:sectPr>
      </w:pPr>
    </w:p>
    <w:p w14:paraId="500DD628" w14:textId="77777777" w:rsidR="00015316" w:rsidRPr="00093306" w:rsidRDefault="00015316" w:rsidP="005B5769">
      <w:pPr>
        <w:pStyle w:val="ListBullet"/>
        <w:tabs>
          <w:tab w:val="clear" w:pos="284"/>
        </w:tabs>
      </w:pPr>
    </w:p>
    <w:p w14:paraId="3DDD9A7E" w14:textId="77777777" w:rsidR="00756526" w:rsidRPr="00093306" w:rsidRDefault="00756526" w:rsidP="00756526">
      <w:pPr>
        <w:pStyle w:val="Subtitle"/>
      </w:pPr>
      <w:r w:rsidRPr="00093306">
        <w:t>Annex A - Progress in Addressing Management Responses</w:t>
      </w:r>
    </w:p>
    <w:p w14:paraId="797CA511" w14:textId="77777777" w:rsidR="00756526" w:rsidRPr="00093306" w:rsidRDefault="00756526" w:rsidP="00756526">
      <w:r w:rsidRPr="00093306">
        <w:t>Describe progress made against management responses in 2016-17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756526" w:rsidRPr="00093306" w14:paraId="3F784ECF" w14:textId="77777777" w:rsidTr="00756526">
        <w:trPr>
          <w:cnfStyle w:val="000000010000" w:firstRow="0" w:lastRow="0" w:firstColumn="0" w:lastColumn="0" w:oddVBand="0" w:evenVBand="0" w:oddHBand="0" w:evenHBand="1" w:firstRowFirstColumn="0" w:firstRowLastColumn="0" w:lastRowFirstColumn="0" w:lastRowLastColumn="0"/>
        </w:trPr>
        <w:tc>
          <w:tcPr>
            <w:tcW w:w="6284" w:type="dxa"/>
          </w:tcPr>
          <w:p w14:paraId="3DD58073"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Management responses identified in 2016-17 APPR</w:t>
            </w:r>
            <w:r w:rsidRPr="00093306">
              <w:rPr>
                <w:rFonts w:eastAsia="Times New Roman"/>
                <w:b/>
                <w:iCs/>
                <w:szCs w:val="17"/>
              </w:rPr>
              <w:tab/>
            </w:r>
          </w:p>
        </w:tc>
        <w:tc>
          <w:tcPr>
            <w:tcW w:w="1151" w:type="dxa"/>
          </w:tcPr>
          <w:p w14:paraId="42AD9E9C" w14:textId="77777777" w:rsidR="00756526" w:rsidRPr="00093306" w:rsidRDefault="00756526" w:rsidP="00756526">
            <w:pPr>
              <w:keepLines/>
              <w:spacing w:before="80" w:after="80" w:line="200" w:lineRule="atLeast"/>
              <w:jc w:val="center"/>
              <w:rPr>
                <w:rFonts w:asciiTheme="minorHAnsi" w:eastAsia="Times New Roman" w:hAnsiTheme="minorHAnsi"/>
                <w:b/>
                <w:iCs/>
                <w:szCs w:val="17"/>
                <w:lang w:eastAsia="en-US"/>
              </w:rPr>
            </w:pPr>
            <w:r w:rsidRPr="00093306">
              <w:rPr>
                <w:rFonts w:eastAsia="Times New Roman"/>
                <w:b/>
                <w:iCs/>
                <w:szCs w:val="17"/>
              </w:rPr>
              <w:t>Rating</w:t>
            </w:r>
          </w:p>
        </w:tc>
        <w:tc>
          <w:tcPr>
            <w:tcW w:w="6696" w:type="dxa"/>
          </w:tcPr>
          <w:p w14:paraId="19AA908E" w14:textId="77777777" w:rsidR="00756526" w:rsidRPr="00093306" w:rsidRDefault="00756526" w:rsidP="00756526">
            <w:pPr>
              <w:keepLines/>
              <w:spacing w:before="80" w:after="80" w:line="200" w:lineRule="atLeast"/>
              <w:jc w:val="center"/>
              <w:rPr>
                <w:rFonts w:asciiTheme="minorHAnsi" w:eastAsia="Times New Roman" w:hAnsiTheme="minorHAnsi"/>
                <w:b/>
                <w:iCs/>
                <w:szCs w:val="17"/>
                <w:lang w:eastAsia="en-US"/>
              </w:rPr>
            </w:pPr>
            <w:r w:rsidRPr="00093306">
              <w:rPr>
                <w:rFonts w:eastAsia="Times New Roman"/>
                <w:b/>
                <w:iCs/>
                <w:szCs w:val="17"/>
              </w:rPr>
              <w:t>Progress made  in 2017-18</w:t>
            </w:r>
          </w:p>
        </w:tc>
      </w:tr>
      <w:tr w:rsidR="00756526" w:rsidRPr="00093306" w14:paraId="2FB24424" w14:textId="77777777" w:rsidTr="00756526">
        <w:trPr>
          <w:cnfStyle w:val="000000010000" w:firstRow="0" w:lastRow="0" w:firstColumn="0" w:lastColumn="0" w:oddVBand="0" w:evenVBand="0" w:oddHBand="0" w:evenHBand="1" w:firstRowFirstColumn="0" w:firstRowLastColumn="0" w:lastRowFirstColumn="0" w:lastRowLastColumn="0"/>
        </w:trPr>
        <w:tc>
          <w:tcPr>
            <w:tcW w:w="6284" w:type="dxa"/>
          </w:tcPr>
          <w:p w14:paraId="05743006"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Australia will support the Kiribati Ministry of Education to better identify maintenance and repair priorities for school infrastructure across Kiribati</w:t>
            </w:r>
          </w:p>
          <w:p w14:paraId="5562FAF8" w14:textId="77777777" w:rsidR="00756526" w:rsidRPr="00093306" w:rsidRDefault="00756526" w:rsidP="00756526">
            <w:pPr>
              <w:keepLines/>
              <w:suppressAutoHyphens w:val="0"/>
              <w:spacing w:before="40" w:after="40" w:line="200" w:lineRule="atLeast"/>
              <w:rPr>
                <w:rFonts w:asciiTheme="minorHAnsi" w:eastAsia="Times New Roman" w:hAnsiTheme="minorHAnsi"/>
                <w:iCs/>
                <w:szCs w:val="17"/>
                <w:lang w:eastAsia="en-US"/>
              </w:rPr>
            </w:pPr>
          </w:p>
        </w:tc>
        <w:tc>
          <w:tcPr>
            <w:tcW w:w="1151" w:type="dxa"/>
            <w:shd w:val="clear" w:color="auto" w:fill="72AF2F"/>
          </w:tcPr>
          <w:p w14:paraId="5142DD0D"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Achieved</w:t>
            </w:r>
          </w:p>
        </w:tc>
        <w:tc>
          <w:tcPr>
            <w:tcW w:w="6696" w:type="dxa"/>
          </w:tcPr>
          <w:p w14:paraId="0D271737"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The </w:t>
            </w:r>
            <w:r w:rsidRPr="008B4E23">
              <w:rPr>
                <w:rFonts w:eastAsia="Times New Roman"/>
                <w:i/>
                <w:iCs/>
                <w:szCs w:val="17"/>
              </w:rPr>
              <w:t>Kiribati Education Improvement Program</w:t>
            </w:r>
            <w:r w:rsidRPr="00093306">
              <w:rPr>
                <w:rFonts w:eastAsia="Times New Roman"/>
                <w:iCs/>
                <w:szCs w:val="17"/>
              </w:rPr>
              <w:t xml:space="preserve"> has worked with the Ministry of Education to undertake a maintenance survey of 28 schools across nine islands, representing approximately 30 per cent of all Ministry of Education schools in Kiribati. This survey provides an evidence-base to assess and prioritise maintenance requirements, and enable a planned maintenance approach.</w:t>
            </w:r>
          </w:p>
        </w:tc>
      </w:tr>
      <w:tr w:rsidR="00756526" w:rsidRPr="00093306" w14:paraId="3DC48694" w14:textId="77777777" w:rsidTr="00756526">
        <w:trPr>
          <w:cnfStyle w:val="000000010000" w:firstRow="0" w:lastRow="0" w:firstColumn="0" w:lastColumn="0" w:oddVBand="0" w:evenVBand="0" w:oddHBand="0" w:evenHBand="1" w:firstRowFirstColumn="0" w:firstRowLastColumn="0" w:lastRowFirstColumn="0" w:lastRowLastColumn="0"/>
        </w:trPr>
        <w:tc>
          <w:tcPr>
            <w:tcW w:w="6284" w:type="dxa"/>
          </w:tcPr>
          <w:p w14:paraId="64ECE487"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Australia will implement a finalised monitoring and evaluation framework for the Australia Awards scholarship program to support more robust evidence to inform program management and reporting</w:t>
            </w:r>
          </w:p>
          <w:p w14:paraId="6F080BDF"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1151" w:type="dxa"/>
            <w:shd w:val="clear" w:color="auto" w:fill="72AF2F"/>
          </w:tcPr>
          <w:p w14:paraId="22BC5B61"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Achieved</w:t>
            </w:r>
            <w:r w:rsidRPr="001B3568">
              <w:rPr>
                <w:rFonts w:eastAsia="Times New Roman"/>
                <w:iCs/>
                <w:color w:val="FFFFFF" w:themeColor="background1"/>
                <w:szCs w:val="17"/>
              </w:rPr>
              <w:fldChar w:fldCharType="begin"/>
            </w:r>
            <w:r w:rsidRPr="00093306">
              <w:rPr>
                <w:rFonts w:eastAsia="Times New Roman"/>
                <w:iCs/>
                <w:color w:val="FFFFFF" w:themeColor="background1"/>
                <w:szCs w:val="17"/>
              </w:rPr>
              <w:instrText xml:space="preserve"> AUTOTEXTLIST  \s "Rating bullet"\t "Right click to choose a rating" \* MERGEFORMAT </w:instrText>
            </w:r>
            <w:r w:rsidRPr="001B3568">
              <w:rPr>
                <w:rFonts w:eastAsia="Times New Roman"/>
                <w:iCs/>
                <w:color w:val="FFFFFF" w:themeColor="background1"/>
                <w:szCs w:val="17"/>
              </w:rPr>
              <w:fldChar w:fldCharType="end"/>
            </w:r>
          </w:p>
        </w:tc>
        <w:tc>
          <w:tcPr>
            <w:tcW w:w="6696" w:type="dxa"/>
          </w:tcPr>
          <w:p w14:paraId="2F0A6B56" w14:textId="77777777" w:rsidR="00756526" w:rsidRPr="000D787E" w:rsidRDefault="00756526" w:rsidP="00756526">
            <w:pPr>
              <w:keepLines/>
              <w:spacing w:before="40" w:after="40" w:line="200" w:lineRule="atLeast"/>
              <w:rPr>
                <w:rFonts w:asciiTheme="minorHAnsi" w:eastAsia="Times New Roman" w:hAnsiTheme="minorHAnsi"/>
                <w:iCs/>
                <w:szCs w:val="17"/>
                <w:lang w:eastAsia="en-US"/>
              </w:rPr>
            </w:pPr>
            <w:r w:rsidRPr="008B4E23">
              <w:rPr>
                <w:rFonts w:eastAsia="Times New Roman"/>
                <w:iCs/>
                <w:szCs w:val="17"/>
              </w:rPr>
              <w:t>A monitoring and evaluation framework for the Australia Awards scholarship program was finalised and has been applied to inform evidence-based decision making in the 2019 Australia Awards selection process.</w:t>
            </w:r>
          </w:p>
        </w:tc>
      </w:tr>
      <w:tr w:rsidR="00756526" w:rsidRPr="00093306" w14:paraId="2FA0DE4D" w14:textId="77777777" w:rsidTr="00756526">
        <w:trPr>
          <w:cnfStyle w:val="000000010000" w:firstRow="0" w:lastRow="0" w:firstColumn="0" w:lastColumn="0" w:oddVBand="0" w:evenVBand="0" w:oddHBand="0" w:evenHBand="1" w:firstRowFirstColumn="0" w:firstRowLastColumn="0" w:lastRowFirstColumn="0" w:lastRowLastColumn="0"/>
        </w:trPr>
        <w:tc>
          <w:tcPr>
            <w:tcW w:w="6284" w:type="dxa"/>
          </w:tcPr>
          <w:p w14:paraId="376BA86B"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Australia will identify and implement actions that will improve gender equality ratings across all investments.</w:t>
            </w:r>
          </w:p>
          <w:p w14:paraId="3828E3BE"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1151" w:type="dxa"/>
            <w:shd w:val="clear" w:color="auto" w:fill="D47D0A"/>
          </w:tcPr>
          <w:p w14:paraId="13B5C5D2"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Partly achieved</w:t>
            </w:r>
          </w:p>
        </w:tc>
        <w:tc>
          <w:tcPr>
            <w:tcW w:w="6696" w:type="dxa"/>
          </w:tcPr>
          <w:p w14:paraId="3F72BBF1" w14:textId="07748009" w:rsidR="00756526" w:rsidRPr="00093306" w:rsidRDefault="00756526" w:rsidP="008B4E23">
            <w:pPr>
              <w:keepLines/>
              <w:spacing w:before="40" w:after="40" w:line="200" w:lineRule="atLeast"/>
              <w:rPr>
                <w:color w:val="auto"/>
              </w:rPr>
            </w:pPr>
            <w:r w:rsidRPr="00093306">
              <w:rPr>
                <w:rFonts w:eastAsia="Times New Roman"/>
                <w:iCs/>
                <w:szCs w:val="17"/>
              </w:rPr>
              <w:t xml:space="preserve">Progress was made in identifying actions that will improve the gender ratings across key priority investments including the </w:t>
            </w:r>
            <w:r w:rsidRPr="008B4E23">
              <w:rPr>
                <w:rFonts w:eastAsia="Times New Roman"/>
                <w:i/>
                <w:iCs/>
                <w:szCs w:val="17"/>
              </w:rPr>
              <w:t>Kiribati Education Improvement Program,</w:t>
            </w:r>
            <w:r w:rsidRPr="00093306">
              <w:rPr>
                <w:rFonts w:eastAsia="Times New Roman"/>
                <w:iCs/>
                <w:szCs w:val="17"/>
              </w:rPr>
              <w:t xml:space="preserve"> </w:t>
            </w:r>
            <w:r w:rsidRPr="008B4E23">
              <w:rPr>
                <w:rFonts w:eastAsia="Times New Roman"/>
                <w:i/>
                <w:iCs/>
                <w:szCs w:val="17"/>
              </w:rPr>
              <w:t>the Skills for Employment Program</w:t>
            </w:r>
            <w:r w:rsidRPr="00093306">
              <w:rPr>
                <w:rFonts w:eastAsia="Times New Roman"/>
                <w:iCs/>
                <w:szCs w:val="17"/>
              </w:rPr>
              <w:t xml:space="preserve"> and the </w:t>
            </w:r>
            <w:r w:rsidRPr="008B4E23">
              <w:rPr>
                <w:rFonts w:eastAsia="Times New Roman"/>
                <w:i/>
                <w:iCs/>
                <w:szCs w:val="17"/>
              </w:rPr>
              <w:t>Kiribati Health Program</w:t>
            </w:r>
            <w:r w:rsidRPr="00093306">
              <w:rPr>
                <w:rFonts w:eastAsia="Times New Roman"/>
                <w:iCs/>
                <w:szCs w:val="17"/>
              </w:rPr>
              <w:t>. These programs have specific components on gender and disability inclusive developments. However, this has yet to result in improvements in the gender ratings of these investments.</w:t>
            </w:r>
          </w:p>
        </w:tc>
      </w:tr>
    </w:tbl>
    <w:p w14:paraId="497CE9F8"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sz w:val="16"/>
          <w:szCs w:val="14"/>
        </w:rPr>
        <w:t xml:space="preserve">Note: </w:t>
      </w:r>
    </w:p>
    <w:p w14:paraId="58289932"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color w:val="72AF2F"/>
          <w:sz w:val="16"/>
          <w:szCs w:val="14"/>
        </w:rPr>
        <w:sym w:font="Webdings" w:char="F067"/>
      </w:r>
      <w:r w:rsidRPr="00093306">
        <w:rPr>
          <w:rFonts w:eastAsia="Times New Roman"/>
          <w:b/>
          <w:sz w:val="16"/>
          <w:szCs w:val="14"/>
        </w:rPr>
        <w:t> </w:t>
      </w:r>
      <w:r w:rsidRPr="00093306">
        <w:rPr>
          <w:rFonts w:eastAsia="Times New Roman"/>
          <w:b/>
          <w:sz w:val="16"/>
          <w:szCs w:val="14"/>
        </w:rPr>
        <w:t xml:space="preserve"> Achieved.  Significant progress has been made in addressing the issue </w:t>
      </w:r>
    </w:p>
    <w:p w14:paraId="288A05A8"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color w:val="E36C0A"/>
          <w:sz w:val="16"/>
          <w:szCs w:val="14"/>
        </w:rPr>
        <w:sym w:font="Webdings" w:char="F067"/>
      </w:r>
      <w:r w:rsidRPr="00093306">
        <w:rPr>
          <w:rFonts w:eastAsia="Times New Roman"/>
          <w:b/>
          <w:sz w:val="16"/>
          <w:szCs w:val="14"/>
        </w:rPr>
        <w:t> </w:t>
      </w:r>
      <w:r w:rsidRPr="00093306">
        <w:rPr>
          <w:rFonts w:eastAsia="Times New Roman"/>
          <w:b/>
          <w:sz w:val="16"/>
          <w:szCs w:val="14"/>
        </w:rPr>
        <w:t xml:space="preserve"> Partly achieved.  Some progress has been made in addressing the issue, but the issue has not been resolved </w:t>
      </w:r>
    </w:p>
    <w:p w14:paraId="5207C67C"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color w:val="FF0000"/>
          <w:sz w:val="16"/>
          <w:szCs w:val="14"/>
        </w:rPr>
        <w:sym w:font="Webdings" w:char="F067"/>
      </w:r>
      <w:r w:rsidRPr="00093306">
        <w:rPr>
          <w:rFonts w:eastAsia="Times New Roman"/>
          <w:b/>
          <w:sz w:val="16"/>
          <w:szCs w:val="14"/>
        </w:rPr>
        <w:t> </w:t>
      </w:r>
      <w:r w:rsidRPr="00093306">
        <w:rPr>
          <w:rFonts w:eastAsia="Times New Roman"/>
          <w:b/>
          <w:sz w:val="16"/>
          <w:szCs w:val="14"/>
        </w:rPr>
        <w:t xml:space="preserve"> Not achieved. Progress in addressing the issue has been significantly below expectations</w:t>
      </w:r>
    </w:p>
    <w:p w14:paraId="0F5675B1" w14:textId="77777777" w:rsidR="00756526" w:rsidRPr="00093306" w:rsidRDefault="00756526" w:rsidP="00756526">
      <w:pPr>
        <w:pStyle w:val="ListBullet"/>
        <w:tabs>
          <w:tab w:val="clear" w:pos="284"/>
        </w:tabs>
        <w:sectPr w:rsidR="00756526" w:rsidRPr="00093306" w:rsidSect="00D00802">
          <w:headerReference w:type="first" r:id="rId25"/>
          <w:pgSz w:w="16838" w:h="11906" w:orient="landscape" w:code="9"/>
          <w:pgMar w:top="1134" w:right="1952" w:bottom="1134" w:left="851" w:header="1107" w:footer="567" w:gutter="0"/>
          <w:cols w:space="397"/>
          <w:titlePg/>
          <w:docGrid w:linePitch="360"/>
        </w:sectPr>
      </w:pPr>
    </w:p>
    <w:p w14:paraId="02EDB755" w14:textId="77777777" w:rsidR="00756526" w:rsidRPr="00093306" w:rsidRDefault="00756526" w:rsidP="00756526">
      <w:pPr>
        <w:pStyle w:val="Subtitle"/>
        <w:numPr>
          <w:ilvl w:val="0"/>
          <w:numId w:val="0"/>
        </w:numPr>
      </w:pPr>
      <w:r w:rsidRPr="00093306">
        <w:lastRenderedPageBreak/>
        <w:t>Annex B – PERFORMANCE BENCHMARKS</w:t>
      </w:r>
    </w:p>
    <w:p w14:paraId="749EFBE9" w14:textId="77777777" w:rsidR="00756526" w:rsidRPr="00093306" w:rsidRDefault="00756526" w:rsidP="00756526">
      <w:pPr>
        <w:rPr>
          <w:rFonts w:ascii="Franklin Gothic Book" w:eastAsia="Times New Roman" w:hAnsi="Franklin Gothic Book"/>
          <w:b/>
          <w:sz w:val="24"/>
          <w:szCs w:val="24"/>
        </w:rPr>
      </w:pPr>
      <w:r w:rsidRPr="00093306">
        <w:rPr>
          <w:rFonts w:ascii="Franklin Gothic Book" w:eastAsia="Times New Roman" w:hAnsi="Franklin Gothic Book"/>
          <w:b/>
          <w:sz w:val="24"/>
          <w:szCs w:val="24"/>
        </w:rPr>
        <w:t>Progress towards Performance Benchmarks in 2017-18</w:t>
      </w:r>
    </w:p>
    <w:p w14:paraId="12331728" w14:textId="77777777" w:rsidR="00756526" w:rsidRPr="00093306" w:rsidRDefault="00756526" w:rsidP="00756526">
      <w:r w:rsidRPr="00093306">
        <w:rPr>
          <w:rFonts w:ascii="Franklin Gothic Book" w:eastAsia="Times New Roman" w:hAnsi="Franklin Gothic Book"/>
          <w:sz w:val="21"/>
        </w:rPr>
        <w:t>Discussion on progress against specific performance benchmarks in 2017-18 should also be included as part of the text assessing progress against individual program objectives in the main body of the APPR.</w:t>
      </w:r>
    </w:p>
    <w:p w14:paraId="4D0C072A" w14:textId="77777777" w:rsidR="00756526" w:rsidRPr="00093306" w:rsidRDefault="00756526" w:rsidP="00756526"/>
    <w:tbl>
      <w:tblPr>
        <w:tblStyle w:val="DFATTable"/>
        <w:tblW w:w="5000" w:type="pct"/>
        <w:tblLook w:val="04A0" w:firstRow="1" w:lastRow="0" w:firstColumn="1" w:lastColumn="0" w:noHBand="0" w:noVBand="1"/>
      </w:tblPr>
      <w:tblGrid>
        <w:gridCol w:w="2190"/>
        <w:gridCol w:w="2189"/>
        <w:gridCol w:w="1319"/>
        <w:gridCol w:w="8337"/>
      </w:tblGrid>
      <w:tr w:rsidR="00756526" w:rsidRPr="00093306" w14:paraId="55451527" w14:textId="77777777" w:rsidTr="00756526">
        <w:trPr>
          <w:tblHeader/>
        </w:trPr>
        <w:tc>
          <w:tcPr>
            <w:tcW w:w="780" w:type="pct"/>
            <w:tcMar>
              <w:top w:w="57" w:type="dxa"/>
              <w:bottom w:w="57" w:type="dxa"/>
            </w:tcMar>
          </w:tcPr>
          <w:p w14:paraId="617BA17C"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Aid objective</w:t>
            </w:r>
          </w:p>
        </w:tc>
        <w:tc>
          <w:tcPr>
            <w:tcW w:w="780" w:type="pct"/>
          </w:tcPr>
          <w:p w14:paraId="5EEEF9F9"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 xml:space="preserve">Performance Benchmark </w:t>
            </w:r>
          </w:p>
        </w:tc>
        <w:tc>
          <w:tcPr>
            <w:tcW w:w="470" w:type="pct"/>
          </w:tcPr>
          <w:p w14:paraId="10F89CD4" w14:textId="77777777" w:rsidR="00756526" w:rsidRPr="00093306" w:rsidRDefault="00756526" w:rsidP="00756526">
            <w:pPr>
              <w:keepLines/>
              <w:spacing w:before="80" w:after="80" w:line="200" w:lineRule="atLeast"/>
              <w:jc w:val="center"/>
              <w:rPr>
                <w:rFonts w:asciiTheme="minorHAnsi" w:eastAsia="Times New Roman" w:hAnsiTheme="minorHAnsi"/>
                <w:b/>
                <w:iCs/>
                <w:szCs w:val="17"/>
                <w:lang w:eastAsia="en-US"/>
              </w:rPr>
            </w:pPr>
            <w:r w:rsidRPr="00093306">
              <w:rPr>
                <w:rFonts w:eastAsia="Times New Roman"/>
                <w:b/>
                <w:iCs/>
                <w:szCs w:val="17"/>
              </w:rPr>
              <w:t>Rating</w:t>
            </w:r>
          </w:p>
        </w:tc>
        <w:tc>
          <w:tcPr>
            <w:tcW w:w="2970" w:type="pct"/>
          </w:tcPr>
          <w:p w14:paraId="2CA51C8D" w14:textId="77777777" w:rsidR="00756526" w:rsidRPr="00093306" w:rsidRDefault="00756526" w:rsidP="00756526">
            <w:pPr>
              <w:keepLines/>
              <w:spacing w:before="80" w:after="80" w:line="200" w:lineRule="atLeast"/>
              <w:jc w:val="center"/>
              <w:rPr>
                <w:rFonts w:asciiTheme="minorHAnsi" w:eastAsia="Times New Roman" w:hAnsiTheme="minorHAnsi"/>
                <w:b/>
                <w:iCs/>
                <w:szCs w:val="17"/>
                <w:lang w:eastAsia="en-US"/>
              </w:rPr>
            </w:pPr>
            <w:r w:rsidRPr="00093306">
              <w:rPr>
                <w:rFonts w:eastAsia="Times New Roman"/>
                <w:b/>
                <w:iCs/>
                <w:szCs w:val="17"/>
              </w:rPr>
              <w:t>Progress in 2017-18</w:t>
            </w:r>
          </w:p>
        </w:tc>
      </w:tr>
      <w:tr w:rsidR="00756526" w:rsidRPr="00093306" w14:paraId="1C78682E" w14:textId="77777777" w:rsidTr="00756526">
        <w:tc>
          <w:tcPr>
            <w:tcW w:w="780" w:type="pct"/>
            <w:tcMar>
              <w:top w:w="57" w:type="dxa"/>
              <w:bottom w:w="57" w:type="dxa"/>
            </w:tcMar>
          </w:tcPr>
          <w:p w14:paraId="56496164"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780" w:type="pct"/>
          </w:tcPr>
          <w:p w14:paraId="582A2C91"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470" w:type="pct"/>
            <w:shd w:val="clear" w:color="auto" w:fill="auto"/>
          </w:tcPr>
          <w:p w14:paraId="64FC9E73" w14:textId="77777777" w:rsidR="00756526" w:rsidRPr="00093306" w:rsidRDefault="00756526" w:rsidP="00756526">
            <w:pPr>
              <w:keepLines/>
              <w:spacing w:before="40" w:after="40" w:line="200" w:lineRule="atLeast"/>
              <w:rPr>
                <w:rFonts w:asciiTheme="minorHAnsi" w:eastAsia="Times New Roman" w:hAnsiTheme="minorHAnsi"/>
                <w:iCs/>
                <w:color w:val="72AF2F"/>
                <w:szCs w:val="17"/>
                <w:lang w:eastAsia="en-US"/>
              </w:rPr>
            </w:pPr>
          </w:p>
        </w:tc>
        <w:tc>
          <w:tcPr>
            <w:tcW w:w="2970" w:type="pct"/>
          </w:tcPr>
          <w:p w14:paraId="4A579192"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r>
      <w:tr w:rsidR="00756526" w:rsidRPr="00093306" w14:paraId="02A467EF" w14:textId="77777777" w:rsidTr="00E229F5">
        <w:trPr>
          <w:trHeight w:val="921"/>
        </w:trPr>
        <w:tc>
          <w:tcPr>
            <w:tcW w:w="780" w:type="pct"/>
            <w:tcMar>
              <w:top w:w="57" w:type="dxa"/>
              <w:bottom w:w="57" w:type="dxa"/>
            </w:tcMar>
          </w:tcPr>
          <w:p w14:paraId="524173E4"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Objective 1: Implementing economic reforms</w:t>
            </w:r>
          </w:p>
        </w:tc>
        <w:tc>
          <w:tcPr>
            <w:tcW w:w="780" w:type="pct"/>
          </w:tcPr>
          <w:p w14:paraId="3407E119"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Achievement of all prior actions under the Joint Policy Matrix triggers the release of donor funding.</w:t>
            </w:r>
          </w:p>
        </w:tc>
        <w:tc>
          <w:tcPr>
            <w:tcW w:w="470" w:type="pct"/>
            <w:shd w:val="clear" w:color="auto" w:fill="72AF2F"/>
          </w:tcPr>
          <w:p w14:paraId="2D534BCF"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Achieved</w:t>
            </w:r>
          </w:p>
        </w:tc>
        <w:tc>
          <w:tcPr>
            <w:tcW w:w="2970" w:type="pct"/>
            <w:shd w:val="clear" w:color="auto" w:fill="auto"/>
          </w:tcPr>
          <w:p w14:paraId="6F9001DD"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Fourteen of fifteen policy actions (outlined in the Joint Policy Matrix for 2017) were fully achieved and one which is a draft Revenue Equalisation Reserve Fund Strategy has been submitted to Cabinet.</w:t>
            </w:r>
          </w:p>
        </w:tc>
      </w:tr>
      <w:tr w:rsidR="00756526" w:rsidRPr="00093306" w14:paraId="3001D215" w14:textId="77777777" w:rsidTr="00756526">
        <w:tc>
          <w:tcPr>
            <w:tcW w:w="780" w:type="pct"/>
            <w:tcMar>
              <w:top w:w="57" w:type="dxa"/>
              <w:bottom w:w="57" w:type="dxa"/>
            </w:tcMar>
          </w:tcPr>
          <w:p w14:paraId="7833FDFC"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Objective 2: Building a better educated and healthier population</w:t>
            </w:r>
          </w:p>
        </w:tc>
        <w:tc>
          <w:tcPr>
            <w:tcW w:w="780" w:type="pct"/>
          </w:tcPr>
          <w:p w14:paraId="7DA3954C"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80 per cent of permanent / contract teachers complete training in the delivery of new year 7 curriculum. </w:t>
            </w:r>
          </w:p>
        </w:tc>
        <w:tc>
          <w:tcPr>
            <w:tcW w:w="470" w:type="pct"/>
            <w:shd w:val="clear" w:color="auto" w:fill="72AF2F"/>
          </w:tcPr>
          <w:p w14:paraId="07A372FC"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Achieved</w:t>
            </w:r>
          </w:p>
        </w:tc>
        <w:tc>
          <w:tcPr>
            <w:tcW w:w="2970" w:type="pct"/>
          </w:tcPr>
          <w:p w14:paraId="247ED017"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86 per cent of Year 7 teachers (311 out of 363 teachers) have received professional development training on delivering the new Year 7 curriculum. This training focuses on supporting Year 7 teachers to effectively implement the new curriculum and apply productive pedagogies to improve learning outcomes in the classroom. </w:t>
            </w:r>
          </w:p>
        </w:tc>
      </w:tr>
      <w:tr w:rsidR="00756526" w:rsidRPr="00093306" w14:paraId="5AD855ED" w14:textId="77777777" w:rsidTr="00756526">
        <w:tc>
          <w:tcPr>
            <w:tcW w:w="780" w:type="pct"/>
            <w:tcMar>
              <w:top w:w="57" w:type="dxa"/>
              <w:bottom w:w="57" w:type="dxa"/>
            </w:tcMar>
          </w:tcPr>
          <w:p w14:paraId="50E52D4B" w14:textId="77777777" w:rsidR="00756526" w:rsidRPr="00093306" w:rsidRDefault="00756526" w:rsidP="00756526">
            <w:pPr>
              <w:keepLines/>
              <w:spacing w:before="40" w:after="40" w:line="200" w:lineRule="atLeast"/>
              <w:rPr>
                <w:rFonts w:eastAsia="Times New Roman"/>
                <w:iCs/>
                <w:szCs w:val="17"/>
              </w:rPr>
            </w:pPr>
          </w:p>
        </w:tc>
        <w:tc>
          <w:tcPr>
            <w:tcW w:w="780" w:type="pct"/>
          </w:tcPr>
          <w:p w14:paraId="030782E5" w14:textId="77777777" w:rsidR="00756526" w:rsidRPr="00093306" w:rsidRDefault="00756526" w:rsidP="00756526">
            <w:pPr>
              <w:keepLines/>
              <w:spacing w:before="40" w:after="40" w:line="200" w:lineRule="atLeast"/>
              <w:rPr>
                <w:rFonts w:eastAsia="Times New Roman"/>
                <w:iCs/>
                <w:szCs w:val="17"/>
              </w:rPr>
            </w:pPr>
            <w:r w:rsidRPr="00093306">
              <w:rPr>
                <w:rFonts w:eastAsia="Times New Roman"/>
                <w:iCs/>
                <w:szCs w:val="17"/>
              </w:rPr>
              <w:t>1896 children with improved learning spaces, and access for girls and boys including children with a disability to wash facilities.</w:t>
            </w:r>
          </w:p>
        </w:tc>
        <w:tc>
          <w:tcPr>
            <w:tcW w:w="470" w:type="pct"/>
            <w:shd w:val="clear" w:color="auto" w:fill="72AF2F"/>
          </w:tcPr>
          <w:p w14:paraId="52354D34"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rPr>
            </w:pPr>
            <w:r w:rsidRPr="00093306">
              <w:rPr>
                <w:rFonts w:eastAsia="Times New Roman"/>
                <w:iCs/>
                <w:color w:val="FFFFFF" w:themeColor="background1"/>
                <w:szCs w:val="17"/>
              </w:rPr>
              <w:t>Achieved</w:t>
            </w:r>
          </w:p>
        </w:tc>
        <w:tc>
          <w:tcPr>
            <w:tcW w:w="2970" w:type="pct"/>
          </w:tcPr>
          <w:p w14:paraId="61DF9EB4"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Over 2,000 children benefited from improved learning spaces in 2017-18 through the rehabilitation of two primary schools on South Tarawa (Temwanoku and War Memorial primary schools). To date, Australia has supported rehabilitation of 21 primary schools in South Tarawa and in the Gilbert and Line islands. New pre-fabricated kitset buildings, renovated classrooms, ramps to support accessibility and improved WASH facilities and water tanks are provided as part of the work.   </w:t>
            </w:r>
          </w:p>
        </w:tc>
      </w:tr>
      <w:tr w:rsidR="00756526" w:rsidRPr="00093306" w14:paraId="73A85DCA" w14:textId="77777777" w:rsidTr="00756526">
        <w:tc>
          <w:tcPr>
            <w:tcW w:w="780" w:type="pct"/>
            <w:tcMar>
              <w:top w:w="57" w:type="dxa"/>
              <w:bottom w:w="57" w:type="dxa"/>
            </w:tcMar>
          </w:tcPr>
          <w:p w14:paraId="38654C93" w14:textId="77777777" w:rsidR="00756526" w:rsidRPr="00093306" w:rsidRDefault="00756526" w:rsidP="00756526">
            <w:pPr>
              <w:keepLines/>
              <w:spacing w:before="40" w:after="40" w:line="200" w:lineRule="atLeast"/>
              <w:rPr>
                <w:rFonts w:eastAsia="Times New Roman"/>
                <w:iCs/>
                <w:szCs w:val="17"/>
              </w:rPr>
            </w:pPr>
          </w:p>
        </w:tc>
        <w:tc>
          <w:tcPr>
            <w:tcW w:w="780" w:type="pct"/>
          </w:tcPr>
          <w:p w14:paraId="21377753" w14:textId="77777777" w:rsidR="00756526" w:rsidRPr="00093306" w:rsidRDefault="00756526" w:rsidP="00756526">
            <w:pPr>
              <w:keepLines/>
              <w:spacing w:before="40" w:after="40" w:line="200" w:lineRule="atLeast"/>
              <w:rPr>
                <w:rFonts w:asciiTheme="minorHAnsi" w:hAnsiTheme="minorHAnsi"/>
              </w:rPr>
            </w:pPr>
            <w:r w:rsidRPr="00093306">
              <w:t xml:space="preserve">All new trainers at Kiribati Institute of Technology (KIT) will have commenced training to obtain professional qualifications </w:t>
            </w:r>
            <w:r w:rsidRPr="00093306">
              <w:rPr>
                <w:rFonts w:eastAsia="Times New Roman"/>
                <w:iCs/>
                <w:szCs w:val="17"/>
              </w:rPr>
              <w:t xml:space="preserve">for their industry </w:t>
            </w:r>
            <w:r w:rsidRPr="00093306">
              <w:t>within 12 months of starting employment.</w:t>
            </w:r>
          </w:p>
        </w:tc>
        <w:tc>
          <w:tcPr>
            <w:tcW w:w="470" w:type="pct"/>
            <w:shd w:val="clear" w:color="auto" w:fill="D47D0A"/>
          </w:tcPr>
          <w:p w14:paraId="67E96F69" w14:textId="77777777" w:rsidR="00756526" w:rsidRPr="00093306" w:rsidRDefault="00756526" w:rsidP="00756526">
            <w:pPr>
              <w:keepLines/>
              <w:spacing w:before="40" w:after="40" w:line="200" w:lineRule="atLeast"/>
              <w:jc w:val="center"/>
              <w:rPr>
                <w:rFonts w:eastAsia="Times New Roman"/>
                <w:iCs/>
                <w:color w:val="FFFFFF" w:themeColor="background1"/>
                <w:szCs w:val="17"/>
              </w:rPr>
            </w:pPr>
            <w:r w:rsidRPr="00093306">
              <w:rPr>
                <w:rFonts w:eastAsia="Times New Roman"/>
                <w:iCs/>
                <w:color w:val="FFFFFF" w:themeColor="background1"/>
                <w:szCs w:val="17"/>
              </w:rPr>
              <w:t>Partly achieved</w:t>
            </w:r>
          </w:p>
        </w:tc>
        <w:tc>
          <w:tcPr>
            <w:tcW w:w="2970" w:type="pct"/>
          </w:tcPr>
          <w:p w14:paraId="0163FB32" w14:textId="08D8A2FE" w:rsidR="00756526" w:rsidRPr="00093306" w:rsidRDefault="00756526" w:rsidP="00051AB3">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95 percent of KIT lecturers hold the necessary TVET qualification for their industry. All lecturers at KIT either have, or are in the process of obtaining the required qualifications to deliver effective teaching. Twelve lecturers will complete Certificate IV Training and Education in 2018. Sixteen lecturers, eleven of whom are newly appointed staff, will commence their training in the second half of 2018. A professional development program for KIT academic staff has been introduced and includes formal professional training, skills training and ongoing in-house professional development. KIT lecturers have also been participating in the </w:t>
            </w:r>
            <w:r w:rsidRPr="00051AB3">
              <w:rPr>
                <w:rFonts w:eastAsia="Times New Roman"/>
                <w:i/>
                <w:iCs/>
                <w:szCs w:val="17"/>
              </w:rPr>
              <w:t>Teachers Return to Industry Program</w:t>
            </w:r>
            <w:r w:rsidRPr="00093306">
              <w:rPr>
                <w:rFonts w:eastAsia="Times New Roman"/>
                <w:iCs/>
                <w:szCs w:val="17"/>
              </w:rPr>
              <w:t xml:space="preserve"> to ensure the skills and knowledge of KIT lecturers remain current, so they can impart up-to-date information about current industry practices.</w:t>
            </w:r>
          </w:p>
        </w:tc>
      </w:tr>
      <w:tr w:rsidR="00756526" w:rsidRPr="00093306" w14:paraId="62ADA129" w14:textId="77777777" w:rsidTr="00756526">
        <w:tc>
          <w:tcPr>
            <w:tcW w:w="780" w:type="pct"/>
            <w:tcMar>
              <w:top w:w="57" w:type="dxa"/>
              <w:bottom w:w="57" w:type="dxa"/>
            </w:tcMar>
          </w:tcPr>
          <w:p w14:paraId="1D230A2B" w14:textId="77777777" w:rsidR="00756526" w:rsidRPr="00093306" w:rsidRDefault="00756526" w:rsidP="00756526">
            <w:pPr>
              <w:keepLines/>
              <w:spacing w:before="40" w:after="40" w:line="200" w:lineRule="atLeast"/>
              <w:rPr>
                <w:rFonts w:eastAsia="Times New Roman"/>
                <w:iCs/>
                <w:szCs w:val="17"/>
              </w:rPr>
            </w:pPr>
          </w:p>
        </w:tc>
        <w:tc>
          <w:tcPr>
            <w:tcW w:w="780" w:type="pct"/>
          </w:tcPr>
          <w:p w14:paraId="6449D555" w14:textId="77777777" w:rsidR="00756526" w:rsidRPr="00093306" w:rsidRDefault="00756526" w:rsidP="00756526">
            <w:pPr>
              <w:keepLines/>
              <w:spacing w:before="40" w:after="40" w:line="200" w:lineRule="atLeast"/>
              <w:rPr>
                <w:rFonts w:eastAsia="Times New Roman"/>
                <w:iCs/>
                <w:szCs w:val="17"/>
              </w:rPr>
            </w:pPr>
            <w:r w:rsidRPr="00093306">
              <w:rPr>
                <w:rFonts w:eastAsia="Times New Roman"/>
                <w:iCs/>
                <w:szCs w:val="17"/>
              </w:rPr>
              <w:t>Accredited courses (in 2018) at KIT have a female participation rate of 50 per cent and a participation rate of 3 per cent by people with a declared disability.</w:t>
            </w:r>
          </w:p>
        </w:tc>
        <w:tc>
          <w:tcPr>
            <w:tcW w:w="470" w:type="pct"/>
            <w:shd w:val="clear" w:color="auto" w:fill="72AF2F"/>
          </w:tcPr>
          <w:p w14:paraId="7F8A032E"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Achieved</w:t>
            </w:r>
          </w:p>
        </w:tc>
        <w:tc>
          <w:tcPr>
            <w:tcW w:w="2970" w:type="pct"/>
          </w:tcPr>
          <w:p w14:paraId="6CA8EBBA" w14:textId="425418D8"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Female participation in KIT accredited courses in 2017 was 53 per cent (166 women, 148 men). The enrolments of women in non-traditional certificate courses such as automotive, construction, and plumbing comprised 28 per cent of all female enrolments in the first half of 2018. Similarly, male enrolments in non-traditional certificate courses such as accounting and business were also higher compared to the same period in 2017. Following the successful trial of a Certificate I Bridging course for disengaged youth, two additional courses commenced in February 2018, one of which comprised all female students.</w:t>
            </w:r>
            <w:r w:rsidR="00AC571B" w:rsidRPr="00093306">
              <w:rPr>
                <w:rFonts w:eastAsia="Times New Roman"/>
                <w:iCs/>
                <w:szCs w:val="17"/>
              </w:rPr>
              <w:t xml:space="preserve"> </w:t>
            </w:r>
            <w:r w:rsidRPr="00093306">
              <w:rPr>
                <w:rFonts w:eastAsia="Times New Roman"/>
                <w:iCs/>
                <w:szCs w:val="17"/>
              </w:rPr>
              <w:t>The participation rate of I-Kiribati with a declared disability was 4.4 per cent. Progress has being made in supporting greater inclusion of I-Kiribati with a disability in skills training, including training for KIT teachers to improve their understanding of disability and the right of persons with disabilities. Six members of the</w:t>
            </w:r>
            <w:r w:rsidR="00051AB3">
              <w:rPr>
                <w:rFonts w:eastAsia="Times New Roman"/>
                <w:iCs/>
                <w:szCs w:val="17"/>
              </w:rPr>
              <w:t xml:space="preserve"> Kiribati Deaf Association</w:t>
            </w:r>
            <w:r w:rsidRPr="00093306">
              <w:rPr>
                <w:rFonts w:eastAsia="Times New Roman"/>
                <w:iCs/>
                <w:szCs w:val="17"/>
              </w:rPr>
              <w:t xml:space="preserve"> and six teachers from Kiribati School and Centre for Children with Special Needs participated in a short course in Term 2 2018 and KIT plans to deliver a sign language course for hearing impaired students in Term 3.    </w:t>
            </w:r>
          </w:p>
          <w:p w14:paraId="27682DB1" w14:textId="77777777" w:rsidR="00756526" w:rsidRPr="00093306" w:rsidRDefault="00756526" w:rsidP="00756526">
            <w:pPr>
              <w:keepLines/>
              <w:spacing w:before="40" w:after="40" w:line="200" w:lineRule="atLeast"/>
              <w:rPr>
                <w:rFonts w:eastAsia="Times New Roman"/>
                <w:iCs/>
                <w:szCs w:val="17"/>
              </w:rPr>
            </w:pPr>
          </w:p>
        </w:tc>
      </w:tr>
      <w:tr w:rsidR="00756526" w:rsidRPr="00093306" w14:paraId="46CB2946" w14:textId="77777777" w:rsidTr="00756526">
        <w:tc>
          <w:tcPr>
            <w:tcW w:w="780" w:type="pct"/>
            <w:tcMar>
              <w:top w:w="57" w:type="dxa"/>
              <w:bottom w:w="57" w:type="dxa"/>
            </w:tcMar>
          </w:tcPr>
          <w:p w14:paraId="3A0C9523" w14:textId="77777777" w:rsidR="00756526" w:rsidRPr="00093306" w:rsidRDefault="00756526" w:rsidP="00756526">
            <w:pPr>
              <w:keepLines/>
              <w:spacing w:before="40" w:after="40" w:line="200" w:lineRule="atLeast"/>
              <w:rPr>
                <w:rFonts w:eastAsia="Times New Roman"/>
                <w:iCs/>
                <w:szCs w:val="17"/>
              </w:rPr>
            </w:pPr>
          </w:p>
        </w:tc>
        <w:tc>
          <w:tcPr>
            <w:tcW w:w="780" w:type="pct"/>
          </w:tcPr>
          <w:p w14:paraId="0FC22121"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Tuberculous (TB) case notification rate of 570 (all forms, per 100,000 population).</w:t>
            </w:r>
          </w:p>
        </w:tc>
        <w:tc>
          <w:tcPr>
            <w:tcW w:w="470" w:type="pct"/>
            <w:shd w:val="clear" w:color="auto" w:fill="D47D0A"/>
          </w:tcPr>
          <w:p w14:paraId="257DB86C"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Partly achieved</w:t>
            </w:r>
          </w:p>
        </w:tc>
        <w:tc>
          <w:tcPr>
            <w:tcW w:w="2970" w:type="pct"/>
          </w:tcPr>
          <w:p w14:paraId="6318BB02" w14:textId="77777777" w:rsidR="00756526" w:rsidRPr="00093306" w:rsidRDefault="00756526" w:rsidP="00AC571B">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The TB notification rate for the reporting period is below the performance benchmark (394/100,000). However, the program treatment and success rate (87 per cent) remains above the WHO treatment success rate benchmark of 85</w:t>
            </w:r>
            <w:r w:rsidR="00AC571B" w:rsidRPr="00093306">
              <w:rPr>
                <w:rFonts w:eastAsia="Times New Roman"/>
                <w:iCs/>
                <w:szCs w:val="17"/>
              </w:rPr>
              <w:t xml:space="preserve"> per cent</w:t>
            </w:r>
            <w:r w:rsidRPr="00093306">
              <w:rPr>
                <w:rFonts w:eastAsia="Times New Roman"/>
                <w:iCs/>
                <w:szCs w:val="17"/>
              </w:rPr>
              <w:t>. Changes in staffing and leadership within the program in late 2017 adversely impacted on maintaining and improving contact tracing within communities. The program is now fully staffed with an additional local technical advisory support. Engagement of Direct Treatment Observation Strategy workers and advanced diagnostic equipment (Gene X pert) is supporting program success. The Ministry’s Health and Medical Services commitment in the delivery of an integrated TB/Leprosy program, including taking on some of the operational costs of the program, is ensuring future sustainability.</w:t>
            </w:r>
          </w:p>
        </w:tc>
      </w:tr>
      <w:tr w:rsidR="00756526" w:rsidRPr="00093306" w14:paraId="65D224A3" w14:textId="77777777" w:rsidTr="00756526">
        <w:tc>
          <w:tcPr>
            <w:tcW w:w="780" w:type="pct"/>
            <w:tcMar>
              <w:top w:w="57" w:type="dxa"/>
              <w:bottom w:w="57" w:type="dxa"/>
            </w:tcMar>
          </w:tcPr>
          <w:p w14:paraId="7AFB2B55" w14:textId="77777777" w:rsidR="00756526" w:rsidRPr="00093306" w:rsidRDefault="00756526" w:rsidP="00756526">
            <w:pPr>
              <w:keepLines/>
              <w:spacing w:before="40" w:after="40" w:line="200" w:lineRule="atLeast"/>
              <w:rPr>
                <w:rFonts w:eastAsia="Times New Roman"/>
                <w:iCs/>
                <w:szCs w:val="17"/>
              </w:rPr>
            </w:pPr>
          </w:p>
        </w:tc>
        <w:tc>
          <w:tcPr>
            <w:tcW w:w="780" w:type="pct"/>
          </w:tcPr>
          <w:p w14:paraId="10BA51F8" w14:textId="77777777" w:rsidR="00756526" w:rsidRPr="00093306" w:rsidRDefault="00756526" w:rsidP="00756526">
            <w:pPr>
              <w:keepLines/>
              <w:spacing w:before="40" w:after="40" w:line="200" w:lineRule="atLeast"/>
              <w:rPr>
                <w:rFonts w:eastAsia="Times New Roman"/>
                <w:iCs/>
                <w:szCs w:val="17"/>
              </w:rPr>
            </w:pPr>
            <w:r w:rsidRPr="00093306">
              <w:rPr>
                <w:rFonts w:eastAsia="Times New Roman"/>
                <w:iCs/>
                <w:szCs w:val="17"/>
              </w:rPr>
              <w:t>Rehabilitation of the sewage outfalls in Bairiki, Betio and Bikenibeu.</w:t>
            </w:r>
          </w:p>
        </w:tc>
        <w:tc>
          <w:tcPr>
            <w:tcW w:w="470" w:type="pct"/>
            <w:shd w:val="clear" w:color="auto" w:fill="72AF2F"/>
          </w:tcPr>
          <w:p w14:paraId="56E754C2"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Achieved</w:t>
            </w:r>
          </w:p>
        </w:tc>
        <w:tc>
          <w:tcPr>
            <w:tcW w:w="2970" w:type="pct"/>
          </w:tcPr>
          <w:p w14:paraId="03AB8320"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The upgrading of three ocean outfall pumping stations and installation of new pipelines in Betio, Bairiki and Bikenibeu was completed in July 2018 and these works are now fully operational.</w:t>
            </w:r>
          </w:p>
        </w:tc>
      </w:tr>
      <w:tr w:rsidR="00756526" w:rsidRPr="00093306" w14:paraId="2514C288" w14:textId="77777777" w:rsidTr="00756526">
        <w:tc>
          <w:tcPr>
            <w:tcW w:w="780" w:type="pct"/>
            <w:tcMar>
              <w:top w:w="57" w:type="dxa"/>
              <w:bottom w:w="57" w:type="dxa"/>
            </w:tcMar>
          </w:tcPr>
          <w:p w14:paraId="49D45C07" w14:textId="77777777" w:rsidR="00756526" w:rsidRPr="00093306" w:rsidRDefault="00756526" w:rsidP="00756526">
            <w:pPr>
              <w:keepLines/>
              <w:spacing w:before="40" w:after="40" w:line="200" w:lineRule="atLeast"/>
              <w:rPr>
                <w:rFonts w:eastAsia="Times New Roman"/>
                <w:iCs/>
                <w:szCs w:val="17"/>
              </w:rPr>
            </w:pPr>
            <w:r w:rsidRPr="00093306">
              <w:rPr>
                <w:rFonts w:eastAsia="Times New Roman"/>
                <w:iCs/>
                <w:szCs w:val="17"/>
              </w:rPr>
              <w:t>Cross-cutting issues across all development assistance</w:t>
            </w:r>
          </w:p>
        </w:tc>
        <w:tc>
          <w:tcPr>
            <w:tcW w:w="780" w:type="pct"/>
          </w:tcPr>
          <w:p w14:paraId="72DB5813"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Rainwater harvesting systems and infiltration galleries are installed in North Tarawa.  </w:t>
            </w:r>
          </w:p>
        </w:tc>
        <w:tc>
          <w:tcPr>
            <w:tcW w:w="470" w:type="pct"/>
            <w:shd w:val="clear" w:color="auto" w:fill="72AF2F"/>
          </w:tcPr>
          <w:p w14:paraId="63CEC171" w14:textId="77777777" w:rsidR="00756526" w:rsidRPr="00093306" w:rsidRDefault="00756526" w:rsidP="00756526">
            <w:pPr>
              <w:keepLines/>
              <w:spacing w:before="40" w:after="40" w:line="200" w:lineRule="atLeast"/>
              <w:jc w:val="center"/>
              <w:rPr>
                <w:rFonts w:asciiTheme="minorHAnsi" w:eastAsia="Times New Roman" w:hAnsiTheme="minorHAnsi"/>
                <w:iCs/>
                <w:color w:val="FFFFFF" w:themeColor="background1"/>
                <w:szCs w:val="17"/>
                <w:lang w:eastAsia="en-US"/>
              </w:rPr>
            </w:pPr>
            <w:r w:rsidRPr="00093306">
              <w:rPr>
                <w:rFonts w:eastAsia="Times New Roman"/>
                <w:iCs/>
                <w:color w:val="FFFFFF" w:themeColor="background1"/>
                <w:szCs w:val="17"/>
              </w:rPr>
              <w:t>Achieved</w:t>
            </w:r>
          </w:p>
        </w:tc>
        <w:tc>
          <w:tcPr>
            <w:tcW w:w="2970" w:type="pct"/>
          </w:tcPr>
          <w:p w14:paraId="0DE005AA"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Six water tanks with the capacity of 25,000 litres each were constructed in four villages, with two infiltration galleries completed in two villages. Rainwater systems in North Tarawa and Banaba are providing 4.7m</w:t>
            </w:r>
            <w:r w:rsidRPr="00093306">
              <w:rPr>
                <w:rFonts w:eastAsia="Times New Roman"/>
                <w:iCs/>
                <w:szCs w:val="17"/>
                <w:vertAlign w:val="superscript"/>
              </w:rPr>
              <w:t>3</w:t>
            </w:r>
            <w:r w:rsidRPr="00093306">
              <w:rPr>
                <w:rFonts w:eastAsia="Times New Roman"/>
                <w:iCs/>
                <w:szCs w:val="17"/>
              </w:rPr>
              <w:t xml:space="preserve"> of potable water per day toward the project target of 5.1m</w:t>
            </w:r>
            <w:r w:rsidRPr="00093306">
              <w:rPr>
                <w:rFonts w:eastAsia="Times New Roman"/>
                <w:iCs/>
                <w:szCs w:val="17"/>
                <w:vertAlign w:val="superscript"/>
              </w:rPr>
              <w:t>3</w:t>
            </w:r>
            <w:r w:rsidRPr="00093306">
              <w:rPr>
                <w:rFonts w:eastAsia="Times New Roman"/>
                <w:iCs/>
                <w:szCs w:val="17"/>
              </w:rPr>
              <w:t xml:space="preserve"> per day above the baseline. One hundred and ninety-nine water tanks and thirty-three hand pumps have been installed in forty-three communities on fourteen islands, contributing to a further 920m</w:t>
            </w:r>
            <w:r w:rsidRPr="00093306">
              <w:rPr>
                <w:rFonts w:eastAsia="Times New Roman"/>
                <w:iCs/>
                <w:szCs w:val="17"/>
                <w:vertAlign w:val="superscript"/>
              </w:rPr>
              <w:t>3</w:t>
            </w:r>
            <w:r w:rsidRPr="00093306">
              <w:rPr>
                <w:rFonts w:eastAsia="Times New Roman"/>
                <w:iCs/>
                <w:szCs w:val="17"/>
              </w:rPr>
              <w:t xml:space="preserve"> storage capacity.</w:t>
            </w:r>
          </w:p>
          <w:p w14:paraId="6645F6AA"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r>
      <w:tr w:rsidR="00756526" w:rsidRPr="00093306" w14:paraId="73F35317" w14:textId="77777777" w:rsidTr="00756526">
        <w:tc>
          <w:tcPr>
            <w:tcW w:w="780" w:type="pct"/>
            <w:tcMar>
              <w:top w:w="57" w:type="dxa"/>
              <w:bottom w:w="57" w:type="dxa"/>
            </w:tcMar>
          </w:tcPr>
          <w:p w14:paraId="2877AF07" w14:textId="77777777" w:rsidR="00756526" w:rsidRPr="00093306" w:rsidRDefault="00756526" w:rsidP="00756526">
            <w:pPr>
              <w:keepLines/>
              <w:spacing w:before="40" w:after="40" w:line="200" w:lineRule="atLeast"/>
              <w:rPr>
                <w:rFonts w:eastAsia="Times New Roman"/>
                <w:iCs/>
                <w:szCs w:val="17"/>
              </w:rPr>
            </w:pPr>
          </w:p>
        </w:tc>
        <w:tc>
          <w:tcPr>
            <w:tcW w:w="780" w:type="pct"/>
          </w:tcPr>
          <w:p w14:paraId="12826E4C" w14:textId="77777777" w:rsidR="00756526" w:rsidRPr="00093306" w:rsidRDefault="00756526" w:rsidP="00756526">
            <w:pPr>
              <w:keepLines/>
              <w:spacing w:before="40" w:after="40" w:line="200" w:lineRule="atLeast"/>
              <w:rPr>
                <w:rFonts w:eastAsia="Times New Roman"/>
                <w:iCs/>
                <w:szCs w:val="17"/>
              </w:rPr>
            </w:pPr>
            <w:r w:rsidRPr="00093306">
              <w:rPr>
                <w:rFonts w:eastAsia="Times New Roman"/>
                <w:iCs/>
                <w:szCs w:val="17"/>
              </w:rPr>
              <w:t>70 per cent of frontline police officers complete training on the enforcement of the new Family Act and at least 20 per cent of all domestic violence cases result in protection orders.</w:t>
            </w:r>
          </w:p>
        </w:tc>
        <w:tc>
          <w:tcPr>
            <w:tcW w:w="470" w:type="pct"/>
            <w:shd w:val="clear" w:color="auto" w:fill="72AF2F"/>
          </w:tcPr>
          <w:p w14:paraId="30CE096A" w14:textId="77777777" w:rsidR="00756526" w:rsidRPr="00093306" w:rsidRDefault="00756526" w:rsidP="00756526">
            <w:pPr>
              <w:keepLines/>
              <w:spacing w:before="40" w:after="40" w:line="200" w:lineRule="atLeast"/>
              <w:jc w:val="center"/>
              <w:rPr>
                <w:rFonts w:eastAsia="Times New Roman"/>
                <w:iCs/>
                <w:color w:val="FFFFFF" w:themeColor="background1"/>
                <w:szCs w:val="17"/>
              </w:rPr>
            </w:pPr>
            <w:r w:rsidRPr="00093306">
              <w:rPr>
                <w:rFonts w:eastAsia="Times New Roman"/>
                <w:iCs/>
                <w:color w:val="FFFFFF" w:themeColor="background1"/>
                <w:szCs w:val="17"/>
              </w:rPr>
              <w:t>Achieved</w:t>
            </w:r>
          </w:p>
        </w:tc>
        <w:tc>
          <w:tcPr>
            <w:tcW w:w="2970" w:type="pct"/>
          </w:tcPr>
          <w:p w14:paraId="6B4BFD00" w14:textId="1FB725D7" w:rsidR="00756526" w:rsidRPr="00AB1782"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Police officers’ training on the enforcement of the new </w:t>
            </w:r>
            <w:r w:rsidRPr="00051AB3">
              <w:rPr>
                <w:rFonts w:eastAsia="Times New Roman"/>
                <w:i/>
                <w:iCs/>
                <w:szCs w:val="17"/>
              </w:rPr>
              <w:t xml:space="preserve">Family Peace Act </w:t>
            </w:r>
            <w:r w:rsidRPr="00051AB3">
              <w:rPr>
                <w:rFonts w:eastAsia="Times New Roman"/>
                <w:iCs/>
                <w:szCs w:val="17"/>
              </w:rPr>
              <w:t>was</w:t>
            </w:r>
            <w:r w:rsidRPr="00093306">
              <w:rPr>
                <w:rFonts w:eastAsia="Times New Roman"/>
                <w:iCs/>
                <w:szCs w:val="17"/>
              </w:rPr>
              <w:t xml:space="preserve"> completed in 2017. 100 per cent of frontline police officers have now been trained, as well as other key stakeholders involved in enforcing the act (village wardens, health workers, social welfare officers, island clerks and special constables). Of the 610 reported domestic violence cases in 2017, 33 per cent have been subject to protection orders. </w:t>
            </w:r>
          </w:p>
          <w:p w14:paraId="5D35CC81" w14:textId="77777777" w:rsidR="00756526" w:rsidRPr="00AB1782" w:rsidRDefault="00756526" w:rsidP="00756526">
            <w:pPr>
              <w:keepLines/>
              <w:spacing w:before="40" w:after="40" w:line="200" w:lineRule="atLeast"/>
              <w:rPr>
                <w:rFonts w:eastAsia="Times New Roman"/>
                <w:iCs/>
                <w:szCs w:val="17"/>
              </w:rPr>
            </w:pPr>
          </w:p>
        </w:tc>
      </w:tr>
    </w:tbl>
    <w:p w14:paraId="58C79E94"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sz w:val="16"/>
          <w:szCs w:val="14"/>
        </w:rPr>
        <w:t xml:space="preserve">Note: </w:t>
      </w:r>
    </w:p>
    <w:p w14:paraId="7D1B6C1A"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color w:val="72AF2F"/>
          <w:sz w:val="16"/>
          <w:szCs w:val="14"/>
        </w:rPr>
        <w:sym w:font="Webdings" w:char="F067"/>
      </w:r>
      <w:r w:rsidRPr="00093306">
        <w:rPr>
          <w:rFonts w:eastAsia="Times New Roman"/>
          <w:b/>
          <w:sz w:val="16"/>
          <w:szCs w:val="14"/>
        </w:rPr>
        <w:t> </w:t>
      </w:r>
      <w:r w:rsidRPr="00093306">
        <w:rPr>
          <w:rFonts w:eastAsia="Times New Roman"/>
          <w:b/>
          <w:sz w:val="16"/>
          <w:szCs w:val="14"/>
        </w:rPr>
        <w:t xml:space="preserve"> Achieved.  Significant progress has been made and the performance benchmark was achieved </w:t>
      </w:r>
    </w:p>
    <w:p w14:paraId="200F2792"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color w:val="E36C0A"/>
          <w:sz w:val="16"/>
          <w:szCs w:val="14"/>
        </w:rPr>
        <w:sym w:font="Webdings" w:char="F067"/>
      </w:r>
      <w:r w:rsidRPr="00093306">
        <w:rPr>
          <w:rFonts w:eastAsia="Times New Roman"/>
          <w:b/>
          <w:sz w:val="16"/>
          <w:szCs w:val="14"/>
        </w:rPr>
        <w:t> </w:t>
      </w:r>
      <w:r w:rsidRPr="00093306">
        <w:rPr>
          <w:rFonts w:eastAsia="Times New Roman"/>
          <w:b/>
          <w:sz w:val="16"/>
          <w:szCs w:val="14"/>
        </w:rPr>
        <w:t xml:space="preserve"> Partly achieved.  Some progress has been made towards achieving the performance benchmark, but progress was less than anticipated. </w:t>
      </w:r>
    </w:p>
    <w:p w14:paraId="006DC4EA"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color w:val="FF0000"/>
          <w:sz w:val="16"/>
          <w:szCs w:val="14"/>
        </w:rPr>
        <w:sym w:font="Webdings" w:char="F067"/>
      </w:r>
      <w:r w:rsidRPr="00093306">
        <w:rPr>
          <w:rFonts w:eastAsia="Times New Roman"/>
          <w:b/>
          <w:sz w:val="16"/>
          <w:szCs w:val="14"/>
        </w:rPr>
        <w:t> </w:t>
      </w:r>
      <w:r w:rsidRPr="00093306">
        <w:rPr>
          <w:rFonts w:eastAsia="Times New Roman"/>
          <w:b/>
          <w:sz w:val="16"/>
          <w:szCs w:val="14"/>
        </w:rPr>
        <w:t xml:space="preserve"> Not achieved. Progress towards the performance benchmark has been significantly below expectations</w:t>
      </w:r>
    </w:p>
    <w:p w14:paraId="0E27F351" w14:textId="77777777" w:rsidR="00756526" w:rsidRPr="00AB1782" w:rsidRDefault="00756526" w:rsidP="00756526">
      <w:pPr>
        <w:rPr>
          <w:rFonts w:ascii="Franklin Gothic Book" w:eastAsia="Times New Roman" w:hAnsi="Franklin Gothic Book"/>
          <w:b/>
          <w:sz w:val="24"/>
          <w:szCs w:val="24"/>
        </w:rPr>
      </w:pPr>
    </w:p>
    <w:p w14:paraId="2DAE27A5" w14:textId="77777777" w:rsidR="00756526" w:rsidRPr="00AB1782" w:rsidRDefault="00756526" w:rsidP="00756526">
      <w:pPr>
        <w:suppressAutoHyphens w:val="0"/>
        <w:spacing w:before="0" w:after="120" w:line="440" w:lineRule="atLeast"/>
        <w:rPr>
          <w:rFonts w:ascii="Franklin Gothic Book" w:eastAsia="Times New Roman" w:hAnsi="Franklin Gothic Book"/>
          <w:b/>
          <w:sz w:val="24"/>
          <w:szCs w:val="24"/>
        </w:rPr>
      </w:pPr>
      <w:r w:rsidRPr="00AB1782">
        <w:rPr>
          <w:rFonts w:ascii="Franklin Gothic Book" w:eastAsia="Times New Roman" w:hAnsi="Franklin Gothic Book"/>
          <w:b/>
          <w:sz w:val="24"/>
          <w:szCs w:val="24"/>
        </w:rPr>
        <w:br w:type="page"/>
      </w:r>
    </w:p>
    <w:p w14:paraId="0D33B348" w14:textId="77777777" w:rsidR="00756526" w:rsidRPr="00093306" w:rsidRDefault="00756526" w:rsidP="00756526">
      <w:pPr>
        <w:rPr>
          <w:rFonts w:ascii="Franklin Gothic Book" w:eastAsia="Times New Roman" w:hAnsi="Franklin Gothic Book"/>
          <w:b/>
          <w:sz w:val="24"/>
          <w:szCs w:val="24"/>
        </w:rPr>
      </w:pPr>
      <w:r w:rsidRPr="00AB1782">
        <w:rPr>
          <w:rFonts w:ascii="Franklin Gothic Book" w:eastAsia="Times New Roman" w:hAnsi="Franklin Gothic Book"/>
          <w:b/>
          <w:sz w:val="24"/>
          <w:szCs w:val="24"/>
        </w:rPr>
        <w:lastRenderedPageBreak/>
        <w:t>Performance Benchmarks for remainder of Aid Investment P</w:t>
      </w:r>
      <w:r w:rsidRPr="00093306">
        <w:rPr>
          <w:rFonts w:ascii="Franklin Gothic Book" w:eastAsia="Times New Roman" w:hAnsi="Franklin Gothic Book"/>
          <w:b/>
          <w:sz w:val="24"/>
          <w:szCs w:val="24"/>
        </w:rPr>
        <w:t xml:space="preserve">lan </w:t>
      </w:r>
    </w:p>
    <w:tbl>
      <w:tblPr>
        <w:tblStyle w:val="DFATTable"/>
        <w:tblW w:w="5001" w:type="pct"/>
        <w:tblInd w:w="-2" w:type="dxa"/>
        <w:tblLook w:val="04A0" w:firstRow="1" w:lastRow="0" w:firstColumn="1" w:lastColumn="0" w:noHBand="0" w:noVBand="1"/>
      </w:tblPr>
      <w:tblGrid>
        <w:gridCol w:w="2243"/>
        <w:gridCol w:w="4225"/>
        <w:gridCol w:w="2238"/>
        <w:gridCol w:w="1502"/>
        <w:gridCol w:w="3830"/>
      </w:tblGrid>
      <w:tr w:rsidR="00756526" w:rsidRPr="00093306" w14:paraId="20FD55FD" w14:textId="77777777" w:rsidTr="00756526">
        <w:trPr>
          <w:trHeight w:val="245"/>
        </w:trPr>
        <w:tc>
          <w:tcPr>
            <w:tcW w:w="799" w:type="pct"/>
            <w:tcBorders>
              <w:top w:val="single" w:sz="12" w:space="0" w:color="auto"/>
              <w:left w:val="nil"/>
              <w:bottom w:val="nil"/>
              <w:right w:val="nil"/>
            </w:tcBorders>
          </w:tcPr>
          <w:p w14:paraId="1371942F" w14:textId="77777777" w:rsidR="00756526" w:rsidRPr="00093306" w:rsidRDefault="00756526" w:rsidP="00756526">
            <w:pPr>
              <w:pStyle w:val="NormalIndented"/>
              <w:rPr>
                <w:rFonts w:asciiTheme="minorHAnsi" w:hAnsiTheme="minorHAnsi"/>
              </w:rPr>
            </w:pPr>
            <w:r w:rsidRPr="00093306">
              <w:rPr>
                <w:rFonts w:eastAsia="Times New Roman"/>
                <w:b/>
                <w:iCs/>
                <w:szCs w:val="17"/>
              </w:rPr>
              <w:t>Aid objective</w:t>
            </w:r>
          </w:p>
        </w:tc>
        <w:tc>
          <w:tcPr>
            <w:tcW w:w="1505" w:type="pct"/>
            <w:tcBorders>
              <w:top w:val="single" w:sz="12" w:space="0" w:color="auto"/>
              <w:left w:val="nil"/>
              <w:bottom w:val="nil"/>
              <w:right w:val="nil"/>
            </w:tcBorders>
          </w:tcPr>
          <w:p w14:paraId="074E81B1" w14:textId="77777777" w:rsidR="00756526" w:rsidRPr="00093306" w:rsidRDefault="00756526" w:rsidP="00756526">
            <w:pPr>
              <w:pStyle w:val="NormalIndented"/>
              <w:rPr>
                <w:rFonts w:asciiTheme="minorHAnsi" w:hAnsiTheme="minorHAnsi"/>
              </w:rPr>
            </w:pPr>
            <w:r w:rsidRPr="00093306">
              <w:rPr>
                <w:rFonts w:eastAsia="Times New Roman"/>
                <w:b/>
                <w:iCs/>
                <w:szCs w:val="17"/>
              </w:rPr>
              <w:t xml:space="preserve">Performance Benchmark </w:t>
            </w:r>
          </w:p>
        </w:tc>
        <w:tc>
          <w:tcPr>
            <w:tcW w:w="797" w:type="pct"/>
            <w:tcBorders>
              <w:top w:val="single" w:sz="12" w:space="0" w:color="auto"/>
              <w:left w:val="nil"/>
              <w:bottom w:val="nil"/>
              <w:right w:val="nil"/>
            </w:tcBorders>
            <w:hideMark/>
          </w:tcPr>
          <w:p w14:paraId="69D21E61" w14:textId="77777777" w:rsidR="00756526" w:rsidRPr="00093306" w:rsidRDefault="00756526" w:rsidP="00756526">
            <w:pPr>
              <w:pStyle w:val="NormalIndented"/>
              <w:ind w:left="0"/>
              <w:jc w:val="center"/>
              <w:rPr>
                <w:rFonts w:asciiTheme="minorHAnsi" w:hAnsiTheme="minorHAnsi"/>
                <w:b/>
              </w:rPr>
            </w:pPr>
            <w:r w:rsidRPr="00093306">
              <w:rPr>
                <w:b/>
              </w:rPr>
              <w:t>2018-19</w:t>
            </w:r>
          </w:p>
        </w:tc>
        <w:tc>
          <w:tcPr>
            <w:tcW w:w="1899" w:type="pct"/>
            <w:gridSpan w:val="2"/>
            <w:tcBorders>
              <w:top w:val="single" w:sz="12" w:space="0" w:color="auto"/>
              <w:left w:val="nil"/>
              <w:bottom w:val="nil"/>
              <w:right w:val="nil"/>
            </w:tcBorders>
            <w:hideMark/>
          </w:tcPr>
          <w:p w14:paraId="3CE464D7" w14:textId="77777777" w:rsidR="00756526" w:rsidRPr="00093306" w:rsidRDefault="00756526" w:rsidP="00756526">
            <w:pPr>
              <w:pStyle w:val="NormalIndented"/>
              <w:ind w:left="33"/>
              <w:jc w:val="center"/>
              <w:rPr>
                <w:rFonts w:asciiTheme="minorHAnsi" w:hAnsiTheme="minorHAnsi"/>
                <w:b/>
              </w:rPr>
            </w:pPr>
            <w:r w:rsidRPr="00093306">
              <w:rPr>
                <w:b/>
              </w:rPr>
              <w:t>2019-20</w:t>
            </w:r>
          </w:p>
        </w:tc>
      </w:tr>
      <w:tr w:rsidR="00756526" w:rsidRPr="00093306" w14:paraId="7E3762F8" w14:textId="77777777" w:rsidTr="00756526">
        <w:trPr>
          <w:trHeight w:val="730"/>
        </w:trPr>
        <w:tc>
          <w:tcPr>
            <w:tcW w:w="799" w:type="pct"/>
            <w:tcBorders>
              <w:top w:val="nil"/>
              <w:left w:val="nil"/>
              <w:bottom w:val="nil"/>
              <w:right w:val="nil"/>
            </w:tcBorders>
          </w:tcPr>
          <w:p w14:paraId="31D88222" w14:textId="77777777" w:rsidR="00756526" w:rsidRPr="00093306" w:rsidRDefault="00756526" w:rsidP="00756526">
            <w:pPr>
              <w:pStyle w:val="NormalIndented"/>
              <w:rPr>
                <w:rFonts w:asciiTheme="minorHAnsi" w:hAnsiTheme="minorHAnsi"/>
                <w:i/>
                <w:color w:val="808080" w:themeColor="background1" w:themeShade="80"/>
                <w:sz w:val="18"/>
              </w:rPr>
            </w:pPr>
            <w:r w:rsidRPr="00093306">
              <w:rPr>
                <w:rFonts w:eastAsia="Times New Roman"/>
                <w:iCs/>
                <w:szCs w:val="17"/>
              </w:rPr>
              <w:t xml:space="preserve">Objective 1: Implementing economic reforms </w:t>
            </w:r>
          </w:p>
        </w:tc>
        <w:tc>
          <w:tcPr>
            <w:tcW w:w="1505" w:type="pct"/>
            <w:tcBorders>
              <w:top w:val="nil"/>
              <w:left w:val="nil"/>
              <w:bottom w:val="nil"/>
              <w:right w:val="nil"/>
            </w:tcBorders>
          </w:tcPr>
          <w:p w14:paraId="5A05272B" w14:textId="77777777" w:rsidR="00756526" w:rsidRPr="00093306" w:rsidRDefault="00756526" w:rsidP="00756526">
            <w:pPr>
              <w:pStyle w:val="NormalIndented"/>
              <w:rPr>
                <w:rFonts w:asciiTheme="minorHAnsi" w:hAnsiTheme="minorHAnsi"/>
                <w:i/>
                <w:color w:val="808080" w:themeColor="background1" w:themeShade="80"/>
                <w:szCs w:val="20"/>
                <w:lang w:eastAsia="en-US"/>
              </w:rPr>
            </w:pPr>
            <w:r w:rsidRPr="00093306">
              <w:rPr>
                <w:rFonts w:eastAsia="Times New Roman"/>
                <w:iCs/>
                <w:szCs w:val="17"/>
              </w:rPr>
              <w:t>Progress of economic reform priorities</w:t>
            </w:r>
          </w:p>
        </w:tc>
        <w:tc>
          <w:tcPr>
            <w:tcW w:w="1332" w:type="pct"/>
            <w:gridSpan w:val="2"/>
            <w:tcBorders>
              <w:top w:val="nil"/>
              <w:left w:val="nil"/>
              <w:bottom w:val="nil"/>
              <w:right w:val="nil"/>
            </w:tcBorders>
            <w:hideMark/>
          </w:tcPr>
          <w:p w14:paraId="12BC8E24" w14:textId="77777777" w:rsidR="00756526" w:rsidRPr="00093306" w:rsidRDefault="00756526" w:rsidP="00756526">
            <w:pPr>
              <w:pStyle w:val="NormalIndented"/>
              <w:rPr>
                <w:rFonts w:asciiTheme="minorHAnsi" w:eastAsia="Times New Roman" w:hAnsiTheme="minorHAnsi"/>
                <w:iCs/>
                <w:szCs w:val="17"/>
                <w:lang w:eastAsia="en-US"/>
              </w:rPr>
            </w:pPr>
            <w:r w:rsidRPr="00093306">
              <w:rPr>
                <w:rFonts w:eastAsia="Times New Roman"/>
                <w:iCs/>
                <w:szCs w:val="17"/>
              </w:rPr>
              <w:t>Achievement of all prior actions under the Joint Policy Matrix triggers the release of donor funding.</w:t>
            </w:r>
          </w:p>
        </w:tc>
        <w:tc>
          <w:tcPr>
            <w:tcW w:w="1364" w:type="pct"/>
            <w:tcBorders>
              <w:top w:val="nil"/>
              <w:left w:val="nil"/>
              <w:bottom w:val="nil"/>
              <w:right w:val="nil"/>
            </w:tcBorders>
            <w:hideMark/>
          </w:tcPr>
          <w:p w14:paraId="66A5B5AC" w14:textId="77777777" w:rsidR="00756526" w:rsidRPr="00093306" w:rsidRDefault="00756526" w:rsidP="00756526">
            <w:pPr>
              <w:pStyle w:val="NormalIndented"/>
              <w:rPr>
                <w:rFonts w:asciiTheme="minorHAnsi" w:eastAsia="Times New Roman" w:hAnsiTheme="minorHAnsi"/>
                <w:iCs/>
                <w:szCs w:val="17"/>
                <w:lang w:eastAsia="en-US"/>
              </w:rPr>
            </w:pPr>
            <w:r w:rsidRPr="00093306">
              <w:rPr>
                <w:rFonts w:eastAsia="Times New Roman"/>
                <w:iCs/>
                <w:szCs w:val="17"/>
              </w:rPr>
              <w:t>Achievement of all prior actions under the Joint Policy Matrix triggers the release of donor funding.</w:t>
            </w:r>
          </w:p>
        </w:tc>
      </w:tr>
      <w:tr w:rsidR="00756526" w:rsidRPr="00093306" w14:paraId="544DC2DC" w14:textId="77777777" w:rsidTr="00756526">
        <w:trPr>
          <w:trHeight w:val="730"/>
        </w:trPr>
        <w:tc>
          <w:tcPr>
            <w:tcW w:w="799" w:type="pct"/>
            <w:tcBorders>
              <w:top w:val="nil"/>
              <w:left w:val="nil"/>
              <w:bottom w:val="nil"/>
              <w:right w:val="nil"/>
            </w:tcBorders>
          </w:tcPr>
          <w:p w14:paraId="2DDCBBFB" w14:textId="77777777" w:rsidR="00756526" w:rsidRPr="00093306" w:rsidRDefault="00756526" w:rsidP="00756526">
            <w:pPr>
              <w:pStyle w:val="NormalIndented"/>
              <w:rPr>
                <w:rFonts w:eastAsia="Times New Roman"/>
                <w:iCs/>
                <w:szCs w:val="17"/>
              </w:rPr>
            </w:pPr>
            <w:r w:rsidRPr="00093306">
              <w:rPr>
                <w:rFonts w:eastAsia="Times New Roman"/>
                <w:iCs/>
                <w:szCs w:val="17"/>
              </w:rPr>
              <w:t>Objective 2: Building a better educated and healthier population</w:t>
            </w:r>
          </w:p>
        </w:tc>
        <w:tc>
          <w:tcPr>
            <w:tcW w:w="1505" w:type="pct"/>
            <w:tcBorders>
              <w:top w:val="nil"/>
              <w:left w:val="nil"/>
              <w:bottom w:val="nil"/>
              <w:right w:val="nil"/>
            </w:tcBorders>
          </w:tcPr>
          <w:p w14:paraId="082457A4" w14:textId="77777777" w:rsidR="00756526" w:rsidRPr="00093306" w:rsidRDefault="00756526" w:rsidP="00756526">
            <w:pPr>
              <w:pStyle w:val="NormalIndented"/>
              <w:rPr>
                <w:rFonts w:eastAsia="Times New Roman"/>
                <w:iCs/>
                <w:szCs w:val="17"/>
              </w:rPr>
            </w:pPr>
            <w:r w:rsidRPr="00093306">
              <w:rPr>
                <w:rFonts w:eastAsia="Times New Roman"/>
                <w:iCs/>
                <w:szCs w:val="17"/>
              </w:rPr>
              <w:t>Improve standards in basic education</w:t>
            </w:r>
          </w:p>
        </w:tc>
        <w:tc>
          <w:tcPr>
            <w:tcW w:w="1332" w:type="pct"/>
            <w:gridSpan w:val="2"/>
            <w:tcBorders>
              <w:top w:val="nil"/>
              <w:left w:val="nil"/>
              <w:bottom w:val="nil"/>
              <w:right w:val="nil"/>
            </w:tcBorders>
          </w:tcPr>
          <w:p w14:paraId="7542DEAE" w14:textId="77777777" w:rsidR="00756526" w:rsidRPr="00093306" w:rsidRDefault="00756526" w:rsidP="00756526">
            <w:pPr>
              <w:pStyle w:val="NormalIndented"/>
              <w:rPr>
                <w:rFonts w:eastAsia="Times New Roman"/>
                <w:iCs/>
                <w:szCs w:val="17"/>
              </w:rPr>
            </w:pPr>
            <w:r w:rsidRPr="00093306">
              <w:rPr>
                <w:rFonts w:eastAsia="Times New Roman"/>
                <w:iCs/>
                <w:szCs w:val="17"/>
              </w:rPr>
              <w:t>80 per cent of permanent / contract teachers complete training in the delivery of new year 8 curriculum.</w:t>
            </w:r>
          </w:p>
        </w:tc>
        <w:tc>
          <w:tcPr>
            <w:tcW w:w="1364" w:type="pct"/>
            <w:tcBorders>
              <w:top w:val="nil"/>
              <w:left w:val="nil"/>
              <w:bottom w:val="nil"/>
              <w:right w:val="nil"/>
            </w:tcBorders>
          </w:tcPr>
          <w:p w14:paraId="2165AA94" w14:textId="77777777" w:rsidR="00756526" w:rsidRPr="00093306" w:rsidRDefault="00756526" w:rsidP="00756526">
            <w:pPr>
              <w:pStyle w:val="NormalIndented"/>
              <w:rPr>
                <w:rFonts w:eastAsia="Times New Roman"/>
                <w:iCs/>
                <w:szCs w:val="17"/>
              </w:rPr>
            </w:pPr>
            <w:r w:rsidRPr="00093306">
              <w:rPr>
                <w:rFonts w:eastAsia="Times New Roman"/>
                <w:iCs/>
                <w:szCs w:val="17"/>
              </w:rPr>
              <w:t>80 per cent of permanent / contract teachers complete initial training in the delivery of new year 9 curriculum.</w:t>
            </w:r>
          </w:p>
        </w:tc>
      </w:tr>
      <w:tr w:rsidR="00756526" w:rsidRPr="00093306" w14:paraId="77D3E7EB" w14:textId="77777777" w:rsidTr="00756526">
        <w:trPr>
          <w:trHeight w:val="730"/>
        </w:trPr>
        <w:tc>
          <w:tcPr>
            <w:tcW w:w="799" w:type="pct"/>
            <w:tcBorders>
              <w:top w:val="nil"/>
              <w:left w:val="nil"/>
              <w:bottom w:val="nil"/>
              <w:right w:val="nil"/>
            </w:tcBorders>
          </w:tcPr>
          <w:p w14:paraId="46395C9F" w14:textId="77777777" w:rsidR="00756526" w:rsidRPr="00093306" w:rsidRDefault="00756526" w:rsidP="00756526">
            <w:pPr>
              <w:pStyle w:val="NormalIndented"/>
              <w:rPr>
                <w:rFonts w:eastAsia="Times New Roman"/>
                <w:iCs/>
                <w:szCs w:val="17"/>
              </w:rPr>
            </w:pPr>
          </w:p>
        </w:tc>
        <w:tc>
          <w:tcPr>
            <w:tcW w:w="1505" w:type="pct"/>
            <w:tcBorders>
              <w:top w:val="nil"/>
              <w:left w:val="nil"/>
              <w:bottom w:val="nil"/>
              <w:right w:val="nil"/>
            </w:tcBorders>
          </w:tcPr>
          <w:p w14:paraId="21A30C6A" w14:textId="77777777" w:rsidR="00756526" w:rsidRPr="00093306" w:rsidRDefault="00756526" w:rsidP="00756526">
            <w:pPr>
              <w:pStyle w:val="NormalIndented"/>
              <w:rPr>
                <w:rFonts w:eastAsia="Times New Roman"/>
                <w:iCs/>
                <w:szCs w:val="17"/>
              </w:rPr>
            </w:pPr>
          </w:p>
        </w:tc>
        <w:tc>
          <w:tcPr>
            <w:tcW w:w="1332" w:type="pct"/>
            <w:gridSpan w:val="2"/>
            <w:tcBorders>
              <w:top w:val="nil"/>
              <w:left w:val="nil"/>
              <w:bottom w:val="nil"/>
              <w:right w:val="nil"/>
            </w:tcBorders>
          </w:tcPr>
          <w:p w14:paraId="07201162" w14:textId="77777777" w:rsidR="00756526" w:rsidRPr="00093306" w:rsidRDefault="00756526" w:rsidP="00756526">
            <w:pPr>
              <w:pStyle w:val="NormalIndented"/>
              <w:rPr>
                <w:rFonts w:eastAsia="Times New Roman"/>
                <w:iCs/>
                <w:szCs w:val="17"/>
              </w:rPr>
            </w:pPr>
            <w:r w:rsidRPr="00093306">
              <w:rPr>
                <w:rFonts w:eastAsia="Times New Roman"/>
                <w:iCs/>
                <w:szCs w:val="17"/>
              </w:rPr>
              <w:t>936 children with improved learning spaces, and access for girls and boys including children with a disability to wash facilities.</w:t>
            </w:r>
          </w:p>
        </w:tc>
        <w:tc>
          <w:tcPr>
            <w:tcW w:w="1364" w:type="pct"/>
            <w:tcBorders>
              <w:top w:val="nil"/>
              <w:left w:val="nil"/>
              <w:bottom w:val="nil"/>
              <w:right w:val="nil"/>
            </w:tcBorders>
          </w:tcPr>
          <w:p w14:paraId="74478C07" w14:textId="77777777" w:rsidR="00756526" w:rsidRPr="00093306" w:rsidRDefault="00756526" w:rsidP="00756526">
            <w:pPr>
              <w:pStyle w:val="NormalIndented"/>
              <w:rPr>
                <w:rFonts w:eastAsia="Times New Roman"/>
                <w:iCs/>
                <w:szCs w:val="17"/>
              </w:rPr>
            </w:pPr>
            <w:r w:rsidRPr="00093306">
              <w:rPr>
                <w:rFonts w:eastAsia="Times New Roman"/>
                <w:iCs/>
                <w:szCs w:val="17"/>
              </w:rPr>
              <w:t>240 children with improved learning spaces, and access for girls and boys including children with a disability to wash facilities.</w:t>
            </w:r>
          </w:p>
        </w:tc>
      </w:tr>
      <w:tr w:rsidR="00756526" w:rsidRPr="00093306" w14:paraId="03303911" w14:textId="77777777" w:rsidTr="00756526">
        <w:trPr>
          <w:trHeight w:val="730"/>
        </w:trPr>
        <w:tc>
          <w:tcPr>
            <w:tcW w:w="799" w:type="pct"/>
            <w:tcBorders>
              <w:top w:val="nil"/>
              <w:left w:val="nil"/>
              <w:bottom w:val="nil"/>
              <w:right w:val="nil"/>
            </w:tcBorders>
          </w:tcPr>
          <w:p w14:paraId="17751A7C" w14:textId="77777777" w:rsidR="00756526" w:rsidRPr="00093306" w:rsidRDefault="00756526" w:rsidP="00756526">
            <w:pPr>
              <w:pStyle w:val="NormalIndented"/>
              <w:rPr>
                <w:rFonts w:eastAsia="Times New Roman"/>
                <w:iCs/>
                <w:szCs w:val="17"/>
              </w:rPr>
            </w:pPr>
          </w:p>
        </w:tc>
        <w:tc>
          <w:tcPr>
            <w:tcW w:w="1505" w:type="pct"/>
            <w:tcBorders>
              <w:top w:val="nil"/>
              <w:left w:val="nil"/>
              <w:bottom w:val="nil"/>
              <w:right w:val="nil"/>
            </w:tcBorders>
          </w:tcPr>
          <w:p w14:paraId="0285C11F" w14:textId="77777777" w:rsidR="00756526" w:rsidRPr="00093306" w:rsidRDefault="00756526" w:rsidP="00756526">
            <w:pPr>
              <w:pStyle w:val="NormalIndented"/>
              <w:rPr>
                <w:rFonts w:eastAsia="Times New Roman"/>
                <w:iCs/>
                <w:szCs w:val="17"/>
              </w:rPr>
            </w:pPr>
            <w:r w:rsidRPr="00093306">
              <w:rPr>
                <w:rFonts w:eastAsia="Times New Roman"/>
                <w:iCs/>
                <w:szCs w:val="17"/>
              </w:rPr>
              <w:t xml:space="preserve">Provision of quality skills training aligned with labour market demand  </w:t>
            </w:r>
          </w:p>
        </w:tc>
        <w:tc>
          <w:tcPr>
            <w:tcW w:w="1332" w:type="pct"/>
            <w:gridSpan w:val="2"/>
            <w:tcBorders>
              <w:top w:val="nil"/>
              <w:left w:val="nil"/>
              <w:bottom w:val="nil"/>
              <w:right w:val="nil"/>
            </w:tcBorders>
          </w:tcPr>
          <w:p w14:paraId="604E6CF8" w14:textId="77777777" w:rsidR="00756526" w:rsidRPr="00093306" w:rsidRDefault="00756526" w:rsidP="00756526">
            <w:pPr>
              <w:pStyle w:val="NormalIndented"/>
              <w:rPr>
                <w:rFonts w:eastAsia="Times New Roman"/>
                <w:iCs/>
                <w:szCs w:val="17"/>
              </w:rPr>
            </w:pPr>
            <w:r w:rsidRPr="00093306">
              <w:t xml:space="preserve">All new trainers at KIT will have commenced training to obtain professional qualifications </w:t>
            </w:r>
            <w:r w:rsidRPr="00093306">
              <w:rPr>
                <w:rFonts w:eastAsia="Times New Roman"/>
                <w:iCs/>
                <w:szCs w:val="17"/>
              </w:rPr>
              <w:t xml:space="preserve">for their industry </w:t>
            </w:r>
            <w:r w:rsidRPr="00093306">
              <w:t>within 12 months of starting employment.</w:t>
            </w:r>
          </w:p>
        </w:tc>
        <w:tc>
          <w:tcPr>
            <w:tcW w:w="1364" w:type="pct"/>
            <w:tcBorders>
              <w:top w:val="nil"/>
              <w:left w:val="nil"/>
              <w:bottom w:val="nil"/>
              <w:right w:val="nil"/>
            </w:tcBorders>
          </w:tcPr>
          <w:p w14:paraId="3BB75477" w14:textId="77777777" w:rsidR="00756526" w:rsidRPr="00093306" w:rsidRDefault="00756526" w:rsidP="00756526">
            <w:pPr>
              <w:pStyle w:val="NormalIndented"/>
              <w:rPr>
                <w:rFonts w:eastAsia="Times New Roman"/>
                <w:iCs/>
                <w:szCs w:val="17"/>
              </w:rPr>
            </w:pPr>
            <w:r w:rsidRPr="00093306">
              <w:t xml:space="preserve">All new trainers at KIT will have commenced training to obtain professional qualifications </w:t>
            </w:r>
            <w:r w:rsidRPr="00093306">
              <w:rPr>
                <w:rFonts w:eastAsia="Times New Roman"/>
                <w:iCs/>
                <w:szCs w:val="17"/>
              </w:rPr>
              <w:t xml:space="preserve">for their industry </w:t>
            </w:r>
            <w:r w:rsidRPr="00093306">
              <w:t>within 12 months of starting employment.</w:t>
            </w:r>
          </w:p>
        </w:tc>
      </w:tr>
      <w:tr w:rsidR="00756526" w:rsidRPr="00093306" w14:paraId="5D1E599E" w14:textId="77777777" w:rsidTr="00756526">
        <w:trPr>
          <w:trHeight w:val="730"/>
        </w:trPr>
        <w:tc>
          <w:tcPr>
            <w:tcW w:w="799" w:type="pct"/>
            <w:tcBorders>
              <w:top w:val="nil"/>
              <w:left w:val="nil"/>
              <w:bottom w:val="nil"/>
              <w:right w:val="nil"/>
            </w:tcBorders>
          </w:tcPr>
          <w:p w14:paraId="6C0A00DD" w14:textId="77777777" w:rsidR="00756526" w:rsidRPr="00093306" w:rsidRDefault="00756526" w:rsidP="00756526">
            <w:pPr>
              <w:pStyle w:val="NormalIndented"/>
              <w:rPr>
                <w:rFonts w:eastAsia="Times New Roman"/>
                <w:iCs/>
                <w:szCs w:val="17"/>
              </w:rPr>
            </w:pPr>
          </w:p>
        </w:tc>
        <w:tc>
          <w:tcPr>
            <w:tcW w:w="1505" w:type="pct"/>
            <w:tcBorders>
              <w:top w:val="nil"/>
              <w:left w:val="nil"/>
              <w:bottom w:val="nil"/>
              <w:right w:val="nil"/>
            </w:tcBorders>
          </w:tcPr>
          <w:p w14:paraId="56D00743" w14:textId="77777777" w:rsidR="00756526" w:rsidRPr="00093306" w:rsidRDefault="00756526" w:rsidP="00756526">
            <w:pPr>
              <w:pStyle w:val="NormalIndented"/>
              <w:rPr>
                <w:rFonts w:eastAsia="Times New Roman"/>
                <w:iCs/>
                <w:szCs w:val="17"/>
              </w:rPr>
            </w:pPr>
          </w:p>
        </w:tc>
        <w:tc>
          <w:tcPr>
            <w:tcW w:w="1332" w:type="pct"/>
            <w:gridSpan w:val="2"/>
            <w:tcBorders>
              <w:top w:val="nil"/>
              <w:left w:val="nil"/>
              <w:bottom w:val="nil"/>
              <w:right w:val="nil"/>
            </w:tcBorders>
          </w:tcPr>
          <w:p w14:paraId="05B3722E" w14:textId="77777777" w:rsidR="00756526" w:rsidRPr="00093306" w:rsidRDefault="00756526" w:rsidP="00756526">
            <w:pPr>
              <w:pStyle w:val="NormalIndented"/>
            </w:pPr>
            <w:r w:rsidRPr="00093306">
              <w:rPr>
                <w:rFonts w:eastAsia="Times New Roman"/>
                <w:iCs/>
                <w:szCs w:val="17"/>
              </w:rPr>
              <w:t xml:space="preserve">Accredited courses (in 2019) at KIT have a female participation rate of 50 per cent and a participation rate of 5 per cent by people with a declared disability. </w:t>
            </w:r>
          </w:p>
        </w:tc>
        <w:tc>
          <w:tcPr>
            <w:tcW w:w="1364" w:type="pct"/>
            <w:tcBorders>
              <w:top w:val="nil"/>
              <w:left w:val="nil"/>
              <w:bottom w:val="nil"/>
              <w:right w:val="nil"/>
            </w:tcBorders>
          </w:tcPr>
          <w:p w14:paraId="50300436" w14:textId="77777777" w:rsidR="00756526" w:rsidRPr="00093306" w:rsidRDefault="00756526" w:rsidP="00756526">
            <w:pPr>
              <w:pStyle w:val="NormalIndented"/>
            </w:pPr>
            <w:r w:rsidRPr="00093306">
              <w:rPr>
                <w:rFonts w:eastAsia="Times New Roman"/>
                <w:iCs/>
                <w:szCs w:val="17"/>
              </w:rPr>
              <w:t>Accredited courses (in 2020) at KIT have a female participation rate of 50 per cent and a participation rate of 5 per cent by people with a declared disability.</w:t>
            </w:r>
          </w:p>
        </w:tc>
      </w:tr>
      <w:tr w:rsidR="00756526" w:rsidRPr="00093306" w14:paraId="4EB0ED25" w14:textId="77777777" w:rsidTr="00756526">
        <w:trPr>
          <w:trHeight w:val="730"/>
        </w:trPr>
        <w:tc>
          <w:tcPr>
            <w:tcW w:w="799" w:type="pct"/>
            <w:tcBorders>
              <w:top w:val="nil"/>
              <w:left w:val="nil"/>
              <w:bottom w:val="nil"/>
              <w:right w:val="nil"/>
            </w:tcBorders>
          </w:tcPr>
          <w:p w14:paraId="7060DF9B" w14:textId="77777777" w:rsidR="00756526" w:rsidRPr="00093306" w:rsidRDefault="00756526" w:rsidP="00756526">
            <w:pPr>
              <w:pStyle w:val="NormalIndented"/>
              <w:rPr>
                <w:rFonts w:eastAsia="Times New Roman"/>
                <w:iCs/>
                <w:szCs w:val="17"/>
              </w:rPr>
            </w:pPr>
          </w:p>
        </w:tc>
        <w:tc>
          <w:tcPr>
            <w:tcW w:w="1505" w:type="pct"/>
            <w:tcBorders>
              <w:top w:val="nil"/>
              <w:left w:val="nil"/>
              <w:bottom w:val="nil"/>
              <w:right w:val="nil"/>
            </w:tcBorders>
          </w:tcPr>
          <w:p w14:paraId="4F6F3C03" w14:textId="77777777" w:rsidR="00756526" w:rsidRPr="00093306" w:rsidRDefault="00756526" w:rsidP="00756526">
            <w:pPr>
              <w:pStyle w:val="NormalIndented"/>
              <w:rPr>
                <w:rFonts w:eastAsia="Times New Roman"/>
                <w:iCs/>
                <w:szCs w:val="17"/>
              </w:rPr>
            </w:pPr>
            <w:r w:rsidRPr="00093306">
              <w:rPr>
                <w:rFonts w:eastAsia="Times New Roman"/>
                <w:iCs/>
                <w:szCs w:val="17"/>
              </w:rPr>
              <w:t>Improved health outcomes</w:t>
            </w:r>
          </w:p>
        </w:tc>
        <w:tc>
          <w:tcPr>
            <w:tcW w:w="1332" w:type="pct"/>
            <w:gridSpan w:val="2"/>
            <w:tcBorders>
              <w:top w:val="nil"/>
              <w:left w:val="nil"/>
              <w:bottom w:val="nil"/>
              <w:right w:val="nil"/>
            </w:tcBorders>
          </w:tcPr>
          <w:p w14:paraId="795E1EEC" w14:textId="77777777" w:rsidR="00756526" w:rsidRPr="00093306" w:rsidRDefault="00756526" w:rsidP="00756526">
            <w:pPr>
              <w:pStyle w:val="NormalIndented"/>
              <w:rPr>
                <w:rFonts w:eastAsia="Times New Roman"/>
                <w:iCs/>
                <w:szCs w:val="17"/>
              </w:rPr>
            </w:pPr>
            <w:r w:rsidRPr="00093306">
              <w:rPr>
                <w:rFonts w:eastAsia="Times New Roman"/>
                <w:iCs/>
                <w:szCs w:val="17"/>
              </w:rPr>
              <w:t>Tuberculous case notification rate of 600 (all forms, per 100,000 population).</w:t>
            </w:r>
          </w:p>
        </w:tc>
        <w:tc>
          <w:tcPr>
            <w:tcW w:w="1364" w:type="pct"/>
            <w:tcBorders>
              <w:top w:val="nil"/>
              <w:left w:val="nil"/>
              <w:bottom w:val="nil"/>
              <w:right w:val="nil"/>
            </w:tcBorders>
          </w:tcPr>
          <w:p w14:paraId="2AD529CA" w14:textId="77777777" w:rsidR="00756526" w:rsidRPr="00093306" w:rsidRDefault="00756526" w:rsidP="00756526">
            <w:pPr>
              <w:pStyle w:val="NormalIndented"/>
              <w:rPr>
                <w:rFonts w:eastAsia="Times New Roman"/>
                <w:iCs/>
                <w:szCs w:val="17"/>
              </w:rPr>
            </w:pPr>
            <w:r w:rsidRPr="00093306">
              <w:t>NA</w:t>
            </w:r>
          </w:p>
        </w:tc>
      </w:tr>
      <w:tr w:rsidR="00756526" w:rsidRPr="00093306" w14:paraId="6152A47B" w14:textId="77777777" w:rsidTr="00756526">
        <w:trPr>
          <w:trHeight w:val="730"/>
        </w:trPr>
        <w:tc>
          <w:tcPr>
            <w:tcW w:w="799" w:type="pct"/>
            <w:tcBorders>
              <w:top w:val="nil"/>
              <w:left w:val="nil"/>
              <w:bottom w:val="nil"/>
              <w:right w:val="nil"/>
            </w:tcBorders>
          </w:tcPr>
          <w:p w14:paraId="74867835" w14:textId="77777777" w:rsidR="00756526" w:rsidRPr="00093306" w:rsidRDefault="00756526" w:rsidP="00756526">
            <w:pPr>
              <w:pStyle w:val="NormalIndented"/>
              <w:rPr>
                <w:rFonts w:eastAsia="Times New Roman"/>
                <w:iCs/>
                <w:szCs w:val="17"/>
              </w:rPr>
            </w:pPr>
          </w:p>
        </w:tc>
        <w:tc>
          <w:tcPr>
            <w:tcW w:w="1505" w:type="pct"/>
            <w:tcBorders>
              <w:top w:val="nil"/>
              <w:left w:val="nil"/>
              <w:bottom w:val="nil"/>
              <w:right w:val="nil"/>
            </w:tcBorders>
          </w:tcPr>
          <w:p w14:paraId="65BE8C4D" w14:textId="77777777" w:rsidR="00756526" w:rsidRPr="00093306" w:rsidRDefault="00756526" w:rsidP="00756526">
            <w:pPr>
              <w:pStyle w:val="NormalIndented"/>
              <w:rPr>
                <w:rFonts w:eastAsia="Times New Roman"/>
                <w:iCs/>
                <w:szCs w:val="17"/>
              </w:rPr>
            </w:pPr>
          </w:p>
        </w:tc>
        <w:tc>
          <w:tcPr>
            <w:tcW w:w="1332" w:type="pct"/>
            <w:gridSpan w:val="2"/>
            <w:tcBorders>
              <w:top w:val="nil"/>
              <w:left w:val="nil"/>
              <w:bottom w:val="nil"/>
              <w:right w:val="nil"/>
            </w:tcBorders>
          </w:tcPr>
          <w:p w14:paraId="5A195A56" w14:textId="77777777" w:rsidR="00756526" w:rsidRPr="00093306" w:rsidRDefault="00756526" w:rsidP="00756526">
            <w:pPr>
              <w:pStyle w:val="NormalIndented"/>
              <w:rPr>
                <w:rFonts w:eastAsia="Times New Roman"/>
                <w:iCs/>
                <w:szCs w:val="17"/>
              </w:rPr>
            </w:pPr>
            <w:r w:rsidRPr="00093306">
              <w:rPr>
                <w:rFonts w:eastAsia="Times New Roman"/>
                <w:iCs/>
                <w:szCs w:val="17"/>
              </w:rPr>
              <w:t>70 per cent of communities in South Tarawa are actively engaged in health and sanitation awareness programs.</w:t>
            </w:r>
          </w:p>
        </w:tc>
        <w:tc>
          <w:tcPr>
            <w:tcW w:w="1364" w:type="pct"/>
            <w:tcBorders>
              <w:top w:val="nil"/>
              <w:left w:val="nil"/>
              <w:bottom w:val="nil"/>
              <w:right w:val="nil"/>
            </w:tcBorders>
          </w:tcPr>
          <w:p w14:paraId="19AB7275" w14:textId="77777777" w:rsidR="00756526" w:rsidRPr="00093306" w:rsidRDefault="00756526" w:rsidP="00756526">
            <w:pPr>
              <w:pStyle w:val="NormalIndented"/>
              <w:rPr>
                <w:rFonts w:eastAsia="Times New Roman"/>
                <w:iCs/>
                <w:szCs w:val="17"/>
              </w:rPr>
            </w:pPr>
            <w:r w:rsidRPr="00093306">
              <w:rPr>
                <w:rFonts w:eastAsia="Times New Roman"/>
                <w:iCs/>
                <w:szCs w:val="17"/>
              </w:rPr>
              <w:t xml:space="preserve">Establishment of Sanitation Maintenance Fund program. </w:t>
            </w:r>
          </w:p>
        </w:tc>
      </w:tr>
      <w:tr w:rsidR="002079A8" w:rsidRPr="00093306" w14:paraId="0C60B840" w14:textId="77777777" w:rsidTr="00756526">
        <w:trPr>
          <w:trHeight w:val="730"/>
        </w:trPr>
        <w:tc>
          <w:tcPr>
            <w:tcW w:w="799" w:type="pct"/>
            <w:tcBorders>
              <w:top w:val="nil"/>
              <w:left w:val="nil"/>
              <w:bottom w:val="nil"/>
              <w:right w:val="nil"/>
            </w:tcBorders>
          </w:tcPr>
          <w:p w14:paraId="3A7CE271" w14:textId="77777777" w:rsidR="002079A8" w:rsidRPr="00093306" w:rsidRDefault="002079A8" w:rsidP="002079A8">
            <w:pPr>
              <w:pStyle w:val="NormalIndented"/>
              <w:rPr>
                <w:rFonts w:eastAsia="Times New Roman"/>
                <w:iCs/>
                <w:szCs w:val="17"/>
              </w:rPr>
            </w:pPr>
            <w:r w:rsidRPr="00093306">
              <w:rPr>
                <w:rFonts w:eastAsia="Times New Roman"/>
                <w:iCs/>
                <w:szCs w:val="17"/>
              </w:rPr>
              <w:t>Cross-cutting issues across all development assistance</w:t>
            </w:r>
          </w:p>
        </w:tc>
        <w:tc>
          <w:tcPr>
            <w:tcW w:w="1505" w:type="pct"/>
            <w:tcBorders>
              <w:top w:val="nil"/>
              <w:left w:val="nil"/>
              <w:bottom w:val="nil"/>
              <w:right w:val="nil"/>
            </w:tcBorders>
          </w:tcPr>
          <w:p w14:paraId="6407E822" w14:textId="77777777" w:rsidR="002079A8" w:rsidRPr="00093306" w:rsidRDefault="002079A8" w:rsidP="002079A8">
            <w:pPr>
              <w:pStyle w:val="NormalIndented"/>
              <w:rPr>
                <w:rFonts w:eastAsia="Times New Roman"/>
                <w:iCs/>
                <w:szCs w:val="17"/>
              </w:rPr>
            </w:pPr>
            <w:r w:rsidRPr="00093306">
              <w:rPr>
                <w:rFonts w:eastAsia="Times New Roman"/>
                <w:iCs/>
                <w:szCs w:val="17"/>
              </w:rPr>
              <w:t xml:space="preserve">Eliminating violence against women </w:t>
            </w:r>
          </w:p>
        </w:tc>
        <w:tc>
          <w:tcPr>
            <w:tcW w:w="1332" w:type="pct"/>
            <w:gridSpan w:val="2"/>
            <w:tcBorders>
              <w:top w:val="nil"/>
              <w:left w:val="nil"/>
              <w:bottom w:val="nil"/>
              <w:right w:val="nil"/>
            </w:tcBorders>
          </w:tcPr>
          <w:p w14:paraId="1E614D73" w14:textId="5E8D4520" w:rsidR="002079A8" w:rsidRPr="00093306" w:rsidRDefault="002079A8" w:rsidP="00404EE4">
            <w:pPr>
              <w:pStyle w:val="NormalIndented"/>
              <w:rPr>
                <w:rFonts w:eastAsia="Times New Roman"/>
                <w:iCs/>
                <w:szCs w:val="17"/>
              </w:rPr>
            </w:pPr>
            <w:r w:rsidRPr="00093306">
              <w:rPr>
                <w:rFonts w:eastAsia="Times New Roman"/>
                <w:iCs/>
                <w:szCs w:val="17"/>
              </w:rPr>
              <w:t>At least 30 per cent of all domestic violence cases result in protection orders.</w:t>
            </w:r>
          </w:p>
        </w:tc>
        <w:tc>
          <w:tcPr>
            <w:tcW w:w="1364" w:type="pct"/>
            <w:tcBorders>
              <w:top w:val="nil"/>
              <w:left w:val="nil"/>
              <w:bottom w:val="nil"/>
              <w:right w:val="nil"/>
            </w:tcBorders>
          </w:tcPr>
          <w:p w14:paraId="15E4FA3D" w14:textId="15882662" w:rsidR="002079A8" w:rsidRPr="00093306" w:rsidRDefault="002079A8" w:rsidP="00404EE4">
            <w:pPr>
              <w:pStyle w:val="NormalIndented"/>
              <w:rPr>
                <w:rFonts w:eastAsia="Times New Roman"/>
                <w:iCs/>
                <w:szCs w:val="17"/>
              </w:rPr>
            </w:pPr>
            <w:r w:rsidRPr="00093306">
              <w:rPr>
                <w:rFonts w:eastAsia="Times New Roman"/>
                <w:iCs/>
                <w:szCs w:val="17"/>
              </w:rPr>
              <w:t>At least 30 per cent of all domestic violence cases result</w:t>
            </w:r>
            <w:r w:rsidR="00404EE4" w:rsidRPr="00093306">
              <w:rPr>
                <w:rFonts w:eastAsia="Times New Roman"/>
                <w:iCs/>
                <w:szCs w:val="17"/>
              </w:rPr>
              <w:t xml:space="preserve"> </w:t>
            </w:r>
            <w:r w:rsidRPr="00093306">
              <w:rPr>
                <w:rFonts w:eastAsia="Times New Roman"/>
                <w:iCs/>
                <w:szCs w:val="17"/>
              </w:rPr>
              <w:t>in protection orders.</w:t>
            </w:r>
          </w:p>
        </w:tc>
      </w:tr>
    </w:tbl>
    <w:p w14:paraId="75892AAA" w14:textId="77777777" w:rsidR="00756526" w:rsidRPr="00093306" w:rsidRDefault="00756526" w:rsidP="00756526">
      <w:pPr>
        <w:pStyle w:val="Subtitle"/>
        <w:numPr>
          <w:ilvl w:val="0"/>
          <w:numId w:val="0"/>
        </w:numPr>
      </w:pPr>
      <w:r w:rsidRPr="00093306">
        <w:br w:type="page"/>
      </w:r>
      <w:r w:rsidRPr="00093306">
        <w:lastRenderedPageBreak/>
        <w:t>Annex C - Evaluation Planning</w:t>
      </w:r>
    </w:p>
    <w:p w14:paraId="2A36BD89" w14:textId="77777777" w:rsidR="00756526" w:rsidRPr="00093306" w:rsidRDefault="00756526" w:rsidP="0075652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93306">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756526" w:rsidRPr="00093306" w14:paraId="51D43B68" w14:textId="77777777" w:rsidTr="00756526">
        <w:trPr>
          <w:cnfStyle w:val="100000000000" w:firstRow="1" w:lastRow="0" w:firstColumn="0" w:lastColumn="0" w:oddVBand="0" w:evenVBand="0" w:oddHBand="0" w:evenHBand="0" w:firstRowFirstColumn="0" w:firstRowLastColumn="0" w:lastRowFirstColumn="0" w:lastRowLastColumn="0"/>
        </w:trPr>
        <w:tc>
          <w:tcPr>
            <w:tcW w:w="3064" w:type="dxa"/>
          </w:tcPr>
          <w:p w14:paraId="1111FB54" w14:textId="77777777" w:rsidR="00756526" w:rsidRPr="00093306" w:rsidRDefault="00756526" w:rsidP="00756526">
            <w:pPr>
              <w:keepLines/>
              <w:spacing w:line="200" w:lineRule="atLeast"/>
              <w:rPr>
                <w:rFonts w:asciiTheme="minorHAnsi" w:eastAsia="Times New Roman" w:hAnsiTheme="minorHAnsi"/>
                <w:iCs/>
                <w:szCs w:val="17"/>
                <w:lang w:eastAsia="en-US"/>
              </w:rPr>
            </w:pPr>
            <w:r w:rsidRPr="00093306">
              <w:rPr>
                <w:rFonts w:eastAsia="Times New Roman"/>
                <w:iCs/>
                <w:szCs w:val="17"/>
              </w:rPr>
              <w:t xml:space="preserve">Investment number and name </w:t>
            </w:r>
          </w:p>
          <w:p w14:paraId="79E36EB9" w14:textId="77777777" w:rsidR="00756526" w:rsidRPr="00093306" w:rsidRDefault="00756526" w:rsidP="00756526">
            <w:pPr>
              <w:keepLines/>
              <w:spacing w:line="200" w:lineRule="atLeast"/>
              <w:rPr>
                <w:rFonts w:asciiTheme="minorHAnsi" w:eastAsia="Times New Roman" w:hAnsiTheme="minorHAnsi"/>
                <w:b w:val="0"/>
                <w:iCs/>
                <w:szCs w:val="17"/>
                <w:lang w:eastAsia="en-US"/>
              </w:rPr>
            </w:pPr>
            <w:r w:rsidRPr="00093306">
              <w:rPr>
                <w:rFonts w:eastAsia="Times New Roman"/>
                <w:iCs/>
                <w:szCs w:val="17"/>
              </w:rPr>
              <w:t xml:space="preserve">(if applicable) </w:t>
            </w:r>
          </w:p>
        </w:tc>
        <w:tc>
          <w:tcPr>
            <w:tcW w:w="3665" w:type="dxa"/>
          </w:tcPr>
          <w:p w14:paraId="251BABAA" w14:textId="77777777" w:rsidR="00756526" w:rsidRPr="00093306" w:rsidRDefault="00756526" w:rsidP="00756526">
            <w:pPr>
              <w:keepLines/>
              <w:spacing w:line="200" w:lineRule="atLeast"/>
              <w:rPr>
                <w:rFonts w:asciiTheme="minorHAnsi" w:eastAsia="Times New Roman" w:hAnsiTheme="minorHAnsi"/>
                <w:iCs/>
                <w:szCs w:val="17"/>
                <w:lang w:eastAsia="en-US"/>
              </w:rPr>
            </w:pPr>
            <w:r w:rsidRPr="00093306">
              <w:rPr>
                <w:rFonts w:eastAsia="Times New Roman"/>
                <w:iCs/>
                <w:szCs w:val="17"/>
              </w:rPr>
              <w:t>Name of evaluation</w:t>
            </w:r>
          </w:p>
        </w:tc>
        <w:tc>
          <w:tcPr>
            <w:tcW w:w="1397" w:type="dxa"/>
          </w:tcPr>
          <w:p w14:paraId="3195675C" w14:textId="77777777" w:rsidR="00756526" w:rsidRPr="00093306" w:rsidRDefault="00756526" w:rsidP="00756526">
            <w:pPr>
              <w:keepLines/>
              <w:spacing w:line="200" w:lineRule="atLeast"/>
              <w:rPr>
                <w:rFonts w:asciiTheme="minorHAnsi" w:eastAsia="Times New Roman" w:hAnsiTheme="minorHAnsi"/>
                <w:iCs/>
                <w:szCs w:val="17"/>
                <w:lang w:eastAsia="en-US"/>
              </w:rPr>
            </w:pPr>
            <w:r w:rsidRPr="00093306">
              <w:rPr>
                <w:rFonts w:eastAsia="Times New Roman"/>
                <w:iCs/>
                <w:szCs w:val="17"/>
              </w:rPr>
              <w:t>Date completed</w:t>
            </w:r>
          </w:p>
        </w:tc>
        <w:tc>
          <w:tcPr>
            <w:tcW w:w="1953" w:type="dxa"/>
          </w:tcPr>
          <w:p w14:paraId="4BAAFCA7" w14:textId="77777777" w:rsidR="00756526" w:rsidRPr="00093306" w:rsidRDefault="00756526" w:rsidP="00756526">
            <w:pPr>
              <w:keepLines/>
              <w:spacing w:line="200" w:lineRule="atLeast"/>
              <w:rPr>
                <w:rFonts w:asciiTheme="minorHAnsi" w:eastAsia="Times New Roman" w:hAnsiTheme="minorHAnsi"/>
                <w:iCs/>
                <w:szCs w:val="17"/>
                <w:lang w:eastAsia="en-US"/>
              </w:rPr>
            </w:pPr>
            <w:r w:rsidRPr="00093306">
              <w:rPr>
                <w:rFonts w:eastAsia="Times New Roman"/>
                <w:iCs/>
                <w:szCs w:val="17"/>
              </w:rPr>
              <w:t>Date Evaluation report Uploaded into AidWorks</w:t>
            </w:r>
          </w:p>
        </w:tc>
        <w:tc>
          <w:tcPr>
            <w:tcW w:w="1671" w:type="dxa"/>
          </w:tcPr>
          <w:p w14:paraId="79AB7066" w14:textId="77777777" w:rsidR="00756526" w:rsidRPr="00093306" w:rsidRDefault="00756526" w:rsidP="00756526">
            <w:pPr>
              <w:keepLines/>
              <w:spacing w:line="200" w:lineRule="atLeast"/>
              <w:rPr>
                <w:rFonts w:asciiTheme="minorHAnsi" w:eastAsia="Times New Roman" w:hAnsiTheme="minorHAnsi"/>
                <w:iCs/>
                <w:szCs w:val="17"/>
                <w:lang w:eastAsia="en-US"/>
              </w:rPr>
            </w:pPr>
            <w:r w:rsidRPr="00093306">
              <w:rPr>
                <w:rFonts w:eastAsia="Times New Roman"/>
                <w:iCs/>
                <w:szCs w:val="17"/>
              </w:rPr>
              <w:t>Date Management response uploaded into AidWorks</w:t>
            </w:r>
          </w:p>
        </w:tc>
        <w:tc>
          <w:tcPr>
            <w:tcW w:w="2365" w:type="dxa"/>
          </w:tcPr>
          <w:p w14:paraId="4104022C" w14:textId="77777777" w:rsidR="00756526" w:rsidRPr="00093306" w:rsidRDefault="00756526" w:rsidP="00756526">
            <w:pPr>
              <w:keepLines/>
              <w:spacing w:line="200" w:lineRule="atLeast"/>
              <w:rPr>
                <w:rFonts w:asciiTheme="minorHAnsi" w:eastAsia="Times New Roman" w:hAnsiTheme="minorHAnsi"/>
                <w:iCs/>
                <w:szCs w:val="17"/>
                <w:lang w:eastAsia="en-US"/>
              </w:rPr>
            </w:pPr>
            <w:r w:rsidRPr="00093306">
              <w:rPr>
                <w:rFonts w:eastAsia="Times New Roman"/>
                <w:iCs/>
                <w:szCs w:val="17"/>
              </w:rPr>
              <w:t>Published on website</w:t>
            </w:r>
          </w:p>
        </w:tc>
      </w:tr>
      <w:tr w:rsidR="00756526" w:rsidRPr="00093306" w14:paraId="7E4A1212" w14:textId="77777777" w:rsidTr="00756526">
        <w:trPr>
          <w:cnfStyle w:val="100000000000" w:firstRow="1" w:lastRow="0" w:firstColumn="0" w:lastColumn="0" w:oddVBand="0" w:evenVBand="0" w:oddHBand="0" w:evenHBand="0" w:firstRowFirstColumn="0" w:firstRowLastColumn="0" w:lastRowFirstColumn="0" w:lastRowLastColumn="0"/>
        </w:trPr>
        <w:tc>
          <w:tcPr>
            <w:tcW w:w="3064" w:type="dxa"/>
          </w:tcPr>
          <w:p w14:paraId="55F7F46C" w14:textId="77777777" w:rsidR="00756526" w:rsidRPr="00F966FB" w:rsidRDefault="00756526" w:rsidP="00756526">
            <w:pPr>
              <w:keepLines/>
              <w:spacing w:before="40" w:after="40" w:line="200" w:lineRule="atLeast"/>
              <w:rPr>
                <w:rFonts w:asciiTheme="minorHAnsi" w:eastAsia="Times New Roman" w:hAnsiTheme="minorHAnsi"/>
                <w:b w:val="0"/>
                <w:iCs/>
                <w:szCs w:val="17"/>
                <w:lang w:eastAsia="en-US"/>
              </w:rPr>
            </w:pPr>
            <w:r w:rsidRPr="00F966FB">
              <w:rPr>
                <w:rFonts w:eastAsia="Times New Roman"/>
                <w:b w:val="0"/>
                <w:iCs/>
                <w:szCs w:val="17"/>
              </w:rPr>
              <w:t>Nil</w:t>
            </w:r>
          </w:p>
          <w:p w14:paraId="2468C5CD" w14:textId="77777777" w:rsidR="00756526" w:rsidRPr="00093306" w:rsidRDefault="00756526" w:rsidP="00756526">
            <w:pPr>
              <w:keepLines/>
              <w:spacing w:before="40" w:after="40" w:line="200" w:lineRule="atLeast"/>
              <w:rPr>
                <w:rFonts w:asciiTheme="minorHAnsi" w:eastAsia="Times New Roman" w:hAnsiTheme="minorHAnsi"/>
                <w:b w:val="0"/>
                <w:iCs/>
                <w:szCs w:val="17"/>
                <w:lang w:eastAsia="en-US"/>
              </w:rPr>
            </w:pPr>
          </w:p>
        </w:tc>
        <w:tc>
          <w:tcPr>
            <w:tcW w:w="3665" w:type="dxa"/>
          </w:tcPr>
          <w:p w14:paraId="627918E5" w14:textId="77777777" w:rsidR="00756526" w:rsidRPr="00093306" w:rsidRDefault="00756526" w:rsidP="00756526">
            <w:pPr>
              <w:keepLines/>
              <w:spacing w:before="40" w:after="40" w:line="200" w:lineRule="atLeast"/>
              <w:rPr>
                <w:rFonts w:asciiTheme="minorHAnsi" w:eastAsia="Times New Roman" w:hAnsiTheme="minorHAnsi"/>
                <w:b w:val="0"/>
                <w:iCs/>
                <w:szCs w:val="17"/>
                <w:lang w:eastAsia="en-US"/>
              </w:rPr>
            </w:pPr>
          </w:p>
        </w:tc>
        <w:tc>
          <w:tcPr>
            <w:tcW w:w="1397" w:type="dxa"/>
          </w:tcPr>
          <w:p w14:paraId="5ABCF7B6" w14:textId="77777777" w:rsidR="00756526" w:rsidRPr="00093306" w:rsidRDefault="00756526" w:rsidP="00756526">
            <w:pPr>
              <w:keepLines/>
              <w:spacing w:before="40" w:after="40" w:line="200" w:lineRule="atLeast"/>
              <w:rPr>
                <w:rFonts w:asciiTheme="minorHAnsi" w:eastAsia="Times New Roman" w:hAnsiTheme="minorHAnsi"/>
                <w:b w:val="0"/>
                <w:iCs/>
                <w:szCs w:val="17"/>
                <w:lang w:eastAsia="en-US"/>
              </w:rPr>
            </w:pPr>
          </w:p>
        </w:tc>
        <w:tc>
          <w:tcPr>
            <w:tcW w:w="1953" w:type="dxa"/>
          </w:tcPr>
          <w:p w14:paraId="1E77D7E3" w14:textId="77777777" w:rsidR="00756526" w:rsidRPr="00093306" w:rsidRDefault="00756526" w:rsidP="00756526">
            <w:pPr>
              <w:keepLines/>
              <w:spacing w:before="40" w:after="40" w:line="200" w:lineRule="atLeast"/>
              <w:rPr>
                <w:rFonts w:asciiTheme="minorHAnsi" w:eastAsia="Times New Roman" w:hAnsiTheme="minorHAnsi"/>
                <w:b w:val="0"/>
                <w:iCs/>
                <w:szCs w:val="17"/>
                <w:lang w:eastAsia="en-US"/>
              </w:rPr>
            </w:pPr>
          </w:p>
        </w:tc>
        <w:tc>
          <w:tcPr>
            <w:tcW w:w="1671" w:type="dxa"/>
          </w:tcPr>
          <w:p w14:paraId="76A1DFFA" w14:textId="77777777" w:rsidR="00756526" w:rsidRPr="00093306" w:rsidRDefault="00756526" w:rsidP="00756526">
            <w:pPr>
              <w:keepLines/>
              <w:spacing w:before="40" w:after="40" w:line="200" w:lineRule="atLeast"/>
              <w:rPr>
                <w:rFonts w:asciiTheme="minorHAnsi" w:eastAsia="Times New Roman" w:hAnsiTheme="minorHAnsi"/>
                <w:b w:val="0"/>
                <w:iCs/>
                <w:szCs w:val="17"/>
                <w:lang w:eastAsia="en-US"/>
              </w:rPr>
            </w:pPr>
          </w:p>
        </w:tc>
        <w:tc>
          <w:tcPr>
            <w:tcW w:w="2365" w:type="dxa"/>
          </w:tcPr>
          <w:p w14:paraId="3B1A62B8" w14:textId="77777777" w:rsidR="00756526" w:rsidRPr="00093306" w:rsidRDefault="00756526" w:rsidP="00756526">
            <w:pPr>
              <w:keepLines/>
              <w:spacing w:before="40" w:after="40" w:line="200" w:lineRule="atLeast"/>
              <w:rPr>
                <w:rFonts w:asciiTheme="minorHAnsi" w:eastAsia="Times New Roman" w:hAnsiTheme="minorHAnsi"/>
                <w:b w:val="0"/>
                <w:iCs/>
                <w:szCs w:val="17"/>
                <w:lang w:eastAsia="en-US"/>
              </w:rPr>
            </w:pPr>
          </w:p>
        </w:tc>
      </w:tr>
    </w:tbl>
    <w:p w14:paraId="7AA42596" w14:textId="77777777" w:rsidR="00756526" w:rsidRPr="00093306" w:rsidRDefault="00756526" w:rsidP="0075652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93306">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756526" w:rsidRPr="00093306" w14:paraId="09CBD4F9" w14:textId="77777777" w:rsidTr="00756526">
        <w:tc>
          <w:tcPr>
            <w:tcW w:w="2444" w:type="dxa"/>
          </w:tcPr>
          <w:p w14:paraId="0642DED0"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Evaluation title</w:t>
            </w:r>
          </w:p>
        </w:tc>
        <w:tc>
          <w:tcPr>
            <w:tcW w:w="2356" w:type="dxa"/>
          </w:tcPr>
          <w:p w14:paraId="4E6A73A8"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 xml:space="preserve">Investment number and name (if applicable) </w:t>
            </w:r>
          </w:p>
        </w:tc>
        <w:tc>
          <w:tcPr>
            <w:tcW w:w="2042" w:type="dxa"/>
          </w:tcPr>
          <w:p w14:paraId="64E3C04E"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Date – planned commencement (month/year)</w:t>
            </w:r>
          </w:p>
        </w:tc>
        <w:tc>
          <w:tcPr>
            <w:tcW w:w="2208" w:type="dxa"/>
          </w:tcPr>
          <w:p w14:paraId="10556D18"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Date – planned completion (month/year)</w:t>
            </w:r>
          </w:p>
        </w:tc>
        <w:tc>
          <w:tcPr>
            <w:tcW w:w="2325" w:type="dxa"/>
          </w:tcPr>
          <w:p w14:paraId="3846F5C1"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Purpose of evaluation</w:t>
            </w:r>
          </w:p>
        </w:tc>
        <w:tc>
          <w:tcPr>
            <w:tcW w:w="2740" w:type="dxa"/>
          </w:tcPr>
          <w:p w14:paraId="154EC442"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Evaluation type</w:t>
            </w:r>
          </w:p>
        </w:tc>
      </w:tr>
      <w:tr w:rsidR="00756526" w:rsidRPr="00093306" w14:paraId="69A88C1F" w14:textId="77777777" w:rsidTr="00756526">
        <w:tc>
          <w:tcPr>
            <w:tcW w:w="2444" w:type="dxa"/>
          </w:tcPr>
          <w:p w14:paraId="6BB60263" w14:textId="77777777" w:rsidR="00756526" w:rsidRPr="00093306" w:rsidRDefault="00756526" w:rsidP="00756526">
            <w:pPr>
              <w:keepLines/>
              <w:spacing w:before="80" w:after="80" w:line="200" w:lineRule="atLeast"/>
              <w:rPr>
                <w:rFonts w:eastAsia="Times New Roman"/>
                <w:b/>
                <w:iCs/>
                <w:szCs w:val="17"/>
              </w:rPr>
            </w:pPr>
            <w:r w:rsidRPr="00093306">
              <w:rPr>
                <w:rFonts w:eastAsia="Times New Roman"/>
                <w:iCs/>
                <w:szCs w:val="17"/>
              </w:rPr>
              <w:t xml:space="preserve">Kiribati Education Improvement Program Phase III Independent Evaluation </w:t>
            </w:r>
          </w:p>
        </w:tc>
        <w:tc>
          <w:tcPr>
            <w:tcW w:w="2356" w:type="dxa"/>
          </w:tcPr>
          <w:p w14:paraId="40867711" w14:textId="77777777" w:rsidR="00756526" w:rsidRPr="00093306" w:rsidRDefault="00756526" w:rsidP="00756526">
            <w:pPr>
              <w:keepLines/>
              <w:spacing w:before="80" w:after="80" w:line="200" w:lineRule="atLeast"/>
              <w:rPr>
                <w:rFonts w:eastAsia="Times New Roman"/>
                <w:b/>
                <w:iCs/>
                <w:szCs w:val="17"/>
              </w:rPr>
            </w:pPr>
            <w:r w:rsidRPr="00093306">
              <w:rPr>
                <w:rFonts w:eastAsia="Times New Roman"/>
                <w:iCs/>
                <w:szCs w:val="17"/>
              </w:rPr>
              <w:t>INI620 - Improved Basic Education</w:t>
            </w:r>
          </w:p>
        </w:tc>
        <w:tc>
          <w:tcPr>
            <w:tcW w:w="2042" w:type="dxa"/>
          </w:tcPr>
          <w:p w14:paraId="01929E9F" w14:textId="77777777" w:rsidR="00756526" w:rsidRPr="00093306" w:rsidRDefault="00756526" w:rsidP="00756526">
            <w:pPr>
              <w:keepLines/>
              <w:spacing w:before="80" w:after="80" w:line="200" w:lineRule="atLeast"/>
              <w:rPr>
                <w:rFonts w:eastAsia="Times New Roman"/>
                <w:b/>
                <w:iCs/>
                <w:szCs w:val="17"/>
              </w:rPr>
            </w:pPr>
            <w:r w:rsidRPr="00093306">
              <w:rPr>
                <w:rFonts w:eastAsia="Times New Roman"/>
                <w:iCs/>
                <w:szCs w:val="17"/>
              </w:rPr>
              <w:t>July 2018</w:t>
            </w:r>
          </w:p>
        </w:tc>
        <w:tc>
          <w:tcPr>
            <w:tcW w:w="2208" w:type="dxa"/>
          </w:tcPr>
          <w:p w14:paraId="70DBEC43" w14:textId="77777777" w:rsidR="00756526" w:rsidRPr="00093306" w:rsidRDefault="00756526" w:rsidP="00756526">
            <w:pPr>
              <w:keepLines/>
              <w:spacing w:before="80" w:after="80" w:line="200" w:lineRule="atLeast"/>
              <w:rPr>
                <w:rFonts w:eastAsia="Times New Roman"/>
                <w:b/>
                <w:iCs/>
                <w:szCs w:val="17"/>
              </w:rPr>
            </w:pPr>
            <w:r w:rsidRPr="00093306">
              <w:rPr>
                <w:rFonts w:eastAsia="Times New Roman"/>
                <w:iCs/>
                <w:szCs w:val="17"/>
              </w:rPr>
              <w:t>December 2018</w:t>
            </w:r>
          </w:p>
        </w:tc>
        <w:tc>
          <w:tcPr>
            <w:tcW w:w="2325" w:type="dxa"/>
          </w:tcPr>
          <w:p w14:paraId="4003B084"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To inform the implementation of the current phase and the design of new phase, and to  verify performance</w:t>
            </w:r>
          </w:p>
          <w:p w14:paraId="689785CD" w14:textId="77777777" w:rsidR="00756526" w:rsidRPr="00093306" w:rsidRDefault="00756526" w:rsidP="00756526">
            <w:pPr>
              <w:keepLines/>
              <w:spacing w:before="80" w:after="80" w:line="200" w:lineRule="atLeast"/>
              <w:rPr>
                <w:rFonts w:eastAsia="Times New Roman"/>
                <w:b/>
                <w:iCs/>
                <w:szCs w:val="17"/>
              </w:rPr>
            </w:pPr>
          </w:p>
        </w:tc>
        <w:tc>
          <w:tcPr>
            <w:tcW w:w="2740" w:type="dxa"/>
          </w:tcPr>
          <w:p w14:paraId="17F4FF1D"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DFAT led </w:t>
            </w:r>
          </w:p>
          <w:p w14:paraId="2CEBB5C2" w14:textId="77777777" w:rsidR="00756526" w:rsidRPr="00093306" w:rsidRDefault="00756526" w:rsidP="00756526">
            <w:pPr>
              <w:keepLines/>
              <w:spacing w:before="80" w:after="80" w:line="200" w:lineRule="atLeast"/>
              <w:rPr>
                <w:rFonts w:eastAsia="Times New Roman"/>
                <w:b/>
                <w:iCs/>
                <w:szCs w:val="17"/>
              </w:rPr>
            </w:pPr>
          </w:p>
        </w:tc>
      </w:tr>
      <w:tr w:rsidR="00756526" w:rsidRPr="00093306" w14:paraId="4426555D" w14:textId="77777777" w:rsidTr="00756526">
        <w:tc>
          <w:tcPr>
            <w:tcW w:w="2444" w:type="dxa"/>
          </w:tcPr>
          <w:p w14:paraId="02146765" w14:textId="77777777" w:rsidR="00756526" w:rsidRPr="00093306" w:rsidRDefault="00756526" w:rsidP="00756526">
            <w:pPr>
              <w:keepLines/>
              <w:spacing w:before="80" w:after="80" w:line="200" w:lineRule="atLeast"/>
              <w:rPr>
                <w:rFonts w:eastAsia="Times New Roman"/>
                <w:iCs/>
                <w:szCs w:val="17"/>
              </w:rPr>
            </w:pPr>
            <w:r w:rsidRPr="00093306">
              <w:rPr>
                <w:rFonts w:eastAsia="Times New Roman"/>
                <w:iCs/>
                <w:szCs w:val="17"/>
              </w:rPr>
              <w:t>Kiribati Facility Independent Evaluation</w:t>
            </w:r>
          </w:p>
        </w:tc>
        <w:tc>
          <w:tcPr>
            <w:tcW w:w="2356" w:type="dxa"/>
          </w:tcPr>
          <w:p w14:paraId="63CF30E8" w14:textId="77777777" w:rsidR="00756526" w:rsidRPr="00093306" w:rsidRDefault="00756526" w:rsidP="00756526">
            <w:pPr>
              <w:keepLines/>
              <w:spacing w:before="80" w:after="80" w:line="200" w:lineRule="atLeast"/>
              <w:rPr>
                <w:rFonts w:eastAsia="Times New Roman"/>
                <w:iCs/>
                <w:szCs w:val="17"/>
              </w:rPr>
            </w:pPr>
            <w:r w:rsidRPr="00093306">
              <w:rPr>
                <w:rFonts w:eastAsia="Times New Roman"/>
                <w:iCs/>
                <w:szCs w:val="17"/>
              </w:rPr>
              <w:t>INL921 - Kiribati Facility</w:t>
            </w:r>
          </w:p>
        </w:tc>
        <w:tc>
          <w:tcPr>
            <w:tcW w:w="2042" w:type="dxa"/>
          </w:tcPr>
          <w:p w14:paraId="1E941C5D" w14:textId="77777777" w:rsidR="00756526" w:rsidRPr="00093306" w:rsidRDefault="00756526" w:rsidP="00756526">
            <w:pPr>
              <w:keepLines/>
              <w:spacing w:before="80" w:after="80" w:line="200" w:lineRule="atLeast"/>
              <w:rPr>
                <w:rFonts w:asciiTheme="minorHAnsi" w:eastAsia="Times New Roman" w:hAnsiTheme="minorHAnsi"/>
                <w:iCs/>
                <w:szCs w:val="17"/>
                <w:lang w:eastAsia="en-US"/>
              </w:rPr>
            </w:pPr>
            <w:r w:rsidRPr="00093306">
              <w:rPr>
                <w:rFonts w:eastAsia="Times New Roman"/>
                <w:iCs/>
                <w:szCs w:val="17"/>
              </w:rPr>
              <w:t>January 2019</w:t>
            </w:r>
          </w:p>
        </w:tc>
        <w:tc>
          <w:tcPr>
            <w:tcW w:w="2208" w:type="dxa"/>
          </w:tcPr>
          <w:p w14:paraId="3310CB5E" w14:textId="77777777" w:rsidR="00756526" w:rsidRPr="00093306" w:rsidRDefault="00756526" w:rsidP="00756526">
            <w:pPr>
              <w:keepLines/>
              <w:spacing w:before="80" w:after="80" w:line="200" w:lineRule="atLeast"/>
              <w:rPr>
                <w:rFonts w:asciiTheme="minorHAnsi" w:eastAsia="Times New Roman" w:hAnsiTheme="minorHAnsi"/>
                <w:iCs/>
                <w:szCs w:val="17"/>
                <w:lang w:eastAsia="en-US"/>
              </w:rPr>
            </w:pPr>
            <w:r w:rsidRPr="00093306">
              <w:rPr>
                <w:rFonts w:eastAsia="Times New Roman"/>
                <w:iCs/>
                <w:szCs w:val="17"/>
              </w:rPr>
              <w:t>July 2019</w:t>
            </w:r>
          </w:p>
        </w:tc>
        <w:tc>
          <w:tcPr>
            <w:tcW w:w="2325" w:type="dxa"/>
          </w:tcPr>
          <w:p w14:paraId="265695BD"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To inform the implementation of the current phase and the design of new phase, and to  verify performance</w:t>
            </w:r>
          </w:p>
        </w:tc>
        <w:tc>
          <w:tcPr>
            <w:tcW w:w="2740" w:type="dxa"/>
          </w:tcPr>
          <w:p w14:paraId="62BB3D2A" w14:textId="77777777" w:rsidR="00756526" w:rsidRPr="00093306" w:rsidRDefault="00756526" w:rsidP="00756526">
            <w:pPr>
              <w:keepLines/>
              <w:spacing w:before="40" w:after="40" w:line="200" w:lineRule="atLeast"/>
              <w:rPr>
                <w:rFonts w:eastAsia="Times New Roman"/>
                <w:iCs/>
                <w:szCs w:val="17"/>
              </w:rPr>
            </w:pPr>
            <w:r w:rsidRPr="00093306">
              <w:rPr>
                <w:rFonts w:eastAsia="Times New Roman"/>
                <w:iCs/>
                <w:szCs w:val="17"/>
              </w:rPr>
              <w:t>DFAT led</w:t>
            </w:r>
          </w:p>
        </w:tc>
      </w:tr>
      <w:tr w:rsidR="00756526" w:rsidRPr="00093306" w14:paraId="419ED226" w14:textId="77777777" w:rsidTr="00756526">
        <w:tc>
          <w:tcPr>
            <w:tcW w:w="2444" w:type="dxa"/>
          </w:tcPr>
          <w:p w14:paraId="0DA5BA36" w14:textId="77777777" w:rsidR="00756526" w:rsidRPr="00093306" w:rsidRDefault="00756526" w:rsidP="00756526">
            <w:pPr>
              <w:keepLines/>
              <w:spacing w:before="80" w:after="80" w:line="200" w:lineRule="atLeast"/>
              <w:rPr>
                <w:rFonts w:eastAsia="Times New Roman"/>
                <w:iCs/>
                <w:szCs w:val="17"/>
              </w:rPr>
            </w:pPr>
          </w:p>
        </w:tc>
        <w:tc>
          <w:tcPr>
            <w:tcW w:w="2356" w:type="dxa"/>
          </w:tcPr>
          <w:p w14:paraId="29E572E6" w14:textId="77777777" w:rsidR="00756526" w:rsidRPr="00093306" w:rsidRDefault="00756526" w:rsidP="00756526">
            <w:pPr>
              <w:keepLines/>
              <w:spacing w:before="80" w:after="80" w:line="200" w:lineRule="atLeast"/>
              <w:rPr>
                <w:rFonts w:eastAsia="Times New Roman"/>
                <w:iCs/>
                <w:szCs w:val="17"/>
              </w:rPr>
            </w:pPr>
          </w:p>
        </w:tc>
        <w:tc>
          <w:tcPr>
            <w:tcW w:w="2042" w:type="dxa"/>
          </w:tcPr>
          <w:p w14:paraId="6275ADC1" w14:textId="77777777" w:rsidR="00756526" w:rsidRPr="001B3568" w:rsidRDefault="00756526" w:rsidP="00756526">
            <w:pPr>
              <w:keepLines/>
              <w:spacing w:before="80" w:after="80" w:line="200" w:lineRule="atLeast"/>
              <w:rPr>
                <w:rFonts w:eastAsia="Times New Roman"/>
                <w:iCs/>
                <w:szCs w:val="17"/>
              </w:rPr>
            </w:pPr>
          </w:p>
        </w:tc>
        <w:tc>
          <w:tcPr>
            <w:tcW w:w="2208" w:type="dxa"/>
          </w:tcPr>
          <w:p w14:paraId="5797BAE6" w14:textId="77777777" w:rsidR="00756526" w:rsidRPr="001B3568" w:rsidRDefault="00756526" w:rsidP="00756526">
            <w:pPr>
              <w:keepLines/>
              <w:spacing w:before="80" w:after="80" w:line="200" w:lineRule="atLeast"/>
              <w:rPr>
                <w:rFonts w:eastAsia="Times New Roman"/>
                <w:iCs/>
                <w:szCs w:val="17"/>
              </w:rPr>
            </w:pPr>
          </w:p>
        </w:tc>
        <w:tc>
          <w:tcPr>
            <w:tcW w:w="2325" w:type="dxa"/>
          </w:tcPr>
          <w:p w14:paraId="72E9F812" w14:textId="77777777" w:rsidR="00756526" w:rsidRPr="00093306" w:rsidRDefault="00756526" w:rsidP="00756526">
            <w:pPr>
              <w:keepLines/>
              <w:spacing w:before="40" w:after="40" w:line="200" w:lineRule="atLeast"/>
              <w:rPr>
                <w:rFonts w:eastAsia="Times New Roman"/>
                <w:iCs/>
                <w:szCs w:val="17"/>
              </w:rPr>
            </w:pPr>
          </w:p>
        </w:tc>
        <w:tc>
          <w:tcPr>
            <w:tcW w:w="2740" w:type="dxa"/>
          </w:tcPr>
          <w:p w14:paraId="14DEC7AC" w14:textId="77777777" w:rsidR="00756526" w:rsidRPr="00AB1782" w:rsidRDefault="00756526" w:rsidP="00756526">
            <w:pPr>
              <w:keepLines/>
              <w:spacing w:before="40" w:after="40" w:line="200" w:lineRule="atLeast"/>
              <w:rPr>
                <w:rFonts w:eastAsia="Times New Roman"/>
                <w:iCs/>
                <w:szCs w:val="17"/>
              </w:rPr>
            </w:pPr>
          </w:p>
        </w:tc>
      </w:tr>
      <w:tr w:rsidR="00756526" w:rsidRPr="00093306" w14:paraId="3685220D" w14:textId="77777777" w:rsidTr="00756526">
        <w:tc>
          <w:tcPr>
            <w:tcW w:w="2444" w:type="dxa"/>
          </w:tcPr>
          <w:p w14:paraId="04F0CC48"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2356" w:type="dxa"/>
          </w:tcPr>
          <w:p w14:paraId="24D99CC8"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2042" w:type="dxa"/>
          </w:tcPr>
          <w:p w14:paraId="4B606817"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2208" w:type="dxa"/>
          </w:tcPr>
          <w:p w14:paraId="4C86267A"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2325" w:type="dxa"/>
          </w:tcPr>
          <w:p w14:paraId="517EF448" w14:textId="77777777" w:rsidR="00756526" w:rsidRPr="00093306" w:rsidRDefault="00756526" w:rsidP="00756526">
            <w:pPr>
              <w:keepLines/>
              <w:spacing w:before="40" w:after="40" w:line="200" w:lineRule="atLeast"/>
              <w:rPr>
                <w:rFonts w:asciiTheme="minorHAnsi" w:eastAsia="Times New Roman" w:hAnsiTheme="minorHAnsi"/>
                <w:iCs/>
                <w:color w:val="000000" w:themeColor="text1" w:themeShade="BF"/>
                <w:szCs w:val="17"/>
                <w:lang w:eastAsia="en-US"/>
              </w:rPr>
            </w:pPr>
          </w:p>
        </w:tc>
        <w:tc>
          <w:tcPr>
            <w:tcW w:w="2740" w:type="dxa"/>
          </w:tcPr>
          <w:p w14:paraId="0E6E3F75"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r>
    </w:tbl>
    <w:p w14:paraId="2C782F8E" w14:textId="77777777" w:rsidR="00756526" w:rsidRPr="00093306" w:rsidRDefault="00756526" w:rsidP="00756526">
      <w:pPr>
        <w:pStyle w:val="ListBullet"/>
        <w:tabs>
          <w:tab w:val="clear" w:pos="284"/>
        </w:tabs>
      </w:pPr>
    </w:p>
    <w:p w14:paraId="19C52478" w14:textId="77777777" w:rsidR="00756526" w:rsidRPr="00093306" w:rsidRDefault="00756526" w:rsidP="00756526">
      <w:pPr>
        <w:pStyle w:val="ListBullet"/>
        <w:tabs>
          <w:tab w:val="clear" w:pos="284"/>
        </w:tabs>
      </w:pPr>
    </w:p>
    <w:p w14:paraId="3B14C6D1" w14:textId="77777777" w:rsidR="00756526" w:rsidRPr="00093306" w:rsidRDefault="00756526" w:rsidP="00756526">
      <w:pPr>
        <w:pStyle w:val="ListBullet"/>
        <w:tabs>
          <w:tab w:val="clear" w:pos="284"/>
        </w:tabs>
        <w:sectPr w:rsidR="00756526" w:rsidRPr="00093306" w:rsidSect="00D2653F">
          <w:headerReference w:type="default" r:id="rId26"/>
          <w:headerReference w:type="first" r:id="rId27"/>
          <w:pgSz w:w="16838" w:h="11906" w:orient="landscape" w:code="9"/>
          <w:pgMar w:top="1134" w:right="1952" w:bottom="1134" w:left="851" w:header="1107" w:footer="567" w:gutter="0"/>
          <w:cols w:space="397"/>
          <w:docGrid w:linePitch="360"/>
        </w:sectPr>
      </w:pPr>
    </w:p>
    <w:p w14:paraId="271C14BF" w14:textId="77777777" w:rsidR="00756526" w:rsidRPr="00093306" w:rsidRDefault="00756526" w:rsidP="00756526">
      <w:pPr>
        <w:pStyle w:val="Subtitle"/>
      </w:pPr>
      <w:r w:rsidRPr="00093306">
        <w:lastRenderedPageBreak/>
        <w:t>Annex D - Aid Quality Check ratings</w:t>
      </w:r>
    </w:p>
    <w:p w14:paraId="7B54AE89" w14:textId="77777777" w:rsidR="00756526" w:rsidRPr="00093306" w:rsidRDefault="00756526" w:rsidP="0075652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93306">
        <w:rPr>
          <w:rFonts w:asciiTheme="majorHAnsi" w:eastAsiaTheme="majorEastAsia" w:hAnsiTheme="majorHAnsi" w:cstheme="majorBidi"/>
          <w:caps/>
          <w:color w:val="495965" w:themeColor="text2"/>
          <w:sz w:val="38"/>
          <w:szCs w:val="26"/>
          <w:lang w:val="en-GB" w:eastAsia="en-US"/>
        </w:rPr>
        <w:t>AQC ratings</w:t>
      </w:r>
    </w:p>
    <w:p w14:paraId="7AB8C516" w14:textId="77777777" w:rsidR="00756526" w:rsidRPr="00093306" w:rsidRDefault="00756526" w:rsidP="00756526">
      <w:r w:rsidRPr="00093306">
        <w:t>AQC investment performance over the previous 12 months and where available last year’s AQC ratings.</w:t>
      </w:r>
    </w:p>
    <w:tbl>
      <w:tblPr>
        <w:tblStyle w:val="APPR"/>
        <w:tblW w:w="4570" w:type="pct"/>
        <w:tblLook w:val="0000" w:firstRow="0" w:lastRow="0" w:firstColumn="0" w:lastColumn="0" w:noHBand="0" w:noVBand="0"/>
      </w:tblPr>
      <w:tblGrid>
        <w:gridCol w:w="2581"/>
        <w:gridCol w:w="1877"/>
        <w:gridCol w:w="1197"/>
        <w:gridCol w:w="1200"/>
        <w:gridCol w:w="1192"/>
        <w:gridCol w:w="1200"/>
        <w:gridCol w:w="1192"/>
        <w:gridCol w:w="1200"/>
        <w:gridCol w:w="1189"/>
      </w:tblGrid>
      <w:tr w:rsidR="00756526" w:rsidRPr="00093306" w14:paraId="49036780" w14:textId="77777777" w:rsidTr="00756526">
        <w:trPr>
          <w:cnfStyle w:val="000000010000" w:firstRow="0" w:lastRow="0" w:firstColumn="0" w:lastColumn="0" w:oddVBand="0" w:evenVBand="0" w:oddHBand="0" w:evenHBand="1" w:firstRowFirstColumn="0" w:firstRowLastColumn="0" w:lastRowFirstColumn="0" w:lastRowLastColumn="0"/>
          <w:trHeight w:val="1413"/>
        </w:trPr>
        <w:tc>
          <w:tcPr>
            <w:tcW w:w="980" w:type="pct"/>
          </w:tcPr>
          <w:p w14:paraId="1D6DDEFF"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noProof/>
                <w:szCs w:val="17"/>
                <w:lang w:val="en-AU"/>
              </w:rPr>
              <w:drawing>
                <wp:anchor distT="0" distB="0" distL="114300" distR="114300" simplePos="0" relativeHeight="251688960" behindDoc="0" locked="0" layoutInCell="1" allowOverlap="1" wp14:anchorId="45FCEB7B" wp14:editId="12E2AC65">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306">
              <w:rPr>
                <w:rFonts w:asciiTheme="minorHAnsi" w:eastAsia="Times New Roman" w:hAnsiTheme="minorHAnsi"/>
                <w:b/>
                <w:iCs/>
                <w:szCs w:val="17"/>
                <w:lang w:eastAsia="en-US"/>
              </w:rPr>
              <w:t>Investment name</w:t>
            </w:r>
          </w:p>
        </w:tc>
        <w:tc>
          <w:tcPr>
            <w:tcW w:w="713" w:type="pct"/>
            <w:textDirection w:val="btLr"/>
          </w:tcPr>
          <w:p w14:paraId="1B1095CF" w14:textId="77777777" w:rsidR="00756526" w:rsidRPr="000D787E" w:rsidRDefault="00756526" w:rsidP="00756526">
            <w:pPr>
              <w:keepLines/>
              <w:spacing w:before="80" w:after="80" w:line="200" w:lineRule="atLeast"/>
              <w:rPr>
                <w:rFonts w:asciiTheme="minorHAnsi" w:eastAsia="Times New Roman" w:hAnsiTheme="minorHAnsi"/>
                <w:b/>
                <w:iCs/>
                <w:szCs w:val="17"/>
                <w:lang w:eastAsia="en-US"/>
              </w:rPr>
            </w:pPr>
            <w:r w:rsidRPr="000D787E">
              <w:rPr>
                <w:rFonts w:asciiTheme="minorHAnsi" w:eastAsia="Times New Roman" w:hAnsiTheme="minorHAnsi"/>
                <w:b/>
                <w:iCs/>
                <w:szCs w:val="17"/>
                <w:lang w:eastAsia="en-US"/>
              </w:rPr>
              <w:t>Approved budget and duration</w:t>
            </w:r>
          </w:p>
        </w:tc>
        <w:tc>
          <w:tcPr>
            <w:tcW w:w="451" w:type="pct"/>
            <w:textDirection w:val="btLr"/>
          </w:tcPr>
          <w:p w14:paraId="664FF060" w14:textId="77777777" w:rsidR="00756526" w:rsidRPr="00AB1782" w:rsidRDefault="00756526" w:rsidP="00756526">
            <w:pPr>
              <w:keepLines/>
              <w:spacing w:before="80" w:after="80" w:line="200" w:lineRule="atLeast"/>
              <w:rPr>
                <w:rFonts w:asciiTheme="minorHAnsi" w:eastAsia="Times New Roman" w:hAnsiTheme="minorHAnsi"/>
                <w:b/>
                <w:iCs/>
                <w:szCs w:val="17"/>
                <w:lang w:eastAsia="en-US"/>
              </w:rPr>
            </w:pPr>
            <w:r w:rsidRPr="00AB1782">
              <w:rPr>
                <w:rFonts w:asciiTheme="minorHAnsi" w:eastAsia="Times New Roman" w:hAnsiTheme="minorHAnsi"/>
                <w:b/>
                <w:iCs/>
                <w:szCs w:val="17"/>
                <w:lang w:eastAsia="en-US"/>
              </w:rPr>
              <w:t>year on year</w:t>
            </w:r>
          </w:p>
        </w:tc>
        <w:tc>
          <w:tcPr>
            <w:tcW w:w="452" w:type="pct"/>
            <w:textDirection w:val="btLr"/>
          </w:tcPr>
          <w:p w14:paraId="23C58C56" w14:textId="77777777" w:rsidR="00756526" w:rsidRPr="00AB1782" w:rsidRDefault="00756526" w:rsidP="00756526">
            <w:pPr>
              <w:keepLines/>
              <w:spacing w:before="80" w:after="80" w:line="200" w:lineRule="atLeast"/>
              <w:rPr>
                <w:rFonts w:asciiTheme="minorHAnsi" w:eastAsia="Times New Roman" w:hAnsiTheme="minorHAnsi"/>
                <w:b/>
                <w:iCs/>
                <w:szCs w:val="17"/>
                <w:lang w:eastAsia="en-US"/>
              </w:rPr>
            </w:pPr>
            <w:r w:rsidRPr="00AB1782">
              <w:rPr>
                <w:rFonts w:asciiTheme="minorHAnsi" w:eastAsia="Times New Roman" w:hAnsiTheme="minorHAnsi"/>
                <w:b/>
                <w:iCs/>
                <w:szCs w:val="17"/>
                <w:lang w:eastAsia="en-US"/>
              </w:rPr>
              <w:t>Relevance</w:t>
            </w:r>
          </w:p>
        </w:tc>
        <w:tc>
          <w:tcPr>
            <w:tcW w:w="449" w:type="pct"/>
            <w:textDirection w:val="btLr"/>
          </w:tcPr>
          <w:p w14:paraId="6CA58393" w14:textId="77777777" w:rsidR="00756526" w:rsidRPr="00AB1782" w:rsidRDefault="00756526" w:rsidP="00756526">
            <w:pPr>
              <w:keepLines/>
              <w:spacing w:before="80" w:after="80" w:line="200" w:lineRule="atLeast"/>
              <w:rPr>
                <w:rFonts w:asciiTheme="minorHAnsi" w:eastAsia="Times New Roman" w:hAnsiTheme="minorHAnsi"/>
                <w:b/>
                <w:iCs/>
                <w:szCs w:val="17"/>
                <w:lang w:eastAsia="en-US"/>
              </w:rPr>
            </w:pPr>
            <w:r w:rsidRPr="00AB1782">
              <w:rPr>
                <w:rFonts w:asciiTheme="minorHAnsi" w:eastAsia="Times New Roman" w:hAnsiTheme="minorHAnsi"/>
                <w:b/>
                <w:iCs/>
                <w:szCs w:val="17"/>
                <w:lang w:eastAsia="en-US"/>
              </w:rPr>
              <w:t>Effectiveness</w:t>
            </w:r>
          </w:p>
        </w:tc>
        <w:tc>
          <w:tcPr>
            <w:tcW w:w="452" w:type="pct"/>
            <w:textDirection w:val="btLr"/>
          </w:tcPr>
          <w:p w14:paraId="24B5916B"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Efficiency</w:t>
            </w:r>
          </w:p>
        </w:tc>
        <w:tc>
          <w:tcPr>
            <w:tcW w:w="449" w:type="pct"/>
            <w:textDirection w:val="btLr"/>
          </w:tcPr>
          <w:p w14:paraId="649888D1"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Monitoring and Evaluation</w:t>
            </w:r>
          </w:p>
        </w:tc>
        <w:tc>
          <w:tcPr>
            <w:tcW w:w="452" w:type="pct"/>
            <w:textDirection w:val="btLr"/>
          </w:tcPr>
          <w:p w14:paraId="4AC596B0"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Sustainability</w:t>
            </w:r>
          </w:p>
        </w:tc>
        <w:tc>
          <w:tcPr>
            <w:tcW w:w="442" w:type="pct"/>
            <w:textDirection w:val="btLr"/>
          </w:tcPr>
          <w:p w14:paraId="1932B2D5"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Gender equality</w:t>
            </w:r>
          </w:p>
        </w:tc>
      </w:tr>
      <w:tr w:rsidR="00756526" w:rsidRPr="00093306" w14:paraId="625E66F7"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vMerge w:val="restart"/>
            <w:tcBorders>
              <w:top w:val="single" w:sz="4" w:space="0" w:color="auto"/>
            </w:tcBorders>
          </w:tcPr>
          <w:p w14:paraId="22A67657"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ascii="Calibri Light" w:eastAsia="Times New Roman" w:hAnsi="Calibri Light" w:cs="Times New Roman"/>
                <w:color w:val="495965"/>
                <w:szCs w:val="17"/>
                <w:lang w:val="en-AU"/>
              </w:rPr>
              <w:t>Growth &amp; Economic Management (INJ383)</w:t>
            </w:r>
          </w:p>
        </w:tc>
        <w:tc>
          <w:tcPr>
            <w:tcW w:w="713" w:type="pct"/>
            <w:vMerge w:val="restart"/>
            <w:tcBorders>
              <w:top w:val="single" w:sz="4" w:space="0" w:color="auto"/>
            </w:tcBorders>
          </w:tcPr>
          <w:p w14:paraId="67169D1A"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$8m </w:t>
            </w:r>
          </w:p>
          <w:p w14:paraId="6995E2CF"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2010-20</w:t>
            </w:r>
          </w:p>
        </w:tc>
        <w:tc>
          <w:tcPr>
            <w:tcW w:w="451" w:type="pct"/>
            <w:tcBorders>
              <w:top w:val="single" w:sz="4" w:space="0" w:color="auto"/>
            </w:tcBorders>
          </w:tcPr>
          <w:p w14:paraId="362AFC69"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2018 AQC</w:t>
            </w:r>
          </w:p>
        </w:tc>
        <w:tc>
          <w:tcPr>
            <w:tcW w:w="452" w:type="pct"/>
            <w:tcBorders>
              <w:top w:val="single" w:sz="4" w:space="0" w:color="auto"/>
            </w:tcBorders>
            <w:shd w:val="clear" w:color="auto" w:fill="92D050"/>
            <w:noWrap/>
          </w:tcPr>
          <w:p w14:paraId="2A22207D"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49" w:type="pct"/>
            <w:tcBorders>
              <w:top w:val="single" w:sz="4" w:space="0" w:color="auto"/>
            </w:tcBorders>
            <w:shd w:val="clear" w:color="auto" w:fill="FFFF00"/>
            <w:noWrap/>
          </w:tcPr>
          <w:p w14:paraId="7A4514CD"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2" w:type="pct"/>
            <w:tcBorders>
              <w:top w:val="single" w:sz="4" w:space="0" w:color="auto"/>
            </w:tcBorders>
            <w:shd w:val="clear" w:color="auto" w:fill="FFFF00"/>
            <w:noWrap/>
          </w:tcPr>
          <w:p w14:paraId="473C01EB"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9" w:type="pct"/>
            <w:tcBorders>
              <w:top w:val="single" w:sz="4" w:space="0" w:color="auto"/>
            </w:tcBorders>
            <w:shd w:val="clear" w:color="auto" w:fill="FFFF00"/>
            <w:noWrap/>
          </w:tcPr>
          <w:p w14:paraId="6422818A"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2" w:type="pct"/>
            <w:tcBorders>
              <w:top w:val="single" w:sz="4" w:space="0" w:color="auto"/>
            </w:tcBorders>
            <w:shd w:val="clear" w:color="auto" w:fill="FFFF00"/>
            <w:noWrap/>
          </w:tcPr>
          <w:p w14:paraId="1AD07DED"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2" w:type="pct"/>
            <w:tcBorders>
              <w:top w:val="single" w:sz="4" w:space="0" w:color="auto"/>
            </w:tcBorders>
            <w:shd w:val="clear" w:color="auto" w:fill="FFC000"/>
            <w:noWrap/>
          </w:tcPr>
          <w:p w14:paraId="4B7BAB10"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3</w:t>
            </w:r>
          </w:p>
        </w:tc>
      </w:tr>
      <w:tr w:rsidR="00756526" w:rsidRPr="00093306" w14:paraId="596A3651"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vMerge/>
            <w:tcBorders>
              <w:bottom w:val="single" w:sz="4" w:space="0" w:color="auto"/>
            </w:tcBorders>
          </w:tcPr>
          <w:p w14:paraId="5AA10FFC"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713" w:type="pct"/>
            <w:vMerge/>
            <w:tcBorders>
              <w:bottom w:val="single" w:sz="4" w:space="0" w:color="auto"/>
            </w:tcBorders>
          </w:tcPr>
          <w:p w14:paraId="6FEF12DB"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451" w:type="pct"/>
            <w:tcBorders>
              <w:bottom w:val="single" w:sz="4" w:space="0" w:color="auto"/>
            </w:tcBorders>
          </w:tcPr>
          <w:p w14:paraId="41B3535F"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2017 AQC</w:t>
            </w:r>
          </w:p>
        </w:tc>
        <w:tc>
          <w:tcPr>
            <w:tcW w:w="452" w:type="pct"/>
            <w:tcBorders>
              <w:bottom w:val="single" w:sz="4" w:space="0" w:color="auto"/>
            </w:tcBorders>
            <w:shd w:val="clear" w:color="auto" w:fill="FFFFFF" w:themeFill="background1"/>
            <w:noWrap/>
          </w:tcPr>
          <w:p w14:paraId="17922813"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49" w:type="pct"/>
            <w:tcBorders>
              <w:bottom w:val="single" w:sz="4" w:space="0" w:color="auto"/>
            </w:tcBorders>
            <w:shd w:val="clear" w:color="auto" w:fill="FFFFFF" w:themeFill="background1"/>
            <w:noWrap/>
          </w:tcPr>
          <w:p w14:paraId="5D181C18"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52" w:type="pct"/>
            <w:tcBorders>
              <w:bottom w:val="single" w:sz="4" w:space="0" w:color="auto"/>
            </w:tcBorders>
            <w:shd w:val="clear" w:color="auto" w:fill="FFFFFF" w:themeFill="background1"/>
            <w:noWrap/>
          </w:tcPr>
          <w:p w14:paraId="00FAB198"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49" w:type="pct"/>
            <w:tcBorders>
              <w:bottom w:val="single" w:sz="4" w:space="0" w:color="auto"/>
            </w:tcBorders>
            <w:shd w:val="clear" w:color="auto" w:fill="FFFFFF" w:themeFill="background1"/>
            <w:noWrap/>
          </w:tcPr>
          <w:p w14:paraId="2C7BC4C6"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52" w:type="pct"/>
            <w:tcBorders>
              <w:bottom w:val="single" w:sz="4" w:space="0" w:color="auto"/>
            </w:tcBorders>
            <w:shd w:val="clear" w:color="auto" w:fill="FFFFFF" w:themeFill="background1"/>
            <w:noWrap/>
          </w:tcPr>
          <w:p w14:paraId="2338AE62"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42" w:type="pct"/>
            <w:tcBorders>
              <w:bottom w:val="single" w:sz="4" w:space="0" w:color="auto"/>
            </w:tcBorders>
            <w:shd w:val="clear" w:color="auto" w:fill="FFFFFF" w:themeFill="background1"/>
            <w:noWrap/>
          </w:tcPr>
          <w:p w14:paraId="5086AB66"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r>
      <w:tr w:rsidR="00756526" w:rsidRPr="00093306" w14:paraId="085858CE"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vMerge w:val="restart"/>
          </w:tcPr>
          <w:p w14:paraId="5AB2A3E1"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Improved Basic Education (INI620)</w:t>
            </w:r>
          </w:p>
        </w:tc>
        <w:tc>
          <w:tcPr>
            <w:tcW w:w="713" w:type="pct"/>
            <w:vMerge w:val="restart"/>
          </w:tcPr>
          <w:p w14:paraId="1245E281"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$71.8m</w:t>
            </w:r>
          </w:p>
          <w:p w14:paraId="1E0F3AB1"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2009-19 </w:t>
            </w:r>
          </w:p>
        </w:tc>
        <w:tc>
          <w:tcPr>
            <w:tcW w:w="451" w:type="pct"/>
          </w:tcPr>
          <w:p w14:paraId="494B6B3F"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2018 AQC</w:t>
            </w:r>
          </w:p>
        </w:tc>
        <w:tc>
          <w:tcPr>
            <w:tcW w:w="452" w:type="pct"/>
            <w:shd w:val="clear" w:color="auto" w:fill="92D050"/>
            <w:noWrap/>
          </w:tcPr>
          <w:p w14:paraId="6D5E2CA5"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49" w:type="pct"/>
            <w:shd w:val="clear" w:color="auto" w:fill="92D050"/>
            <w:noWrap/>
          </w:tcPr>
          <w:p w14:paraId="50E3B133"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52" w:type="pct"/>
            <w:shd w:val="clear" w:color="auto" w:fill="92D050"/>
            <w:noWrap/>
          </w:tcPr>
          <w:p w14:paraId="4A11C3B9"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49" w:type="pct"/>
            <w:shd w:val="clear" w:color="auto" w:fill="92D050"/>
            <w:noWrap/>
          </w:tcPr>
          <w:p w14:paraId="268E7403"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52" w:type="pct"/>
            <w:shd w:val="clear" w:color="auto" w:fill="FFFF00"/>
            <w:noWrap/>
          </w:tcPr>
          <w:p w14:paraId="42056ED5"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2" w:type="pct"/>
            <w:shd w:val="clear" w:color="auto" w:fill="FFFF00"/>
            <w:noWrap/>
          </w:tcPr>
          <w:p w14:paraId="6579AFC0"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r>
      <w:tr w:rsidR="00756526" w:rsidRPr="00093306" w14:paraId="705584AF"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vMerge/>
            <w:tcBorders>
              <w:bottom w:val="single" w:sz="4" w:space="0" w:color="auto"/>
            </w:tcBorders>
          </w:tcPr>
          <w:p w14:paraId="40539A92"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713" w:type="pct"/>
            <w:vMerge/>
            <w:tcBorders>
              <w:bottom w:val="single" w:sz="4" w:space="0" w:color="auto"/>
            </w:tcBorders>
          </w:tcPr>
          <w:p w14:paraId="625DB4AB"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451" w:type="pct"/>
            <w:tcBorders>
              <w:bottom w:val="single" w:sz="4" w:space="0" w:color="auto"/>
            </w:tcBorders>
          </w:tcPr>
          <w:p w14:paraId="3FE8F7F6"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2017 AQC</w:t>
            </w:r>
          </w:p>
        </w:tc>
        <w:tc>
          <w:tcPr>
            <w:tcW w:w="452" w:type="pct"/>
            <w:tcBorders>
              <w:bottom w:val="single" w:sz="4" w:space="0" w:color="auto"/>
            </w:tcBorders>
            <w:shd w:val="clear" w:color="auto" w:fill="92D050"/>
            <w:noWrap/>
          </w:tcPr>
          <w:p w14:paraId="677D6B29"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49" w:type="pct"/>
            <w:tcBorders>
              <w:bottom w:val="single" w:sz="4" w:space="0" w:color="auto"/>
            </w:tcBorders>
            <w:shd w:val="clear" w:color="auto" w:fill="92D050"/>
            <w:noWrap/>
          </w:tcPr>
          <w:p w14:paraId="5184F915"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52" w:type="pct"/>
            <w:tcBorders>
              <w:bottom w:val="single" w:sz="4" w:space="0" w:color="auto"/>
            </w:tcBorders>
            <w:shd w:val="clear" w:color="auto" w:fill="92D050"/>
            <w:noWrap/>
          </w:tcPr>
          <w:p w14:paraId="755477C3"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49" w:type="pct"/>
            <w:tcBorders>
              <w:bottom w:val="single" w:sz="4" w:space="0" w:color="auto"/>
            </w:tcBorders>
            <w:shd w:val="clear" w:color="auto" w:fill="92D050"/>
            <w:noWrap/>
          </w:tcPr>
          <w:p w14:paraId="44836B93"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52" w:type="pct"/>
            <w:tcBorders>
              <w:bottom w:val="single" w:sz="4" w:space="0" w:color="auto"/>
            </w:tcBorders>
            <w:shd w:val="clear" w:color="auto" w:fill="FFFF00"/>
            <w:noWrap/>
          </w:tcPr>
          <w:p w14:paraId="00C2CA70"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2" w:type="pct"/>
            <w:tcBorders>
              <w:bottom w:val="single" w:sz="4" w:space="0" w:color="auto"/>
            </w:tcBorders>
            <w:shd w:val="clear" w:color="auto" w:fill="FFFF00"/>
            <w:noWrap/>
          </w:tcPr>
          <w:p w14:paraId="4BDCCA9B"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r>
      <w:tr w:rsidR="00756526" w:rsidRPr="00093306" w14:paraId="781776E1"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vMerge w:val="restart"/>
          </w:tcPr>
          <w:p w14:paraId="1BD013DB"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Kiribati Facility (INL921)</w:t>
            </w:r>
          </w:p>
        </w:tc>
        <w:tc>
          <w:tcPr>
            <w:tcW w:w="713" w:type="pct"/>
            <w:vMerge w:val="restart"/>
          </w:tcPr>
          <w:p w14:paraId="189669CA"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$20m</w:t>
            </w:r>
          </w:p>
          <w:p w14:paraId="5D652AD2"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2016-20</w:t>
            </w:r>
          </w:p>
        </w:tc>
        <w:tc>
          <w:tcPr>
            <w:tcW w:w="451" w:type="pct"/>
          </w:tcPr>
          <w:p w14:paraId="0D289C39"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2018 AQC</w:t>
            </w:r>
          </w:p>
        </w:tc>
        <w:tc>
          <w:tcPr>
            <w:tcW w:w="452" w:type="pct"/>
            <w:shd w:val="clear" w:color="auto" w:fill="92D050"/>
            <w:noWrap/>
          </w:tcPr>
          <w:p w14:paraId="69FDF9B1"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6</w:t>
            </w:r>
          </w:p>
        </w:tc>
        <w:tc>
          <w:tcPr>
            <w:tcW w:w="449" w:type="pct"/>
            <w:shd w:val="clear" w:color="auto" w:fill="FFFF00"/>
            <w:noWrap/>
          </w:tcPr>
          <w:p w14:paraId="4F60E3FA"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2" w:type="pct"/>
            <w:shd w:val="clear" w:color="auto" w:fill="FFFF00"/>
            <w:noWrap/>
          </w:tcPr>
          <w:p w14:paraId="5316BE25"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9" w:type="pct"/>
            <w:shd w:val="clear" w:color="auto" w:fill="FFFF00"/>
            <w:noWrap/>
          </w:tcPr>
          <w:p w14:paraId="2A89607E"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2" w:type="pct"/>
            <w:shd w:val="clear" w:color="auto" w:fill="92D050"/>
            <w:noWrap/>
          </w:tcPr>
          <w:p w14:paraId="73478D73"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42" w:type="pct"/>
            <w:shd w:val="clear" w:color="auto" w:fill="FFFF00"/>
            <w:noWrap/>
          </w:tcPr>
          <w:p w14:paraId="1B0A6027"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r>
      <w:tr w:rsidR="00756526" w:rsidRPr="00093306" w14:paraId="0B070B38"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vMerge/>
          </w:tcPr>
          <w:p w14:paraId="37389737"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713" w:type="pct"/>
            <w:vMerge/>
          </w:tcPr>
          <w:p w14:paraId="110DEE07"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p>
        </w:tc>
        <w:tc>
          <w:tcPr>
            <w:tcW w:w="451" w:type="pct"/>
          </w:tcPr>
          <w:p w14:paraId="5E713C3C"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2017 AQC</w:t>
            </w:r>
          </w:p>
        </w:tc>
        <w:tc>
          <w:tcPr>
            <w:tcW w:w="452" w:type="pct"/>
            <w:noWrap/>
          </w:tcPr>
          <w:p w14:paraId="3920C4C1"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49" w:type="pct"/>
            <w:noWrap/>
          </w:tcPr>
          <w:p w14:paraId="3928FCBA"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52" w:type="pct"/>
            <w:noWrap/>
          </w:tcPr>
          <w:p w14:paraId="74743286"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49" w:type="pct"/>
            <w:noWrap/>
          </w:tcPr>
          <w:p w14:paraId="28C33F69"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52" w:type="pct"/>
            <w:noWrap/>
          </w:tcPr>
          <w:p w14:paraId="65645504"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c>
          <w:tcPr>
            <w:tcW w:w="442" w:type="pct"/>
            <w:noWrap/>
          </w:tcPr>
          <w:p w14:paraId="551E6B4B"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NA</w:t>
            </w:r>
          </w:p>
        </w:tc>
      </w:tr>
      <w:tr w:rsidR="00756526" w:rsidRPr="00093306" w14:paraId="52D17A27"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vMerge w:val="restart"/>
            <w:tcBorders>
              <w:top w:val="single" w:sz="4" w:space="0" w:color="auto"/>
            </w:tcBorders>
          </w:tcPr>
          <w:p w14:paraId="28461732"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Kiribati Infrastructure (INK327)</w:t>
            </w:r>
          </w:p>
        </w:tc>
        <w:tc>
          <w:tcPr>
            <w:tcW w:w="713" w:type="pct"/>
            <w:vMerge w:val="restart"/>
            <w:tcBorders>
              <w:top w:val="single" w:sz="4" w:space="0" w:color="auto"/>
            </w:tcBorders>
          </w:tcPr>
          <w:p w14:paraId="23F4A751"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$35m</w:t>
            </w:r>
          </w:p>
          <w:p w14:paraId="7BC39335"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2011-19</w:t>
            </w:r>
          </w:p>
        </w:tc>
        <w:tc>
          <w:tcPr>
            <w:tcW w:w="451" w:type="pct"/>
            <w:tcBorders>
              <w:top w:val="single" w:sz="4" w:space="0" w:color="auto"/>
            </w:tcBorders>
          </w:tcPr>
          <w:p w14:paraId="18F34EB8"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2018 AQC</w:t>
            </w:r>
          </w:p>
        </w:tc>
        <w:tc>
          <w:tcPr>
            <w:tcW w:w="452" w:type="pct"/>
            <w:tcBorders>
              <w:top w:val="single" w:sz="4" w:space="0" w:color="auto"/>
            </w:tcBorders>
            <w:shd w:val="clear" w:color="auto" w:fill="FFFF00"/>
            <w:noWrap/>
          </w:tcPr>
          <w:p w14:paraId="491FA310"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9" w:type="pct"/>
            <w:tcBorders>
              <w:top w:val="single" w:sz="4" w:space="0" w:color="auto"/>
            </w:tcBorders>
            <w:shd w:val="clear" w:color="auto" w:fill="FFFF00"/>
            <w:noWrap/>
          </w:tcPr>
          <w:p w14:paraId="5DBF7BD2"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2" w:type="pct"/>
            <w:tcBorders>
              <w:top w:val="single" w:sz="4" w:space="0" w:color="auto"/>
            </w:tcBorders>
            <w:shd w:val="clear" w:color="auto" w:fill="FFFF00"/>
            <w:noWrap/>
          </w:tcPr>
          <w:p w14:paraId="15FE0D6B"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9" w:type="pct"/>
            <w:tcBorders>
              <w:top w:val="single" w:sz="4" w:space="0" w:color="auto"/>
            </w:tcBorders>
            <w:shd w:val="clear" w:color="auto" w:fill="FFC000"/>
            <w:noWrap/>
          </w:tcPr>
          <w:p w14:paraId="4E558B73"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3</w:t>
            </w:r>
          </w:p>
        </w:tc>
        <w:tc>
          <w:tcPr>
            <w:tcW w:w="452" w:type="pct"/>
            <w:tcBorders>
              <w:top w:val="single" w:sz="4" w:space="0" w:color="auto"/>
            </w:tcBorders>
            <w:shd w:val="clear" w:color="auto" w:fill="FFFF00"/>
            <w:noWrap/>
          </w:tcPr>
          <w:p w14:paraId="42D3A2DA"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2" w:type="pct"/>
            <w:tcBorders>
              <w:top w:val="single" w:sz="4" w:space="0" w:color="auto"/>
            </w:tcBorders>
            <w:shd w:val="clear" w:color="auto" w:fill="FFC000"/>
            <w:noWrap/>
          </w:tcPr>
          <w:p w14:paraId="4C1B6A7F"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3</w:t>
            </w:r>
          </w:p>
        </w:tc>
      </w:tr>
      <w:tr w:rsidR="00756526" w:rsidRPr="00093306" w14:paraId="4B397E82"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vMerge/>
            <w:tcBorders>
              <w:top w:val="single" w:sz="4" w:space="0" w:color="auto"/>
            </w:tcBorders>
          </w:tcPr>
          <w:p w14:paraId="49481936" w14:textId="77777777" w:rsidR="00756526" w:rsidRPr="00093306" w:rsidRDefault="00756526" w:rsidP="00756526">
            <w:pPr>
              <w:keepLines/>
              <w:spacing w:before="40" w:after="40" w:line="200" w:lineRule="atLeast"/>
              <w:rPr>
                <w:rFonts w:eastAsia="Times New Roman"/>
                <w:iCs/>
                <w:szCs w:val="17"/>
              </w:rPr>
            </w:pPr>
          </w:p>
        </w:tc>
        <w:tc>
          <w:tcPr>
            <w:tcW w:w="713" w:type="pct"/>
            <w:vMerge/>
            <w:tcBorders>
              <w:top w:val="single" w:sz="4" w:space="0" w:color="auto"/>
            </w:tcBorders>
          </w:tcPr>
          <w:p w14:paraId="6DFC0DCC" w14:textId="77777777" w:rsidR="00756526" w:rsidRPr="00093306" w:rsidRDefault="00756526" w:rsidP="00756526">
            <w:pPr>
              <w:keepLines/>
              <w:spacing w:before="40" w:after="40" w:line="200" w:lineRule="atLeast"/>
              <w:rPr>
                <w:rFonts w:eastAsia="Times New Roman"/>
                <w:iCs/>
                <w:szCs w:val="17"/>
              </w:rPr>
            </w:pPr>
          </w:p>
        </w:tc>
        <w:tc>
          <w:tcPr>
            <w:tcW w:w="451" w:type="pct"/>
          </w:tcPr>
          <w:p w14:paraId="79AA3B80" w14:textId="77777777" w:rsidR="00756526" w:rsidRPr="00093306" w:rsidRDefault="00756526" w:rsidP="00756526">
            <w:pPr>
              <w:keepLines/>
              <w:spacing w:before="40" w:after="40" w:line="200" w:lineRule="atLeast"/>
              <w:rPr>
                <w:rFonts w:eastAsia="Times New Roman"/>
                <w:iCs/>
                <w:szCs w:val="17"/>
              </w:rPr>
            </w:pPr>
            <w:r w:rsidRPr="00093306">
              <w:rPr>
                <w:rFonts w:eastAsia="Times New Roman"/>
                <w:iCs/>
                <w:szCs w:val="17"/>
              </w:rPr>
              <w:t>2017 AQC</w:t>
            </w:r>
          </w:p>
        </w:tc>
        <w:tc>
          <w:tcPr>
            <w:tcW w:w="452" w:type="pct"/>
            <w:shd w:val="clear" w:color="auto" w:fill="FFFF00"/>
            <w:noWrap/>
          </w:tcPr>
          <w:p w14:paraId="12B98906" w14:textId="77777777" w:rsidR="00756526" w:rsidRPr="00093306" w:rsidRDefault="00756526" w:rsidP="00756526">
            <w:pPr>
              <w:keepLines/>
              <w:spacing w:before="40" w:after="40" w:line="200" w:lineRule="atLeast"/>
              <w:jc w:val="center"/>
              <w:rPr>
                <w:rFonts w:eastAsia="Times New Roman"/>
                <w:iCs/>
                <w:szCs w:val="17"/>
              </w:rPr>
            </w:pPr>
            <w:r w:rsidRPr="00093306">
              <w:rPr>
                <w:rFonts w:eastAsia="Times New Roman"/>
                <w:iCs/>
                <w:szCs w:val="17"/>
              </w:rPr>
              <w:t>4</w:t>
            </w:r>
          </w:p>
        </w:tc>
        <w:tc>
          <w:tcPr>
            <w:tcW w:w="449" w:type="pct"/>
            <w:shd w:val="clear" w:color="auto" w:fill="FFFF00"/>
            <w:noWrap/>
          </w:tcPr>
          <w:p w14:paraId="72CA77D4" w14:textId="77777777" w:rsidR="00756526" w:rsidRPr="00093306" w:rsidRDefault="00756526" w:rsidP="00756526">
            <w:pPr>
              <w:keepLines/>
              <w:spacing w:before="40" w:after="40" w:line="200" w:lineRule="atLeast"/>
              <w:jc w:val="center"/>
              <w:rPr>
                <w:rFonts w:eastAsia="Times New Roman"/>
                <w:iCs/>
                <w:szCs w:val="17"/>
              </w:rPr>
            </w:pPr>
            <w:r w:rsidRPr="00093306">
              <w:rPr>
                <w:rFonts w:eastAsia="Times New Roman"/>
                <w:iCs/>
                <w:szCs w:val="17"/>
              </w:rPr>
              <w:t>4</w:t>
            </w:r>
          </w:p>
        </w:tc>
        <w:tc>
          <w:tcPr>
            <w:tcW w:w="452" w:type="pct"/>
            <w:shd w:val="clear" w:color="auto" w:fill="FFFF00"/>
            <w:noWrap/>
          </w:tcPr>
          <w:p w14:paraId="5C63F940" w14:textId="77777777" w:rsidR="00756526" w:rsidRPr="00093306" w:rsidRDefault="00756526" w:rsidP="00756526">
            <w:pPr>
              <w:keepLines/>
              <w:spacing w:before="40" w:after="40" w:line="200" w:lineRule="atLeast"/>
              <w:jc w:val="center"/>
              <w:rPr>
                <w:rFonts w:eastAsia="Times New Roman"/>
                <w:iCs/>
                <w:szCs w:val="17"/>
              </w:rPr>
            </w:pPr>
            <w:r w:rsidRPr="00093306">
              <w:rPr>
                <w:rFonts w:eastAsia="Times New Roman"/>
                <w:iCs/>
                <w:szCs w:val="17"/>
              </w:rPr>
              <w:t>4</w:t>
            </w:r>
          </w:p>
        </w:tc>
        <w:tc>
          <w:tcPr>
            <w:tcW w:w="449" w:type="pct"/>
            <w:shd w:val="clear" w:color="auto" w:fill="FFFF00"/>
            <w:noWrap/>
          </w:tcPr>
          <w:p w14:paraId="025DE232" w14:textId="77777777" w:rsidR="00756526" w:rsidRPr="00093306" w:rsidRDefault="00756526" w:rsidP="00756526">
            <w:pPr>
              <w:keepLines/>
              <w:spacing w:before="40" w:after="40" w:line="200" w:lineRule="atLeast"/>
              <w:jc w:val="center"/>
              <w:rPr>
                <w:rFonts w:eastAsia="Times New Roman"/>
                <w:iCs/>
                <w:szCs w:val="17"/>
              </w:rPr>
            </w:pPr>
            <w:r w:rsidRPr="00093306">
              <w:rPr>
                <w:rFonts w:eastAsia="Times New Roman"/>
                <w:iCs/>
                <w:szCs w:val="17"/>
              </w:rPr>
              <w:t>4</w:t>
            </w:r>
          </w:p>
        </w:tc>
        <w:tc>
          <w:tcPr>
            <w:tcW w:w="452" w:type="pct"/>
            <w:shd w:val="clear" w:color="auto" w:fill="FFFF00"/>
            <w:noWrap/>
          </w:tcPr>
          <w:p w14:paraId="66BB58C0" w14:textId="77777777" w:rsidR="00756526" w:rsidRPr="00093306" w:rsidRDefault="00756526" w:rsidP="00756526">
            <w:pPr>
              <w:keepLines/>
              <w:spacing w:before="40" w:after="40" w:line="200" w:lineRule="atLeast"/>
              <w:jc w:val="center"/>
              <w:rPr>
                <w:rFonts w:eastAsia="Times New Roman"/>
                <w:iCs/>
                <w:szCs w:val="17"/>
              </w:rPr>
            </w:pPr>
            <w:r w:rsidRPr="00093306">
              <w:rPr>
                <w:rFonts w:eastAsia="Times New Roman"/>
                <w:iCs/>
                <w:szCs w:val="17"/>
              </w:rPr>
              <w:t>4</w:t>
            </w:r>
          </w:p>
        </w:tc>
        <w:tc>
          <w:tcPr>
            <w:tcW w:w="442" w:type="pct"/>
            <w:shd w:val="clear" w:color="auto" w:fill="FFFF00"/>
            <w:noWrap/>
          </w:tcPr>
          <w:p w14:paraId="3C48AD9F" w14:textId="77777777" w:rsidR="00756526" w:rsidRPr="00093306" w:rsidRDefault="00756526" w:rsidP="00756526">
            <w:pPr>
              <w:keepLines/>
              <w:spacing w:before="40" w:after="40" w:line="200" w:lineRule="atLeast"/>
              <w:jc w:val="center"/>
              <w:rPr>
                <w:rFonts w:eastAsia="Times New Roman"/>
                <w:iCs/>
                <w:szCs w:val="17"/>
              </w:rPr>
            </w:pPr>
            <w:r w:rsidRPr="00093306">
              <w:rPr>
                <w:rFonts w:eastAsia="Times New Roman"/>
                <w:iCs/>
                <w:szCs w:val="17"/>
              </w:rPr>
              <w:t>4</w:t>
            </w:r>
          </w:p>
        </w:tc>
      </w:tr>
    </w:tbl>
    <w:p w14:paraId="77B72195" w14:textId="77777777" w:rsidR="00756526" w:rsidRPr="00093306" w:rsidRDefault="00756526" w:rsidP="00756526">
      <w:pPr>
        <w:pStyle w:val="ListBullet"/>
        <w:tabs>
          <w:tab w:val="clear" w:pos="284"/>
        </w:tabs>
      </w:pPr>
    </w:p>
    <w:p w14:paraId="47904199" w14:textId="77777777" w:rsidR="00756526" w:rsidRPr="00093306" w:rsidRDefault="00756526">
      <w:pPr>
        <w:suppressAutoHyphens w:val="0"/>
        <w:spacing w:before="0" w:after="120" w:line="440" w:lineRule="atLeast"/>
        <w:rPr>
          <w:rFonts w:eastAsiaTheme="majorEastAsia" w:cstheme="majorBidi"/>
          <w:bCs/>
          <w:iCs/>
          <w:caps/>
          <w:spacing w:val="-10"/>
          <w:kern w:val="28"/>
          <w:sz w:val="38"/>
          <w:szCs w:val="24"/>
        </w:rPr>
      </w:pPr>
      <w:r w:rsidRPr="00093306">
        <w:br w:type="page"/>
      </w:r>
    </w:p>
    <w:p w14:paraId="043156CA" w14:textId="77777777" w:rsidR="00756526" w:rsidRPr="00093306" w:rsidRDefault="00756526" w:rsidP="0075652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93306">
        <w:rPr>
          <w:rFonts w:asciiTheme="majorHAnsi" w:eastAsiaTheme="majorEastAsia" w:hAnsiTheme="majorHAnsi" w:cstheme="majorBidi"/>
          <w:caps/>
          <w:color w:val="495965" w:themeColor="text2"/>
          <w:sz w:val="38"/>
          <w:szCs w:val="26"/>
          <w:lang w:val="en-GB" w:eastAsia="en-US"/>
        </w:rPr>
        <w:lastRenderedPageBreak/>
        <w:t xml:space="preserve">FAQC ratings </w:t>
      </w:r>
      <w:r w:rsidRPr="00093306">
        <w:rPr>
          <w:rStyle w:val="BodyTextChar"/>
          <w:rFonts w:asciiTheme="minorHAnsi" w:hAnsiTheme="minorHAnsi"/>
          <w:sz w:val="24"/>
          <w:lang w:val="en-GB" w:eastAsia="en-US"/>
        </w:rPr>
        <w:t>(include if relevant)</w:t>
      </w:r>
    </w:p>
    <w:p w14:paraId="73DB2C71" w14:textId="77777777" w:rsidR="00756526" w:rsidRPr="00093306" w:rsidRDefault="00756526" w:rsidP="00756526">
      <w:r w:rsidRPr="00093306">
        <w:t>Final AQCs assess performance over the lifetime of the investment (ratings are not compared to previous years).</w:t>
      </w:r>
    </w:p>
    <w:tbl>
      <w:tblPr>
        <w:tblStyle w:val="APPR"/>
        <w:tblW w:w="4570" w:type="pct"/>
        <w:tblLook w:val="0000" w:firstRow="0" w:lastRow="0" w:firstColumn="0" w:lastColumn="0" w:noHBand="0" w:noVBand="0"/>
      </w:tblPr>
      <w:tblGrid>
        <w:gridCol w:w="2581"/>
        <w:gridCol w:w="1877"/>
        <w:gridCol w:w="1200"/>
        <w:gridCol w:w="1195"/>
        <w:gridCol w:w="1197"/>
        <w:gridCol w:w="1195"/>
        <w:gridCol w:w="1197"/>
        <w:gridCol w:w="1195"/>
        <w:gridCol w:w="1191"/>
      </w:tblGrid>
      <w:tr w:rsidR="00756526" w:rsidRPr="00093306" w14:paraId="04776B6C" w14:textId="77777777" w:rsidTr="00756526">
        <w:trPr>
          <w:cnfStyle w:val="000000010000" w:firstRow="0" w:lastRow="0" w:firstColumn="0" w:lastColumn="0" w:oddVBand="0" w:evenVBand="0" w:oddHBand="0" w:evenHBand="1" w:firstRowFirstColumn="0" w:firstRowLastColumn="0" w:lastRowFirstColumn="0" w:lastRowLastColumn="0"/>
          <w:trHeight w:val="1505"/>
        </w:trPr>
        <w:tc>
          <w:tcPr>
            <w:tcW w:w="980" w:type="pct"/>
          </w:tcPr>
          <w:p w14:paraId="3A44D992"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noProof/>
                <w:szCs w:val="17"/>
                <w:lang w:val="en-AU"/>
              </w:rPr>
              <w:drawing>
                <wp:anchor distT="0" distB="0" distL="114300" distR="114300" simplePos="0" relativeHeight="251691008" behindDoc="0" locked="0" layoutInCell="1" allowOverlap="1" wp14:anchorId="1CFC68F3" wp14:editId="1A52E5FB">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306">
              <w:rPr>
                <w:rFonts w:asciiTheme="minorHAnsi" w:eastAsia="Times New Roman" w:hAnsiTheme="minorHAnsi"/>
                <w:b/>
                <w:iCs/>
                <w:szCs w:val="17"/>
                <w:lang w:eastAsia="en-US"/>
              </w:rPr>
              <w:t>Investment name</w:t>
            </w:r>
          </w:p>
        </w:tc>
        <w:tc>
          <w:tcPr>
            <w:tcW w:w="713" w:type="pct"/>
            <w:textDirection w:val="btLr"/>
          </w:tcPr>
          <w:p w14:paraId="7E5B8CE1" w14:textId="77777777" w:rsidR="00756526" w:rsidRPr="000D787E" w:rsidRDefault="00756526" w:rsidP="00756526">
            <w:pPr>
              <w:keepLines/>
              <w:spacing w:before="80" w:after="80" w:line="200" w:lineRule="atLeast"/>
              <w:rPr>
                <w:rFonts w:asciiTheme="minorHAnsi" w:eastAsia="Times New Roman" w:hAnsiTheme="minorHAnsi"/>
                <w:b/>
                <w:iCs/>
                <w:szCs w:val="17"/>
                <w:lang w:eastAsia="en-US"/>
              </w:rPr>
            </w:pPr>
            <w:r w:rsidRPr="000D787E">
              <w:rPr>
                <w:rFonts w:asciiTheme="minorHAnsi" w:eastAsia="Times New Roman" w:hAnsiTheme="minorHAnsi"/>
                <w:b/>
                <w:iCs/>
                <w:szCs w:val="17"/>
                <w:lang w:eastAsia="en-US"/>
              </w:rPr>
              <w:t>Approved budget and duration</w:t>
            </w:r>
          </w:p>
        </w:tc>
        <w:tc>
          <w:tcPr>
            <w:tcW w:w="452" w:type="pct"/>
            <w:noWrap/>
            <w:textDirection w:val="btLr"/>
          </w:tcPr>
          <w:p w14:paraId="19388196" w14:textId="77777777" w:rsidR="00756526" w:rsidRPr="00AB1782" w:rsidRDefault="00756526" w:rsidP="00756526">
            <w:pPr>
              <w:keepLines/>
              <w:spacing w:before="80" w:after="80" w:line="200" w:lineRule="atLeast"/>
              <w:rPr>
                <w:rFonts w:asciiTheme="minorHAnsi" w:eastAsia="Times New Roman" w:hAnsiTheme="minorHAnsi"/>
                <w:b/>
                <w:iCs/>
                <w:szCs w:val="17"/>
                <w:lang w:eastAsia="en-US"/>
              </w:rPr>
            </w:pPr>
            <w:r w:rsidRPr="00AB1782">
              <w:rPr>
                <w:rFonts w:asciiTheme="minorHAnsi" w:eastAsia="Times New Roman" w:hAnsiTheme="minorHAnsi"/>
                <w:b/>
                <w:iCs/>
                <w:szCs w:val="17"/>
                <w:lang w:eastAsia="en-US"/>
              </w:rPr>
              <w:t>Overall rating</w:t>
            </w:r>
          </w:p>
        </w:tc>
        <w:tc>
          <w:tcPr>
            <w:tcW w:w="450" w:type="pct"/>
            <w:noWrap/>
            <w:textDirection w:val="btLr"/>
          </w:tcPr>
          <w:p w14:paraId="27D0160F" w14:textId="77777777" w:rsidR="00756526" w:rsidRPr="00AB1782" w:rsidRDefault="00756526" w:rsidP="00756526">
            <w:pPr>
              <w:keepLines/>
              <w:spacing w:before="80" w:after="80" w:line="200" w:lineRule="atLeast"/>
              <w:rPr>
                <w:rFonts w:asciiTheme="minorHAnsi" w:eastAsia="Times New Roman" w:hAnsiTheme="minorHAnsi"/>
                <w:b/>
                <w:iCs/>
                <w:szCs w:val="17"/>
                <w:lang w:eastAsia="en-US"/>
              </w:rPr>
            </w:pPr>
            <w:r w:rsidRPr="00AB1782">
              <w:rPr>
                <w:rFonts w:asciiTheme="minorHAnsi" w:eastAsia="Times New Roman" w:hAnsiTheme="minorHAnsi"/>
                <w:b/>
                <w:iCs/>
                <w:szCs w:val="17"/>
                <w:lang w:eastAsia="en-US"/>
              </w:rPr>
              <w:t>Relevance</w:t>
            </w:r>
          </w:p>
        </w:tc>
        <w:tc>
          <w:tcPr>
            <w:tcW w:w="451" w:type="pct"/>
            <w:noWrap/>
            <w:textDirection w:val="btLr"/>
          </w:tcPr>
          <w:p w14:paraId="74EB0A9F" w14:textId="77777777" w:rsidR="00756526" w:rsidRPr="00AB1782" w:rsidRDefault="00756526" w:rsidP="00756526">
            <w:pPr>
              <w:keepLines/>
              <w:spacing w:before="80" w:after="80" w:line="200" w:lineRule="atLeast"/>
              <w:rPr>
                <w:rFonts w:asciiTheme="minorHAnsi" w:eastAsia="Times New Roman" w:hAnsiTheme="minorHAnsi"/>
                <w:b/>
                <w:iCs/>
                <w:szCs w:val="17"/>
                <w:lang w:eastAsia="en-US"/>
              </w:rPr>
            </w:pPr>
            <w:r w:rsidRPr="00AB1782">
              <w:rPr>
                <w:rFonts w:asciiTheme="minorHAnsi" w:eastAsia="Times New Roman" w:hAnsiTheme="minorHAnsi"/>
                <w:b/>
                <w:iCs/>
                <w:szCs w:val="17"/>
                <w:lang w:eastAsia="en-US"/>
              </w:rPr>
              <w:t>Effectiveness</w:t>
            </w:r>
          </w:p>
        </w:tc>
        <w:tc>
          <w:tcPr>
            <w:tcW w:w="450" w:type="pct"/>
            <w:noWrap/>
            <w:textDirection w:val="btLr"/>
          </w:tcPr>
          <w:p w14:paraId="78037968"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Efficiency</w:t>
            </w:r>
          </w:p>
        </w:tc>
        <w:tc>
          <w:tcPr>
            <w:tcW w:w="451" w:type="pct"/>
            <w:noWrap/>
            <w:textDirection w:val="btLr"/>
          </w:tcPr>
          <w:p w14:paraId="38559087"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Monitoring and Evaluation</w:t>
            </w:r>
          </w:p>
        </w:tc>
        <w:tc>
          <w:tcPr>
            <w:tcW w:w="450" w:type="pct"/>
            <w:noWrap/>
            <w:textDirection w:val="btLr"/>
          </w:tcPr>
          <w:p w14:paraId="45966DB9"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Sustainability</w:t>
            </w:r>
          </w:p>
        </w:tc>
        <w:tc>
          <w:tcPr>
            <w:tcW w:w="443" w:type="pct"/>
            <w:textDirection w:val="btLr"/>
          </w:tcPr>
          <w:p w14:paraId="36FC3484" w14:textId="77777777" w:rsidR="00756526" w:rsidRPr="00093306" w:rsidRDefault="00756526" w:rsidP="00756526">
            <w:pPr>
              <w:keepLines/>
              <w:spacing w:before="80" w:after="80" w:line="200" w:lineRule="atLeast"/>
              <w:rPr>
                <w:rFonts w:asciiTheme="minorHAnsi" w:eastAsia="Times New Roman" w:hAnsiTheme="minorHAnsi"/>
                <w:b/>
                <w:iCs/>
                <w:szCs w:val="17"/>
                <w:lang w:eastAsia="en-US"/>
              </w:rPr>
            </w:pPr>
            <w:r w:rsidRPr="00093306">
              <w:rPr>
                <w:rFonts w:eastAsia="Times New Roman"/>
                <w:b/>
                <w:iCs/>
                <w:szCs w:val="17"/>
              </w:rPr>
              <w:t>Gender equality</w:t>
            </w:r>
          </w:p>
        </w:tc>
      </w:tr>
      <w:tr w:rsidR="00756526" w:rsidRPr="00093306" w14:paraId="5C3080AE"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tcBorders>
              <w:top w:val="single" w:sz="4" w:space="0" w:color="auto"/>
            </w:tcBorders>
          </w:tcPr>
          <w:p w14:paraId="7460BBF0"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Kiribati Health (INI894)</w:t>
            </w:r>
          </w:p>
        </w:tc>
        <w:tc>
          <w:tcPr>
            <w:tcW w:w="713" w:type="pct"/>
            <w:tcBorders>
              <w:top w:val="single" w:sz="4" w:space="0" w:color="auto"/>
            </w:tcBorders>
          </w:tcPr>
          <w:p w14:paraId="3E16DEBF"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$4.8m</w:t>
            </w:r>
          </w:p>
          <w:p w14:paraId="0E6C2945"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2010-20 </w:t>
            </w:r>
          </w:p>
        </w:tc>
        <w:tc>
          <w:tcPr>
            <w:tcW w:w="452" w:type="pct"/>
            <w:tcBorders>
              <w:top w:val="single" w:sz="4" w:space="0" w:color="auto"/>
            </w:tcBorders>
            <w:shd w:val="clear" w:color="auto" w:fill="FFFF00"/>
            <w:noWrap/>
          </w:tcPr>
          <w:p w14:paraId="6677F469"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0" w:type="pct"/>
            <w:tcBorders>
              <w:top w:val="single" w:sz="4" w:space="0" w:color="auto"/>
            </w:tcBorders>
            <w:shd w:val="clear" w:color="auto" w:fill="FFFF00"/>
            <w:noWrap/>
          </w:tcPr>
          <w:p w14:paraId="22E850C4"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1" w:type="pct"/>
            <w:tcBorders>
              <w:top w:val="single" w:sz="4" w:space="0" w:color="auto"/>
            </w:tcBorders>
            <w:shd w:val="clear" w:color="auto" w:fill="FFFF00"/>
            <w:noWrap/>
          </w:tcPr>
          <w:p w14:paraId="456F22E7"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0" w:type="pct"/>
            <w:tcBorders>
              <w:top w:val="single" w:sz="4" w:space="0" w:color="auto"/>
            </w:tcBorders>
            <w:shd w:val="clear" w:color="auto" w:fill="FFFF00"/>
            <w:noWrap/>
          </w:tcPr>
          <w:p w14:paraId="539ADE7E"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1" w:type="pct"/>
            <w:tcBorders>
              <w:top w:val="single" w:sz="4" w:space="0" w:color="auto"/>
            </w:tcBorders>
            <w:shd w:val="clear" w:color="auto" w:fill="FFC000"/>
            <w:noWrap/>
          </w:tcPr>
          <w:p w14:paraId="77567B29"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3</w:t>
            </w:r>
          </w:p>
        </w:tc>
        <w:tc>
          <w:tcPr>
            <w:tcW w:w="450" w:type="pct"/>
            <w:tcBorders>
              <w:top w:val="single" w:sz="4" w:space="0" w:color="auto"/>
            </w:tcBorders>
            <w:shd w:val="clear" w:color="auto" w:fill="FFFF00"/>
            <w:noWrap/>
          </w:tcPr>
          <w:p w14:paraId="4BBFC99B"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3" w:type="pct"/>
            <w:tcBorders>
              <w:top w:val="single" w:sz="4" w:space="0" w:color="auto"/>
            </w:tcBorders>
            <w:shd w:val="clear" w:color="auto" w:fill="FFC000"/>
          </w:tcPr>
          <w:p w14:paraId="17A626F0"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3</w:t>
            </w:r>
          </w:p>
        </w:tc>
      </w:tr>
      <w:tr w:rsidR="00756526" w:rsidRPr="00093306" w14:paraId="21C5ABCB" w14:textId="77777777" w:rsidTr="00756526">
        <w:trPr>
          <w:cnfStyle w:val="000000010000" w:firstRow="0" w:lastRow="0" w:firstColumn="0" w:lastColumn="0" w:oddVBand="0" w:evenVBand="0" w:oddHBand="0" w:evenHBand="1" w:firstRowFirstColumn="0" w:firstRowLastColumn="0" w:lastRowFirstColumn="0" w:lastRowLastColumn="0"/>
          <w:trHeight w:val="284"/>
        </w:trPr>
        <w:tc>
          <w:tcPr>
            <w:tcW w:w="980" w:type="pct"/>
            <w:tcBorders>
              <w:bottom w:val="single" w:sz="4" w:space="0" w:color="auto"/>
            </w:tcBorders>
          </w:tcPr>
          <w:p w14:paraId="4BC57597"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Climate change (INJ569)</w:t>
            </w:r>
          </w:p>
        </w:tc>
        <w:tc>
          <w:tcPr>
            <w:tcW w:w="713" w:type="pct"/>
            <w:tcBorders>
              <w:bottom w:val="single" w:sz="4" w:space="0" w:color="auto"/>
            </w:tcBorders>
          </w:tcPr>
          <w:p w14:paraId="713D0EA6"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 xml:space="preserve">$8.4m </w:t>
            </w:r>
          </w:p>
          <w:p w14:paraId="4E67EC9E" w14:textId="77777777" w:rsidR="00756526" w:rsidRPr="00093306" w:rsidRDefault="00756526" w:rsidP="00756526">
            <w:pPr>
              <w:keepLines/>
              <w:spacing w:before="40" w:after="40" w:line="200" w:lineRule="atLeast"/>
              <w:rPr>
                <w:rFonts w:asciiTheme="minorHAnsi" w:eastAsia="Times New Roman" w:hAnsiTheme="minorHAnsi"/>
                <w:iCs/>
                <w:szCs w:val="17"/>
                <w:lang w:eastAsia="en-US"/>
              </w:rPr>
            </w:pPr>
            <w:r w:rsidRPr="00093306">
              <w:rPr>
                <w:rFonts w:eastAsia="Times New Roman"/>
                <w:iCs/>
                <w:szCs w:val="17"/>
              </w:rPr>
              <w:t>2010-18</w:t>
            </w:r>
          </w:p>
        </w:tc>
        <w:tc>
          <w:tcPr>
            <w:tcW w:w="452" w:type="pct"/>
            <w:tcBorders>
              <w:bottom w:val="single" w:sz="4" w:space="0" w:color="auto"/>
            </w:tcBorders>
            <w:shd w:val="clear" w:color="auto" w:fill="92D050"/>
            <w:noWrap/>
          </w:tcPr>
          <w:p w14:paraId="03ED3C0C"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50" w:type="pct"/>
            <w:tcBorders>
              <w:bottom w:val="single" w:sz="4" w:space="0" w:color="auto"/>
            </w:tcBorders>
            <w:shd w:val="clear" w:color="auto" w:fill="92D050"/>
            <w:noWrap/>
          </w:tcPr>
          <w:p w14:paraId="3F25593F"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51" w:type="pct"/>
            <w:tcBorders>
              <w:bottom w:val="single" w:sz="4" w:space="0" w:color="auto"/>
            </w:tcBorders>
            <w:shd w:val="clear" w:color="auto" w:fill="92D050"/>
            <w:noWrap/>
          </w:tcPr>
          <w:p w14:paraId="16DDAB44"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50" w:type="pct"/>
            <w:tcBorders>
              <w:bottom w:val="single" w:sz="4" w:space="0" w:color="auto"/>
            </w:tcBorders>
            <w:shd w:val="clear" w:color="auto" w:fill="FFFF00"/>
            <w:noWrap/>
          </w:tcPr>
          <w:p w14:paraId="51002053"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51" w:type="pct"/>
            <w:tcBorders>
              <w:bottom w:val="single" w:sz="4" w:space="0" w:color="auto"/>
            </w:tcBorders>
            <w:shd w:val="clear" w:color="auto" w:fill="92D050"/>
            <w:noWrap/>
          </w:tcPr>
          <w:p w14:paraId="0CE4FB14"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5</w:t>
            </w:r>
          </w:p>
        </w:tc>
        <w:tc>
          <w:tcPr>
            <w:tcW w:w="450" w:type="pct"/>
            <w:tcBorders>
              <w:bottom w:val="single" w:sz="4" w:space="0" w:color="auto"/>
            </w:tcBorders>
            <w:shd w:val="clear" w:color="auto" w:fill="FFFF00"/>
            <w:noWrap/>
          </w:tcPr>
          <w:p w14:paraId="4780E975"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4</w:t>
            </w:r>
          </w:p>
        </w:tc>
        <w:tc>
          <w:tcPr>
            <w:tcW w:w="443" w:type="pct"/>
            <w:tcBorders>
              <w:bottom w:val="single" w:sz="4" w:space="0" w:color="auto"/>
            </w:tcBorders>
            <w:shd w:val="clear" w:color="auto" w:fill="FF0000"/>
          </w:tcPr>
          <w:p w14:paraId="37891A60" w14:textId="77777777" w:rsidR="00756526" w:rsidRPr="00093306" w:rsidRDefault="00756526" w:rsidP="00756526">
            <w:pPr>
              <w:keepLines/>
              <w:spacing w:before="40" w:after="40" w:line="200" w:lineRule="atLeast"/>
              <w:jc w:val="center"/>
              <w:rPr>
                <w:rFonts w:asciiTheme="minorHAnsi" w:eastAsia="Times New Roman" w:hAnsiTheme="minorHAnsi"/>
                <w:iCs/>
                <w:szCs w:val="17"/>
                <w:lang w:eastAsia="en-US"/>
              </w:rPr>
            </w:pPr>
            <w:r w:rsidRPr="00093306">
              <w:rPr>
                <w:rFonts w:eastAsia="Times New Roman"/>
                <w:iCs/>
                <w:szCs w:val="17"/>
              </w:rPr>
              <w:t>2</w:t>
            </w:r>
          </w:p>
        </w:tc>
      </w:tr>
    </w:tbl>
    <w:p w14:paraId="375C5932" w14:textId="77777777" w:rsidR="00756526" w:rsidRPr="00093306" w:rsidRDefault="00756526" w:rsidP="00756526">
      <w:pPr>
        <w:spacing w:before="20" w:after="20" w:line="180" w:lineRule="atLeast"/>
        <w:jc w:val="both"/>
        <w:rPr>
          <w:rFonts w:eastAsia="Times New Roman"/>
          <w:b/>
          <w:sz w:val="14"/>
          <w:szCs w:val="14"/>
        </w:rPr>
      </w:pPr>
    </w:p>
    <w:p w14:paraId="6CD6B3D2"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sz w:val="16"/>
          <w:szCs w:val="14"/>
        </w:rPr>
        <w:t>Definitions of rating scale:</w:t>
      </w:r>
      <w:r w:rsidRPr="00093306">
        <w:rPr>
          <w:rFonts w:eastAsia="Times New Roman"/>
          <w:b/>
          <w:sz w:val="16"/>
          <w:szCs w:val="14"/>
        </w:rPr>
        <w:tab/>
      </w:r>
    </w:p>
    <w:p w14:paraId="03BD6545" w14:textId="77777777" w:rsidR="00756526" w:rsidRPr="00093306" w:rsidRDefault="00756526" w:rsidP="00756526">
      <w:pPr>
        <w:spacing w:before="20" w:after="20" w:line="180" w:lineRule="atLeast"/>
        <w:jc w:val="both"/>
        <w:rPr>
          <w:rFonts w:eastAsia="Times New Roman"/>
          <w:b/>
          <w:sz w:val="16"/>
          <w:szCs w:val="14"/>
        </w:rPr>
      </w:pPr>
      <w:r w:rsidRPr="00093306">
        <w:rPr>
          <w:rFonts w:eastAsia="Times New Roman"/>
          <w:b/>
          <w:sz w:val="16"/>
          <w:szCs w:val="14"/>
        </w:rPr>
        <w:t>Satisfactory (4, 5 and 6)</w:t>
      </w:r>
    </w:p>
    <w:p w14:paraId="13E2C3CA" w14:textId="77777777" w:rsidR="00756526" w:rsidRPr="00093306" w:rsidRDefault="00756526" w:rsidP="00756526">
      <w:pPr>
        <w:spacing w:before="20" w:after="20" w:line="180" w:lineRule="atLeast"/>
        <w:rPr>
          <w:rFonts w:eastAsia="Times New Roman"/>
          <w:b/>
          <w:sz w:val="16"/>
          <w:szCs w:val="14"/>
        </w:rPr>
      </w:pPr>
      <w:r w:rsidRPr="00093306">
        <w:rPr>
          <w:rFonts w:eastAsia="Times New Roman"/>
          <w:b/>
          <w:color w:val="72AF2F"/>
          <w:sz w:val="16"/>
          <w:szCs w:val="14"/>
        </w:rPr>
        <w:sym w:font="Webdings" w:char="F067"/>
      </w:r>
      <w:r w:rsidRPr="00093306">
        <w:rPr>
          <w:rFonts w:eastAsia="Times New Roman"/>
          <w:b/>
          <w:sz w:val="16"/>
          <w:szCs w:val="14"/>
        </w:rPr>
        <w:t xml:space="preserve"> 6 = Very good; satisfies criteria in all areas.  </w:t>
      </w:r>
      <w:r w:rsidRPr="00093306">
        <w:rPr>
          <w:rFonts w:eastAsia="Times New Roman"/>
          <w:b/>
          <w:color w:val="72AF2F"/>
          <w:sz w:val="16"/>
          <w:szCs w:val="14"/>
        </w:rPr>
        <w:sym w:font="Webdings" w:char="F067"/>
      </w:r>
      <w:r w:rsidRPr="00093306">
        <w:rPr>
          <w:rFonts w:eastAsia="Times New Roman"/>
          <w:b/>
          <w:sz w:val="16"/>
          <w:szCs w:val="14"/>
        </w:rPr>
        <w:t xml:space="preserve"> 5 = Good; satisfies criteria in almost all areas.</w:t>
      </w:r>
    </w:p>
    <w:p w14:paraId="7D7DC6F0" w14:textId="77777777" w:rsidR="00756526" w:rsidRPr="00093306" w:rsidRDefault="00756526" w:rsidP="00756526">
      <w:pPr>
        <w:spacing w:before="20" w:after="20" w:line="180" w:lineRule="atLeast"/>
        <w:rPr>
          <w:rFonts w:eastAsia="Times New Roman"/>
          <w:b/>
          <w:sz w:val="16"/>
          <w:szCs w:val="14"/>
        </w:rPr>
      </w:pPr>
      <w:r w:rsidRPr="00093306">
        <w:rPr>
          <w:rFonts w:eastAsia="Times New Roman"/>
          <w:b/>
          <w:color w:val="FFFF00"/>
          <w:sz w:val="16"/>
          <w:szCs w:val="14"/>
        </w:rPr>
        <w:sym w:font="Webdings" w:char="F067"/>
      </w:r>
      <w:r w:rsidRPr="00093306">
        <w:rPr>
          <w:rFonts w:eastAsia="Times New Roman"/>
          <w:b/>
          <w:sz w:val="16"/>
          <w:szCs w:val="14"/>
        </w:rPr>
        <w:t xml:space="preserve"> 4 = Adequate; on balance, satisfies criteria; does not fail in any major area.</w:t>
      </w:r>
    </w:p>
    <w:p w14:paraId="5D45EBFB" w14:textId="77777777" w:rsidR="00756526" w:rsidRPr="00AB1782" w:rsidRDefault="00756526" w:rsidP="00756526">
      <w:pPr>
        <w:spacing w:before="20" w:after="20" w:line="180" w:lineRule="atLeast"/>
        <w:rPr>
          <w:rFonts w:eastAsia="Times New Roman"/>
          <w:b/>
          <w:sz w:val="16"/>
          <w:szCs w:val="14"/>
        </w:rPr>
      </w:pPr>
      <w:r w:rsidRPr="00AB1782">
        <w:rPr>
          <w:rFonts w:eastAsia="Times New Roman"/>
          <w:b/>
          <w:sz w:val="16"/>
          <w:szCs w:val="14"/>
        </w:rPr>
        <w:t>Less than satisfactory (1, 2 and 3)</w:t>
      </w:r>
    </w:p>
    <w:p w14:paraId="5E7AF3B1" w14:textId="77777777" w:rsidR="00756526" w:rsidRPr="00093306" w:rsidRDefault="00756526" w:rsidP="00756526">
      <w:pPr>
        <w:spacing w:before="20" w:after="20" w:line="180" w:lineRule="atLeast"/>
        <w:rPr>
          <w:rFonts w:eastAsia="Times New Roman"/>
          <w:b/>
          <w:sz w:val="16"/>
          <w:szCs w:val="14"/>
        </w:rPr>
      </w:pPr>
      <w:r w:rsidRPr="00093306">
        <w:rPr>
          <w:rFonts w:eastAsia="Times New Roman"/>
          <w:b/>
          <w:color w:val="E36C0A"/>
          <w:sz w:val="16"/>
          <w:szCs w:val="14"/>
        </w:rPr>
        <w:sym w:font="Webdings" w:char="F067"/>
      </w:r>
      <w:r w:rsidRPr="00093306">
        <w:rPr>
          <w:rFonts w:eastAsia="Times New Roman"/>
          <w:b/>
          <w:color w:val="E36C0A"/>
          <w:sz w:val="16"/>
          <w:szCs w:val="14"/>
        </w:rPr>
        <w:t xml:space="preserve"> </w:t>
      </w:r>
      <w:r w:rsidRPr="00093306">
        <w:rPr>
          <w:rFonts w:eastAsia="Times New Roman"/>
          <w:b/>
          <w:sz w:val="16"/>
          <w:szCs w:val="14"/>
        </w:rPr>
        <w:t>3 = Less than adequate; on balance does not satisfy criteria and/or fails in at least one major area.</w:t>
      </w:r>
    </w:p>
    <w:p w14:paraId="2DE3C2A4" w14:textId="77777777" w:rsidR="00756526" w:rsidRPr="000D787E" w:rsidRDefault="00756526" w:rsidP="00756526">
      <w:pPr>
        <w:spacing w:before="20" w:after="20" w:line="180" w:lineRule="atLeast"/>
        <w:rPr>
          <w:sz w:val="24"/>
        </w:rPr>
      </w:pPr>
      <w:r w:rsidRPr="00093306">
        <w:rPr>
          <w:rFonts w:eastAsia="Times New Roman"/>
          <w:b/>
          <w:color w:val="FF0000"/>
          <w:sz w:val="16"/>
          <w:szCs w:val="14"/>
        </w:rPr>
        <w:sym w:font="Webdings" w:char="F067"/>
      </w:r>
      <w:r w:rsidRPr="00093306">
        <w:rPr>
          <w:rFonts w:eastAsia="Times New Roman"/>
          <w:b/>
          <w:sz w:val="16"/>
          <w:szCs w:val="14"/>
        </w:rPr>
        <w:t xml:space="preserve"> 2 = Poor; does not satisfy criteria in major areas.  </w:t>
      </w:r>
      <w:r w:rsidRPr="00093306">
        <w:rPr>
          <w:rFonts w:eastAsia="Times New Roman"/>
          <w:b/>
          <w:color w:val="FF0000"/>
          <w:sz w:val="16"/>
          <w:szCs w:val="14"/>
        </w:rPr>
        <w:sym w:font="Webdings" w:char="F067"/>
      </w:r>
      <w:r w:rsidRPr="00093306">
        <w:rPr>
          <w:rFonts w:eastAsia="Times New Roman"/>
          <w:b/>
          <w:sz w:val="16"/>
          <w:szCs w:val="14"/>
        </w:rPr>
        <w:t xml:space="preserve"> 1 = Very poor; does not satisfy criteria in many major area.</w:t>
      </w:r>
    </w:p>
    <w:p w14:paraId="15AED24A" w14:textId="77777777" w:rsidR="00756526" w:rsidRPr="00AB1782" w:rsidRDefault="00756526" w:rsidP="00756526">
      <w:pPr>
        <w:pStyle w:val="ListBullet"/>
        <w:tabs>
          <w:tab w:val="clear" w:pos="284"/>
        </w:tabs>
      </w:pPr>
    </w:p>
    <w:p w14:paraId="6EC62A03" w14:textId="77777777" w:rsidR="00756526" w:rsidRPr="00AB1782" w:rsidRDefault="00756526">
      <w:pPr>
        <w:suppressAutoHyphens w:val="0"/>
        <w:spacing w:before="0" w:after="120" w:line="440" w:lineRule="atLeast"/>
        <w:rPr>
          <w:rFonts w:asciiTheme="majorHAnsi" w:eastAsiaTheme="majorEastAsia" w:hAnsiTheme="majorHAnsi" w:cstheme="majorBidi"/>
          <w:caps/>
          <w:sz w:val="38"/>
          <w:szCs w:val="26"/>
        </w:rPr>
      </w:pPr>
    </w:p>
    <w:p w14:paraId="434699B8" w14:textId="77777777" w:rsidR="00756526" w:rsidRPr="00AB1782" w:rsidRDefault="00756526">
      <w:pPr>
        <w:suppressAutoHyphens w:val="0"/>
        <w:spacing w:before="0" w:after="120" w:line="440" w:lineRule="atLeast"/>
        <w:rPr>
          <w:rFonts w:eastAsiaTheme="majorEastAsia" w:cstheme="majorBidi"/>
          <w:bCs/>
          <w:iCs/>
          <w:caps/>
          <w:spacing w:val="-10"/>
          <w:kern w:val="28"/>
          <w:sz w:val="38"/>
          <w:szCs w:val="24"/>
        </w:rPr>
      </w:pPr>
      <w:r w:rsidRPr="00AB1782">
        <w:rPr>
          <w:rFonts w:eastAsiaTheme="majorEastAsia" w:cstheme="majorBidi"/>
          <w:bCs/>
          <w:iCs/>
          <w:caps/>
          <w:spacing w:val="-10"/>
          <w:kern w:val="28"/>
          <w:sz w:val="38"/>
          <w:szCs w:val="24"/>
        </w:rPr>
        <w:br w:type="page"/>
      </w:r>
    </w:p>
    <w:p w14:paraId="0683FF97" w14:textId="77777777" w:rsidR="00756526" w:rsidRPr="00AB1782" w:rsidRDefault="00756526" w:rsidP="00756526">
      <w:pPr>
        <w:rPr>
          <w:rFonts w:eastAsiaTheme="majorEastAsia" w:cstheme="majorBidi"/>
          <w:bCs/>
          <w:iCs/>
          <w:caps/>
          <w:spacing w:val="-10"/>
          <w:kern w:val="28"/>
          <w:sz w:val="38"/>
          <w:szCs w:val="24"/>
        </w:rPr>
      </w:pPr>
      <w:r w:rsidRPr="00AB1782">
        <w:rPr>
          <w:rFonts w:eastAsiaTheme="majorEastAsia" w:cstheme="majorBid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756526" w:rsidRPr="00093306" w14:paraId="6DBB5E02" w14:textId="77777777" w:rsidTr="00756526">
        <w:trPr>
          <w:trHeight w:val="1156"/>
        </w:trPr>
        <w:tc>
          <w:tcPr>
            <w:tcW w:w="1271" w:type="dxa"/>
            <w:shd w:val="clear" w:color="auto" w:fill="D7DEE2" w:themeFill="text2" w:themeFillTint="33"/>
          </w:tcPr>
          <w:p w14:paraId="10F0EBDF" w14:textId="77777777" w:rsidR="00756526" w:rsidRPr="00093306" w:rsidRDefault="00756526" w:rsidP="00756526">
            <w:pPr>
              <w:spacing w:before="80" w:after="80"/>
            </w:pPr>
            <w:r w:rsidRPr="00093306">
              <w:rPr>
                <w:noProof/>
                <w:lang w:val="en-AU" w:eastAsia="en-AU"/>
              </w:rPr>
              <w:drawing>
                <wp:inline distT="0" distB="0" distL="0" distR="0" wp14:anchorId="794D8E65" wp14:editId="2F5CAC15">
                  <wp:extent cx="612000" cy="612000"/>
                  <wp:effectExtent l="0" t="0" r="0" b="0"/>
                  <wp:docPr id="11" name="Picture 1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05957D57" w14:textId="77777777" w:rsidR="00756526" w:rsidRPr="000D787E" w:rsidRDefault="00756526" w:rsidP="00756526">
            <w:pPr>
              <w:spacing w:before="80" w:after="80"/>
              <w:rPr>
                <w:sz w:val="16"/>
              </w:rPr>
            </w:pPr>
            <w:r w:rsidRPr="000D787E">
              <w:rPr>
                <w:sz w:val="16"/>
              </w:rPr>
              <w:t>End poverty in all its forms everywhere</w:t>
            </w:r>
          </w:p>
        </w:tc>
        <w:tc>
          <w:tcPr>
            <w:tcW w:w="283" w:type="dxa"/>
            <w:shd w:val="clear" w:color="auto" w:fill="D7DEE2" w:themeFill="text2" w:themeFillTint="33"/>
          </w:tcPr>
          <w:p w14:paraId="52F63657" w14:textId="77777777" w:rsidR="00756526" w:rsidRPr="00AB1782" w:rsidRDefault="00756526" w:rsidP="00756526"/>
        </w:tc>
        <w:tc>
          <w:tcPr>
            <w:tcW w:w="1276" w:type="dxa"/>
            <w:shd w:val="clear" w:color="auto" w:fill="D7DEE2" w:themeFill="text2" w:themeFillTint="33"/>
          </w:tcPr>
          <w:p w14:paraId="4A8F893D" w14:textId="77777777" w:rsidR="00756526" w:rsidRPr="00093306" w:rsidRDefault="00756526" w:rsidP="00756526">
            <w:pPr>
              <w:spacing w:before="80" w:after="80"/>
            </w:pPr>
            <w:r w:rsidRPr="00093306">
              <w:rPr>
                <w:noProof/>
                <w:lang w:val="en-AU" w:eastAsia="en-AU"/>
              </w:rPr>
              <w:drawing>
                <wp:inline distT="0" distB="0" distL="0" distR="0" wp14:anchorId="114270FB" wp14:editId="3CF50E5F">
                  <wp:extent cx="612000" cy="612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F90B6A2" w14:textId="77777777" w:rsidR="00756526" w:rsidRPr="00AB1782" w:rsidRDefault="00756526" w:rsidP="00756526">
            <w:pPr>
              <w:spacing w:before="80" w:after="80"/>
              <w:rPr>
                <w:sz w:val="16"/>
              </w:rPr>
            </w:pPr>
            <w:r w:rsidRPr="000D787E">
              <w:rPr>
                <w:sz w:val="16"/>
              </w:rPr>
              <w:t>Ensure availability and sustainability management of water</w:t>
            </w:r>
            <w:r w:rsidRPr="00AB1782">
              <w:rPr>
                <w:sz w:val="16"/>
              </w:rPr>
              <w:t xml:space="preserve"> and sanitation for all</w:t>
            </w:r>
          </w:p>
        </w:tc>
      </w:tr>
      <w:tr w:rsidR="00756526" w:rsidRPr="00093306" w14:paraId="6AE9D25E" w14:textId="77777777" w:rsidTr="00756526">
        <w:tc>
          <w:tcPr>
            <w:tcW w:w="1271" w:type="dxa"/>
            <w:shd w:val="clear" w:color="auto" w:fill="D7DEE2" w:themeFill="text2" w:themeFillTint="33"/>
          </w:tcPr>
          <w:p w14:paraId="481267FD" w14:textId="77777777" w:rsidR="00756526" w:rsidRPr="00093306" w:rsidRDefault="00756526" w:rsidP="00756526">
            <w:pPr>
              <w:spacing w:before="80" w:after="80"/>
            </w:pPr>
            <w:r w:rsidRPr="00093306">
              <w:rPr>
                <w:noProof/>
                <w:lang w:val="en-AU" w:eastAsia="en-AU"/>
              </w:rPr>
              <w:drawing>
                <wp:inline distT="0" distB="0" distL="0" distR="0" wp14:anchorId="20352D67" wp14:editId="331B888F">
                  <wp:extent cx="612000" cy="61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52C3918" w14:textId="77777777" w:rsidR="00756526" w:rsidRPr="00AB1782" w:rsidRDefault="00756526" w:rsidP="00756526">
            <w:pPr>
              <w:spacing w:before="80" w:after="80"/>
              <w:rPr>
                <w:sz w:val="16"/>
              </w:rPr>
            </w:pPr>
            <w:r w:rsidRPr="000D787E">
              <w:rPr>
                <w:sz w:val="16"/>
              </w:rPr>
              <w:t>Ensure healthy lives and promote well-being</w:t>
            </w:r>
            <w:r w:rsidRPr="00AB1782">
              <w:rPr>
                <w:sz w:val="16"/>
              </w:rPr>
              <w:t xml:space="preserve"> at all ages</w:t>
            </w:r>
          </w:p>
        </w:tc>
        <w:tc>
          <w:tcPr>
            <w:tcW w:w="283" w:type="dxa"/>
            <w:shd w:val="clear" w:color="auto" w:fill="D7DEE2" w:themeFill="text2" w:themeFillTint="33"/>
          </w:tcPr>
          <w:p w14:paraId="0C96FB94" w14:textId="77777777" w:rsidR="00756526" w:rsidRPr="00093306" w:rsidRDefault="00756526" w:rsidP="00756526"/>
        </w:tc>
        <w:tc>
          <w:tcPr>
            <w:tcW w:w="1276" w:type="dxa"/>
            <w:shd w:val="clear" w:color="auto" w:fill="D7DEE2" w:themeFill="text2" w:themeFillTint="33"/>
          </w:tcPr>
          <w:p w14:paraId="173E168A" w14:textId="77777777" w:rsidR="00756526" w:rsidRPr="00093306" w:rsidRDefault="00756526" w:rsidP="00756526">
            <w:pPr>
              <w:spacing w:before="80" w:after="80"/>
            </w:pPr>
            <w:r w:rsidRPr="00093306">
              <w:rPr>
                <w:noProof/>
                <w:lang w:val="en-AU" w:eastAsia="en-AU"/>
              </w:rPr>
              <w:drawing>
                <wp:inline distT="0" distB="0" distL="0" distR="0" wp14:anchorId="42529C02" wp14:editId="7637CC32">
                  <wp:extent cx="609600" cy="609600"/>
                  <wp:effectExtent l="0" t="0" r="0" b="0"/>
                  <wp:docPr id="40" name="Picture 40"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shd w:val="clear" w:color="auto" w:fill="D7DEE2" w:themeFill="text2" w:themeFillTint="33"/>
          </w:tcPr>
          <w:p w14:paraId="43F36155" w14:textId="77777777" w:rsidR="00756526" w:rsidRPr="00093306" w:rsidRDefault="00756526" w:rsidP="00756526">
            <w:pPr>
              <w:spacing w:before="80" w:after="80"/>
              <w:rPr>
                <w:sz w:val="16"/>
              </w:rPr>
            </w:pPr>
            <w:r w:rsidRPr="000D787E">
              <w:rPr>
                <w:sz w:val="16"/>
              </w:rPr>
              <w:t xml:space="preserve">Promote sustained, inclusive and sustainable </w:t>
            </w:r>
            <w:r w:rsidRPr="00AB1782">
              <w:rPr>
                <w:sz w:val="16"/>
              </w:rPr>
              <w:t xml:space="preserve">economic growth, full and productive </w:t>
            </w:r>
            <w:r w:rsidRPr="00093306">
              <w:rPr>
                <w:sz w:val="16"/>
              </w:rPr>
              <w:t>employment</w:t>
            </w:r>
          </w:p>
        </w:tc>
      </w:tr>
      <w:tr w:rsidR="00756526" w:rsidRPr="00093306" w14:paraId="0FD3924F" w14:textId="77777777" w:rsidTr="00756526">
        <w:tc>
          <w:tcPr>
            <w:tcW w:w="1271" w:type="dxa"/>
            <w:shd w:val="clear" w:color="auto" w:fill="D7DEE2" w:themeFill="text2" w:themeFillTint="33"/>
          </w:tcPr>
          <w:p w14:paraId="27384DD8" w14:textId="77777777" w:rsidR="00756526" w:rsidRPr="00093306" w:rsidRDefault="00756526" w:rsidP="00756526">
            <w:pPr>
              <w:spacing w:before="80" w:after="80"/>
            </w:pPr>
            <w:r w:rsidRPr="00093306">
              <w:rPr>
                <w:noProof/>
                <w:lang w:val="en-AU" w:eastAsia="en-AU"/>
              </w:rPr>
              <w:drawing>
                <wp:inline distT="0" distB="0" distL="0" distR="0" wp14:anchorId="55A18157" wp14:editId="2FEBC517">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60F2E50" w14:textId="77777777" w:rsidR="00756526" w:rsidRPr="00093306" w:rsidRDefault="00756526" w:rsidP="00756526">
            <w:pPr>
              <w:spacing w:before="80" w:after="80"/>
              <w:rPr>
                <w:sz w:val="16"/>
              </w:rPr>
            </w:pPr>
            <w:r w:rsidRPr="000D787E">
              <w:rPr>
                <w:sz w:val="16"/>
              </w:rPr>
              <w:t xml:space="preserve">Ensure inclusive and equitable quality </w:t>
            </w:r>
            <w:r w:rsidRPr="00AB1782">
              <w:rPr>
                <w:sz w:val="16"/>
              </w:rPr>
              <w:t xml:space="preserve">education and promote lifelong learning </w:t>
            </w:r>
            <w:r w:rsidRPr="00093306">
              <w:rPr>
                <w:sz w:val="16"/>
              </w:rPr>
              <w:t>opportunities for all</w:t>
            </w:r>
          </w:p>
        </w:tc>
        <w:tc>
          <w:tcPr>
            <w:tcW w:w="283" w:type="dxa"/>
            <w:shd w:val="clear" w:color="auto" w:fill="D7DEE2" w:themeFill="text2" w:themeFillTint="33"/>
          </w:tcPr>
          <w:p w14:paraId="7F707A8A" w14:textId="77777777" w:rsidR="00756526" w:rsidRPr="00093306" w:rsidRDefault="00756526" w:rsidP="00756526"/>
        </w:tc>
        <w:tc>
          <w:tcPr>
            <w:tcW w:w="1276" w:type="dxa"/>
            <w:shd w:val="clear" w:color="auto" w:fill="D7DEE2" w:themeFill="text2" w:themeFillTint="33"/>
          </w:tcPr>
          <w:p w14:paraId="191A0B47" w14:textId="77777777" w:rsidR="00756526" w:rsidRPr="00093306" w:rsidRDefault="00756526" w:rsidP="00756526">
            <w:pPr>
              <w:spacing w:before="80" w:after="80"/>
            </w:pPr>
            <w:r w:rsidRPr="00093306">
              <w:rPr>
                <w:noProof/>
                <w:lang w:val="en-AU" w:eastAsia="en-AU"/>
              </w:rPr>
              <w:drawing>
                <wp:inline distT="0" distB="0" distL="0" distR="0" wp14:anchorId="02F4DF12" wp14:editId="071E759B">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72F621C" w14:textId="77777777" w:rsidR="00756526" w:rsidRPr="00AB1782" w:rsidRDefault="00756526" w:rsidP="00756526">
            <w:pPr>
              <w:spacing w:before="80" w:after="80"/>
              <w:rPr>
                <w:sz w:val="16"/>
              </w:rPr>
            </w:pPr>
            <w:r w:rsidRPr="000D787E">
              <w:rPr>
                <w:sz w:val="16"/>
              </w:rPr>
              <w:t>Take urgent action to combat climate change and its</w:t>
            </w:r>
            <w:r w:rsidRPr="00AB1782">
              <w:rPr>
                <w:sz w:val="16"/>
              </w:rPr>
              <w:t xml:space="preserve"> impacts</w:t>
            </w:r>
          </w:p>
        </w:tc>
      </w:tr>
      <w:tr w:rsidR="00756526" w14:paraId="5F9E45FD" w14:textId="77777777" w:rsidTr="00756526">
        <w:tc>
          <w:tcPr>
            <w:tcW w:w="1271" w:type="dxa"/>
            <w:shd w:val="clear" w:color="auto" w:fill="D7DEE2" w:themeFill="text2" w:themeFillTint="33"/>
          </w:tcPr>
          <w:p w14:paraId="42A094C6" w14:textId="77777777" w:rsidR="00756526" w:rsidRPr="00093306" w:rsidRDefault="00756526" w:rsidP="00756526">
            <w:pPr>
              <w:spacing w:before="80" w:after="80"/>
            </w:pPr>
            <w:r w:rsidRPr="00093306">
              <w:rPr>
                <w:noProof/>
                <w:lang w:val="en-AU" w:eastAsia="en-AU"/>
              </w:rPr>
              <w:drawing>
                <wp:inline distT="0" distB="0" distL="0" distR="0" wp14:anchorId="36927A67" wp14:editId="2C6E89A4">
                  <wp:extent cx="612000"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57852FD" w14:textId="77777777" w:rsidR="00756526" w:rsidRPr="00AB1782" w:rsidRDefault="00756526" w:rsidP="00756526">
            <w:pPr>
              <w:spacing w:before="80" w:after="80"/>
              <w:rPr>
                <w:sz w:val="16"/>
              </w:rPr>
            </w:pPr>
            <w:r w:rsidRPr="000D787E">
              <w:rPr>
                <w:sz w:val="16"/>
              </w:rPr>
              <w:t xml:space="preserve">Achieve gender equality and empower all </w:t>
            </w:r>
            <w:r w:rsidRPr="00AB1782">
              <w:rPr>
                <w:sz w:val="16"/>
              </w:rPr>
              <w:t>women and girls</w:t>
            </w:r>
          </w:p>
        </w:tc>
        <w:tc>
          <w:tcPr>
            <w:tcW w:w="283" w:type="dxa"/>
            <w:shd w:val="clear" w:color="auto" w:fill="D7DEE2" w:themeFill="text2" w:themeFillTint="33"/>
          </w:tcPr>
          <w:p w14:paraId="14146C56" w14:textId="77777777" w:rsidR="00756526" w:rsidRPr="00AB1782" w:rsidRDefault="00756526" w:rsidP="00756526"/>
        </w:tc>
        <w:tc>
          <w:tcPr>
            <w:tcW w:w="1276" w:type="dxa"/>
            <w:shd w:val="clear" w:color="auto" w:fill="D7DEE2" w:themeFill="text2" w:themeFillTint="33"/>
          </w:tcPr>
          <w:p w14:paraId="6E8CCA19" w14:textId="77777777" w:rsidR="00756526" w:rsidRPr="00093306" w:rsidRDefault="00756526" w:rsidP="00756526">
            <w:pPr>
              <w:spacing w:before="80" w:after="80"/>
            </w:pPr>
            <w:r w:rsidRPr="00093306">
              <w:rPr>
                <w:noProof/>
                <w:lang w:val="en-AU" w:eastAsia="en-AU"/>
              </w:rPr>
              <w:drawing>
                <wp:inline distT="0" distB="0" distL="0" distR="0" wp14:anchorId="27A32708" wp14:editId="391D1834">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A321D64" w14:textId="77777777" w:rsidR="00756526" w:rsidRPr="00AB289B" w:rsidRDefault="00756526" w:rsidP="00756526">
            <w:pPr>
              <w:spacing w:before="80" w:after="80"/>
              <w:rPr>
                <w:sz w:val="16"/>
              </w:rPr>
            </w:pPr>
            <w:r w:rsidRPr="000D787E">
              <w:rPr>
                <w:sz w:val="16"/>
              </w:rPr>
              <w:t xml:space="preserve">Strengthen the means of implementation and </w:t>
            </w:r>
            <w:r w:rsidRPr="00AB1782">
              <w:rPr>
                <w:sz w:val="16"/>
              </w:rPr>
              <w:t xml:space="preserve">revitalise the global partnership for </w:t>
            </w:r>
            <w:r w:rsidRPr="00093306">
              <w:rPr>
                <w:sz w:val="16"/>
              </w:rPr>
              <w:t>sustainable development</w:t>
            </w:r>
          </w:p>
        </w:tc>
      </w:tr>
    </w:tbl>
    <w:p w14:paraId="55EFF1BF" w14:textId="77777777" w:rsidR="00756526" w:rsidRPr="005C78DB" w:rsidRDefault="00756526" w:rsidP="00756526"/>
    <w:p w14:paraId="711A095F" w14:textId="77777777" w:rsidR="00D00802" w:rsidRDefault="00D00802" w:rsidP="005B5769">
      <w:pPr>
        <w:pStyle w:val="ListBullet"/>
        <w:tabs>
          <w:tab w:val="clear" w:pos="284"/>
        </w:tabs>
      </w:pPr>
    </w:p>
    <w:sectPr w:rsidR="00D00802" w:rsidSect="00756526">
      <w:headerReference w:type="default" r:id="rId32"/>
      <w:pgSz w:w="16838" w:h="11906" w:orient="landscape" w:code="9"/>
      <w:pgMar w:top="1134" w:right="1952" w:bottom="1134" w:left="851" w:header="1107"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9B0CB" w14:textId="77777777" w:rsidR="00F966E5" w:rsidRDefault="00F966E5" w:rsidP="00EF4574">
      <w:pPr>
        <w:spacing w:before="0" w:after="0" w:line="240" w:lineRule="auto"/>
      </w:pPr>
      <w:r>
        <w:separator/>
      </w:r>
    </w:p>
  </w:endnote>
  <w:endnote w:type="continuationSeparator" w:id="0">
    <w:p w14:paraId="3CCC0442" w14:textId="77777777" w:rsidR="00F966E5" w:rsidRDefault="00F966E5"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0D72" w14:textId="77777777" w:rsidR="00F966E5" w:rsidRDefault="00F96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2277" w14:textId="77777777" w:rsidR="00F966E5" w:rsidRDefault="00F966E5" w:rsidP="004839E3">
    <w:pPr>
      <w:pStyle w:val="Footer"/>
      <w:rPr>
        <w:lang w:val="en-AU"/>
      </w:rPr>
    </w:pPr>
  </w:p>
  <w:p w14:paraId="7ED535E0" w14:textId="77777777" w:rsidR="00F966E5" w:rsidRDefault="00F966E5" w:rsidP="004839E3">
    <w:pPr>
      <w:pStyle w:val="Footer"/>
    </w:pPr>
  </w:p>
  <w:p w14:paraId="5480BBF3" w14:textId="77777777" w:rsidR="00F966E5" w:rsidRPr="00CD0E4B" w:rsidRDefault="00F966E5" w:rsidP="004839E3">
    <w:pPr>
      <w:pStyle w:val="Footer"/>
    </w:pPr>
    <w:r w:rsidRPr="00CD0E4B">
      <w:rPr>
        <w:noProof/>
        <w:lang w:val="en-AU" w:eastAsia="en-AU"/>
      </w:rPr>
      <w:drawing>
        <wp:inline distT="0" distB="0" distL="0" distR="0" wp14:anchorId="27016FFB" wp14:editId="7D31AC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69B73091" w14:textId="77777777" w:rsidR="00F966E5" w:rsidRPr="00CD0E4B" w:rsidRDefault="00F966E5" w:rsidP="004839E3">
    <w:pPr>
      <w:pStyle w:val="Footer"/>
      <w:rPr>
        <w:color w:val="ACD08C" w:themeColor="accent3"/>
      </w:rPr>
    </w:pPr>
    <w:r w:rsidRPr="00CD0E4B">
      <w:rPr>
        <w:color w:val="ACD08C" w:themeColor="accent3"/>
      </w:rPr>
      <w:t>DFAT.GOV.AU</w:t>
    </w:r>
  </w:p>
  <w:p w14:paraId="33CF1BF8" w14:textId="77777777" w:rsidR="00F966E5" w:rsidRPr="004839E3" w:rsidRDefault="00F966E5"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6CF7" w14:textId="77777777" w:rsidR="00F966E5" w:rsidRPr="004839E3" w:rsidRDefault="00F966E5"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68C89DF9" wp14:editId="7361516A">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7613E0EC" w14:textId="77777777" w:rsidR="00F966E5" w:rsidRDefault="00F966E5"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9D96" w14:textId="77777777" w:rsidR="00F966E5" w:rsidRDefault="00F966E5" w:rsidP="004839E3">
    <w:pPr>
      <w:pStyle w:val="Footer"/>
      <w:rPr>
        <w:lang w:val="en-AU"/>
      </w:rPr>
    </w:pPr>
  </w:p>
  <w:p w14:paraId="0ADC4E33" w14:textId="77777777" w:rsidR="00F966E5" w:rsidRDefault="00F966E5" w:rsidP="004839E3">
    <w:pPr>
      <w:pStyle w:val="Footer"/>
    </w:pPr>
  </w:p>
  <w:p w14:paraId="40B0B1AD" w14:textId="77777777" w:rsidR="00F966E5" w:rsidRPr="00CD0E4B" w:rsidRDefault="00F966E5" w:rsidP="004839E3">
    <w:pPr>
      <w:pStyle w:val="Footer"/>
    </w:pPr>
    <w:r w:rsidRPr="00CD0E4B">
      <w:rPr>
        <w:noProof/>
        <w:lang w:val="en-AU" w:eastAsia="en-AU"/>
      </w:rPr>
      <w:drawing>
        <wp:inline distT="0" distB="0" distL="0" distR="0" wp14:anchorId="0CA08DAD" wp14:editId="0667D5F5">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559D07B2" w14:textId="7963FE56" w:rsidR="00F966E5" w:rsidRDefault="00F966E5" w:rsidP="004839E3">
    <w:pPr>
      <w:pStyle w:val="Footer"/>
      <w:rPr>
        <w:color w:val="ACD08C" w:themeColor="accent3"/>
      </w:rPr>
    </w:pPr>
    <w:r w:rsidRPr="00CD0E4B">
      <w:rPr>
        <w:color w:val="ACD08C" w:themeColor="accent3"/>
      </w:rPr>
      <w:t>DFAT.GOV.AU</w:t>
    </w:r>
  </w:p>
  <w:p w14:paraId="043D2D4E" w14:textId="3E73B36A" w:rsidR="00F966E5" w:rsidRPr="004839E3" w:rsidRDefault="00F966E5" w:rsidP="004839E3">
    <w:pPr>
      <w:pStyle w:val="Footer"/>
      <w:rPr>
        <w:noProof/>
        <w:lang w:val="en-AU"/>
      </w:rPr>
    </w:pPr>
    <w:r w:rsidRPr="001B3568">
      <w:rPr>
        <w:noProof/>
        <w:lang w:val="en-AU"/>
      </w:rPr>
      <w:t xml:space="preserve">Page </w:t>
    </w:r>
    <w:r w:rsidRPr="008669D5">
      <w:rPr>
        <w:noProof/>
        <w:lang w:val="en-AU"/>
      </w:rPr>
      <w:fldChar w:fldCharType="begin"/>
    </w:r>
    <w:r w:rsidRPr="008669D5">
      <w:rPr>
        <w:noProof/>
        <w:lang w:val="en-AU"/>
      </w:rPr>
      <w:instrText xml:space="preserve"> PAGE   \* MERGEFORMAT </w:instrText>
    </w:r>
    <w:r w:rsidRPr="008669D5">
      <w:rPr>
        <w:noProof/>
        <w:lang w:val="en-AU"/>
      </w:rPr>
      <w:fldChar w:fldCharType="separate"/>
    </w:r>
    <w:r w:rsidR="002C6E64">
      <w:rPr>
        <w:noProof/>
        <w:lang w:val="en-AU"/>
      </w:rPr>
      <w:t>15</w:t>
    </w:r>
    <w:r w:rsidRPr="008669D5">
      <w:rPr>
        <w:noProof/>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CD39" w14:textId="77777777" w:rsidR="00F966E5" w:rsidRPr="008C5A0E" w:rsidRDefault="00F966E5" w:rsidP="001D663E">
      <w:pPr>
        <w:pStyle w:val="Footer"/>
        <w:pBdr>
          <w:top w:val="single" w:sz="4" w:space="1" w:color="495965" w:themeColor="text2"/>
        </w:pBdr>
      </w:pPr>
    </w:p>
  </w:footnote>
  <w:footnote w:type="continuationSeparator" w:id="0">
    <w:p w14:paraId="13425073" w14:textId="77777777" w:rsidR="00F966E5" w:rsidRDefault="00F966E5" w:rsidP="00EF4574">
      <w:pPr>
        <w:spacing w:before="0" w:after="0" w:line="240" w:lineRule="auto"/>
      </w:pPr>
      <w:r>
        <w:continuationSeparator/>
      </w:r>
    </w:p>
  </w:footnote>
  <w:footnote w:id="1">
    <w:p w14:paraId="7A0AC8CE" w14:textId="7CFF6F0D" w:rsidR="00F966E5" w:rsidRPr="0032485B" w:rsidRDefault="00F966E5" w:rsidP="0032485B">
      <w:pPr>
        <w:pStyle w:val="FootnoteText"/>
        <w:rPr>
          <w:color w:val="auto"/>
          <w:sz w:val="20"/>
          <w:lang w:val="en-AU"/>
        </w:rPr>
      </w:pPr>
      <w:r w:rsidRPr="0032485B">
        <w:rPr>
          <w:rStyle w:val="FootnoteReference"/>
          <w:color w:val="auto"/>
          <w:sz w:val="20"/>
        </w:rPr>
        <w:footnoteRef/>
      </w:r>
      <w:r w:rsidRPr="0032485B">
        <w:rPr>
          <w:color w:val="auto"/>
          <w:sz w:val="20"/>
        </w:rPr>
        <w:t xml:space="preserve"> </w:t>
      </w:r>
      <w:r w:rsidRPr="0032485B">
        <w:rPr>
          <w:color w:val="auto"/>
          <w:sz w:val="20"/>
          <w:lang w:val="en-AU"/>
        </w:rPr>
        <w:t>The Government of Kiribati</w:t>
      </w:r>
      <w:r>
        <w:rPr>
          <w:color w:val="auto"/>
          <w:sz w:val="20"/>
          <w:lang w:val="en-AU"/>
        </w:rPr>
        <w:t>’s</w:t>
      </w:r>
      <w:r w:rsidRPr="0032485B">
        <w:rPr>
          <w:color w:val="auto"/>
          <w:sz w:val="20"/>
          <w:lang w:val="en-AU"/>
        </w:rPr>
        <w:t xml:space="preserve"> 2018 bu</w:t>
      </w:r>
      <w:r>
        <w:rPr>
          <w:color w:val="auto"/>
          <w:sz w:val="20"/>
          <w:lang w:val="en-AU"/>
        </w:rPr>
        <w:t>d</w:t>
      </w:r>
      <w:r w:rsidRPr="0032485B">
        <w:rPr>
          <w:color w:val="auto"/>
          <w:sz w:val="20"/>
          <w:lang w:val="en-AU"/>
        </w:rPr>
        <w:t xml:space="preserve">get is </w:t>
      </w:r>
      <w:r>
        <w:rPr>
          <w:color w:val="auto"/>
          <w:sz w:val="20"/>
          <w:lang w:val="en-AU"/>
        </w:rPr>
        <w:t xml:space="preserve">available on the Kiribati Ministry of Finance and Economic Development’s website: </w:t>
      </w:r>
      <w:hyperlink r:id="rId1" w:history="1">
        <w:r w:rsidRPr="00E74FB1">
          <w:rPr>
            <w:rStyle w:val="Hyperlink"/>
            <w:rFonts w:cstheme="minorBidi"/>
            <w:sz w:val="20"/>
            <w:lang w:val="en-AU"/>
          </w:rPr>
          <w:t>http://www.mfed.gov.ki/</w:t>
        </w:r>
      </w:hyperlink>
      <w:r>
        <w:rPr>
          <w:color w:val="auto"/>
          <w:sz w:val="20"/>
          <w:lang w:val="en-AU"/>
        </w:rPr>
        <w:t xml:space="preserve">. The aid contributions of Kiribati’s other development partners referred to in this paragraph are estimates taken from the Government of Kiribati’s 2018 budget.  </w:t>
      </w:r>
    </w:p>
  </w:footnote>
  <w:footnote w:id="2">
    <w:p w14:paraId="0CAAED68" w14:textId="19472682" w:rsidR="00F966E5" w:rsidRPr="002C6701" w:rsidRDefault="00F966E5" w:rsidP="00933169">
      <w:pPr>
        <w:pStyle w:val="FootnoteText"/>
        <w:rPr>
          <w:sz w:val="20"/>
          <w:lang w:val="en-AU"/>
        </w:rPr>
      </w:pPr>
      <w:r w:rsidRPr="002C6701">
        <w:rPr>
          <w:rStyle w:val="FootnoteReference"/>
          <w:sz w:val="20"/>
        </w:rPr>
        <w:footnoteRef/>
      </w:r>
      <w:r w:rsidRPr="002C6701">
        <w:rPr>
          <w:sz w:val="20"/>
        </w:rPr>
        <w:t xml:space="preserve"> </w:t>
      </w:r>
      <w:r>
        <w:rPr>
          <w:sz w:val="20"/>
        </w:rPr>
        <w:t xml:space="preserve"> Regional </w:t>
      </w:r>
      <w:r>
        <w:rPr>
          <w:sz w:val="20"/>
          <w:lang w:val="en-AU"/>
        </w:rPr>
        <w:t xml:space="preserve">health programs in Kiribati include the </w:t>
      </w:r>
      <w:r w:rsidRPr="002C6701">
        <w:rPr>
          <w:i/>
          <w:sz w:val="20"/>
          <w:lang w:val="en-AU"/>
        </w:rPr>
        <w:t>UN Joint program for Reproductive, Maternal, Newborn, Child and Adolescent Health</w:t>
      </w:r>
      <w:r w:rsidRPr="002C6701">
        <w:rPr>
          <w:sz w:val="20"/>
          <w:lang w:val="en-AU"/>
        </w:rPr>
        <w:t xml:space="preserve"> (which supports the Governments of Kiribati, Solomon Islands and Vanuatu to sustainably improve health outcomes for women and children</w:t>
      </w:r>
      <w:r>
        <w:rPr>
          <w:sz w:val="20"/>
          <w:lang w:val="en-AU"/>
        </w:rPr>
        <w:t>) and</w:t>
      </w:r>
      <w:r w:rsidRPr="002C6701">
        <w:rPr>
          <w:sz w:val="20"/>
          <w:lang w:val="en-AU"/>
        </w:rPr>
        <w:t xml:space="preserve"> the </w:t>
      </w:r>
      <w:r w:rsidRPr="002C6701">
        <w:rPr>
          <w:i/>
          <w:sz w:val="20"/>
          <w:lang w:val="en-AU"/>
        </w:rPr>
        <w:t>Partnerships for Health and Rights Program</w:t>
      </w:r>
      <w:r w:rsidRPr="002C6701">
        <w:rPr>
          <w:sz w:val="20"/>
          <w:lang w:val="en-AU"/>
        </w:rPr>
        <w:t xml:space="preserve"> (which fund</w:t>
      </w:r>
      <w:r>
        <w:rPr>
          <w:sz w:val="20"/>
          <w:lang w:val="en-AU"/>
        </w:rPr>
        <w:t>s</w:t>
      </w:r>
      <w:r w:rsidRPr="002C6701">
        <w:rPr>
          <w:sz w:val="20"/>
          <w:lang w:val="en-AU"/>
        </w:rPr>
        <w:t xml:space="preserve"> the I</w:t>
      </w:r>
      <w:r>
        <w:rPr>
          <w:sz w:val="20"/>
          <w:lang w:val="en-AU"/>
        </w:rPr>
        <w:t xml:space="preserve">nternational Planned Parenthood Federation to </w:t>
      </w:r>
      <w:r w:rsidRPr="002C6701">
        <w:rPr>
          <w:sz w:val="20"/>
          <w:lang w:val="en-AU"/>
        </w:rPr>
        <w:t>improve access to sexual and reproductive health services in Kiribati</w:t>
      </w:r>
      <w:r>
        <w:rPr>
          <w:sz w:val="20"/>
          <w:lang w:val="en-AU"/>
        </w:rPr>
        <w:t xml:space="preserve"> and seven other Pacific island countries). These programs complement the maternal and childhood health elements of both our previous and new bilateral investments in health. </w:t>
      </w:r>
    </w:p>
  </w:footnote>
  <w:footnote w:id="3">
    <w:p w14:paraId="633E5280" w14:textId="6026E94A" w:rsidR="00F966E5" w:rsidRPr="000D7AD5" w:rsidRDefault="00F966E5">
      <w:pPr>
        <w:pStyle w:val="FootnoteText"/>
        <w:rPr>
          <w:lang w:val="en-AU"/>
        </w:rPr>
      </w:pPr>
      <w:r w:rsidRPr="000D7AD5">
        <w:rPr>
          <w:rStyle w:val="FootnoteReference"/>
          <w:sz w:val="20"/>
        </w:rPr>
        <w:footnoteRef/>
      </w:r>
      <w:r w:rsidRPr="000D7AD5">
        <w:rPr>
          <w:sz w:val="20"/>
        </w:rPr>
        <w:t xml:space="preserve"> </w:t>
      </w:r>
      <w:r>
        <w:rPr>
          <w:color w:val="auto"/>
          <w:sz w:val="20"/>
          <w:lang w:val="en-AU"/>
        </w:rPr>
        <w:t xml:space="preserve"> </w:t>
      </w:r>
      <w:r w:rsidRPr="00CC6522">
        <w:rPr>
          <w:color w:val="auto"/>
          <w:sz w:val="20"/>
          <w:lang w:val="en-AU"/>
        </w:rPr>
        <w:t xml:space="preserve">Improving infrastructure services in Kiribati was a priority outcome under the </w:t>
      </w:r>
      <w:r w:rsidRPr="00CC6522">
        <w:rPr>
          <w:i/>
          <w:color w:val="auto"/>
          <w:sz w:val="20"/>
          <w:lang w:val="en-AU"/>
        </w:rPr>
        <w:t>Australia-Kiribati Partnership for Development 2009-15</w:t>
      </w:r>
      <w:r w:rsidRPr="00CC6522">
        <w:rPr>
          <w:color w:val="auto"/>
          <w:sz w:val="20"/>
          <w:lang w:val="en-AU"/>
        </w:rPr>
        <w:t>. Australia’s</w:t>
      </w:r>
      <w:r>
        <w:rPr>
          <w:color w:val="auto"/>
          <w:sz w:val="20"/>
          <w:lang w:val="en-AU"/>
        </w:rPr>
        <w:t xml:space="preserve"> infrastructure</w:t>
      </w:r>
      <w:r w:rsidRPr="00CC6522">
        <w:rPr>
          <w:color w:val="auto"/>
          <w:sz w:val="20"/>
          <w:lang w:val="en-AU"/>
        </w:rPr>
        <w:t xml:space="preserve"> investment</w:t>
      </w:r>
      <w:r>
        <w:rPr>
          <w:color w:val="auto"/>
          <w:sz w:val="20"/>
          <w:lang w:val="en-AU"/>
        </w:rPr>
        <w:t xml:space="preserve"> ($35 million, 2011-19) </w:t>
      </w:r>
      <w:r w:rsidRPr="00CC6522">
        <w:rPr>
          <w:color w:val="auto"/>
          <w:sz w:val="20"/>
          <w:lang w:val="en-AU"/>
        </w:rPr>
        <w:t>focused on the transport,</w:t>
      </w:r>
      <w:r>
        <w:rPr>
          <w:color w:val="auto"/>
          <w:sz w:val="20"/>
          <w:lang w:val="en-AU"/>
        </w:rPr>
        <w:t xml:space="preserve"> sanitation,</w:t>
      </w:r>
      <w:r w:rsidRPr="00CC6522">
        <w:rPr>
          <w:color w:val="auto"/>
          <w:sz w:val="20"/>
          <w:lang w:val="en-AU"/>
        </w:rPr>
        <w:t xml:space="preserve"> telecommunication and energy sectors to help to improve economic growth and provide a cleaner, healthier environment.</w:t>
      </w:r>
      <w:r>
        <w:rPr>
          <w:color w:val="auto"/>
          <w:sz w:val="20"/>
          <w:lang w:val="en-AU"/>
        </w:rPr>
        <w:t xml:space="preserve"> Most of the physical works funded by the </w:t>
      </w:r>
      <w:r w:rsidRPr="008B24D4">
        <w:rPr>
          <w:color w:val="auto"/>
          <w:sz w:val="20"/>
          <w:lang w:val="en-AU"/>
        </w:rPr>
        <w:t xml:space="preserve">investment </w:t>
      </w:r>
      <w:r>
        <w:rPr>
          <w:color w:val="auto"/>
          <w:sz w:val="20"/>
          <w:lang w:val="en-AU"/>
        </w:rPr>
        <w:t>was completed prior to 2017-18. Almost all of the investment’s activity during the 2017-18 reporting period related to</w:t>
      </w:r>
      <w:r w:rsidRPr="00CC6522">
        <w:rPr>
          <w:color w:val="auto"/>
          <w:sz w:val="20"/>
          <w:lang w:val="en-AU"/>
        </w:rPr>
        <w:t xml:space="preserve"> the</w:t>
      </w:r>
      <w:r w:rsidRPr="000B7E84">
        <w:rPr>
          <w:i/>
          <w:color w:val="auto"/>
          <w:sz w:val="20"/>
          <w:lang w:val="en-AU"/>
        </w:rPr>
        <w:t xml:space="preserve"> South Tarawa Sanitation Improvement Sector Project</w:t>
      </w:r>
      <w:r>
        <w:rPr>
          <w:color w:val="auto"/>
          <w:sz w:val="20"/>
          <w:lang w:val="en-AU"/>
        </w:rPr>
        <w:t xml:space="preserve">. Under the </w:t>
      </w:r>
      <w:r w:rsidRPr="0067732F">
        <w:rPr>
          <w:i/>
          <w:color w:val="auto"/>
          <w:sz w:val="20"/>
          <w:lang w:val="en-AU"/>
        </w:rPr>
        <w:t>K</w:t>
      </w:r>
      <w:r w:rsidRPr="001378EC">
        <w:rPr>
          <w:i/>
          <w:color w:val="auto"/>
          <w:sz w:val="20"/>
          <w:lang w:val="en-AU"/>
        </w:rPr>
        <w:t>iribati Aid Investment Plan 2015-19</w:t>
      </w:r>
      <w:r w:rsidRPr="001378EC">
        <w:rPr>
          <w:color w:val="auto"/>
          <w:sz w:val="20"/>
          <w:lang w:val="en-AU"/>
        </w:rPr>
        <w:t>,</w:t>
      </w:r>
      <w:r>
        <w:rPr>
          <w:color w:val="auto"/>
          <w:sz w:val="20"/>
          <w:lang w:val="en-AU"/>
        </w:rPr>
        <w:t xml:space="preserve"> </w:t>
      </w:r>
      <w:r w:rsidRPr="001378EC">
        <w:rPr>
          <w:color w:val="auto"/>
          <w:sz w:val="20"/>
          <w:lang w:val="en-AU"/>
        </w:rPr>
        <w:t xml:space="preserve">Australia </w:t>
      </w:r>
      <w:r>
        <w:rPr>
          <w:color w:val="auto"/>
          <w:sz w:val="20"/>
          <w:lang w:val="en-AU"/>
        </w:rPr>
        <w:t>has</w:t>
      </w:r>
      <w:r w:rsidRPr="001378EC">
        <w:rPr>
          <w:color w:val="auto"/>
          <w:sz w:val="20"/>
          <w:lang w:val="en-AU"/>
        </w:rPr>
        <w:t xml:space="preserve"> prioriti</w:t>
      </w:r>
      <w:r>
        <w:rPr>
          <w:color w:val="auto"/>
          <w:sz w:val="20"/>
          <w:lang w:val="en-AU"/>
        </w:rPr>
        <w:t>sed</w:t>
      </w:r>
      <w:r w:rsidRPr="001378EC">
        <w:rPr>
          <w:color w:val="auto"/>
          <w:sz w:val="20"/>
          <w:lang w:val="en-AU"/>
        </w:rPr>
        <w:t xml:space="preserve"> </w:t>
      </w:r>
      <w:r>
        <w:rPr>
          <w:color w:val="auto"/>
          <w:sz w:val="20"/>
          <w:lang w:val="en-AU"/>
        </w:rPr>
        <w:t>economi</w:t>
      </w:r>
      <w:r w:rsidRPr="001378EC">
        <w:rPr>
          <w:color w:val="auto"/>
          <w:sz w:val="20"/>
          <w:lang w:val="en-AU"/>
        </w:rPr>
        <w:t xml:space="preserve">c reform, education, health and labour mobility objectives and </w:t>
      </w:r>
      <w:r>
        <w:rPr>
          <w:color w:val="auto"/>
          <w:sz w:val="20"/>
          <w:lang w:val="en-AU"/>
        </w:rPr>
        <w:t>does n</w:t>
      </w:r>
      <w:r w:rsidRPr="001378EC">
        <w:rPr>
          <w:color w:val="auto"/>
          <w:sz w:val="20"/>
          <w:lang w:val="en-AU"/>
        </w:rPr>
        <w:t>ot plan to fund further infrastructure projects</w:t>
      </w:r>
      <w:r>
        <w:rPr>
          <w:rFonts w:ascii="Arial" w:hAnsi="Arial" w:cs="Arial"/>
          <w:color w:val="auto"/>
          <w:sz w:val="16"/>
          <w:szCs w:val="16"/>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909B" w14:textId="77777777" w:rsidR="00F966E5" w:rsidRDefault="00F96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0127" w14:textId="77777777" w:rsidR="00F966E5" w:rsidRPr="00333501" w:rsidRDefault="00F966E5" w:rsidP="008F56A8">
    <w:pPr>
      <w:pStyle w:val="Header"/>
      <w:jc w:val="left"/>
    </w:pPr>
    <w:r>
      <w:rPr>
        <w:noProof/>
        <w:lang w:val="en-AU" w:eastAsia="en-AU"/>
      </w:rPr>
      <w:drawing>
        <wp:anchor distT="0" distB="0" distL="114300" distR="114300" simplePos="0" relativeHeight="251671552" behindDoc="1" locked="1" layoutInCell="1" allowOverlap="1" wp14:anchorId="7D9AC6E7" wp14:editId="35CD7B56">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044B" w14:textId="77777777" w:rsidR="00F966E5" w:rsidRPr="003D352D" w:rsidRDefault="00F966E5" w:rsidP="003D352D">
    <w:pPr>
      <w:pStyle w:val="Header"/>
      <w:jc w:val="left"/>
    </w:pPr>
    <w:r>
      <w:rPr>
        <w:noProof/>
        <w:lang w:val="en-AU" w:eastAsia="en-AU"/>
      </w:rPr>
      <w:drawing>
        <wp:anchor distT="0" distB="0" distL="114300" distR="114300" simplePos="0" relativeHeight="251669504" behindDoc="1" locked="1" layoutInCell="1" allowOverlap="1" wp14:anchorId="75B66CAC" wp14:editId="72740AA0">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B551" w14:textId="77777777" w:rsidR="00F966E5" w:rsidRPr="00333501" w:rsidRDefault="00F966E5" w:rsidP="008F56A8">
    <w:pPr>
      <w:pStyle w:val="Header"/>
      <w:jc w:val="left"/>
    </w:pPr>
    <w:r>
      <w:rPr>
        <w:noProof/>
        <w:lang w:val="en-AU" w:eastAsia="en-AU"/>
      </w:rPr>
      <w:drawing>
        <wp:anchor distT="0" distB="0" distL="114300" distR="114300" simplePos="0" relativeHeight="251685888" behindDoc="1" locked="1" layoutInCell="1" allowOverlap="1" wp14:anchorId="777D484A" wp14:editId="1C4B3798">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DFD99" w14:textId="77777777" w:rsidR="00F966E5" w:rsidRPr="003D352D" w:rsidRDefault="00F966E5" w:rsidP="003D352D">
    <w:pPr>
      <w:pStyle w:val="Header"/>
      <w:jc w:val="left"/>
    </w:pPr>
    <w:r>
      <w:rPr>
        <w:noProof/>
        <w:lang w:val="en-AU" w:eastAsia="en-AU"/>
      </w:rPr>
      <w:drawing>
        <wp:anchor distT="0" distB="0" distL="114300" distR="114300" simplePos="0" relativeHeight="251687936" behindDoc="1" locked="1" layoutInCell="1" allowOverlap="1" wp14:anchorId="5887BCA5" wp14:editId="6A5CD8F6">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9DE9" w14:textId="77777777" w:rsidR="00F966E5" w:rsidRPr="00333501" w:rsidRDefault="00F966E5" w:rsidP="008F56A8">
    <w:pPr>
      <w:pStyle w:val="Header"/>
      <w:jc w:val="left"/>
    </w:pPr>
    <w:r>
      <w:rPr>
        <w:noProof/>
        <w:lang w:val="en-AU" w:eastAsia="en-AU"/>
      </w:rPr>
      <w:drawing>
        <wp:anchor distT="0" distB="0" distL="114300" distR="114300" simplePos="0" relativeHeight="251689984" behindDoc="1" locked="1" layoutInCell="1" allowOverlap="1" wp14:anchorId="06FC391A" wp14:editId="152744DC">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0725" w14:textId="77777777" w:rsidR="00F966E5" w:rsidRPr="003D352D" w:rsidRDefault="00F966E5" w:rsidP="003D352D">
    <w:pPr>
      <w:pStyle w:val="Header"/>
      <w:jc w:val="left"/>
    </w:pPr>
    <w:r>
      <w:rPr>
        <w:noProof/>
        <w:lang w:val="en-AU" w:eastAsia="en-AU"/>
      </w:rPr>
      <w:drawing>
        <wp:anchor distT="0" distB="0" distL="114300" distR="114300" simplePos="0" relativeHeight="251688960" behindDoc="1" locked="1" layoutInCell="1" allowOverlap="1" wp14:anchorId="1E89580F" wp14:editId="1603EA67">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A5A0" w14:textId="77777777" w:rsidR="00F966E5" w:rsidRPr="00333501" w:rsidRDefault="00F966E5" w:rsidP="008F56A8">
    <w:pPr>
      <w:pStyle w:val="Header"/>
      <w:jc w:val="left"/>
    </w:pPr>
    <w:bookmarkStart w:id="0" w:name="_GoBack"/>
    <w:bookmarkEnd w:id="0"/>
    <w:r>
      <w:rPr>
        <w:noProof/>
        <w:lang w:val="en-AU" w:eastAsia="en-AU"/>
      </w:rPr>
      <w:drawing>
        <wp:anchor distT="0" distB="0" distL="114300" distR="114300" simplePos="0" relativeHeight="251683840" behindDoc="1" locked="1" layoutInCell="1" allowOverlap="1" wp14:anchorId="2F4438AD" wp14:editId="673F14B8">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F90F0D"/>
    <w:multiLevelType w:val="hybridMultilevel"/>
    <w:tmpl w:val="3EC6B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F03451F"/>
    <w:multiLevelType w:val="hybridMultilevel"/>
    <w:tmpl w:val="FB2EC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A0976"/>
    <w:multiLevelType w:val="hybridMultilevel"/>
    <w:tmpl w:val="5016C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4F96268"/>
    <w:multiLevelType w:val="hybridMultilevel"/>
    <w:tmpl w:val="E2B4D6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CF06FD"/>
    <w:multiLevelType w:val="hybridMultilevel"/>
    <w:tmpl w:val="A5C4D8C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7D881364"/>
    <w:multiLevelType w:val="hybridMultilevel"/>
    <w:tmpl w:val="C7DCE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4"/>
  </w:num>
  <w:num w:numId="23">
    <w:abstractNumId w:val="14"/>
  </w:num>
  <w:num w:numId="24">
    <w:abstractNumId w:val="22"/>
  </w:num>
  <w:num w:numId="25">
    <w:abstractNumId w:val="22"/>
  </w:num>
  <w:num w:numId="26">
    <w:abstractNumId w:val="22"/>
  </w:num>
  <w:num w:numId="27">
    <w:abstractNumId w:val="21"/>
  </w:num>
  <w:num w:numId="28">
    <w:abstractNumId w:val="10"/>
  </w:num>
  <w:num w:numId="29">
    <w:abstractNumId w:val="10"/>
  </w:num>
  <w:num w:numId="30">
    <w:abstractNumId w:val="10"/>
  </w:num>
  <w:num w:numId="31">
    <w:abstractNumId w:val="16"/>
  </w:num>
  <w:num w:numId="32">
    <w:abstractNumId w:val="20"/>
  </w:num>
  <w:num w:numId="33">
    <w:abstractNumId w:val="26"/>
  </w:num>
  <w:num w:numId="34">
    <w:abstractNumId w:val="19"/>
  </w:num>
  <w:num w:numId="35">
    <w:abstractNumId w:val="13"/>
  </w:num>
  <w:num w:numId="36">
    <w:abstractNumId w:val="17"/>
  </w:num>
  <w:num w:numId="37">
    <w:abstractNumId w:val="24"/>
  </w:num>
  <w:num w:numId="38">
    <w:abstractNumId w:val="18"/>
  </w:num>
  <w:num w:numId="39">
    <w:abstractNumId w:val="12"/>
  </w:num>
  <w:num w:numId="40">
    <w:abstractNumId w:val="15"/>
  </w:num>
  <w:num w:numId="41">
    <w:abstractNumId w:val="2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5316"/>
    <w:rsid w:val="00016E31"/>
    <w:rsid w:val="0002080A"/>
    <w:rsid w:val="00026E6F"/>
    <w:rsid w:val="0002782F"/>
    <w:rsid w:val="00031512"/>
    <w:rsid w:val="00031AD8"/>
    <w:rsid w:val="00034AEE"/>
    <w:rsid w:val="000472C6"/>
    <w:rsid w:val="00051AB3"/>
    <w:rsid w:val="00054E4D"/>
    <w:rsid w:val="00057C66"/>
    <w:rsid w:val="00060073"/>
    <w:rsid w:val="00060268"/>
    <w:rsid w:val="00076806"/>
    <w:rsid w:val="0008095C"/>
    <w:rsid w:val="00084483"/>
    <w:rsid w:val="000850D1"/>
    <w:rsid w:val="00093306"/>
    <w:rsid w:val="000A20BF"/>
    <w:rsid w:val="000B4FBE"/>
    <w:rsid w:val="000B5539"/>
    <w:rsid w:val="000B7E84"/>
    <w:rsid w:val="000D66D6"/>
    <w:rsid w:val="000D787E"/>
    <w:rsid w:val="000D7AD5"/>
    <w:rsid w:val="000E1E2C"/>
    <w:rsid w:val="000E314A"/>
    <w:rsid w:val="000F2AE7"/>
    <w:rsid w:val="000F4DEE"/>
    <w:rsid w:val="00104515"/>
    <w:rsid w:val="001378EC"/>
    <w:rsid w:val="00141AA1"/>
    <w:rsid w:val="001541EA"/>
    <w:rsid w:val="00156B49"/>
    <w:rsid w:val="0016136F"/>
    <w:rsid w:val="00162DE2"/>
    <w:rsid w:val="00166715"/>
    <w:rsid w:val="00166DDA"/>
    <w:rsid w:val="001712EB"/>
    <w:rsid w:val="00174E97"/>
    <w:rsid w:val="001827E8"/>
    <w:rsid w:val="00184F1E"/>
    <w:rsid w:val="001B3568"/>
    <w:rsid w:val="001B7C11"/>
    <w:rsid w:val="001C136C"/>
    <w:rsid w:val="001C3C05"/>
    <w:rsid w:val="001C6CD0"/>
    <w:rsid w:val="001D333D"/>
    <w:rsid w:val="001D663E"/>
    <w:rsid w:val="001E07B7"/>
    <w:rsid w:val="001E1DC0"/>
    <w:rsid w:val="002079A8"/>
    <w:rsid w:val="00217CB2"/>
    <w:rsid w:val="00225344"/>
    <w:rsid w:val="0023195E"/>
    <w:rsid w:val="00234053"/>
    <w:rsid w:val="00236A53"/>
    <w:rsid w:val="00275DB7"/>
    <w:rsid w:val="00284957"/>
    <w:rsid w:val="0028602A"/>
    <w:rsid w:val="00290161"/>
    <w:rsid w:val="002A4A0E"/>
    <w:rsid w:val="002A51CA"/>
    <w:rsid w:val="002A62C8"/>
    <w:rsid w:val="002B3E95"/>
    <w:rsid w:val="002B5E10"/>
    <w:rsid w:val="002C6E64"/>
    <w:rsid w:val="003002C0"/>
    <w:rsid w:val="00300638"/>
    <w:rsid w:val="00301144"/>
    <w:rsid w:val="003109F2"/>
    <w:rsid w:val="003148B7"/>
    <w:rsid w:val="003158C3"/>
    <w:rsid w:val="0031704D"/>
    <w:rsid w:val="0032485B"/>
    <w:rsid w:val="003274CD"/>
    <w:rsid w:val="00333501"/>
    <w:rsid w:val="00344549"/>
    <w:rsid w:val="003457C4"/>
    <w:rsid w:val="0035119D"/>
    <w:rsid w:val="00353365"/>
    <w:rsid w:val="00355299"/>
    <w:rsid w:val="00380104"/>
    <w:rsid w:val="0038080B"/>
    <w:rsid w:val="00382A9D"/>
    <w:rsid w:val="0038345D"/>
    <w:rsid w:val="003B4F12"/>
    <w:rsid w:val="003B6392"/>
    <w:rsid w:val="003C14B0"/>
    <w:rsid w:val="003D0EA1"/>
    <w:rsid w:val="003D352D"/>
    <w:rsid w:val="003E305C"/>
    <w:rsid w:val="003E3AB5"/>
    <w:rsid w:val="00400B0F"/>
    <w:rsid w:val="00402ACC"/>
    <w:rsid w:val="00403CB7"/>
    <w:rsid w:val="00404EE4"/>
    <w:rsid w:val="004120EC"/>
    <w:rsid w:val="00420879"/>
    <w:rsid w:val="004225C6"/>
    <w:rsid w:val="00423F31"/>
    <w:rsid w:val="00431899"/>
    <w:rsid w:val="00447710"/>
    <w:rsid w:val="00452DDD"/>
    <w:rsid w:val="00456AD9"/>
    <w:rsid w:val="00456D1C"/>
    <w:rsid w:val="0045701A"/>
    <w:rsid w:val="00480422"/>
    <w:rsid w:val="00480CF2"/>
    <w:rsid w:val="004839E3"/>
    <w:rsid w:val="00486804"/>
    <w:rsid w:val="004977A1"/>
    <w:rsid w:val="004A056E"/>
    <w:rsid w:val="004A0A0A"/>
    <w:rsid w:val="004B3775"/>
    <w:rsid w:val="004D0BA0"/>
    <w:rsid w:val="004D3F38"/>
    <w:rsid w:val="004E0264"/>
    <w:rsid w:val="004E058F"/>
    <w:rsid w:val="004E3B87"/>
    <w:rsid w:val="004F1E09"/>
    <w:rsid w:val="00510921"/>
    <w:rsid w:val="00510AD3"/>
    <w:rsid w:val="00513348"/>
    <w:rsid w:val="00523EB4"/>
    <w:rsid w:val="005274C7"/>
    <w:rsid w:val="005303F5"/>
    <w:rsid w:val="00533B5D"/>
    <w:rsid w:val="00543B36"/>
    <w:rsid w:val="00544E5D"/>
    <w:rsid w:val="005511BF"/>
    <w:rsid w:val="00553366"/>
    <w:rsid w:val="00580A64"/>
    <w:rsid w:val="0059146A"/>
    <w:rsid w:val="00597664"/>
    <w:rsid w:val="005A032C"/>
    <w:rsid w:val="005B027B"/>
    <w:rsid w:val="005B5769"/>
    <w:rsid w:val="005B6CF8"/>
    <w:rsid w:val="005C78DB"/>
    <w:rsid w:val="005D3655"/>
    <w:rsid w:val="005D56AD"/>
    <w:rsid w:val="005E5A60"/>
    <w:rsid w:val="005E606B"/>
    <w:rsid w:val="006045E0"/>
    <w:rsid w:val="00606CB5"/>
    <w:rsid w:val="00623BA1"/>
    <w:rsid w:val="0062607A"/>
    <w:rsid w:val="006335A5"/>
    <w:rsid w:val="006346BC"/>
    <w:rsid w:val="0063744A"/>
    <w:rsid w:val="00664F80"/>
    <w:rsid w:val="0066652A"/>
    <w:rsid w:val="006738ED"/>
    <w:rsid w:val="0067732F"/>
    <w:rsid w:val="00677891"/>
    <w:rsid w:val="00680522"/>
    <w:rsid w:val="00681BDD"/>
    <w:rsid w:val="00681F08"/>
    <w:rsid w:val="00682167"/>
    <w:rsid w:val="00684A5F"/>
    <w:rsid w:val="006879BF"/>
    <w:rsid w:val="006921B7"/>
    <w:rsid w:val="00694836"/>
    <w:rsid w:val="00695730"/>
    <w:rsid w:val="006A6CDD"/>
    <w:rsid w:val="006B3D10"/>
    <w:rsid w:val="006C42AF"/>
    <w:rsid w:val="006C552E"/>
    <w:rsid w:val="006F0954"/>
    <w:rsid w:val="006F27B1"/>
    <w:rsid w:val="006F4E1C"/>
    <w:rsid w:val="00711D8E"/>
    <w:rsid w:val="00712672"/>
    <w:rsid w:val="00717000"/>
    <w:rsid w:val="00720413"/>
    <w:rsid w:val="00720BBC"/>
    <w:rsid w:val="00723612"/>
    <w:rsid w:val="00734E3F"/>
    <w:rsid w:val="00735B2D"/>
    <w:rsid w:val="00736985"/>
    <w:rsid w:val="0073792C"/>
    <w:rsid w:val="00741B84"/>
    <w:rsid w:val="00745DF5"/>
    <w:rsid w:val="00756526"/>
    <w:rsid w:val="0076250F"/>
    <w:rsid w:val="00762D05"/>
    <w:rsid w:val="00771B53"/>
    <w:rsid w:val="00784031"/>
    <w:rsid w:val="00791F53"/>
    <w:rsid w:val="007A6119"/>
    <w:rsid w:val="007A61AD"/>
    <w:rsid w:val="007B58AE"/>
    <w:rsid w:val="007B6200"/>
    <w:rsid w:val="007F3395"/>
    <w:rsid w:val="007F6FEE"/>
    <w:rsid w:val="0080014D"/>
    <w:rsid w:val="00801B9F"/>
    <w:rsid w:val="008057FD"/>
    <w:rsid w:val="00812509"/>
    <w:rsid w:val="008129F9"/>
    <w:rsid w:val="008337D9"/>
    <w:rsid w:val="008475F0"/>
    <w:rsid w:val="008579F8"/>
    <w:rsid w:val="00864210"/>
    <w:rsid w:val="008669D5"/>
    <w:rsid w:val="00866D87"/>
    <w:rsid w:val="008763EF"/>
    <w:rsid w:val="00884E07"/>
    <w:rsid w:val="008861E2"/>
    <w:rsid w:val="00887669"/>
    <w:rsid w:val="00895CBF"/>
    <w:rsid w:val="008A5AFE"/>
    <w:rsid w:val="008B24D4"/>
    <w:rsid w:val="008B4E23"/>
    <w:rsid w:val="008B5BD1"/>
    <w:rsid w:val="008B68D7"/>
    <w:rsid w:val="008C2C9A"/>
    <w:rsid w:val="008C2F58"/>
    <w:rsid w:val="008C33B0"/>
    <w:rsid w:val="008C5A0E"/>
    <w:rsid w:val="008D4779"/>
    <w:rsid w:val="008F0931"/>
    <w:rsid w:val="008F56A8"/>
    <w:rsid w:val="00916FB1"/>
    <w:rsid w:val="00921F83"/>
    <w:rsid w:val="00922879"/>
    <w:rsid w:val="00933169"/>
    <w:rsid w:val="00936C10"/>
    <w:rsid w:val="009437B7"/>
    <w:rsid w:val="0094523C"/>
    <w:rsid w:val="009578CB"/>
    <w:rsid w:val="009629D1"/>
    <w:rsid w:val="0098441D"/>
    <w:rsid w:val="009903F3"/>
    <w:rsid w:val="00992C76"/>
    <w:rsid w:val="009A051F"/>
    <w:rsid w:val="009A77E8"/>
    <w:rsid w:val="009B4D3B"/>
    <w:rsid w:val="009D3A26"/>
    <w:rsid w:val="009D7407"/>
    <w:rsid w:val="009E0866"/>
    <w:rsid w:val="009F5488"/>
    <w:rsid w:val="009F6423"/>
    <w:rsid w:val="00A204E0"/>
    <w:rsid w:val="00A2458A"/>
    <w:rsid w:val="00A24A62"/>
    <w:rsid w:val="00A31C9F"/>
    <w:rsid w:val="00A35F95"/>
    <w:rsid w:val="00A405C6"/>
    <w:rsid w:val="00A4144F"/>
    <w:rsid w:val="00A56F14"/>
    <w:rsid w:val="00A56FC0"/>
    <w:rsid w:val="00A80F95"/>
    <w:rsid w:val="00A8197B"/>
    <w:rsid w:val="00A84162"/>
    <w:rsid w:val="00A8774A"/>
    <w:rsid w:val="00A92CF2"/>
    <w:rsid w:val="00A938DA"/>
    <w:rsid w:val="00A94E8A"/>
    <w:rsid w:val="00AA3671"/>
    <w:rsid w:val="00AA7BE3"/>
    <w:rsid w:val="00AB0B7D"/>
    <w:rsid w:val="00AB1782"/>
    <w:rsid w:val="00AB5E7F"/>
    <w:rsid w:val="00AC164A"/>
    <w:rsid w:val="00AC571B"/>
    <w:rsid w:val="00AE2B01"/>
    <w:rsid w:val="00AE6A28"/>
    <w:rsid w:val="00AF0F3F"/>
    <w:rsid w:val="00AF1B85"/>
    <w:rsid w:val="00AF2050"/>
    <w:rsid w:val="00B03CA8"/>
    <w:rsid w:val="00B12980"/>
    <w:rsid w:val="00B1585C"/>
    <w:rsid w:val="00B331DC"/>
    <w:rsid w:val="00B370E1"/>
    <w:rsid w:val="00B438D3"/>
    <w:rsid w:val="00B4467F"/>
    <w:rsid w:val="00B45F8F"/>
    <w:rsid w:val="00B55E19"/>
    <w:rsid w:val="00B57AEB"/>
    <w:rsid w:val="00B717A8"/>
    <w:rsid w:val="00B754C8"/>
    <w:rsid w:val="00B8475C"/>
    <w:rsid w:val="00B907C7"/>
    <w:rsid w:val="00B92DB6"/>
    <w:rsid w:val="00B94FAA"/>
    <w:rsid w:val="00BA4B6D"/>
    <w:rsid w:val="00BB26C5"/>
    <w:rsid w:val="00BB7EC6"/>
    <w:rsid w:val="00BC1735"/>
    <w:rsid w:val="00BE1BEB"/>
    <w:rsid w:val="00BF3260"/>
    <w:rsid w:val="00BF4DE6"/>
    <w:rsid w:val="00C144B3"/>
    <w:rsid w:val="00C1791B"/>
    <w:rsid w:val="00C302A3"/>
    <w:rsid w:val="00C33696"/>
    <w:rsid w:val="00C36024"/>
    <w:rsid w:val="00C40401"/>
    <w:rsid w:val="00C42CDE"/>
    <w:rsid w:val="00C47B16"/>
    <w:rsid w:val="00C5182A"/>
    <w:rsid w:val="00C523F9"/>
    <w:rsid w:val="00C53BE5"/>
    <w:rsid w:val="00C63B75"/>
    <w:rsid w:val="00C63EE9"/>
    <w:rsid w:val="00C6626C"/>
    <w:rsid w:val="00C7139B"/>
    <w:rsid w:val="00C92C84"/>
    <w:rsid w:val="00CA232F"/>
    <w:rsid w:val="00CA37B1"/>
    <w:rsid w:val="00CA6F97"/>
    <w:rsid w:val="00CB1959"/>
    <w:rsid w:val="00CB2A69"/>
    <w:rsid w:val="00CC2E7A"/>
    <w:rsid w:val="00CC4767"/>
    <w:rsid w:val="00CC6522"/>
    <w:rsid w:val="00CD0E4B"/>
    <w:rsid w:val="00CD1652"/>
    <w:rsid w:val="00CD3554"/>
    <w:rsid w:val="00CE0155"/>
    <w:rsid w:val="00CF670F"/>
    <w:rsid w:val="00D00802"/>
    <w:rsid w:val="00D0296C"/>
    <w:rsid w:val="00D10F14"/>
    <w:rsid w:val="00D146A2"/>
    <w:rsid w:val="00D15A00"/>
    <w:rsid w:val="00D2653F"/>
    <w:rsid w:val="00D34907"/>
    <w:rsid w:val="00D40FAF"/>
    <w:rsid w:val="00D63208"/>
    <w:rsid w:val="00D647E4"/>
    <w:rsid w:val="00D64BD1"/>
    <w:rsid w:val="00D72760"/>
    <w:rsid w:val="00D8123A"/>
    <w:rsid w:val="00D852EA"/>
    <w:rsid w:val="00D90D5D"/>
    <w:rsid w:val="00D91E9C"/>
    <w:rsid w:val="00DB4FF9"/>
    <w:rsid w:val="00DD1986"/>
    <w:rsid w:val="00DD3FAF"/>
    <w:rsid w:val="00DD59DF"/>
    <w:rsid w:val="00DE084C"/>
    <w:rsid w:val="00DF3282"/>
    <w:rsid w:val="00DF55AA"/>
    <w:rsid w:val="00DF670E"/>
    <w:rsid w:val="00E14F12"/>
    <w:rsid w:val="00E229F5"/>
    <w:rsid w:val="00E357B7"/>
    <w:rsid w:val="00E36900"/>
    <w:rsid w:val="00E3702C"/>
    <w:rsid w:val="00E40738"/>
    <w:rsid w:val="00E51195"/>
    <w:rsid w:val="00E53800"/>
    <w:rsid w:val="00E6081F"/>
    <w:rsid w:val="00E65105"/>
    <w:rsid w:val="00E724AC"/>
    <w:rsid w:val="00E73DE6"/>
    <w:rsid w:val="00E820CC"/>
    <w:rsid w:val="00E920C9"/>
    <w:rsid w:val="00E9247F"/>
    <w:rsid w:val="00EA04B2"/>
    <w:rsid w:val="00EA20F3"/>
    <w:rsid w:val="00EA3F43"/>
    <w:rsid w:val="00EA6B2E"/>
    <w:rsid w:val="00EB2666"/>
    <w:rsid w:val="00EB3712"/>
    <w:rsid w:val="00EB44D7"/>
    <w:rsid w:val="00ED1CD6"/>
    <w:rsid w:val="00ED2831"/>
    <w:rsid w:val="00ED43D1"/>
    <w:rsid w:val="00EE4BF6"/>
    <w:rsid w:val="00EE4EE1"/>
    <w:rsid w:val="00EF3E93"/>
    <w:rsid w:val="00EF4574"/>
    <w:rsid w:val="00EF4AD9"/>
    <w:rsid w:val="00F06182"/>
    <w:rsid w:val="00F24D51"/>
    <w:rsid w:val="00F2684E"/>
    <w:rsid w:val="00F27A66"/>
    <w:rsid w:val="00F4140A"/>
    <w:rsid w:val="00F5404C"/>
    <w:rsid w:val="00F729EF"/>
    <w:rsid w:val="00F77CAE"/>
    <w:rsid w:val="00F813BC"/>
    <w:rsid w:val="00F82271"/>
    <w:rsid w:val="00F83428"/>
    <w:rsid w:val="00F849BE"/>
    <w:rsid w:val="00F86D1B"/>
    <w:rsid w:val="00F95D4B"/>
    <w:rsid w:val="00F966E5"/>
    <w:rsid w:val="00F966FB"/>
    <w:rsid w:val="00F96BB9"/>
    <w:rsid w:val="00FB4F75"/>
    <w:rsid w:val="00FB5DFD"/>
    <w:rsid w:val="00FC7286"/>
    <w:rsid w:val="00FD6512"/>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A5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ftref,fr,16 Point,Superscript 6 Point,Normal + Font:9 Point,Superscript 3 Point Times,Ref,de nota al pie,(NECG) Footnote Reference"/>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ADB List Paragraph,Recommendation,L,F5 List Paragraph,Dot pt,CV text,Table text,List Paragraph111,Medium Grid 1 - Accent 21,Numbered Paragraph,List Paragraph2,Bulleted Para,NFP GP Bulleted List,FooterText"/>
    <w:basedOn w:val="Normal"/>
    <w:link w:val="ListParagraphChar"/>
    <w:uiPriority w:val="34"/>
    <w:qFormat/>
    <w:rsid w:val="00B370E1"/>
    <w:pPr>
      <w:ind w:left="720"/>
      <w:contextualSpacing/>
    </w:pPr>
  </w:style>
  <w:style w:type="character" w:customStyle="1" w:styleId="ListParagraphChar">
    <w:name w:val="List Paragraph Char"/>
    <w:aliases w:val="List Paragraph1 Char,List Paragraph11 Char,ADB List Paragraph Char,Recommendation Char,L Char,F5 List Paragraph Char,Dot pt Char,CV text Char,Table text Char,List Paragraph111 Char,Medium Grid 1 - Accent 21 Char,List Paragraph2 Char"/>
    <w:basedOn w:val="DefaultParagraphFont"/>
    <w:link w:val="ListParagraph"/>
    <w:uiPriority w:val="34"/>
    <w:qFormat/>
    <w:locked/>
    <w:rsid w:val="00B370E1"/>
    <w:rPr>
      <w:color w:val="495965" w:themeColor="text2"/>
      <w:lang w:val="en-GB"/>
    </w:rPr>
  </w:style>
  <w:style w:type="paragraph" w:styleId="NormalWeb">
    <w:name w:val="Normal (Web)"/>
    <w:basedOn w:val="Normal"/>
    <w:uiPriority w:val="99"/>
    <w:semiHidden/>
    <w:unhideWhenUsed/>
    <w:rsid w:val="00104515"/>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CommentReference">
    <w:name w:val="annotation reference"/>
    <w:basedOn w:val="DefaultParagraphFont"/>
    <w:uiPriority w:val="99"/>
    <w:semiHidden/>
    <w:unhideWhenUsed/>
    <w:rsid w:val="00756526"/>
    <w:rPr>
      <w:sz w:val="16"/>
      <w:szCs w:val="16"/>
    </w:rPr>
  </w:style>
  <w:style w:type="paragraph" w:styleId="CommentText">
    <w:name w:val="annotation text"/>
    <w:basedOn w:val="Normal"/>
    <w:link w:val="CommentTextChar"/>
    <w:uiPriority w:val="99"/>
    <w:semiHidden/>
    <w:unhideWhenUsed/>
    <w:rsid w:val="00756526"/>
    <w:pPr>
      <w:spacing w:line="240" w:lineRule="auto"/>
    </w:pPr>
    <w:rPr>
      <w:sz w:val="20"/>
      <w:szCs w:val="20"/>
    </w:rPr>
  </w:style>
  <w:style w:type="character" w:customStyle="1" w:styleId="CommentTextChar">
    <w:name w:val="Comment Text Char"/>
    <w:basedOn w:val="DefaultParagraphFont"/>
    <w:link w:val="CommentText"/>
    <w:uiPriority w:val="99"/>
    <w:semiHidden/>
    <w:rsid w:val="0075652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16E31"/>
    <w:rPr>
      <w:b/>
      <w:bCs/>
    </w:rPr>
  </w:style>
  <w:style w:type="character" w:customStyle="1" w:styleId="CommentSubjectChar">
    <w:name w:val="Comment Subject Char"/>
    <w:basedOn w:val="CommentTextChar"/>
    <w:link w:val="CommentSubject"/>
    <w:uiPriority w:val="99"/>
    <w:semiHidden/>
    <w:rsid w:val="00016E31"/>
    <w:rPr>
      <w:b/>
      <w:bCs/>
      <w:color w:val="495965" w:themeColor="text2"/>
      <w:sz w:val="20"/>
      <w:szCs w:val="20"/>
      <w:lang w:val="en-GB"/>
    </w:rPr>
  </w:style>
  <w:style w:type="paragraph" w:styleId="Revision">
    <w:name w:val="Revision"/>
    <w:hidden/>
    <w:uiPriority w:val="99"/>
    <w:semiHidden/>
    <w:rsid w:val="00016E31"/>
    <w:pPr>
      <w:spacing w:after="0" w:line="240" w:lineRule="auto"/>
    </w:pPr>
    <w:rPr>
      <w:color w:val="495965" w:themeColor="text2"/>
      <w:lang w:val="en-GB"/>
    </w:rPr>
  </w:style>
  <w:style w:type="paragraph" w:customStyle="1" w:styleId="Default">
    <w:name w:val="Default"/>
    <w:rsid w:val="00C53B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834">
      <w:bodyDiv w:val="1"/>
      <w:marLeft w:val="0"/>
      <w:marRight w:val="0"/>
      <w:marTop w:val="0"/>
      <w:marBottom w:val="0"/>
      <w:divBdr>
        <w:top w:val="none" w:sz="0" w:space="0" w:color="auto"/>
        <w:left w:val="none" w:sz="0" w:space="0" w:color="auto"/>
        <w:bottom w:val="none" w:sz="0" w:space="0" w:color="auto"/>
        <w:right w:val="none" w:sz="0" w:space="0" w:color="auto"/>
      </w:divBdr>
    </w:div>
    <w:div w:id="24060575">
      <w:bodyDiv w:val="1"/>
      <w:marLeft w:val="0"/>
      <w:marRight w:val="0"/>
      <w:marTop w:val="0"/>
      <w:marBottom w:val="0"/>
      <w:divBdr>
        <w:top w:val="none" w:sz="0" w:space="0" w:color="auto"/>
        <w:left w:val="none" w:sz="0" w:space="0" w:color="auto"/>
        <w:bottom w:val="none" w:sz="0" w:space="0" w:color="auto"/>
        <w:right w:val="none" w:sz="0" w:space="0" w:color="auto"/>
      </w:divBdr>
      <w:divsChild>
        <w:div w:id="2079858116">
          <w:marLeft w:val="0"/>
          <w:marRight w:val="0"/>
          <w:marTop w:val="0"/>
          <w:marBottom w:val="0"/>
          <w:divBdr>
            <w:top w:val="none" w:sz="0" w:space="0" w:color="auto"/>
            <w:left w:val="none" w:sz="0" w:space="0" w:color="auto"/>
            <w:bottom w:val="none" w:sz="0" w:space="0" w:color="auto"/>
            <w:right w:val="none" w:sz="0" w:space="0" w:color="auto"/>
          </w:divBdr>
          <w:divsChild>
            <w:div w:id="1098674010">
              <w:marLeft w:val="0"/>
              <w:marRight w:val="0"/>
              <w:marTop w:val="0"/>
              <w:marBottom w:val="0"/>
              <w:divBdr>
                <w:top w:val="none" w:sz="0" w:space="0" w:color="auto"/>
                <w:left w:val="none" w:sz="0" w:space="0" w:color="auto"/>
                <w:bottom w:val="none" w:sz="0" w:space="0" w:color="auto"/>
                <w:right w:val="none" w:sz="0" w:space="0" w:color="auto"/>
              </w:divBdr>
              <w:divsChild>
                <w:div w:id="495069545">
                  <w:marLeft w:val="0"/>
                  <w:marRight w:val="0"/>
                  <w:marTop w:val="0"/>
                  <w:marBottom w:val="0"/>
                  <w:divBdr>
                    <w:top w:val="none" w:sz="0" w:space="0" w:color="auto"/>
                    <w:left w:val="none" w:sz="0" w:space="0" w:color="auto"/>
                    <w:bottom w:val="none" w:sz="0" w:space="0" w:color="auto"/>
                    <w:right w:val="none" w:sz="0" w:space="0" w:color="auto"/>
                  </w:divBdr>
                  <w:divsChild>
                    <w:div w:id="1638879615">
                      <w:marLeft w:val="0"/>
                      <w:marRight w:val="0"/>
                      <w:marTop w:val="0"/>
                      <w:marBottom w:val="0"/>
                      <w:divBdr>
                        <w:top w:val="none" w:sz="0" w:space="0" w:color="auto"/>
                        <w:left w:val="none" w:sz="0" w:space="0" w:color="auto"/>
                        <w:bottom w:val="none" w:sz="0" w:space="0" w:color="auto"/>
                        <w:right w:val="none" w:sz="0" w:space="0" w:color="auto"/>
                      </w:divBdr>
                      <w:divsChild>
                        <w:div w:id="1223979629">
                          <w:marLeft w:val="0"/>
                          <w:marRight w:val="0"/>
                          <w:marTop w:val="0"/>
                          <w:marBottom w:val="0"/>
                          <w:divBdr>
                            <w:top w:val="none" w:sz="0" w:space="0" w:color="auto"/>
                            <w:left w:val="none" w:sz="0" w:space="0" w:color="auto"/>
                            <w:bottom w:val="none" w:sz="0" w:space="0" w:color="auto"/>
                            <w:right w:val="none" w:sz="0" w:space="0" w:color="auto"/>
                          </w:divBdr>
                          <w:divsChild>
                            <w:div w:id="895820651">
                              <w:marLeft w:val="0"/>
                              <w:marRight w:val="0"/>
                              <w:marTop w:val="0"/>
                              <w:marBottom w:val="0"/>
                              <w:divBdr>
                                <w:top w:val="none" w:sz="0" w:space="0" w:color="auto"/>
                                <w:left w:val="none" w:sz="0" w:space="0" w:color="auto"/>
                                <w:bottom w:val="none" w:sz="0" w:space="0" w:color="auto"/>
                                <w:right w:val="none" w:sz="0" w:space="0" w:color="auto"/>
                              </w:divBdr>
                              <w:divsChild>
                                <w:div w:id="1267343934">
                                  <w:marLeft w:val="0"/>
                                  <w:marRight w:val="0"/>
                                  <w:marTop w:val="0"/>
                                  <w:marBottom w:val="0"/>
                                  <w:divBdr>
                                    <w:top w:val="none" w:sz="0" w:space="0" w:color="auto"/>
                                    <w:left w:val="none" w:sz="0" w:space="0" w:color="auto"/>
                                    <w:bottom w:val="none" w:sz="0" w:space="0" w:color="auto"/>
                                    <w:right w:val="none" w:sz="0" w:space="0" w:color="auto"/>
                                  </w:divBdr>
                                  <w:divsChild>
                                    <w:div w:id="368840287">
                                      <w:marLeft w:val="0"/>
                                      <w:marRight w:val="0"/>
                                      <w:marTop w:val="0"/>
                                      <w:marBottom w:val="0"/>
                                      <w:divBdr>
                                        <w:top w:val="none" w:sz="0" w:space="0" w:color="auto"/>
                                        <w:left w:val="none" w:sz="0" w:space="0" w:color="auto"/>
                                        <w:bottom w:val="none" w:sz="0" w:space="0" w:color="auto"/>
                                        <w:right w:val="none" w:sz="0" w:space="0" w:color="auto"/>
                                      </w:divBdr>
                                      <w:divsChild>
                                        <w:div w:id="1343438406">
                                          <w:marLeft w:val="0"/>
                                          <w:marRight w:val="0"/>
                                          <w:marTop w:val="0"/>
                                          <w:marBottom w:val="0"/>
                                          <w:divBdr>
                                            <w:top w:val="none" w:sz="0" w:space="0" w:color="auto"/>
                                            <w:left w:val="none" w:sz="0" w:space="0" w:color="auto"/>
                                            <w:bottom w:val="none" w:sz="0" w:space="0" w:color="auto"/>
                                            <w:right w:val="none" w:sz="0" w:space="0" w:color="auto"/>
                                          </w:divBdr>
                                          <w:divsChild>
                                            <w:div w:id="14710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87535">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310139047">
      <w:bodyDiv w:val="1"/>
      <w:marLeft w:val="0"/>
      <w:marRight w:val="0"/>
      <w:marTop w:val="0"/>
      <w:marBottom w:val="0"/>
      <w:divBdr>
        <w:top w:val="none" w:sz="0" w:space="0" w:color="auto"/>
        <w:left w:val="none" w:sz="0" w:space="0" w:color="auto"/>
        <w:bottom w:val="none" w:sz="0" w:space="0" w:color="auto"/>
        <w:right w:val="none" w:sz="0" w:space="0" w:color="auto"/>
      </w:divBdr>
      <w:divsChild>
        <w:div w:id="1676688689">
          <w:marLeft w:val="0"/>
          <w:marRight w:val="0"/>
          <w:marTop w:val="0"/>
          <w:marBottom w:val="0"/>
          <w:divBdr>
            <w:top w:val="none" w:sz="0" w:space="0" w:color="auto"/>
            <w:left w:val="none" w:sz="0" w:space="0" w:color="auto"/>
            <w:bottom w:val="none" w:sz="0" w:space="0" w:color="auto"/>
            <w:right w:val="none" w:sz="0" w:space="0" w:color="auto"/>
          </w:divBdr>
          <w:divsChild>
            <w:div w:id="1500192793">
              <w:marLeft w:val="0"/>
              <w:marRight w:val="0"/>
              <w:marTop w:val="0"/>
              <w:marBottom w:val="0"/>
              <w:divBdr>
                <w:top w:val="none" w:sz="0" w:space="0" w:color="auto"/>
                <w:left w:val="none" w:sz="0" w:space="0" w:color="auto"/>
                <w:bottom w:val="none" w:sz="0" w:space="0" w:color="auto"/>
                <w:right w:val="none" w:sz="0" w:space="0" w:color="auto"/>
              </w:divBdr>
              <w:divsChild>
                <w:div w:id="546374832">
                  <w:marLeft w:val="0"/>
                  <w:marRight w:val="0"/>
                  <w:marTop w:val="0"/>
                  <w:marBottom w:val="0"/>
                  <w:divBdr>
                    <w:top w:val="none" w:sz="0" w:space="0" w:color="auto"/>
                    <w:left w:val="none" w:sz="0" w:space="0" w:color="auto"/>
                    <w:bottom w:val="none" w:sz="0" w:space="0" w:color="auto"/>
                    <w:right w:val="none" w:sz="0" w:space="0" w:color="auto"/>
                  </w:divBdr>
                  <w:divsChild>
                    <w:div w:id="712654750">
                      <w:marLeft w:val="0"/>
                      <w:marRight w:val="0"/>
                      <w:marTop w:val="0"/>
                      <w:marBottom w:val="0"/>
                      <w:divBdr>
                        <w:top w:val="none" w:sz="0" w:space="0" w:color="auto"/>
                        <w:left w:val="none" w:sz="0" w:space="0" w:color="auto"/>
                        <w:bottom w:val="none" w:sz="0" w:space="0" w:color="auto"/>
                        <w:right w:val="none" w:sz="0" w:space="0" w:color="auto"/>
                      </w:divBdr>
                      <w:divsChild>
                        <w:div w:id="195124682">
                          <w:marLeft w:val="0"/>
                          <w:marRight w:val="0"/>
                          <w:marTop w:val="0"/>
                          <w:marBottom w:val="0"/>
                          <w:divBdr>
                            <w:top w:val="none" w:sz="0" w:space="0" w:color="auto"/>
                            <w:left w:val="none" w:sz="0" w:space="0" w:color="auto"/>
                            <w:bottom w:val="none" w:sz="0" w:space="0" w:color="auto"/>
                            <w:right w:val="none" w:sz="0" w:space="0" w:color="auto"/>
                          </w:divBdr>
                          <w:divsChild>
                            <w:div w:id="123278364">
                              <w:marLeft w:val="0"/>
                              <w:marRight w:val="0"/>
                              <w:marTop w:val="0"/>
                              <w:marBottom w:val="0"/>
                              <w:divBdr>
                                <w:top w:val="none" w:sz="0" w:space="0" w:color="auto"/>
                                <w:left w:val="none" w:sz="0" w:space="0" w:color="auto"/>
                                <w:bottom w:val="none" w:sz="0" w:space="0" w:color="auto"/>
                                <w:right w:val="none" w:sz="0" w:space="0" w:color="auto"/>
                              </w:divBdr>
                              <w:divsChild>
                                <w:div w:id="942960935">
                                  <w:marLeft w:val="0"/>
                                  <w:marRight w:val="0"/>
                                  <w:marTop w:val="0"/>
                                  <w:marBottom w:val="0"/>
                                  <w:divBdr>
                                    <w:top w:val="none" w:sz="0" w:space="0" w:color="auto"/>
                                    <w:left w:val="none" w:sz="0" w:space="0" w:color="auto"/>
                                    <w:bottom w:val="none" w:sz="0" w:space="0" w:color="auto"/>
                                    <w:right w:val="none" w:sz="0" w:space="0" w:color="auto"/>
                                  </w:divBdr>
                                  <w:divsChild>
                                    <w:div w:id="127093313">
                                      <w:marLeft w:val="0"/>
                                      <w:marRight w:val="0"/>
                                      <w:marTop w:val="0"/>
                                      <w:marBottom w:val="0"/>
                                      <w:divBdr>
                                        <w:top w:val="none" w:sz="0" w:space="0" w:color="auto"/>
                                        <w:left w:val="none" w:sz="0" w:space="0" w:color="auto"/>
                                        <w:bottom w:val="none" w:sz="0" w:space="0" w:color="auto"/>
                                        <w:right w:val="none" w:sz="0" w:space="0" w:color="auto"/>
                                      </w:divBdr>
                                      <w:divsChild>
                                        <w:div w:id="632174719">
                                          <w:marLeft w:val="0"/>
                                          <w:marRight w:val="0"/>
                                          <w:marTop w:val="0"/>
                                          <w:marBottom w:val="0"/>
                                          <w:divBdr>
                                            <w:top w:val="none" w:sz="0" w:space="0" w:color="auto"/>
                                            <w:left w:val="none" w:sz="0" w:space="0" w:color="auto"/>
                                            <w:bottom w:val="none" w:sz="0" w:space="0" w:color="auto"/>
                                            <w:right w:val="none" w:sz="0" w:space="0" w:color="auto"/>
                                          </w:divBdr>
                                          <w:divsChild>
                                            <w:div w:id="5341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414670">
      <w:bodyDiv w:val="1"/>
      <w:marLeft w:val="0"/>
      <w:marRight w:val="0"/>
      <w:marTop w:val="0"/>
      <w:marBottom w:val="0"/>
      <w:divBdr>
        <w:top w:val="none" w:sz="0" w:space="0" w:color="auto"/>
        <w:left w:val="none" w:sz="0" w:space="0" w:color="auto"/>
        <w:bottom w:val="none" w:sz="0" w:space="0" w:color="auto"/>
        <w:right w:val="none" w:sz="0" w:space="0" w:color="auto"/>
      </w:divBdr>
    </w:div>
    <w:div w:id="732046802">
      <w:bodyDiv w:val="1"/>
      <w:marLeft w:val="0"/>
      <w:marRight w:val="0"/>
      <w:marTop w:val="0"/>
      <w:marBottom w:val="0"/>
      <w:divBdr>
        <w:top w:val="none" w:sz="0" w:space="0" w:color="auto"/>
        <w:left w:val="none" w:sz="0" w:space="0" w:color="auto"/>
        <w:bottom w:val="none" w:sz="0" w:space="0" w:color="auto"/>
        <w:right w:val="none" w:sz="0" w:space="0" w:color="auto"/>
      </w:divBdr>
    </w:div>
    <w:div w:id="1073315609">
      <w:bodyDiv w:val="1"/>
      <w:marLeft w:val="0"/>
      <w:marRight w:val="0"/>
      <w:marTop w:val="0"/>
      <w:marBottom w:val="0"/>
      <w:divBdr>
        <w:top w:val="none" w:sz="0" w:space="0" w:color="auto"/>
        <w:left w:val="none" w:sz="0" w:space="0" w:color="auto"/>
        <w:bottom w:val="none" w:sz="0" w:space="0" w:color="auto"/>
        <w:right w:val="none" w:sz="0" w:space="0" w:color="auto"/>
      </w:divBdr>
    </w:div>
    <w:div w:id="1432894936">
      <w:bodyDiv w:val="1"/>
      <w:marLeft w:val="0"/>
      <w:marRight w:val="0"/>
      <w:marTop w:val="0"/>
      <w:marBottom w:val="0"/>
      <w:divBdr>
        <w:top w:val="none" w:sz="0" w:space="0" w:color="auto"/>
        <w:left w:val="none" w:sz="0" w:space="0" w:color="auto"/>
        <w:bottom w:val="none" w:sz="0" w:space="0" w:color="auto"/>
        <w:right w:val="none" w:sz="0" w:space="0" w:color="auto"/>
      </w:divBdr>
    </w:div>
    <w:div w:id="1435326687">
      <w:bodyDiv w:val="1"/>
      <w:marLeft w:val="0"/>
      <w:marRight w:val="0"/>
      <w:marTop w:val="0"/>
      <w:marBottom w:val="0"/>
      <w:divBdr>
        <w:top w:val="none" w:sz="0" w:space="0" w:color="auto"/>
        <w:left w:val="none" w:sz="0" w:space="0" w:color="auto"/>
        <w:bottom w:val="none" w:sz="0" w:space="0" w:color="auto"/>
        <w:right w:val="none" w:sz="0" w:space="0" w:color="auto"/>
      </w:divBdr>
    </w:div>
    <w:div w:id="1614903899">
      <w:bodyDiv w:val="1"/>
      <w:marLeft w:val="0"/>
      <w:marRight w:val="0"/>
      <w:marTop w:val="0"/>
      <w:marBottom w:val="0"/>
      <w:divBdr>
        <w:top w:val="none" w:sz="0" w:space="0" w:color="auto"/>
        <w:left w:val="none" w:sz="0" w:space="0" w:color="auto"/>
        <w:bottom w:val="none" w:sz="0" w:space="0" w:color="auto"/>
        <w:right w:val="none" w:sz="0" w:space="0" w:color="auto"/>
      </w:divBdr>
    </w:div>
    <w:div w:id="18932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6.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dfat.gov.au/geo/pacific/engagement/Pages/stepping-up-australias-pacific-engagement.aspx" TargetMode="External"/><Relationship Id="rId27" Type="http://schemas.openxmlformats.org/officeDocument/2006/relationships/header" Target="header7.xml"/><Relationship Id="rId30" Type="http://schemas.openxmlformats.org/officeDocument/2006/relationships/image" Target="media/image13.png"/><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mfed.gov.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E699F3-40DE-4358-A865-856B1023F354}"/>
</file>

<file path=customXml/itemProps2.xml><?xml version="1.0" encoding="utf-8"?>
<ds:datastoreItem xmlns:ds="http://schemas.openxmlformats.org/officeDocument/2006/customXml" ds:itemID="{F007205F-1A0E-4697-A861-EC3F83326594}"/>
</file>

<file path=customXml/itemProps3.xml><?xml version="1.0" encoding="utf-8"?>
<ds:datastoreItem xmlns:ds="http://schemas.openxmlformats.org/officeDocument/2006/customXml" ds:itemID="{4AFB577F-3B13-47A8-BE72-83A28C13CB43}"/>
</file>

<file path=customXml/itemProps4.xml><?xml version="1.0" encoding="utf-8"?>
<ds:datastoreItem xmlns:ds="http://schemas.openxmlformats.org/officeDocument/2006/customXml" ds:itemID="{678078AC-8F9B-4B08-8C54-C7D12DF96508}"/>
</file>

<file path=docProps/app.xml><?xml version="1.0" encoding="utf-8"?>
<Properties xmlns="http://schemas.openxmlformats.org/officeDocument/2006/extended-properties" xmlns:vt="http://schemas.openxmlformats.org/officeDocument/2006/docPropsVTypes">
  <Template>Normal.dotm</Template>
  <TotalTime>0</TotalTime>
  <Pages>16</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Kiribati Aid Program Performance Report 2017-18</dc:title>
  <dc:creator/>
  <cp:lastModifiedBy/>
  <cp:revision>1</cp:revision>
  <dcterms:created xsi:type="dcterms:W3CDTF">2018-10-23T05:20:00Z</dcterms:created>
  <dcterms:modified xsi:type="dcterms:W3CDTF">2018-10-23T05:20:00Z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e4f18cf2-e926-45eb-a883-795af9cdb2ae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1202700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