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8.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917A1E8" wp14:editId="7AAB374A">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1575154F" wp14:editId="47BF4241">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rsidR="0059146A" w:rsidRDefault="00C615A3"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KIRIBATI</w:t>
      </w:r>
      <w:r w:rsidR="0059146A">
        <w:rPr>
          <w:sz w:val="40"/>
        </w:rPr>
        <w:br/>
      </w:r>
      <w:r w:rsidR="0059146A" w:rsidRPr="0059146A">
        <w:rPr>
          <w:sz w:val="24"/>
        </w:rPr>
        <w:t>September 201</w:t>
      </w:r>
      <w:r w:rsidR="003E305C">
        <w:rPr>
          <w:sz w:val="24"/>
        </w:rPr>
        <w:t>7</w:t>
      </w:r>
    </w:p>
    <w:p w:rsidR="005B5769" w:rsidRPr="00B438D3" w:rsidRDefault="00C615A3" w:rsidP="00B438D3">
      <w:pPr>
        <w:pStyle w:val="Title"/>
      </w:pPr>
      <w:r>
        <w:lastRenderedPageBreak/>
        <w:t>KIRIBATI</w:t>
      </w:r>
      <w:r w:rsidR="005B5769" w:rsidRPr="00B438D3">
        <w:t xml:space="preserve"> Aid Program Performance Information 201</w:t>
      </w:r>
      <w:r w:rsidR="003E305C">
        <w:t>6</w:t>
      </w:r>
      <w:r w:rsidR="005B5769" w:rsidRPr="00B438D3">
        <w:t>-1</w:t>
      </w:r>
      <w:r w:rsidR="003E305C">
        <w:t>7</w:t>
      </w:r>
    </w:p>
    <w:p w:rsidR="005B5769" w:rsidRPr="00C4114C" w:rsidRDefault="005B5769" w:rsidP="00B438D3">
      <w:pPr>
        <w:pStyle w:val="Subtitle"/>
      </w:pPr>
      <w:r w:rsidRPr="00C4114C">
        <w:t>Summary</w:t>
      </w:r>
    </w:p>
    <w:p w:rsidR="00C25A5D" w:rsidRDefault="008D2A51" w:rsidP="00C25A5D">
      <w:r>
        <w:rPr>
          <w:color w:val="auto"/>
        </w:rPr>
        <w:t>This</w:t>
      </w:r>
      <w:r w:rsidRPr="009F229A">
        <w:rPr>
          <w:color w:val="auto"/>
        </w:rPr>
        <w:t xml:space="preserve"> report summarises the</w:t>
      </w:r>
      <w:r>
        <w:rPr>
          <w:color w:val="auto"/>
        </w:rPr>
        <w:t xml:space="preserve"> performance</w:t>
      </w:r>
      <w:r w:rsidRPr="009F229A">
        <w:rPr>
          <w:color w:val="auto"/>
        </w:rPr>
        <w:t xml:space="preserve"> of Australia</w:t>
      </w:r>
      <w:r>
        <w:rPr>
          <w:color w:val="auto"/>
        </w:rPr>
        <w:t xml:space="preserve">’s aid program in Kiribati from July 2016 to June 2017 against the </w:t>
      </w:r>
      <w:r w:rsidRPr="00CC25BB">
        <w:rPr>
          <w:i/>
          <w:color w:val="auto"/>
        </w:rPr>
        <w:t>Kiribati Aid Investment Plan (201</w:t>
      </w:r>
      <w:r>
        <w:rPr>
          <w:i/>
          <w:color w:val="auto"/>
        </w:rPr>
        <w:t>5-1</w:t>
      </w:r>
      <w:r w:rsidRPr="00CC25BB">
        <w:rPr>
          <w:i/>
          <w:color w:val="auto"/>
        </w:rPr>
        <w:t>6</w:t>
      </w:r>
      <w:r>
        <w:rPr>
          <w:i/>
          <w:color w:val="auto"/>
        </w:rPr>
        <w:t xml:space="preserve"> to 2018</w:t>
      </w:r>
      <w:r w:rsidRPr="00CC25BB">
        <w:rPr>
          <w:i/>
          <w:color w:val="auto"/>
        </w:rPr>
        <w:t>-19)</w:t>
      </w:r>
      <w:r>
        <w:rPr>
          <w:color w:val="auto"/>
        </w:rPr>
        <w:t>.</w:t>
      </w:r>
      <w:r w:rsidRPr="00C61187">
        <w:t xml:space="preserve"> </w:t>
      </w:r>
    </w:p>
    <w:p w:rsidR="00412CB5" w:rsidRDefault="00412CB5" w:rsidP="00412CB5">
      <w:pPr>
        <w:rPr>
          <w:color w:val="auto"/>
        </w:rPr>
      </w:pPr>
      <w:r w:rsidRPr="00756A59">
        <w:rPr>
          <w:color w:val="auto"/>
        </w:rPr>
        <w:t xml:space="preserve">Australia’s aid program </w:t>
      </w:r>
      <w:r w:rsidR="002A75BC">
        <w:rPr>
          <w:color w:val="auto"/>
        </w:rPr>
        <w:t>continues to support</w:t>
      </w:r>
      <w:r>
        <w:rPr>
          <w:color w:val="auto"/>
        </w:rPr>
        <w:t xml:space="preserve"> </w:t>
      </w:r>
      <w:r w:rsidR="003F3083">
        <w:rPr>
          <w:color w:val="auto"/>
        </w:rPr>
        <w:t>the Government of Kiribati</w:t>
      </w:r>
      <w:r>
        <w:rPr>
          <w:color w:val="auto"/>
        </w:rPr>
        <w:t xml:space="preserve"> to implement </w:t>
      </w:r>
      <w:r w:rsidR="003F3083">
        <w:rPr>
          <w:color w:val="auto"/>
        </w:rPr>
        <w:t xml:space="preserve">its </w:t>
      </w:r>
      <w:r>
        <w:rPr>
          <w:color w:val="auto"/>
        </w:rPr>
        <w:t xml:space="preserve">significant economic reforms. In 2016-17, this included improvements to Kiribati’s sovereign wealth fund and </w:t>
      </w:r>
      <w:r w:rsidR="000E2FCA">
        <w:rPr>
          <w:color w:val="auto"/>
        </w:rPr>
        <w:t>reductions in the cost</w:t>
      </w:r>
      <w:r>
        <w:rPr>
          <w:color w:val="auto"/>
        </w:rPr>
        <w:t xml:space="preserve"> of essential public services. This enabled the Government of Kiribati to make the most of revenue, to invest in critical infrastructure, and to create an environment for private-sector growth. </w:t>
      </w:r>
    </w:p>
    <w:p w:rsidR="00446D1F" w:rsidRPr="00756A59" w:rsidRDefault="00412CB5" w:rsidP="00446D1F">
      <w:pPr>
        <w:rPr>
          <w:color w:val="auto"/>
        </w:rPr>
      </w:pPr>
      <w:r>
        <w:rPr>
          <w:color w:val="auto"/>
        </w:rPr>
        <w:t>Our</w:t>
      </w:r>
      <w:r w:rsidR="00446D1F">
        <w:rPr>
          <w:color w:val="auto"/>
        </w:rPr>
        <w:t xml:space="preserve"> aid program </w:t>
      </w:r>
      <w:r w:rsidR="00382A23">
        <w:rPr>
          <w:color w:val="auto"/>
        </w:rPr>
        <w:t>also improves</w:t>
      </w:r>
      <w:r w:rsidR="00046F67">
        <w:rPr>
          <w:color w:val="auto"/>
        </w:rPr>
        <w:t xml:space="preserve"> Kiribati’s</w:t>
      </w:r>
      <w:r w:rsidR="00446D1F">
        <w:rPr>
          <w:color w:val="auto"/>
        </w:rPr>
        <w:t xml:space="preserve"> economic prospects</w:t>
      </w:r>
      <w:r w:rsidR="00446D1F" w:rsidRPr="00756A59">
        <w:rPr>
          <w:color w:val="auto"/>
        </w:rPr>
        <w:t xml:space="preserve"> and resilience</w:t>
      </w:r>
      <w:r w:rsidR="00446D1F">
        <w:rPr>
          <w:color w:val="auto"/>
        </w:rPr>
        <w:t xml:space="preserve"> through</w:t>
      </w:r>
      <w:r w:rsidR="00765C39">
        <w:rPr>
          <w:color w:val="auto"/>
        </w:rPr>
        <w:t xml:space="preserve"> </w:t>
      </w:r>
      <w:r w:rsidR="008C1C11">
        <w:rPr>
          <w:color w:val="auto"/>
        </w:rPr>
        <w:t xml:space="preserve">developing </w:t>
      </w:r>
      <w:r w:rsidR="00446D1F">
        <w:rPr>
          <w:color w:val="auto"/>
        </w:rPr>
        <w:t>a better-educated and healthier population.</w:t>
      </w:r>
      <w:r w:rsidR="00446D1F" w:rsidRPr="00756A59">
        <w:rPr>
          <w:color w:val="auto"/>
        </w:rPr>
        <w:t xml:space="preserve"> </w:t>
      </w:r>
      <w:r w:rsidR="00446D1F">
        <w:rPr>
          <w:color w:val="auto"/>
        </w:rPr>
        <w:t>In 2016-17, through an employment service, we enhanced the employability of young I-Kiribati and improved their chances of accessing migration opportunities in Australia and elsewhere. Australia’s funding of health investments also contributed to reductions in water-</w:t>
      </w:r>
      <w:r w:rsidR="00446D1F" w:rsidRPr="00C25A5D">
        <w:rPr>
          <w:color w:val="auto"/>
        </w:rPr>
        <w:t>borne diseases in South Tarawa</w:t>
      </w:r>
      <w:r w:rsidR="00446D1F">
        <w:rPr>
          <w:color w:val="auto"/>
        </w:rPr>
        <w:t>,</w:t>
      </w:r>
      <w:r w:rsidR="00446D1F" w:rsidRPr="00C25A5D">
        <w:rPr>
          <w:color w:val="auto"/>
        </w:rPr>
        <w:t xml:space="preserve"> and an increased success rate in the treatment of tuberculosis</w:t>
      </w:r>
      <w:r w:rsidR="00446D1F">
        <w:rPr>
          <w:color w:val="auto"/>
        </w:rPr>
        <w:t xml:space="preserve">. </w:t>
      </w:r>
      <w:r w:rsidR="00446D1F" w:rsidRPr="00756A59">
        <w:rPr>
          <w:color w:val="auto"/>
        </w:rPr>
        <w:t xml:space="preserve">Across all of </w:t>
      </w:r>
      <w:r w:rsidR="00446D1F">
        <w:rPr>
          <w:color w:val="auto"/>
        </w:rPr>
        <w:t>our</w:t>
      </w:r>
      <w:r w:rsidR="00446D1F" w:rsidRPr="00756A59">
        <w:rPr>
          <w:color w:val="auto"/>
        </w:rPr>
        <w:t xml:space="preserve"> investments, Australia </w:t>
      </w:r>
      <w:r w:rsidR="00446D1F">
        <w:rPr>
          <w:color w:val="auto"/>
        </w:rPr>
        <w:t xml:space="preserve">continued </w:t>
      </w:r>
      <w:r w:rsidR="00046F67">
        <w:rPr>
          <w:color w:val="auto"/>
        </w:rPr>
        <w:t xml:space="preserve">its efforts </w:t>
      </w:r>
      <w:r w:rsidR="00446D1F">
        <w:rPr>
          <w:color w:val="auto"/>
        </w:rPr>
        <w:t>to</w:t>
      </w:r>
      <w:r w:rsidR="00446D1F" w:rsidRPr="00756A59">
        <w:rPr>
          <w:color w:val="auto"/>
        </w:rPr>
        <w:t xml:space="preserve"> strengthen</w:t>
      </w:r>
      <w:r w:rsidR="00446D1F">
        <w:rPr>
          <w:color w:val="auto"/>
        </w:rPr>
        <w:t xml:space="preserve"> </w:t>
      </w:r>
      <w:r w:rsidR="00446D1F" w:rsidRPr="00756A59">
        <w:rPr>
          <w:color w:val="auto"/>
        </w:rPr>
        <w:t xml:space="preserve">Kiribati’s capacity to </w:t>
      </w:r>
      <w:r w:rsidR="00446D1F">
        <w:rPr>
          <w:color w:val="auto"/>
        </w:rPr>
        <w:t xml:space="preserve">manage the impacts </w:t>
      </w:r>
      <w:r w:rsidR="00446D1F" w:rsidRPr="00756A59">
        <w:rPr>
          <w:color w:val="auto"/>
        </w:rPr>
        <w:t>climate change</w:t>
      </w:r>
      <w:r w:rsidR="00446D1F">
        <w:rPr>
          <w:color w:val="auto"/>
        </w:rPr>
        <w:t>, and ensure health and education services are</w:t>
      </w:r>
      <w:r w:rsidR="00446D1F" w:rsidRPr="00756A59">
        <w:rPr>
          <w:color w:val="auto"/>
        </w:rPr>
        <w:t xml:space="preserve"> </w:t>
      </w:r>
      <w:r w:rsidR="00446D1F">
        <w:rPr>
          <w:color w:val="auto"/>
        </w:rPr>
        <w:t xml:space="preserve">responsive to </w:t>
      </w:r>
      <w:r w:rsidR="00446D1F" w:rsidRPr="00756A59">
        <w:rPr>
          <w:color w:val="auto"/>
        </w:rPr>
        <w:t xml:space="preserve">disability </w:t>
      </w:r>
      <w:r w:rsidR="00446D1F">
        <w:rPr>
          <w:color w:val="auto"/>
        </w:rPr>
        <w:t>and</w:t>
      </w:r>
      <w:r w:rsidR="00446D1F" w:rsidRPr="00756A59">
        <w:rPr>
          <w:color w:val="auto"/>
        </w:rPr>
        <w:t xml:space="preserve"> gender </w:t>
      </w:r>
      <w:r w:rsidR="00446D1F">
        <w:rPr>
          <w:color w:val="auto"/>
        </w:rPr>
        <w:t>challenges</w:t>
      </w:r>
      <w:r w:rsidR="00446D1F" w:rsidRPr="00756A59">
        <w:rPr>
          <w:color w:val="auto"/>
        </w:rPr>
        <w:t xml:space="preserve">. </w:t>
      </w:r>
    </w:p>
    <w:p w:rsidR="002E4144" w:rsidRDefault="0003578F" w:rsidP="002E4144">
      <w:pPr>
        <w:rPr>
          <w:color w:val="auto"/>
        </w:rPr>
      </w:pPr>
      <w:r>
        <w:rPr>
          <w:color w:val="auto"/>
        </w:rPr>
        <w:t>Australia’s</w:t>
      </w:r>
      <w:r w:rsidR="008D2A51">
        <w:rPr>
          <w:color w:val="auto"/>
        </w:rPr>
        <w:t xml:space="preserve"> program priorities</w:t>
      </w:r>
      <w:r w:rsidR="0080600B">
        <w:rPr>
          <w:color w:val="auto"/>
        </w:rPr>
        <w:t xml:space="preserve"> and methods</w:t>
      </w:r>
      <w:r w:rsidR="008D2A51">
        <w:rPr>
          <w:color w:val="auto"/>
        </w:rPr>
        <w:t xml:space="preserve"> remain relevant and are consistent</w:t>
      </w:r>
      <w:r w:rsidR="008D2A51" w:rsidRPr="00756A59">
        <w:rPr>
          <w:color w:val="auto"/>
        </w:rPr>
        <w:t xml:space="preserve"> with the </w:t>
      </w:r>
      <w:r w:rsidR="008D2A51" w:rsidRPr="00A11926">
        <w:rPr>
          <w:i/>
          <w:color w:val="auto"/>
        </w:rPr>
        <w:t>Kiribati Development Plan (2016-19)</w:t>
      </w:r>
      <w:r w:rsidR="00A11926">
        <w:rPr>
          <w:color w:val="auto"/>
        </w:rPr>
        <w:t xml:space="preserve">, </w:t>
      </w:r>
      <w:r w:rsidR="008D2A51">
        <w:rPr>
          <w:color w:val="auto"/>
        </w:rPr>
        <w:t>the</w:t>
      </w:r>
      <w:r w:rsidR="008D2A51" w:rsidRPr="00C25A5D">
        <w:rPr>
          <w:color w:val="auto"/>
        </w:rPr>
        <w:t xml:space="preserve"> </w:t>
      </w:r>
      <w:r w:rsidR="008D2A51" w:rsidRPr="00A11926">
        <w:rPr>
          <w:i/>
          <w:color w:val="auto"/>
        </w:rPr>
        <w:t>Kiribati 20 Year Vision</w:t>
      </w:r>
      <w:r w:rsidR="008D2A51">
        <w:rPr>
          <w:color w:val="auto"/>
        </w:rPr>
        <w:t>, as well as</w:t>
      </w:r>
      <w:r w:rsidR="008D2A51" w:rsidRPr="00756A59">
        <w:rPr>
          <w:color w:val="auto"/>
        </w:rPr>
        <w:t xml:space="preserve"> </w:t>
      </w:r>
      <w:r>
        <w:rPr>
          <w:color w:val="auto"/>
        </w:rPr>
        <w:t>our own</w:t>
      </w:r>
      <w:r w:rsidR="008D2A51" w:rsidRPr="00756A59">
        <w:rPr>
          <w:color w:val="auto"/>
        </w:rPr>
        <w:t xml:space="preserve"> aid poli</w:t>
      </w:r>
      <w:r w:rsidR="00A11926">
        <w:rPr>
          <w:color w:val="auto"/>
        </w:rPr>
        <w:t>cies</w:t>
      </w:r>
      <w:r w:rsidR="008D2A51" w:rsidRPr="00756A59">
        <w:rPr>
          <w:color w:val="auto"/>
        </w:rPr>
        <w:t>.</w:t>
      </w:r>
      <w:r w:rsidR="00A11926">
        <w:rPr>
          <w:color w:val="auto"/>
        </w:rPr>
        <w:t xml:space="preserve"> In the next reporting year, we will further shape the program to improve </w:t>
      </w:r>
      <w:r w:rsidR="008D2A51" w:rsidRPr="00043ADC">
        <w:rPr>
          <w:color w:val="auto"/>
        </w:rPr>
        <w:t>health security</w:t>
      </w:r>
      <w:r w:rsidR="00A11926">
        <w:rPr>
          <w:color w:val="auto"/>
        </w:rPr>
        <w:t xml:space="preserve">, and to integrate </w:t>
      </w:r>
      <w:r w:rsidR="008D2A51" w:rsidRPr="00043ADC">
        <w:rPr>
          <w:color w:val="auto"/>
        </w:rPr>
        <w:t>expected increases in funding from multilateral development banks.</w:t>
      </w:r>
      <w:r w:rsidR="002E4144" w:rsidRPr="002E4144">
        <w:rPr>
          <w:color w:val="auto"/>
        </w:rPr>
        <w:t xml:space="preserve"> </w:t>
      </w:r>
    </w:p>
    <w:p w:rsidR="002E4144" w:rsidRPr="00756A59" w:rsidRDefault="0003578F" w:rsidP="002E4144">
      <w:pPr>
        <w:rPr>
          <w:color w:val="auto"/>
        </w:rPr>
      </w:pPr>
      <w:r>
        <w:rPr>
          <w:color w:val="auto"/>
        </w:rPr>
        <w:t>We remain Kiribati’s largest aid donor</w:t>
      </w:r>
      <w:r w:rsidR="002E4144" w:rsidRPr="00756A59">
        <w:rPr>
          <w:color w:val="auto"/>
        </w:rPr>
        <w:t>. In 201</w:t>
      </w:r>
      <w:r w:rsidR="002E4144">
        <w:rPr>
          <w:color w:val="auto"/>
        </w:rPr>
        <w:t>6</w:t>
      </w:r>
      <w:r w:rsidR="002E4144" w:rsidRPr="00756A59">
        <w:rPr>
          <w:color w:val="auto"/>
        </w:rPr>
        <w:t>-1</w:t>
      </w:r>
      <w:r w:rsidR="002E4144">
        <w:rPr>
          <w:color w:val="auto"/>
        </w:rPr>
        <w:t>7</w:t>
      </w:r>
      <w:r w:rsidR="002E4144" w:rsidRPr="00756A59">
        <w:rPr>
          <w:color w:val="auto"/>
        </w:rPr>
        <w:t>, Australia provided an estimated $</w:t>
      </w:r>
      <w:r w:rsidR="002E4144">
        <w:rPr>
          <w:color w:val="auto"/>
        </w:rPr>
        <w:t>30</w:t>
      </w:r>
      <w:r w:rsidR="002E4144" w:rsidRPr="00756A59">
        <w:rPr>
          <w:color w:val="auto"/>
        </w:rPr>
        <w:t>.</w:t>
      </w:r>
      <w:r w:rsidR="002E4144">
        <w:rPr>
          <w:color w:val="auto"/>
        </w:rPr>
        <w:t>2</w:t>
      </w:r>
      <w:r w:rsidR="002E4144" w:rsidRPr="00756A59">
        <w:rPr>
          <w:color w:val="auto"/>
        </w:rPr>
        <w:t xml:space="preserve"> million </w:t>
      </w:r>
      <w:r w:rsidR="002E4144">
        <w:rPr>
          <w:color w:val="auto"/>
        </w:rPr>
        <w:t>in</w:t>
      </w:r>
      <w:r w:rsidR="002E4144" w:rsidRPr="00756A59">
        <w:rPr>
          <w:color w:val="auto"/>
        </w:rPr>
        <w:t xml:space="preserve"> official development assistance (ODA) to Kiribati</w:t>
      </w:r>
      <w:r w:rsidR="002E4144">
        <w:rPr>
          <w:color w:val="auto"/>
        </w:rPr>
        <w:t xml:space="preserve"> (almost</w:t>
      </w:r>
      <w:r w:rsidR="002E4144" w:rsidRPr="00756A59">
        <w:rPr>
          <w:color w:val="auto"/>
        </w:rPr>
        <w:t xml:space="preserve"> </w:t>
      </w:r>
      <w:r w:rsidR="002E4144">
        <w:rPr>
          <w:color w:val="auto"/>
        </w:rPr>
        <w:t>20</w:t>
      </w:r>
      <w:r w:rsidR="002E4144" w:rsidRPr="00756A59">
        <w:rPr>
          <w:color w:val="auto"/>
        </w:rPr>
        <w:t xml:space="preserve"> per cent of </w:t>
      </w:r>
      <w:r w:rsidR="00DE01B3">
        <w:rPr>
          <w:color w:val="auto"/>
        </w:rPr>
        <w:t>its</w:t>
      </w:r>
      <w:r w:rsidR="002E4144" w:rsidRPr="00756A59">
        <w:rPr>
          <w:color w:val="auto"/>
        </w:rPr>
        <w:t xml:space="preserve"> </w:t>
      </w:r>
      <w:r w:rsidR="002E4144">
        <w:rPr>
          <w:color w:val="auto"/>
        </w:rPr>
        <w:t>estimated 2017 budget)</w:t>
      </w:r>
      <w:r w:rsidR="002E4144" w:rsidRPr="00756A59">
        <w:rPr>
          <w:color w:val="auto"/>
        </w:rPr>
        <w:t xml:space="preserve">. Kiribati’s other long-term partners </w:t>
      </w:r>
      <w:r w:rsidR="002E4144">
        <w:rPr>
          <w:color w:val="auto"/>
        </w:rPr>
        <w:t>include</w:t>
      </w:r>
      <w:r w:rsidR="002E4144" w:rsidRPr="00756A59">
        <w:rPr>
          <w:color w:val="auto"/>
        </w:rPr>
        <w:t xml:space="preserve"> Japan</w:t>
      </w:r>
      <w:r w:rsidR="002E4144">
        <w:rPr>
          <w:color w:val="auto"/>
        </w:rPr>
        <w:t xml:space="preserve"> ($20 million)</w:t>
      </w:r>
      <w:r w:rsidR="002E4144" w:rsidRPr="00756A59">
        <w:rPr>
          <w:color w:val="auto"/>
        </w:rPr>
        <w:t>,</w:t>
      </w:r>
      <w:r w:rsidR="002E4144">
        <w:rPr>
          <w:color w:val="auto"/>
        </w:rPr>
        <w:t xml:space="preserve"> </w:t>
      </w:r>
      <w:r w:rsidR="002E4144" w:rsidRPr="00756A59">
        <w:rPr>
          <w:color w:val="auto"/>
        </w:rPr>
        <w:t>the World Bank</w:t>
      </w:r>
      <w:r w:rsidR="002E4144">
        <w:rPr>
          <w:color w:val="auto"/>
        </w:rPr>
        <w:t xml:space="preserve"> ($20 million),</w:t>
      </w:r>
      <w:r w:rsidR="002E4144" w:rsidRPr="00756A59">
        <w:rPr>
          <w:color w:val="auto"/>
        </w:rPr>
        <w:t xml:space="preserve"> New Zealand</w:t>
      </w:r>
      <w:r w:rsidR="002E4144">
        <w:rPr>
          <w:color w:val="auto"/>
        </w:rPr>
        <w:t xml:space="preserve"> ($14 million)</w:t>
      </w:r>
      <w:r w:rsidR="002E4144" w:rsidRPr="00756A59">
        <w:rPr>
          <w:color w:val="auto"/>
        </w:rPr>
        <w:t>, Taiwan</w:t>
      </w:r>
      <w:r w:rsidR="002E4144">
        <w:rPr>
          <w:color w:val="auto"/>
        </w:rPr>
        <w:t xml:space="preserve"> ($13 million)</w:t>
      </w:r>
      <w:r w:rsidR="002E4144" w:rsidRPr="00756A59">
        <w:rPr>
          <w:color w:val="auto"/>
        </w:rPr>
        <w:t xml:space="preserve">, </w:t>
      </w:r>
      <w:r w:rsidR="002E4144">
        <w:rPr>
          <w:color w:val="auto"/>
        </w:rPr>
        <w:t>and</w:t>
      </w:r>
      <w:r w:rsidR="002E4144" w:rsidRPr="00756A59">
        <w:rPr>
          <w:color w:val="auto"/>
        </w:rPr>
        <w:t xml:space="preserve"> </w:t>
      </w:r>
      <w:r w:rsidR="002E4144">
        <w:rPr>
          <w:color w:val="auto"/>
        </w:rPr>
        <w:t xml:space="preserve">the </w:t>
      </w:r>
      <w:r w:rsidR="002E4144" w:rsidRPr="00756A59">
        <w:rPr>
          <w:color w:val="auto"/>
        </w:rPr>
        <w:t>Asian Development Bank</w:t>
      </w:r>
      <w:r w:rsidR="002E4144">
        <w:rPr>
          <w:color w:val="auto"/>
        </w:rPr>
        <w:t xml:space="preserve"> ($11 million)</w:t>
      </w:r>
      <w:r w:rsidR="00486DF7">
        <w:rPr>
          <w:color w:val="auto"/>
        </w:rPr>
        <w:t>.</w:t>
      </w:r>
      <w:r w:rsidR="002E4144">
        <w:rPr>
          <w:color w:val="auto"/>
        </w:rPr>
        <w:t xml:space="preserve"> (</w:t>
      </w:r>
      <w:r w:rsidR="00486DF7">
        <w:rPr>
          <w:color w:val="auto"/>
        </w:rPr>
        <w:t>F</w:t>
      </w:r>
      <w:r w:rsidR="002E4144">
        <w:rPr>
          <w:color w:val="auto"/>
        </w:rPr>
        <w:t>igures are 2017 estimates from Government of Kiribati budget papers</w:t>
      </w:r>
      <w:r w:rsidR="00486DF7">
        <w:rPr>
          <w:color w:val="auto"/>
        </w:rPr>
        <w:t>.</w:t>
      </w:r>
      <w:r w:rsidR="002E4144">
        <w:rPr>
          <w:color w:val="auto"/>
        </w:rPr>
        <w:t>)</w:t>
      </w:r>
    </w:p>
    <w:p w:rsidR="00184F1E" w:rsidRPr="002A51CA" w:rsidRDefault="00184F1E"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934081">
        <w:rPr>
          <w:b/>
          <w:noProof/>
          <w:sz w:val="24"/>
        </w:rPr>
        <w:t>1</w:t>
      </w:r>
      <w:r w:rsidRPr="008C2F58">
        <w:rPr>
          <w:b/>
          <w:noProof/>
          <w:sz w:val="24"/>
        </w:rPr>
        <w:fldChar w:fldCharType="end"/>
      </w:r>
      <w:r w:rsidRPr="008C2F58">
        <w:rPr>
          <w:b/>
          <w:sz w:val="24"/>
        </w:rPr>
        <w:t xml:space="preserve"> Total ODA Expenditure in FY 201</w:t>
      </w:r>
      <w:r>
        <w:rPr>
          <w:b/>
          <w:sz w:val="24"/>
        </w:rPr>
        <w:t>6</w:t>
      </w:r>
      <w:r w:rsidRPr="008C2F58">
        <w:rPr>
          <w:b/>
          <w:sz w:val="24"/>
        </w:rPr>
        <w:t>-1</w:t>
      </w:r>
      <w:r>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Tr="00CD1652">
        <w:tc>
          <w:tcPr>
            <w:tcW w:w="6374" w:type="dxa"/>
          </w:tcPr>
          <w:p w:rsidR="00CD1652" w:rsidRPr="00F72F23" w:rsidRDefault="00CD1652" w:rsidP="00BB58BF">
            <w:pPr>
              <w:rPr>
                <w:b/>
                <w:i/>
                <w:sz w:val="24"/>
              </w:rPr>
            </w:pPr>
            <w:r w:rsidRPr="00F72F23">
              <w:rPr>
                <w:i/>
                <w:sz w:val="20"/>
              </w:rPr>
              <w:t>Objective</w:t>
            </w:r>
          </w:p>
        </w:tc>
        <w:tc>
          <w:tcPr>
            <w:tcW w:w="1423" w:type="dxa"/>
          </w:tcPr>
          <w:p w:rsidR="00CD1652" w:rsidRPr="00F72F23" w:rsidRDefault="00CD1652" w:rsidP="00BB58BF">
            <w:pPr>
              <w:jc w:val="center"/>
              <w:rPr>
                <w:b/>
                <w:i/>
                <w:sz w:val="24"/>
              </w:rPr>
            </w:pPr>
            <w:r w:rsidRPr="00F72F23">
              <w:rPr>
                <w:i/>
                <w:sz w:val="20"/>
              </w:rPr>
              <w:t>A$ million</w:t>
            </w:r>
          </w:p>
        </w:tc>
        <w:tc>
          <w:tcPr>
            <w:tcW w:w="1417" w:type="dxa"/>
          </w:tcPr>
          <w:p w:rsidR="00CD1652" w:rsidRPr="00F72F23" w:rsidRDefault="00CD1652" w:rsidP="00BB58BF">
            <w:pPr>
              <w:jc w:val="center"/>
              <w:rPr>
                <w:b/>
                <w:i/>
                <w:sz w:val="24"/>
              </w:rPr>
            </w:pPr>
            <w:r w:rsidRPr="00F72F23">
              <w:rPr>
                <w:i/>
                <w:sz w:val="20"/>
              </w:rPr>
              <w:t>% of total ODA</w:t>
            </w:r>
          </w:p>
        </w:tc>
      </w:tr>
      <w:tr w:rsidR="00CD1652" w:rsidRPr="00361981" w:rsidTr="00CD1652">
        <w:tc>
          <w:tcPr>
            <w:tcW w:w="6374" w:type="dxa"/>
          </w:tcPr>
          <w:p w:rsidR="00CD1652" w:rsidRPr="00361981" w:rsidRDefault="005B11C9" w:rsidP="00A91117">
            <w:pPr>
              <w:rPr>
                <w:b/>
                <w:sz w:val="24"/>
              </w:rPr>
            </w:pPr>
            <w:r w:rsidRPr="00361981">
              <w:rPr>
                <w:sz w:val="20"/>
              </w:rPr>
              <w:t xml:space="preserve">Objective 1: </w:t>
            </w:r>
            <w:r w:rsidR="00A91117">
              <w:rPr>
                <w:sz w:val="20"/>
              </w:rPr>
              <w:t>Implementing economic reforms</w:t>
            </w:r>
          </w:p>
        </w:tc>
        <w:tc>
          <w:tcPr>
            <w:tcW w:w="1423" w:type="dxa"/>
          </w:tcPr>
          <w:p w:rsidR="00CD1652" w:rsidRPr="00361981" w:rsidRDefault="00361981" w:rsidP="00916442">
            <w:pPr>
              <w:jc w:val="center"/>
              <w:rPr>
                <w:sz w:val="20"/>
              </w:rPr>
            </w:pPr>
            <w:r w:rsidRPr="00361981">
              <w:rPr>
                <w:sz w:val="20"/>
              </w:rPr>
              <w:t>0.4</w:t>
            </w:r>
            <w:r w:rsidR="000C3879" w:rsidRPr="000C3879">
              <w:rPr>
                <w:sz w:val="20"/>
                <w:vertAlign w:val="superscript"/>
              </w:rPr>
              <w:t>1</w:t>
            </w:r>
          </w:p>
        </w:tc>
        <w:tc>
          <w:tcPr>
            <w:tcW w:w="1417" w:type="dxa"/>
          </w:tcPr>
          <w:p w:rsidR="00CD1652" w:rsidRPr="00361981" w:rsidRDefault="00560642" w:rsidP="006A7A79">
            <w:pPr>
              <w:jc w:val="right"/>
              <w:rPr>
                <w:sz w:val="20"/>
              </w:rPr>
            </w:pPr>
            <w:r>
              <w:rPr>
                <w:sz w:val="20"/>
              </w:rPr>
              <w:t>1</w:t>
            </w:r>
          </w:p>
        </w:tc>
      </w:tr>
      <w:tr w:rsidR="00CD1652" w:rsidRPr="00361981" w:rsidTr="00CD1652">
        <w:tc>
          <w:tcPr>
            <w:tcW w:w="6374" w:type="dxa"/>
          </w:tcPr>
          <w:p w:rsidR="00CD1652" w:rsidRPr="00361981" w:rsidRDefault="005B11C9" w:rsidP="00A91117">
            <w:pPr>
              <w:rPr>
                <w:b/>
                <w:sz w:val="24"/>
              </w:rPr>
            </w:pPr>
            <w:r w:rsidRPr="00361981">
              <w:rPr>
                <w:sz w:val="20"/>
              </w:rPr>
              <w:t xml:space="preserve">Objective 2: </w:t>
            </w:r>
            <w:r w:rsidR="00A91117">
              <w:rPr>
                <w:sz w:val="20"/>
              </w:rPr>
              <w:t>Building a better educated and healthier population</w:t>
            </w:r>
          </w:p>
        </w:tc>
        <w:tc>
          <w:tcPr>
            <w:tcW w:w="1423" w:type="dxa"/>
          </w:tcPr>
          <w:p w:rsidR="00CD1652" w:rsidRPr="00361981" w:rsidRDefault="00361981" w:rsidP="00916442">
            <w:pPr>
              <w:jc w:val="center"/>
              <w:rPr>
                <w:sz w:val="20"/>
              </w:rPr>
            </w:pPr>
            <w:r>
              <w:rPr>
                <w:sz w:val="20"/>
              </w:rPr>
              <w:t>17.9</w:t>
            </w:r>
          </w:p>
        </w:tc>
        <w:tc>
          <w:tcPr>
            <w:tcW w:w="1417" w:type="dxa"/>
          </w:tcPr>
          <w:p w:rsidR="00CD1652" w:rsidRPr="00361981" w:rsidRDefault="00560642" w:rsidP="006A7A79">
            <w:pPr>
              <w:jc w:val="right"/>
              <w:rPr>
                <w:sz w:val="20"/>
              </w:rPr>
            </w:pPr>
            <w:r>
              <w:rPr>
                <w:sz w:val="20"/>
              </w:rPr>
              <w:t>60</w:t>
            </w:r>
          </w:p>
        </w:tc>
      </w:tr>
      <w:tr w:rsidR="00EE4D20" w:rsidRPr="00361981" w:rsidTr="00560642">
        <w:tc>
          <w:tcPr>
            <w:tcW w:w="6374" w:type="dxa"/>
            <w:tcBorders>
              <w:bottom w:val="nil"/>
            </w:tcBorders>
          </w:tcPr>
          <w:p w:rsidR="00EE4D20" w:rsidRPr="00361981" w:rsidRDefault="00EE4D20" w:rsidP="004B5ADA">
            <w:pPr>
              <w:rPr>
                <w:sz w:val="20"/>
              </w:rPr>
            </w:pPr>
            <w:r w:rsidRPr="00361981">
              <w:rPr>
                <w:sz w:val="20"/>
              </w:rPr>
              <w:t>Infrastructure</w:t>
            </w:r>
            <w:r w:rsidR="00D1164C" w:rsidRPr="00361981">
              <w:rPr>
                <w:sz w:val="20"/>
              </w:rPr>
              <w:t xml:space="preserve"> and </w:t>
            </w:r>
            <w:r w:rsidR="004B5ADA">
              <w:rPr>
                <w:sz w:val="20"/>
              </w:rPr>
              <w:t>c</w:t>
            </w:r>
            <w:r w:rsidR="00D1164C" w:rsidRPr="00361981">
              <w:rPr>
                <w:sz w:val="20"/>
              </w:rPr>
              <w:t xml:space="preserve">limate </w:t>
            </w:r>
            <w:r w:rsidR="004B5ADA">
              <w:rPr>
                <w:sz w:val="20"/>
              </w:rPr>
              <w:t>c</w:t>
            </w:r>
            <w:r w:rsidR="00D1164C" w:rsidRPr="00361981">
              <w:rPr>
                <w:sz w:val="20"/>
              </w:rPr>
              <w:t>hange</w:t>
            </w:r>
          </w:p>
        </w:tc>
        <w:tc>
          <w:tcPr>
            <w:tcW w:w="1423" w:type="dxa"/>
            <w:tcBorders>
              <w:bottom w:val="nil"/>
            </w:tcBorders>
          </w:tcPr>
          <w:p w:rsidR="00EE4D20" w:rsidRPr="00361981" w:rsidRDefault="00361981" w:rsidP="00361981">
            <w:pPr>
              <w:jc w:val="center"/>
              <w:rPr>
                <w:sz w:val="20"/>
              </w:rPr>
            </w:pPr>
            <w:r>
              <w:rPr>
                <w:sz w:val="20"/>
              </w:rPr>
              <w:t>1.2</w:t>
            </w:r>
          </w:p>
        </w:tc>
        <w:tc>
          <w:tcPr>
            <w:tcW w:w="1417" w:type="dxa"/>
            <w:tcBorders>
              <w:bottom w:val="nil"/>
            </w:tcBorders>
          </w:tcPr>
          <w:p w:rsidR="00EE4D20" w:rsidRPr="00361981" w:rsidRDefault="00560642" w:rsidP="006A7A79">
            <w:pPr>
              <w:jc w:val="right"/>
              <w:rPr>
                <w:sz w:val="20"/>
              </w:rPr>
            </w:pPr>
            <w:r>
              <w:rPr>
                <w:sz w:val="20"/>
              </w:rPr>
              <w:t>4</w:t>
            </w:r>
          </w:p>
        </w:tc>
      </w:tr>
      <w:tr w:rsidR="00EE4D20" w:rsidRPr="00361981" w:rsidTr="00560642">
        <w:tc>
          <w:tcPr>
            <w:tcW w:w="6374" w:type="dxa"/>
            <w:tcBorders>
              <w:top w:val="nil"/>
              <w:bottom w:val="single" w:sz="4" w:space="0" w:color="auto"/>
            </w:tcBorders>
          </w:tcPr>
          <w:p w:rsidR="00EE4D20" w:rsidRPr="00361981" w:rsidRDefault="00EE4D20" w:rsidP="004B5ADA">
            <w:pPr>
              <w:rPr>
                <w:sz w:val="20"/>
              </w:rPr>
            </w:pPr>
            <w:r w:rsidRPr="00361981">
              <w:rPr>
                <w:sz w:val="20"/>
              </w:rPr>
              <w:t xml:space="preserve">Gender </w:t>
            </w:r>
            <w:r w:rsidR="004B5ADA">
              <w:rPr>
                <w:sz w:val="20"/>
              </w:rPr>
              <w:t>e</w:t>
            </w:r>
            <w:r w:rsidRPr="00361981">
              <w:rPr>
                <w:sz w:val="20"/>
              </w:rPr>
              <w:t>quality</w:t>
            </w:r>
          </w:p>
        </w:tc>
        <w:tc>
          <w:tcPr>
            <w:tcW w:w="1423" w:type="dxa"/>
            <w:tcBorders>
              <w:top w:val="nil"/>
              <w:bottom w:val="single" w:sz="4" w:space="0" w:color="auto"/>
            </w:tcBorders>
          </w:tcPr>
          <w:p w:rsidR="00EE4D20" w:rsidRPr="00361981" w:rsidRDefault="00361981" w:rsidP="00361981">
            <w:pPr>
              <w:jc w:val="center"/>
              <w:rPr>
                <w:sz w:val="20"/>
              </w:rPr>
            </w:pPr>
            <w:r>
              <w:rPr>
                <w:sz w:val="20"/>
              </w:rPr>
              <w:t>0.7</w:t>
            </w:r>
          </w:p>
        </w:tc>
        <w:tc>
          <w:tcPr>
            <w:tcW w:w="1417" w:type="dxa"/>
            <w:tcBorders>
              <w:top w:val="nil"/>
              <w:bottom w:val="single" w:sz="4" w:space="0" w:color="auto"/>
            </w:tcBorders>
          </w:tcPr>
          <w:p w:rsidR="00EE4D20" w:rsidRPr="00361981" w:rsidRDefault="00560642" w:rsidP="006A7A79">
            <w:pPr>
              <w:jc w:val="right"/>
              <w:rPr>
                <w:sz w:val="20"/>
              </w:rPr>
            </w:pPr>
            <w:r>
              <w:rPr>
                <w:sz w:val="20"/>
              </w:rPr>
              <w:t>2</w:t>
            </w:r>
          </w:p>
        </w:tc>
      </w:tr>
      <w:tr w:rsidR="00CD1652" w:rsidTr="00560642">
        <w:tc>
          <w:tcPr>
            <w:tcW w:w="6374" w:type="dxa"/>
            <w:tcBorders>
              <w:top w:val="single" w:sz="4" w:space="0" w:color="auto"/>
            </w:tcBorders>
          </w:tcPr>
          <w:p w:rsidR="00CD1652" w:rsidRPr="000F3559" w:rsidRDefault="00BD5D0C" w:rsidP="00BD5D0C">
            <w:pPr>
              <w:rPr>
                <w:b/>
                <w:sz w:val="24"/>
              </w:rPr>
            </w:pPr>
            <w:r>
              <w:rPr>
                <w:b/>
                <w:sz w:val="20"/>
              </w:rPr>
              <w:t>Sub-t</w:t>
            </w:r>
            <w:r w:rsidR="00CD1652" w:rsidRPr="000F3559">
              <w:rPr>
                <w:b/>
                <w:sz w:val="20"/>
              </w:rPr>
              <w:t xml:space="preserve">otal </w:t>
            </w:r>
            <w:r>
              <w:rPr>
                <w:b/>
                <w:sz w:val="20"/>
              </w:rPr>
              <w:t>bi</w:t>
            </w:r>
            <w:r w:rsidR="00CD1652" w:rsidRPr="000F3559">
              <w:rPr>
                <w:b/>
                <w:sz w:val="20"/>
              </w:rPr>
              <w:t>lateral</w:t>
            </w:r>
          </w:p>
        </w:tc>
        <w:tc>
          <w:tcPr>
            <w:tcW w:w="1423" w:type="dxa"/>
            <w:tcBorders>
              <w:top w:val="single" w:sz="4" w:space="0" w:color="auto"/>
            </w:tcBorders>
          </w:tcPr>
          <w:p w:rsidR="00CD1652" w:rsidRPr="000F3559" w:rsidRDefault="005D499C" w:rsidP="005D499C">
            <w:pPr>
              <w:jc w:val="center"/>
              <w:rPr>
                <w:b/>
                <w:sz w:val="20"/>
              </w:rPr>
            </w:pPr>
            <w:r w:rsidRPr="000F3559">
              <w:rPr>
                <w:b/>
                <w:sz w:val="20"/>
              </w:rPr>
              <w:t>20.2</w:t>
            </w:r>
          </w:p>
        </w:tc>
        <w:tc>
          <w:tcPr>
            <w:tcW w:w="1417" w:type="dxa"/>
            <w:tcBorders>
              <w:top w:val="single" w:sz="4" w:space="0" w:color="auto"/>
            </w:tcBorders>
          </w:tcPr>
          <w:p w:rsidR="00CD1652" w:rsidRPr="000F3559" w:rsidRDefault="00EE4D20" w:rsidP="006A7A79">
            <w:pPr>
              <w:jc w:val="right"/>
              <w:rPr>
                <w:b/>
                <w:sz w:val="20"/>
              </w:rPr>
            </w:pPr>
            <w:r w:rsidRPr="000F3559">
              <w:rPr>
                <w:b/>
                <w:sz w:val="20"/>
              </w:rPr>
              <w:t>67</w:t>
            </w:r>
          </w:p>
        </w:tc>
      </w:tr>
      <w:tr w:rsidR="00CD1652" w:rsidTr="00CD1652">
        <w:tc>
          <w:tcPr>
            <w:tcW w:w="6374" w:type="dxa"/>
          </w:tcPr>
          <w:p w:rsidR="00CD1652" w:rsidRDefault="00CD1652" w:rsidP="00BD5D0C">
            <w:pPr>
              <w:rPr>
                <w:b/>
                <w:sz w:val="24"/>
              </w:rPr>
            </w:pPr>
            <w:r w:rsidRPr="00BE6C6D">
              <w:rPr>
                <w:sz w:val="20"/>
              </w:rPr>
              <w:t xml:space="preserve">Regional and </w:t>
            </w:r>
            <w:r w:rsidR="00BD5D0C">
              <w:rPr>
                <w:sz w:val="20"/>
              </w:rPr>
              <w:t>g</w:t>
            </w:r>
            <w:r w:rsidRPr="00BE6C6D">
              <w:rPr>
                <w:sz w:val="20"/>
              </w:rPr>
              <w:t>lobal</w:t>
            </w:r>
          </w:p>
        </w:tc>
        <w:tc>
          <w:tcPr>
            <w:tcW w:w="1423" w:type="dxa"/>
          </w:tcPr>
          <w:p w:rsidR="00CD1652" w:rsidRPr="005D499C" w:rsidRDefault="005D499C" w:rsidP="005D499C">
            <w:pPr>
              <w:jc w:val="center"/>
              <w:rPr>
                <w:sz w:val="20"/>
              </w:rPr>
            </w:pPr>
            <w:r w:rsidRPr="005D499C">
              <w:rPr>
                <w:sz w:val="20"/>
              </w:rPr>
              <w:t>9.5</w:t>
            </w:r>
          </w:p>
        </w:tc>
        <w:tc>
          <w:tcPr>
            <w:tcW w:w="1417" w:type="dxa"/>
          </w:tcPr>
          <w:p w:rsidR="00CD1652" w:rsidRPr="00EE4D20" w:rsidRDefault="00EE4D20" w:rsidP="006A7A79">
            <w:pPr>
              <w:jc w:val="right"/>
              <w:rPr>
                <w:sz w:val="20"/>
              </w:rPr>
            </w:pPr>
            <w:r w:rsidRPr="00EE4D20">
              <w:rPr>
                <w:sz w:val="20"/>
              </w:rPr>
              <w:t>31</w:t>
            </w:r>
          </w:p>
        </w:tc>
      </w:tr>
      <w:tr w:rsidR="00CD1652" w:rsidTr="00CD1652">
        <w:tc>
          <w:tcPr>
            <w:tcW w:w="6374" w:type="dxa"/>
          </w:tcPr>
          <w:p w:rsidR="00CD1652" w:rsidRDefault="00CD1652" w:rsidP="00BD5D0C">
            <w:pPr>
              <w:rPr>
                <w:b/>
                <w:sz w:val="24"/>
              </w:rPr>
            </w:pPr>
            <w:r w:rsidRPr="00BE6C6D">
              <w:rPr>
                <w:sz w:val="20"/>
              </w:rPr>
              <w:t xml:space="preserve">Other </w:t>
            </w:r>
            <w:r w:rsidR="00BD5D0C">
              <w:rPr>
                <w:sz w:val="20"/>
              </w:rPr>
              <w:t>g</w:t>
            </w:r>
            <w:r w:rsidRPr="00BE6C6D">
              <w:rPr>
                <w:sz w:val="20"/>
              </w:rPr>
              <w:t xml:space="preserve">overnment </w:t>
            </w:r>
            <w:r w:rsidR="00BD5D0C">
              <w:rPr>
                <w:sz w:val="20"/>
              </w:rPr>
              <w:t>d</w:t>
            </w:r>
            <w:r w:rsidRPr="00BE6C6D">
              <w:rPr>
                <w:sz w:val="20"/>
              </w:rPr>
              <w:t>epartments</w:t>
            </w:r>
          </w:p>
        </w:tc>
        <w:tc>
          <w:tcPr>
            <w:tcW w:w="1423" w:type="dxa"/>
          </w:tcPr>
          <w:p w:rsidR="00CD1652" w:rsidRPr="005D499C" w:rsidRDefault="005D499C" w:rsidP="005D499C">
            <w:pPr>
              <w:jc w:val="center"/>
              <w:rPr>
                <w:sz w:val="20"/>
              </w:rPr>
            </w:pPr>
            <w:r w:rsidRPr="005D499C">
              <w:rPr>
                <w:sz w:val="20"/>
              </w:rPr>
              <w:t>0.5</w:t>
            </w:r>
          </w:p>
        </w:tc>
        <w:tc>
          <w:tcPr>
            <w:tcW w:w="1417" w:type="dxa"/>
          </w:tcPr>
          <w:p w:rsidR="00CD1652" w:rsidRPr="00EE4D20" w:rsidRDefault="00EE4D20" w:rsidP="006A7A79">
            <w:pPr>
              <w:jc w:val="right"/>
              <w:rPr>
                <w:sz w:val="20"/>
              </w:rPr>
            </w:pPr>
            <w:r w:rsidRPr="00EE4D20">
              <w:rPr>
                <w:sz w:val="20"/>
              </w:rPr>
              <w:t>2</w:t>
            </w:r>
          </w:p>
        </w:tc>
      </w:tr>
      <w:tr w:rsidR="00CD1652" w:rsidTr="00CD1652">
        <w:tc>
          <w:tcPr>
            <w:tcW w:w="6374" w:type="dxa"/>
          </w:tcPr>
          <w:p w:rsidR="00CD1652" w:rsidRPr="000F3559" w:rsidRDefault="00CD1652" w:rsidP="00BB58BF">
            <w:pPr>
              <w:rPr>
                <w:b/>
                <w:sz w:val="24"/>
              </w:rPr>
            </w:pPr>
            <w:r w:rsidRPr="000F3559">
              <w:rPr>
                <w:b/>
                <w:sz w:val="20"/>
              </w:rPr>
              <w:t>Total ODA Expenditure</w:t>
            </w:r>
          </w:p>
        </w:tc>
        <w:tc>
          <w:tcPr>
            <w:tcW w:w="1423" w:type="dxa"/>
          </w:tcPr>
          <w:p w:rsidR="00CD1652" w:rsidRPr="000F3559" w:rsidRDefault="005D499C" w:rsidP="005D499C">
            <w:pPr>
              <w:jc w:val="center"/>
              <w:rPr>
                <w:b/>
                <w:sz w:val="20"/>
              </w:rPr>
            </w:pPr>
            <w:r w:rsidRPr="000F3559">
              <w:rPr>
                <w:b/>
                <w:sz w:val="20"/>
              </w:rPr>
              <w:t>30.2</w:t>
            </w:r>
          </w:p>
        </w:tc>
        <w:tc>
          <w:tcPr>
            <w:tcW w:w="1417" w:type="dxa"/>
          </w:tcPr>
          <w:p w:rsidR="00CD1652" w:rsidRPr="000F3559" w:rsidRDefault="00EE4D20" w:rsidP="006A7A79">
            <w:pPr>
              <w:jc w:val="right"/>
              <w:rPr>
                <w:b/>
                <w:sz w:val="24"/>
              </w:rPr>
            </w:pPr>
            <w:r w:rsidRPr="000F3559">
              <w:rPr>
                <w:b/>
                <w:sz w:val="20"/>
              </w:rPr>
              <w:t>100</w:t>
            </w:r>
          </w:p>
        </w:tc>
      </w:tr>
    </w:tbl>
    <w:p w:rsidR="00412CB5" w:rsidRPr="000C3879" w:rsidRDefault="000C3879" w:rsidP="000C3879">
      <w:pPr>
        <w:pStyle w:val="ListBullet"/>
        <w:numPr>
          <w:ilvl w:val="0"/>
          <w:numId w:val="45"/>
        </w:numPr>
        <w:tabs>
          <w:tab w:val="clear" w:pos="284"/>
        </w:tabs>
        <w:spacing w:before="360"/>
        <w:ind w:left="426" w:hanging="284"/>
        <w:rPr>
          <w:rFonts w:asciiTheme="minorHAnsi" w:eastAsiaTheme="minorHAnsi" w:hAnsiTheme="minorHAnsi" w:cstheme="minorBidi"/>
          <w:sz w:val="18"/>
          <w:szCs w:val="18"/>
          <w:lang w:val="en-GB" w:eastAsia="en-US"/>
        </w:rPr>
      </w:pPr>
      <w:r>
        <w:rPr>
          <w:rFonts w:asciiTheme="minorHAnsi" w:eastAsiaTheme="minorHAnsi" w:hAnsiTheme="minorHAnsi" w:cstheme="minorBidi"/>
          <w:sz w:val="18"/>
          <w:szCs w:val="18"/>
          <w:lang w:val="en-GB" w:eastAsia="en-US"/>
        </w:rPr>
        <w:t xml:space="preserve">Expenditure to support economic reform is lower in 2016-17, as Australia’s </w:t>
      </w:r>
      <w:r w:rsidR="00492FC4">
        <w:rPr>
          <w:rFonts w:asciiTheme="minorHAnsi" w:eastAsiaTheme="minorHAnsi" w:hAnsiTheme="minorHAnsi" w:cstheme="minorBidi"/>
          <w:sz w:val="18"/>
          <w:szCs w:val="18"/>
          <w:lang w:val="en-GB" w:eastAsia="en-US"/>
        </w:rPr>
        <w:t xml:space="preserve">first </w:t>
      </w:r>
      <w:r>
        <w:rPr>
          <w:rFonts w:asciiTheme="minorHAnsi" w:eastAsiaTheme="minorHAnsi" w:hAnsiTheme="minorHAnsi" w:cstheme="minorBidi"/>
          <w:sz w:val="18"/>
          <w:szCs w:val="18"/>
          <w:lang w:val="en-GB" w:eastAsia="en-US"/>
        </w:rPr>
        <w:t>contribution to the Joint Policy Reform Matrix was made in 2017/18 and funding for other donor led economic reform projects was not required.</w:t>
      </w:r>
    </w:p>
    <w:p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lastRenderedPageBreak/>
        <w:t>Performance against Strategic Objectives</w:t>
      </w:r>
    </w:p>
    <w:tbl>
      <w:tblPr>
        <w:tblStyle w:val="APPR"/>
        <w:tblW w:w="5000" w:type="pct"/>
        <w:tblLook w:val="0000" w:firstRow="0" w:lastRow="0" w:firstColumn="0" w:lastColumn="0" w:noHBand="0" w:noVBand="0"/>
      </w:tblPr>
      <w:tblGrid>
        <w:gridCol w:w="5387"/>
        <w:gridCol w:w="1588"/>
        <w:gridCol w:w="430"/>
        <w:gridCol w:w="1667"/>
        <w:gridCol w:w="566"/>
      </w:tblGrid>
      <w:tr w:rsidR="002A4A0E" w:rsidRPr="00812509" w:rsidTr="00863D04">
        <w:trPr>
          <w:cnfStyle w:val="000000010000" w:firstRow="0" w:lastRow="0" w:firstColumn="0" w:lastColumn="0" w:oddVBand="0" w:evenVBand="0" w:oddHBand="0" w:evenHBand="1" w:firstRowFirstColumn="0" w:firstRowLastColumn="0" w:lastRowFirstColumn="0" w:lastRowLastColumn="0"/>
          <w:trHeight w:val="252"/>
        </w:trPr>
        <w:tc>
          <w:tcPr>
            <w:tcW w:w="5345" w:type="dxa"/>
          </w:tcPr>
          <w:p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0F5D8731" wp14:editId="12181289">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560" w:type="dxa"/>
          </w:tcPr>
          <w:p w:rsidR="002A4A0E" w:rsidRPr="00812509" w:rsidRDefault="002A4A0E" w:rsidP="00863D04">
            <w:pPr>
              <w:pStyle w:val="TableTextColumnHeading"/>
              <w:jc w:val="center"/>
            </w:pPr>
            <w:r w:rsidRPr="00812509">
              <w:t xml:space="preserve">Previous </w:t>
            </w:r>
            <w:r w:rsidR="00863D04">
              <w:t>r</w:t>
            </w:r>
            <w:r w:rsidRPr="00812509">
              <w:t>ating</w:t>
            </w:r>
          </w:p>
        </w:tc>
        <w:tc>
          <w:tcPr>
            <w:tcW w:w="402" w:type="dxa"/>
          </w:tcPr>
          <w:p w:rsidR="002A4A0E" w:rsidRPr="00812509" w:rsidRDefault="002A4A0E" w:rsidP="00863D04">
            <w:pPr>
              <w:pStyle w:val="TableTextColumnHeading"/>
              <w:jc w:val="center"/>
            </w:pPr>
          </w:p>
        </w:tc>
        <w:tc>
          <w:tcPr>
            <w:tcW w:w="1639" w:type="dxa"/>
          </w:tcPr>
          <w:p w:rsidR="002A4A0E" w:rsidRPr="00812509" w:rsidRDefault="002A4A0E" w:rsidP="00863D04">
            <w:pPr>
              <w:pStyle w:val="TableTextColumnHeading"/>
              <w:jc w:val="center"/>
            </w:pPr>
            <w:r w:rsidRPr="00812509">
              <w:t>Current Rating</w:t>
            </w:r>
          </w:p>
        </w:tc>
        <w:tc>
          <w:tcPr>
            <w:tcW w:w="524" w:type="dxa"/>
          </w:tcPr>
          <w:p w:rsidR="002A4A0E" w:rsidRPr="002A4A0E" w:rsidRDefault="002A4A0E" w:rsidP="00E65105">
            <w:pPr>
              <w:pStyle w:val="TableTextColumnHeading"/>
            </w:pPr>
          </w:p>
        </w:tc>
      </w:tr>
      <w:tr w:rsidR="00C615A3" w:rsidRPr="00812509" w:rsidTr="00863D04">
        <w:trPr>
          <w:cnfStyle w:val="000000010000" w:firstRow="0" w:lastRow="0" w:firstColumn="0" w:lastColumn="0" w:oddVBand="0" w:evenVBand="0" w:oddHBand="0" w:evenHBand="1" w:firstRowFirstColumn="0" w:firstRowLastColumn="0" w:lastRowFirstColumn="0" w:lastRowLastColumn="0"/>
        </w:trPr>
        <w:tc>
          <w:tcPr>
            <w:tcW w:w="5345" w:type="dxa"/>
          </w:tcPr>
          <w:p w:rsidR="00C615A3" w:rsidRPr="00812509" w:rsidRDefault="00A06EE0" w:rsidP="00A06EE0">
            <w:pPr>
              <w:pStyle w:val="TableTextEntries"/>
              <w:rPr>
                <w:rFonts w:asciiTheme="minorHAnsi" w:hAnsiTheme="minorHAnsi"/>
              </w:rPr>
            </w:pPr>
            <w:r w:rsidRPr="00A06EE0">
              <w:rPr>
                <w:rFonts w:asciiTheme="minorHAnsi" w:hAnsiTheme="minorHAnsi"/>
              </w:rPr>
              <w:t xml:space="preserve">Implementing </w:t>
            </w:r>
            <w:r>
              <w:rPr>
                <w:rFonts w:asciiTheme="minorHAnsi" w:hAnsiTheme="minorHAnsi"/>
              </w:rPr>
              <w:t>e</w:t>
            </w:r>
            <w:r w:rsidRPr="00A06EE0">
              <w:rPr>
                <w:rFonts w:asciiTheme="minorHAnsi" w:hAnsiTheme="minorHAnsi"/>
              </w:rPr>
              <w:t xml:space="preserve">conomic </w:t>
            </w:r>
            <w:r>
              <w:rPr>
                <w:rFonts w:asciiTheme="minorHAnsi" w:hAnsiTheme="minorHAnsi"/>
              </w:rPr>
              <w:t>r</w:t>
            </w:r>
            <w:r w:rsidRPr="00A06EE0">
              <w:rPr>
                <w:rFonts w:asciiTheme="minorHAnsi" w:hAnsiTheme="minorHAnsi"/>
              </w:rPr>
              <w:t>eforms</w:t>
            </w:r>
          </w:p>
        </w:tc>
        <w:tc>
          <w:tcPr>
            <w:tcW w:w="1560" w:type="dxa"/>
            <w:shd w:val="clear" w:color="auto" w:fill="72AF2F"/>
            <w:noWrap/>
          </w:tcPr>
          <w:p w:rsidR="00C615A3" w:rsidRPr="00812509" w:rsidRDefault="00C615A3" w:rsidP="00C615A3">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rsidR="00C615A3" w:rsidRPr="00812509" w:rsidRDefault="00C615A3" w:rsidP="00C615A3">
            <w:pPr>
              <w:pStyle w:val="TableTextEntries"/>
              <w:jc w:val="center"/>
              <w:rPr>
                <w:rFonts w:asciiTheme="minorHAnsi" w:hAnsiTheme="minorHAnsi"/>
                <w:color w:val="FFFFFF" w:themeColor="background1"/>
              </w:rPr>
            </w:pPr>
          </w:p>
        </w:tc>
        <w:tc>
          <w:tcPr>
            <w:tcW w:w="1639" w:type="dxa"/>
            <w:shd w:val="clear" w:color="auto" w:fill="7FB64D" w:themeFill="accent3" w:themeFillShade="BF"/>
            <w:noWrap/>
          </w:tcPr>
          <w:p w:rsidR="00C615A3" w:rsidRPr="00812509" w:rsidRDefault="00C615A3" w:rsidP="00C615A3">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524" w:type="dxa"/>
            <w:shd w:val="clear" w:color="auto" w:fill="auto"/>
          </w:tcPr>
          <w:p w:rsidR="00C615A3" w:rsidRPr="002A4A0E" w:rsidRDefault="00C615A3" w:rsidP="00C615A3">
            <w:pPr>
              <w:pStyle w:val="TableTextEntries"/>
              <w:jc w:val="center"/>
              <w:rPr>
                <w:rFonts w:asciiTheme="minorHAnsi" w:hAnsiTheme="minorHAnsi"/>
                <w:color w:val="FFFFFF" w:themeColor="background1"/>
              </w:rPr>
            </w:pPr>
          </w:p>
        </w:tc>
      </w:tr>
      <w:tr w:rsidR="00C615A3" w:rsidRPr="00812509" w:rsidTr="00863D04">
        <w:trPr>
          <w:cnfStyle w:val="000000010000" w:firstRow="0" w:lastRow="0" w:firstColumn="0" w:lastColumn="0" w:oddVBand="0" w:evenVBand="0" w:oddHBand="0" w:evenHBand="1" w:firstRowFirstColumn="0" w:firstRowLastColumn="0" w:lastRowFirstColumn="0" w:lastRowLastColumn="0"/>
        </w:trPr>
        <w:tc>
          <w:tcPr>
            <w:tcW w:w="5345" w:type="dxa"/>
          </w:tcPr>
          <w:p w:rsidR="00C615A3" w:rsidRPr="00812509" w:rsidRDefault="00A06EE0" w:rsidP="00C615A3">
            <w:pPr>
              <w:pStyle w:val="TableTextEntries"/>
              <w:rPr>
                <w:rFonts w:asciiTheme="minorHAnsi" w:hAnsiTheme="minorHAnsi"/>
              </w:rPr>
            </w:pPr>
            <w:r w:rsidRPr="00A06EE0">
              <w:rPr>
                <w:rFonts w:asciiTheme="minorHAnsi" w:hAnsiTheme="minorHAnsi"/>
              </w:rPr>
              <w:t>Building a better educated and healthier population</w:t>
            </w:r>
          </w:p>
        </w:tc>
        <w:tc>
          <w:tcPr>
            <w:tcW w:w="1560" w:type="dxa"/>
            <w:shd w:val="clear" w:color="auto" w:fill="7FB64D" w:themeFill="accent3" w:themeFillShade="BF"/>
            <w:noWrap/>
          </w:tcPr>
          <w:p w:rsidR="00C615A3" w:rsidRPr="00812509" w:rsidRDefault="00C615A3" w:rsidP="00C615A3">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rsidR="00C615A3" w:rsidRPr="00812509" w:rsidRDefault="00C615A3" w:rsidP="00C615A3">
            <w:pPr>
              <w:pStyle w:val="TableTextEntries"/>
              <w:jc w:val="center"/>
              <w:rPr>
                <w:rFonts w:asciiTheme="minorHAnsi" w:hAnsiTheme="minorHAnsi"/>
                <w:color w:val="FFFFFF" w:themeColor="background1"/>
              </w:rPr>
            </w:pPr>
          </w:p>
        </w:tc>
        <w:tc>
          <w:tcPr>
            <w:tcW w:w="1639" w:type="dxa"/>
            <w:shd w:val="clear" w:color="auto" w:fill="72AF2F"/>
            <w:noWrap/>
          </w:tcPr>
          <w:p w:rsidR="00C615A3" w:rsidRPr="00812509" w:rsidRDefault="00C615A3" w:rsidP="00C615A3">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524" w:type="dxa"/>
            <w:shd w:val="clear" w:color="auto" w:fill="auto"/>
          </w:tcPr>
          <w:p w:rsidR="00C615A3" w:rsidRPr="002A4A0E" w:rsidRDefault="00C615A3" w:rsidP="00C615A3">
            <w:pPr>
              <w:pStyle w:val="TableTextEntries"/>
              <w:jc w:val="center"/>
              <w:rPr>
                <w:rFonts w:asciiTheme="minorHAnsi" w:hAnsiTheme="minorHAnsi"/>
                <w:color w:val="FFFFFF" w:themeColor="background1"/>
              </w:rPr>
            </w:pPr>
          </w:p>
        </w:tc>
      </w:tr>
    </w:tbl>
    <w:p w:rsidR="005B5769" w:rsidRPr="00D2168C" w:rsidRDefault="005B5769" w:rsidP="002A4A0E">
      <w:pPr>
        <w:pStyle w:val="Note"/>
        <w:rPr>
          <w:rFonts w:asciiTheme="minorHAnsi" w:hAnsiTheme="minorHAnsi"/>
          <w:i/>
          <w:sz w:val="16"/>
        </w:rPr>
      </w:pPr>
      <w:r w:rsidRPr="00D2168C">
        <w:rPr>
          <w:rFonts w:asciiTheme="minorHAnsi" w:hAnsiTheme="minorHAnsi"/>
          <w:i/>
          <w:sz w:val="16"/>
        </w:rPr>
        <w:t xml:space="preserve">Note: </w:t>
      </w:r>
    </w:p>
    <w:p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5B5769" w:rsidRPr="00FC7EFC" w:rsidRDefault="005B5769" w:rsidP="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695730" w:rsidRDefault="00695730" w:rsidP="00FC7EFC">
      <w:pPr>
        <w:spacing w:before="400"/>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Objective 1</w:t>
      </w:r>
      <w:r w:rsidR="002C2E7E">
        <w:rPr>
          <w:rFonts w:asciiTheme="majorHAnsi" w:eastAsiaTheme="majorEastAsia" w:hAnsiTheme="majorHAnsi" w:cstheme="majorBidi"/>
          <w:caps/>
          <w:sz w:val="38"/>
          <w:szCs w:val="26"/>
        </w:rPr>
        <w:t>:</w:t>
      </w:r>
      <w:r w:rsidRPr="002A51CA">
        <w:rPr>
          <w:rFonts w:asciiTheme="majorHAnsi" w:eastAsiaTheme="majorEastAsia" w:hAnsiTheme="majorHAnsi" w:cstheme="majorBidi"/>
          <w:caps/>
          <w:sz w:val="38"/>
          <w:szCs w:val="26"/>
        </w:rPr>
        <w:t xml:space="preserve"> </w:t>
      </w:r>
      <w:r w:rsidR="002C2E7E">
        <w:rPr>
          <w:rFonts w:asciiTheme="majorHAnsi" w:eastAsiaTheme="majorEastAsia" w:hAnsiTheme="majorHAnsi" w:cstheme="majorBidi"/>
          <w:caps/>
          <w:sz w:val="38"/>
          <w:szCs w:val="26"/>
        </w:rPr>
        <w:t>Implementing economic reforms</w:t>
      </w:r>
    </w:p>
    <w:p w:rsidR="00C615A3" w:rsidRDefault="00FD57AD" w:rsidP="00C523F9">
      <w:pPr>
        <w:rPr>
          <w:rFonts w:asciiTheme="majorHAnsi" w:eastAsiaTheme="majorEastAsia" w:hAnsiTheme="majorHAnsi" w:cstheme="majorBidi"/>
          <w:caps/>
          <w:sz w:val="38"/>
          <w:szCs w:val="26"/>
        </w:rPr>
      </w:pPr>
      <w:r>
        <w:rPr>
          <w:noProof/>
          <w:lang w:val="en-AU" w:eastAsia="en-AU"/>
        </w:rPr>
        <w:drawing>
          <wp:anchor distT="0" distB="0" distL="114300" distR="114300" simplePos="0" relativeHeight="251679744" behindDoc="1" locked="0" layoutInCell="1" allowOverlap="1" wp14:anchorId="408BB9EE" wp14:editId="4B68C716">
            <wp:simplePos x="0" y="0"/>
            <wp:positionH relativeFrom="column">
              <wp:posOffset>1338553</wp:posOffset>
            </wp:positionH>
            <wp:positionV relativeFrom="paragraph">
              <wp:posOffset>76200</wp:posOffset>
            </wp:positionV>
            <wp:extent cx="609600" cy="609600"/>
            <wp:effectExtent l="0" t="0" r="0" b="0"/>
            <wp:wrapTight wrapText="bothSides">
              <wp:wrapPolygon edited="0">
                <wp:start x="0" y="0"/>
                <wp:lineTo x="0" y="20925"/>
                <wp:lineTo x="20925" y="20925"/>
                <wp:lineTo x="20925" y="0"/>
                <wp:lineTo x="0" y="0"/>
              </wp:wrapPolygon>
            </wp:wrapTight>
            <wp:docPr id="40" name="Picture 40"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00C615A3" w:rsidRPr="00695730">
        <w:rPr>
          <w:rFonts w:asciiTheme="majorHAnsi" w:eastAsiaTheme="majorEastAsia" w:hAnsiTheme="majorHAnsi" w:cstheme="majorBidi"/>
          <w:caps/>
          <w:noProof/>
          <w:sz w:val="38"/>
          <w:szCs w:val="26"/>
          <w:lang w:val="en-AU" w:eastAsia="en-AU"/>
        </w:rPr>
        <w:drawing>
          <wp:inline distT="0" distB="0" distL="0" distR="0" wp14:anchorId="0DAA78DA" wp14:editId="5FEAFF36">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sidR="0017676D">
        <w:rPr>
          <w:rFonts w:asciiTheme="majorHAnsi" w:eastAsiaTheme="majorEastAsia" w:hAnsiTheme="majorHAnsi" w:cstheme="majorBidi"/>
          <w:caps/>
          <w:sz w:val="38"/>
          <w:szCs w:val="26"/>
        </w:rPr>
        <w:t xml:space="preserve">        </w:t>
      </w:r>
    </w:p>
    <w:p w:rsidR="00CF3847" w:rsidRDefault="004854F2" w:rsidP="001B416A">
      <w:pPr>
        <w:spacing w:before="240" w:line="240" w:lineRule="auto"/>
        <w:rPr>
          <w:rFonts w:eastAsia="Times New Roman"/>
          <w:color w:val="auto"/>
        </w:rPr>
      </w:pPr>
      <w:r w:rsidRPr="001B416A">
        <w:rPr>
          <w:rFonts w:eastAsia="Times New Roman"/>
          <w:color w:val="auto"/>
        </w:rPr>
        <w:t>Australia</w:t>
      </w:r>
      <w:r w:rsidR="009C73ED">
        <w:rPr>
          <w:rFonts w:eastAsia="Times New Roman"/>
          <w:color w:val="auto"/>
        </w:rPr>
        <w:t>’s</w:t>
      </w:r>
      <w:r w:rsidRPr="001B416A">
        <w:rPr>
          <w:rFonts w:eastAsia="Times New Roman"/>
          <w:color w:val="auto"/>
        </w:rPr>
        <w:t xml:space="preserve"> work with the Government of Kiribati</w:t>
      </w:r>
      <w:r w:rsidR="00F6574E" w:rsidRPr="001B416A">
        <w:rPr>
          <w:rFonts w:eastAsia="Times New Roman"/>
          <w:color w:val="auto"/>
        </w:rPr>
        <w:t>’s</w:t>
      </w:r>
      <w:r w:rsidRPr="001B416A">
        <w:rPr>
          <w:rFonts w:eastAsia="Times New Roman"/>
          <w:color w:val="auto"/>
        </w:rPr>
        <w:t xml:space="preserve"> Economic Reform Taskforce to </w:t>
      </w:r>
      <w:r w:rsidR="00AF3E0D">
        <w:rPr>
          <w:rFonts w:eastAsia="Times New Roman"/>
          <w:color w:val="auto"/>
        </w:rPr>
        <w:t xml:space="preserve">support the </w:t>
      </w:r>
      <w:r w:rsidRPr="001B416A">
        <w:rPr>
          <w:rFonts w:eastAsia="Times New Roman"/>
          <w:color w:val="auto"/>
        </w:rPr>
        <w:t>implement</w:t>
      </w:r>
      <w:r w:rsidR="00AF3E0D">
        <w:rPr>
          <w:rFonts w:eastAsia="Times New Roman"/>
          <w:color w:val="auto"/>
        </w:rPr>
        <w:t xml:space="preserve">ation of </w:t>
      </w:r>
      <w:r w:rsidR="006A7A79">
        <w:rPr>
          <w:rFonts w:eastAsia="Times New Roman"/>
          <w:color w:val="auto"/>
        </w:rPr>
        <w:t>its</w:t>
      </w:r>
      <w:r w:rsidR="00FF6D79">
        <w:rPr>
          <w:rFonts w:eastAsia="Times New Roman"/>
          <w:color w:val="auto"/>
        </w:rPr>
        <w:t xml:space="preserve"> economic reform plan</w:t>
      </w:r>
      <w:r w:rsidR="009C73ED">
        <w:rPr>
          <w:rFonts w:eastAsia="Times New Roman"/>
          <w:color w:val="auto"/>
        </w:rPr>
        <w:t xml:space="preserve"> is </w:t>
      </w:r>
      <w:r w:rsidR="00222BEC">
        <w:rPr>
          <w:rFonts w:eastAsia="Times New Roman"/>
          <w:color w:val="auto"/>
        </w:rPr>
        <w:t>progressing well</w:t>
      </w:r>
      <w:r w:rsidR="00FF6D79">
        <w:rPr>
          <w:rFonts w:eastAsia="Times New Roman"/>
          <w:color w:val="auto"/>
        </w:rPr>
        <w:t>.</w:t>
      </w:r>
      <w:r w:rsidR="00FF6D79" w:rsidRPr="001B416A">
        <w:rPr>
          <w:rFonts w:eastAsia="Times New Roman"/>
          <w:color w:val="auto"/>
        </w:rPr>
        <w:t xml:space="preserve"> </w:t>
      </w:r>
      <w:r w:rsidR="00222BEC">
        <w:rPr>
          <w:rFonts w:eastAsia="Times New Roman"/>
          <w:color w:val="auto"/>
        </w:rPr>
        <w:t xml:space="preserve">The Government of Kiribati’s economic reforms aim to: improve public financial management; improve the management of public assets and liabilities; and create an environment for private sector led growth. </w:t>
      </w:r>
      <w:r w:rsidR="009C73ED">
        <w:rPr>
          <w:rFonts w:eastAsia="Times New Roman"/>
          <w:color w:val="auto"/>
        </w:rPr>
        <w:t xml:space="preserve">Our work </w:t>
      </w:r>
      <w:r w:rsidR="00222BEC">
        <w:rPr>
          <w:rFonts w:eastAsia="Times New Roman"/>
          <w:color w:val="auto"/>
        </w:rPr>
        <w:t xml:space="preserve">to support implementation is </w:t>
      </w:r>
      <w:r w:rsidR="0058247C">
        <w:rPr>
          <w:rFonts w:eastAsia="Times New Roman"/>
          <w:color w:val="auto"/>
        </w:rPr>
        <w:t>enabled</w:t>
      </w:r>
      <w:r w:rsidR="00222BEC">
        <w:rPr>
          <w:rFonts w:eastAsia="Times New Roman"/>
          <w:color w:val="auto"/>
        </w:rPr>
        <w:t xml:space="preserve"> through </w:t>
      </w:r>
      <w:r w:rsidR="00B27AE1" w:rsidRPr="001B416A">
        <w:rPr>
          <w:rFonts w:eastAsia="Times New Roman"/>
          <w:color w:val="auto"/>
        </w:rPr>
        <w:t>the Joint Policy Reform Matrix</w:t>
      </w:r>
      <w:r w:rsidR="00222BEC">
        <w:rPr>
          <w:rFonts w:eastAsia="Times New Roman"/>
          <w:color w:val="auto"/>
        </w:rPr>
        <w:t>; an arrangement</w:t>
      </w:r>
      <w:r w:rsidR="009C73ED">
        <w:rPr>
          <w:rFonts w:eastAsia="Times New Roman"/>
          <w:color w:val="auto"/>
        </w:rPr>
        <w:t xml:space="preserve"> which</w:t>
      </w:r>
      <w:r w:rsidR="00B27DF0">
        <w:rPr>
          <w:rFonts w:eastAsia="Times New Roman"/>
          <w:color w:val="auto"/>
        </w:rPr>
        <w:t xml:space="preserve"> incentivises economic reform by disbursing funds into the government budget when the Government of Kiribati achieves jointly agreed reform targets (or policy actions). </w:t>
      </w:r>
    </w:p>
    <w:p w:rsidR="00F6574E" w:rsidRPr="001B416A" w:rsidRDefault="00CC25BB" w:rsidP="001B416A">
      <w:pPr>
        <w:spacing w:before="240" w:line="240" w:lineRule="auto"/>
        <w:rPr>
          <w:rFonts w:eastAsia="Times New Roman"/>
          <w:color w:val="auto"/>
        </w:rPr>
      </w:pPr>
      <w:r w:rsidRPr="001B416A">
        <w:rPr>
          <w:rFonts w:eastAsia="Times New Roman"/>
          <w:color w:val="auto"/>
        </w:rPr>
        <w:t>DFAT rates p</w:t>
      </w:r>
      <w:r w:rsidR="004854F2" w:rsidRPr="001B416A">
        <w:rPr>
          <w:rFonts w:eastAsia="Times New Roman"/>
          <w:color w:val="auto"/>
        </w:rPr>
        <w:t xml:space="preserve">rogress against this objective </w:t>
      </w:r>
      <w:r w:rsidRPr="001B416A">
        <w:rPr>
          <w:rFonts w:eastAsia="Times New Roman"/>
          <w:color w:val="auto"/>
        </w:rPr>
        <w:t>as</w:t>
      </w:r>
      <w:r w:rsidR="004854F2" w:rsidRPr="001B416A">
        <w:rPr>
          <w:rFonts w:eastAsia="Times New Roman"/>
          <w:color w:val="auto"/>
        </w:rPr>
        <w:t xml:space="preserve"> green</w:t>
      </w:r>
      <w:r w:rsidR="006029B4" w:rsidRPr="001B416A">
        <w:rPr>
          <w:rFonts w:eastAsia="Times New Roman"/>
          <w:color w:val="auto"/>
        </w:rPr>
        <w:t>,</w:t>
      </w:r>
      <w:r w:rsidR="00F6574E" w:rsidRPr="001B416A">
        <w:rPr>
          <w:rFonts w:eastAsia="Times New Roman"/>
          <w:color w:val="auto"/>
        </w:rPr>
        <w:t xml:space="preserve"> as </w:t>
      </w:r>
      <w:r w:rsidR="001C5115" w:rsidRPr="001B416A">
        <w:rPr>
          <w:rFonts w:eastAsia="Times New Roman"/>
          <w:color w:val="auto"/>
        </w:rPr>
        <w:t>six of the seven</w:t>
      </w:r>
      <w:r w:rsidR="00F6574E" w:rsidRPr="001B416A">
        <w:rPr>
          <w:rFonts w:eastAsia="Times New Roman"/>
          <w:color w:val="auto"/>
        </w:rPr>
        <w:t xml:space="preserve"> policy actions</w:t>
      </w:r>
      <w:r w:rsidR="00242E02" w:rsidRPr="001B416A">
        <w:rPr>
          <w:rFonts w:eastAsia="Times New Roman"/>
          <w:color w:val="auto"/>
        </w:rPr>
        <w:t xml:space="preserve"> for 2016</w:t>
      </w:r>
      <w:r w:rsidR="00F6574E" w:rsidRPr="001B416A">
        <w:rPr>
          <w:rFonts w:eastAsia="Times New Roman"/>
          <w:color w:val="auto"/>
        </w:rPr>
        <w:t xml:space="preserve"> were</w:t>
      </w:r>
      <w:r w:rsidR="006D5672" w:rsidRPr="001B416A">
        <w:rPr>
          <w:rFonts w:eastAsia="Times New Roman"/>
          <w:color w:val="auto"/>
        </w:rPr>
        <w:t xml:space="preserve"> fully</w:t>
      </w:r>
      <w:r w:rsidR="00F6574E" w:rsidRPr="001B416A">
        <w:rPr>
          <w:rFonts w:eastAsia="Times New Roman"/>
          <w:color w:val="auto"/>
        </w:rPr>
        <w:t xml:space="preserve"> </w:t>
      </w:r>
      <w:r w:rsidR="001C5115" w:rsidRPr="001B416A">
        <w:rPr>
          <w:rFonts w:eastAsia="Times New Roman"/>
          <w:color w:val="auto"/>
        </w:rPr>
        <w:t>completed.</w:t>
      </w:r>
      <w:r w:rsidR="004854F2" w:rsidRPr="001B416A">
        <w:rPr>
          <w:rFonts w:eastAsia="Times New Roman"/>
          <w:color w:val="auto"/>
        </w:rPr>
        <w:t xml:space="preserve"> </w:t>
      </w:r>
      <w:r w:rsidR="00136FC4" w:rsidRPr="001B416A">
        <w:rPr>
          <w:rFonts w:eastAsia="Times New Roman"/>
          <w:color w:val="auto"/>
        </w:rPr>
        <w:t xml:space="preserve">Kiribati made </w:t>
      </w:r>
      <w:r w:rsidR="00242E02" w:rsidRPr="001B416A">
        <w:rPr>
          <w:rFonts w:eastAsia="Times New Roman"/>
          <w:color w:val="auto"/>
        </w:rPr>
        <w:t xml:space="preserve">significant </w:t>
      </w:r>
      <w:r w:rsidR="00136FC4" w:rsidRPr="001B416A">
        <w:rPr>
          <w:rFonts w:eastAsia="Times New Roman"/>
          <w:color w:val="auto"/>
        </w:rPr>
        <w:t>progress on</w:t>
      </w:r>
      <w:r w:rsidR="00960FD7" w:rsidRPr="001B416A">
        <w:rPr>
          <w:rFonts w:eastAsia="Times New Roman"/>
          <w:color w:val="auto"/>
        </w:rPr>
        <w:t xml:space="preserve"> reforms to</w:t>
      </w:r>
      <w:r w:rsidR="00242E02" w:rsidRPr="001B416A">
        <w:rPr>
          <w:rFonts w:eastAsia="Times New Roman"/>
          <w:color w:val="auto"/>
        </w:rPr>
        <w:t xml:space="preserve"> the Public Utilities Board, including</w:t>
      </w:r>
      <w:r w:rsidR="00960FD7" w:rsidRPr="001B416A">
        <w:rPr>
          <w:rFonts w:eastAsia="Times New Roman"/>
          <w:color w:val="auto"/>
        </w:rPr>
        <w:t xml:space="preserve"> </w:t>
      </w:r>
      <w:r w:rsidR="00242E02" w:rsidRPr="001B416A">
        <w:rPr>
          <w:rFonts w:eastAsia="Times New Roman"/>
          <w:color w:val="auto"/>
        </w:rPr>
        <w:t xml:space="preserve">revisions to the electricity tariff to increase affordability for low-income earners. There was also significant progress in relation to the management of </w:t>
      </w:r>
      <w:r w:rsidR="006E3E82">
        <w:rPr>
          <w:rFonts w:eastAsia="Times New Roman"/>
          <w:color w:val="auto"/>
        </w:rPr>
        <w:t>Kiribati’s</w:t>
      </w:r>
      <w:r w:rsidR="00242E02" w:rsidRPr="001B416A">
        <w:rPr>
          <w:rFonts w:eastAsia="Times New Roman"/>
          <w:color w:val="auto"/>
        </w:rPr>
        <w:t xml:space="preserve"> </w:t>
      </w:r>
      <w:r w:rsidR="008D2A51">
        <w:rPr>
          <w:rFonts w:eastAsia="Times New Roman"/>
          <w:color w:val="auto"/>
        </w:rPr>
        <w:t>sovereign wealth</w:t>
      </w:r>
      <w:r w:rsidR="008D2A51" w:rsidRPr="001B416A">
        <w:rPr>
          <w:rFonts w:eastAsia="Times New Roman"/>
          <w:color w:val="auto"/>
        </w:rPr>
        <w:t xml:space="preserve"> fund</w:t>
      </w:r>
      <w:r w:rsidR="006E3E82">
        <w:rPr>
          <w:rFonts w:eastAsia="Times New Roman"/>
          <w:color w:val="auto"/>
        </w:rPr>
        <w:t xml:space="preserve">, the </w:t>
      </w:r>
      <w:r w:rsidR="006E3E82" w:rsidRPr="006E3E82">
        <w:rPr>
          <w:rFonts w:eastAsia="Times New Roman"/>
          <w:color w:val="auto"/>
        </w:rPr>
        <w:t>Revenue Equalization Reserve Fund</w:t>
      </w:r>
      <w:r w:rsidR="00242E02" w:rsidRPr="001B416A">
        <w:rPr>
          <w:rFonts w:eastAsia="Times New Roman"/>
          <w:color w:val="auto"/>
        </w:rPr>
        <w:t>, including the move</w:t>
      </w:r>
      <w:r w:rsidR="00136FC4" w:rsidRPr="001B416A">
        <w:rPr>
          <w:rFonts w:eastAsia="Times New Roman"/>
          <w:color w:val="auto"/>
        </w:rPr>
        <w:t xml:space="preserve"> to a more cost</w:t>
      </w:r>
      <w:r w:rsidR="006029B4" w:rsidRPr="001B416A">
        <w:rPr>
          <w:rFonts w:eastAsia="Times New Roman"/>
          <w:color w:val="auto"/>
        </w:rPr>
        <w:t>-</w:t>
      </w:r>
      <w:r w:rsidR="00136FC4" w:rsidRPr="001B416A">
        <w:rPr>
          <w:rFonts w:eastAsia="Times New Roman"/>
          <w:color w:val="auto"/>
        </w:rPr>
        <w:t xml:space="preserve">effective </w:t>
      </w:r>
      <w:r w:rsidR="00D316F2" w:rsidRPr="001B416A">
        <w:rPr>
          <w:rFonts w:eastAsia="Times New Roman"/>
          <w:color w:val="auto"/>
        </w:rPr>
        <w:t>management</w:t>
      </w:r>
      <w:r w:rsidR="00136FC4" w:rsidRPr="001B416A">
        <w:rPr>
          <w:rFonts w:eastAsia="Times New Roman"/>
          <w:color w:val="auto"/>
        </w:rPr>
        <w:t xml:space="preserve"> arrangement</w:t>
      </w:r>
      <w:r w:rsidR="00960FD7" w:rsidRPr="001B416A">
        <w:rPr>
          <w:rFonts w:eastAsia="Times New Roman"/>
          <w:color w:val="auto"/>
        </w:rPr>
        <w:t>.</w:t>
      </w:r>
    </w:p>
    <w:p w:rsidR="004854F2" w:rsidRPr="001B416A" w:rsidRDefault="004854F2" w:rsidP="001B416A">
      <w:pPr>
        <w:spacing w:before="240" w:line="240" w:lineRule="auto"/>
        <w:rPr>
          <w:rFonts w:eastAsia="Times New Roman"/>
          <w:color w:val="auto"/>
        </w:rPr>
      </w:pPr>
      <w:r w:rsidRPr="001B416A">
        <w:rPr>
          <w:rFonts w:eastAsia="Times New Roman"/>
          <w:color w:val="auto"/>
        </w:rPr>
        <w:t xml:space="preserve">In </w:t>
      </w:r>
      <w:r w:rsidR="00CF3847">
        <w:rPr>
          <w:rFonts w:eastAsia="Times New Roman"/>
          <w:color w:val="auto"/>
        </w:rPr>
        <w:t xml:space="preserve">July </w:t>
      </w:r>
      <w:r w:rsidRPr="001B416A">
        <w:rPr>
          <w:rFonts w:eastAsia="Times New Roman"/>
          <w:color w:val="auto"/>
        </w:rPr>
        <w:t>2017, Australia</w:t>
      </w:r>
      <w:r w:rsidR="00960FD7" w:rsidRPr="001B416A">
        <w:rPr>
          <w:rFonts w:eastAsia="Times New Roman"/>
          <w:color w:val="auto"/>
        </w:rPr>
        <w:t xml:space="preserve"> also</w:t>
      </w:r>
      <w:r w:rsidRPr="001B416A">
        <w:rPr>
          <w:rFonts w:eastAsia="Times New Roman"/>
          <w:color w:val="auto"/>
        </w:rPr>
        <w:t xml:space="preserve"> </w:t>
      </w:r>
      <w:r w:rsidR="00E5493C" w:rsidRPr="001B416A">
        <w:rPr>
          <w:rFonts w:eastAsia="Times New Roman"/>
          <w:color w:val="auto"/>
        </w:rPr>
        <w:t>made</w:t>
      </w:r>
      <w:r w:rsidRPr="001B416A">
        <w:rPr>
          <w:rFonts w:eastAsia="Times New Roman"/>
          <w:color w:val="auto"/>
        </w:rPr>
        <w:t xml:space="preserve"> its first </w:t>
      </w:r>
      <w:r w:rsidR="00F901E6">
        <w:rPr>
          <w:rFonts w:eastAsia="Times New Roman"/>
          <w:color w:val="auto"/>
        </w:rPr>
        <w:t xml:space="preserve">financial </w:t>
      </w:r>
      <w:r w:rsidRPr="001B416A">
        <w:rPr>
          <w:rFonts w:eastAsia="Times New Roman"/>
          <w:color w:val="auto"/>
        </w:rPr>
        <w:t>contributio</w:t>
      </w:r>
      <w:r w:rsidR="002C2E7E">
        <w:rPr>
          <w:rFonts w:eastAsia="Times New Roman"/>
          <w:color w:val="auto"/>
        </w:rPr>
        <w:t xml:space="preserve">n </w:t>
      </w:r>
      <w:r w:rsidR="005D544B" w:rsidRPr="001B416A">
        <w:rPr>
          <w:rFonts w:eastAsia="Times New Roman"/>
          <w:color w:val="auto"/>
        </w:rPr>
        <w:t>under the Joint Policy Reform Matrix.</w:t>
      </w:r>
      <w:r w:rsidR="000262E6" w:rsidRPr="001B416A">
        <w:rPr>
          <w:rFonts w:eastAsia="Times New Roman"/>
          <w:color w:val="auto"/>
        </w:rPr>
        <w:t xml:space="preserve"> This has formalised Australia’s engagement </w:t>
      </w:r>
      <w:r w:rsidR="005D544B" w:rsidRPr="001B416A">
        <w:rPr>
          <w:rFonts w:eastAsia="Times New Roman"/>
          <w:color w:val="auto"/>
        </w:rPr>
        <w:t>in the Economic Reform Taskforce</w:t>
      </w:r>
      <w:r w:rsidR="000262E6" w:rsidRPr="001B416A">
        <w:rPr>
          <w:rFonts w:eastAsia="Times New Roman"/>
          <w:color w:val="auto"/>
        </w:rPr>
        <w:t>,</w:t>
      </w:r>
      <w:r w:rsidR="005D544B" w:rsidRPr="001B416A">
        <w:rPr>
          <w:rFonts w:eastAsia="Times New Roman"/>
          <w:color w:val="auto"/>
        </w:rPr>
        <w:t xml:space="preserve"> </w:t>
      </w:r>
      <w:r w:rsidR="000262E6" w:rsidRPr="001B416A">
        <w:rPr>
          <w:rFonts w:eastAsia="Times New Roman"/>
          <w:color w:val="auto"/>
        </w:rPr>
        <w:t xml:space="preserve">which also </w:t>
      </w:r>
      <w:r w:rsidR="005D544B" w:rsidRPr="001B416A">
        <w:rPr>
          <w:rFonts w:eastAsia="Times New Roman"/>
          <w:color w:val="auto"/>
        </w:rPr>
        <w:t xml:space="preserve">includes the </w:t>
      </w:r>
      <w:r w:rsidR="00F6574E" w:rsidRPr="001B416A">
        <w:rPr>
          <w:rFonts w:eastAsia="Times New Roman"/>
          <w:color w:val="auto"/>
        </w:rPr>
        <w:t>multilateral</w:t>
      </w:r>
      <w:r w:rsidRPr="001B416A">
        <w:rPr>
          <w:rFonts w:eastAsia="Times New Roman"/>
          <w:color w:val="auto"/>
        </w:rPr>
        <w:t xml:space="preserve"> </w:t>
      </w:r>
      <w:r w:rsidR="00F6574E" w:rsidRPr="001B416A">
        <w:rPr>
          <w:rFonts w:eastAsia="Times New Roman"/>
          <w:color w:val="auto"/>
        </w:rPr>
        <w:t>d</w:t>
      </w:r>
      <w:r w:rsidRPr="001B416A">
        <w:rPr>
          <w:rFonts w:eastAsia="Times New Roman"/>
          <w:color w:val="auto"/>
        </w:rPr>
        <w:t xml:space="preserve">evelopment </w:t>
      </w:r>
      <w:r w:rsidR="00F6574E" w:rsidRPr="001B416A">
        <w:rPr>
          <w:rFonts w:eastAsia="Times New Roman"/>
          <w:color w:val="auto"/>
        </w:rPr>
        <w:t>b</w:t>
      </w:r>
      <w:r w:rsidRPr="001B416A">
        <w:rPr>
          <w:rFonts w:eastAsia="Times New Roman"/>
          <w:color w:val="auto"/>
        </w:rPr>
        <w:t xml:space="preserve">anks, </w:t>
      </w:r>
      <w:r w:rsidR="00F6574E" w:rsidRPr="001B416A">
        <w:rPr>
          <w:rFonts w:eastAsia="Times New Roman"/>
          <w:color w:val="auto"/>
        </w:rPr>
        <w:t xml:space="preserve">the </w:t>
      </w:r>
      <w:r w:rsidRPr="001B416A">
        <w:rPr>
          <w:rFonts w:eastAsia="Times New Roman"/>
          <w:color w:val="auto"/>
        </w:rPr>
        <w:t xml:space="preserve">European Union </w:t>
      </w:r>
      <w:r w:rsidR="00F6574E" w:rsidRPr="001B416A">
        <w:rPr>
          <w:rFonts w:eastAsia="Times New Roman"/>
          <w:color w:val="auto"/>
        </w:rPr>
        <w:t xml:space="preserve">and </w:t>
      </w:r>
      <w:r w:rsidRPr="001B416A">
        <w:rPr>
          <w:rFonts w:eastAsia="Times New Roman"/>
          <w:color w:val="auto"/>
        </w:rPr>
        <w:t>New Ze</w:t>
      </w:r>
      <w:r w:rsidR="00F6574E" w:rsidRPr="001B416A">
        <w:rPr>
          <w:rFonts w:eastAsia="Times New Roman"/>
          <w:color w:val="auto"/>
        </w:rPr>
        <w:t>aland</w:t>
      </w:r>
      <w:r w:rsidR="00222BEC">
        <w:rPr>
          <w:rFonts w:eastAsia="Times New Roman"/>
          <w:color w:val="auto"/>
        </w:rPr>
        <w:t xml:space="preserve">, </w:t>
      </w:r>
      <w:r w:rsidR="0058247C">
        <w:rPr>
          <w:rFonts w:eastAsia="Times New Roman"/>
          <w:color w:val="auto"/>
        </w:rPr>
        <w:t>as well as</w:t>
      </w:r>
      <w:r w:rsidR="00222BEC">
        <w:rPr>
          <w:rFonts w:eastAsia="Times New Roman"/>
          <w:color w:val="auto"/>
        </w:rPr>
        <w:t xml:space="preserve"> Secretaries from key Kiribati ministries. This taskforce</w:t>
      </w:r>
      <w:r w:rsidR="00207D08">
        <w:rPr>
          <w:rFonts w:eastAsia="Times New Roman"/>
          <w:color w:val="auto"/>
        </w:rPr>
        <w:t xml:space="preserve"> provides oversight and coordination of the economic reform process</w:t>
      </w:r>
      <w:r w:rsidR="00CF3847">
        <w:rPr>
          <w:rFonts w:eastAsia="Times New Roman"/>
          <w:color w:val="auto"/>
        </w:rPr>
        <w:t>, including the matrix</w:t>
      </w:r>
      <w:r w:rsidR="000262E6" w:rsidRPr="001B416A">
        <w:rPr>
          <w:rFonts w:eastAsia="Times New Roman"/>
          <w:color w:val="auto"/>
        </w:rPr>
        <w:t>. This</w:t>
      </w:r>
      <w:r w:rsidR="005D544B" w:rsidRPr="001B416A">
        <w:rPr>
          <w:rFonts w:eastAsia="Times New Roman"/>
          <w:color w:val="auto"/>
        </w:rPr>
        <w:t xml:space="preserve"> </w:t>
      </w:r>
      <w:r w:rsidR="0058247C">
        <w:rPr>
          <w:rFonts w:eastAsia="Times New Roman"/>
          <w:color w:val="auto"/>
        </w:rPr>
        <w:t>more formalised role</w:t>
      </w:r>
      <w:r w:rsidR="0058247C" w:rsidRPr="001B416A">
        <w:rPr>
          <w:rFonts w:eastAsia="Times New Roman"/>
          <w:color w:val="auto"/>
        </w:rPr>
        <w:t xml:space="preserve"> </w:t>
      </w:r>
      <w:r w:rsidR="000262E6" w:rsidRPr="001B416A">
        <w:rPr>
          <w:rFonts w:eastAsia="Times New Roman"/>
          <w:color w:val="auto"/>
        </w:rPr>
        <w:t>has</w:t>
      </w:r>
      <w:r w:rsidR="005D544B" w:rsidRPr="001B416A">
        <w:rPr>
          <w:rFonts w:eastAsia="Times New Roman"/>
          <w:color w:val="auto"/>
        </w:rPr>
        <w:t xml:space="preserve"> </w:t>
      </w:r>
      <w:r w:rsidR="00357584" w:rsidRPr="001B416A">
        <w:rPr>
          <w:rFonts w:eastAsia="Times New Roman"/>
          <w:color w:val="auto"/>
        </w:rPr>
        <w:t>enhanced</w:t>
      </w:r>
      <w:r w:rsidR="000262E6" w:rsidRPr="001B416A">
        <w:rPr>
          <w:rFonts w:eastAsia="Times New Roman"/>
          <w:color w:val="auto"/>
        </w:rPr>
        <w:t xml:space="preserve"> our involvement in </w:t>
      </w:r>
      <w:r w:rsidRPr="001B416A">
        <w:rPr>
          <w:rFonts w:eastAsia="Times New Roman"/>
          <w:color w:val="auto"/>
        </w:rPr>
        <w:t xml:space="preserve">ongoing </w:t>
      </w:r>
      <w:r w:rsidR="002C2E7E">
        <w:rPr>
          <w:rFonts w:eastAsia="Times New Roman"/>
          <w:color w:val="auto"/>
        </w:rPr>
        <w:t xml:space="preserve">– </w:t>
      </w:r>
      <w:r w:rsidRPr="001B416A">
        <w:rPr>
          <w:rFonts w:eastAsia="Times New Roman"/>
          <w:color w:val="auto"/>
        </w:rPr>
        <w:t>and productive</w:t>
      </w:r>
      <w:r w:rsidR="002C2E7E">
        <w:rPr>
          <w:rFonts w:eastAsia="Times New Roman"/>
          <w:color w:val="auto"/>
        </w:rPr>
        <w:t xml:space="preserve"> – </w:t>
      </w:r>
      <w:r w:rsidRPr="001B416A">
        <w:rPr>
          <w:rFonts w:eastAsia="Times New Roman"/>
          <w:color w:val="auto"/>
        </w:rPr>
        <w:t xml:space="preserve">discussions </w:t>
      </w:r>
      <w:r w:rsidR="000262E6" w:rsidRPr="001B416A">
        <w:rPr>
          <w:rFonts w:eastAsia="Times New Roman"/>
          <w:color w:val="auto"/>
        </w:rPr>
        <w:t xml:space="preserve">in 2017 </w:t>
      </w:r>
      <w:r w:rsidRPr="001B416A">
        <w:rPr>
          <w:rFonts w:eastAsia="Times New Roman"/>
          <w:color w:val="auto"/>
        </w:rPr>
        <w:t>around a proposed infrastructure loan</w:t>
      </w:r>
      <w:r w:rsidR="006029B4" w:rsidRPr="001B416A">
        <w:rPr>
          <w:rFonts w:eastAsia="Times New Roman"/>
          <w:color w:val="auto"/>
        </w:rPr>
        <w:t xml:space="preserve"> for outer islands development</w:t>
      </w:r>
      <w:r w:rsidRPr="001B416A">
        <w:rPr>
          <w:rFonts w:eastAsia="Times New Roman"/>
          <w:color w:val="auto"/>
        </w:rPr>
        <w:t xml:space="preserve">, </w:t>
      </w:r>
      <w:r w:rsidR="006029B4" w:rsidRPr="001B416A">
        <w:rPr>
          <w:rFonts w:eastAsia="Times New Roman"/>
          <w:color w:val="auto"/>
        </w:rPr>
        <w:t xml:space="preserve">and </w:t>
      </w:r>
      <w:r w:rsidRPr="001B416A">
        <w:rPr>
          <w:rFonts w:eastAsia="Times New Roman"/>
          <w:color w:val="auto"/>
        </w:rPr>
        <w:t xml:space="preserve">scenario analysis in support of achieving the government’s $1 </w:t>
      </w:r>
      <w:r w:rsidR="001C5115" w:rsidRPr="001B416A">
        <w:rPr>
          <w:rFonts w:eastAsia="Times New Roman"/>
          <w:color w:val="auto"/>
        </w:rPr>
        <w:t>b</w:t>
      </w:r>
      <w:r w:rsidRPr="001B416A">
        <w:rPr>
          <w:rFonts w:eastAsia="Times New Roman"/>
          <w:color w:val="auto"/>
        </w:rPr>
        <w:t xml:space="preserve">illion target for the </w:t>
      </w:r>
      <w:r w:rsidR="006E3E82" w:rsidRPr="006E3E82">
        <w:rPr>
          <w:rFonts w:eastAsia="Times New Roman"/>
          <w:color w:val="auto"/>
        </w:rPr>
        <w:t>Revenue Equalization Reserve Fund</w:t>
      </w:r>
      <w:r w:rsidR="006E3E82">
        <w:rPr>
          <w:rFonts w:eastAsia="Times New Roman"/>
          <w:color w:val="auto"/>
        </w:rPr>
        <w:t xml:space="preserve"> </w:t>
      </w:r>
      <w:r w:rsidRPr="001B416A">
        <w:rPr>
          <w:rFonts w:eastAsia="Times New Roman"/>
          <w:color w:val="auto"/>
        </w:rPr>
        <w:t xml:space="preserve">by 2020. </w:t>
      </w:r>
    </w:p>
    <w:p w:rsidR="007070C3" w:rsidRDefault="007070C3" w:rsidP="00FC7EFC">
      <w:pPr>
        <w:spacing w:before="400"/>
        <w:rPr>
          <w:rFonts w:asciiTheme="majorHAnsi" w:eastAsiaTheme="majorEastAsia" w:hAnsiTheme="majorHAnsi" w:cstheme="majorBidi"/>
          <w:caps/>
          <w:sz w:val="38"/>
          <w:szCs w:val="26"/>
        </w:rPr>
      </w:pPr>
    </w:p>
    <w:p w:rsidR="007070C3" w:rsidRDefault="007070C3" w:rsidP="00FC7EFC">
      <w:pPr>
        <w:spacing w:before="400"/>
        <w:rPr>
          <w:rFonts w:asciiTheme="majorHAnsi" w:eastAsiaTheme="majorEastAsia" w:hAnsiTheme="majorHAnsi" w:cstheme="majorBidi"/>
          <w:caps/>
          <w:sz w:val="38"/>
          <w:szCs w:val="26"/>
        </w:rPr>
      </w:pPr>
    </w:p>
    <w:p w:rsidR="00C615A3" w:rsidRDefault="00C615A3" w:rsidP="00FC7EFC">
      <w:pPr>
        <w:spacing w:before="400"/>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lastRenderedPageBreak/>
        <w:t xml:space="preserve">Objective </w:t>
      </w:r>
      <w:r>
        <w:rPr>
          <w:rFonts w:asciiTheme="majorHAnsi" w:eastAsiaTheme="majorEastAsia" w:hAnsiTheme="majorHAnsi" w:cstheme="majorBidi"/>
          <w:caps/>
          <w:sz w:val="38"/>
          <w:szCs w:val="26"/>
        </w:rPr>
        <w:t>2</w:t>
      </w:r>
      <w:r w:rsidR="002C2E7E">
        <w:rPr>
          <w:rFonts w:asciiTheme="majorHAnsi" w:eastAsiaTheme="majorEastAsia" w:hAnsiTheme="majorHAnsi" w:cstheme="majorBidi"/>
          <w:caps/>
          <w:sz w:val="38"/>
          <w:szCs w:val="26"/>
        </w:rPr>
        <w:t>: building a better educated and healthier population</w:t>
      </w:r>
    </w:p>
    <w:p w:rsidR="00FD57AD" w:rsidRDefault="00FD57AD" w:rsidP="00CD1652">
      <w:pPr>
        <w:spacing w:before="240" w:line="240" w:lineRule="auto"/>
        <w:rPr>
          <w:rFonts w:eastAsia="Times New Roman"/>
          <w:color w:val="auto"/>
        </w:rPr>
      </w:pPr>
      <w:r w:rsidRPr="00695730">
        <w:rPr>
          <w:rFonts w:ascii="Franklin Gothic Book" w:eastAsia="Times New Roman" w:hAnsi="Franklin Gothic Book" w:cs="Times New Roman"/>
          <w:noProof/>
          <w:color w:val="auto"/>
          <w:sz w:val="21"/>
          <w:szCs w:val="24"/>
          <w:lang w:val="en-AU" w:eastAsia="en-AU"/>
        </w:rPr>
        <w:drawing>
          <wp:anchor distT="0" distB="0" distL="114300" distR="114300" simplePos="0" relativeHeight="251683840" behindDoc="1" locked="0" layoutInCell="1" allowOverlap="1" wp14:anchorId="554DA769" wp14:editId="1F1C5D75">
            <wp:simplePos x="0" y="0"/>
            <wp:positionH relativeFrom="column">
              <wp:posOffset>1351500</wp:posOffset>
            </wp:positionH>
            <wp:positionV relativeFrom="paragraph">
              <wp:posOffset>164686</wp:posOffset>
            </wp:positionV>
            <wp:extent cx="611505" cy="611505"/>
            <wp:effectExtent l="0" t="0" r="0" b="0"/>
            <wp:wrapTight wrapText="bothSides">
              <wp:wrapPolygon edited="0">
                <wp:start x="0" y="0"/>
                <wp:lineTo x="0" y="20860"/>
                <wp:lineTo x="20860" y="20860"/>
                <wp:lineTo x="208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anchor>
        </w:drawing>
      </w:r>
      <w:r w:rsidRPr="00695730">
        <w:rPr>
          <w:rFonts w:ascii="Franklin Gothic Book" w:eastAsia="Times New Roman" w:hAnsi="Franklin Gothic Book" w:cs="Times New Roman"/>
          <w:noProof/>
          <w:color w:val="auto"/>
          <w:sz w:val="21"/>
          <w:szCs w:val="24"/>
          <w:lang w:val="en-AU" w:eastAsia="en-AU"/>
        </w:rPr>
        <w:drawing>
          <wp:anchor distT="0" distB="0" distL="114300" distR="114300" simplePos="0" relativeHeight="251685888" behindDoc="1" locked="0" layoutInCell="1" allowOverlap="1" wp14:anchorId="1E3A2414" wp14:editId="3786CD30">
            <wp:simplePos x="0" y="0"/>
            <wp:positionH relativeFrom="column">
              <wp:posOffset>2181832</wp:posOffset>
            </wp:positionH>
            <wp:positionV relativeFrom="paragraph">
              <wp:posOffset>162395</wp:posOffset>
            </wp:positionV>
            <wp:extent cx="611505" cy="611505"/>
            <wp:effectExtent l="0" t="0" r="0" b="0"/>
            <wp:wrapTight wrapText="bothSides">
              <wp:wrapPolygon edited="0">
                <wp:start x="0" y="0"/>
                <wp:lineTo x="0" y="20860"/>
                <wp:lineTo x="20860" y="20860"/>
                <wp:lineTo x="208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anchor>
        </w:drawing>
      </w:r>
      <w:r w:rsidRPr="00695730">
        <w:rPr>
          <w:rFonts w:asciiTheme="majorHAnsi" w:eastAsiaTheme="majorEastAsia" w:hAnsiTheme="majorHAnsi" w:cstheme="majorBidi"/>
          <w:caps/>
          <w:noProof/>
          <w:sz w:val="38"/>
          <w:szCs w:val="26"/>
          <w:lang w:val="en-AU" w:eastAsia="en-AU"/>
        </w:rPr>
        <w:drawing>
          <wp:inline distT="0" distB="0" distL="0" distR="0" wp14:anchorId="497A6D93" wp14:editId="78CA70A6">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p w:rsidR="00F6574E" w:rsidRDefault="00067C9B" w:rsidP="00CD1652">
      <w:pPr>
        <w:spacing w:before="240" w:line="240" w:lineRule="auto"/>
        <w:rPr>
          <w:rFonts w:eastAsia="Times New Roman"/>
          <w:color w:val="auto"/>
        </w:rPr>
      </w:pPr>
      <w:r w:rsidRPr="007E0F19">
        <w:rPr>
          <w:rFonts w:eastAsia="Times New Roman"/>
          <w:color w:val="auto"/>
        </w:rPr>
        <w:t xml:space="preserve">Australia is working with the Government of Kiribati to improve standards in </w:t>
      </w:r>
      <w:r w:rsidR="0058247C">
        <w:rPr>
          <w:rFonts w:eastAsia="Times New Roman"/>
          <w:color w:val="auto"/>
        </w:rPr>
        <w:t>primary</w:t>
      </w:r>
      <w:r w:rsidR="0058247C" w:rsidRPr="007E0F19">
        <w:rPr>
          <w:rFonts w:eastAsia="Times New Roman"/>
          <w:color w:val="auto"/>
        </w:rPr>
        <w:t xml:space="preserve"> </w:t>
      </w:r>
      <w:r w:rsidRPr="007E0F19">
        <w:rPr>
          <w:rFonts w:eastAsia="Times New Roman"/>
          <w:color w:val="auto"/>
        </w:rPr>
        <w:t>education</w:t>
      </w:r>
      <w:r w:rsidR="009C14F6" w:rsidRPr="007E0F19">
        <w:rPr>
          <w:rFonts w:eastAsia="Times New Roman"/>
          <w:color w:val="auto"/>
        </w:rPr>
        <w:t xml:space="preserve">, </w:t>
      </w:r>
      <w:r w:rsidR="0058247C">
        <w:rPr>
          <w:rFonts w:eastAsia="Times New Roman"/>
          <w:color w:val="auto"/>
        </w:rPr>
        <w:t xml:space="preserve">work with the Kiribati Institute of Technology to </w:t>
      </w:r>
      <w:r w:rsidR="009C14F6" w:rsidRPr="007E0F19">
        <w:rPr>
          <w:rFonts w:eastAsia="Times New Roman"/>
          <w:color w:val="auto"/>
        </w:rPr>
        <w:t xml:space="preserve">provide </w:t>
      </w:r>
      <w:r w:rsidR="00974283" w:rsidRPr="007E0F19">
        <w:rPr>
          <w:rFonts w:eastAsia="Times New Roman"/>
          <w:color w:val="auto"/>
        </w:rPr>
        <w:t>work</w:t>
      </w:r>
      <w:r w:rsidR="00C40ED1">
        <w:rPr>
          <w:rFonts w:eastAsia="Times New Roman"/>
          <w:color w:val="auto"/>
        </w:rPr>
        <w:t>-</w:t>
      </w:r>
      <w:r w:rsidR="009C14F6" w:rsidRPr="007E0F19">
        <w:rPr>
          <w:rFonts w:eastAsia="Times New Roman"/>
          <w:color w:val="auto"/>
        </w:rPr>
        <w:t xml:space="preserve">skills training aligned with labour market demands and </w:t>
      </w:r>
      <w:r w:rsidR="00C93E35" w:rsidRPr="007E0F19">
        <w:rPr>
          <w:rFonts w:eastAsia="Times New Roman"/>
          <w:color w:val="auto"/>
        </w:rPr>
        <w:t>reduce the incidence of communicable diseases</w:t>
      </w:r>
      <w:r w:rsidRPr="007E0F19">
        <w:rPr>
          <w:rFonts w:eastAsia="Times New Roman"/>
          <w:color w:val="auto"/>
        </w:rPr>
        <w:t xml:space="preserve">. </w:t>
      </w:r>
      <w:r w:rsidR="003E3218">
        <w:rPr>
          <w:rFonts w:eastAsia="Times New Roman"/>
          <w:color w:val="auto"/>
        </w:rPr>
        <w:t>DFAT rates p</w:t>
      </w:r>
      <w:r w:rsidR="009C14F6" w:rsidRPr="007E0F19">
        <w:rPr>
          <w:rFonts w:eastAsia="Times New Roman"/>
          <w:color w:val="auto"/>
        </w:rPr>
        <w:t>rogress</w:t>
      </w:r>
      <w:r w:rsidR="006946B4" w:rsidRPr="007E0F19">
        <w:rPr>
          <w:rFonts w:eastAsia="Times New Roman"/>
          <w:color w:val="auto"/>
        </w:rPr>
        <w:t xml:space="preserve"> against this</w:t>
      </w:r>
      <w:r w:rsidR="009C14F6" w:rsidRPr="007E0F19">
        <w:rPr>
          <w:rFonts w:eastAsia="Times New Roman"/>
          <w:color w:val="auto"/>
        </w:rPr>
        <w:t xml:space="preserve"> objective </w:t>
      </w:r>
      <w:r w:rsidR="003E3218">
        <w:rPr>
          <w:rFonts w:eastAsia="Times New Roman"/>
          <w:color w:val="auto"/>
        </w:rPr>
        <w:t>a</w:t>
      </w:r>
      <w:r w:rsidR="009C14F6" w:rsidRPr="007E0F19">
        <w:rPr>
          <w:rFonts w:eastAsia="Times New Roman"/>
          <w:color w:val="auto"/>
        </w:rPr>
        <w:t>s green</w:t>
      </w:r>
      <w:r w:rsidR="00F6574E">
        <w:rPr>
          <w:rFonts w:eastAsia="Times New Roman"/>
          <w:color w:val="auto"/>
        </w:rPr>
        <w:t xml:space="preserve">, with </w:t>
      </w:r>
      <w:r w:rsidR="006946B4" w:rsidRPr="007E0F19">
        <w:rPr>
          <w:rFonts w:eastAsia="Times New Roman"/>
          <w:color w:val="auto"/>
        </w:rPr>
        <w:t>good</w:t>
      </w:r>
      <w:r w:rsidR="00974283" w:rsidRPr="007E0F19">
        <w:rPr>
          <w:rFonts w:eastAsia="Times New Roman"/>
          <w:color w:val="auto"/>
        </w:rPr>
        <w:t xml:space="preserve"> progress</w:t>
      </w:r>
      <w:r w:rsidR="00F6574E">
        <w:rPr>
          <w:rFonts w:eastAsia="Times New Roman"/>
          <w:color w:val="auto"/>
        </w:rPr>
        <w:t xml:space="preserve"> continuing to be achieved in both the education and health </w:t>
      </w:r>
      <w:r w:rsidR="00560642">
        <w:rPr>
          <w:rFonts w:eastAsia="Times New Roman"/>
          <w:color w:val="auto"/>
        </w:rPr>
        <w:t>investments</w:t>
      </w:r>
      <w:r w:rsidR="00F50594" w:rsidRPr="007E0F19">
        <w:rPr>
          <w:rFonts w:eastAsia="Times New Roman"/>
          <w:color w:val="auto"/>
        </w:rPr>
        <w:t xml:space="preserve">. </w:t>
      </w:r>
      <w:r w:rsidR="007E0F19" w:rsidRPr="007E0F19">
        <w:rPr>
          <w:rFonts w:eastAsia="Times New Roman"/>
          <w:color w:val="auto"/>
        </w:rPr>
        <w:t xml:space="preserve">A </w:t>
      </w:r>
      <w:r w:rsidR="00C350E5">
        <w:rPr>
          <w:rFonts w:eastAsia="Times New Roman"/>
          <w:color w:val="auto"/>
        </w:rPr>
        <w:t>key</w:t>
      </w:r>
      <w:r w:rsidR="007E0F19" w:rsidRPr="007E0F19">
        <w:rPr>
          <w:rFonts w:eastAsia="Times New Roman"/>
          <w:color w:val="auto"/>
        </w:rPr>
        <w:t xml:space="preserve"> indicator of th</w:t>
      </w:r>
      <w:r w:rsidR="00F6574E">
        <w:rPr>
          <w:rFonts w:eastAsia="Times New Roman"/>
          <w:color w:val="auto"/>
        </w:rPr>
        <w:t>e</w:t>
      </w:r>
      <w:r w:rsidR="007E0F19" w:rsidRPr="007E0F19">
        <w:rPr>
          <w:rFonts w:eastAsia="Times New Roman"/>
          <w:color w:val="auto"/>
        </w:rPr>
        <w:t xml:space="preserve"> progress</w:t>
      </w:r>
      <w:r w:rsidR="00F6574E">
        <w:rPr>
          <w:rFonts w:eastAsia="Times New Roman"/>
          <w:color w:val="auto"/>
        </w:rPr>
        <w:t xml:space="preserve"> </w:t>
      </w:r>
      <w:r w:rsidR="00E5493C">
        <w:rPr>
          <w:rFonts w:eastAsia="Times New Roman"/>
          <w:color w:val="auto"/>
        </w:rPr>
        <w:t>of</w:t>
      </w:r>
      <w:r w:rsidR="00F6574E">
        <w:rPr>
          <w:rFonts w:eastAsia="Times New Roman"/>
          <w:color w:val="auto"/>
        </w:rPr>
        <w:t xml:space="preserve"> our support for </w:t>
      </w:r>
      <w:r w:rsidR="0058247C">
        <w:rPr>
          <w:rFonts w:eastAsia="Times New Roman"/>
          <w:color w:val="auto"/>
        </w:rPr>
        <w:t xml:space="preserve">vocational and </w:t>
      </w:r>
      <w:r w:rsidR="00F6574E">
        <w:rPr>
          <w:rFonts w:eastAsia="Times New Roman"/>
          <w:color w:val="auto"/>
        </w:rPr>
        <w:t>technical training</w:t>
      </w:r>
      <w:r w:rsidR="00F50594" w:rsidRPr="007E0F19">
        <w:rPr>
          <w:rFonts w:eastAsia="Times New Roman"/>
          <w:color w:val="auto"/>
        </w:rPr>
        <w:t xml:space="preserve"> </w:t>
      </w:r>
      <w:r w:rsidR="00C350E5">
        <w:rPr>
          <w:rFonts w:eastAsia="Times New Roman"/>
          <w:color w:val="auto"/>
        </w:rPr>
        <w:t>over the past year has been</w:t>
      </w:r>
      <w:r w:rsidR="007E0F19" w:rsidRPr="007E0F19">
        <w:rPr>
          <w:rFonts w:eastAsia="Times New Roman"/>
          <w:color w:val="auto"/>
        </w:rPr>
        <w:t xml:space="preserve"> the</w:t>
      </w:r>
      <w:r w:rsidR="00F50594" w:rsidRPr="007E0F19">
        <w:rPr>
          <w:rFonts w:eastAsia="Times New Roman"/>
          <w:color w:val="auto"/>
        </w:rPr>
        <w:t xml:space="preserve"> </w:t>
      </w:r>
      <w:r w:rsidR="00974283" w:rsidRPr="007E0F19">
        <w:rPr>
          <w:rFonts w:eastAsia="Times New Roman"/>
          <w:color w:val="auto"/>
        </w:rPr>
        <w:t xml:space="preserve">significant </w:t>
      </w:r>
      <w:r w:rsidR="00F50594" w:rsidRPr="007E0F19">
        <w:rPr>
          <w:rFonts w:eastAsia="Times New Roman"/>
          <w:color w:val="auto"/>
        </w:rPr>
        <w:t>increase</w:t>
      </w:r>
      <w:r w:rsidR="007E0F19" w:rsidRPr="007E0F19">
        <w:rPr>
          <w:rFonts w:eastAsia="Times New Roman"/>
          <w:color w:val="auto"/>
        </w:rPr>
        <w:t xml:space="preserve"> </w:t>
      </w:r>
      <w:r w:rsidR="00F50594" w:rsidRPr="007E0F19">
        <w:rPr>
          <w:rFonts w:eastAsia="Times New Roman"/>
          <w:color w:val="auto"/>
        </w:rPr>
        <w:t xml:space="preserve">in the number of I-Kiribati workers </w:t>
      </w:r>
      <w:r w:rsidR="006E3E82">
        <w:rPr>
          <w:rFonts w:eastAsia="Times New Roman"/>
          <w:color w:val="auto"/>
        </w:rPr>
        <w:t xml:space="preserve">getting temporary jobs in Australia through our labour mobility programs. </w:t>
      </w:r>
    </w:p>
    <w:p w:rsidR="00955D47" w:rsidRPr="00955D47" w:rsidRDefault="00955D47" w:rsidP="00EE001D">
      <w:pPr>
        <w:spacing w:before="240" w:line="240" w:lineRule="auto"/>
        <w:rPr>
          <w:rFonts w:eastAsia="Times New Roman"/>
          <w:color w:val="auto"/>
        </w:rPr>
      </w:pPr>
      <w:r w:rsidRPr="00955D47">
        <w:rPr>
          <w:rFonts w:eastAsia="Times New Roman"/>
          <w:color w:val="auto"/>
        </w:rPr>
        <w:t>The third phase of the Kiribati Education Improvement Program (2016-19, $32 million) commenced in 2016 and</w:t>
      </w:r>
      <w:r w:rsidR="005148B9">
        <w:rPr>
          <w:rFonts w:eastAsia="Times New Roman"/>
          <w:color w:val="auto"/>
        </w:rPr>
        <w:t xml:space="preserve"> </w:t>
      </w:r>
      <w:r w:rsidR="00046F67">
        <w:rPr>
          <w:rFonts w:eastAsia="Times New Roman"/>
          <w:color w:val="auto"/>
        </w:rPr>
        <w:t>has made</w:t>
      </w:r>
      <w:r w:rsidR="00046F67" w:rsidRPr="00955D47">
        <w:rPr>
          <w:rFonts w:eastAsia="Times New Roman"/>
          <w:color w:val="auto"/>
        </w:rPr>
        <w:t xml:space="preserve"> </w:t>
      </w:r>
      <w:r w:rsidR="003E3218">
        <w:rPr>
          <w:rFonts w:eastAsia="Times New Roman"/>
          <w:color w:val="auto"/>
        </w:rPr>
        <w:t>strong</w:t>
      </w:r>
      <w:r w:rsidRPr="00955D47">
        <w:rPr>
          <w:rFonts w:eastAsia="Times New Roman"/>
          <w:color w:val="auto"/>
        </w:rPr>
        <w:t xml:space="preserve"> progress against its objective</w:t>
      </w:r>
      <w:r w:rsidR="00E11A48">
        <w:rPr>
          <w:rFonts w:eastAsia="Times New Roman"/>
          <w:color w:val="auto"/>
        </w:rPr>
        <w:t xml:space="preserve"> to improve access to quality </w:t>
      </w:r>
      <w:r w:rsidR="00DF21E0">
        <w:rPr>
          <w:rFonts w:eastAsia="Times New Roman"/>
          <w:color w:val="auto"/>
        </w:rPr>
        <w:t xml:space="preserve">primary </w:t>
      </w:r>
      <w:r w:rsidR="00E11A48">
        <w:rPr>
          <w:rFonts w:eastAsia="Times New Roman"/>
          <w:color w:val="auto"/>
        </w:rPr>
        <w:t>education</w:t>
      </w:r>
      <w:r w:rsidRPr="00955D47">
        <w:rPr>
          <w:rFonts w:eastAsia="Times New Roman"/>
          <w:color w:val="auto"/>
        </w:rPr>
        <w:t xml:space="preserve">. In 2016-17, </w:t>
      </w:r>
      <w:r w:rsidR="00E11A48">
        <w:rPr>
          <w:rFonts w:eastAsia="Times New Roman"/>
          <w:color w:val="auto"/>
        </w:rPr>
        <w:t>the focus of</w:t>
      </w:r>
      <w:r w:rsidR="002C2E7E">
        <w:rPr>
          <w:rFonts w:eastAsia="Times New Roman"/>
          <w:color w:val="auto"/>
        </w:rPr>
        <w:t xml:space="preserve"> this program </w:t>
      </w:r>
      <w:r w:rsidR="003E3218">
        <w:rPr>
          <w:rFonts w:eastAsia="Times New Roman"/>
          <w:color w:val="auto"/>
        </w:rPr>
        <w:t>was to embed</w:t>
      </w:r>
      <w:r w:rsidRPr="00955D47">
        <w:rPr>
          <w:rFonts w:eastAsia="Times New Roman"/>
          <w:color w:val="auto"/>
        </w:rPr>
        <w:t xml:space="preserve"> the curriculum reforms</w:t>
      </w:r>
      <w:r w:rsidR="00D66D4F">
        <w:rPr>
          <w:rFonts w:eastAsia="Times New Roman"/>
          <w:color w:val="auto"/>
        </w:rPr>
        <w:t xml:space="preserve"> </w:t>
      </w:r>
      <w:r w:rsidR="00D66D4F" w:rsidRPr="00955D47">
        <w:rPr>
          <w:rFonts w:eastAsia="Times New Roman"/>
          <w:color w:val="auto"/>
        </w:rPr>
        <w:t>(</w:t>
      </w:r>
      <w:r w:rsidR="00D66D4F">
        <w:rPr>
          <w:rFonts w:eastAsia="Times New Roman"/>
          <w:color w:val="auto"/>
        </w:rPr>
        <w:t xml:space="preserve">for </w:t>
      </w:r>
      <w:r w:rsidR="00D66D4F" w:rsidRPr="00955D47">
        <w:rPr>
          <w:rFonts w:eastAsia="Times New Roman"/>
          <w:color w:val="auto"/>
        </w:rPr>
        <w:t>Year 1-4)</w:t>
      </w:r>
      <w:r w:rsidRPr="00955D47">
        <w:rPr>
          <w:rFonts w:eastAsia="Times New Roman"/>
          <w:color w:val="auto"/>
        </w:rPr>
        <w:t xml:space="preserve"> from the previous phases, expand th</w:t>
      </w:r>
      <w:r w:rsidR="00D66D4F">
        <w:rPr>
          <w:rFonts w:eastAsia="Times New Roman"/>
          <w:color w:val="auto"/>
        </w:rPr>
        <w:t>o</w:t>
      </w:r>
      <w:r w:rsidRPr="00955D47">
        <w:rPr>
          <w:rFonts w:eastAsia="Times New Roman"/>
          <w:color w:val="auto"/>
        </w:rPr>
        <w:t>se reforms to Years 5-6</w:t>
      </w:r>
      <w:r w:rsidR="00AB37B6">
        <w:rPr>
          <w:rFonts w:eastAsia="Times New Roman"/>
          <w:color w:val="auto"/>
        </w:rPr>
        <w:t xml:space="preserve"> (w</w:t>
      </w:r>
      <w:r w:rsidRPr="00955D47">
        <w:rPr>
          <w:rFonts w:eastAsia="Times New Roman"/>
          <w:color w:val="auto"/>
        </w:rPr>
        <w:t>ith a focus on improving learning and teaching standards</w:t>
      </w:r>
      <w:r w:rsidR="00AB37B6">
        <w:rPr>
          <w:rFonts w:eastAsia="Times New Roman"/>
          <w:color w:val="auto"/>
        </w:rPr>
        <w:t>)</w:t>
      </w:r>
      <w:r w:rsidRPr="00955D47">
        <w:rPr>
          <w:rFonts w:eastAsia="Times New Roman"/>
          <w:color w:val="auto"/>
        </w:rPr>
        <w:t>, and develop the curriculum structure for junior secondary level</w:t>
      </w:r>
      <w:r w:rsidR="00D66D4F">
        <w:rPr>
          <w:rFonts w:eastAsia="Times New Roman"/>
          <w:color w:val="auto"/>
        </w:rPr>
        <w:t xml:space="preserve"> education</w:t>
      </w:r>
      <w:r w:rsidRPr="00955D47">
        <w:rPr>
          <w:rFonts w:eastAsia="Times New Roman"/>
          <w:color w:val="auto"/>
        </w:rPr>
        <w:t>. Support to the Ministry of Education to strengthen inclusive education</w:t>
      </w:r>
      <w:r w:rsidR="00D66D4F">
        <w:rPr>
          <w:rFonts w:eastAsia="Times New Roman"/>
          <w:color w:val="auto"/>
        </w:rPr>
        <w:t xml:space="preserve"> in primary schools</w:t>
      </w:r>
      <w:r w:rsidRPr="00955D47">
        <w:rPr>
          <w:rFonts w:eastAsia="Times New Roman"/>
          <w:color w:val="auto"/>
        </w:rPr>
        <w:t xml:space="preserve"> also made good progress, with the implementation of student wellbeing and disability inclusion strategies, support for the integration of respectful relationships</w:t>
      </w:r>
      <w:r w:rsidR="00E11A48">
        <w:rPr>
          <w:rFonts w:eastAsia="Times New Roman"/>
          <w:color w:val="auto"/>
        </w:rPr>
        <w:t xml:space="preserve"> (a </w:t>
      </w:r>
      <w:r w:rsidR="00D66D4F">
        <w:rPr>
          <w:rFonts w:eastAsia="Times New Roman"/>
          <w:color w:val="auto"/>
        </w:rPr>
        <w:t xml:space="preserve">strategy for reducing the incidence </w:t>
      </w:r>
      <w:r w:rsidR="00E11A48">
        <w:rPr>
          <w:rFonts w:eastAsia="Times New Roman"/>
          <w:color w:val="auto"/>
        </w:rPr>
        <w:t>of gender based violence)</w:t>
      </w:r>
      <w:r w:rsidRPr="00955D47">
        <w:rPr>
          <w:rFonts w:eastAsia="Times New Roman"/>
          <w:color w:val="auto"/>
        </w:rPr>
        <w:t xml:space="preserve"> into</w:t>
      </w:r>
      <w:r w:rsidR="00AB37B6">
        <w:rPr>
          <w:rFonts w:eastAsia="Times New Roman"/>
          <w:color w:val="auto"/>
        </w:rPr>
        <w:t xml:space="preserve"> the</w:t>
      </w:r>
      <w:r w:rsidRPr="00955D47">
        <w:rPr>
          <w:rFonts w:eastAsia="Times New Roman"/>
          <w:color w:val="auto"/>
        </w:rPr>
        <w:t xml:space="preserve"> junior secondary school curriculum</w:t>
      </w:r>
      <w:r w:rsidR="00E5493C">
        <w:rPr>
          <w:rFonts w:eastAsia="Times New Roman"/>
          <w:color w:val="auto"/>
        </w:rPr>
        <w:t>,</w:t>
      </w:r>
      <w:r w:rsidRPr="00955D47">
        <w:rPr>
          <w:rFonts w:eastAsia="Times New Roman"/>
          <w:color w:val="auto"/>
        </w:rPr>
        <w:t xml:space="preserve"> and </w:t>
      </w:r>
      <w:r w:rsidR="00AB37B6">
        <w:rPr>
          <w:rFonts w:eastAsia="Times New Roman"/>
          <w:color w:val="auto"/>
        </w:rPr>
        <w:t>the continuation of</w:t>
      </w:r>
      <w:r w:rsidRPr="00955D47">
        <w:rPr>
          <w:rFonts w:eastAsia="Times New Roman"/>
          <w:color w:val="auto"/>
        </w:rPr>
        <w:t xml:space="preserve"> teacher training. </w:t>
      </w:r>
      <w:r w:rsidR="003E3218">
        <w:rPr>
          <w:rFonts w:eastAsia="Times New Roman"/>
          <w:color w:val="auto"/>
        </w:rPr>
        <w:t xml:space="preserve">The rehabilitation of </w:t>
      </w:r>
      <w:r w:rsidR="00D66D4F">
        <w:rPr>
          <w:rFonts w:eastAsia="Times New Roman"/>
          <w:color w:val="auto"/>
        </w:rPr>
        <w:t xml:space="preserve">primary </w:t>
      </w:r>
      <w:r w:rsidR="003E3218">
        <w:rPr>
          <w:rFonts w:eastAsia="Times New Roman"/>
          <w:color w:val="auto"/>
        </w:rPr>
        <w:t>s</w:t>
      </w:r>
      <w:r w:rsidRPr="00955D47">
        <w:rPr>
          <w:rFonts w:eastAsia="Times New Roman"/>
          <w:color w:val="auto"/>
        </w:rPr>
        <w:t>chool</w:t>
      </w:r>
      <w:r w:rsidR="00046F67">
        <w:rPr>
          <w:rFonts w:eastAsia="Times New Roman"/>
          <w:color w:val="auto"/>
        </w:rPr>
        <w:t xml:space="preserve"> infrastructure</w:t>
      </w:r>
      <w:r w:rsidR="005148B9">
        <w:rPr>
          <w:rFonts w:eastAsia="Times New Roman"/>
          <w:color w:val="auto"/>
        </w:rPr>
        <w:t xml:space="preserve"> </w:t>
      </w:r>
      <w:r w:rsidR="003E3218">
        <w:rPr>
          <w:rFonts w:eastAsia="Times New Roman"/>
          <w:color w:val="auto"/>
        </w:rPr>
        <w:t>is</w:t>
      </w:r>
      <w:r w:rsidRPr="00955D47">
        <w:rPr>
          <w:rFonts w:eastAsia="Times New Roman"/>
          <w:color w:val="auto"/>
        </w:rPr>
        <w:t xml:space="preserve"> progressing well, however</w:t>
      </w:r>
      <w:r w:rsidR="006E3E82">
        <w:rPr>
          <w:rFonts w:eastAsia="Times New Roman"/>
          <w:color w:val="auto"/>
        </w:rPr>
        <w:t>,</w:t>
      </w:r>
      <w:r w:rsidRPr="00955D47">
        <w:rPr>
          <w:rFonts w:eastAsia="Times New Roman"/>
          <w:color w:val="auto"/>
        </w:rPr>
        <w:t xml:space="preserve"> ongoing effective maintenance of school facilities remains an issue that Australia will continue to </w:t>
      </w:r>
      <w:r w:rsidR="006E3E82">
        <w:rPr>
          <w:rFonts w:eastAsia="Times New Roman"/>
          <w:color w:val="auto"/>
        </w:rPr>
        <w:t>monitor.</w:t>
      </w:r>
      <w:r w:rsidRPr="00955D47">
        <w:rPr>
          <w:rFonts w:eastAsia="Times New Roman"/>
          <w:color w:val="auto"/>
        </w:rPr>
        <w:t xml:space="preserve"> </w:t>
      </w:r>
    </w:p>
    <w:p w:rsidR="00955D47" w:rsidRPr="00955D47" w:rsidRDefault="00955D47" w:rsidP="00955D47">
      <w:pPr>
        <w:spacing w:before="240" w:line="240" w:lineRule="auto"/>
        <w:rPr>
          <w:rFonts w:eastAsia="Times New Roman"/>
          <w:color w:val="auto"/>
        </w:rPr>
      </w:pPr>
      <w:r w:rsidRPr="00955D47">
        <w:rPr>
          <w:rFonts w:eastAsia="Times New Roman"/>
          <w:color w:val="auto"/>
        </w:rPr>
        <w:t>The Skills for Employment Program (2016-20, $</w:t>
      </w:r>
      <w:r w:rsidR="006029B4">
        <w:rPr>
          <w:rFonts w:eastAsia="Times New Roman"/>
          <w:color w:val="auto"/>
        </w:rPr>
        <w:t>17</w:t>
      </w:r>
      <w:r w:rsidRPr="00955D47">
        <w:rPr>
          <w:rFonts w:eastAsia="Times New Roman"/>
          <w:color w:val="auto"/>
        </w:rPr>
        <w:t xml:space="preserve"> million</w:t>
      </w:r>
      <w:r w:rsidR="00E11A48">
        <w:rPr>
          <w:rFonts w:eastAsia="Times New Roman"/>
          <w:color w:val="auto"/>
        </w:rPr>
        <w:t>,</w:t>
      </w:r>
      <w:r w:rsidRPr="00955D47">
        <w:rPr>
          <w:rFonts w:eastAsia="Times New Roman"/>
          <w:color w:val="auto"/>
        </w:rPr>
        <w:t xml:space="preserve">) commenced in 2016 </w:t>
      </w:r>
      <w:r w:rsidR="00DF21E0">
        <w:rPr>
          <w:rFonts w:eastAsia="Times New Roman"/>
          <w:color w:val="auto"/>
        </w:rPr>
        <w:t>to build on the work of</w:t>
      </w:r>
      <w:r w:rsidR="007070C3">
        <w:rPr>
          <w:rFonts w:eastAsia="Times New Roman"/>
          <w:color w:val="auto"/>
        </w:rPr>
        <w:t xml:space="preserve"> the Kiribati Technical and Vocational Education and Training Sector Strengthening Program. Its </w:t>
      </w:r>
      <w:r w:rsidRPr="00955D47">
        <w:rPr>
          <w:rFonts w:eastAsia="Times New Roman"/>
          <w:color w:val="auto"/>
        </w:rPr>
        <w:t xml:space="preserve"> </w:t>
      </w:r>
      <w:r w:rsidR="007070C3">
        <w:rPr>
          <w:rFonts w:eastAsia="Times New Roman"/>
          <w:color w:val="auto"/>
        </w:rPr>
        <w:t xml:space="preserve">initial </w:t>
      </w:r>
      <w:r w:rsidR="00C40ED1">
        <w:rPr>
          <w:rFonts w:eastAsia="Times New Roman"/>
          <w:color w:val="auto"/>
        </w:rPr>
        <w:t xml:space="preserve">focus </w:t>
      </w:r>
      <w:r w:rsidR="007070C3">
        <w:rPr>
          <w:rFonts w:eastAsia="Times New Roman"/>
          <w:color w:val="auto"/>
        </w:rPr>
        <w:t xml:space="preserve">is to </w:t>
      </w:r>
      <w:r w:rsidRPr="00955D47">
        <w:rPr>
          <w:rFonts w:eastAsia="Times New Roman"/>
          <w:color w:val="auto"/>
        </w:rPr>
        <w:t xml:space="preserve"> </w:t>
      </w:r>
      <w:r w:rsidR="007070C3">
        <w:rPr>
          <w:rFonts w:eastAsia="Times New Roman"/>
          <w:color w:val="auto"/>
        </w:rPr>
        <w:t xml:space="preserve">improve </w:t>
      </w:r>
      <w:r w:rsidRPr="00955D47">
        <w:rPr>
          <w:rFonts w:eastAsia="Times New Roman"/>
          <w:color w:val="auto"/>
        </w:rPr>
        <w:t>access</w:t>
      </w:r>
      <w:r w:rsidR="007070C3">
        <w:rPr>
          <w:rFonts w:eastAsia="Times New Roman"/>
          <w:color w:val="auto"/>
        </w:rPr>
        <w:t xml:space="preserve"> to courses delivered by the Kiribati Institute of Technology (KIT)</w:t>
      </w:r>
      <w:r w:rsidRPr="00955D47">
        <w:rPr>
          <w:rFonts w:eastAsia="Times New Roman"/>
          <w:color w:val="auto"/>
        </w:rPr>
        <w:t xml:space="preserve"> for young people</w:t>
      </w:r>
      <w:r w:rsidR="003E3218">
        <w:rPr>
          <w:rFonts w:eastAsia="Times New Roman"/>
          <w:color w:val="auto"/>
        </w:rPr>
        <w:t xml:space="preserve"> (</w:t>
      </w:r>
      <w:r w:rsidR="00C40ED1" w:rsidRPr="00955D47">
        <w:rPr>
          <w:rFonts w:eastAsia="Times New Roman"/>
          <w:color w:val="auto"/>
        </w:rPr>
        <w:t>16-24 years)</w:t>
      </w:r>
      <w:r w:rsidRPr="00955D47">
        <w:rPr>
          <w:rFonts w:eastAsia="Times New Roman"/>
          <w:color w:val="auto"/>
        </w:rPr>
        <w:t xml:space="preserve">, </w:t>
      </w:r>
      <w:r w:rsidR="00DF21E0">
        <w:rPr>
          <w:rFonts w:eastAsia="Times New Roman"/>
          <w:color w:val="auto"/>
        </w:rPr>
        <w:t xml:space="preserve">and </w:t>
      </w:r>
      <w:r w:rsidRPr="00955D47">
        <w:rPr>
          <w:rFonts w:eastAsia="Times New Roman"/>
          <w:color w:val="auto"/>
        </w:rPr>
        <w:t>includ</w:t>
      </w:r>
      <w:r w:rsidR="00DF21E0">
        <w:rPr>
          <w:rFonts w:eastAsia="Times New Roman"/>
          <w:color w:val="auto"/>
        </w:rPr>
        <w:t>es</w:t>
      </w:r>
      <w:r w:rsidRPr="00955D47">
        <w:rPr>
          <w:rFonts w:eastAsia="Times New Roman"/>
          <w:color w:val="auto"/>
        </w:rPr>
        <w:t xml:space="preserve"> efforts to engage young </w:t>
      </w:r>
      <w:r w:rsidR="001323B2">
        <w:rPr>
          <w:rFonts w:eastAsia="Times New Roman"/>
          <w:color w:val="auto"/>
        </w:rPr>
        <w:t>mothers</w:t>
      </w:r>
      <w:r w:rsidR="00E5493C">
        <w:rPr>
          <w:rFonts w:eastAsia="Times New Roman"/>
          <w:color w:val="auto"/>
        </w:rPr>
        <w:t>,</w:t>
      </w:r>
      <w:r w:rsidRPr="00955D47">
        <w:rPr>
          <w:rFonts w:eastAsia="Times New Roman"/>
          <w:color w:val="auto"/>
        </w:rPr>
        <w:t xml:space="preserve"> people with a </w:t>
      </w:r>
      <w:r w:rsidR="003E3218">
        <w:rPr>
          <w:rFonts w:eastAsia="Times New Roman"/>
          <w:color w:val="auto"/>
        </w:rPr>
        <w:t xml:space="preserve">disability and people from the </w:t>
      </w:r>
      <w:r w:rsidRPr="00955D47">
        <w:rPr>
          <w:rFonts w:eastAsia="Times New Roman"/>
          <w:color w:val="auto"/>
        </w:rPr>
        <w:t>outer islands. Through the</w:t>
      </w:r>
      <w:r w:rsidR="00FE753D">
        <w:rPr>
          <w:rFonts w:eastAsia="Times New Roman"/>
          <w:color w:val="auto"/>
        </w:rPr>
        <w:t xml:space="preserve"> newly established</w:t>
      </w:r>
      <w:r w:rsidRPr="00955D47">
        <w:rPr>
          <w:rFonts w:eastAsia="Times New Roman"/>
          <w:color w:val="auto"/>
        </w:rPr>
        <w:t xml:space="preserve"> Employment Support Service</w:t>
      </w:r>
      <w:r w:rsidR="006029B4">
        <w:rPr>
          <w:rFonts w:eastAsia="Times New Roman"/>
          <w:color w:val="auto"/>
        </w:rPr>
        <w:t xml:space="preserve">s </w:t>
      </w:r>
      <w:r w:rsidRPr="00955D47">
        <w:rPr>
          <w:rFonts w:eastAsia="Times New Roman"/>
          <w:color w:val="auto"/>
        </w:rPr>
        <w:t xml:space="preserve">at </w:t>
      </w:r>
      <w:r w:rsidR="007070C3">
        <w:rPr>
          <w:rFonts w:eastAsia="Times New Roman"/>
          <w:color w:val="auto"/>
        </w:rPr>
        <w:t>KIT</w:t>
      </w:r>
      <w:r w:rsidRPr="00955D47">
        <w:rPr>
          <w:rFonts w:eastAsia="Times New Roman"/>
          <w:color w:val="auto"/>
        </w:rPr>
        <w:t xml:space="preserve">, the program </w:t>
      </w:r>
      <w:r w:rsidR="00B05982">
        <w:rPr>
          <w:rFonts w:eastAsia="Times New Roman"/>
          <w:color w:val="auto"/>
        </w:rPr>
        <w:t>is</w:t>
      </w:r>
      <w:r w:rsidRPr="00955D47">
        <w:rPr>
          <w:rFonts w:eastAsia="Times New Roman"/>
          <w:color w:val="auto"/>
        </w:rPr>
        <w:t xml:space="preserve"> </w:t>
      </w:r>
      <w:r w:rsidR="007070C3">
        <w:rPr>
          <w:rFonts w:eastAsia="Times New Roman"/>
          <w:color w:val="auto"/>
        </w:rPr>
        <w:t xml:space="preserve">also </w:t>
      </w:r>
      <w:r w:rsidRPr="00955D47">
        <w:rPr>
          <w:rFonts w:eastAsia="Times New Roman"/>
          <w:color w:val="auto"/>
        </w:rPr>
        <w:t>train</w:t>
      </w:r>
      <w:r w:rsidR="00B05982">
        <w:rPr>
          <w:rFonts w:eastAsia="Times New Roman"/>
          <w:color w:val="auto"/>
        </w:rPr>
        <w:t>ing and supporting</w:t>
      </w:r>
      <w:r w:rsidRPr="00955D47">
        <w:rPr>
          <w:rFonts w:eastAsia="Times New Roman"/>
          <w:color w:val="auto"/>
        </w:rPr>
        <w:t xml:space="preserve"> I-Kiribati to </w:t>
      </w:r>
      <w:r w:rsidR="00C40ED1">
        <w:rPr>
          <w:rFonts w:eastAsia="Times New Roman"/>
          <w:color w:val="auto"/>
        </w:rPr>
        <w:t>secure</w:t>
      </w:r>
      <w:r w:rsidRPr="00955D47">
        <w:rPr>
          <w:rFonts w:eastAsia="Times New Roman"/>
          <w:color w:val="auto"/>
        </w:rPr>
        <w:t xml:space="preserve"> employment both in Kiribati and overseas</w:t>
      </w:r>
      <w:r w:rsidR="00B05982">
        <w:rPr>
          <w:rFonts w:eastAsia="Times New Roman"/>
          <w:color w:val="auto"/>
        </w:rPr>
        <w:t xml:space="preserve">. In 2016-17, this support enabled </w:t>
      </w:r>
      <w:r w:rsidR="00B05982" w:rsidRPr="00955D47">
        <w:rPr>
          <w:rFonts w:eastAsia="Times New Roman"/>
          <w:color w:val="auto"/>
        </w:rPr>
        <w:t xml:space="preserve">32 I-Kiribati </w:t>
      </w:r>
      <w:r w:rsidR="00B05982">
        <w:rPr>
          <w:rFonts w:eastAsia="Times New Roman"/>
          <w:color w:val="auto"/>
        </w:rPr>
        <w:t>to secure employment</w:t>
      </w:r>
      <w:r w:rsidR="00B05982" w:rsidRPr="00955D47">
        <w:rPr>
          <w:rFonts w:eastAsia="Times New Roman"/>
          <w:color w:val="auto"/>
        </w:rPr>
        <w:t xml:space="preserve"> </w:t>
      </w:r>
      <w:r w:rsidRPr="00955D47">
        <w:rPr>
          <w:rFonts w:eastAsia="Times New Roman"/>
          <w:color w:val="auto"/>
        </w:rPr>
        <w:t xml:space="preserve">under the Northern Australia Worker Pilot Program and </w:t>
      </w:r>
      <w:r w:rsidR="00B05982" w:rsidRPr="00955D47">
        <w:rPr>
          <w:rFonts w:eastAsia="Times New Roman"/>
          <w:color w:val="auto"/>
        </w:rPr>
        <w:t xml:space="preserve">113 </w:t>
      </w:r>
      <w:r w:rsidR="00FE753D" w:rsidRPr="00955D47">
        <w:rPr>
          <w:rFonts w:eastAsia="Times New Roman"/>
          <w:color w:val="auto"/>
        </w:rPr>
        <w:t xml:space="preserve">I-Kiribati </w:t>
      </w:r>
      <w:r w:rsidR="00B05982">
        <w:rPr>
          <w:rFonts w:eastAsia="Times New Roman"/>
          <w:color w:val="auto"/>
        </w:rPr>
        <w:t>under</w:t>
      </w:r>
      <w:r w:rsidR="002C2E7E">
        <w:rPr>
          <w:rFonts w:eastAsia="Times New Roman"/>
          <w:color w:val="auto"/>
        </w:rPr>
        <w:t xml:space="preserve"> the Seasonal Worker Programme </w:t>
      </w:r>
      <w:r w:rsidR="007070C3">
        <w:rPr>
          <w:rFonts w:eastAsia="Times New Roman"/>
          <w:color w:val="auto"/>
        </w:rPr>
        <w:t>(</w:t>
      </w:r>
      <w:r w:rsidR="00B05982" w:rsidRPr="00955D47">
        <w:rPr>
          <w:rFonts w:eastAsia="Times New Roman"/>
          <w:color w:val="auto"/>
        </w:rPr>
        <w:t>a significant increase from an average of 15 people per year</w:t>
      </w:r>
      <w:r w:rsidR="005A690F">
        <w:rPr>
          <w:rFonts w:eastAsia="Times New Roman"/>
          <w:color w:val="auto"/>
        </w:rPr>
        <w:t xml:space="preserve"> between 2012 and 2016)</w:t>
      </w:r>
      <w:r w:rsidRPr="00955D47">
        <w:rPr>
          <w:rFonts w:eastAsia="Times New Roman"/>
          <w:color w:val="auto"/>
        </w:rPr>
        <w:t>.</w:t>
      </w:r>
    </w:p>
    <w:p w:rsidR="008D2A51" w:rsidRDefault="002E3A0E" w:rsidP="00EE001D">
      <w:pPr>
        <w:spacing w:before="240" w:line="240" w:lineRule="auto"/>
        <w:rPr>
          <w:rFonts w:eastAsia="Times New Roman"/>
          <w:color w:val="auto"/>
        </w:rPr>
      </w:pPr>
      <w:r w:rsidRPr="00955D47">
        <w:rPr>
          <w:rFonts w:eastAsia="Times New Roman"/>
          <w:color w:val="auto"/>
        </w:rPr>
        <w:t xml:space="preserve">Australia’s ongoing support </w:t>
      </w:r>
      <w:r w:rsidR="008521B6" w:rsidRPr="00955D47">
        <w:rPr>
          <w:rFonts w:eastAsia="Times New Roman"/>
          <w:color w:val="auto"/>
        </w:rPr>
        <w:t xml:space="preserve">for </w:t>
      </w:r>
      <w:r w:rsidRPr="00955D47">
        <w:rPr>
          <w:rFonts w:eastAsia="Times New Roman"/>
          <w:color w:val="auto"/>
        </w:rPr>
        <w:t xml:space="preserve">the </w:t>
      </w:r>
      <w:r w:rsidR="00894D41" w:rsidRPr="00955D47">
        <w:rPr>
          <w:rFonts w:eastAsia="Times New Roman"/>
          <w:color w:val="auto"/>
        </w:rPr>
        <w:t xml:space="preserve">National </w:t>
      </w:r>
      <w:r w:rsidRPr="00955D47">
        <w:rPr>
          <w:rFonts w:eastAsia="Times New Roman"/>
          <w:color w:val="auto"/>
        </w:rPr>
        <w:t>Tuberculosis Program has facilitated a transition</w:t>
      </w:r>
      <w:r>
        <w:rPr>
          <w:rFonts w:eastAsia="Times New Roman"/>
          <w:color w:val="auto"/>
        </w:rPr>
        <w:t xml:space="preserve"> over the past year to management by the Government of Kiribati. This has </w:t>
      </w:r>
      <w:r w:rsidR="00FE753D">
        <w:rPr>
          <w:rFonts w:eastAsia="Times New Roman"/>
          <w:color w:val="auto"/>
        </w:rPr>
        <w:t>helped maintain Kiribati’s</w:t>
      </w:r>
      <w:r>
        <w:rPr>
          <w:rFonts w:eastAsia="Times New Roman"/>
          <w:color w:val="auto"/>
        </w:rPr>
        <w:t xml:space="preserve"> </w:t>
      </w:r>
      <w:r w:rsidR="00805DA2">
        <w:rPr>
          <w:rFonts w:eastAsia="Times New Roman"/>
          <w:color w:val="auto"/>
        </w:rPr>
        <w:t xml:space="preserve">high rate </w:t>
      </w:r>
      <w:r w:rsidR="00FE753D">
        <w:rPr>
          <w:rFonts w:eastAsia="Times New Roman"/>
          <w:color w:val="auto"/>
        </w:rPr>
        <w:t>for successful</w:t>
      </w:r>
      <w:r w:rsidR="00805DA2">
        <w:rPr>
          <w:rFonts w:eastAsia="Times New Roman"/>
          <w:color w:val="auto"/>
        </w:rPr>
        <w:t xml:space="preserve"> </w:t>
      </w:r>
      <w:r w:rsidR="008521B6">
        <w:rPr>
          <w:rFonts w:eastAsia="Times New Roman"/>
          <w:color w:val="auto"/>
        </w:rPr>
        <w:t xml:space="preserve">TB </w:t>
      </w:r>
      <w:r>
        <w:rPr>
          <w:rFonts w:eastAsia="Times New Roman"/>
          <w:color w:val="auto"/>
        </w:rPr>
        <w:t xml:space="preserve">treatment </w:t>
      </w:r>
      <w:r w:rsidR="008521B6">
        <w:rPr>
          <w:rFonts w:eastAsia="Times New Roman"/>
          <w:color w:val="auto"/>
        </w:rPr>
        <w:t>(</w:t>
      </w:r>
      <w:r>
        <w:rPr>
          <w:rFonts w:eastAsia="Times New Roman"/>
          <w:color w:val="auto"/>
        </w:rPr>
        <w:t>increas</w:t>
      </w:r>
      <w:r w:rsidR="008521B6">
        <w:rPr>
          <w:rFonts w:eastAsia="Times New Roman"/>
          <w:color w:val="auto"/>
        </w:rPr>
        <w:t>ed</w:t>
      </w:r>
      <w:r>
        <w:rPr>
          <w:rFonts w:eastAsia="Times New Roman"/>
          <w:color w:val="auto"/>
        </w:rPr>
        <w:t xml:space="preserve"> to 9</w:t>
      </w:r>
      <w:r w:rsidR="006E5750">
        <w:rPr>
          <w:rFonts w:eastAsia="Times New Roman"/>
          <w:color w:val="auto"/>
        </w:rPr>
        <w:t>3</w:t>
      </w:r>
      <w:r>
        <w:rPr>
          <w:rFonts w:eastAsia="Times New Roman"/>
          <w:color w:val="auto"/>
        </w:rPr>
        <w:t xml:space="preserve"> per cent in 2016 from 80 per cent in 2015)</w:t>
      </w:r>
      <w:r w:rsidR="008521B6">
        <w:rPr>
          <w:rFonts w:eastAsia="Times New Roman"/>
          <w:color w:val="auto"/>
        </w:rPr>
        <w:t xml:space="preserve"> and </w:t>
      </w:r>
      <w:r w:rsidR="00805DA2">
        <w:rPr>
          <w:rFonts w:eastAsia="Times New Roman"/>
          <w:color w:val="auto"/>
        </w:rPr>
        <w:t>for</w:t>
      </w:r>
      <w:r w:rsidR="008521B6">
        <w:rPr>
          <w:rFonts w:eastAsia="Times New Roman"/>
          <w:color w:val="auto"/>
        </w:rPr>
        <w:t xml:space="preserve"> TB detection (</w:t>
      </w:r>
      <w:r w:rsidR="00380D23">
        <w:rPr>
          <w:rFonts w:eastAsia="Times New Roman"/>
          <w:color w:val="auto"/>
        </w:rPr>
        <w:t>slight increase to</w:t>
      </w:r>
      <w:r w:rsidR="00894D41">
        <w:rPr>
          <w:rFonts w:eastAsia="Times New Roman"/>
          <w:color w:val="auto"/>
        </w:rPr>
        <w:t xml:space="preserve"> </w:t>
      </w:r>
      <w:r w:rsidR="003A518C" w:rsidRPr="006E5750">
        <w:rPr>
          <w:rFonts w:eastAsia="Times New Roman"/>
          <w:color w:val="auto"/>
        </w:rPr>
        <w:t>518</w:t>
      </w:r>
      <w:r w:rsidR="003A518C">
        <w:rPr>
          <w:rFonts w:eastAsia="Times New Roman"/>
          <w:color w:val="auto"/>
        </w:rPr>
        <w:t xml:space="preserve"> cases per 100,000</w:t>
      </w:r>
      <w:r w:rsidR="003A518C" w:rsidRPr="003A518C">
        <w:rPr>
          <w:rFonts w:eastAsia="Times New Roman"/>
          <w:color w:val="auto"/>
        </w:rPr>
        <w:t xml:space="preserve"> </w:t>
      </w:r>
      <w:r w:rsidR="00894D41" w:rsidRPr="003A518C">
        <w:rPr>
          <w:rFonts w:eastAsia="Times New Roman"/>
          <w:color w:val="auto"/>
        </w:rPr>
        <w:t>in 2016</w:t>
      </w:r>
      <w:r w:rsidR="00894D41">
        <w:rPr>
          <w:rFonts w:eastAsia="Times New Roman"/>
          <w:color w:val="auto"/>
        </w:rPr>
        <w:t xml:space="preserve"> compared to 5</w:t>
      </w:r>
      <w:r w:rsidR="00380D23">
        <w:rPr>
          <w:rFonts w:eastAsia="Times New Roman"/>
          <w:color w:val="auto"/>
        </w:rPr>
        <w:t>16</w:t>
      </w:r>
      <w:r w:rsidR="00894D41">
        <w:rPr>
          <w:rFonts w:eastAsia="Times New Roman"/>
          <w:color w:val="auto"/>
        </w:rPr>
        <w:t xml:space="preserve"> in 2015</w:t>
      </w:r>
      <w:r w:rsidR="008521B6">
        <w:rPr>
          <w:rFonts w:eastAsia="Times New Roman"/>
          <w:color w:val="auto"/>
        </w:rPr>
        <w:t>)</w:t>
      </w:r>
      <w:r w:rsidR="00C350E5">
        <w:rPr>
          <w:rFonts w:eastAsia="Times New Roman"/>
          <w:color w:val="auto"/>
        </w:rPr>
        <w:t>.</w:t>
      </w:r>
      <w:r w:rsidR="00894D41">
        <w:rPr>
          <w:rFonts w:eastAsia="Times New Roman"/>
          <w:color w:val="auto"/>
        </w:rPr>
        <w:t xml:space="preserve"> </w:t>
      </w:r>
      <w:r w:rsidR="006029B4">
        <w:rPr>
          <w:rFonts w:eastAsia="Times New Roman"/>
          <w:color w:val="auto"/>
        </w:rPr>
        <w:t>H</w:t>
      </w:r>
      <w:r w:rsidR="006029B4" w:rsidRPr="00452AC3">
        <w:rPr>
          <w:rFonts w:eastAsia="Times New Roman"/>
          <w:color w:val="auto"/>
        </w:rPr>
        <w:t>and-washing facilities and public awareness campaigns</w:t>
      </w:r>
      <w:r w:rsidR="006029B4">
        <w:rPr>
          <w:rFonts w:eastAsia="Times New Roman"/>
          <w:color w:val="auto"/>
        </w:rPr>
        <w:t xml:space="preserve"> </w:t>
      </w:r>
      <w:r w:rsidR="006029B4" w:rsidRPr="00452AC3">
        <w:rPr>
          <w:rFonts w:eastAsia="Times New Roman"/>
          <w:color w:val="auto"/>
        </w:rPr>
        <w:t>undertaken</w:t>
      </w:r>
      <w:r w:rsidR="006029B4">
        <w:rPr>
          <w:rFonts w:eastAsia="Times New Roman"/>
          <w:color w:val="auto"/>
        </w:rPr>
        <w:t xml:space="preserve"> by t</w:t>
      </w:r>
      <w:r w:rsidR="00894D41">
        <w:rPr>
          <w:rFonts w:eastAsia="Times New Roman"/>
          <w:color w:val="auto"/>
        </w:rPr>
        <w:t xml:space="preserve">he </w:t>
      </w:r>
      <w:r w:rsidR="00842C48" w:rsidRPr="00452AC3">
        <w:rPr>
          <w:rFonts w:eastAsia="Times New Roman"/>
          <w:color w:val="auto"/>
        </w:rPr>
        <w:t xml:space="preserve">ADB-led </w:t>
      </w:r>
      <w:r w:rsidR="00D66D4F">
        <w:rPr>
          <w:rFonts w:eastAsia="Times New Roman"/>
          <w:color w:val="auto"/>
        </w:rPr>
        <w:t xml:space="preserve">South Tarawa </w:t>
      </w:r>
      <w:r w:rsidR="002C2E7E">
        <w:rPr>
          <w:rFonts w:eastAsia="Times New Roman"/>
          <w:color w:val="auto"/>
        </w:rPr>
        <w:t xml:space="preserve">Sanitation </w:t>
      </w:r>
      <w:r w:rsidR="00D66D4F">
        <w:rPr>
          <w:rFonts w:eastAsia="Times New Roman"/>
          <w:color w:val="auto"/>
        </w:rPr>
        <w:t xml:space="preserve">Improvement Sector </w:t>
      </w:r>
      <w:r w:rsidR="002C2E7E">
        <w:rPr>
          <w:rFonts w:eastAsia="Times New Roman"/>
          <w:color w:val="auto"/>
        </w:rPr>
        <w:t>Pro</w:t>
      </w:r>
      <w:r w:rsidR="00D66D4F">
        <w:rPr>
          <w:rFonts w:eastAsia="Times New Roman"/>
          <w:color w:val="auto"/>
        </w:rPr>
        <w:t>ject</w:t>
      </w:r>
      <w:r w:rsidR="002C2E7E">
        <w:rPr>
          <w:rFonts w:eastAsia="Times New Roman"/>
          <w:color w:val="auto"/>
        </w:rPr>
        <w:t xml:space="preserve">, </w:t>
      </w:r>
      <w:r w:rsidR="00D66D4F">
        <w:rPr>
          <w:rFonts w:eastAsia="Times New Roman"/>
          <w:color w:val="auto"/>
        </w:rPr>
        <w:t xml:space="preserve">funded </w:t>
      </w:r>
      <w:r w:rsidR="002C2E7E">
        <w:rPr>
          <w:rFonts w:eastAsia="Times New Roman"/>
          <w:color w:val="auto"/>
        </w:rPr>
        <w:t xml:space="preserve">by </w:t>
      </w:r>
      <w:r w:rsidR="00894D41" w:rsidRPr="00452AC3">
        <w:rPr>
          <w:rFonts w:eastAsia="Times New Roman"/>
          <w:color w:val="auto"/>
        </w:rPr>
        <w:t>Australia</w:t>
      </w:r>
      <w:r w:rsidR="002C2E7E">
        <w:rPr>
          <w:rFonts w:eastAsia="Times New Roman"/>
          <w:color w:val="auto"/>
        </w:rPr>
        <w:t>,</w:t>
      </w:r>
      <w:r w:rsidR="00894D41" w:rsidRPr="00452AC3">
        <w:rPr>
          <w:rFonts w:eastAsia="Times New Roman"/>
          <w:color w:val="auto"/>
        </w:rPr>
        <w:t xml:space="preserve"> </w:t>
      </w:r>
      <w:r w:rsidR="006029B4">
        <w:rPr>
          <w:rFonts w:eastAsia="Times New Roman"/>
          <w:color w:val="auto"/>
        </w:rPr>
        <w:t>are</w:t>
      </w:r>
      <w:r w:rsidR="00894D41" w:rsidRPr="00452AC3">
        <w:rPr>
          <w:rFonts w:eastAsia="Times New Roman"/>
          <w:color w:val="auto"/>
        </w:rPr>
        <w:t xml:space="preserve"> </w:t>
      </w:r>
      <w:r w:rsidR="00DF21E0">
        <w:rPr>
          <w:rFonts w:eastAsia="Times New Roman"/>
          <w:color w:val="auto"/>
        </w:rPr>
        <w:t xml:space="preserve">helping to </w:t>
      </w:r>
      <w:r w:rsidR="002C2E7E">
        <w:rPr>
          <w:rFonts w:eastAsia="Times New Roman"/>
          <w:color w:val="auto"/>
        </w:rPr>
        <w:t>reduc</w:t>
      </w:r>
      <w:r w:rsidR="00DF21E0">
        <w:rPr>
          <w:rFonts w:eastAsia="Times New Roman"/>
          <w:color w:val="auto"/>
        </w:rPr>
        <w:t>e</w:t>
      </w:r>
      <w:r w:rsidR="00894D41" w:rsidRPr="00452AC3">
        <w:rPr>
          <w:rFonts w:eastAsia="Times New Roman"/>
          <w:color w:val="auto"/>
        </w:rPr>
        <w:t xml:space="preserve"> the number of diarrhoea cases </w:t>
      </w:r>
      <w:r w:rsidR="00842C48" w:rsidRPr="00452AC3">
        <w:rPr>
          <w:rFonts w:eastAsia="Times New Roman"/>
          <w:color w:val="auto"/>
        </w:rPr>
        <w:t xml:space="preserve">in South Tarawa </w:t>
      </w:r>
      <w:r w:rsidR="00894D41" w:rsidRPr="00452AC3">
        <w:rPr>
          <w:rFonts w:eastAsia="Times New Roman"/>
          <w:color w:val="auto"/>
        </w:rPr>
        <w:t>(by</w:t>
      </w:r>
      <w:r w:rsidR="008521B6" w:rsidRPr="00452AC3">
        <w:rPr>
          <w:rFonts w:eastAsia="Times New Roman"/>
          <w:color w:val="auto"/>
        </w:rPr>
        <w:t xml:space="preserve"> 10-15 per cent </w:t>
      </w:r>
      <w:r w:rsidR="00894D41" w:rsidRPr="00452AC3">
        <w:rPr>
          <w:rFonts w:eastAsia="Times New Roman"/>
          <w:color w:val="auto"/>
        </w:rPr>
        <w:t>in 2016)</w:t>
      </w:r>
      <w:r w:rsidR="008521B6" w:rsidRPr="00452AC3">
        <w:rPr>
          <w:rFonts w:eastAsia="Times New Roman"/>
          <w:color w:val="auto"/>
        </w:rPr>
        <w:t xml:space="preserve">. </w:t>
      </w:r>
      <w:r w:rsidR="00D66D4F">
        <w:rPr>
          <w:rFonts w:eastAsia="Times New Roman"/>
          <w:color w:val="auto"/>
        </w:rPr>
        <w:t xml:space="preserve">This project is also upgrading sanitation infrastructure and is working with the Kiribati </w:t>
      </w:r>
      <w:r w:rsidR="0044032B">
        <w:rPr>
          <w:rFonts w:eastAsia="Times New Roman"/>
          <w:color w:val="auto"/>
        </w:rPr>
        <w:t>Ministry of Public Works and Utilities</w:t>
      </w:r>
      <w:r w:rsidR="00D66D4F">
        <w:rPr>
          <w:rFonts w:eastAsia="Times New Roman"/>
          <w:color w:val="auto"/>
        </w:rPr>
        <w:t xml:space="preserve"> to help them </w:t>
      </w:r>
      <w:r w:rsidR="0044032B">
        <w:rPr>
          <w:rFonts w:eastAsia="Times New Roman"/>
          <w:color w:val="auto"/>
        </w:rPr>
        <w:t xml:space="preserve">strengthen their operations </w:t>
      </w:r>
      <w:r w:rsidR="00D66D4F">
        <w:rPr>
          <w:rFonts w:eastAsia="Times New Roman"/>
          <w:color w:val="auto"/>
        </w:rPr>
        <w:t xml:space="preserve">and </w:t>
      </w:r>
      <w:r w:rsidR="0044032B">
        <w:rPr>
          <w:rFonts w:eastAsia="Times New Roman"/>
          <w:color w:val="auto"/>
        </w:rPr>
        <w:t xml:space="preserve">the </w:t>
      </w:r>
      <w:r w:rsidR="00D66D4F">
        <w:rPr>
          <w:rFonts w:eastAsia="Times New Roman"/>
          <w:color w:val="auto"/>
        </w:rPr>
        <w:t>maint</w:t>
      </w:r>
      <w:r w:rsidR="0044032B">
        <w:rPr>
          <w:rFonts w:eastAsia="Times New Roman"/>
          <w:color w:val="auto"/>
        </w:rPr>
        <w:t>enance of sanitation assets.</w:t>
      </w:r>
    </w:p>
    <w:p w:rsidR="002B71EC" w:rsidRPr="00DD78E7" w:rsidRDefault="00DF21E0" w:rsidP="00EE001D">
      <w:pPr>
        <w:spacing w:before="240" w:line="240" w:lineRule="auto"/>
        <w:rPr>
          <w:rFonts w:eastAsia="Times New Roman"/>
          <w:i/>
          <w:color w:val="409F68" w:themeColor="accent6"/>
        </w:rPr>
      </w:pPr>
      <w:r w:rsidRPr="00452AC3">
        <w:rPr>
          <w:rFonts w:eastAsia="Times New Roman"/>
          <w:color w:val="auto"/>
        </w:rPr>
        <w:lastRenderedPageBreak/>
        <w:t>Th</w:t>
      </w:r>
      <w:r>
        <w:rPr>
          <w:rFonts w:eastAsia="Times New Roman"/>
          <w:color w:val="auto"/>
        </w:rPr>
        <w:t>ese</w:t>
      </w:r>
      <w:r w:rsidRPr="00452AC3">
        <w:rPr>
          <w:rFonts w:eastAsia="Times New Roman"/>
          <w:color w:val="auto"/>
        </w:rPr>
        <w:t xml:space="preserve"> </w:t>
      </w:r>
      <w:r>
        <w:rPr>
          <w:rFonts w:eastAsia="Times New Roman"/>
          <w:color w:val="auto"/>
        </w:rPr>
        <w:t>health statistics</w:t>
      </w:r>
      <w:r w:rsidR="008521B6" w:rsidRPr="00452AC3">
        <w:rPr>
          <w:rFonts w:eastAsia="Times New Roman"/>
          <w:color w:val="auto"/>
        </w:rPr>
        <w:t xml:space="preserve"> come from the </w:t>
      </w:r>
      <w:r w:rsidR="00FE753D">
        <w:rPr>
          <w:rFonts w:eastAsia="Times New Roman"/>
          <w:color w:val="auto"/>
        </w:rPr>
        <w:t xml:space="preserve">Government of Kiribati’s </w:t>
      </w:r>
      <w:r w:rsidR="008521B6" w:rsidRPr="00FE753D">
        <w:rPr>
          <w:rFonts w:eastAsia="Times New Roman"/>
          <w:i/>
          <w:color w:val="auto"/>
        </w:rPr>
        <w:t>Joint Annual Health Performance Review</w:t>
      </w:r>
      <w:r w:rsidR="008521B6" w:rsidRPr="00452AC3">
        <w:rPr>
          <w:rFonts w:eastAsia="Times New Roman"/>
          <w:color w:val="auto"/>
        </w:rPr>
        <w:t xml:space="preserve"> (July 2017)</w:t>
      </w:r>
      <w:r w:rsidR="00894D41" w:rsidRPr="00452AC3">
        <w:rPr>
          <w:rFonts w:eastAsia="Times New Roman"/>
          <w:color w:val="auto"/>
        </w:rPr>
        <w:t>,</w:t>
      </w:r>
      <w:r w:rsidR="008521B6" w:rsidRPr="00452AC3">
        <w:rPr>
          <w:rFonts w:eastAsia="Times New Roman"/>
          <w:color w:val="auto"/>
        </w:rPr>
        <w:t xml:space="preserve"> </w:t>
      </w:r>
      <w:r w:rsidR="00894D41" w:rsidRPr="00452AC3">
        <w:rPr>
          <w:rFonts w:eastAsia="Times New Roman"/>
          <w:color w:val="auto"/>
        </w:rPr>
        <w:t xml:space="preserve">a process </w:t>
      </w:r>
      <w:r w:rsidR="008521B6" w:rsidRPr="00452AC3">
        <w:rPr>
          <w:rFonts w:eastAsia="Times New Roman"/>
          <w:color w:val="auto"/>
        </w:rPr>
        <w:t xml:space="preserve">which </w:t>
      </w:r>
      <w:r w:rsidR="002C2E7E">
        <w:rPr>
          <w:rFonts w:eastAsia="Times New Roman"/>
          <w:color w:val="auto"/>
        </w:rPr>
        <w:t>Australia has bolstered</w:t>
      </w:r>
      <w:r w:rsidR="00805DA2" w:rsidRPr="00452AC3">
        <w:rPr>
          <w:rFonts w:eastAsia="Times New Roman"/>
          <w:color w:val="auto"/>
        </w:rPr>
        <w:t>, including</w:t>
      </w:r>
      <w:r w:rsidR="00894D41" w:rsidRPr="00452AC3">
        <w:rPr>
          <w:rFonts w:eastAsia="Times New Roman"/>
          <w:color w:val="auto"/>
        </w:rPr>
        <w:t xml:space="preserve"> t</w:t>
      </w:r>
      <w:r w:rsidR="008521B6" w:rsidRPr="00452AC3">
        <w:rPr>
          <w:rFonts w:eastAsia="Times New Roman"/>
          <w:color w:val="auto"/>
        </w:rPr>
        <w:t xml:space="preserve">hrough </w:t>
      </w:r>
      <w:r w:rsidR="00842C48">
        <w:rPr>
          <w:rFonts w:eastAsia="Times New Roman"/>
          <w:color w:val="auto"/>
        </w:rPr>
        <w:t>participation</w:t>
      </w:r>
      <w:r w:rsidR="00894D41">
        <w:rPr>
          <w:rFonts w:eastAsia="Times New Roman"/>
          <w:color w:val="auto"/>
        </w:rPr>
        <w:t xml:space="preserve"> in </w:t>
      </w:r>
      <w:r w:rsidR="00805DA2">
        <w:rPr>
          <w:rFonts w:eastAsia="Times New Roman"/>
          <w:color w:val="auto"/>
        </w:rPr>
        <w:t>regular government-donor dialogue</w:t>
      </w:r>
      <w:r w:rsidR="008521B6">
        <w:rPr>
          <w:rFonts w:eastAsia="Times New Roman"/>
          <w:color w:val="auto"/>
        </w:rPr>
        <w:t>.</w:t>
      </w:r>
      <w:r w:rsidR="000E7FD4">
        <w:rPr>
          <w:rFonts w:eastAsia="Times New Roman"/>
          <w:color w:val="auto"/>
        </w:rPr>
        <w:t xml:space="preserve"> </w:t>
      </w:r>
      <w:r w:rsidR="00842C48">
        <w:rPr>
          <w:rFonts w:eastAsia="Times New Roman"/>
          <w:color w:val="auto"/>
        </w:rPr>
        <w:t xml:space="preserve">Over the past year, </w:t>
      </w:r>
      <w:r w:rsidR="00AD4179" w:rsidRPr="007E0F19">
        <w:rPr>
          <w:rFonts w:eastAsia="Times New Roman"/>
          <w:color w:val="auto"/>
        </w:rPr>
        <w:t xml:space="preserve">Australia </w:t>
      </w:r>
      <w:r w:rsidR="00F21C11" w:rsidRPr="007E0F19">
        <w:rPr>
          <w:rFonts w:eastAsia="Times New Roman"/>
          <w:color w:val="auto"/>
        </w:rPr>
        <w:t>has</w:t>
      </w:r>
      <w:r w:rsidR="00AD4179" w:rsidRPr="007E0F19">
        <w:rPr>
          <w:rFonts w:eastAsia="Times New Roman"/>
          <w:color w:val="auto"/>
        </w:rPr>
        <w:t xml:space="preserve"> </w:t>
      </w:r>
      <w:r w:rsidR="00EE001D" w:rsidRPr="007E0F19">
        <w:rPr>
          <w:rFonts w:eastAsia="Times New Roman"/>
          <w:color w:val="auto"/>
        </w:rPr>
        <w:t xml:space="preserve">also </w:t>
      </w:r>
      <w:r w:rsidR="00F21C11" w:rsidRPr="007E0F19">
        <w:rPr>
          <w:rFonts w:eastAsia="Times New Roman"/>
          <w:color w:val="auto"/>
        </w:rPr>
        <w:t xml:space="preserve">been </w:t>
      </w:r>
      <w:r w:rsidR="00AD4179" w:rsidRPr="007E0F19">
        <w:rPr>
          <w:rFonts w:eastAsia="Times New Roman"/>
          <w:color w:val="auto"/>
        </w:rPr>
        <w:t>working with the Government of Kiribati</w:t>
      </w:r>
      <w:r w:rsidR="00842C48">
        <w:rPr>
          <w:rFonts w:eastAsia="Times New Roman"/>
          <w:color w:val="auto"/>
        </w:rPr>
        <w:t xml:space="preserve"> and other development partners</w:t>
      </w:r>
      <w:r w:rsidR="00AD4179" w:rsidRPr="007E0F19">
        <w:rPr>
          <w:rFonts w:eastAsia="Times New Roman"/>
          <w:color w:val="auto"/>
        </w:rPr>
        <w:t xml:space="preserve"> to</w:t>
      </w:r>
      <w:r>
        <w:rPr>
          <w:rFonts w:eastAsia="Times New Roman"/>
          <w:color w:val="auto"/>
        </w:rPr>
        <w:t xml:space="preserve"> develop plans to</w:t>
      </w:r>
      <w:r w:rsidR="00AD4179" w:rsidRPr="007E0F19">
        <w:rPr>
          <w:rFonts w:eastAsia="Times New Roman"/>
          <w:color w:val="auto"/>
        </w:rPr>
        <w:t xml:space="preserve"> </w:t>
      </w:r>
      <w:r w:rsidR="00842C48">
        <w:rPr>
          <w:rFonts w:eastAsia="Times New Roman"/>
          <w:color w:val="auto"/>
        </w:rPr>
        <w:t xml:space="preserve">enhance </w:t>
      </w:r>
      <w:r w:rsidR="00452AC3">
        <w:rPr>
          <w:rFonts w:eastAsia="Times New Roman"/>
          <w:color w:val="auto"/>
        </w:rPr>
        <w:t xml:space="preserve">future </w:t>
      </w:r>
      <w:r w:rsidR="00842C48">
        <w:rPr>
          <w:rFonts w:eastAsia="Times New Roman"/>
          <w:color w:val="auto"/>
        </w:rPr>
        <w:t>support to</w:t>
      </w:r>
      <w:r w:rsidR="00AD4179" w:rsidRPr="007E0F19">
        <w:rPr>
          <w:rFonts w:eastAsia="Times New Roman"/>
          <w:color w:val="auto"/>
        </w:rPr>
        <w:t xml:space="preserve"> </w:t>
      </w:r>
      <w:r w:rsidR="001B31AC" w:rsidRPr="007E0F19">
        <w:rPr>
          <w:rFonts w:eastAsia="Times New Roman"/>
          <w:color w:val="auto"/>
        </w:rPr>
        <w:t>h</w:t>
      </w:r>
      <w:r w:rsidR="002B71EC" w:rsidRPr="007E0F19">
        <w:rPr>
          <w:rFonts w:eastAsia="Times New Roman"/>
          <w:color w:val="auto"/>
        </w:rPr>
        <w:t>ealth</w:t>
      </w:r>
      <w:r w:rsidR="00842C48">
        <w:rPr>
          <w:rFonts w:eastAsia="Times New Roman"/>
          <w:color w:val="auto"/>
        </w:rPr>
        <w:t>, with a focus on health security through communicable disease control.</w:t>
      </w:r>
      <w:r w:rsidR="00F21C11" w:rsidRPr="007E0F19">
        <w:rPr>
          <w:rFonts w:eastAsia="Times New Roman"/>
          <w:i/>
          <w:color w:val="auto"/>
        </w:rPr>
        <w:t xml:space="preserve"> </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E133C2" w:rsidRPr="00916442" w:rsidRDefault="00E133C2" w:rsidP="001B416A">
      <w:pPr>
        <w:spacing w:before="240" w:line="240" w:lineRule="auto"/>
        <w:rPr>
          <w:rFonts w:eastAsia="Times New Roman"/>
          <w:color w:val="auto"/>
        </w:rPr>
      </w:pPr>
      <w:r w:rsidRPr="00916442">
        <w:rPr>
          <w:rFonts w:eastAsia="Times New Roman"/>
          <w:color w:val="auto"/>
        </w:rPr>
        <w:t xml:space="preserve">The </w:t>
      </w:r>
      <w:r w:rsidR="000767BE" w:rsidRPr="00CC25BB">
        <w:rPr>
          <w:i/>
          <w:color w:val="auto"/>
        </w:rPr>
        <w:t xml:space="preserve">Kiribati </w:t>
      </w:r>
      <w:r w:rsidRPr="000767BE">
        <w:rPr>
          <w:rFonts w:eastAsia="Times New Roman"/>
          <w:i/>
          <w:color w:val="auto"/>
        </w:rPr>
        <w:t>Aid Investment Plan</w:t>
      </w:r>
      <w:r w:rsidRPr="00916442">
        <w:rPr>
          <w:rFonts w:eastAsia="Times New Roman"/>
          <w:color w:val="auto"/>
        </w:rPr>
        <w:t xml:space="preserve"> is based on shared goals and mutual obligations. In 2016-17, the Government of Kiribati:</w:t>
      </w:r>
    </w:p>
    <w:p w:rsidR="00CB54D8" w:rsidRPr="00A15E87" w:rsidRDefault="00A15E87" w:rsidP="00E133C2">
      <w:pPr>
        <w:pStyle w:val="ListParagraph"/>
        <w:numPr>
          <w:ilvl w:val="0"/>
          <w:numId w:val="39"/>
        </w:numPr>
        <w:rPr>
          <w:rFonts w:eastAsia="Times New Roman"/>
          <w:color w:val="auto"/>
        </w:rPr>
      </w:pPr>
      <w:r w:rsidRPr="00A15E87">
        <w:rPr>
          <w:rFonts w:eastAsia="Times New Roman"/>
          <w:color w:val="auto"/>
        </w:rPr>
        <w:t xml:space="preserve">marginally </w:t>
      </w:r>
      <w:r w:rsidR="00452AC3">
        <w:rPr>
          <w:rFonts w:eastAsia="Times New Roman"/>
          <w:color w:val="auto"/>
        </w:rPr>
        <w:t>i</w:t>
      </w:r>
      <w:r w:rsidR="00E133C2" w:rsidRPr="00A15E87">
        <w:rPr>
          <w:rFonts w:eastAsia="Times New Roman"/>
          <w:color w:val="auto"/>
        </w:rPr>
        <w:t xml:space="preserve">ncreased </w:t>
      </w:r>
      <w:r>
        <w:rPr>
          <w:rFonts w:eastAsia="Times New Roman"/>
          <w:color w:val="auto"/>
        </w:rPr>
        <w:t>the</w:t>
      </w:r>
      <w:r w:rsidR="00E133C2" w:rsidRPr="00A15E87">
        <w:rPr>
          <w:rFonts w:eastAsia="Times New Roman"/>
          <w:color w:val="auto"/>
        </w:rPr>
        <w:t xml:space="preserve"> </w:t>
      </w:r>
      <w:r w:rsidR="000767BE" w:rsidRPr="00A15E87">
        <w:rPr>
          <w:rFonts w:eastAsia="Times New Roman"/>
          <w:color w:val="auto"/>
        </w:rPr>
        <w:t>2017</w:t>
      </w:r>
      <w:r w:rsidR="00400F26">
        <w:rPr>
          <w:rFonts w:eastAsia="Times New Roman"/>
          <w:color w:val="auto"/>
        </w:rPr>
        <w:t xml:space="preserve"> </w:t>
      </w:r>
      <w:r w:rsidR="00E133C2" w:rsidRPr="00A15E87">
        <w:rPr>
          <w:rFonts w:eastAsia="Times New Roman"/>
          <w:color w:val="auto"/>
        </w:rPr>
        <w:t xml:space="preserve">education </w:t>
      </w:r>
      <w:r w:rsidR="000767BE">
        <w:rPr>
          <w:rFonts w:eastAsia="Times New Roman"/>
          <w:color w:val="auto"/>
        </w:rPr>
        <w:t>budget</w:t>
      </w:r>
      <w:r w:rsidR="00E133C2" w:rsidRPr="00A15E87">
        <w:rPr>
          <w:rFonts w:eastAsia="Times New Roman"/>
          <w:color w:val="auto"/>
        </w:rPr>
        <w:t>, however</w:t>
      </w:r>
      <w:r w:rsidR="00EA7C4F">
        <w:rPr>
          <w:rFonts w:eastAsia="Times New Roman"/>
          <w:color w:val="auto"/>
        </w:rPr>
        <w:t>,</w:t>
      </w:r>
      <w:r w:rsidR="00E133C2" w:rsidRPr="00A15E87">
        <w:rPr>
          <w:rFonts w:eastAsia="Times New Roman"/>
          <w:color w:val="auto"/>
        </w:rPr>
        <w:t xml:space="preserve"> due to overall increases to its </w:t>
      </w:r>
      <w:r>
        <w:rPr>
          <w:rFonts w:eastAsia="Times New Roman"/>
          <w:color w:val="auto"/>
        </w:rPr>
        <w:t xml:space="preserve">2017 </w:t>
      </w:r>
      <w:r w:rsidR="00E133C2" w:rsidRPr="00A15E87">
        <w:rPr>
          <w:rFonts w:eastAsia="Times New Roman"/>
          <w:color w:val="auto"/>
        </w:rPr>
        <w:t>budget</w:t>
      </w:r>
      <w:r>
        <w:rPr>
          <w:rFonts w:eastAsia="Times New Roman"/>
          <w:color w:val="auto"/>
        </w:rPr>
        <w:t>,</w:t>
      </w:r>
      <w:r w:rsidR="00E133C2" w:rsidRPr="00A15E87">
        <w:rPr>
          <w:rFonts w:eastAsia="Times New Roman"/>
          <w:color w:val="auto"/>
        </w:rPr>
        <w:t xml:space="preserve"> the proportion of </w:t>
      </w:r>
      <w:r>
        <w:rPr>
          <w:rFonts w:eastAsia="Times New Roman"/>
          <w:color w:val="auto"/>
        </w:rPr>
        <w:t>the</w:t>
      </w:r>
      <w:r w:rsidR="00E133C2" w:rsidRPr="00A15E87">
        <w:rPr>
          <w:rFonts w:eastAsia="Times New Roman"/>
          <w:color w:val="auto"/>
        </w:rPr>
        <w:t xml:space="preserve"> education and health </w:t>
      </w:r>
      <w:r>
        <w:rPr>
          <w:rFonts w:eastAsia="Times New Roman"/>
          <w:color w:val="auto"/>
        </w:rPr>
        <w:t>allocation</w:t>
      </w:r>
      <w:r w:rsidR="003E3218">
        <w:rPr>
          <w:rFonts w:eastAsia="Times New Roman"/>
          <w:color w:val="auto"/>
        </w:rPr>
        <w:t>s</w:t>
      </w:r>
      <w:r>
        <w:rPr>
          <w:rFonts w:eastAsia="Times New Roman"/>
          <w:color w:val="auto"/>
        </w:rPr>
        <w:t xml:space="preserve"> decline</w:t>
      </w:r>
      <w:r w:rsidR="0057735D">
        <w:rPr>
          <w:rFonts w:eastAsia="Times New Roman"/>
          <w:color w:val="auto"/>
        </w:rPr>
        <w:t>d</w:t>
      </w:r>
    </w:p>
    <w:p w:rsidR="00916442" w:rsidRPr="00A15E87" w:rsidRDefault="003E3218" w:rsidP="00916442">
      <w:pPr>
        <w:pStyle w:val="ListParagraph"/>
        <w:numPr>
          <w:ilvl w:val="0"/>
          <w:numId w:val="39"/>
        </w:numPr>
        <w:suppressAutoHyphens w:val="0"/>
        <w:rPr>
          <w:color w:val="auto"/>
        </w:rPr>
      </w:pPr>
      <w:r>
        <w:rPr>
          <w:color w:val="auto"/>
        </w:rPr>
        <w:t>implemented</w:t>
      </w:r>
      <w:r w:rsidR="00916442" w:rsidRPr="00A15E87">
        <w:rPr>
          <w:color w:val="auto"/>
        </w:rPr>
        <w:t xml:space="preserve"> reforms agreed under the </w:t>
      </w:r>
      <w:r w:rsidR="00916442" w:rsidRPr="004A4B21">
        <w:rPr>
          <w:i/>
          <w:color w:val="auto"/>
        </w:rPr>
        <w:t>Kiribati</w:t>
      </w:r>
      <w:r w:rsidR="00916442" w:rsidRPr="00A15E87">
        <w:rPr>
          <w:color w:val="auto"/>
        </w:rPr>
        <w:t xml:space="preserve"> </w:t>
      </w:r>
      <w:r w:rsidR="00916442" w:rsidRPr="004A4B21">
        <w:rPr>
          <w:i/>
          <w:color w:val="auto"/>
        </w:rPr>
        <w:t>Economic Reform Plan</w:t>
      </w:r>
      <w:r w:rsidR="00916442" w:rsidRPr="00A15E87">
        <w:rPr>
          <w:color w:val="auto"/>
        </w:rPr>
        <w:t xml:space="preserve"> (</w:t>
      </w:r>
      <w:r w:rsidR="004A4B21" w:rsidRPr="00A15E87">
        <w:rPr>
          <w:color w:val="auto"/>
        </w:rPr>
        <w:t xml:space="preserve">also </w:t>
      </w:r>
      <w:r w:rsidR="00916442" w:rsidRPr="00A15E87">
        <w:rPr>
          <w:color w:val="auto"/>
        </w:rPr>
        <w:t xml:space="preserve">included in the Joint Policy </w:t>
      </w:r>
      <w:r w:rsidR="00452AC3">
        <w:rPr>
          <w:color w:val="auto"/>
        </w:rPr>
        <w:t xml:space="preserve">Reform </w:t>
      </w:r>
      <w:r w:rsidR="00916442" w:rsidRPr="00A15E87">
        <w:rPr>
          <w:color w:val="auto"/>
        </w:rPr>
        <w:t xml:space="preserve">Matrix), </w:t>
      </w:r>
      <w:r w:rsidR="00357584">
        <w:rPr>
          <w:color w:val="auto"/>
        </w:rPr>
        <w:t xml:space="preserve">including a </w:t>
      </w:r>
      <w:r w:rsidR="00916442" w:rsidRPr="00A15E87">
        <w:rPr>
          <w:color w:val="auto"/>
        </w:rPr>
        <w:t xml:space="preserve">review of </w:t>
      </w:r>
      <w:r w:rsidR="00452AC3">
        <w:rPr>
          <w:color w:val="auto"/>
        </w:rPr>
        <w:t xml:space="preserve">the </w:t>
      </w:r>
      <w:r w:rsidR="00357584">
        <w:rPr>
          <w:color w:val="auto"/>
        </w:rPr>
        <w:t>national trust fund</w:t>
      </w:r>
      <w:r w:rsidR="00916442" w:rsidRPr="00A15E87">
        <w:rPr>
          <w:color w:val="auto"/>
        </w:rPr>
        <w:t>, electricity tariff reform, finalisation of a fisheries joint venture policy, and progress towards completing audits of</w:t>
      </w:r>
      <w:r w:rsidR="00A15E87">
        <w:rPr>
          <w:color w:val="auto"/>
        </w:rPr>
        <w:t xml:space="preserve"> major </w:t>
      </w:r>
      <w:r w:rsidR="00452AC3">
        <w:rPr>
          <w:color w:val="auto"/>
        </w:rPr>
        <w:t>s</w:t>
      </w:r>
      <w:r w:rsidR="00A15E87">
        <w:rPr>
          <w:color w:val="auto"/>
        </w:rPr>
        <w:t xml:space="preserve">tate </w:t>
      </w:r>
      <w:r w:rsidR="00452AC3">
        <w:rPr>
          <w:color w:val="auto"/>
        </w:rPr>
        <w:t>o</w:t>
      </w:r>
      <w:r w:rsidR="00A15E87">
        <w:rPr>
          <w:color w:val="auto"/>
        </w:rPr>
        <w:t xml:space="preserve">wned </w:t>
      </w:r>
      <w:r w:rsidR="00452AC3">
        <w:rPr>
          <w:color w:val="auto"/>
        </w:rPr>
        <w:t>e</w:t>
      </w:r>
      <w:r>
        <w:rPr>
          <w:color w:val="auto"/>
        </w:rPr>
        <w:t>nterprises</w:t>
      </w:r>
    </w:p>
    <w:p w:rsidR="007B7CE2" w:rsidRPr="00A15E87" w:rsidRDefault="0085070D" w:rsidP="00CB54D8">
      <w:pPr>
        <w:pStyle w:val="ListParagraph"/>
        <w:numPr>
          <w:ilvl w:val="0"/>
          <w:numId w:val="39"/>
        </w:numPr>
        <w:rPr>
          <w:rFonts w:eastAsia="Times New Roman"/>
          <w:color w:val="auto"/>
        </w:rPr>
      </w:pPr>
      <w:r>
        <w:rPr>
          <w:rFonts w:eastAsia="Times New Roman"/>
          <w:color w:val="auto"/>
        </w:rPr>
        <w:t>improved</w:t>
      </w:r>
      <w:r w:rsidR="007B7CE2" w:rsidRPr="00A15E87">
        <w:rPr>
          <w:rFonts w:eastAsia="Times New Roman"/>
          <w:color w:val="auto"/>
        </w:rPr>
        <w:t xml:space="preserve"> </w:t>
      </w:r>
      <w:r w:rsidR="00EA7C4F">
        <w:rPr>
          <w:rFonts w:eastAsia="Times New Roman"/>
          <w:color w:val="auto"/>
        </w:rPr>
        <w:t>performance against</w:t>
      </w:r>
      <w:r>
        <w:rPr>
          <w:rFonts w:eastAsia="Times New Roman"/>
          <w:color w:val="auto"/>
        </w:rPr>
        <w:t xml:space="preserve"> </w:t>
      </w:r>
      <w:r w:rsidR="007B7CE2" w:rsidRPr="00A15E87">
        <w:rPr>
          <w:rFonts w:eastAsia="Times New Roman"/>
          <w:color w:val="auto"/>
        </w:rPr>
        <w:t xml:space="preserve">gender equality indicators </w:t>
      </w:r>
      <w:r>
        <w:rPr>
          <w:rFonts w:eastAsia="Times New Roman"/>
          <w:color w:val="auto"/>
        </w:rPr>
        <w:t xml:space="preserve">that </w:t>
      </w:r>
      <w:r w:rsidR="007B7CE2" w:rsidRPr="00A15E87">
        <w:rPr>
          <w:rFonts w:eastAsia="Times New Roman"/>
          <w:color w:val="auto"/>
        </w:rPr>
        <w:t xml:space="preserve">it committed </w:t>
      </w:r>
      <w:r w:rsidR="007B7CE2" w:rsidRPr="00520FC0">
        <w:rPr>
          <w:rFonts w:eastAsia="Times New Roman"/>
          <w:color w:val="auto"/>
        </w:rPr>
        <w:t xml:space="preserve">to in the Pacific Island Forum Leaders’ Gender Equality Declaration, including </w:t>
      </w:r>
      <w:r w:rsidR="00B01311" w:rsidRPr="00520FC0">
        <w:rPr>
          <w:rFonts w:eastAsia="Times New Roman"/>
          <w:color w:val="auto"/>
        </w:rPr>
        <w:t xml:space="preserve">Cabinet </w:t>
      </w:r>
      <w:r w:rsidR="00CB54D8" w:rsidRPr="00520FC0">
        <w:rPr>
          <w:rFonts w:eastAsia="Times New Roman"/>
          <w:color w:val="auto"/>
        </w:rPr>
        <w:t xml:space="preserve">endorsement </w:t>
      </w:r>
      <w:r w:rsidR="00B01311" w:rsidRPr="00520FC0">
        <w:rPr>
          <w:rFonts w:eastAsia="Times New Roman"/>
          <w:color w:val="auto"/>
        </w:rPr>
        <w:t xml:space="preserve">(in July 2016) </w:t>
      </w:r>
      <w:r w:rsidR="00CB54D8" w:rsidRPr="00520FC0">
        <w:rPr>
          <w:rFonts w:eastAsia="Times New Roman"/>
          <w:color w:val="auto"/>
        </w:rPr>
        <w:t>of the</w:t>
      </w:r>
      <w:r w:rsidR="00CB54D8" w:rsidRPr="00A15E87">
        <w:rPr>
          <w:rFonts w:eastAsia="Times New Roman"/>
          <w:color w:val="auto"/>
        </w:rPr>
        <w:t xml:space="preserve"> </w:t>
      </w:r>
      <w:r w:rsidR="00CB54D8" w:rsidRPr="00EA7C4F">
        <w:rPr>
          <w:rFonts w:eastAsia="Times New Roman"/>
          <w:i/>
          <w:color w:val="auto"/>
        </w:rPr>
        <w:t xml:space="preserve">Family </w:t>
      </w:r>
      <w:r w:rsidR="00B01311" w:rsidRPr="00EA7C4F">
        <w:rPr>
          <w:rFonts w:eastAsia="Times New Roman"/>
          <w:i/>
          <w:color w:val="auto"/>
        </w:rPr>
        <w:t>Peace Act</w:t>
      </w:r>
      <w:r w:rsidR="00B01311" w:rsidRPr="00A15E87">
        <w:rPr>
          <w:rFonts w:eastAsia="Times New Roman"/>
          <w:color w:val="auto"/>
        </w:rPr>
        <w:t xml:space="preserve"> Implementation Plan</w:t>
      </w:r>
      <w:r w:rsidR="00CB54D8" w:rsidRPr="00A15E87">
        <w:rPr>
          <w:rFonts w:eastAsia="Times New Roman"/>
          <w:color w:val="auto"/>
        </w:rPr>
        <w:t>.</w:t>
      </w:r>
    </w:p>
    <w:p w:rsidR="00CB54D8" w:rsidRPr="00916442" w:rsidRDefault="00DE317D" w:rsidP="001B416A">
      <w:pPr>
        <w:spacing w:before="240" w:line="240" w:lineRule="auto"/>
        <w:rPr>
          <w:rFonts w:eastAsia="Times New Roman"/>
          <w:color w:val="auto"/>
        </w:rPr>
      </w:pPr>
      <w:r>
        <w:rPr>
          <w:rFonts w:eastAsia="Times New Roman"/>
          <w:color w:val="auto"/>
        </w:rPr>
        <w:t xml:space="preserve">As part of the Government of Kiribati’s commitment to a zero-tolerance approach to fraudulent and corrupt actions against Australia’s aid </w:t>
      </w:r>
      <w:r w:rsidR="005906CB">
        <w:rPr>
          <w:rFonts w:eastAsia="Times New Roman"/>
          <w:color w:val="auto"/>
        </w:rPr>
        <w:t>program,</w:t>
      </w:r>
      <w:r>
        <w:rPr>
          <w:rFonts w:eastAsia="Times New Roman"/>
          <w:color w:val="auto"/>
        </w:rPr>
        <w:t xml:space="preserve"> in 2017 t</w:t>
      </w:r>
      <w:r w:rsidR="0010537F">
        <w:rPr>
          <w:rFonts w:eastAsia="Times New Roman"/>
          <w:color w:val="auto"/>
        </w:rPr>
        <w:t xml:space="preserve">he </w:t>
      </w:r>
      <w:r w:rsidR="00400F26">
        <w:rPr>
          <w:rFonts w:eastAsia="Times New Roman"/>
          <w:color w:val="auto"/>
        </w:rPr>
        <w:t>c</w:t>
      </w:r>
      <w:r w:rsidR="00400F26" w:rsidRPr="00400F26">
        <w:rPr>
          <w:rFonts w:eastAsia="Times New Roman"/>
          <w:color w:val="auto"/>
        </w:rPr>
        <w:t xml:space="preserve">oncept </w:t>
      </w:r>
      <w:r w:rsidR="00400F26">
        <w:rPr>
          <w:rFonts w:eastAsia="Times New Roman"/>
          <w:color w:val="auto"/>
        </w:rPr>
        <w:t>p</w:t>
      </w:r>
      <w:r w:rsidR="00400F26" w:rsidRPr="00400F26">
        <w:rPr>
          <w:rFonts w:eastAsia="Times New Roman"/>
          <w:color w:val="auto"/>
        </w:rPr>
        <w:t>aper</w:t>
      </w:r>
      <w:r w:rsidR="00400F26">
        <w:rPr>
          <w:rFonts w:eastAsia="Times New Roman"/>
          <w:color w:val="auto"/>
        </w:rPr>
        <w:t xml:space="preserve"> for the </w:t>
      </w:r>
      <w:r w:rsidR="0010537F" w:rsidRPr="00400F26">
        <w:rPr>
          <w:rFonts w:eastAsia="Times New Roman"/>
          <w:color w:val="auto"/>
        </w:rPr>
        <w:t>Kiribati Public Procurement Reform</w:t>
      </w:r>
      <w:r w:rsidR="00400F26" w:rsidRPr="00400F26">
        <w:rPr>
          <w:rFonts w:eastAsia="Times New Roman"/>
          <w:color w:val="auto"/>
        </w:rPr>
        <w:t xml:space="preserve"> Program </w:t>
      </w:r>
      <w:r w:rsidR="00400F26">
        <w:rPr>
          <w:rFonts w:eastAsia="Times New Roman"/>
          <w:color w:val="auto"/>
        </w:rPr>
        <w:t xml:space="preserve">(2017-20) </w:t>
      </w:r>
      <w:r>
        <w:rPr>
          <w:rFonts w:eastAsia="Times New Roman"/>
          <w:color w:val="auto"/>
        </w:rPr>
        <w:t>w</w:t>
      </w:r>
      <w:r w:rsidR="00400F26">
        <w:rPr>
          <w:rFonts w:eastAsia="Times New Roman"/>
          <w:color w:val="auto"/>
        </w:rPr>
        <w:t xml:space="preserve">as submitted to Cabinet for endorsement. This program is designed to </w:t>
      </w:r>
      <w:r>
        <w:rPr>
          <w:rFonts w:eastAsia="Times New Roman"/>
          <w:color w:val="auto"/>
        </w:rPr>
        <w:t>progressively improve</w:t>
      </w:r>
      <w:r w:rsidR="00400F26">
        <w:rPr>
          <w:rFonts w:eastAsia="Times New Roman"/>
          <w:color w:val="auto"/>
        </w:rPr>
        <w:t xml:space="preserve"> </w:t>
      </w:r>
      <w:r>
        <w:rPr>
          <w:rFonts w:eastAsia="Times New Roman"/>
          <w:color w:val="auto"/>
        </w:rPr>
        <w:t>g</w:t>
      </w:r>
      <w:r w:rsidR="00400F26">
        <w:rPr>
          <w:rFonts w:eastAsia="Times New Roman"/>
          <w:color w:val="auto"/>
        </w:rPr>
        <w:t>overnment procurement</w:t>
      </w:r>
      <w:r>
        <w:rPr>
          <w:rFonts w:eastAsia="Times New Roman"/>
          <w:color w:val="auto"/>
        </w:rPr>
        <w:t xml:space="preserve"> (of which </w:t>
      </w:r>
      <w:r w:rsidR="00400F26">
        <w:rPr>
          <w:rFonts w:eastAsia="Times New Roman"/>
          <w:color w:val="auto"/>
        </w:rPr>
        <w:t xml:space="preserve">50 per cent </w:t>
      </w:r>
      <w:r>
        <w:rPr>
          <w:rFonts w:eastAsia="Times New Roman"/>
          <w:color w:val="auto"/>
        </w:rPr>
        <w:t>is using</w:t>
      </w:r>
      <w:r w:rsidR="00E43671">
        <w:rPr>
          <w:rFonts w:eastAsia="Times New Roman"/>
          <w:color w:val="auto"/>
        </w:rPr>
        <w:t xml:space="preserve"> donor funds</w:t>
      </w:r>
      <w:r>
        <w:rPr>
          <w:rFonts w:eastAsia="Times New Roman"/>
          <w:color w:val="auto"/>
        </w:rPr>
        <w:t>), including through legislation and organisational changes</w:t>
      </w:r>
      <w:r w:rsidR="009371E6">
        <w:rPr>
          <w:rFonts w:eastAsia="Times New Roman"/>
          <w:color w:val="auto"/>
        </w:rPr>
        <w:t>,</w:t>
      </w:r>
      <w:r>
        <w:rPr>
          <w:rFonts w:eastAsia="Times New Roman"/>
          <w:color w:val="auto"/>
        </w:rPr>
        <w:t xml:space="preserve"> and the introduction of procurement systems</w:t>
      </w:r>
      <w:r w:rsidR="00916442" w:rsidRPr="0010537F">
        <w:rPr>
          <w:rFonts w:eastAsia="Times New Roman"/>
          <w:color w:val="auto"/>
        </w:rPr>
        <w:t>.</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rsidR="00610B4B" w:rsidRDefault="009C22B3" w:rsidP="00610B4B">
      <w:pPr>
        <w:spacing w:before="240" w:line="240" w:lineRule="auto"/>
        <w:rPr>
          <w:rFonts w:eastAsia="Times New Roman"/>
          <w:color w:val="auto"/>
        </w:rPr>
      </w:pPr>
      <w:r w:rsidRPr="00610B4B">
        <w:rPr>
          <w:rFonts w:eastAsia="Times New Roman"/>
          <w:color w:val="auto"/>
        </w:rPr>
        <w:t>Aid Quality Checks ratings across all Kiribati investments were satisfactory</w:t>
      </w:r>
      <w:r w:rsidR="00CF48C2" w:rsidRPr="00610B4B">
        <w:rPr>
          <w:rFonts w:eastAsia="Times New Roman"/>
          <w:color w:val="auto"/>
        </w:rPr>
        <w:t xml:space="preserve">. While </w:t>
      </w:r>
      <w:r w:rsidR="00916442" w:rsidRPr="00610B4B">
        <w:rPr>
          <w:rFonts w:eastAsia="Times New Roman"/>
          <w:color w:val="auto"/>
        </w:rPr>
        <w:t>some</w:t>
      </w:r>
      <w:r w:rsidR="00CF48C2" w:rsidRPr="00610B4B">
        <w:rPr>
          <w:rFonts w:eastAsia="Times New Roman"/>
          <w:color w:val="auto"/>
        </w:rPr>
        <w:t xml:space="preserve"> ratings </w:t>
      </w:r>
      <w:r w:rsidR="00FC7EFC" w:rsidRPr="00610B4B">
        <w:rPr>
          <w:rFonts w:eastAsia="Times New Roman"/>
          <w:color w:val="auto"/>
        </w:rPr>
        <w:t>improved, for the majority of investments the</w:t>
      </w:r>
      <w:r w:rsidR="00CF48C2" w:rsidRPr="00610B4B">
        <w:rPr>
          <w:rFonts w:eastAsia="Times New Roman"/>
          <w:color w:val="auto"/>
        </w:rPr>
        <w:t xml:space="preserve"> </w:t>
      </w:r>
      <w:r w:rsidR="00FC7EFC" w:rsidRPr="00610B4B">
        <w:rPr>
          <w:rFonts w:eastAsia="Times New Roman"/>
          <w:color w:val="auto"/>
        </w:rPr>
        <w:t xml:space="preserve">ratings </w:t>
      </w:r>
      <w:r w:rsidR="001C197B" w:rsidRPr="00610B4B">
        <w:rPr>
          <w:rFonts w:eastAsia="Times New Roman"/>
          <w:color w:val="auto"/>
        </w:rPr>
        <w:t>were</w:t>
      </w:r>
      <w:r w:rsidR="00CF48C2" w:rsidRPr="00610B4B">
        <w:rPr>
          <w:rFonts w:eastAsia="Times New Roman"/>
          <w:color w:val="auto"/>
        </w:rPr>
        <w:t xml:space="preserve"> </w:t>
      </w:r>
      <w:r w:rsidR="00E71394" w:rsidRPr="00610B4B">
        <w:rPr>
          <w:rFonts w:eastAsia="Times New Roman"/>
          <w:color w:val="auto"/>
        </w:rPr>
        <w:t xml:space="preserve">slightly </w:t>
      </w:r>
      <w:r w:rsidR="00CF48C2" w:rsidRPr="00610B4B">
        <w:rPr>
          <w:rFonts w:eastAsia="Times New Roman"/>
          <w:color w:val="auto"/>
        </w:rPr>
        <w:t>lower</w:t>
      </w:r>
      <w:r w:rsidR="00247F5D" w:rsidRPr="00610B4B">
        <w:rPr>
          <w:rFonts w:eastAsia="Times New Roman"/>
          <w:color w:val="auto"/>
        </w:rPr>
        <w:t>. This mainly reflects</w:t>
      </w:r>
      <w:r w:rsidR="00452AC3" w:rsidRPr="00610B4B">
        <w:rPr>
          <w:rFonts w:eastAsia="Times New Roman"/>
          <w:color w:val="auto"/>
        </w:rPr>
        <w:t xml:space="preserve"> </w:t>
      </w:r>
      <w:r w:rsidR="007B6F70">
        <w:rPr>
          <w:rFonts w:eastAsia="Times New Roman"/>
          <w:color w:val="auto"/>
        </w:rPr>
        <w:t>more rigorous</w:t>
      </w:r>
      <w:r w:rsidR="00C034BE" w:rsidRPr="00610B4B">
        <w:rPr>
          <w:rFonts w:eastAsia="Times New Roman"/>
          <w:color w:val="auto"/>
        </w:rPr>
        <w:t xml:space="preserve"> </w:t>
      </w:r>
      <w:r w:rsidR="00560642" w:rsidRPr="00610B4B">
        <w:rPr>
          <w:rFonts w:eastAsia="Times New Roman"/>
          <w:color w:val="auto"/>
        </w:rPr>
        <w:t>application of</w:t>
      </w:r>
      <w:r w:rsidR="00247F5D" w:rsidRPr="00610B4B">
        <w:rPr>
          <w:rFonts w:eastAsia="Times New Roman"/>
          <w:color w:val="auto"/>
        </w:rPr>
        <w:t xml:space="preserve"> the</w:t>
      </w:r>
      <w:r w:rsidR="0085070D">
        <w:rPr>
          <w:rFonts w:eastAsia="Times New Roman"/>
          <w:color w:val="auto"/>
        </w:rPr>
        <w:t xml:space="preserve"> new</w:t>
      </w:r>
      <w:r w:rsidR="001C197B" w:rsidRPr="00610B4B">
        <w:rPr>
          <w:rFonts w:eastAsia="Times New Roman"/>
          <w:color w:val="auto"/>
        </w:rPr>
        <w:t xml:space="preserve"> evidence </w:t>
      </w:r>
      <w:r w:rsidR="00560642" w:rsidRPr="00610B4B">
        <w:rPr>
          <w:rFonts w:eastAsia="Times New Roman"/>
          <w:color w:val="auto"/>
        </w:rPr>
        <w:t>requirements</w:t>
      </w:r>
      <w:r w:rsidR="001C197B" w:rsidRPr="00610B4B">
        <w:rPr>
          <w:rFonts w:eastAsia="Times New Roman"/>
          <w:color w:val="auto"/>
        </w:rPr>
        <w:t xml:space="preserve"> </w:t>
      </w:r>
      <w:r w:rsidR="00247F5D" w:rsidRPr="00610B4B">
        <w:rPr>
          <w:rFonts w:eastAsia="Times New Roman"/>
          <w:color w:val="auto"/>
        </w:rPr>
        <w:t>for ratings</w:t>
      </w:r>
      <w:r w:rsidR="00FC7EFC" w:rsidRPr="00610B4B">
        <w:rPr>
          <w:rFonts w:eastAsia="Times New Roman"/>
          <w:color w:val="auto"/>
        </w:rPr>
        <w:t>, rather than a drop in investment performance</w:t>
      </w:r>
      <w:r w:rsidR="001C197B" w:rsidRPr="00610B4B">
        <w:rPr>
          <w:rFonts w:eastAsia="Times New Roman"/>
          <w:color w:val="auto"/>
        </w:rPr>
        <w:t>.</w:t>
      </w:r>
    </w:p>
    <w:p w:rsidR="009C22B3" w:rsidRPr="00610B4B" w:rsidRDefault="000650EC" w:rsidP="00610B4B">
      <w:pPr>
        <w:spacing w:before="240" w:line="240" w:lineRule="auto"/>
        <w:rPr>
          <w:rFonts w:eastAsia="Times New Roman"/>
          <w:color w:val="auto"/>
        </w:rPr>
      </w:pPr>
      <w:r w:rsidRPr="00610B4B">
        <w:rPr>
          <w:rFonts w:eastAsia="Times New Roman"/>
          <w:color w:val="auto"/>
        </w:rPr>
        <w:t xml:space="preserve">The efficiency rating for health was downgraded to ‘less than adequate’ (3) to </w:t>
      </w:r>
      <w:r w:rsidR="00FC7EFC" w:rsidRPr="00610B4B">
        <w:rPr>
          <w:rFonts w:eastAsia="Times New Roman"/>
          <w:color w:val="auto"/>
        </w:rPr>
        <w:t xml:space="preserve">reflect ongoing management </w:t>
      </w:r>
      <w:r w:rsidR="00CB5933" w:rsidRPr="00610B4B">
        <w:rPr>
          <w:rFonts w:eastAsia="Times New Roman"/>
          <w:color w:val="auto"/>
        </w:rPr>
        <w:t>issues with the tuberculosis program. Th</w:t>
      </w:r>
      <w:r w:rsidR="001B416A">
        <w:rPr>
          <w:rFonts w:eastAsia="Times New Roman"/>
          <w:color w:val="auto"/>
        </w:rPr>
        <w:t>e</w:t>
      </w:r>
      <w:r w:rsidR="001B416A" w:rsidRPr="00610B4B">
        <w:rPr>
          <w:rFonts w:eastAsia="Times New Roman"/>
          <w:color w:val="auto"/>
        </w:rPr>
        <w:t xml:space="preserve"> Government of Kiribati </w:t>
      </w:r>
      <w:r w:rsidR="00CB5933" w:rsidRPr="00610B4B">
        <w:rPr>
          <w:rFonts w:eastAsia="Times New Roman"/>
          <w:color w:val="auto"/>
        </w:rPr>
        <w:t>is now implement</w:t>
      </w:r>
      <w:r w:rsidR="001B416A">
        <w:rPr>
          <w:rFonts w:eastAsia="Times New Roman"/>
          <w:color w:val="auto"/>
        </w:rPr>
        <w:t>ing this program</w:t>
      </w:r>
      <w:r w:rsidR="00C034BE" w:rsidRPr="00610B4B">
        <w:rPr>
          <w:rFonts w:eastAsia="Times New Roman"/>
          <w:color w:val="auto"/>
        </w:rPr>
        <w:t xml:space="preserve">, and </w:t>
      </w:r>
      <w:r w:rsidR="00CB5933" w:rsidRPr="00610B4B">
        <w:rPr>
          <w:rFonts w:eastAsia="Times New Roman"/>
          <w:color w:val="auto"/>
        </w:rPr>
        <w:t xml:space="preserve">management has improved. </w:t>
      </w:r>
    </w:p>
    <w:p w:rsidR="00ED11E0" w:rsidRDefault="00ED11E0" w:rsidP="00610B4B">
      <w:pPr>
        <w:spacing w:before="240" w:line="240" w:lineRule="auto"/>
        <w:rPr>
          <w:rFonts w:eastAsia="Times New Roman"/>
          <w:color w:val="auto"/>
        </w:rPr>
      </w:pPr>
      <w:r w:rsidRPr="00ED11E0">
        <w:rPr>
          <w:rFonts w:eastAsia="Times New Roman"/>
          <w:color w:val="auto"/>
        </w:rPr>
        <w:t>The ratings for sustainability and for monitoring and evaluation for the entire scholarship investment (2010-16) were ‘less than adequate’ (3). This reflects the lack of a robust evidence base on which to monitor performance, due to inconsistent monitoring and evaluation throughout the investment. Additionally, while Australia delivers the program in partnership with New Zealand, the investment does not systematically support strengthening of Government of Kiribati</w:t>
      </w:r>
      <w:r w:rsidR="007B6F70">
        <w:rPr>
          <w:rFonts w:eastAsia="Times New Roman"/>
          <w:color w:val="auto"/>
        </w:rPr>
        <w:t>’s</w:t>
      </w:r>
      <w:r w:rsidRPr="00ED11E0">
        <w:rPr>
          <w:rFonts w:eastAsia="Times New Roman"/>
          <w:color w:val="auto"/>
        </w:rPr>
        <w:t xml:space="preserve"> scholarship processes.</w:t>
      </w:r>
    </w:p>
    <w:p w:rsidR="000650EC" w:rsidRDefault="00CF48C2" w:rsidP="00610B4B">
      <w:pPr>
        <w:spacing w:before="240" w:line="240" w:lineRule="auto"/>
        <w:rPr>
          <w:rFonts w:eastAsia="Times New Roman"/>
          <w:color w:val="auto"/>
        </w:rPr>
      </w:pPr>
      <w:r w:rsidRPr="00610B4B">
        <w:rPr>
          <w:rFonts w:eastAsia="Times New Roman"/>
          <w:color w:val="auto"/>
        </w:rPr>
        <w:t xml:space="preserve">Across all </w:t>
      </w:r>
      <w:r w:rsidR="00FC7EFC" w:rsidRPr="00610B4B">
        <w:rPr>
          <w:rFonts w:eastAsia="Times New Roman"/>
          <w:color w:val="auto"/>
        </w:rPr>
        <w:t>investments</w:t>
      </w:r>
      <w:r w:rsidRPr="00610B4B">
        <w:rPr>
          <w:rFonts w:eastAsia="Times New Roman"/>
          <w:color w:val="auto"/>
        </w:rPr>
        <w:t xml:space="preserve">, </w:t>
      </w:r>
      <w:r w:rsidR="000650EC" w:rsidRPr="00610B4B">
        <w:rPr>
          <w:rFonts w:eastAsia="Times New Roman"/>
          <w:color w:val="auto"/>
        </w:rPr>
        <w:t xml:space="preserve">gender equality ratings </w:t>
      </w:r>
      <w:r w:rsidR="000767BE" w:rsidRPr="00610B4B">
        <w:rPr>
          <w:rFonts w:eastAsia="Times New Roman"/>
          <w:color w:val="auto"/>
        </w:rPr>
        <w:t>we</w:t>
      </w:r>
      <w:r w:rsidRPr="00610B4B">
        <w:rPr>
          <w:rFonts w:eastAsia="Times New Roman"/>
          <w:color w:val="auto"/>
        </w:rPr>
        <w:t xml:space="preserve">re adequate or </w:t>
      </w:r>
      <w:r w:rsidR="00DE26A6" w:rsidRPr="00610B4B">
        <w:rPr>
          <w:rFonts w:eastAsia="Times New Roman"/>
          <w:color w:val="auto"/>
        </w:rPr>
        <w:t>below</w:t>
      </w:r>
      <w:r w:rsidRPr="00610B4B">
        <w:rPr>
          <w:rFonts w:eastAsia="Times New Roman"/>
          <w:color w:val="auto"/>
        </w:rPr>
        <w:t xml:space="preserve">. Gender equality ratings </w:t>
      </w:r>
      <w:r w:rsidR="000650EC" w:rsidRPr="00610B4B">
        <w:rPr>
          <w:rFonts w:eastAsia="Times New Roman"/>
          <w:color w:val="auto"/>
        </w:rPr>
        <w:t xml:space="preserve">were downgraded </w:t>
      </w:r>
      <w:r w:rsidRPr="00610B4B">
        <w:rPr>
          <w:rFonts w:eastAsia="Times New Roman"/>
          <w:color w:val="auto"/>
        </w:rPr>
        <w:t>for health</w:t>
      </w:r>
      <w:r w:rsidR="008D2A51">
        <w:rPr>
          <w:rFonts w:eastAsia="Times New Roman"/>
          <w:color w:val="auto"/>
        </w:rPr>
        <w:t>,</w:t>
      </w:r>
      <w:r w:rsidRPr="00610B4B">
        <w:rPr>
          <w:rFonts w:eastAsia="Times New Roman"/>
          <w:color w:val="auto"/>
        </w:rPr>
        <w:t xml:space="preserve"> bas</w:t>
      </w:r>
      <w:r w:rsidR="008D2A51">
        <w:rPr>
          <w:rFonts w:eastAsia="Times New Roman"/>
          <w:color w:val="auto"/>
        </w:rPr>
        <w:t>ic education and climate change</w:t>
      </w:r>
      <w:r w:rsidR="00DE26A6" w:rsidRPr="00610B4B">
        <w:rPr>
          <w:rFonts w:eastAsia="Times New Roman"/>
          <w:color w:val="auto"/>
        </w:rPr>
        <w:t>.</w:t>
      </w:r>
      <w:r w:rsidR="005C0408" w:rsidRPr="00610B4B">
        <w:rPr>
          <w:rFonts w:eastAsia="Times New Roman"/>
          <w:color w:val="auto"/>
        </w:rPr>
        <w:t xml:space="preserve"> The lower ratings for health and climate change reflect</w:t>
      </w:r>
      <w:r w:rsidR="00DC5829" w:rsidRPr="00610B4B">
        <w:rPr>
          <w:rFonts w:eastAsia="Times New Roman"/>
          <w:color w:val="auto"/>
        </w:rPr>
        <w:t xml:space="preserve"> more consistency in applying the minimum requirement for </w:t>
      </w:r>
      <w:r w:rsidR="00560642" w:rsidRPr="00610B4B">
        <w:rPr>
          <w:rFonts w:eastAsia="Times New Roman"/>
          <w:color w:val="auto"/>
        </w:rPr>
        <w:t>investments</w:t>
      </w:r>
      <w:r w:rsidR="00DC5829" w:rsidRPr="00610B4B">
        <w:rPr>
          <w:rFonts w:eastAsia="Times New Roman"/>
          <w:color w:val="auto"/>
        </w:rPr>
        <w:t xml:space="preserve"> that </w:t>
      </w:r>
      <w:r w:rsidR="00247F5D" w:rsidRPr="00610B4B">
        <w:rPr>
          <w:rFonts w:eastAsia="Times New Roman"/>
          <w:color w:val="auto"/>
        </w:rPr>
        <w:t>do not</w:t>
      </w:r>
      <w:r w:rsidR="00DC5829" w:rsidRPr="00610B4B">
        <w:rPr>
          <w:rFonts w:eastAsia="Times New Roman"/>
          <w:color w:val="auto"/>
        </w:rPr>
        <w:t xml:space="preserve"> target gender</w:t>
      </w:r>
      <w:r w:rsidR="000767BE" w:rsidRPr="00610B4B">
        <w:rPr>
          <w:rFonts w:eastAsia="Times New Roman"/>
          <w:color w:val="auto"/>
        </w:rPr>
        <w:t>;</w:t>
      </w:r>
      <w:r w:rsidR="005C0408" w:rsidRPr="00610B4B">
        <w:rPr>
          <w:rFonts w:eastAsia="Times New Roman"/>
          <w:color w:val="auto"/>
        </w:rPr>
        <w:t xml:space="preserve"> and for </w:t>
      </w:r>
      <w:r w:rsidR="001B416A" w:rsidRPr="00610B4B">
        <w:rPr>
          <w:rFonts w:eastAsia="Times New Roman"/>
          <w:color w:val="auto"/>
        </w:rPr>
        <w:t>education,</w:t>
      </w:r>
      <w:r w:rsidR="005C0408" w:rsidRPr="00610B4B">
        <w:rPr>
          <w:rFonts w:eastAsia="Times New Roman"/>
          <w:color w:val="auto"/>
        </w:rPr>
        <w:t xml:space="preserve"> </w:t>
      </w:r>
      <w:r w:rsidR="00DE26A6" w:rsidRPr="00610B4B">
        <w:rPr>
          <w:rFonts w:eastAsia="Times New Roman"/>
          <w:color w:val="auto"/>
        </w:rPr>
        <w:t xml:space="preserve">it </w:t>
      </w:r>
      <w:r w:rsidR="005C0408" w:rsidRPr="00610B4B">
        <w:rPr>
          <w:rFonts w:eastAsia="Times New Roman"/>
          <w:color w:val="auto"/>
        </w:rPr>
        <w:t>reflects consistently lower participation and performance</w:t>
      </w:r>
      <w:r w:rsidR="00DE26A6" w:rsidRPr="00610B4B">
        <w:rPr>
          <w:rFonts w:eastAsia="Times New Roman"/>
          <w:color w:val="auto"/>
        </w:rPr>
        <w:t xml:space="preserve"> rates</w:t>
      </w:r>
      <w:r w:rsidR="005C0408" w:rsidRPr="00610B4B">
        <w:rPr>
          <w:rFonts w:eastAsia="Times New Roman"/>
          <w:color w:val="auto"/>
        </w:rPr>
        <w:t xml:space="preserve"> by boys</w:t>
      </w:r>
      <w:r w:rsidRPr="00610B4B">
        <w:rPr>
          <w:rFonts w:eastAsia="Times New Roman"/>
          <w:color w:val="auto"/>
        </w:rPr>
        <w:t>.</w:t>
      </w:r>
      <w:r w:rsidR="00DE26A6" w:rsidRPr="00610B4B">
        <w:rPr>
          <w:rFonts w:eastAsia="Times New Roman"/>
          <w:color w:val="auto"/>
        </w:rPr>
        <w:t xml:space="preserve"> </w:t>
      </w:r>
      <w:r w:rsidR="000767BE" w:rsidRPr="00610B4B">
        <w:rPr>
          <w:rFonts w:eastAsia="Times New Roman"/>
          <w:color w:val="auto"/>
        </w:rPr>
        <w:t>Across all investments, officers</w:t>
      </w:r>
      <w:r w:rsidR="00DE26A6" w:rsidRPr="00610B4B">
        <w:rPr>
          <w:rFonts w:eastAsia="Times New Roman"/>
          <w:color w:val="auto"/>
        </w:rPr>
        <w:t xml:space="preserve"> are working to identify ways forward to improve gender equality.</w:t>
      </w:r>
    </w:p>
    <w:p w:rsidR="005A690F" w:rsidRPr="005A690F" w:rsidRDefault="005A690F" w:rsidP="005A690F">
      <w:pPr>
        <w:spacing w:before="240" w:line="240" w:lineRule="auto"/>
        <w:rPr>
          <w:rFonts w:eastAsia="Times New Roman"/>
          <w:color w:val="auto"/>
        </w:rPr>
      </w:pPr>
      <w:r w:rsidRPr="005A690F">
        <w:rPr>
          <w:rFonts w:eastAsia="Times New Roman"/>
          <w:color w:val="auto"/>
        </w:rPr>
        <w:lastRenderedPageBreak/>
        <w:t>An independent review of the disability investment found it effective, in that it is contributing to a more inclusive society in Kiribati and is having a positive impact on the lives of people with disabilities and their families. The review also noted the good progress</w:t>
      </w:r>
      <w:r w:rsidR="00681E5F">
        <w:rPr>
          <w:rFonts w:eastAsia="Times New Roman"/>
          <w:color w:val="auto"/>
        </w:rPr>
        <w:t xml:space="preserve"> </w:t>
      </w:r>
      <w:r w:rsidRPr="005A690F">
        <w:rPr>
          <w:rFonts w:eastAsia="Times New Roman"/>
          <w:color w:val="auto"/>
        </w:rPr>
        <w:t>made to support disability inclusion in other aid investments. The report highlighted monitoring and evaluation as the main area for further strengthening.</w:t>
      </w:r>
    </w:p>
    <w:p w:rsidR="005B5769" w:rsidRPr="004C0807"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4C0807">
        <w:rPr>
          <w:rFonts w:asciiTheme="majorHAnsi" w:eastAsiaTheme="majorEastAsia" w:hAnsiTheme="majorHAnsi" w:cstheme="majorBidi"/>
          <w:caps/>
          <w:color w:val="495965" w:themeColor="text2"/>
          <w:sz w:val="38"/>
          <w:szCs w:val="26"/>
          <w:lang w:val="en-GB" w:eastAsia="en-US"/>
        </w:rPr>
        <w:t xml:space="preserve">Management </w:t>
      </w:r>
      <w:r w:rsidR="00E65105" w:rsidRPr="004C0807">
        <w:rPr>
          <w:rFonts w:asciiTheme="majorHAnsi" w:eastAsiaTheme="majorEastAsia" w:hAnsiTheme="majorHAnsi" w:cstheme="majorBidi"/>
          <w:caps/>
          <w:color w:val="495965" w:themeColor="text2"/>
          <w:sz w:val="38"/>
          <w:szCs w:val="26"/>
          <w:lang w:val="en-GB" w:eastAsia="en-US"/>
        </w:rPr>
        <w:t>actions</w:t>
      </w:r>
    </w:p>
    <w:p w:rsidR="004C0807" w:rsidRPr="004C0807" w:rsidRDefault="004C0807" w:rsidP="001B416A">
      <w:pPr>
        <w:spacing w:before="240" w:line="240" w:lineRule="auto"/>
        <w:rPr>
          <w:color w:val="auto"/>
        </w:rPr>
      </w:pPr>
      <w:r w:rsidRPr="004C0807">
        <w:rPr>
          <w:color w:val="auto"/>
        </w:rPr>
        <w:t>In 2017-18, Australia will</w:t>
      </w:r>
      <w:r w:rsidR="00955D47">
        <w:rPr>
          <w:color w:val="auto"/>
        </w:rPr>
        <w:t>:</w:t>
      </w:r>
    </w:p>
    <w:p w:rsidR="00452AC3" w:rsidRPr="00452AC3" w:rsidRDefault="00452AC3" w:rsidP="00452AC3">
      <w:pPr>
        <w:pStyle w:val="ListParagraph"/>
        <w:numPr>
          <w:ilvl w:val="0"/>
          <w:numId w:val="43"/>
        </w:numPr>
        <w:suppressAutoHyphens w:val="0"/>
        <w:spacing w:before="0" w:after="0" w:line="240" w:lineRule="auto"/>
        <w:contextualSpacing w:val="0"/>
        <w:rPr>
          <w:color w:val="auto"/>
        </w:rPr>
      </w:pPr>
      <w:r w:rsidRPr="00452AC3">
        <w:rPr>
          <w:color w:val="auto"/>
        </w:rPr>
        <w:t xml:space="preserve">support the </w:t>
      </w:r>
      <w:r w:rsidR="000767BE">
        <w:rPr>
          <w:color w:val="auto"/>
        </w:rPr>
        <w:t xml:space="preserve">Kiribati </w:t>
      </w:r>
      <w:r w:rsidRPr="00452AC3">
        <w:rPr>
          <w:color w:val="auto"/>
        </w:rPr>
        <w:t>Ministry of Education to better identify maintenance and repair priorities for school infrastructure across Kiribati</w:t>
      </w:r>
    </w:p>
    <w:p w:rsidR="00452AC3" w:rsidRPr="00452AC3" w:rsidRDefault="00955D47" w:rsidP="00452AC3">
      <w:pPr>
        <w:pStyle w:val="ListParagraph"/>
        <w:numPr>
          <w:ilvl w:val="0"/>
          <w:numId w:val="43"/>
        </w:numPr>
        <w:suppressAutoHyphens w:val="0"/>
        <w:spacing w:before="0" w:after="0" w:line="240" w:lineRule="auto"/>
        <w:contextualSpacing w:val="0"/>
        <w:rPr>
          <w:color w:val="auto"/>
        </w:rPr>
      </w:pPr>
      <w:r w:rsidRPr="00452AC3">
        <w:rPr>
          <w:color w:val="auto"/>
        </w:rPr>
        <w:t>implement a finalised monitoring and evaluat</w:t>
      </w:r>
      <w:r w:rsidR="007B6F70">
        <w:rPr>
          <w:color w:val="auto"/>
        </w:rPr>
        <w:t>ion framework for the Australia</w:t>
      </w:r>
      <w:r w:rsidRPr="00452AC3">
        <w:rPr>
          <w:color w:val="auto"/>
        </w:rPr>
        <w:t xml:space="preserve"> Awards scholarship program to support more robust evidence to inform program managem</w:t>
      </w:r>
      <w:r w:rsidR="00247F5D">
        <w:rPr>
          <w:color w:val="auto"/>
        </w:rPr>
        <w:t>ent and reporting</w:t>
      </w:r>
    </w:p>
    <w:p w:rsidR="00955D47" w:rsidRPr="00E10C07" w:rsidRDefault="00452AC3" w:rsidP="00E10C07">
      <w:pPr>
        <w:pStyle w:val="ListParagraph"/>
        <w:numPr>
          <w:ilvl w:val="0"/>
          <w:numId w:val="43"/>
        </w:numPr>
        <w:suppressAutoHyphens w:val="0"/>
        <w:spacing w:before="0" w:after="0" w:line="240" w:lineRule="auto"/>
        <w:contextualSpacing w:val="0"/>
        <w:rPr>
          <w:color w:val="auto"/>
        </w:rPr>
      </w:pPr>
      <w:r>
        <w:rPr>
          <w:color w:val="auto"/>
        </w:rPr>
        <w:t>identify and</w:t>
      </w:r>
      <w:r w:rsidRPr="00452AC3">
        <w:rPr>
          <w:color w:val="auto"/>
        </w:rPr>
        <w:t xml:space="preserve"> implement actions that will improve gender equality ratings</w:t>
      </w:r>
      <w:r w:rsidR="00C00158">
        <w:rPr>
          <w:color w:val="auto"/>
        </w:rPr>
        <w:t xml:space="preserve"> across all investments.</w:t>
      </w:r>
    </w:p>
    <w:p w:rsidR="00015316" w:rsidRDefault="00E65105" w:rsidP="001C197B">
      <w:r w:rsidRPr="00C615A3">
        <w:rPr>
          <w:color w:val="FF0000"/>
        </w:rPr>
        <w:t xml:space="preserve">  </w:t>
      </w:r>
    </w:p>
    <w:p w:rsidR="00D00802" w:rsidRDefault="00D00802" w:rsidP="005B5769">
      <w:pPr>
        <w:pStyle w:val="ListBullet"/>
        <w:tabs>
          <w:tab w:val="clear" w:pos="284"/>
        </w:tabs>
        <w:sectPr w:rsidR="00D00802" w:rsidSect="00D2653F">
          <w:headerReference w:type="default" r:id="rId21"/>
          <w:footerReference w:type="default" r:id="rId22"/>
          <w:pgSz w:w="11906" w:h="16838" w:code="9"/>
          <w:pgMar w:top="1811" w:right="1134" w:bottom="851" w:left="1134" w:header="1565" w:footer="342" w:gutter="0"/>
          <w:cols w:space="397"/>
          <w:docGrid w:linePitch="360"/>
        </w:sectPr>
      </w:pPr>
    </w:p>
    <w:p w:rsidR="00015316" w:rsidRDefault="00015316" w:rsidP="005B5769">
      <w:pPr>
        <w:pStyle w:val="ListBullet"/>
        <w:tabs>
          <w:tab w:val="clear" w:pos="284"/>
        </w:tabs>
      </w:pPr>
    </w:p>
    <w:p w:rsidR="00D00802" w:rsidRDefault="00D00802" w:rsidP="005B5769">
      <w:pPr>
        <w:pStyle w:val="ListBullet"/>
        <w:tabs>
          <w:tab w:val="clear" w:pos="284"/>
        </w:tabs>
      </w:pPr>
    </w:p>
    <w:p w:rsidR="00AF1B85" w:rsidRPr="00C61187" w:rsidRDefault="00AF1B85" w:rsidP="0085070D">
      <w:pPr>
        <w:pStyle w:val="Subtitle"/>
      </w:pPr>
      <w:r w:rsidRPr="00A8197B">
        <w:t>Annex A - Progress in Addressing Management Responses</w:t>
      </w:r>
    </w:p>
    <w:tbl>
      <w:tblPr>
        <w:tblStyle w:val="APPR"/>
        <w:tblpPr w:leftFromText="180" w:rightFromText="180" w:vertAnchor="text" w:tblpY="1"/>
        <w:tblW w:w="5074" w:type="pct"/>
        <w:tblBorders>
          <w:top w:val="none" w:sz="0" w:space="0" w:color="auto"/>
          <w:bottom w:val="none" w:sz="0" w:space="0" w:color="auto"/>
        </w:tblBorders>
        <w:tblLayout w:type="fixed"/>
        <w:tblLook w:val="0000" w:firstRow="0" w:lastRow="0" w:firstColumn="0" w:lastColumn="0" w:noHBand="0" w:noVBand="0"/>
      </w:tblPr>
      <w:tblGrid>
        <w:gridCol w:w="6326"/>
        <w:gridCol w:w="1179"/>
        <w:gridCol w:w="6738"/>
      </w:tblGrid>
      <w:tr w:rsidR="00AF1B85" w:rsidRPr="00812509" w:rsidTr="006D120C">
        <w:trPr>
          <w:cnfStyle w:val="000000010000" w:firstRow="0" w:lastRow="0" w:firstColumn="0" w:lastColumn="0" w:oddVBand="0" w:evenVBand="0" w:oddHBand="0" w:evenHBand="1" w:firstRowFirstColumn="0" w:firstRowLastColumn="0" w:lastRowFirstColumn="0" w:lastRowLastColumn="0"/>
        </w:trPr>
        <w:tc>
          <w:tcPr>
            <w:tcW w:w="6284"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E305C">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7</w:t>
            </w:r>
          </w:p>
        </w:tc>
      </w:tr>
      <w:tr w:rsidR="001C47D3" w:rsidRPr="00812509" w:rsidTr="00A15862">
        <w:trPr>
          <w:cnfStyle w:val="000000010000" w:firstRow="0" w:lastRow="0" w:firstColumn="0" w:lastColumn="0" w:oddVBand="0" w:evenVBand="0" w:oddHBand="0" w:evenHBand="1" w:firstRowFirstColumn="0" w:firstRowLastColumn="0" w:lastRowFirstColumn="0" w:lastRowLastColumn="0"/>
        </w:trPr>
        <w:tc>
          <w:tcPr>
            <w:tcW w:w="62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E42C59" w:rsidRDefault="001C47D3" w:rsidP="001C47D3">
            <w:pPr>
              <w:keepLines/>
              <w:spacing w:before="40" w:after="40" w:line="200" w:lineRule="atLeast"/>
              <w:rPr>
                <w:rFonts w:asciiTheme="minorHAnsi" w:eastAsia="Times New Roman" w:hAnsiTheme="minorHAnsi"/>
                <w:iCs/>
                <w:szCs w:val="17"/>
                <w:lang w:eastAsia="en-US"/>
              </w:rPr>
            </w:pPr>
            <w:r>
              <w:rPr>
                <w:rFonts w:asciiTheme="minorHAnsi" w:hAnsiTheme="minorHAnsi"/>
              </w:rPr>
              <w:t>W</w:t>
            </w:r>
            <w:r w:rsidRPr="00E42C59">
              <w:rPr>
                <w:rFonts w:asciiTheme="minorHAnsi" w:hAnsiTheme="minorHAnsi"/>
              </w:rPr>
              <w:t>ork with regional fisheries organisations to assist Kiribati respond to the European Union’s ‘Yellow card’ warning</w:t>
            </w:r>
            <w:r>
              <w:rPr>
                <w:rFonts w:asciiTheme="minorHAnsi" w:hAnsiTheme="minorHAnsi"/>
              </w:rPr>
              <w:t>.</w:t>
            </w:r>
          </w:p>
        </w:tc>
        <w:tc>
          <w:tcPr>
            <w:tcW w:w="1151" w:type="dxa"/>
            <w:tcBorders>
              <w:top w:val="none" w:sz="0" w:space="0" w:color="auto"/>
              <w:left w:val="none" w:sz="0" w:space="0" w:color="auto"/>
              <w:right w:val="none" w:sz="0" w:space="0" w:color="auto"/>
              <w:tl2br w:val="none" w:sz="0" w:space="0" w:color="auto"/>
              <w:tr2bl w:val="none" w:sz="0" w:space="0" w:color="auto"/>
            </w:tcBorders>
            <w:shd w:val="clear" w:color="auto" w:fill="FF9900"/>
          </w:tcPr>
          <w:p w:rsidR="001C47D3" w:rsidRPr="00812509" w:rsidRDefault="001C47D3" w:rsidP="001C47D3">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Partly achieved</w:t>
            </w:r>
          </w:p>
        </w:tc>
        <w:tc>
          <w:tcPr>
            <w:tcW w:w="6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CE4B31" w:rsidRDefault="001C47D3" w:rsidP="001C47D3">
            <w:pPr>
              <w:keepLines/>
              <w:spacing w:before="40" w:after="40" w:line="200" w:lineRule="atLeast"/>
              <w:rPr>
                <w:rFonts w:asciiTheme="minorHAnsi" w:hAnsiTheme="minorHAnsi"/>
              </w:rPr>
            </w:pPr>
            <w:r>
              <w:rPr>
                <w:rFonts w:asciiTheme="minorHAnsi" w:hAnsiTheme="minorHAnsi"/>
              </w:rPr>
              <w:t>Australia has provided support to the</w:t>
            </w:r>
            <w:r w:rsidRPr="004848A3">
              <w:rPr>
                <w:rFonts w:asciiTheme="minorHAnsi" w:hAnsiTheme="minorHAnsi"/>
              </w:rPr>
              <w:t xml:space="preserve"> F</w:t>
            </w:r>
            <w:r>
              <w:rPr>
                <w:rFonts w:asciiTheme="minorHAnsi" w:hAnsiTheme="minorHAnsi"/>
              </w:rPr>
              <w:t xml:space="preserve">orum </w:t>
            </w:r>
            <w:r w:rsidRPr="004848A3">
              <w:rPr>
                <w:rFonts w:asciiTheme="minorHAnsi" w:hAnsiTheme="minorHAnsi"/>
              </w:rPr>
              <w:t>F</w:t>
            </w:r>
            <w:r>
              <w:rPr>
                <w:rFonts w:asciiTheme="minorHAnsi" w:hAnsiTheme="minorHAnsi"/>
              </w:rPr>
              <w:t xml:space="preserve">isheries </w:t>
            </w:r>
            <w:r w:rsidRPr="004848A3">
              <w:rPr>
                <w:rFonts w:asciiTheme="minorHAnsi" w:hAnsiTheme="minorHAnsi"/>
              </w:rPr>
              <w:t>A</w:t>
            </w:r>
            <w:r>
              <w:rPr>
                <w:rFonts w:asciiTheme="minorHAnsi" w:hAnsiTheme="minorHAnsi"/>
              </w:rPr>
              <w:t>gency</w:t>
            </w:r>
            <w:r w:rsidRPr="004848A3">
              <w:rPr>
                <w:rFonts w:asciiTheme="minorHAnsi" w:hAnsiTheme="minorHAnsi"/>
              </w:rPr>
              <w:t xml:space="preserve"> to assist Kiribati respond to the European Union’s ‘Yellow card’ warning’</w:t>
            </w:r>
            <w:r>
              <w:rPr>
                <w:rFonts w:asciiTheme="minorHAnsi" w:hAnsiTheme="minorHAnsi"/>
              </w:rPr>
              <w:t>. This has included the</w:t>
            </w:r>
            <w:r w:rsidRPr="004848A3">
              <w:rPr>
                <w:rFonts w:asciiTheme="minorHAnsi" w:hAnsiTheme="minorHAnsi"/>
              </w:rPr>
              <w:t xml:space="preserve"> development of an Action Plan and assistance </w:t>
            </w:r>
            <w:r>
              <w:rPr>
                <w:rFonts w:asciiTheme="minorHAnsi" w:hAnsiTheme="minorHAnsi"/>
              </w:rPr>
              <w:t>to</w:t>
            </w:r>
            <w:r w:rsidRPr="004848A3">
              <w:rPr>
                <w:rFonts w:asciiTheme="minorHAnsi" w:hAnsiTheme="minorHAnsi"/>
              </w:rPr>
              <w:t xml:space="preserve"> address </w:t>
            </w:r>
            <w:r>
              <w:rPr>
                <w:rFonts w:asciiTheme="minorHAnsi" w:hAnsiTheme="minorHAnsi"/>
              </w:rPr>
              <w:t>illegal, unreported and unregulated fishing</w:t>
            </w:r>
            <w:r w:rsidRPr="004848A3">
              <w:rPr>
                <w:rFonts w:asciiTheme="minorHAnsi" w:hAnsiTheme="minorHAnsi"/>
              </w:rPr>
              <w:t xml:space="preserve"> issues as requested</w:t>
            </w:r>
            <w:r>
              <w:rPr>
                <w:rFonts w:asciiTheme="minorHAnsi" w:hAnsiTheme="minorHAnsi"/>
              </w:rPr>
              <w:t xml:space="preserve"> by the Government of Kiribati</w:t>
            </w:r>
            <w:r w:rsidRPr="004848A3">
              <w:rPr>
                <w:rFonts w:asciiTheme="minorHAnsi" w:hAnsiTheme="minorHAnsi"/>
              </w:rPr>
              <w:t>.</w:t>
            </w:r>
            <w:r>
              <w:rPr>
                <w:rFonts w:asciiTheme="minorHAnsi" w:hAnsiTheme="minorHAnsi"/>
              </w:rPr>
              <w:t xml:space="preserve"> </w:t>
            </w:r>
            <w:r w:rsidRPr="00C1502C">
              <w:rPr>
                <w:rFonts w:asciiTheme="minorHAnsi" w:hAnsiTheme="minorHAnsi"/>
              </w:rPr>
              <w:t xml:space="preserve">Kiribati </w:t>
            </w:r>
            <w:r>
              <w:rPr>
                <w:rFonts w:asciiTheme="minorHAnsi" w:hAnsiTheme="minorHAnsi"/>
              </w:rPr>
              <w:t xml:space="preserve">currently </w:t>
            </w:r>
            <w:r w:rsidRPr="00C1502C">
              <w:rPr>
                <w:rFonts w:asciiTheme="minorHAnsi" w:hAnsiTheme="minorHAnsi"/>
              </w:rPr>
              <w:t>still has a yellow card</w:t>
            </w:r>
            <w:r>
              <w:rPr>
                <w:rFonts w:asciiTheme="minorHAnsi" w:hAnsiTheme="minorHAnsi"/>
              </w:rPr>
              <w:t>.</w:t>
            </w:r>
          </w:p>
        </w:tc>
      </w:tr>
      <w:tr w:rsidR="001C47D3" w:rsidRPr="00812509" w:rsidTr="00A15862">
        <w:trPr>
          <w:cnfStyle w:val="000000010000" w:firstRow="0" w:lastRow="0" w:firstColumn="0" w:lastColumn="0" w:oddVBand="0" w:evenVBand="0" w:oddHBand="0" w:evenHBand="1" w:firstRowFirstColumn="0" w:firstRowLastColumn="0" w:lastRowFirstColumn="0" w:lastRowLastColumn="0"/>
        </w:trPr>
        <w:tc>
          <w:tcPr>
            <w:tcW w:w="62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E42C59" w:rsidRDefault="001C47D3" w:rsidP="001C47D3">
            <w:pPr>
              <w:keepLines/>
              <w:spacing w:before="40" w:after="40" w:line="200" w:lineRule="atLeast"/>
              <w:rPr>
                <w:rFonts w:asciiTheme="minorHAnsi" w:hAnsiTheme="minorHAnsi"/>
              </w:rPr>
            </w:pPr>
            <w:r>
              <w:rPr>
                <w:rFonts w:asciiTheme="minorHAnsi" w:hAnsiTheme="minorHAnsi"/>
              </w:rPr>
              <w:t>S</w:t>
            </w:r>
            <w:r w:rsidRPr="00E42C59">
              <w:rPr>
                <w:rFonts w:asciiTheme="minorHAnsi" w:hAnsiTheme="minorHAnsi"/>
              </w:rPr>
              <w:t>upport the Government of Kiribati to plan additional coastal managem</w:t>
            </w:r>
            <w:r>
              <w:rPr>
                <w:rFonts w:asciiTheme="minorHAnsi" w:hAnsiTheme="minorHAnsi"/>
              </w:rPr>
              <w:t>ent protection for South Tarawa.</w:t>
            </w:r>
          </w:p>
        </w:tc>
        <w:tc>
          <w:tcPr>
            <w:tcW w:w="1151" w:type="dxa"/>
            <w:tcBorders>
              <w:top w:val="none" w:sz="0" w:space="0" w:color="auto"/>
              <w:left w:val="none" w:sz="0" w:space="0" w:color="auto"/>
              <w:right w:val="none" w:sz="0" w:space="0" w:color="auto"/>
              <w:tl2br w:val="none" w:sz="0" w:space="0" w:color="auto"/>
              <w:tr2bl w:val="none" w:sz="0" w:space="0" w:color="auto"/>
            </w:tcBorders>
            <w:shd w:val="clear" w:color="auto" w:fill="FF9900"/>
          </w:tcPr>
          <w:p w:rsidR="001C47D3" w:rsidRPr="00812509" w:rsidRDefault="001C47D3" w:rsidP="001C47D3">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Partly achieved</w:t>
            </w:r>
          </w:p>
        </w:tc>
        <w:tc>
          <w:tcPr>
            <w:tcW w:w="6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CE4B31" w:rsidRDefault="001C47D3" w:rsidP="001C47D3">
            <w:pPr>
              <w:keepLines/>
              <w:spacing w:before="40" w:after="40" w:line="200" w:lineRule="atLeast"/>
              <w:rPr>
                <w:rFonts w:asciiTheme="minorHAnsi" w:hAnsiTheme="minorHAnsi"/>
              </w:rPr>
            </w:pPr>
            <w:r w:rsidRPr="00CB5933">
              <w:rPr>
                <w:rFonts w:asciiTheme="minorHAnsi" w:hAnsiTheme="minorHAnsi"/>
              </w:rPr>
              <w:t xml:space="preserve">Progress towards completion of the </w:t>
            </w:r>
            <w:r w:rsidRPr="00C00158">
              <w:rPr>
                <w:rFonts w:asciiTheme="minorHAnsi" w:hAnsiTheme="minorHAnsi"/>
                <w:i/>
              </w:rPr>
              <w:t>Long-term National Coastal Security Strategy</w:t>
            </w:r>
            <w:r w:rsidRPr="00CB5933">
              <w:rPr>
                <w:rFonts w:asciiTheme="minorHAnsi" w:hAnsiTheme="minorHAnsi"/>
              </w:rPr>
              <w:t xml:space="preserve"> has been limited due to contracting issues. However, the terms of reference has been drafted and it is anticipated that the work will be completed before the closure of the K</w:t>
            </w:r>
            <w:r>
              <w:rPr>
                <w:rFonts w:asciiTheme="minorHAnsi" w:hAnsiTheme="minorHAnsi"/>
              </w:rPr>
              <w:t xml:space="preserve">iribati </w:t>
            </w:r>
            <w:r w:rsidRPr="00CB5933">
              <w:rPr>
                <w:rFonts w:asciiTheme="minorHAnsi" w:hAnsiTheme="minorHAnsi"/>
              </w:rPr>
              <w:t>A</w:t>
            </w:r>
            <w:r>
              <w:rPr>
                <w:rFonts w:asciiTheme="minorHAnsi" w:hAnsiTheme="minorHAnsi"/>
              </w:rPr>
              <w:t xml:space="preserve">daptation </w:t>
            </w:r>
            <w:r w:rsidRPr="00CB5933">
              <w:rPr>
                <w:rFonts w:asciiTheme="minorHAnsi" w:hAnsiTheme="minorHAnsi"/>
              </w:rPr>
              <w:t>P</w:t>
            </w:r>
            <w:r>
              <w:rPr>
                <w:rFonts w:asciiTheme="minorHAnsi" w:hAnsiTheme="minorHAnsi"/>
              </w:rPr>
              <w:t xml:space="preserve">rogram </w:t>
            </w:r>
            <w:r w:rsidRPr="00CB5933">
              <w:rPr>
                <w:rFonts w:asciiTheme="minorHAnsi" w:hAnsiTheme="minorHAnsi"/>
              </w:rPr>
              <w:t>III in February 2018.</w:t>
            </w:r>
          </w:p>
        </w:tc>
      </w:tr>
      <w:tr w:rsidR="001C47D3" w:rsidRPr="00812509" w:rsidTr="00A53EB3">
        <w:trPr>
          <w:cnfStyle w:val="000000010000" w:firstRow="0" w:lastRow="0" w:firstColumn="0" w:lastColumn="0" w:oddVBand="0" w:evenVBand="0" w:oddHBand="0" w:evenHBand="1" w:firstRowFirstColumn="0" w:firstRowLastColumn="0" w:lastRowFirstColumn="0" w:lastRowLastColumn="0"/>
        </w:trPr>
        <w:tc>
          <w:tcPr>
            <w:tcW w:w="62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E42C59" w:rsidRDefault="001C47D3" w:rsidP="001C47D3">
            <w:pPr>
              <w:keepLines/>
              <w:spacing w:before="40" w:after="40" w:line="200" w:lineRule="atLeast"/>
              <w:rPr>
                <w:rFonts w:asciiTheme="minorHAnsi" w:hAnsiTheme="minorHAnsi"/>
              </w:rPr>
            </w:pPr>
            <w:r>
              <w:rPr>
                <w:rFonts w:asciiTheme="minorHAnsi" w:hAnsiTheme="minorHAnsi"/>
              </w:rPr>
              <w:t>S</w:t>
            </w:r>
            <w:r w:rsidRPr="00E42C59">
              <w:rPr>
                <w:rFonts w:asciiTheme="minorHAnsi" w:hAnsiTheme="minorHAnsi"/>
              </w:rPr>
              <w:t xml:space="preserve">upport the Government of Kiribati to access multilateral climate finance such as the Green Climate Fund, the Adaptation Fund and Climate Investment Fund. </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1C47D3" w:rsidRPr="00812509" w:rsidRDefault="001C47D3" w:rsidP="001C47D3">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6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CE4B31" w:rsidRDefault="007B6F70" w:rsidP="001C47D3">
            <w:pPr>
              <w:keepLines/>
              <w:spacing w:before="40" w:after="40" w:line="200" w:lineRule="atLeast"/>
              <w:rPr>
                <w:rFonts w:asciiTheme="minorHAnsi" w:hAnsiTheme="minorHAnsi"/>
              </w:rPr>
            </w:pPr>
            <w:r>
              <w:rPr>
                <w:rFonts w:asciiTheme="minorHAnsi" w:hAnsiTheme="minorHAnsi"/>
              </w:rPr>
              <w:t>Australia is funding an advise</w:t>
            </w:r>
            <w:r w:rsidR="001C47D3" w:rsidRPr="00CE4B31">
              <w:rPr>
                <w:rFonts w:asciiTheme="minorHAnsi" w:hAnsiTheme="minorHAnsi"/>
              </w:rPr>
              <w:t xml:space="preserve">r to assist the Government of Kiribati to access </w:t>
            </w:r>
            <w:r w:rsidR="001C47D3" w:rsidRPr="00E42C59">
              <w:rPr>
                <w:rFonts w:asciiTheme="minorHAnsi" w:hAnsiTheme="minorHAnsi"/>
              </w:rPr>
              <w:t>multilateral climate finance</w:t>
            </w:r>
            <w:r w:rsidR="001C47D3">
              <w:rPr>
                <w:rFonts w:asciiTheme="minorHAnsi" w:hAnsiTheme="minorHAnsi"/>
              </w:rPr>
              <w:t>, such as</w:t>
            </w:r>
            <w:r w:rsidR="001C47D3" w:rsidRPr="00E42C59">
              <w:rPr>
                <w:rFonts w:asciiTheme="minorHAnsi" w:hAnsiTheme="minorHAnsi"/>
              </w:rPr>
              <w:t xml:space="preserve"> </w:t>
            </w:r>
            <w:r w:rsidR="001C47D3" w:rsidRPr="00CE4B31">
              <w:rPr>
                <w:rFonts w:asciiTheme="minorHAnsi" w:hAnsiTheme="minorHAnsi"/>
              </w:rPr>
              <w:t>the Green Climate Fund.  This position has been instrumental in securing US$585,000 in Green Climate Fund readiness funding.</w:t>
            </w:r>
          </w:p>
        </w:tc>
      </w:tr>
      <w:tr w:rsidR="001C47D3" w:rsidRPr="00812509" w:rsidTr="00A53EB3">
        <w:trPr>
          <w:cnfStyle w:val="000000010000" w:firstRow="0" w:lastRow="0" w:firstColumn="0" w:lastColumn="0" w:oddVBand="0" w:evenVBand="0" w:oddHBand="0" w:evenHBand="1" w:firstRowFirstColumn="0" w:firstRowLastColumn="0" w:lastRowFirstColumn="0" w:lastRowLastColumn="0"/>
        </w:trPr>
        <w:tc>
          <w:tcPr>
            <w:tcW w:w="62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E42C59" w:rsidRDefault="001C47D3" w:rsidP="007B6F70">
            <w:pPr>
              <w:keepLines/>
              <w:spacing w:before="40" w:after="40" w:line="200" w:lineRule="atLeast"/>
              <w:rPr>
                <w:rFonts w:asciiTheme="minorHAnsi" w:hAnsiTheme="minorHAnsi"/>
              </w:rPr>
            </w:pPr>
            <w:r>
              <w:rPr>
                <w:rFonts w:asciiTheme="minorHAnsi" w:hAnsiTheme="minorHAnsi"/>
              </w:rPr>
              <w:t>I</w:t>
            </w:r>
            <w:r w:rsidRPr="00E42C59">
              <w:rPr>
                <w:rFonts w:asciiTheme="minorHAnsi" w:hAnsiTheme="minorHAnsi"/>
              </w:rPr>
              <w:t xml:space="preserve">ncrease the employability of </w:t>
            </w:r>
            <w:r w:rsidR="007B6F70">
              <w:rPr>
                <w:rFonts w:asciiTheme="minorHAnsi" w:hAnsiTheme="minorHAnsi"/>
              </w:rPr>
              <w:t>Kiribati Institute of Technology</w:t>
            </w:r>
            <w:r w:rsidRPr="00E42C59">
              <w:rPr>
                <w:rFonts w:asciiTheme="minorHAnsi" w:hAnsiTheme="minorHAnsi"/>
              </w:rPr>
              <w:t xml:space="preserve"> graduates by aligning courses with labour market demand; and provide support to access local and international labour markets through the Job Search </w:t>
            </w:r>
            <w:r w:rsidRPr="00133D60">
              <w:rPr>
                <w:rFonts w:asciiTheme="minorHAnsi" w:hAnsiTheme="minorHAnsi"/>
              </w:rPr>
              <w:t>Centre [now Employment Support Services].</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1C47D3" w:rsidRPr="00812509" w:rsidRDefault="001C47D3" w:rsidP="001C47D3">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6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CE4B31" w:rsidRDefault="001C47D3" w:rsidP="001C47D3">
            <w:pPr>
              <w:keepLines/>
              <w:spacing w:before="40" w:after="40" w:line="200" w:lineRule="atLeast"/>
              <w:rPr>
                <w:rFonts w:asciiTheme="minorHAnsi" w:hAnsiTheme="minorHAnsi"/>
              </w:rPr>
            </w:pPr>
            <w:r w:rsidRPr="00CE4B31">
              <w:rPr>
                <w:rFonts w:asciiTheme="minorHAnsi" w:hAnsiTheme="minorHAnsi"/>
              </w:rPr>
              <w:t>Australia funded a labour market study in 2016 to align KIT courses with</w:t>
            </w:r>
            <w:r w:rsidRPr="00E42C59">
              <w:rPr>
                <w:rFonts w:asciiTheme="minorHAnsi" w:hAnsiTheme="minorHAnsi"/>
              </w:rPr>
              <w:t xml:space="preserve"> labour market </w:t>
            </w:r>
            <w:r w:rsidRPr="00CE4B31">
              <w:rPr>
                <w:rFonts w:asciiTheme="minorHAnsi" w:hAnsiTheme="minorHAnsi"/>
              </w:rPr>
              <w:t xml:space="preserve">demand.  KIT Employment Support Services has helped dozens of graduates </w:t>
            </w:r>
            <w:r>
              <w:rPr>
                <w:rFonts w:asciiTheme="minorHAnsi" w:hAnsiTheme="minorHAnsi"/>
              </w:rPr>
              <w:t>find</w:t>
            </w:r>
            <w:r w:rsidRPr="00CE4B31">
              <w:rPr>
                <w:rFonts w:asciiTheme="minorHAnsi" w:hAnsiTheme="minorHAnsi"/>
              </w:rPr>
              <w:t xml:space="preserve"> work in Kiribati</w:t>
            </w:r>
            <w:r>
              <w:rPr>
                <w:rFonts w:asciiTheme="minorHAnsi" w:hAnsiTheme="minorHAnsi"/>
              </w:rPr>
              <w:t>,</w:t>
            </w:r>
            <w:r w:rsidRPr="00CE4B31">
              <w:rPr>
                <w:rFonts w:asciiTheme="minorHAnsi" w:hAnsiTheme="minorHAnsi"/>
              </w:rPr>
              <w:t xml:space="preserve"> and hundreds of candidates to improve their interview and English language skills for overseas opportunities, including the preparation of résumés. This support has enabled more than 30 I-Kiribati gain employment under the Northern Australia Worker Pilot Program and a record 113 I-Kiribati under the Seasonal Worker Programme.</w:t>
            </w:r>
          </w:p>
        </w:tc>
      </w:tr>
      <w:tr w:rsidR="001C47D3" w:rsidRPr="00812509" w:rsidTr="00A15862">
        <w:trPr>
          <w:cnfStyle w:val="000000010000" w:firstRow="0" w:lastRow="0" w:firstColumn="0" w:lastColumn="0" w:oddVBand="0" w:evenVBand="0" w:oddHBand="0" w:evenHBand="1" w:firstRowFirstColumn="0" w:firstRowLastColumn="0" w:lastRowFirstColumn="0" w:lastRowLastColumn="0"/>
          <w:trHeight w:val="496"/>
        </w:trPr>
        <w:tc>
          <w:tcPr>
            <w:tcW w:w="62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E42C59" w:rsidRDefault="001C47D3" w:rsidP="001C47D3">
            <w:pPr>
              <w:keepLines/>
              <w:spacing w:before="40" w:after="40" w:line="200" w:lineRule="atLeast"/>
              <w:rPr>
                <w:rFonts w:asciiTheme="minorHAnsi" w:hAnsiTheme="minorHAnsi"/>
              </w:rPr>
            </w:pPr>
            <w:r w:rsidRPr="00E42C59">
              <w:rPr>
                <w:rFonts w:asciiTheme="minorHAnsi" w:hAnsiTheme="minorHAnsi"/>
              </w:rPr>
              <w:t>Improve the quality of monitoring of the Australia Awards Scholarships program to gather more robust evidence to inform program management and reporting</w:t>
            </w:r>
            <w:r>
              <w:rPr>
                <w:rFonts w:asciiTheme="minorHAnsi" w:hAnsiTheme="minorHAnsi"/>
              </w:rPr>
              <w:t>.</w:t>
            </w:r>
          </w:p>
        </w:tc>
        <w:tc>
          <w:tcPr>
            <w:tcW w:w="1151" w:type="dxa"/>
            <w:tcBorders>
              <w:top w:val="none" w:sz="0" w:space="0" w:color="auto"/>
              <w:left w:val="none" w:sz="0" w:space="0" w:color="auto"/>
              <w:right w:val="none" w:sz="0" w:space="0" w:color="auto"/>
              <w:tl2br w:val="none" w:sz="0" w:space="0" w:color="auto"/>
              <w:tr2bl w:val="none" w:sz="0" w:space="0" w:color="auto"/>
            </w:tcBorders>
            <w:shd w:val="clear" w:color="auto" w:fill="FF9900"/>
          </w:tcPr>
          <w:p w:rsidR="001C47D3" w:rsidRPr="00812509" w:rsidRDefault="001C47D3" w:rsidP="001C47D3">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Partly achieved</w:t>
            </w:r>
          </w:p>
        </w:tc>
        <w:tc>
          <w:tcPr>
            <w:tcW w:w="6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C47D3" w:rsidRPr="00CB5933" w:rsidRDefault="001C47D3" w:rsidP="001C47D3">
            <w:pPr>
              <w:keepLines/>
              <w:spacing w:before="40" w:after="40" w:line="200" w:lineRule="atLeast"/>
              <w:rPr>
                <w:rFonts w:asciiTheme="minorHAnsi" w:hAnsiTheme="minorHAnsi"/>
              </w:rPr>
            </w:pPr>
            <w:r w:rsidRPr="00CB5933">
              <w:rPr>
                <w:rFonts w:asciiTheme="minorHAnsi" w:hAnsiTheme="minorHAnsi"/>
              </w:rPr>
              <w:t xml:space="preserve">An updated draft </w:t>
            </w:r>
            <w:r>
              <w:rPr>
                <w:rFonts w:asciiTheme="minorHAnsi" w:hAnsiTheme="minorHAnsi"/>
              </w:rPr>
              <w:t>m</w:t>
            </w:r>
            <w:r w:rsidRPr="00CB5933">
              <w:rPr>
                <w:rFonts w:asciiTheme="minorHAnsi" w:hAnsiTheme="minorHAnsi"/>
              </w:rPr>
              <w:t xml:space="preserve">onitoring and </w:t>
            </w:r>
            <w:r>
              <w:rPr>
                <w:rFonts w:asciiTheme="minorHAnsi" w:hAnsiTheme="minorHAnsi"/>
              </w:rPr>
              <w:t>e</w:t>
            </w:r>
            <w:r w:rsidRPr="00CB5933">
              <w:rPr>
                <w:rFonts w:asciiTheme="minorHAnsi" w:hAnsiTheme="minorHAnsi"/>
              </w:rPr>
              <w:t xml:space="preserve">valuation </w:t>
            </w:r>
            <w:r>
              <w:rPr>
                <w:rFonts w:asciiTheme="minorHAnsi" w:hAnsiTheme="minorHAnsi"/>
              </w:rPr>
              <w:t>f</w:t>
            </w:r>
            <w:r w:rsidRPr="00CB5933">
              <w:rPr>
                <w:rFonts w:asciiTheme="minorHAnsi" w:hAnsiTheme="minorHAnsi"/>
              </w:rPr>
              <w:t xml:space="preserve">ramework was prepared in late 2016. However, the framework was not finalised due to competing priorities in the implementation of the scholarships program. In 2017, the </w:t>
            </w:r>
            <w:r>
              <w:rPr>
                <w:rFonts w:asciiTheme="minorHAnsi" w:hAnsiTheme="minorHAnsi"/>
              </w:rPr>
              <w:t>m</w:t>
            </w:r>
            <w:r w:rsidRPr="00CB5933">
              <w:rPr>
                <w:rFonts w:asciiTheme="minorHAnsi" w:hAnsiTheme="minorHAnsi"/>
              </w:rPr>
              <w:t xml:space="preserve">onitoring and </w:t>
            </w:r>
            <w:r>
              <w:rPr>
                <w:rFonts w:asciiTheme="minorHAnsi" w:hAnsiTheme="minorHAnsi"/>
              </w:rPr>
              <w:t>e</w:t>
            </w:r>
            <w:r w:rsidRPr="00CB5933">
              <w:rPr>
                <w:rFonts w:asciiTheme="minorHAnsi" w:hAnsiTheme="minorHAnsi"/>
              </w:rPr>
              <w:t xml:space="preserve">valuation </w:t>
            </w:r>
            <w:r>
              <w:rPr>
                <w:rFonts w:asciiTheme="minorHAnsi" w:hAnsiTheme="minorHAnsi"/>
              </w:rPr>
              <w:t>f</w:t>
            </w:r>
            <w:r w:rsidRPr="00CB5933">
              <w:rPr>
                <w:rFonts w:asciiTheme="minorHAnsi" w:hAnsiTheme="minorHAnsi"/>
              </w:rPr>
              <w:t>ramework will be finalised and implemented, and the I-Kiribati Australia Awards alumni will participate in the Global Tracer Study to support more robust evidence to inform program management and reporting.</w:t>
            </w:r>
            <w:r>
              <w:rPr>
                <w:rFonts w:asciiTheme="minorHAnsi" w:hAnsiTheme="minorHAnsi"/>
              </w:rPr>
              <w:t xml:space="preserve"> </w:t>
            </w:r>
          </w:p>
        </w:tc>
      </w:tr>
      <w:tr w:rsidR="001C47D3" w:rsidRPr="00812509" w:rsidTr="00A53EB3">
        <w:trPr>
          <w:cnfStyle w:val="000000010000" w:firstRow="0" w:lastRow="0" w:firstColumn="0" w:lastColumn="0" w:oddVBand="0" w:evenVBand="0" w:oddHBand="0" w:evenHBand="1" w:firstRowFirstColumn="0" w:firstRowLastColumn="0" w:lastRowFirstColumn="0" w:lastRowLastColumn="0"/>
        </w:trPr>
        <w:tc>
          <w:tcPr>
            <w:tcW w:w="6284"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1C47D3" w:rsidRPr="00B01311" w:rsidRDefault="001C47D3" w:rsidP="001C47D3">
            <w:pPr>
              <w:keepLines/>
              <w:spacing w:before="40" w:after="40" w:line="200" w:lineRule="atLeast"/>
              <w:rPr>
                <w:rFonts w:asciiTheme="minorHAnsi" w:hAnsiTheme="minorHAnsi"/>
              </w:rPr>
            </w:pPr>
            <w:r w:rsidRPr="00B01311">
              <w:rPr>
                <w:rFonts w:asciiTheme="minorHAnsi" w:hAnsiTheme="minorHAnsi"/>
              </w:rPr>
              <w:t>Work with the Health Adviser to incorporate lessons learned from the independent review of the National Tuberculosis Program into the National Tuberculosis Strategic Plan and ensure that fiduciary risks associated with the transition to a Government of Kiribati-managed model are appropriately managed.</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1C47D3" w:rsidRPr="00B01311" w:rsidRDefault="001C47D3" w:rsidP="001C47D3">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6696"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1C47D3" w:rsidRPr="00CB5933" w:rsidRDefault="001C47D3" w:rsidP="001C47D3">
            <w:pPr>
              <w:keepLines/>
              <w:spacing w:before="40" w:after="40" w:line="200" w:lineRule="atLeast"/>
              <w:rPr>
                <w:rFonts w:asciiTheme="minorHAnsi" w:hAnsiTheme="minorHAnsi"/>
              </w:rPr>
            </w:pPr>
            <w:r w:rsidRPr="00CB5933">
              <w:rPr>
                <w:rFonts w:asciiTheme="minorHAnsi" w:hAnsiTheme="minorHAnsi"/>
              </w:rPr>
              <w:t xml:space="preserve">The updated </w:t>
            </w:r>
            <w:r w:rsidRPr="00C00158">
              <w:rPr>
                <w:rFonts w:asciiTheme="minorHAnsi" w:hAnsiTheme="minorHAnsi"/>
                <w:i/>
              </w:rPr>
              <w:t>National TB and Leprosy Strategic Plan (2016-20)</w:t>
            </w:r>
            <w:r w:rsidRPr="00CB5933">
              <w:rPr>
                <w:rFonts w:asciiTheme="minorHAnsi" w:hAnsiTheme="minorHAnsi"/>
              </w:rPr>
              <w:t xml:space="preserve"> incorporates lessons learned from the National TB Program review. The </w:t>
            </w:r>
            <w:r w:rsidRPr="00C00158">
              <w:rPr>
                <w:rFonts w:asciiTheme="minorHAnsi" w:hAnsiTheme="minorHAnsi"/>
                <w:i/>
              </w:rPr>
              <w:t>Transition Plan</w:t>
            </w:r>
            <w:r w:rsidRPr="00CB5933">
              <w:rPr>
                <w:rFonts w:asciiTheme="minorHAnsi" w:hAnsiTheme="minorHAnsi"/>
              </w:rPr>
              <w:t xml:space="preserve"> (for a single fund and management framework for the new National TB program) incorporates steps to manage the fiduciary risks associated with the transition to a Government of Kiribati-managed model. The transition has progressed very smoothly.</w:t>
            </w:r>
          </w:p>
        </w:tc>
      </w:tr>
    </w:tbl>
    <w:p w:rsidR="00AF1B85" w:rsidRPr="00D2168C" w:rsidRDefault="00AF1B85" w:rsidP="00AF1B85">
      <w:pPr>
        <w:spacing w:before="20" w:after="20" w:line="180" w:lineRule="atLeast"/>
        <w:jc w:val="both"/>
        <w:rPr>
          <w:rFonts w:eastAsia="Times New Roman"/>
          <w:b/>
          <w:i/>
          <w:sz w:val="16"/>
          <w:szCs w:val="14"/>
        </w:rPr>
      </w:pPr>
      <w:r w:rsidRPr="00D2168C">
        <w:rPr>
          <w:rFonts w:eastAsia="Times New Roman"/>
          <w:b/>
          <w:i/>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headerReference w:type="first" r:id="rId23"/>
          <w:pgSz w:w="16838" w:h="11906" w:orient="landscape" w:code="9"/>
          <w:pgMar w:top="1134" w:right="1952" w:bottom="1134" w:left="851" w:header="1107" w:footer="567" w:gutter="0"/>
          <w:cols w:space="397"/>
          <w:titlePg/>
          <w:docGrid w:linePitch="360"/>
        </w:sectPr>
      </w:pPr>
    </w:p>
    <w:p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tbl>
      <w:tblPr>
        <w:tblStyle w:val="DFATTable"/>
        <w:tblW w:w="5156" w:type="pct"/>
        <w:tblLook w:val="04A0" w:firstRow="1" w:lastRow="0" w:firstColumn="1" w:lastColumn="0" w:noHBand="0" w:noVBand="1"/>
      </w:tblPr>
      <w:tblGrid>
        <w:gridCol w:w="2191"/>
        <w:gridCol w:w="2628"/>
        <w:gridCol w:w="1320"/>
        <w:gridCol w:w="8334"/>
      </w:tblGrid>
      <w:tr w:rsidR="00184F1E" w:rsidRPr="00C61187" w:rsidTr="001C47D3">
        <w:trPr>
          <w:tblHeader/>
        </w:trPr>
        <w:tc>
          <w:tcPr>
            <w:tcW w:w="757" w:type="pct"/>
            <w:tcMar>
              <w:top w:w="57" w:type="dxa"/>
              <w:bottom w:w="57" w:type="dxa"/>
            </w:tcMar>
          </w:tcPr>
          <w:p w:rsidR="00184F1E" w:rsidRPr="00880004" w:rsidRDefault="00184F1E" w:rsidP="00BB58BF">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908" w:type="pct"/>
          </w:tcPr>
          <w:p w:rsidR="00184F1E" w:rsidRPr="00880004" w:rsidRDefault="00184F1E" w:rsidP="00BB58BF">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56" w:type="pct"/>
          </w:tcPr>
          <w:p w:rsidR="00184F1E" w:rsidRPr="00880004" w:rsidRDefault="00184F1E" w:rsidP="00BB58BF">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879" w:type="pct"/>
          </w:tcPr>
          <w:p w:rsidR="00184F1E" w:rsidRPr="00880004" w:rsidRDefault="00184F1E" w:rsidP="00BB58BF">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184F1E" w:rsidRPr="00C61187" w:rsidTr="001C47D3">
        <w:tc>
          <w:tcPr>
            <w:tcW w:w="757" w:type="pct"/>
            <w:tcMar>
              <w:top w:w="57" w:type="dxa"/>
              <w:bottom w:w="57" w:type="dxa"/>
            </w:tcMar>
          </w:tcPr>
          <w:p w:rsidR="00184F1E" w:rsidRPr="00880004" w:rsidRDefault="00BB58BF" w:rsidP="00BB58B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Implementation of Economic Reform Plan</w:t>
            </w:r>
          </w:p>
        </w:tc>
        <w:tc>
          <w:tcPr>
            <w:tcW w:w="908" w:type="pct"/>
          </w:tcPr>
          <w:p w:rsidR="00184F1E" w:rsidRPr="00880004" w:rsidRDefault="00BB58BF" w:rsidP="00CD17F4">
            <w:pPr>
              <w:keepLines/>
              <w:spacing w:before="40" w:after="40" w:line="200" w:lineRule="atLeast"/>
              <w:rPr>
                <w:rFonts w:asciiTheme="minorHAnsi" w:eastAsia="Times New Roman" w:hAnsiTheme="minorHAnsi"/>
                <w:iCs/>
                <w:szCs w:val="17"/>
                <w:lang w:eastAsia="en-US"/>
              </w:rPr>
            </w:pPr>
            <w:r w:rsidRPr="00BB58BF">
              <w:rPr>
                <w:rFonts w:asciiTheme="minorHAnsi" w:eastAsia="Times New Roman" w:hAnsiTheme="minorHAnsi"/>
                <w:iCs/>
                <w:szCs w:val="17"/>
                <w:lang w:eastAsia="en-US"/>
              </w:rPr>
              <w:t>Achievement of all prior action</w:t>
            </w:r>
            <w:r w:rsidR="00CD17F4">
              <w:rPr>
                <w:rFonts w:asciiTheme="minorHAnsi" w:eastAsia="Times New Roman" w:hAnsiTheme="minorHAnsi"/>
                <w:iCs/>
                <w:szCs w:val="17"/>
                <w:lang w:eastAsia="en-US"/>
              </w:rPr>
              <w:t xml:space="preserve">s under the Joint Policy </w:t>
            </w:r>
            <w:r w:rsidR="00782B44">
              <w:rPr>
                <w:rFonts w:asciiTheme="minorHAnsi" w:eastAsia="Times New Roman" w:hAnsiTheme="minorHAnsi"/>
                <w:iCs/>
                <w:szCs w:val="17"/>
                <w:lang w:eastAsia="en-US"/>
              </w:rPr>
              <w:t xml:space="preserve">Reform </w:t>
            </w:r>
            <w:r w:rsidR="00CD17F4">
              <w:rPr>
                <w:rFonts w:asciiTheme="minorHAnsi" w:eastAsia="Times New Roman" w:hAnsiTheme="minorHAnsi"/>
                <w:iCs/>
                <w:szCs w:val="17"/>
                <w:lang w:eastAsia="en-US"/>
              </w:rPr>
              <w:t>Matrix</w:t>
            </w:r>
            <w:r w:rsidRPr="00BB58BF">
              <w:rPr>
                <w:rFonts w:asciiTheme="minorHAnsi" w:eastAsia="Times New Roman" w:hAnsiTheme="minorHAnsi"/>
                <w:iCs/>
                <w:szCs w:val="17"/>
                <w:lang w:eastAsia="en-US"/>
              </w:rPr>
              <w:t xml:space="preserve"> triggers the release of donor funding.</w:t>
            </w:r>
          </w:p>
        </w:tc>
        <w:tc>
          <w:tcPr>
            <w:tcW w:w="456" w:type="pct"/>
            <w:shd w:val="clear" w:color="auto" w:fill="92D050"/>
          </w:tcPr>
          <w:p w:rsidR="00184F1E" w:rsidRPr="00880004" w:rsidRDefault="00184F1E" w:rsidP="00BB58BF">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879" w:type="pct"/>
          </w:tcPr>
          <w:p w:rsidR="001C5115" w:rsidRPr="00880004" w:rsidRDefault="001C5115" w:rsidP="003E1D8C">
            <w:pPr>
              <w:keepLines/>
              <w:spacing w:before="40" w:after="40" w:line="200" w:lineRule="atLeast"/>
              <w:rPr>
                <w:rFonts w:asciiTheme="minorHAnsi" w:eastAsia="Times New Roman" w:hAnsiTheme="minorHAnsi"/>
                <w:iCs/>
                <w:szCs w:val="17"/>
                <w:lang w:eastAsia="en-US"/>
              </w:rPr>
            </w:pPr>
            <w:r w:rsidRPr="00CE4B31">
              <w:rPr>
                <w:rFonts w:asciiTheme="minorHAnsi" w:eastAsia="Times New Roman" w:hAnsiTheme="minorHAnsi"/>
                <w:iCs/>
                <w:szCs w:val="17"/>
                <w:lang w:eastAsia="en-US"/>
              </w:rPr>
              <w:t>Six of the seven policy actions (outlined in the Join</w:t>
            </w:r>
            <w:r w:rsidR="00136FC4" w:rsidRPr="00CE4B31">
              <w:rPr>
                <w:rFonts w:asciiTheme="minorHAnsi" w:eastAsia="Times New Roman" w:hAnsiTheme="minorHAnsi"/>
                <w:iCs/>
                <w:szCs w:val="17"/>
                <w:lang w:eastAsia="en-US"/>
              </w:rPr>
              <w:t>t</w:t>
            </w:r>
            <w:r w:rsidRPr="00CE4B31">
              <w:rPr>
                <w:rFonts w:asciiTheme="minorHAnsi" w:eastAsia="Times New Roman" w:hAnsiTheme="minorHAnsi"/>
                <w:iCs/>
                <w:szCs w:val="17"/>
                <w:lang w:eastAsia="en-US"/>
              </w:rPr>
              <w:t xml:space="preserve"> Policy</w:t>
            </w:r>
            <w:r w:rsidR="00136FC4" w:rsidRPr="00CE4B31">
              <w:rPr>
                <w:rFonts w:asciiTheme="minorHAnsi" w:eastAsia="Times New Roman" w:hAnsiTheme="minorHAnsi"/>
                <w:iCs/>
                <w:szCs w:val="17"/>
                <w:lang w:eastAsia="en-US"/>
              </w:rPr>
              <w:t xml:space="preserve"> Reform</w:t>
            </w:r>
            <w:r w:rsidRPr="00CE4B31">
              <w:rPr>
                <w:rFonts w:asciiTheme="minorHAnsi" w:eastAsia="Times New Roman" w:hAnsiTheme="minorHAnsi"/>
                <w:iCs/>
                <w:szCs w:val="17"/>
                <w:lang w:eastAsia="en-US"/>
              </w:rPr>
              <w:t xml:space="preserve"> Matrix for 2016) were fully achieved and one was partly achieved. The Government of Kiribati has made strong progress towards completing the audited financial </w:t>
            </w:r>
            <w:r w:rsidR="00136FC4" w:rsidRPr="00CE4B31">
              <w:rPr>
                <w:rFonts w:asciiTheme="minorHAnsi" w:eastAsia="Times New Roman" w:hAnsiTheme="minorHAnsi"/>
                <w:iCs/>
                <w:szCs w:val="17"/>
                <w:lang w:eastAsia="en-US"/>
              </w:rPr>
              <w:t>statements of the five largest s</w:t>
            </w:r>
            <w:r w:rsidRPr="00CE4B31">
              <w:rPr>
                <w:rFonts w:asciiTheme="minorHAnsi" w:eastAsia="Times New Roman" w:hAnsiTheme="minorHAnsi"/>
                <w:iCs/>
                <w:szCs w:val="17"/>
                <w:lang w:eastAsia="en-US"/>
              </w:rPr>
              <w:t xml:space="preserve">tate </w:t>
            </w:r>
            <w:r w:rsidR="00136FC4" w:rsidRPr="00CE4B31">
              <w:rPr>
                <w:rFonts w:asciiTheme="minorHAnsi" w:eastAsia="Times New Roman" w:hAnsiTheme="minorHAnsi"/>
                <w:iCs/>
                <w:szCs w:val="17"/>
                <w:lang w:eastAsia="en-US"/>
              </w:rPr>
              <w:t>o</w:t>
            </w:r>
            <w:r w:rsidRPr="00CE4B31">
              <w:rPr>
                <w:rFonts w:asciiTheme="minorHAnsi" w:eastAsia="Times New Roman" w:hAnsiTheme="minorHAnsi"/>
                <w:iCs/>
                <w:szCs w:val="17"/>
                <w:lang w:eastAsia="en-US"/>
              </w:rPr>
              <w:t xml:space="preserve">wned </w:t>
            </w:r>
            <w:r w:rsidR="00136FC4" w:rsidRPr="00CE4B31">
              <w:rPr>
                <w:rFonts w:asciiTheme="minorHAnsi" w:eastAsia="Times New Roman" w:hAnsiTheme="minorHAnsi"/>
                <w:iCs/>
                <w:szCs w:val="17"/>
                <w:lang w:eastAsia="en-US"/>
              </w:rPr>
              <w:t>e</w:t>
            </w:r>
            <w:r w:rsidRPr="00CE4B31">
              <w:rPr>
                <w:rFonts w:asciiTheme="minorHAnsi" w:eastAsia="Times New Roman" w:hAnsiTheme="minorHAnsi"/>
                <w:iCs/>
                <w:szCs w:val="17"/>
                <w:lang w:eastAsia="en-US"/>
              </w:rPr>
              <w:t>nterprises and has committed to complet</w:t>
            </w:r>
            <w:r w:rsidR="00136FC4" w:rsidRPr="00CE4B31">
              <w:rPr>
                <w:rFonts w:asciiTheme="minorHAnsi" w:eastAsia="Times New Roman" w:hAnsiTheme="minorHAnsi"/>
                <w:iCs/>
                <w:szCs w:val="17"/>
                <w:lang w:eastAsia="en-US"/>
              </w:rPr>
              <w:t>e</w:t>
            </w:r>
            <w:r w:rsidRPr="00CE4B31">
              <w:rPr>
                <w:rFonts w:asciiTheme="minorHAnsi" w:eastAsia="Times New Roman" w:hAnsiTheme="minorHAnsi"/>
                <w:iCs/>
                <w:szCs w:val="17"/>
                <w:lang w:eastAsia="en-US"/>
              </w:rPr>
              <w:t xml:space="preserve"> this as a priority</w:t>
            </w:r>
            <w:r w:rsidR="00136FC4" w:rsidRPr="00CE4B31">
              <w:rPr>
                <w:rFonts w:asciiTheme="minorHAnsi" w:eastAsia="Times New Roman" w:hAnsiTheme="minorHAnsi"/>
                <w:iCs/>
                <w:szCs w:val="17"/>
                <w:lang w:eastAsia="en-US"/>
              </w:rPr>
              <w:t xml:space="preserve"> (expected by </w:t>
            </w:r>
            <w:r w:rsidR="003E1D8C">
              <w:rPr>
                <w:rFonts w:asciiTheme="minorHAnsi" w:eastAsia="Times New Roman" w:hAnsiTheme="minorHAnsi"/>
                <w:iCs/>
                <w:szCs w:val="17"/>
                <w:lang w:eastAsia="en-US"/>
              </w:rPr>
              <w:t>December</w:t>
            </w:r>
            <w:r w:rsidR="00136FC4" w:rsidRPr="00CE4B31">
              <w:rPr>
                <w:rFonts w:asciiTheme="minorHAnsi" w:eastAsia="Times New Roman" w:hAnsiTheme="minorHAnsi"/>
                <w:iCs/>
                <w:szCs w:val="17"/>
                <w:lang w:eastAsia="en-US"/>
              </w:rPr>
              <w:t xml:space="preserve"> 2017)</w:t>
            </w:r>
            <w:r w:rsidRPr="00CE4B31">
              <w:rPr>
                <w:rFonts w:asciiTheme="minorHAnsi" w:eastAsia="Times New Roman" w:hAnsiTheme="minorHAnsi"/>
                <w:iCs/>
                <w:szCs w:val="17"/>
                <w:lang w:eastAsia="en-US"/>
              </w:rPr>
              <w:t>.</w:t>
            </w:r>
            <w:r w:rsidR="00136FC4" w:rsidRPr="00CE4B31">
              <w:rPr>
                <w:rFonts w:asciiTheme="minorHAnsi" w:eastAsia="Times New Roman" w:hAnsiTheme="minorHAnsi"/>
                <w:iCs/>
                <w:szCs w:val="17"/>
                <w:lang w:eastAsia="en-US"/>
              </w:rPr>
              <w:t xml:space="preserve"> </w:t>
            </w:r>
          </w:p>
        </w:tc>
      </w:tr>
      <w:tr w:rsidR="00CD17F4" w:rsidRPr="00B01311" w:rsidTr="001C47D3">
        <w:tc>
          <w:tcPr>
            <w:tcW w:w="757" w:type="pct"/>
            <w:tcBorders>
              <w:top w:val="nil"/>
              <w:left w:val="nil"/>
              <w:bottom w:val="nil"/>
              <w:right w:val="nil"/>
            </w:tcBorders>
            <w:tcMar>
              <w:top w:w="57" w:type="dxa"/>
              <w:bottom w:w="57" w:type="dxa"/>
            </w:tcMar>
          </w:tcPr>
          <w:p w:rsidR="00CD17F4" w:rsidRPr="00880004" w:rsidRDefault="00CD17F4" w:rsidP="00CD17F4">
            <w:pPr>
              <w:keepLines/>
              <w:spacing w:before="40" w:after="40" w:line="200" w:lineRule="atLeast"/>
              <w:rPr>
                <w:rFonts w:asciiTheme="minorHAnsi" w:eastAsia="Times New Roman" w:hAnsiTheme="minorHAnsi"/>
                <w:iCs/>
                <w:szCs w:val="17"/>
                <w:lang w:eastAsia="en-US"/>
              </w:rPr>
            </w:pPr>
            <w:r w:rsidRPr="00BB58BF">
              <w:rPr>
                <w:rFonts w:asciiTheme="minorHAnsi" w:eastAsia="Times New Roman" w:hAnsiTheme="minorHAnsi"/>
                <w:iCs/>
                <w:szCs w:val="17"/>
                <w:lang w:eastAsia="en-US"/>
              </w:rPr>
              <w:t>Better educated and healthier population</w:t>
            </w:r>
          </w:p>
        </w:tc>
        <w:tc>
          <w:tcPr>
            <w:tcW w:w="908" w:type="pct"/>
            <w:tcBorders>
              <w:top w:val="nil"/>
              <w:left w:val="nil"/>
              <w:bottom w:val="nil"/>
              <w:right w:val="nil"/>
            </w:tcBorders>
          </w:tcPr>
          <w:p w:rsidR="00CD17F4" w:rsidRPr="00880004" w:rsidRDefault="00CD17F4" w:rsidP="00C95893">
            <w:pPr>
              <w:keepLines/>
              <w:spacing w:before="40" w:after="40" w:line="200" w:lineRule="atLeast"/>
              <w:rPr>
                <w:rFonts w:eastAsia="Times New Roman"/>
                <w:iCs/>
                <w:szCs w:val="17"/>
              </w:rPr>
            </w:pPr>
            <w:r w:rsidRPr="00BB58BF">
              <w:rPr>
                <w:rFonts w:asciiTheme="minorHAnsi" w:eastAsia="Times New Roman" w:hAnsiTheme="minorHAnsi"/>
                <w:iCs/>
                <w:szCs w:val="17"/>
                <w:lang w:eastAsia="en-US"/>
              </w:rPr>
              <w:t>80 per cent of permanent / contract teachers complete training in the de</w:t>
            </w:r>
            <w:r w:rsidR="00C95893">
              <w:rPr>
                <w:rFonts w:asciiTheme="minorHAnsi" w:eastAsia="Times New Roman" w:hAnsiTheme="minorHAnsi"/>
                <w:iCs/>
                <w:szCs w:val="17"/>
                <w:lang w:eastAsia="en-US"/>
              </w:rPr>
              <w:t>livery of new year 6 curriculum.</w:t>
            </w:r>
          </w:p>
        </w:tc>
        <w:tc>
          <w:tcPr>
            <w:tcW w:w="456" w:type="pct"/>
            <w:tcBorders>
              <w:bottom w:val="nil"/>
            </w:tcBorders>
            <w:shd w:val="clear" w:color="auto" w:fill="92D050"/>
          </w:tcPr>
          <w:p w:rsidR="00CD17F4" w:rsidRPr="00880004" w:rsidRDefault="00CD17F4" w:rsidP="00CD17F4">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879" w:type="pct"/>
            <w:tcBorders>
              <w:top w:val="nil"/>
              <w:left w:val="nil"/>
              <w:bottom w:val="nil"/>
              <w:right w:val="nil"/>
            </w:tcBorders>
          </w:tcPr>
          <w:p w:rsidR="00CD17F4" w:rsidRPr="00CE4B31" w:rsidRDefault="00580844" w:rsidP="00580844">
            <w:pPr>
              <w:keepLines/>
              <w:spacing w:before="40" w:after="40" w:line="200" w:lineRule="atLeast"/>
              <w:rPr>
                <w:rFonts w:asciiTheme="minorHAnsi" w:eastAsia="Times New Roman" w:hAnsiTheme="minorHAnsi"/>
                <w:iCs/>
                <w:szCs w:val="17"/>
                <w:lang w:eastAsia="en-US"/>
              </w:rPr>
            </w:pPr>
            <w:r w:rsidRPr="00CE4B31">
              <w:rPr>
                <w:rFonts w:asciiTheme="minorHAnsi" w:eastAsia="Times New Roman" w:hAnsiTheme="minorHAnsi"/>
                <w:iCs/>
                <w:szCs w:val="17"/>
                <w:lang w:eastAsia="en-US"/>
              </w:rPr>
              <w:t>87 per cent of Year 6 teachers (107 out of 122 teachers) across all 94 primary schools have received professional development training on delivering the new Year 6 curriculum. This training focuses on enabling teachers to support improved literacy, numeracy, English communication and reasoning skills through the new curriculum.</w:t>
            </w:r>
          </w:p>
        </w:tc>
      </w:tr>
      <w:tr w:rsidR="00CD17F4" w:rsidRPr="00B01311" w:rsidTr="001C47D3">
        <w:tc>
          <w:tcPr>
            <w:tcW w:w="757" w:type="pct"/>
            <w:tcBorders>
              <w:top w:val="nil"/>
              <w:left w:val="nil"/>
              <w:bottom w:val="nil"/>
              <w:right w:val="nil"/>
            </w:tcBorders>
            <w:tcMar>
              <w:top w:w="57" w:type="dxa"/>
              <w:bottom w:w="57" w:type="dxa"/>
            </w:tcMar>
          </w:tcPr>
          <w:p w:rsidR="00CD17F4" w:rsidRDefault="00CD17F4" w:rsidP="00CD17F4">
            <w:pPr>
              <w:keepLines/>
              <w:spacing w:before="40" w:after="40" w:line="200" w:lineRule="atLeast"/>
              <w:rPr>
                <w:rFonts w:eastAsia="Times New Roman"/>
                <w:iCs/>
                <w:szCs w:val="17"/>
              </w:rPr>
            </w:pPr>
          </w:p>
        </w:tc>
        <w:tc>
          <w:tcPr>
            <w:tcW w:w="908" w:type="pct"/>
            <w:tcBorders>
              <w:top w:val="nil"/>
              <w:left w:val="nil"/>
              <w:bottom w:val="nil"/>
              <w:right w:val="nil"/>
            </w:tcBorders>
          </w:tcPr>
          <w:p w:rsidR="00CD17F4" w:rsidRPr="00490366" w:rsidRDefault="00CD17F4" w:rsidP="00CD17F4">
            <w:pPr>
              <w:keepLines/>
              <w:spacing w:before="40" w:after="40" w:line="200" w:lineRule="atLeast"/>
              <w:rPr>
                <w:rFonts w:asciiTheme="minorHAnsi" w:eastAsia="Times New Roman" w:hAnsiTheme="minorHAnsi"/>
                <w:iCs/>
                <w:szCs w:val="17"/>
                <w:lang w:eastAsia="en-US"/>
              </w:rPr>
            </w:pPr>
            <w:r w:rsidRPr="00BB58BF">
              <w:rPr>
                <w:rFonts w:asciiTheme="minorHAnsi" w:eastAsia="Times New Roman" w:hAnsiTheme="minorHAnsi"/>
                <w:iCs/>
                <w:szCs w:val="17"/>
                <w:lang w:eastAsia="en-US"/>
              </w:rPr>
              <w:t>1056 children with improved learning spaces, and access for girls and boys including children with a disability to wash facilities</w:t>
            </w:r>
            <w:r>
              <w:rPr>
                <w:rFonts w:asciiTheme="minorHAnsi" w:eastAsia="Times New Roman" w:hAnsiTheme="minorHAnsi"/>
                <w:iCs/>
                <w:szCs w:val="17"/>
                <w:lang w:eastAsia="en-US"/>
              </w:rPr>
              <w:t>.</w:t>
            </w:r>
          </w:p>
        </w:tc>
        <w:tc>
          <w:tcPr>
            <w:tcW w:w="456" w:type="pct"/>
            <w:shd w:val="clear" w:color="auto" w:fill="92D050"/>
          </w:tcPr>
          <w:p w:rsidR="00CD17F4" w:rsidRPr="00880004" w:rsidRDefault="00CD17F4" w:rsidP="00CD17F4">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879" w:type="pct"/>
            <w:tcBorders>
              <w:top w:val="nil"/>
              <w:left w:val="nil"/>
              <w:bottom w:val="nil"/>
              <w:right w:val="nil"/>
            </w:tcBorders>
          </w:tcPr>
          <w:p w:rsidR="00CD17F4" w:rsidRPr="00CE4B31" w:rsidRDefault="00BB44E2" w:rsidP="00CE3D0D">
            <w:pPr>
              <w:keepLines/>
              <w:spacing w:before="40" w:after="40" w:line="200" w:lineRule="atLeast"/>
              <w:rPr>
                <w:rFonts w:asciiTheme="minorHAnsi" w:eastAsia="Times New Roman" w:hAnsiTheme="minorHAnsi"/>
                <w:iCs/>
                <w:szCs w:val="17"/>
                <w:lang w:eastAsia="en-US"/>
              </w:rPr>
            </w:pPr>
            <w:r w:rsidRPr="00CE4B31">
              <w:rPr>
                <w:rFonts w:asciiTheme="minorHAnsi" w:eastAsia="Times New Roman" w:hAnsiTheme="minorHAnsi"/>
                <w:iCs/>
                <w:szCs w:val="17"/>
                <w:lang w:eastAsia="en-US"/>
              </w:rPr>
              <w:t>Over 2,300 children have benefitted from improved learning spaces through the rehabilitation of two of the larger primary schools in South Tarawa and one in Kiritimati Island. To date</w:t>
            </w:r>
            <w:r w:rsidR="00CE3D0D">
              <w:rPr>
                <w:rFonts w:asciiTheme="minorHAnsi" w:eastAsia="Times New Roman" w:hAnsiTheme="minorHAnsi"/>
                <w:iCs/>
                <w:szCs w:val="17"/>
                <w:lang w:eastAsia="en-US"/>
              </w:rPr>
              <w:t>, Australia has rehabilitated</w:t>
            </w:r>
            <w:r w:rsidRPr="00CE4B31">
              <w:rPr>
                <w:rFonts w:asciiTheme="minorHAnsi" w:eastAsia="Times New Roman" w:hAnsiTheme="minorHAnsi"/>
                <w:iCs/>
                <w:szCs w:val="17"/>
                <w:lang w:eastAsia="en-US"/>
              </w:rPr>
              <w:t xml:space="preserve"> 19 of a total 24 schools across Kiribati. Rehabilitation works have included new ‘pre-fabricated kitset’ classrooms (elevated above ground level to withstand extreme king tide events), refurbished classrooms, new and upgraded rainwater tanks, sanitation facilities and access to potable water. All upgrades follow the Accessibility Design Guide standards, which ensure easy access for children of all-abilities to school facilities.</w:t>
            </w:r>
          </w:p>
        </w:tc>
      </w:tr>
      <w:tr w:rsidR="00133D60" w:rsidRPr="00C61187" w:rsidTr="00A15862">
        <w:tc>
          <w:tcPr>
            <w:tcW w:w="757" w:type="pct"/>
            <w:tcBorders>
              <w:top w:val="nil"/>
              <w:left w:val="nil"/>
              <w:bottom w:val="nil"/>
              <w:right w:val="nil"/>
            </w:tcBorders>
            <w:tcMar>
              <w:top w:w="57" w:type="dxa"/>
              <w:bottom w:w="57" w:type="dxa"/>
            </w:tcMar>
          </w:tcPr>
          <w:p w:rsidR="00133D60" w:rsidRDefault="00133D60" w:rsidP="00133D60">
            <w:pPr>
              <w:keepLines/>
              <w:spacing w:before="40" w:after="40" w:line="200" w:lineRule="atLeast"/>
              <w:rPr>
                <w:rFonts w:eastAsia="Times New Roman"/>
                <w:iCs/>
                <w:szCs w:val="17"/>
              </w:rPr>
            </w:pPr>
          </w:p>
        </w:tc>
        <w:tc>
          <w:tcPr>
            <w:tcW w:w="908" w:type="pct"/>
            <w:tcBorders>
              <w:top w:val="nil"/>
              <w:left w:val="nil"/>
              <w:bottom w:val="nil"/>
              <w:right w:val="nil"/>
            </w:tcBorders>
          </w:tcPr>
          <w:p w:rsidR="00133D60" w:rsidRPr="00BB58BF" w:rsidRDefault="00133D60" w:rsidP="00133D60">
            <w:pPr>
              <w:keepLines/>
              <w:spacing w:before="40" w:after="40" w:line="200" w:lineRule="atLeast"/>
              <w:rPr>
                <w:rFonts w:asciiTheme="minorHAnsi" w:eastAsia="Times New Roman" w:hAnsiTheme="minorHAnsi"/>
                <w:iCs/>
                <w:szCs w:val="17"/>
                <w:lang w:eastAsia="en-US"/>
              </w:rPr>
            </w:pPr>
            <w:r w:rsidRPr="00BB58BF">
              <w:rPr>
                <w:rFonts w:asciiTheme="minorHAnsi" w:eastAsia="Times New Roman" w:hAnsiTheme="minorHAnsi"/>
                <w:iCs/>
                <w:szCs w:val="17"/>
                <w:lang w:eastAsia="en-US"/>
              </w:rPr>
              <w:t>All trainers at KIT hold the training and professional qualifications for their industry within 12 months of commencing employment.</w:t>
            </w:r>
          </w:p>
        </w:tc>
        <w:tc>
          <w:tcPr>
            <w:tcW w:w="456" w:type="pct"/>
            <w:tcBorders>
              <w:bottom w:val="nil"/>
            </w:tcBorders>
            <w:shd w:val="clear" w:color="auto" w:fill="FF9900"/>
          </w:tcPr>
          <w:p w:rsidR="00133D60" w:rsidRPr="00880004" w:rsidRDefault="00133D60" w:rsidP="00133D60">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Partly achieved</w:t>
            </w:r>
          </w:p>
        </w:tc>
        <w:tc>
          <w:tcPr>
            <w:tcW w:w="2879" w:type="pct"/>
            <w:tcBorders>
              <w:top w:val="nil"/>
              <w:left w:val="nil"/>
              <w:bottom w:val="nil"/>
              <w:right w:val="nil"/>
            </w:tcBorders>
          </w:tcPr>
          <w:p w:rsidR="00986B2D" w:rsidRDefault="00986B2D" w:rsidP="00986B2D">
            <w:pPr>
              <w:pStyle w:val="TableTextEntries"/>
              <w:keepNext/>
              <w:rPr>
                <w:rFonts w:asciiTheme="minorHAnsi" w:hAnsiTheme="minorHAnsi" w:cstheme="minorBidi"/>
                <w:color w:val="495965" w:themeColor="text2"/>
                <w:lang w:val="en-GB"/>
              </w:rPr>
            </w:pPr>
            <w:r w:rsidRPr="00C903FB">
              <w:rPr>
                <w:rFonts w:asciiTheme="minorHAnsi" w:hAnsiTheme="minorHAnsi" w:cstheme="minorBidi"/>
                <w:color w:val="495965" w:themeColor="text2"/>
                <w:lang w:val="en-GB"/>
              </w:rPr>
              <w:t>95</w:t>
            </w:r>
            <w:r w:rsidR="001C47D3">
              <w:rPr>
                <w:rFonts w:asciiTheme="minorHAnsi" w:hAnsiTheme="minorHAnsi" w:cstheme="minorBidi"/>
                <w:color w:val="495965" w:themeColor="text2"/>
                <w:lang w:val="en-GB"/>
              </w:rPr>
              <w:t xml:space="preserve"> per cent</w:t>
            </w:r>
            <w:r w:rsidRPr="00C903FB">
              <w:rPr>
                <w:rFonts w:asciiTheme="minorHAnsi" w:hAnsiTheme="minorHAnsi" w:cstheme="minorBidi"/>
                <w:color w:val="495965" w:themeColor="text2"/>
                <w:lang w:val="en-GB"/>
              </w:rPr>
              <w:t xml:space="preserve"> of KIT lecturers hold the </w:t>
            </w:r>
            <w:r w:rsidR="00737182">
              <w:rPr>
                <w:rFonts w:asciiTheme="minorHAnsi" w:hAnsiTheme="minorHAnsi" w:cstheme="minorBidi"/>
                <w:color w:val="495965" w:themeColor="text2"/>
                <w:lang w:val="en-GB"/>
              </w:rPr>
              <w:t xml:space="preserve">necessary </w:t>
            </w:r>
            <w:r w:rsidRPr="00C903FB">
              <w:rPr>
                <w:rFonts w:asciiTheme="minorHAnsi" w:hAnsiTheme="minorHAnsi" w:cstheme="minorBidi"/>
                <w:color w:val="495965" w:themeColor="text2"/>
                <w:lang w:val="en-GB"/>
              </w:rPr>
              <w:t xml:space="preserve">TVET qualification for their </w:t>
            </w:r>
            <w:r>
              <w:rPr>
                <w:rFonts w:asciiTheme="minorHAnsi" w:hAnsiTheme="minorHAnsi" w:cstheme="minorBidi"/>
                <w:color w:val="495965" w:themeColor="text2"/>
                <w:lang w:val="en-GB"/>
              </w:rPr>
              <w:t>industry</w:t>
            </w:r>
            <w:r w:rsidRPr="00C903FB">
              <w:rPr>
                <w:rFonts w:asciiTheme="minorHAnsi" w:hAnsiTheme="minorHAnsi" w:cstheme="minorBidi"/>
                <w:color w:val="495965" w:themeColor="text2"/>
                <w:lang w:val="en-GB"/>
              </w:rPr>
              <w:t>,</w:t>
            </w:r>
            <w:r>
              <w:rPr>
                <w:rFonts w:asciiTheme="minorHAnsi" w:hAnsiTheme="minorHAnsi" w:cstheme="minorBidi"/>
                <w:color w:val="495965" w:themeColor="text2"/>
                <w:lang w:val="en-GB"/>
              </w:rPr>
              <w:t xml:space="preserve"> with the </w:t>
            </w:r>
            <w:r w:rsidRPr="00C903FB">
              <w:rPr>
                <w:rFonts w:asciiTheme="minorHAnsi" w:hAnsiTheme="minorHAnsi" w:cstheme="minorBidi"/>
                <w:color w:val="495965" w:themeColor="text2"/>
                <w:lang w:val="en-GB"/>
              </w:rPr>
              <w:t xml:space="preserve">remaining two lecturers </w:t>
            </w:r>
            <w:r w:rsidR="00737182">
              <w:rPr>
                <w:rFonts w:asciiTheme="minorHAnsi" w:hAnsiTheme="minorHAnsi" w:cstheme="minorBidi"/>
                <w:color w:val="495965" w:themeColor="text2"/>
                <w:lang w:val="en-GB"/>
              </w:rPr>
              <w:t>studying toward</w:t>
            </w:r>
            <w:r>
              <w:rPr>
                <w:rFonts w:asciiTheme="minorHAnsi" w:hAnsiTheme="minorHAnsi" w:cstheme="minorBidi"/>
                <w:color w:val="495965" w:themeColor="text2"/>
                <w:lang w:val="en-GB"/>
              </w:rPr>
              <w:t xml:space="preserve"> qualifications in 2017–18</w:t>
            </w:r>
            <w:r w:rsidRPr="00C903FB">
              <w:rPr>
                <w:rFonts w:asciiTheme="minorHAnsi" w:hAnsiTheme="minorHAnsi" w:cstheme="minorBidi"/>
                <w:color w:val="495965" w:themeColor="text2"/>
                <w:lang w:val="en-GB"/>
              </w:rPr>
              <w:t>.  87</w:t>
            </w:r>
            <w:r w:rsidR="001C47D3">
              <w:rPr>
                <w:rFonts w:asciiTheme="minorHAnsi" w:hAnsiTheme="minorHAnsi" w:cstheme="minorBidi"/>
                <w:color w:val="495965" w:themeColor="text2"/>
                <w:lang w:val="en-GB"/>
              </w:rPr>
              <w:t xml:space="preserve"> per cent </w:t>
            </w:r>
            <w:r w:rsidRPr="00C903FB">
              <w:rPr>
                <w:rFonts w:asciiTheme="minorHAnsi" w:hAnsiTheme="minorHAnsi" w:cstheme="minorBidi"/>
                <w:color w:val="495965" w:themeColor="text2"/>
                <w:lang w:val="en-GB"/>
              </w:rPr>
              <w:t>of lecturers</w:t>
            </w:r>
            <w:r>
              <w:rPr>
                <w:rFonts w:asciiTheme="minorHAnsi" w:hAnsiTheme="minorHAnsi" w:cstheme="minorBidi"/>
                <w:color w:val="495965" w:themeColor="text2"/>
                <w:lang w:val="en-GB"/>
              </w:rPr>
              <w:t xml:space="preserve"> hold</w:t>
            </w:r>
            <w:r w:rsidRPr="00C903FB">
              <w:rPr>
                <w:rFonts w:asciiTheme="minorHAnsi" w:hAnsiTheme="minorHAnsi" w:cstheme="minorBidi"/>
                <w:color w:val="495965" w:themeColor="text2"/>
                <w:lang w:val="en-GB"/>
              </w:rPr>
              <w:t xml:space="preserve"> a </w:t>
            </w:r>
            <w:r w:rsidR="00737182">
              <w:rPr>
                <w:rFonts w:asciiTheme="minorHAnsi" w:hAnsiTheme="minorHAnsi" w:cstheme="minorBidi"/>
                <w:color w:val="495965" w:themeColor="text2"/>
                <w:lang w:val="en-GB"/>
              </w:rPr>
              <w:t>Training and Education Certificate IV qualification</w:t>
            </w:r>
            <w:r w:rsidRPr="00C903FB">
              <w:rPr>
                <w:rFonts w:asciiTheme="minorHAnsi" w:hAnsiTheme="minorHAnsi" w:cstheme="minorBidi"/>
                <w:color w:val="495965" w:themeColor="text2"/>
                <w:lang w:val="en-GB"/>
              </w:rPr>
              <w:t xml:space="preserve"> or commenced</w:t>
            </w:r>
            <w:r>
              <w:rPr>
                <w:rFonts w:asciiTheme="minorHAnsi" w:hAnsiTheme="minorHAnsi" w:cstheme="minorBidi"/>
                <w:color w:val="495965" w:themeColor="text2"/>
                <w:lang w:val="en-GB"/>
              </w:rPr>
              <w:t xml:space="preserve"> their</w:t>
            </w:r>
            <w:r w:rsidRPr="00C903FB">
              <w:rPr>
                <w:rFonts w:asciiTheme="minorHAnsi" w:hAnsiTheme="minorHAnsi" w:cstheme="minorBidi"/>
                <w:color w:val="495965" w:themeColor="text2"/>
                <w:lang w:val="en-GB"/>
              </w:rPr>
              <w:t xml:space="preserve"> studies in 2016–17. The remaining five</w:t>
            </w:r>
            <w:r>
              <w:rPr>
                <w:rFonts w:asciiTheme="minorHAnsi" w:hAnsiTheme="minorHAnsi" w:cstheme="minorBidi"/>
                <w:color w:val="495965" w:themeColor="text2"/>
                <w:lang w:val="en-GB"/>
              </w:rPr>
              <w:t xml:space="preserve"> </w:t>
            </w:r>
            <w:r w:rsidRPr="00C903FB">
              <w:rPr>
                <w:rFonts w:asciiTheme="minorHAnsi" w:hAnsiTheme="minorHAnsi" w:cstheme="minorBidi"/>
                <w:color w:val="495965" w:themeColor="text2"/>
                <w:lang w:val="en-GB"/>
              </w:rPr>
              <w:t>School of Nursing and Health lecturers</w:t>
            </w:r>
            <w:r w:rsidR="00737182">
              <w:rPr>
                <w:rFonts w:asciiTheme="minorHAnsi" w:hAnsiTheme="minorHAnsi" w:cstheme="minorBidi"/>
                <w:color w:val="495965" w:themeColor="text2"/>
                <w:lang w:val="en-GB"/>
              </w:rPr>
              <w:t xml:space="preserve"> without a TAE qualification</w:t>
            </w:r>
            <w:r w:rsidRPr="00C903FB">
              <w:rPr>
                <w:rFonts w:asciiTheme="minorHAnsi" w:hAnsiTheme="minorHAnsi" w:cstheme="minorBidi"/>
                <w:color w:val="495965" w:themeColor="text2"/>
                <w:lang w:val="en-GB"/>
              </w:rPr>
              <w:t xml:space="preserve"> wi</w:t>
            </w:r>
            <w:r w:rsidR="00737182">
              <w:rPr>
                <w:rFonts w:asciiTheme="minorHAnsi" w:hAnsiTheme="minorHAnsi" w:cstheme="minorBidi"/>
                <w:color w:val="495965" w:themeColor="text2"/>
                <w:lang w:val="en-GB"/>
              </w:rPr>
              <w:t xml:space="preserve">ll commence studies in 2017-18, ensuring all current trainers are fully qualified by </w:t>
            </w:r>
            <w:r w:rsidRPr="00C903FB">
              <w:rPr>
                <w:rFonts w:asciiTheme="minorHAnsi" w:hAnsiTheme="minorHAnsi" w:cstheme="minorBidi"/>
                <w:color w:val="495965" w:themeColor="text2"/>
                <w:lang w:val="en-GB"/>
              </w:rPr>
              <w:t xml:space="preserve">2019. </w:t>
            </w:r>
          </w:p>
          <w:p w:rsidR="00133D60" w:rsidRPr="003A518C" w:rsidRDefault="00986B2D" w:rsidP="00986B2D">
            <w:pPr>
              <w:pStyle w:val="TableTextEntries"/>
              <w:keepNext/>
              <w:rPr>
                <w:rFonts w:asciiTheme="minorHAnsi" w:hAnsiTheme="minorHAnsi" w:cstheme="minorBidi"/>
                <w:color w:val="495965" w:themeColor="text2"/>
                <w:highlight w:val="cyan"/>
                <w:lang w:val="en-GB"/>
              </w:rPr>
            </w:pPr>
            <w:r w:rsidRPr="00C903FB">
              <w:rPr>
                <w:rFonts w:asciiTheme="minorHAnsi" w:hAnsiTheme="minorHAnsi" w:cstheme="minorBidi"/>
                <w:color w:val="495965" w:themeColor="text2"/>
                <w:lang w:val="en-GB" w:eastAsia="en-US"/>
              </w:rPr>
              <w:t>As professional training takes over 12 months to complete, this benchmark for future years will change to ‘All new trainers at KIT will have commenced training to obtain professional qualifications for their industry within 12 months of starting employment.’</w:t>
            </w:r>
          </w:p>
        </w:tc>
      </w:tr>
      <w:tr w:rsidR="00940611" w:rsidRPr="00C61187" w:rsidTr="00A15862">
        <w:tc>
          <w:tcPr>
            <w:tcW w:w="757" w:type="pct"/>
            <w:tcBorders>
              <w:top w:val="nil"/>
              <w:left w:val="nil"/>
              <w:bottom w:val="nil"/>
              <w:right w:val="nil"/>
            </w:tcBorders>
            <w:tcMar>
              <w:top w:w="57" w:type="dxa"/>
              <w:bottom w:w="57" w:type="dxa"/>
            </w:tcMar>
          </w:tcPr>
          <w:p w:rsidR="00940611" w:rsidRDefault="00940611" w:rsidP="00940611">
            <w:pPr>
              <w:keepLines/>
              <w:spacing w:before="40" w:after="40" w:line="200" w:lineRule="atLeast"/>
              <w:rPr>
                <w:rFonts w:eastAsia="Times New Roman"/>
                <w:iCs/>
                <w:szCs w:val="17"/>
              </w:rPr>
            </w:pPr>
          </w:p>
        </w:tc>
        <w:tc>
          <w:tcPr>
            <w:tcW w:w="908" w:type="pct"/>
            <w:tcBorders>
              <w:top w:val="nil"/>
              <w:left w:val="nil"/>
              <w:bottom w:val="nil"/>
              <w:right w:val="nil"/>
            </w:tcBorders>
          </w:tcPr>
          <w:p w:rsidR="00940611" w:rsidRPr="00BB58BF" w:rsidRDefault="00940611" w:rsidP="00940611">
            <w:pPr>
              <w:keepLines/>
              <w:spacing w:before="40" w:after="40" w:line="200" w:lineRule="atLeast"/>
              <w:rPr>
                <w:rFonts w:asciiTheme="minorHAnsi" w:eastAsia="Times New Roman" w:hAnsiTheme="minorHAnsi"/>
                <w:iCs/>
                <w:szCs w:val="17"/>
                <w:lang w:eastAsia="en-US"/>
              </w:rPr>
            </w:pPr>
            <w:r w:rsidRPr="00BB58BF">
              <w:rPr>
                <w:rFonts w:asciiTheme="minorHAnsi" w:eastAsia="Times New Roman" w:hAnsiTheme="minorHAnsi"/>
                <w:iCs/>
                <w:szCs w:val="17"/>
                <w:lang w:eastAsia="en-US"/>
              </w:rPr>
              <w:t xml:space="preserve">Accredited courses at KIT have a female participation rate of 49 per cent and a participation rate of 2 per cent by people with a declared disability. </w:t>
            </w:r>
          </w:p>
        </w:tc>
        <w:tc>
          <w:tcPr>
            <w:tcW w:w="456" w:type="pct"/>
            <w:tcBorders>
              <w:bottom w:val="nil"/>
            </w:tcBorders>
            <w:shd w:val="clear" w:color="auto" w:fill="FF9900"/>
          </w:tcPr>
          <w:p w:rsidR="00940611" w:rsidRPr="00880004" w:rsidRDefault="00940611" w:rsidP="00940611">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Partly achieved</w:t>
            </w:r>
          </w:p>
        </w:tc>
        <w:tc>
          <w:tcPr>
            <w:tcW w:w="2879" w:type="pct"/>
            <w:tcBorders>
              <w:top w:val="nil"/>
              <w:left w:val="nil"/>
              <w:bottom w:val="nil"/>
              <w:right w:val="nil"/>
            </w:tcBorders>
          </w:tcPr>
          <w:p w:rsidR="009E7459" w:rsidRDefault="00B1127D" w:rsidP="00940611">
            <w:pPr>
              <w:pStyle w:val="TableTextEntries"/>
              <w:keepNext/>
              <w:rPr>
                <w:rFonts w:asciiTheme="minorHAnsi" w:hAnsiTheme="minorHAnsi" w:cstheme="minorBidi"/>
                <w:color w:val="495965" w:themeColor="text2"/>
                <w:lang w:val="en-GB"/>
              </w:rPr>
            </w:pPr>
            <w:r>
              <w:rPr>
                <w:rFonts w:asciiTheme="minorHAnsi" w:hAnsiTheme="minorHAnsi" w:cstheme="minorBidi"/>
                <w:color w:val="495965" w:themeColor="text2"/>
                <w:lang w:val="en-GB"/>
              </w:rPr>
              <w:t>F</w:t>
            </w:r>
            <w:r w:rsidR="00940611" w:rsidRPr="00143755">
              <w:rPr>
                <w:rFonts w:asciiTheme="minorHAnsi" w:hAnsiTheme="minorHAnsi" w:cstheme="minorBidi"/>
                <w:color w:val="495965" w:themeColor="text2"/>
                <w:lang w:val="en-GB"/>
              </w:rPr>
              <w:t>emale</w:t>
            </w:r>
            <w:r w:rsidR="00940611" w:rsidRPr="000F2CFF">
              <w:rPr>
                <w:rFonts w:asciiTheme="minorHAnsi" w:hAnsiTheme="minorHAnsi" w:cstheme="minorBidi"/>
                <w:color w:val="495965" w:themeColor="text2"/>
                <w:lang w:val="en-GB"/>
              </w:rPr>
              <w:t xml:space="preserve"> participation </w:t>
            </w:r>
            <w:r w:rsidR="00940611">
              <w:rPr>
                <w:rFonts w:asciiTheme="minorHAnsi" w:hAnsiTheme="minorHAnsi" w:cstheme="minorBidi"/>
                <w:color w:val="495965" w:themeColor="text2"/>
                <w:lang w:val="en-GB"/>
              </w:rPr>
              <w:t xml:space="preserve">in KIT accredited courses </w:t>
            </w:r>
            <w:r w:rsidR="00992972">
              <w:rPr>
                <w:rFonts w:asciiTheme="minorHAnsi" w:hAnsiTheme="minorHAnsi" w:cstheme="minorBidi"/>
                <w:color w:val="495965" w:themeColor="text2"/>
                <w:lang w:val="en-GB"/>
              </w:rPr>
              <w:t xml:space="preserve">in 2016 </w:t>
            </w:r>
            <w:r w:rsidR="00940611">
              <w:rPr>
                <w:rFonts w:asciiTheme="minorHAnsi" w:hAnsiTheme="minorHAnsi" w:cstheme="minorBidi"/>
                <w:color w:val="495965" w:themeColor="text2"/>
                <w:lang w:val="en-GB"/>
              </w:rPr>
              <w:t>was</w:t>
            </w:r>
            <w:r w:rsidR="00940611" w:rsidRPr="000F2CFF">
              <w:rPr>
                <w:rFonts w:asciiTheme="minorHAnsi" w:hAnsiTheme="minorHAnsi" w:cstheme="minorBidi"/>
                <w:color w:val="495965" w:themeColor="text2"/>
                <w:lang w:val="en-GB"/>
              </w:rPr>
              <w:t xml:space="preserve"> </w:t>
            </w:r>
            <w:r w:rsidR="00940611">
              <w:rPr>
                <w:rFonts w:asciiTheme="minorHAnsi" w:hAnsiTheme="minorHAnsi" w:cstheme="minorBidi"/>
                <w:color w:val="495965" w:themeColor="text2"/>
                <w:lang w:val="en-GB"/>
              </w:rPr>
              <w:t xml:space="preserve">61 </w:t>
            </w:r>
            <w:r w:rsidR="00940611" w:rsidRPr="000F2CFF">
              <w:rPr>
                <w:rFonts w:asciiTheme="minorHAnsi" w:hAnsiTheme="minorHAnsi" w:cstheme="minorBidi"/>
                <w:color w:val="495965" w:themeColor="text2"/>
                <w:lang w:val="en-GB"/>
              </w:rPr>
              <w:t>per cent</w:t>
            </w:r>
            <w:r w:rsidR="00940611">
              <w:rPr>
                <w:rFonts w:asciiTheme="minorHAnsi" w:hAnsiTheme="minorHAnsi" w:cstheme="minorBidi"/>
                <w:color w:val="495965" w:themeColor="text2"/>
                <w:lang w:val="en-GB"/>
              </w:rPr>
              <w:t xml:space="preserve">. This increase </w:t>
            </w:r>
            <w:r>
              <w:rPr>
                <w:rFonts w:asciiTheme="minorHAnsi" w:hAnsiTheme="minorHAnsi" w:cstheme="minorBidi"/>
                <w:color w:val="495965" w:themeColor="text2"/>
                <w:lang w:val="en-GB"/>
              </w:rPr>
              <w:t xml:space="preserve">(from 48 per cent in 2015) </w:t>
            </w:r>
            <w:r w:rsidR="00940611">
              <w:rPr>
                <w:rFonts w:asciiTheme="minorHAnsi" w:hAnsiTheme="minorHAnsi" w:cstheme="minorBidi"/>
                <w:color w:val="495965" w:themeColor="text2"/>
                <w:lang w:val="en-GB"/>
              </w:rPr>
              <w:t>is</w:t>
            </w:r>
            <w:r>
              <w:rPr>
                <w:rFonts w:asciiTheme="minorHAnsi" w:hAnsiTheme="minorHAnsi" w:cstheme="minorBidi"/>
                <w:color w:val="495965" w:themeColor="text2"/>
                <w:lang w:val="en-GB"/>
              </w:rPr>
              <w:t xml:space="preserve"> mainly</w:t>
            </w:r>
            <w:r w:rsidR="00940611">
              <w:rPr>
                <w:rFonts w:asciiTheme="minorHAnsi" w:hAnsiTheme="minorHAnsi" w:cstheme="minorBidi"/>
                <w:color w:val="495965" w:themeColor="text2"/>
                <w:lang w:val="en-GB"/>
              </w:rPr>
              <w:t xml:space="preserve"> due to the incorporation of the School of Nursing and Health into KIT.</w:t>
            </w:r>
            <w:r w:rsidR="00992972">
              <w:rPr>
                <w:rFonts w:asciiTheme="minorHAnsi" w:hAnsiTheme="minorHAnsi" w:cstheme="minorBidi"/>
                <w:color w:val="495965" w:themeColor="text2"/>
                <w:lang w:val="en-GB"/>
              </w:rPr>
              <w:t xml:space="preserve"> </w:t>
            </w:r>
            <w:r w:rsidR="00940611">
              <w:rPr>
                <w:rFonts w:asciiTheme="minorHAnsi" w:hAnsiTheme="minorHAnsi" w:cstheme="minorBidi"/>
                <w:color w:val="495965" w:themeColor="text2"/>
                <w:lang w:val="en-GB"/>
              </w:rPr>
              <w:t xml:space="preserve">Efforts </w:t>
            </w:r>
            <w:r w:rsidR="00992972">
              <w:rPr>
                <w:rFonts w:asciiTheme="minorHAnsi" w:hAnsiTheme="minorHAnsi" w:cstheme="minorBidi"/>
                <w:color w:val="495965" w:themeColor="text2"/>
                <w:lang w:val="en-GB"/>
              </w:rPr>
              <w:t xml:space="preserve">to increase the participation of women in non-traditional courses </w:t>
            </w:r>
            <w:r>
              <w:rPr>
                <w:rFonts w:asciiTheme="minorHAnsi" w:hAnsiTheme="minorHAnsi" w:cstheme="minorBidi"/>
                <w:color w:val="495965" w:themeColor="text2"/>
                <w:lang w:val="en-GB"/>
              </w:rPr>
              <w:t>are</w:t>
            </w:r>
            <w:r w:rsidR="00940611">
              <w:rPr>
                <w:rFonts w:asciiTheme="minorHAnsi" w:hAnsiTheme="minorHAnsi" w:cstheme="minorBidi"/>
                <w:color w:val="495965" w:themeColor="text2"/>
                <w:lang w:val="en-GB"/>
              </w:rPr>
              <w:t xml:space="preserve"> also starting to deliver results. I</w:t>
            </w:r>
            <w:r w:rsidR="00940611" w:rsidRPr="004F7766">
              <w:rPr>
                <w:rFonts w:asciiTheme="minorHAnsi" w:hAnsiTheme="minorHAnsi" w:cstheme="minorBidi"/>
                <w:color w:val="495965" w:themeColor="text2"/>
                <w:lang w:val="en-GB"/>
              </w:rPr>
              <w:t>n 2017</w:t>
            </w:r>
            <w:r w:rsidR="00940611">
              <w:rPr>
                <w:rFonts w:asciiTheme="minorHAnsi" w:hAnsiTheme="minorHAnsi" w:cstheme="minorBidi"/>
                <w:color w:val="495965" w:themeColor="text2"/>
                <w:lang w:val="en-GB"/>
              </w:rPr>
              <w:t xml:space="preserve">, </w:t>
            </w:r>
            <w:r w:rsidR="00940611" w:rsidRPr="004F7766">
              <w:rPr>
                <w:rFonts w:asciiTheme="minorHAnsi" w:hAnsiTheme="minorHAnsi" w:cstheme="minorBidi"/>
                <w:color w:val="495965" w:themeColor="text2"/>
                <w:lang w:val="en-GB"/>
              </w:rPr>
              <w:t>the</w:t>
            </w:r>
            <w:r w:rsidR="00940611">
              <w:rPr>
                <w:rFonts w:asciiTheme="minorHAnsi" w:hAnsiTheme="minorHAnsi" w:cstheme="minorBidi"/>
                <w:color w:val="495965" w:themeColor="text2"/>
                <w:lang w:val="en-GB"/>
              </w:rPr>
              <w:t xml:space="preserve"> Kiribati</w:t>
            </w:r>
            <w:r w:rsidR="00940611" w:rsidRPr="004F7766">
              <w:rPr>
                <w:rFonts w:asciiTheme="minorHAnsi" w:hAnsiTheme="minorHAnsi" w:cstheme="minorBidi"/>
                <w:color w:val="495965" w:themeColor="text2"/>
                <w:lang w:val="en-GB"/>
              </w:rPr>
              <w:t xml:space="preserve"> P</w:t>
            </w:r>
            <w:r w:rsidR="00940611">
              <w:rPr>
                <w:rFonts w:asciiTheme="minorHAnsi" w:hAnsiTheme="minorHAnsi" w:cstheme="minorBidi"/>
                <w:color w:val="495965" w:themeColor="text2"/>
                <w:lang w:val="en-GB"/>
              </w:rPr>
              <w:t xml:space="preserve">ublic </w:t>
            </w:r>
            <w:r w:rsidR="00940611" w:rsidRPr="004F7766">
              <w:rPr>
                <w:rFonts w:asciiTheme="minorHAnsi" w:hAnsiTheme="minorHAnsi" w:cstheme="minorBidi"/>
                <w:color w:val="495965" w:themeColor="text2"/>
                <w:lang w:val="en-GB"/>
              </w:rPr>
              <w:t>U</w:t>
            </w:r>
            <w:r w:rsidR="00940611">
              <w:rPr>
                <w:rFonts w:asciiTheme="minorHAnsi" w:hAnsiTheme="minorHAnsi" w:cstheme="minorBidi"/>
                <w:color w:val="495965" w:themeColor="text2"/>
                <w:lang w:val="en-GB"/>
              </w:rPr>
              <w:t xml:space="preserve">tilities </w:t>
            </w:r>
            <w:r w:rsidR="00940611" w:rsidRPr="004F7766">
              <w:rPr>
                <w:rFonts w:asciiTheme="minorHAnsi" w:hAnsiTheme="minorHAnsi" w:cstheme="minorBidi"/>
                <w:color w:val="495965" w:themeColor="text2"/>
                <w:lang w:val="en-GB"/>
              </w:rPr>
              <w:t>B</w:t>
            </w:r>
            <w:r w:rsidR="00940611">
              <w:rPr>
                <w:rFonts w:asciiTheme="minorHAnsi" w:hAnsiTheme="minorHAnsi" w:cstheme="minorBidi"/>
                <w:color w:val="495965" w:themeColor="text2"/>
                <w:lang w:val="en-GB"/>
              </w:rPr>
              <w:t xml:space="preserve">oard </w:t>
            </w:r>
            <w:r w:rsidR="005906CB">
              <w:rPr>
                <w:rFonts w:asciiTheme="minorHAnsi" w:hAnsiTheme="minorHAnsi" w:cstheme="minorBidi"/>
                <w:color w:val="495965" w:themeColor="text2"/>
                <w:lang w:val="en-GB"/>
              </w:rPr>
              <w:t>offered 6-month internships to</w:t>
            </w:r>
            <w:r w:rsidR="00A53EB3">
              <w:rPr>
                <w:rFonts w:asciiTheme="minorHAnsi" w:hAnsiTheme="minorHAnsi" w:cstheme="minorBidi"/>
                <w:color w:val="495965" w:themeColor="text2"/>
                <w:lang w:val="en-GB"/>
              </w:rPr>
              <w:t xml:space="preserve"> </w:t>
            </w:r>
            <w:r w:rsidR="005906CB">
              <w:rPr>
                <w:rFonts w:asciiTheme="minorHAnsi" w:hAnsiTheme="minorHAnsi" w:cstheme="minorBidi"/>
                <w:color w:val="495965" w:themeColor="text2"/>
                <w:lang w:val="en-GB"/>
              </w:rPr>
              <w:t xml:space="preserve">all </w:t>
            </w:r>
            <w:r w:rsidR="00940611" w:rsidRPr="004F7766">
              <w:rPr>
                <w:rFonts w:asciiTheme="minorHAnsi" w:hAnsiTheme="minorHAnsi" w:cstheme="minorBidi"/>
                <w:color w:val="495965" w:themeColor="text2"/>
                <w:lang w:val="en-GB"/>
              </w:rPr>
              <w:t xml:space="preserve">12 </w:t>
            </w:r>
            <w:r w:rsidR="005906CB">
              <w:rPr>
                <w:rFonts w:asciiTheme="minorHAnsi" w:hAnsiTheme="minorHAnsi" w:cstheme="minorBidi"/>
                <w:color w:val="495965" w:themeColor="text2"/>
                <w:lang w:val="en-GB"/>
              </w:rPr>
              <w:t>women</w:t>
            </w:r>
            <w:r w:rsidR="00A53EB3">
              <w:rPr>
                <w:rFonts w:asciiTheme="minorHAnsi" w:hAnsiTheme="minorHAnsi" w:cstheme="minorBidi"/>
                <w:color w:val="495965" w:themeColor="text2"/>
                <w:lang w:val="en-GB"/>
              </w:rPr>
              <w:t xml:space="preserve"> who </w:t>
            </w:r>
            <w:r w:rsidR="005906CB">
              <w:rPr>
                <w:rFonts w:asciiTheme="minorHAnsi" w:hAnsiTheme="minorHAnsi" w:cstheme="minorBidi"/>
                <w:color w:val="495965" w:themeColor="text2"/>
                <w:lang w:val="en-GB"/>
              </w:rPr>
              <w:t xml:space="preserve">graduated with a </w:t>
            </w:r>
            <w:r w:rsidR="00A53EB3">
              <w:rPr>
                <w:rFonts w:asciiTheme="minorHAnsi" w:hAnsiTheme="minorHAnsi" w:cstheme="minorBidi"/>
                <w:color w:val="495965" w:themeColor="text2"/>
                <w:lang w:val="en-GB"/>
              </w:rPr>
              <w:t xml:space="preserve">KIT Certificate Level 2 in </w:t>
            </w:r>
            <w:r w:rsidR="00940611">
              <w:rPr>
                <w:rFonts w:asciiTheme="minorHAnsi" w:hAnsiTheme="minorHAnsi" w:cstheme="minorBidi"/>
                <w:color w:val="495965" w:themeColor="text2"/>
                <w:lang w:val="en-GB"/>
              </w:rPr>
              <w:t>a</w:t>
            </w:r>
            <w:r w:rsidR="00940611" w:rsidRPr="004F7766">
              <w:rPr>
                <w:rFonts w:asciiTheme="minorHAnsi" w:hAnsiTheme="minorHAnsi" w:cstheme="minorBidi"/>
                <w:color w:val="495965" w:themeColor="text2"/>
                <w:lang w:val="en-GB"/>
              </w:rPr>
              <w:t xml:space="preserve">utomotive, </w:t>
            </w:r>
            <w:r w:rsidR="00940611">
              <w:rPr>
                <w:rFonts w:asciiTheme="minorHAnsi" w:hAnsiTheme="minorHAnsi" w:cstheme="minorBidi"/>
                <w:color w:val="495965" w:themeColor="text2"/>
                <w:lang w:val="en-GB"/>
              </w:rPr>
              <w:t>p</w:t>
            </w:r>
            <w:r w:rsidR="00940611" w:rsidRPr="004F7766">
              <w:rPr>
                <w:rFonts w:asciiTheme="minorHAnsi" w:hAnsiTheme="minorHAnsi" w:cstheme="minorBidi"/>
                <w:color w:val="495965" w:themeColor="text2"/>
                <w:lang w:val="en-GB"/>
              </w:rPr>
              <w:t xml:space="preserve">lumbing </w:t>
            </w:r>
            <w:r w:rsidR="005906CB">
              <w:rPr>
                <w:rFonts w:asciiTheme="minorHAnsi" w:hAnsiTheme="minorHAnsi" w:cstheme="minorBidi"/>
                <w:color w:val="495965" w:themeColor="text2"/>
                <w:lang w:val="en-GB"/>
              </w:rPr>
              <w:t>or</w:t>
            </w:r>
            <w:r w:rsidR="00940611" w:rsidRPr="004F7766">
              <w:rPr>
                <w:rFonts w:asciiTheme="minorHAnsi" w:hAnsiTheme="minorHAnsi" w:cstheme="minorBidi"/>
                <w:color w:val="495965" w:themeColor="text2"/>
                <w:lang w:val="en-GB"/>
              </w:rPr>
              <w:t xml:space="preserve"> </w:t>
            </w:r>
            <w:r w:rsidR="00940611">
              <w:rPr>
                <w:rFonts w:asciiTheme="minorHAnsi" w:hAnsiTheme="minorHAnsi" w:cstheme="minorBidi"/>
                <w:color w:val="495965" w:themeColor="text2"/>
                <w:lang w:val="en-GB"/>
              </w:rPr>
              <w:t>e</w:t>
            </w:r>
            <w:r w:rsidR="00940611" w:rsidRPr="004F7766">
              <w:rPr>
                <w:rFonts w:asciiTheme="minorHAnsi" w:hAnsiTheme="minorHAnsi" w:cstheme="minorBidi"/>
                <w:color w:val="495965" w:themeColor="text2"/>
                <w:lang w:val="en-GB"/>
              </w:rPr>
              <w:t>lectrical</w:t>
            </w:r>
            <w:r w:rsidR="00A53EB3">
              <w:rPr>
                <w:rFonts w:asciiTheme="minorHAnsi" w:hAnsiTheme="minorHAnsi" w:cstheme="minorBidi"/>
                <w:color w:val="495965" w:themeColor="text2"/>
                <w:lang w:val="en-GB"/>
              </w:rPr>
              <w:t xml:space="preserve"> studies</w:t>
            </w:r>
            <w:r w:rsidR="00940611" w:rsidRPr="004F7766">
              <w:rPr>
                <w:rFonts w:asciiTheme="minorHAnsi" w:hAnsiTheme="minorHAnsi" w:cstheme="minorBidi"/>
                <w:color w:val="495965" w:themeColor="text2"/>
                <w:lang w:val="en-GB"/>
              </w:rPr>
              <w:t>.</w:t>
            </w:r>
            <w:r w:rsidR="00940611">
              <w:rPr>
                <w:rFonts w:asciiTheme="minorHAnsi" w:hAnsiTheme="minorHAnsi" w:cstheme="minorBidi"/>
                <w:color w:val="495965" w:themeColor="text2"/>
                <w:lang w:val="en-GB"/>
              </w:rPr>
              <w:t xml:space="preserve"> </w:t>
            </w:r>
            <w:r w:rsidR="00992972">
              <w:rPr>
                <w:rFonts w:asciiTheme="minorHAnsi" w:hAnsiTheme="minorHAnsi" w:cstheme="minorBidi"/>
                <w:color w:val="495965" w:themeColor="text2"/>
                <w:lang w:val="en-GB"/>
              </w:rPr>
              <w:t xml:space="preserve">In 2017-18, </w:t>
            </w:r>
            <w:r w:rsidR="00A53EB3">
              <w:rPr>
                <w:rFonts w:asciiTheme="minorHAnsi" w:hAnsiTheme="minorHAnsi" w:cstheme="minorBidi"/>
                <w:color w:val="495965" w:themeColor="text2"/>
                <w:lang w:val="en-GB"/>
              </w:rPr>
              <w:t>KIT is developing new</w:t>
            </w:r>
            <w:r w:rsidR="00992972">
              <w:rPr>
                <w:rFonts w:asciiTheme="minorHAnsi" w:hAnsiTheme="minorHAnsi" w:cstheme="minorBidi"/>
                <w:color w:val="495965" w:themeColor="text2"/>
                <w:lang w:val="en-GB"/>
              </w:rPr>
              <w:t xml:space="preserve"> initiatives </w:t>
            </w:r>
            <w:r w:rsidR="00A53EB3">
              <w:rPr>
                <w:rFonts w:asciiTheme="minorHAnsi" w:hAnsiTheme="minorHAnsi" w:cstheme="minorBidi"/>
                <w:color w:val="495965" w:themeColor="text2"/>
                <w:lang w:val="en-GB"/>
              </w:rPr>
              <w:t>to increase the participation of women in non-traditional courses</w:t>
            </w:r>
            <w:r w:rsidR="00992972">
              <w:rPr>
                <w:rFonts w:asciiTheme="minorHAnsi" w:hAnsiTheme="minorHAnsi" w:cstheme="minorBidi"/>
                <w:color w:val="495965" w:themeColor="text2"/>
                <w:lang w:val="en-GB"/>
              </w:rPr>
              <w:t>, in line with the Community Support Strategy.</w:t>
            </w:r>
          </w:p>
          <w:p w:rsidR="00940611" w:rsidRPr="003A518C" w:rsidRDefault="00EC42B9" w:rsidP="005906CB">
            <w:pPr>
              <w:pStyle w:val="TableTextEntries"/>
              <w:keepNext/>
              <w:rPr>
                <w:rFonts w:asciiTheme="minorHAnsi" w:hAnsiTheme="minorHAnsi" w:cstheme="minorBidi"/>
                <w:color w:val="495965" w:themeColor="text2"/>
                <w:lang w:val="en-GB"/>
              </w:rPr>
            </w:pPr>
            <w:r>
              <w:rPr>
                <w:rFonts w:asciiTheme="minorHAnsi" w:hAnsiTheme="minorHAnsi" w:cstheme="minorBidi"/>
                <w:color w:val="495965" w:themeColor="text2"/>
                <w:lang w:val="en-GB"/>
              </w:rPr>
              <w:t xml:space="preserve">Good progress is </w:t>
            </w:r>
            <w:r w:rsidR="00A53EB3">
              <w:rPr>
                <w:rFonts w:asciiTheme="minorHAnsi" w:hAnsiTheme="minorHAnsi" w:cstheme="minorBidi"/>
                <w:color w:val="495965" w:themeColor="text2"/>
                <w:lang w:val="en-GB"/>
              </w:rPr>
              <w:t xml:space="preserve">also </w:t>
            </w:r>
            <w:r>
              <w:rPr>
                <w:rFonts w:asciiTheme="minorHAnsi" w:hAnsiTheme="minorHAnsi" w:cstheme="minorBidi"/>
                <w:color w:val="495965" w:themeColor="text2"/>
                <w:lang w:val="en-GB"/>
              </w:rPr>
              <w:t xml:space="preserve">being made on increasing the participation of disabled students in KIT. In 2017, KIT piloted dedicated short courses for visually impaired students (IT) and hearing impaired students (construction). </w:t>
            </w:r>
            <w:r w:rsidR="00A53EB3" w:rsidRPr="009E7459">
              <w:rPr>
                <w:rFonts w:asciiTheme="minorHAnsi" w:hAnsiTheme="minorHAnsi" w:cstheme="minorBidi"/>
                <w:color w:val="495965" w:themeColor="text2"/>
                <w:lang w:val="en-GB"/>
              </w:rPr>
              <w:t>I</w:t>
            </w:r>
            <w:r w:rsidR="00A53EB3">
              <w:rPr>
                <w:rFonts w:asciiTheme="minorHAnsi" w:hAnsiTheme="minorHAnsi" w:cstheme="minorBidi"/>
                <w:color w:val="495965" w:themeColor="text2"/>
                <w:lang w:val="en-GB"/>
              </w:rPr>
              <w:t>n 2017, disability questions were</w:t>
            </w:r>
            <w:r w:rsidR="005906CB">
              <w:rPr>
                <w:rFonts w:asciiTheme="minorHAnsi" w:hAnsiTheme="minorHAnsi" w:cstheme="minorBidi"/>
                <w:color w:val="495965" w:themeColor="text2"/>
                <w:lang w:val="en-GB"/>
              </w:rPr>
              <w:t>,</w:t>
            </w:r>
            <w:r w:rsidR="00A53EB3">
              <w:rPr>
                <w:rFonts w:asciiTheme="minorHAnsi" w:hAnsiTheme="minorHAnsi" w:cstheme="minorBidi"/>
                <w:color w:val="495965" w:themeColor="text2"/>
                <w:lang w:val="en-GB"/>
              </w:rPr>
              <w:t xml:space="preserve"> </w:t>
            </w:r>
            <w:r w:rsidR="005906CB">
              <w:rPr>
                <w:rFonts w:asciiTheme="minorHAnsi" w:hAnsiTheme="minorHAnsi" w:cstheme="minorBidi"/>
                <w:color w:val="495965" w:themeColor="text2"/>
                <w:lang w:val="en-GB"/>
              </w:rPr>
              <w:t xml:space="preserve">for the first time, </w:t>
            </w:r>
            <w:r w:rsidR="00A53EB3">
              <w:rPr>
                <w:rFonts w:asciiTheme="minorHAnsi" w:hAnsiTheme="minorHAnsi" w:cstheme="minorBidi"/>
                <w:color w:val="495965" w:themeColor="text2"/>
                <w:lang w:val="en-GB"/>
              </w:rPr>
              <w:t xml:space="preserve">included on the KIT registration form. </w:t>
            </w:r>
            <w:r>
              <w:rPr>
                <w:rFonts w:asciiTheme="minorHAnsi" w:hAnsiTheme="minorHAnsi" w:cstheme="minorBidi"/>
                <w:color w:val="495965" w:themeColor="text2"/>
                <w:lang w:val="en-GB"/>
              </w:rPr>
              <w:t xml:space="preserve"> </w:t>
            </w:r>
            <w:r w:rsidR="00A53EB3">
              <w:rPr>
                <w:rFonts w:asciiTheme="minorHAnsi" w:hAnsiTheme="minorHAnsi" w:cstheme="minorBidi"/>
                <w:color w:val="495965" w:themeColor="text2"/>
                <w:lang w:val="en-GB"/>
              </w:rPr>
              <w:t>However, as that data is not yet in the student management system</w:t>
            </w:r>
            <w:r>
              <w:rPr>
                <w:rFonts w:asciiTheme="minorHAnsi" w:hAnsiTheme="minorHAnsi" w:cstheme="minorBidi"/>
                <w:color w:val="495965" w:themeColor="text2"/>
                <w:lang w:val="en-GB"/>
              </w:rPr>
              <w:t xml:space="preserve">, statistics on </w:t>
            </w:r>
            <w:r w:rsidR="009E7459">
              <w:rPr>
                <w:rFonts w:asciiTheme="minorHAnsi" w:hAnsiTheme="minorHAnsi" w:cstheme="minorBidi"/>
                <w:color w:val="495965" w:themeColor="text2"/>
                <w:lang w:val="en-GB"/>
              </w:rPr>
              <w:t>students</w:t>
            </w:r>
            <w:r w:rsidR="009E7459" w:rsidRPr="009E7459">
              <w:rPr>
                <w:rFonts w:asciiTheme="minorHAnsi" w:hAnsiTheme="minorHAnsi" w:cstheme="minorBidi"/>
                <w:color w:val="495965" w:themeColor="text2"/>
                <w:lang w:val="en-GB"/>
              </w:rPr>
              <w:t xml:space="preserve"> with a </w:t>
            </w:r>
            <w:r>
              <w:rPr>
                <w:rFonts w:asciiTheme="minorHAnsi" w:hAnsiTheme="minorHAnsi" w:cstheme="minorBidi"/>
                <w:color w:val="495965" w:themeColor="text2"/>
                <w:lang w:val="en-GB"/>
              </w:rPr>
              <w:t xml:space="preserve">declared </w:t>
            </w:r>
            <w:r w:rsidR="009E7459" w:rsidRPr="009E7459">
              <w:rPr>
                <w:rFonts w:asciiTheme="minorHAnsi" w:hAnsiTheme="minorHAnsi" w:cstheme="minorBidi"/>
                <w:color w:val="495965" w:themeColor="text2"/>
                <w:lang w:val="en-GB"/>
              </w:rPr>
              <w:t>disability will not be available until early 2018</w:t>
            </w:r>
            <w:r w:rsidR="009E7459">
              <w:rPr>
                <w:rFonts w:asciiTheme="minorHAnsi" w:hAnsiTheme="minorHAnsi" w:cstheme="minorBidi"/>
                <w:color w:val="495965" w:themeColor="text2"/>
                <w:lang w:val="en-GB"/>
              </w:rPr>
              <w:t xml:space="preserve">. </w:t>
            </w:r>
          </w:p>
        </w:tc>
      </w:tr>
      <w:tr w:rsidR="007C74E7" w:rsidRPr="00357584" w:rsidTr="001C47D3">
        <w:tc>
          <w:tcPr>
            <w:tcW w:w="757" w:type="pct"/>
            <w:tcBorders>
              <w:top w:val="nil"/>
              <w:left w:val="nil"/>
              <w:bottom w:val="nil"/>
              <w:right w:val="nil"/>
            </w:tcBorders>
            <w:tcMar>
              <w:top w:w="57" w:type="dxa"/>
              <w:bottom w:w="57" w:type="dxa"/>
            </w:tcMar>
          </w:tcPr>
          <w:p w:rsidR="007C74E7" w:rsidRPr="00B01311" w:rsidRDefault="007C74E7" w:rsidP="007C74E7">
            <w:pPr>
              <w:keepLines/>
              <w:spacing w:before="40" w:after="40" w:line="200" w:lineRule="atLeast"/>
              <w:rPr>
                <w:rFonts w:eastAsia="Times New Roman"/>
                <w:iCs/>
                <w:szCs w:val="17"/>
              </w:rPr>
            </w:pPr>
          </w:p>
        </w:tc>
        <w:tc>
          <w:tcPr>
            <w:tcW w:w="908" w:type="pct"/>
            <w:tcBorders>
              <w:top w:val="nil"/>
              <w:left w:val="nil"/>
              <w:bottom w:val="nil"/>
              <w:right w:val="nil"/>
            </w:tcBorders>
          </w:tcPr>
          <w:p w:rsidR="007C74E7" w:rsidRPr="00B01311" w:rsidRDefault="007C74E7" w:rsidP="007C74E7">
            <w:pPr>
              <w:keepLines/>
              <w:spacing w:before="40" w:after="40" w:line="200" w:lineRule="atLeast"/>
              <w:rPr>
                <w:rFonts w:asciiTheme="minorHAnsi" w:eastAsia="Times New Roman" w:hAnsiTheme="minorHAnsi"/>
                <w:iCs/>
                <w:szCs w:val="17"/>
                <w:lang w:eastAsia="en-US"/>
              </w:rPr>
            </w:pPr>
            <w:r w:rsidRPr="00B01311">
              <w:rPr>
                <w:rFonts w:asciiTheme="minorHAnsi" w:eastAsia="Times New Roman" w:hAnsiTheme="minorHAnsi"/>
                <w:iCs/>
                <w:szCs w:val="17"/>
                <w:lang w:eastAsia="en-US"/>
              </w:rPr>
              <w:t>Tuberculous case notification rate of 530 (all forms, per 100,000 population).</w:t>
            </w:r>
          </w:p>
        </w:tc>
        <w:tc>
          <w:tcPr>
            <w:tcW w:w="456" w:type="pct"/>
            <w:tcBorders>
              <w:top w:val="nil"/>
              <w:bottom w:val="nil"/>
            </w:tcBorders>
            <w:shd w:val="clear" w:color="auto" w:fill="92D050"/>
          </w:tcPr>
          <w:p w:rsidR="007C74E7" w:rsidRPr="00B01311" w:rsidRDefault="007C74E7" w:rsidP="007C74E7">
            <w:pPr>
              <w:keepLines/>
              <w:spacing w:before="40" w:after="40" w:line="200" w:lineRule="atLeast"/>
              <w:jc w:val="center"/>
              <w:rPr>
                <w:rFonts w:asciiTheme="minorHAnsi" w:eastAsia="Times New Roman" w:hAnsiTheme="minorHAnsi"/>
                <w:iCs/>
                <w:color w:val="FFFFFF" w:themeColor="background1"/>
                <w:szCs w:val="17"/>
                <w:lang w:eastAsia="en-US"/>
              </w:rPr>
            </w:pPr>
            <w:r w:rsidRPr="00B01311">
              <w:rPr>
                <w:rFonts w:asciiTheme="minorHAnsi" w:eastAsia="Times New Roman" w:hAnsiTheme="minorHAnsi"/>
                <w:iCs/>
                <w:color w:val="FFFFFF" w:themeColor="background1"/>
                <w:szCs w:val="17"/>
                <w:lang w:eastAsia="en-US"/>
              </w:rPr>
              <w:t>Achieved</w:t>
            </w:r>
          </w:p>
        </w:tc>
        <w:tc>
          <w:tcPr>
            <w:tcW w:w="2879" w:type="pct"/>
            <w:tcBorders>
              <w:top w:val="nil"/>
              <w:left w:val="nil"/>
              <w:bottom w:val="nil"/>
              <w:right w:val="nil"/>
            </w:tcBorders>
          </w:tcPr>
          <w:p w:rsidR="007C74E7" w:rsidRPr="00E5493C" w:rsidRDefault="007C74E7" w:rsidP="003E1D8C">
            <w:pPr>
              <w:pStyle w:val="TableTextEntries"/>
              <w:keepNext/>
              <w:rPr>
                <w:rFonts w:asciiTheme="minorHAnsi" w:hAnsiTheme="minorHAnsi" w:cstheme="minorBidi"/>
                <w:color w:val="409F68" w:themeColor="accent6"/>
                <w:lang w:val="en-GB"/>
              </w:rPr>
            </w:pPr>
            <w:r w:rsidRPr="003A518C">
              <w:rPr>
                <w:rFonts w:asciiTheme="minorHAnsi" w:hAnsiTheme="minorHAnsi" w:cstheme="minorBidi"/>
                <w:color w:val="495965" w:themeColor="text2"/>
                <w:lang w:val="en-GB"/>
              </w:rPr>
              <w:t xml:space="preserve">The TB case notification rate has </w:t>
            </w:r>
            <w:r w:rsidR="00380D23">
              <w:rPr>
                <w:rFonts w:asciiTheme="minorHAnsi" w:hAnsiTheme="minorHAnsi" w:cstheme="minorBidi"/>
                <w:color w:val="495965" w:themeColor="text2"/>
                <w:lang w:val="en-GB"/>
              </w:rPr>
              <w:t>increased slightly to</w:t>
            </w:r>
            <w:r w:rsidR="00221B76" w:rsidRPr="003A518C">
              <w:rPr>
                <w:rFonts w:asciiTheme="minorHAnsi" w:hAnsiTheme="minorHAnsi" w:cstheme="minorBidi"/>
                <w:color w:val="495965" w:themeColor="text2"/>
                <w:lang w:val="en-GB"/>
              </w:rPr>
              <w:t xml:space="preserve"> </w:t>
            </w:r>
            <w:r w:rsidR="00221B76" w:rsidRPr="006E5750">
              <w:rPr>
                <w:rFonts w:asciiTheme="minorHAnsi" w:hAnsiTheme="minorHAnsi" w:cstheme="minorBidi"/>
                <w:color w:val="495965" w:themeColor="text2"/>
                <w:lang w:val="en-GB"/>
              </w:rPr>
              <w:t>518</w:t>
            </w:r>
            <w:r w:rsidR="0063465A" w:rsidRPr="003A518C">
              <w:rPr>
                <w:rFonts w:asciiTheme="minorHAnsi" w:hAnsiTheme="minorHAnsi" w:cstheme="minorBidi"/>
                <w:color w:val="495965" w:themeColor="text2"/>
                <w:lang w:val="en-GB"/>
              </w:rPr>
              <w:t xml:space="preserve"> </w:t>
            </w:r>
            <w:r w:rsidR="00221B76" w:rsidRPr="003A518C">
              <w:rPr>
                <w:rFonts w:asciiTheme="minorHAnsi" w:hAnsiTheme="minorHAnsi" w:cstheme="minorBidi"/>
                <w:color w:val="495965" w:themeColor="text2"/>
                <w:lang w:val="en-GB"/>
              </w:rPr>
              <w:t>cases</w:t>
            </w:r>
            <w:r w:rsidRPr="003A518C">
              <w:rPr>
                <w:rFonts w:asciiTheme="minorHAnsi" w:hAnsiTheme="minorHAnsi" w:cstheme="minorBidi"/>
                <w:color w:val="495965" w:themeColor="text2"/>
                <w:lang w:val="en-GB"/>
              </w:rPr>
              <w:t xml:space="preserve"> </w:t>
            </w:r>
            <w:r w:rsidR="003E1D8C">
              <w:rPr>
                <w:rFonts w:asciiTheme="minorHAnsi" w:hAnsiTheme="minorHAnsi" w:cstheme="minorBidi"/>
                <w:color w:val="495965" w:themeColor="text2"/>
                <w:lang w:val="en-GB"/>
              </w:rPr>
              <w:t>(</w:t>
            </w:r>
            <w:r w:rsidR="007A77A6" w:rsidRPr="003A518C">
              <w:rPr>
                <w:rFonts w:asciiTheme="minorHAnsi" w:hAnsiTheme="minorHAnsi" w:cstheme="minorBidi"/>
                <w:color w:val="495965" w:themeColor="text2"/>
                <w:lang w:val="en-GB"/>
              </w:rPr>
              <w:t>per 100,000 in population</w:t>
            </w:r>
            <w:r w:rsidR="003E1D8C">
              <w:rPr>
                <w:rFonts w:asciiTheme="minorHAnsi" w:hAnsiTheme="minorHAnsi" w:cstheme="minorBidi"/>
                <w:color w:val="495965" w:themeColor="text2"/>
                <w:lang w:val="en-GB"/>
              </w:rPr>
              <w:t>)</w:t>
            </w:r>
            <w:r w:rsidR="0063465A" w:rsidRPr="003A518C">
              <w:rPr>
                <w:rFonts w:asciiTheme="minorHAnsi" w:hAnsiTheme="minorHAnsi" w:cstheme="minorBidi"/>
                <w:color w:val="495965" w:themeColor="text2"/>
                <w:lang w:val="en-GB"/>
              </w:rPr>
              <w:t>, from 5</w:t>
            </w:r>
            <w:r w:rsidR="00380D23">
              <w:rPr>
                <w:rFonts w:asciiTheme="minorHAnsi" w:hAnsiTheme="minorHAnsi" w:cstheme="minorBidi"/>
                <w:color w:val="495965" w:themeColor="text2"/>
                <w:lang w:val="en-GB"/>
              </w:rPr>
              <w:t>16 cases</w:t>
            </w:r>
            <w:r w:rsidR="0063465A" w:rsidRPr="003A518C">
              <w:rPr>
                <w:rFonts w:asciiTheme="minorHAnsi" w:hAnsiTheme="minorHAnsi" w:cstheme="minorBidi"/>
                <w:color w:val="495965" w:themeColor="text2"/>
                <w:lang w:val="en-GB"/>
              </w:rPr>
              <w:t xml:space="preserve"> in 2015.</w:t>
            </w:r>
            <w:r w:rsidR="00EB38DA">
              <w:rPr>
                <w:rFonts w:asciiTheme="minorHAnsi" w:hAnsiTheme="minorHAnsi" w:cstheme="minorBidi"/>
                <w:color w:val="495965" w:themeColor="text2"/>
                <w:lang w:val="en-GB"/>
              </w:rPr>
              <w:t xml:space="preserve"> This is almost a 100</w:t>
            </w:r>
            <w:r w:rsidRPr="003A518C">
              <w:rPr>
                <w:rFonts w:asciiTheme="minorHAnsi" w:hAnsiTheme="minorHAnsi" w:cstheme="minorBidi"/>
                <w:color w:val="495965" w:themeColor="text2"/>
                <w:lang w:val="en-GB"/>
              </w:rPr>
              <w:t xml:space="preserve"> per cent </w:t>
            </w:r>
            <w:r w:rsidR="00EB38DA">
              <w:rPr>
                <w:rFonts w:asciiTheme="minorHAnsi" w:hAnsiTheme="minorHAnsi" w:cstheme="minorBidi"/>
                <w:color w:val="495965" w:themeColor="text2"/>
                <w:lang w:val="en-GB"/>
              </w:rPr>
              <w:t>increase from</w:t>
            </w:r>
            <w:r w:rsidRPr="003A518C">
              <w:rPr>
                <w:rFonts w:asciiTheme="minorHAnsi" w:hAnsiTheme="minorHAnsi" w:cstheme="minorBidi"/>
                <w:color w:val="495965" w:themeColor="text2"/>
                <w:lang w:val="en-GB"/>
              </w:rPr>
              <w:t xml:space="preserve"> 2010 (</w:t>
            </w:r>
            <w:r w:rsidR="007A77A6" w:rsidRPr="003A518C">
              <w:rPr>
                <w:rFonts w:asciiTheme="minorHAnsi" w:hAnsiTheme="minorHAnsi" w:cstheme="minorBidi"/>
                <w:color w:val="495965" w:themeColor="text2"/>
                <w:lang w:val="en-GB"/>
              </w:rPr>
              <w:t>265</w:t>
            </w:r>
            <w:r w:rsidR="0063465A" w:rsidRPr="003A518C">
              <w:rPr>
                <w:rFonts w:asciiTheme="minorHAnsi" w:hAnsiTheme="minorHAnsi" w:cstheme="minorBidi"/>
                <w:color w:val="495965" w:themeColor="text2"/>
                <w:lang w:val="en-GB"/>
              </w:rPr>
              <w:t xml:space="preserve"> cases</w:t>
            </w:r>
            <w:r w:rsidRPr="003A518C">
              <w:rPr>
                <w:rFonts w:asciiTheme="minorHAnsi" w:hAnsiTheme="minorHAnsi" w:cstheme="minorBidi"/>
                <w:color w:val="495965" w:themeColor="text2"/>
                <w:lang w:val="en-GB"/>
              </w:rPr>
              <w:t xml:space="preserve">). </w:t>
            </w:r>
            <w:r w:rsidRPr="003A518C">
              <w:rPr>
                <w:rFonts w:asciiTheme="minorHAnsi" w:hAnsiTheme="minorHAnsi" w:cstheme="minorBidi"/>
                <w:color w:val="495965" w:themeColor="text2"/>
                <w:lang w:val="en-GB" w:eastAsia="en-US"/>
              </w:rPr>
              <w:t>Th</w:t>
            </w:r>
            <w:r w:rsidR="0063465A" w:rsidRPr="003A518C">
              <w:rPr>
                <w:rFonts w:asciiTheme="minorHAnsi" w:hAnsiTheme="minorHAnsi" w:cstheme="minorBidi"/>
                <w:color w:val="495965" w:themeColor="text2"/>
                <w:lang w:val="en-GB" w:eastAsia="en-US"/>
              </w:rPr>
              <w:t xml:space="preserve">e overall higher rate of notification </w:t>
            </w:r>
            <w:r w:rsidRPr="003A518C">
              <w:rPr>
                <w:rFonts w:asciiTheme="minorHAnsi" w:hAnsiTheme="minorHAnsi" w:cstheme="minorBidi"/>
                <w:color w:val="495965" w:themeColor="text2"/>
                <w:lang w:val="en-GB" w:eastAsia="en-US"/>
              </w:rPr>
              <w:t>is due in part to the availability of a GeneXpert machine (</w:t>
            </w:r>
            <w:r w:rsidR="00B01311" w:rsidRPr="003A518C">
              <w:rPr>
                <w:rFonts w:asciiTheme="minorHAnsi" w:hAnsiTheme="minorHAnsi" w:cstheme="minorBidi"/>
                <w:color w:val="495965" w:themeColor="text2"/>
                <w:lang w:val="en-GB" w:eastAsia="en-US"/>
              </w:rPr>
              <w:t xml:space="preserve">installed in </w:t>
            </w:r>
            <w:r w:rsidRPr="003A518C">
              <w:rPr>
                <w:rFonts w:asciiTheme="minorHAnsi" w:hAnsiTheme="minorHAnsi" w:cstheme="minorBidi"/>
                <w:color w:val="495965" w:themeColor="text2"/>
                <w:lang w:val="en-GB" w:eastAsia="en-US"/>
              </w:rPr>
              <w:t>20</w:t>
            </w:r>
            <w:r w:rsidR="007A77A6" w:rsidRPr="003A518C">
              <w:rPr>
                <w:rFonts w:asciiTheme="minorHAnsi" w:hAnsiTheme="minorHAnsi" w:cstheme="minorBidi"/>
                <w:color w:val="495965" w:themeColor="text2"/>
                <w:lang w:val="en-GB" w:eastAsia="en-US"/>
              </w:rPr>
              <w:t>14</w:t>
            </w:r>
            <w:r w:rsidRPr="003A518C">
              <w:rPr>
                <w:rFonts w:asciiTheme="minorHAnsi" w:hAnsiTheme="minorHAnsi" w:cstheme="minorBidi"/>
                <w:color w:val="495965" w:themeColor="text2"/>
                <w:lang w:val="en-GB" w:eastAsia="en-US"/>
              </w:rPr>
              <w:t xml:space="preserve">) which enables up to 4,000 diagnosis a year compared to less than 1000 when it was just microscopy. </w:t>
            </w:r>
            <w:r w:rsidR="00B01311" w:rsidRPr="003A518C">
              <w:rPr>
                <w:rFonts w:asciiTheme="minorHAnsi" w:hAnsiTheme="minorHAnsi" w:cstheme="minorBidi"/>
                <w:color w:val="495965" w:themeColor="text2"/>
                <w:lang w:val="en-GB" w:eastAsia="en-US"/>
              </w:rPr>
              <w:t>It is also a result of ongoing training and community awareness programs – with o</w:t>
            </w:r>
            <w:r w:rsidRPr="003A518C">
              <w:rPr>
                <w:rFonts w:asciiTheme="minorHAnsi" w:hAnsiTheme="minorHAnsi" w:cstheme="minorBidi"/>
                <w:color w:val="495965" w:themeColor="text2"/>
                <w:lang w:val="en-GB" w:eastAsia="en-US"/>
              </w:rPr>
              <w:t>ver 65,000 people</w:t>
            </w:r>
            <w:r w:rsidR="00B01311" w:rsidRPr="003A518C">
              <w:rPr>
                <w:rFonts w:asciiTheme="minorHAnsi" w:hAnsiTheme="minorHAnsi" w:cstheme="minorBidi"/>
                <w:color w:val="495965" w:themeColor="text2"/>
                <w:lang w:val="en-GB" w:eastAsia="en-US"/>
              </w:rPr>
              <w:t xml:space="preserve"> (</w:t>
            </w:r>
            <w:r w:rsidRPr="003A518C">
              <w:rPr>
                <w:rFonts w:asciiTheme="minorHAnsi" w:hAnsiTheme="minorHAnsi" w:cstheme="minorBidi"/>
                <w:color w:val="495965" w:themeColor="text2"/>
                <w:lang w:val="en-GB" w:eastAsia="en-US"/>
              </w:rPr>
              <w:t>including from the health sector and v</w:t>
            </w:r>
            <w:r w:rsidR="00B01311" w:rsidRPr="003A518C">
              <w:rPr>
                <w:rFonts w:asciiTheme="minorHAnsi" w:hAnsiTheme="minorHAnsi" w:cstheme="minorBidi"/>
                <w:color w:val="495965" w:themeColor="text2"/>
                <w:lang w:val="en-GB" w:eastAsia="en-US"/>
              </w:rPr>
              <w:t xml:space="preserve">ulnerable groups, </w:t>
            </w:r>
            <w:r w:rsidRPr="003A518C">
              <w:rPr>
                <w:rFonts w:asciiTheme="minorHAnsi" w:hAnsiTheme="minorHAnsi" w:cstheme="minorBidi"/>
                <w:color w:val="495965" w:themeColor="text2"/>
                <w:lang w:val="en-GB" w:eastAsia="en-US"/>
              </w:rPr>
              <w:t>su</w:t>
            </w:r>
            <w:r w:rsidR="00B01311" w:rsidRPr="003A518C">
              <w:rPr>
                <w:rFonts w:asciiTheme="minorHAnsi" w:hAnsiTheme="minorHAnsi" w:cstheme="minorBidi"/>
                <w:color w:val="495965" w:themeColor="text2"/>
                <w:lang w:val="en-GB" w:eastAsia="en-US"/>
              </w:rPr>
              <w:t>ch as the disabled and prisons)</w:t>
            </w:r>
            <w:r w:rsidRPr="003A518C">
              <w:rPr>
                <w:rFonts w:asciiTheme="minorHAnsi" w:hAnsiTheme="minorHAnsi" w:cstheme="minorBidi"/>
                <w:color w:val="495965" w:themeColor="text2"/>
                <w:lang w:val="en-GB" w:eastAsia="en-US"/>
              </w:rPr>
              <w:t xml:space="preserve"> now able to identify TB symptoms and </w:t>
            </w:r>
            <w:r w:rsidR="00805DA2" w:rsidRPr="003A518C">
              <w:rPr>
                <w:rFonts w:asciiTheme="minorHAnsi" w:hAnsiTheme="minorHAnsi" w:cstheme="minorBidi"/>
                <w:color w:val="495965" w:themeColor="text2"/>
                <w:lang w:val="en-GB" w:eastAsia="en-US"/>
              </w:rPr>
              <w:t xml:space="preserve">with better </w:t>
            </w:r>
            <w:r w:rsidRPr="003A518C">
              <w:rPr>
                <w:rFonts w:asciiTheme="minorHAnsi" w:hAnsiTheme="minorHAnsi" w:cstheme="minorBidi"/>
                <w:color w:val="495965" w:themeColor="text2"/>
                <w:lang w:val="en-GB" w:eastAsia="en-US"/>
              </w:rPr>
              <w:t>aware</w:t>
            </w:r>
            <w:r w:rsidR="00805DA2" w:rsidRPr="003A518C">
              <w:rPr>
                <w:rFonts w:asciiTheme="minorHAnsi" w:hAnsiTheme="minorHAnsi" w:cstheme="minorBidi"/>
                <w:color w:val="495965" w:themeColor="text2"/>
                <w:lang w:val="en-GB" w:eastAsia="en-US"/>
              </w:rPr>
              <w:t>ness</w:t>
            </w:r>
            <w:r w:rsidRPr="003A518C">
              <w:rPr>
                <w:rFonts w:asciiTheme="minorHAnsi" w:hAnsiTheme="minorHAnsi" w:cstheme="minorBidi"/>
                <w:color w:val="495965" w:themeColor="text2"/>
                <w:lang w:val="en-GB" w:eastAsia="en-US"/>
              </w:rPr>
              <w:t xml:space="preserve"> of </w:t>
            </w:r>
            <w:r w:rsidR="00B01311" w:rsidRPr="003A518C">
              <w:rPr>
                <w:rFonts w:asciiTheme="minorHAnsi" w:hAnsiTheme="minorHAnsi" w:cstheme="minorBidi"/>
                <w:color w:val="495965" w:themeColor="text2"/>
                <w:lang w:val="en-GB" w:eastAsia="en-US"/>
              </w:rPr>
              <w:t xml:space="preserve">the </w:t>
            </w:r>
            <w:r w:rsidR="001C197B" w:rsidRPr="003A518C">
              <w:rPr>
                <w:rFonts w:asciiTheme="minorHAnsi" w:hAnsiTheme="minorHAnsi" w:cstheme="minorBidi"/>
                <w:color w:val="495965" w:themeColor="text2"/>
                <w:lang w:val="en-GB" w:eastAsia="en-US"/>
              </w:rPr>
              <w:t xml:space="preserve">available health </w:t>
            </w:r>
            <w:r w:rsidRPr="003A518C">
              <w:rPr>
                <w:rFonts w:asciiTheme="minorHAnsi" w:hAnsiTheme="minorHAnsi" w:cstheme="minorBidi"/>
                <w:color w:val="495965" w:themeColor="text2"/>
                <w:lang w:val="en-GB" w:eastAsia="en-US"/>
              </w:rPr>
              <w:t>services.</w:t>
            </w:r>
          </w:p>
        </w:tc>
      </w:tr>
      <w:tr w:rsidR="005D28C1" w:rsidRPr="00C61187" w:rsidTr="00A15862">
        <w:tc>
          <w:tcPr>
            <w:tcW w:w="757" w:type="pct"/>
            <w:tcBorders>
              <w:top w:val="nil"/>
              <w:left w:val="nil"/>
              <w:bottom w:val="nil"/>
              <w:right w:val="nil"/>
            </w:tcBorders>
            <w:tcMar>
              <w:top w:w="57" w:type="dxa"/>
              <w:bottom w:w="57" w:type="dxa"/>
            </w:tcMar>
          </w:tcPr>
          <w:p w:rsidR="005D28C1" w:rsidRDefault="005D28C1" w:rsidP="005D28C1">
            <w:pPr>
              <w:keepLines/>
              <w:spacing w:before="40" w:after="40" w:line="200" w:lineRule="atLeast"/>
              <w:rPr>
                <w:rFonts w:eastAsia="Times New Roman"/>
                <w:iCs/>
                <w:szCs w:val="17"/>
              </w:rPr>
            </w:pPr>
          </w:p>
        </w:tc>
        <w:tc>
          <w:tcPr>
            <w:tcW w:w="908" w:type="pct"/>
            <w:tcBorders>
              <w:top w:val="nil"/>
              <w:left w:val="nil"/>
              <w:bottom w:val="nil"/>
              <w:right w:val="nil"/>
            </w:tcBorders>
          </w:tcPr>
          <w:p w:rsidR="005D28C1" w:rsidRPr="00490366" w:rsidRDefault="005D28C1" w:rsidP="005D28C1">
            <w:pPr>
              <w:keepLines/>
              <w:spacing w:before="40" w:after="40" w:line="200" w:lineRule="atLeast"/>
              <w:rPr>
                <w:rFonts w:asciiTheme="minorHAnsi" w:eastAsia="Times New Roman" w:hAnsiTheme="minorHAnsi"/>
                <w:iCs/>
                <w:szCs w:val="17"/>
                <w:lang w:eastAsia="en-US"/>
              </w:rPr>
            </w:pPr>
            <w:r w:rsidRPr="00490366">
              <w:rPr>
                <w:rFonts w:asciiTheme="minorHAnsi" w:eastAsia="Times New Roman" w:hAnsiTheme="minorHAnsi"/>
                <w:iCs/>
                <w:szCs w:val="17"/>
                <w:lang w:eastAsia="en-US"/>
              </w:rPr>
              <w:t>Rehabilitation of the existing sewage networks in Betio, Bairiki and Bikenibeu.</w:t>
            </w:r>
          </w:p>
        </w:tc>
        <w:tc>
          <w:tcPr>
            <w:tcW w:w="456" w:type="pct"/>
            <w:tcBorders>
              <w:bottom w:val="nil"/>
            </w:tcBorders>
            <w:shd w:val="clear" w:color="auto" w:fill="FF9900"/>
          </w:tcPr>
          <w:p w:rsidR="005D28C1" w:rsidRPr="00880004" w:rsidRDefault="005D28C1" w:rsidP="005D28C1">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Partly achieved</w:t>
            </w:r>
          </w:p>
        </w:tc>
        <w:tc>
          <w:tcPr>
            <w:tcW w:w="2879" w:type="pct"/>
            <w:tcBorders>
              <w:top w:val="nil"/>
              <w:left w:val="nil"/>
              <w:bottom w:val="nil"/>
              <w:right w:val="nil"/>
            </w:tcBorders>
          </w:tcPr>
          <w:p w:rsidR="005D28C1" w:rsidRPr="00CE4B31" w:rsidRDefault="00CE3D0D" w:rsidP="00CE3D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ADB (with Australian funding) has completed r</w:t>
            </w:r>
            <w:r w:rsidR="00E5493C" w:rsidRPr="00CE4B31">
              <w:rPr>
                <w:rFonts w:asciiTheme="minorHAnsi" w:eastAsia="Times New Roman" w:hAnsiTheme="minorHAnsi"/>
                <w:iCs/>
                <w:szCs w:val="17"/>
                <w:lang w:eastAsia="en-US"/>
              </w:rPr>
              <w:t xml:space="preserve">ehabilitation works on the existing sewage networks in Betio and Bairiki.  </w:t>
            </w:r>
            <w:r>
              <w:rPr>
                <w:rFonts w:asciiTheme="minorHAnsi" w:eastAsia="Times New Roman" w:hAnsiTheme="minorHAnsi"/>
                <w:iCs/>
                <w:szCs w:val="17"/>
                <w:lang w:eastAsia="en-US"/>
              </w:rPr>
              <w:t>ADB anticipates</w:t>
            </w:r>
            <w:r w:rsidR="00E5493C" w:rsidRPr="00CE4B31">
              <w:rPr>
                <w:rFonts w:asciiTheme="minorHAnsi" w:eastAsia="Times New Roman" w:hAnsiTheme="minorHAnsi"/>
                <w:iCs/>
                <w:szCs w:val="17"/>
                <w:lang w:eastAsia="en-US"/>
              </w:rPr>
              <w:t xml:space="preserve"> works in Bikenibeu will be completed by December 2017. Th</w:t>
            </w:r>
            <w:r w:rsidR="003E1D8C">
              <w:rPr>
                <w:rFonts w:asciiTheme="minorHAnsi" w:eastAsia="Times New Roman" w:hAnsiTheme="minorHAnsi"/>
                <w:iCs/>
                <w:szCs w:val="17"/>
                <w:lang w:eastAsia="en-US"/>
              </w:rPr>
              <w:t>e</w:t>
            </w:r>
            <w:r w:rsidR="00E5493C" w:rsidRPr="00CE4B31">
              <w:rPr>
                <w:rFonts w:asciiTheme="minorHAnsi" w:eastAsia="Times New Roman" w:hAnsiTheme="minorHAnsi"/>
                <w:iCs/>
                <w:szCs w:val="17"/>
                <w:lang w:eastAsia="en-US"/>
              </w:rPr>
              <w:t xml:space="preserve"> extended timeframe is due to the discovery, when works started, that the Bikenibeu sewage network is several kilometres longer than is recorded in official network maps.</w:t>
            </w:r>
          </w:p>
        </w:tc>
      </w:tr>
      <w:tr w:rsidR="00133D60" w:rsidRPr="00C61187" w:rsidTr="001C47D3">
        <w:tc>
          <w:tcPr>
            <w:tcW w:w="757" w:type="pct"/>
            <w:tcBorders>
              <w:top w:val="nil"/>
              <w:left w:val="nil"/>
              <w:bottom w:val="nil"/>
              <w:right w:val="nil"/>
            </w:tcBorders>
            <w:tcMar>
              <w:top w:w="57" w:type="dxa"/>
              <w:bottom w:w="57" w:type="dxa"/>
            </w:tcMar>
          </w:tcPr>
          <w:p w:rsidR="00133D60" w:rsidRPr="00490366" w:rsidRDefault="00133D60" w:rsidP="00133D60">
            <w:pPr>
              <w:keepLines/>
              <w:spacing w:before="40" w:after="40" w:line="200" w:lineRule="atLeast"/>
              <w:rPr>
                <w:rFonts w:asciiTheme="minorHAnsi" w:eastAsia="Times New Roman" w:hAnsiTheme="minorHAnsi"/>
                <w:iCs/>
                <w:szCs w:val="17"/>
                <w:lang w:eastAsia="en-US"/>
              </w:rPr>
            </w:pPr>
            <w:r w:rsidRPr="00490366">
              <w:rPr>
                <w:rFonts w:asciiTheme="minorHAnsi" w:eastAsia="Times New Roman" w:hAnsiTheme="minorHAnsi"/>
                <w:iCs/>
                <w:szCs w:val="17"/>
                <w:lang w:eastAsia="en-US"/>
              </w:rPr>
              <w:t>Cross-cutting issues across all development assistance</w:t>
            </w:r>
          </w:p>
        </w:tc>
        <w:tc>
          <w:tcPr>
            <w:tcW w:w="908" w:type="pct"/>
            <w:tcBorders>
              <w:top w:val="nil"/>
              <w:left w:val="nil"/>
              <w:bottom w:val="nil"/>
              <w:right w:val="nil"/>
            </w:tcBorders>
          </w:tcPr>
          <w:p w:rsidR="00133D60" w:rsidRPr="00490366" w:rsidRDefault="00133D60" w:rsidP="00133D60">
            <w:pPr>
              <w:keepLines/>
              <w:spacing w:before="40" w:after="40" w:line="200" w:lineRule="atLeast"/>
              <w:rPr>
                <w:rFonts w:asciiTheme="minorHAnsi" w:eastAsia="Times New Roman" w:hAnsiTheme="minorHAnsi"/>
                <w:iCs/>
                <w:szCs w:val="17"/>
                <w:lang w:eastAsia="en-US"/>
              </w:rPr>
            </w:pPr>
            <w:r w:rsidRPr="00490366">
              <w:rPr>
                <w:rFonts w:asciiTheme="minorHAnsi" w:eastAsia="Times New Roman" w:hAnsiTheme="minorHAnsi"/>
                <w:iCs/>
                <w:szCs w:val="17"/>
                <w:lang w:eastAsia="en-US"/>
              </w:rPr>
              <w:t>Leak detection and repair is completed for South Tarawa Public Utilities Board water supply.</w:t>
            </w:r>
          </w:p>
        </w:tc>
        <w:tc>
          <w:tcPr>
            <w:tcW w:w="456" w:type="pct"/>
            <w:tcBorders>
              <w:top w:val="nil"/>
              <w:bottom w:val="nil"/>
            </w:tcBorders>
            <w:shd w:val="clear" w:color="auto" w:fill="92D050"/>
          </w:tcPr>
          <w:p w:rsidR="00133D60" w:rsidRPr="007D458D" w:rsidRDefault="00133D60" w:rsidP="00133D60">
            <w:pPr>
              <w:keepLines/>
              <w:spacing w:before="40" w:after="40" w:line="200" w:lineRule="atLeast"/>
              <w:jc w:val="center"/>
              <w:rPr>
                <w:rFonts w:asciiTheme="minorHAnsi" w:eastAsia="Times New Roman" w:hAnsiTheme="minorHAnsi"/>
                <w:iCs/>
                <w:color w:val="FFFFFF" w:themeColor="background1"/>
                <w:szCs w:val="17"/>
                <w:lang w:eastAsia="en-US"/>
              </w:rPr>
            </w:pPr>
            <w:r w:rsidRPr="007D458D">
              <w:rPr>
                <w:rFonts w:asciiTheme="minorHAnsi" w:eastAsia="Times New Roman" w:hAnsiTheme="minorHAnsi"/>
                <w:iCs/>
                <w:color w:val="FFFFFF" w:themeColor="background1"/>
                <w:szCs w:val="17"/>
                <w:lang w:eastAsia="en-US"/>
              </w:rPr>
              <w:t>Achieved</w:t>
            </w:r>
          </w:p>
        </w:tc>
        <w:tc>
          <w:tcPr>
            <w:tcW w:w="2879" w:type="pct"/>
            <w:tcBorders>
              <w:top w:val="nil"/>
              <w:left w:val="nil"/>
              <w:bottom w:val="nil"/>
              <w:right w:val="nil"/>
            </w:tcBorders>
          </w:tcPr>
          <w:p w:rsidR="00133D60" w:rsidRPr="00CE4B31" w:rsidRDefault="005D28C1" w:rsidP="00C15C01">
            <w:pPr>
              <w:keepLines/>
              <w:spacing w:before="40" w:after="40" w:line="200" w:lineRule="atLeast"/>
              <w:rPr>
                <w:rFonts w:asciiTheme="minorHAnsi" w:eastAsia="Times New Roman" w:hAnsiTheme="minorHAnsi"/>
                <w:iCs/>
                <w:szCs w:val="17"/>
                <w:lang w:eastAsia="en-US"/>
              </w:rPr>
            </w:pPr>
            <w:r w:rsidRPr="00CE4B31">
              <w:rPr>
                <w:rFonts w:asciiTheme="minorHAnsi" w:eastAsia="Times New Roman" w:hAnsiTheme="minorHAnsi"/>
                <w:iCs/>
                <w:szCs w:val="17"/>
                <w:lang w:eastAsia="en-US"/>
              </w:rPr>
              <w:t>Leak detection and repair of transmission mains and reservoirs</w:t>
            </w:r>
            <w:r w:rsidR="00ED7B09" w:rsidRPr="00CE4B31">
              <w:rPr>
                <w:rFonts w:asciiTheme="minorHAnsi" w:eastAsia="Times New Roman" w:hAnsiTheme="minorHAnsi"/>
                <w:iCs/>
                <w:szCs w:val="17"/>
                <w:lang w:eastAsia="en-US"/>
              </w:rPr>
              <w:t xml:space="preserve"> over the last 12 months </w:t>
            </w:r>
            <w:r w:rsidRPr="00CE4B31">
              <w:rPr>
                <w:rFonts w:asciiTheme="minorHAnsi" w:eastAsia="Times New Roman" w:hAnsiTheme="minorHAnsi"/>
                <w:iCs/>
                <w:szCs w:val="17"/>
                <w:lang w:eastAsia="en-US"/>
              </w:rPr>
              <w:t>ha</w:t>
            </w:r>
            <w:r w:rsidR="00ED7B09" w:rsidRPr="00CE4B31">
              <w:rPr>
                <w:rFonts w:asciiTheme="minorHAnsi" w:eastAsia="Times New Roman" w:hAnsiTheme="minorHAnsi"/>
                <w:iCs/>
                <w:szCs w:val="17"/>
                <w:lang w:eastAsia="en-US"/>
              </w:rPr>
              <w:t>s</w:t>
            </w:r>
            <w:r w:rsidRPr="00CE4B31">
              <w:rPr>
                <w:rFonts w:asciiTheme="minorHAnsi" w:eastAsia="Times New Roman" w:hAnsiTheme="minorHAnsi"/>
                <w:iCs/>
                <w:szCs w:val="17"/>
                <w:lang w:eastAsia="en-US"/>
              </w:rPr>
              <w:t xml:space="preserve"> resulted in </w:t>
            </w:r>
            <w:r w:rsidR="00ED7B09" w:rsidRPr="00CE4B31">
              <w:rPr>
                <w:rFonts w:asciiTheme="minorHAnsi" w:eastAsia="Times New Roman" w:hAnsiTheme="minorHAnsi"/>
                <w:iCs/>
                <w:szCs w:val="17"/>
                <w:lang w:eastAsia="en-US"/>
              </w:rPr>
              <w:t>an additional 339m</w:t>
            </w:r>
            <w:r w:rsidR="00ED7B09" w:rsidRPr="00CE4B31">
              <w:rPr>
                <w:rFonts w:asciiTheme="minorHAnsi" w:eastAsia="Times New Roman" w:hAnsiTheme="minorHAnsi"/>
                <w:iCs/>
                <w:szCs w:val="17"/>
                <w:vertAlign w:val="superscript"/>
                <w:lang w:eastAsia="en-US"/>
              </w:rPr>
              <w:t>3</w:t>
            </w:r>
            <w:r w:rsidR="00ED7B09" w:rsidRPr="00CE4B31">
              <w:rPr>
                <w:rFonts w:asciiTheme="minorHAnsi" w:eastAsia="Times New Roman" w:hAnsiTheme="minorHAnsi"/>
                <w:iCs/>
                <w:szCs w:val="17"/>
                <w:lang w:eastAsia="en-US"/>
              </w:rPr>
              <w:t xml:space="preserve"> </w:t>
            </w:r>
            <w:r w:rsidRPr="00CE4B31">
              <w:rPr>
                <w:rFonts w:asciiTheme="minorHAnsi" w:eastAsia="Times New Roman" w:hAnsiTheme="minorHAnsi"/>
                <w:iCs/>
                <w:szCs w:val="17"/>
                <w:lang w:eastAsia="en-US"/>
              </w:rPr>
              <w:t xml:space="preserve">of potable water </w:t>
            </w:r>
            <w:r w:rsidR="00ED7B09" w:rsidRPr="00CE4B31">
              <w:rPr>
                <w:rFonts w:asciiTheme="minorHAnsi" w:eastAsia="Times New Roman" w:hAnsiTheme="minorHAnsi"/>
                <w:iCs/>
                <w:szCs w:val="17"/>
                <w:lang w:eastAsia="en-US"/>
              </w:rPr>
              <w:t xml:space="preserve">been </w:t>
            </w:r>
            <w:r w:rsidRPr="00CE4B31">
              <w:rPr>
                <w:rFonts w:asciiTheme="minorHAnsi" w:eastAsia="Times New Roman" w:hAnsiTheme="minorHAnsi"/>
                <w:iCs/>
                <w:szCs w:val="17"/>
                <w:lang w:eastAsia="en-US"/>
              </w:rPr>
              <w:t>saved</w:t>
            </w:r>
            <w:r w:rsidR="00ED7B09" w:rsidRPr="00CE4B31">
              <w:rPr>
                <w:rFonts w:asciiTheme="minorHAnsi" w:eastAsia="Times New Roman" w:hAnsiTheme="minorHAnsi"/>
                <w:iCs/>
                <w:szCs w:val="17"/>
                <w:lang w:eastAsia="en-US"/>
              </w:rPr>
              <w:t xml:space="preserve">. To </w:t>
            </w:r>
            <w:r w:rsidRPr="00CE4B31">
              <w:rPr>
                <w:rFonts w:asciiTheme="minorHAnsi" w:eastAsia="Times New Roman" w:hAnsiTheme="minorHAnsi"/>
                <w:iCs/>
                <w:szCs w:val="17"/>
                <w:lang w:eastAsia="en-US"/>
              </w:rPr>
              <w:t xml:space="preserve">date, </w:t>
            </w:r>
            <w:r w:rsidR="00ED7B09" w:rsidRPr="00CE4B31">
              <w:rPr>
                <w:rFonts w:asciiTheme="minorHAnsi" w:eastAsia="Times New Roman" w:hAnsiTheme="minorHAnsi"/>
                <w:iCs/>
                <w:szCs w:val="17"/>
                <w:lang w:eastAsia="en-US"/>
              </w:rPr>
              <w:t>605m</w:t>
            </w:r>
            <w:r w:rsidR="00ED7B09" w:rsidRPr="00CE4B31">
              <w:rPr>
                <w:rFonts w:asciiTheme="minorHAnsi" w:eastAsia="Times New Roman" w:hAnsiTheme="minorHAnsi"/>
                <w:iCs/>
                <w:szCs w:val="17"/>
                <w:vertAlign w:val="superscript"/>
                <w:lang w:eastAsia="en-US"/>
              </w:rPr>
              <w:t>3</w:t>
            </w:r>
            <w:r w:rsidR="00ED7B09" w:rsidRPr="00CE4B31">
              <w:rPr>
                <w:rFonts w:asciiTheme="minorHAnsi" w:eastAsia="Times New Roman" w:hAnsiTheme="minorHAnsi"/>
                <w:iCs/>
                <w:szCs w:val="17"/>
                <w:lang w:eastAsia="en-US"/>
              </w:rPr>
              <w:t xml:space="preserve"> per day of potable water has been saved, </w:t>
            </w:r>
            <w:r w:rsidRPr="00CE4B31">
              <w:rPr>
                <w:rFonts w:asciiTheme="minorHAnsi" w:eastAsia="Times New Roman" w:hAnsiTheme="minorHAnsi"/>
                <w:iCs/>
                <w:szCs w:val="17"/>
                <w:lang w:eastAsia="en-US"/>
              </w:rPr>
              <w:t xml:space="preserve">substantially exceeding the </w:t>
            </w:r>
            <w:r w:rsidR="00ED7B09" w:rsidRPr="00CE4B31">
              <w:rPr>
                <w:rFonts w:asciiTheme="minorHAnsi" w:eastAsia="Times New Roman" w:hAnsiTheme="minorHAnsi"/>
                <w:iCs/>
                <w:szCs w:val="17"/>
                <w:lang w:eastAsia="en-US"/>
              </w:rPr>
              <w:t>p</w:t>
            </w:r>
            <w:r w:rsidRPr="00CE4B31">
              <w:rPr>
                <w:rFonts w:asciiTheme="minorHAnsi" w:eastAsia="Times New Roman" w:hAnsiTheme="minorHAnsi"/>
                <w:iCs/>
                <w:szCs w:val="17"/>
                <w:lang w:eastAsia="en-US"/>
              </w:rPr>
              <w:t>roject target of 190m</w:t>
            </w:r>
            <w:r w:rsidRPr="00CE4B31">
              <w:rPr>
                <w:rFonts w:asciiTheme="minorHAnsi" w:eastAsia="Times New Roman" w:hAnsiTheme="minorHAnsi"/>
                <w:iCs/>
                <w:szCs w:val="17"/>
                <w:vertAlign w:val="superscript"/>
                <w:lang w:eastAsia="en-US"/>
              </w:rPr>
              <w:t>3</w:t>
            </w:r>
            <w:r w:rsidR="00C26AD7" w:rsidRPr="00CE4B31">
              <w:rPr>
                <w:rFonts w:asciiTheme="minorHAnsi" w:eastAsia="Times New Roman" w:hAnsiTheme="minorHAnsi"/>
                <w:iCs/>
                <w:szCs w:val="17"/>
                <w:lang w:eastAsia="en-US"/>
              </w:rPr>
              <w:t>.</w:t>
            </w:r>
            <w:r w:rsidR="00ED7B09" w:rsidRPr="00CE4B31">
              <w:rPr>
                <w:rFonts w:asciiTheme="minorHAnsi" w:eastAsia="Times New Roman" w:hAnsiTheme="minorHAnsi"/>
                <w:iCs/>
                <w:szCs w:val="17"/>
                <w:lang w:eastAsia="en-US"/>
              </w:rPr>
              <w:t xml:space="preserve"> This has </w:t>
            </w:r>
            <w:r w:rsidR="00CE3D0D" w:rsidRPr="00CE4B31">
              <w:rPr>
                <w:rFonts w:asciiTheme="minorHAnsi" w:eastAsia="Times New Roman" w:hAnsiTheme="minorHAnsi"/>
                <w:iCs/>
                <w:szCs w:val="17"/>
                <w:lang w:eastAsia="en-US"/>
              </w:rPr>
              <w:t>involved</w:t>
            </w:r>
            <w:r w:rsidR="00ED7B09" w:rsidRPr="00CE4B31">
              <w:rPr>
                <w:rFonts w:asciiTheme="minorHAnsi" w:eastAsia="Times New Roman" w:hAnsiTheme="minorHAnsi"/>
                <w:iCs/>
                <w:szCs w:val="17"/>
                <w:lang w:eastAsia="en-US"/>
              </w:rPr>
              <w:t xml:space="preserve"> repairing </w:t>
            </w:r>
            <w:r w:rsidR="00C15C01">
              <w:rPr>
                <w:rFonts w:asciiTheme="minorHAnsi" w:eastAsia="Times New Roman" w:hAnsiTheme="minorHAnsi"/>
                <w:iCs/>
                <w:szCs w:val="17"/>
                <w:lang w:eastAsia="en-US"/>
              </w:rPr>
              <w:t>the</w:t>
            </w:r>
            <w:r w:rsidR="00ED7B09" w:rsidRPr="00CE4B31">
              <w:rPr>
                <w:rFonts w:asciiTheme="minorHAnsi" w:eastAsia="Times New Roman" w:hAnsiTheme="minorHAnsi"/>
                <w:iCs/>
                <w:szCs w:val="17"/>
                <w:lang w:eastAsia="en-US"/>
              </w:rPr>
              <w:t xml:space="preserve"> transmission main from Bonriki to Betio to reduce leakages</w:t>
            </w:r>
            <w:r w:rsidR="00CE3D0D">
              <w:rPr>
                <w:rFonts w:asciiTheme="minorHAnsi" w:eastAsia="Times New Roman" w:hAnsiTheme="minorHAnsi"/>
                <w:iCs/>
                <w:szCs w:val="17"/>
                <w:lang w:eastAsia="en-US"/>
              </w:rPr>
              <w:t>,</w:t>
            </w:r>
            <w:r w:rsidR="00ED7B09" w:rsidRPr="00CE4B31">
              <w:rPr>
                <w:rFonts w:asciiTheme="minorHAnsi" w:eastAsia="Times New Roman" w:hAnsiTheme="minorHAnsi"/>
                <w:iCs/>
                <w:szCs w:val="17"/>
                <w:lang w:eastAsia="en-US"/>
              </w:rPr>
              <w:t xml:space="preserve"> bringing the Buota reservoir back on line</w:t>
            </w:r>
            <w:r w:rsidR="00CE3D0D">
              <w:rPr>
                <w:rFonts w:asciiTheme="minorHAnsi" w:eastAsia="Times New Roman" w:hAnsiTheme="minorHAnsi"/>
                <w:iCs/>
                <w:szCs w:val="17"/>
                <w:lang w:eastAsia="en-US"/>
              </w:rPr>
              <w:t xml:space="preserve">, </w:t>
            </w:r>
            <w:r w:rsidR="00ED7B09" w:rsidRPr="00CE4B31">
              <w:rPr>
                <w:rFonts w:asciiTheme="minorHAnsi" w:eastAsia="Times New Roman" w:hAnsiTheme="minorHAnsi"/>
                <w:iCs/>
                <w:szCs w:val="17"/>
                <w:lang w:eastAsia="en-US"/>
              </w:rPr>
              <w:t>and repairing the Bonriki reservoir to reduce groundwater losses.</w:t>
            </w:r>
            <w:r w:rsidR="009A0742">
              <w:rPr>
                <w:rFonts w:asciiTheme="minorHAnsi" w:eastAsia="Times New Roman" w:hAnsiTheme="minorHAnsi"/>
                <w:iCs/>
                <w:szCs w:val="17"/>
                <w:lang w:eastAsia="en-US"/>
              </w:rPr>
              <w:t xml:space="preserve"> </w:t>
            </w:r>
          </w:p>
        </w:tc>
      </w:tr>
      <w:tr w:rsidR="00133D60" w:rsidRPr="00C61187" w:rsidTr="001C47D3">
        <w:trPr>
          <w:trHeight w:val="682"/>
        </w:trPr>
        <w:tc>
          <w:tcPr>
            <w:tcW w:w="757" w:type="pct"/>
            <w:tcMar>
              <w:top w:w="57" w:type="dxa"/>
              <w:bottom w:w="57" w:type="dxa"/>
            </w:tcMar>
          </w:tcPr>
          <w:p w:rsidR="00133D60" w:rsidRDefault="00133D60" w:rsidP="00133D60">
            <w:pPr>
              <w:keepLines/>
              <w:spacing w:before="40" w:after="40" w:line="200" w:lineRule="atLeast"/>
              <w:rPr>
                <w:rFonts w:eastAsia="Times New Roman"/>
                <w:iCs/>
                <w:szCs w:val="17"/>
              </w:rPr>
            </w:pPr>
          </w:p>
        </w:tc>
        <w:tc>
          <w:tcPr>
            <w:tcW w:w="908" w:type="pct"/>
          </w:tcPr>
          <w:p w:rsidR="00133D60" w:rsidRPr="00B01311" w:rsidRDefault="00133D60" w:rsidP="00133D60">
            <w:pPr>
              <w:keepLines/>
              <w:spacing w:before="40" w:after="40" w:line="200" w:lineRule="atLeast"/>
              <w:rPr>
                <w:rFonts w:ascii="Times New Roman" w:hAnsi="Times New Roman"/>
                <w:sz w:val="21"/>
                <w:szCs w:val="21"/>
              </w:rPr>
            </w:pPr>
            <w:r w:rsidRPr="00B01311">
              <w:rPr>
                <w:rFonts w:asciiTheme="minorHAnsi" w:eastAsia="Times New Roman" w:hAnsiTheme="minorHAnsi"/>
                <w:iCs/>
                <w:szCs w:val="17"/>
                <w:lang w:eastAsia="en-US"/>
              </w:rPr>
              <w:t xml:space="preserve">50 per cent of frontline police officers complete training on the enforcement of the new Family </w:t>
            </w:r>
            <w:r w:rsidR="001C197B">
              <w:rPr>
                <w:rFonts w:asciiTheme="minorHAnsi" w:eastAsia="Times New Roman" w:hAnsiTheme="minorHAnsi"/>
                <w:iCs/>
                <w:szCs w:val="17"/>
                <w:lang w:eastAsia="en-US"/>
              </w:rPr>
              <w:t xml:space="preserve">Peace </w:t>
            </w:r>
            <w:r w:rsidRPr="00B01311">
              <w:rPr>
                <w:rFonts w:asciiTheme="minorHAnsi" w:eastAsia="Times New Roman" w:hAnsiTheme="minorHAnsi"/>
                <w:iCs/>
                <w:szCs w:val="17"/>
                <w:lang w:eastAsia="en-US"/>
              </w:rPr>
              <w:t>Act and at least 15 per cent of all domestic violence cases result in protection orders.</w:t>
            </w:r>
          </w:p>
        </w:tc>
        <w:tc>
          <w:tcPr>
            <w:tcW w:w="456" w:type="pct"/>
            <w:shd w:val="clear" w:color="auto" w:fill="92D050"/>
          </w:tcPr>
          <w:p w:rsidR="00133D60" w:rsidRPr="00B01311" w:rsidRDefault="00133D60" w:rsidP="00133D60">
            <w:pPr>
              <w:keepLines/>
              <w:spacing w:before="40" w:after="40" w:line="200" w:lineRule="atLeast"/>
              <w:jc w:val="center"/>
              <w:rPr>
                <w:rFonts w:asciiTheme="minorHAnsi" w:eastAsia="Times New Roman" w:hAnsiTheme="minorHAnsi"/>
                <w:iCs/>
                <w:color w:val="FFFFFF" w:themeColor="background1"/>
                <w:szCs w:val="17"/>
                <w:lang w:eastAsia="en-US"/>
              </w:rPr>
            </w:pPr>
            <w:r w:rsidRPr="00B01311">
              <w:rPr>
                <w:rFonts w:asciiTheme="minorHAnsi" w:eastAsia="Times New Roman" w:hAnsiTheme="minorHAnsi"/>
                <w:iCs/>
                <w:color w:val="FFFFFF" w:themeColor="background1"/>
                <w:szCs w:val="17"/>
                <w:lang w:eastAsia="en-US"/>
              </w:rPr>
              <w:t>Achieved</w:t>
            </w:r>
          </w:p>
        </w:tc>
        <w:tc>
          <w:tcPr>
            <w:tcW w:w="2879" w:type="pct"/>
          </w:tcPr>
          <w:p w:rsidR="00133D60" w:rsidRPr="00CE4B31" w:rsidRDefault="007C74E7" w:rsidP="00CE4B31">
            <w:pPr>
              <w:keepLines/>
              <w:spacing w:before="40" w:after="40" w:line="200" w:lineRule="atLeast"/>
              <w:rPr>
                <w:rFonts w:asciiTheme="minorHAnsi" w:eastAsia="Times New Roman" w:hAnsiTheme="minorHAnsi"/>
                <w:iCs/>
                <w:szCs w:val="17"/>
                <w:lang w:eastAsia="en-US"/>
              </w:rPr>
            </w:pPr>
            <w:r w:rsidRPr="00CE4B31">
              <w:rPr>
                <w:rFonts w:asciiTheme="minorHAnsi" w:eastAsia="Times New Roman" w:hAnsiTheme="minorHAnsi"/>
                <w:iCs/>
                <w:szCs w:val="17"/>
                <w:lang w:eastAsia="en-US"/>
              </w:rPr>
              <w:t>10</w:t>
            </w:r>
            <w:r w:rsidR="00133D60" w:rsidRPr="00CE4B31">
              <w:rPr>
                <w:rFonts w:asciiTheme="minorHAnsi" w:eastAsia="Times New Roman" w:hAnsiTheme="minorHAnsi"/>
                <w:iCs/>
                <w:szCs w:val="17"/>
                <w:lang w:eastAsia="en-US"/>
              </w:rPr>
              <w:t xml:space="preserve">0 per cent of frontline police officers have completed training on the enforcement of the new Family Peace Act </w:t>
            </w:r>
            <w:r w:rsidR="001C197B" w:rsidRPr="00CE4B31">
              <w:rPr>
                <w:rFonts w:asciiTheme="minorHAnsi" w:eastAsia="Times New Roman" w:hAnsiTheme="minorHAnsi"/>
                <w:iCs/>
                <w:szCs w:val="17"/>
                <w:lang w:eastAsia="en-US"/>
              </w:rPr>
              <w:t xml:space="preserve">(enacted in </w:t>
            </w:r>
            <w:r w:rsidR="00133D60" w:rsidRPr="00CE4B31">
              <w:rPr>
                <w:rFonts w:asciiTheme="minorHAnsi" w:eastAsia="Times New Roman" w:hAnsiTheme="minorHAnsi"/>
                <w:iCs/>
                <w:szCs w:val="17"/>
                <w:lang w:eastAsia="en-US"/>
              </w:rPr>
              <w:t>2014</w:t>
            </w:r>
            <w:r w:rsidR="001C197B" w:rsidRPr="00CE4B31">
              <w:rPr>
                <w:rFonts w:asciiTheme="minorHAnsi" w:eastAsia="Times New Roman" w:hAnsiTheme="minorHAnsi"/>
                <w:iCs/>
                <w:szCs w:val="17"/>
                <w:lang w:eastAsia="en-US"/>
              </w:rPr>
              <w:t>).</w:t>
            </w:r>
            <w:r w:rsidR="00133D60" w:rsidRPr="00CE4B31">
              <w:rPr>
                <w:rFonts w:asciiTheme="minorHAnsi" w:eastAsia="Times New Roman" w:hAnsiTheme="minorHAnsi"/>
                <w:iCs/>
                <w:szCs w:val="17"/>
                <w:lang w:eastAsia="en-US"/>
              </w:rPr>
              <w:t xml:space="preserve"> </w:t>
            </w:r>
            <w:r w:rsidR="00520FC0" w:rsidRPr="00CE4B31">
              <w:rPr>
                <w:rFonts w:asciiTheme="minorHAnsi" w:eastAsia="Times New Roman" w:hAnsiTheme="minorHAnsi"/>
                <w:iCs/>
                <w:szCs w:val="17"/>
                <w:lang w:eastAsia="en-US"/>
              </w:rPr>
              <w:t>In 2016, o</w:t>
            </w:r>
            <w:r w:rsidR="00133D60" w:rsidRPr="00CE4B31">
              <w:rPr>
                <w:rFonts w:asciiTheme="minorHAnsi" w:eastAsia="Times New Roman" w:hAnsiTheme="minorHAnsi"/>
                <w:iCs/>
                <w:szCs w:val="17"/>
                <w:lang w:eastAsia="en-US"/>
              </w:rPr>
              <w:t>ver 100 protection orders were issued</w:t>
            </w:r>
            <w:r w:rsidR="00520FC0" w:rsidRPr="00CE4B31">
              <w:rPr>
                <w:rFonts w:asciiTheme="minorHAnsi" w:eastAsia="Times New Roman" w:hAnsiTheme="minorHAnsi"/>
                <w:iCs/>
                <w:szCs w:val="17"/>
                <w:lang w:eastAsia="en-US"/>
              </w:rPr>
              <w:t xml:space="preserve"> across Kiribati</w:t>
            </w:r>
            <w:r w:rsidR="00133D60" w:rsidRPr="00CE4B31">
              <w:rPr>
                <w:rFonts w:asciiTheme="minorHAnsi" w:eastAsia="Times New Roman" w:hAnsiTheme="minorHAnsi"/>
                <w:iCs/>
                <w:szCs w:val="17"/>
                <w:lang w:eastAsia="en-US"/>
              </w:rPr>
              <w:t>, out of 600 domestic violence cases.</w:t>
            </w:r>
            <w:r w:rsidR="00520FC0" w:rsidRPr="00CE4B31">
              <w:rPr>
                <w:rFonts w:asciiTheme="minorHAnsi" w:eastAsia="Times New Roman" w:hAnsiTheme="minorHAnsi"/>
                <w:iCs/>
                <w:szCs w:val="17"/>
                <w:lang w:eastAsia="en-US"/>
              </w:rPr>
              <w:t xml:space="preserve"> From January to March 2017</w:t>
            </w:r>
            <w:r w:rsidR="003E1D8C">
              <w:rPr>
                <w:rFonts w:asciiTheme="minorHAnsi" w:eastAsia="Times New Roman" w:hAnsiTheme="minorHAnsi"/>
                <w:iCs/>
                <w:szCs w:val="17"/>
                <w:lang w:eastAsia="en-US"/>
              </w:rPr>
              <w:t>,</w:t>
            </w:r>
            <w:r w:rsidR="00520FC0" w:rsidRPr="00CE4B31">
              <w:rPr>
                <w:rFonts w:asciiTheme="minorHAnsi" w:eastAsia="Times New Roman" w:hAnsiTheme="minorHAnsi"/>
                <w:iCs/>
                <w:szCs w:val="17"/>
                <w:lang w:eastAsia="en-US"/>
              </w:rPr>
              <w:t xml:space="preserve"> there were 33 protection orders issued in South Tarawa, out 179 cases nationally for same period.</w:t>
            </w:r>
          </w:p>
        </w:tc>
      </w:tr>
    </w:tbl>
    <w:p w:rsidR="00184F1E" w:rsidRPr="00D2168C" w:rsidRDefault="00184F1E" w:rsidP="00184F1E">
      <w:pPr>
        <w:spacing w:before="20" w:after="20" w:line="180" w:lineRule="atLeast"/>
        <w:jc w:val="both"/>
        <w:rPr>
          <w:rFonts w:eastAsia="Times New Roman"/>
          <w:b/>
          <w:i/>
          <w:sz w:val="16"/>
          <w:szCs w:val="14"/>
        </w:rPr>
      </w:pPr>
      <w:r w:rsidRPr="00D2168C">
        <w:rPr>
          <w:rFonts w:eastAsia="Times New Roman"/>
          <w:b/>
          <w:i/>
          <w:sz w:val="16"/>
          <w:szCs w:val="14"/>
        </w:rPr>
        <w:t xml:space="preserve">Note: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BE1BEB" w:rsidRDefault="00184F1E" w:rsidP="00A15E87">
      <w:pPr>
        <w:spacing w:before="20" w:after="20" w:line="180" w:lineRule="atLeast"/>
        <w:jc w:val="both"/>
        <w:rPr>
          <w:rFonts w:ascii="Franklin Gothic Book" w:eastAsia="Times New Roman" w:hAnsi="Franklin Gothic Book"/>
          <w:b/>
          <w:sz w:val="24"/>
          <w:szCs w:val="2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184F1E" w:rsidRDefault="00CD17F4" w:rsidP="00A15E87">
      <w:pPr>
        <w:suppressAutoHyphens w:val="0"/>
        <w:spacing w:before="0" w:after="120" w:line="440" w:lineRule="atLeast"/>
        <w:rPr>
          <w:rFonts w:ascii="Franklin Gothic Book" w:eastAsia="Times New Roman" w:hAnsi="Franklin Gothic Book"/>
          <w:b/>
          <w:sz w:val="24"/>
          <w:szCs w:val="24"/>
        </w:rPr>
      </w:pPr>
      <w:r>
        <w:rPr>
          <w:rFonts w:ascii="Franklin Gothic Book" w:eastAsia="Times New Roman" w:hAnsi="Franklin Gothic Book"/>
          <w:b/>
          <w:sz w:val="24"/>
          <w:szCs w:val="24"/>
        </w:rPr>
        <w:br w:type="page"/>
      </w:r>
      <w:r w:rsidR="00184F1E" w:rsidRPr="007B4865">
        <w:rPr>
          <w:rFonts w:ascii="Franklin Gothic Book" w:eastAsia="Times New Roman" w:hAnsi="Franklin Gothic Book"/>
          <w:b/>
          <w:sz w:val="24"/>
          <w:szCs w:val="24"/>
        </w:rPr>
        <w:lastRenderedPageBreak/>
        <w:t>Performance Benchmarks for remainder of A</w:t>
      </w:r>
      <w:r w:rsidR="00184F1E">
        <w:rPr>
          <w:rFonts w:ascii="Franklin Gothic Book" w:eastAsia="Times New Roman" w:hAnsi="Franklin Gothic Book"/>
          <w:b/>
          <w:sz w:val="24"/>
          <w:szCs w:val="24"/>
        </w:rPr>
        <w:t xml:space="preserve">id </w:t>
      </w:r>
      <w:r w:rsidR="00184F1E" w:rsidRPr="007B4865">
        <w:rPr>
          <w:rFonts w:ascii="Franklin Gothic Book" w:eastAsia="Times New Roman" w:hAnsi="Franklin Gothic Book"/>
          <w:b/>
          <w:sz w:val="24"/>
          <w:szCs w:val="24"/>
        </w:rPr>
        <w:t>I</w:t>
      </w:r>
      <w:r w:rsidR="00184F1E">
        <w:rPr>
          <w:rFonts w:ascii="Franklin Gothic Book" w:eastAsia="Times New Roman" w:hAnsi="Franklin Gothic Book"/>
          <w:b/>
          <w:sz w:val="24"/>
          <w:szCs w:val="24"/>
        </w:rPr>
        <w:t xml:space="preserve">nvestment </w:t>
      </w:r>
      <w:r w:rsidR="00184F1E" w:rsidRPr="007B4865">
        <w:rPr>
          <w:rFonts w:ascii="Franklin Gothic Book" w:eastAsia="Times New Roman" w:hAnsi="Franklin Gothic Book"/>
          <w:b/>
          <w:sz w:val="24"/>
          <w:szCs w:val="24"/>
        </w:rPr>
        <w:t>P</w:t>
      </w:r>
      <w:r w:rsidR="00184F1E">
        <w:rPr>
          <w:rFonts w:ascii="Franklin Gothic Book" w:eastAsia="Times New Roman" w:hAnsi="Franklin Gothic Book"/>
          <w:b/>
          <w:sz w:val="24"/>
          <w:szCs w:val="24"/>
        </w:rPr>
        <w:t xml:space="preserve">lan </w:t>
      </w:r>
      <w:r w:rsidR="00184F1E" w:rsidRPr="007B4865">
        <w:rPr>
          <w:rFonts w:ascii="Franklin Gothic Book" w:eastAsia="Times New Roman" w:hAnsi="Franklin Gothic Book"/>
          <w:b/>
          <w:sz w:val="24"/>
          <w:szCs w:val="24"/>
        </w:rPr>
        <w:t xml:space="preserve">  </w:t>
      </w:r>
    </w:p>
    <w:tbl>
      <w:tblPr>
        <w:tblStyle w:val="DFATTable"/>
        <w:tblW w:w="4854" w:type="pct"/>
        <w:tblLook w:val="04A0" w:firstRow="1" w:lastRow="0" w:firstColumn="1" w:lastColumn="0" w:noHBand="0" w:noVBand="1"/>
      </w:tblPr>
      <w:tblGrid>
        <w:gridCol w:w="2185"/>
        <w:gridCol w:w="2916"/>
        <w:gridCol w:w="2837"/>
        <w:gridCol w:w="2834"/>
        <w:gridCol w:w="2853"/>
      </w:tblGrid>
      <w:tr w:rsidR="00184F1E" w:rsidTr="00C95893">
        <w:trPr>
          <w:trHeight w:val="245"/>
        </w:trPr>
        <w:tc>
          <w:tcPr>
            <w:tcW w:w="802" w:type="pct"/>
            <w:tcBorders>
              <w:top w:val="single" w:sz="12" w:space="0" w:color="auto"/>
              <w:left w:val="nil"/>
              <w:bottom w:val="single" w:sz="4" w:space="0" w:color="auto"/>
              <w:right w:val="nil"/>
            </w:tcBorders>
          </w:tcPr>
          <w:p w:rsidR="00184F1E" w:rsidRPr="00BE6C6D" w:rsidRDefault="00184F1E" w:rsidP="00BB58BF">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070" w:type="pct"/>
            <w:tcBorders>
              <w:top w:val="single" w:sz="12" w:space="0" w:color="auto"/>
              <w:left w:val="nil"/>
              <w:bottom w:val="single" w:sz="4" w:space="0" w:color="auto"/>
              <w:right w:val="nil"/>
            </w:tcBorders>
          </w:tcPr>
          <w:p w:rsidR="00184F1E" w:rsidRPr="00BE6C6D" w:rsidRDefault="009870CE" w:rsidP="00357584">
            <w:pPr>
              <w:pStyle w:val="NormalIndented"/>
              <w:jc w:val="center"/>
              <w:rPr>
                <w:rFonts w:asciiTheme="minorHAnsi" w:hAnsiTheme="minorHAnsi"/>
              </w:rPr>
            </w:pPr>
            <w:r w:rsidRPr="00357584">
              <w:rPr>
                <w:rFonts w:asciiTheme="minorHAnsi" w:eastAsia="Times New Roman" w:hAnsiTheme="minorHAnsi"/>
                <w:b/>
                <w:iCs/>
                <w:szCs w:val="17"/>
                <w:lang w:eastAsia="en-US"/>
              </w:rPr>
              <w:t>Target</w:t>
            </w:r>
          </w:p>
        </w:tc>
        <w:tc>
          <w:tcPr>
            <w:tcW w:w="1041" w:type="pct"/>
            <w:tcBorders>
              <w:top w:val="single" w:sz="12" w:space="0" w:color="auto"/>
              <w:left w:val="nil"/>
              <w:bottom w:val="single" w:sz="4" w:space="0" w:color="auto"/>
              <w:right w:val="nil"/>
            </w:tcBorders>
            <w:hideMark/>
          </w:tcPr>
          <w:p w:rsidR="00184F1E" w:rsidRPr="00BE6C6D" w:rsidRDefault="00184F1E" w:rsidP="00BB58BF">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1040" w:type="pct"/>
            <w:tcBorders>
              <w:top w:val="single" w:sz="12" w:space="0" w:color="auto"/>
              <w:left w:val="nil"/>
              <w:bottom w:val="single" w:sz="4" w:space="0" w:color="auto"/>
              <w:right w:val="nil"/>
            </w:tcBorders>
            <w:hideMark/>
          </w:tcPr>
          <w:p w:rsidR="00184F1E" w:rsidRPr="00BE6C6D" w:rsidRDefault="00184F1E" w:rsidP="00BB58BF">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047" w:type="pct"/>
            <w:tcBorders>
              <w:top w:val="single" w:sz="12" w:space="0" w:color="auto"/>
              <w:left w:val="nil"/>
              <w:bottom w:val="nil"/>
              <w:right w:val="nil"/>
            </w:tcBorders>
            <w:hideMark/>
          </w:tcPr>
          <w:p w:rsidR="00184F1E" w:rsidRPr="00BE6C6D" w:rsidRDefault="00184F1E" w:rsidP="00BB58BF">
            <w:pPr>
              <w:pStyle w:val="NormalIndented"/>
              <w:ind w:left="34"/>
              <w:jc w:val="center"/>
              <w:rPr>
                <w:rFonts w:asciiTheme="minorHAnsi" w:hAnsiTheme="minorHAnsi"/>
                <w:b/>
              </w:rPr>
            </w:pPr>
            <w:r w:rsidRPr="00BE6C6D">
              <w:rPr>
                <w:rFonts w:asciiTheme="minorHAnsi" w:hAnsiTheme="minorHAnsi"/>
                <w:b/>
              </w:rPr>
              <w:t>201</w:t>
            </w:r>
            <w:r>
              <w:rPr>
                <w:rFonts w:asciiTheme="minorHAnsi" w:hAnsiTheme="minorHAnsi"/>
                <w:b/>
              </w:rPr>
              <w:t>9</w:t>
            </w:r>
            <w:r w:rsidRPr="00BE6C6D">
              <w:rPr>
                <w:rFonts w:asciiTheme="minorHAnsi" w:hAnsiTheme="minorHAnsi"/>
                <w:b/>
              </w:rPr>
              <w:t>-</w:t>
            </w:r>
            <w:r>
              <w:rPr>
                <w:rFonts w:asciiTheme="minorHAnsi" w:hAnsiTheme="minorHAnsi"/>
                <w:b/>
              </w:rPr>
              <w:t>20</w:t>
            </w:r>
          </w:p>
        </w:tc>
      </w:tr>
      <w:tr w:rsidR="009870CE" w:rsidTr="00C95893">
        <w:trPr>
          <w:trHeight w:val="315"/>
        </w:trPr>
        <w:tc>
          <w:tcPr>
            <w:tcW w:w="802" w:type="pct"/>
            <w:tcBorders>
              <w:top w:val="single" w:sz="4" w:space="0" w:color="auto"/>
              <w:left w:val="single" w:sz="4" w:space="0" w:color="auto"/>
              <w:bottom w:val="single" w:sz="4" w:space="0" w:color="auto"/>
              <w:right w:val="single" w:sz="4" w:space="0" w:color="auto"/>
            </w:tcBorders>
            <w:hideMark/>
          </w:tcPr>
          <w:p w:rsidR="009870CE" w:rsidRPr="00BE6C6D" w:rsidRDefault="0085070D" w:rsidP="009870CE">
            <w:pPr>
              <w:pStyle w:val="NormalIndented"/>
              <w:ind w:left="37"/>
              <w:rPr>
                <w:rFonts w:asciiTheme="minorHAnsi" w:hAnsiTheme="minorHAnsi"/>
                <w:i/>
                <w:color w:val="808080" w:themeColor="background1" w:themeShade="80"/>
                <w:sz w:val="18"/>
              </w:rPr>
            </w:pPr>
            <w:r>
              <w:rPr>
                <w:rFonts w:asciiTheme="minorHAnsi" w:eastAsia="Times New Roman" w:hAnsiTheme="minorHAnsi"/>
                <w:iCs/>
                <w:szCs w:val="17"/>
                <w:lang w:eastAsia="en-US"/>
              </w:rPr>
              <w:t>Objective 1: Implementing economic reforms</w:t>
            </w:r>
          </w:p>
        </w:tc>
        <w:tc>
          <w:tcPr>
            <w:tcW w:w="1070" w:type="pct"/>
            <w:tcBorders>
              <w:top w:val="single" w:sz="4" w:space="0" w:color="auto"/>
              <w:left w:val="single" w:sz="4" w:space="0" w:color="auto"/>
              <w:bottom w:val="single" w:sz="4" w:space="0" w:color="auto"/>
              <w:right w:val="single" w:sz="4" w:space="0" w:color="auto"/>
            </w:tcBorders>
            <w:hideMark/>
          </w:tcPr>
          <w:p w:rsidR="009870CE" w:rsidRPr="009870CE" w:rsidRDefault="009870CE" w:rsidP="009870CE">
            <w:pPr>
              <w:pStyle w:val="NormalIndented"/>
              <w:ind w:left="-26"/>
              <w:rPr>
                <w:color w:val="808080" w:themeColor="background1" w:themeShade="80"/>
              </w:rPr>
            </w:pPr>
            <w:r w:rsidRPr="009870CE">
              <w:rPr>
                <w:rFonts w:asciiTheme="minorHAnsi" w:eastAsia="Times New Roman" w:hAnsiTheme="minorHAnsi"/>
                <w:iCs/>
                <w:szCs w:val="17"/>
                <w:lang w:eastAsia="en-US"/>
              </w:rPr>
              <w:t>Progress of economic reform priorities</w:t>
            </w:r>
          </w:p>
        </w:tc>
        <w:tc>
          <w:tcPr>
            <w:tcW w:w="1041" w:type="pct"/>
            <w:tcBorders>
              <w:top w:val="single" w:sz="4" w:space="0" w:color="auto"/>
              <w:left w:val="single" w:sz="4" w:space="0" w:color="auto"/>
              <w:bottom w:val="single" w:sz="4" w:space="0" w:color="auto"/>
              <w:right w:val="single" w:sz="4" w:space="0" w:color="auto"/>
            </w:tcBorders>
          </w:tcPr>
          <w:p w:rsidR="009870CE" w:rsidRPr="009870CE" w:rsidRDefault="009870CE" w:rsidP="009870CE">
            <w:pPr>
              <w:pStyle w:val="NormalIndented"/>
              <w:ind w:left="0"/>
              <w:rPr>
                <w:rFonts w:asciiTheme="minorHAnsi" w:eastAsia="Times New Roman" w:hAnsiTheme="minorHAnsi"/>
                <w:iCs/>
                <w:szCs w:val="17"/>
                <w:lang w:eastAsia="en-US"/>
              </w:rPr>
            </w:pPr>
            <w:r w:rsidRPr="009870CE">
              <w:rPr>
                <w:rFonts w:asciiTheme="minorHAnsi" w:eastAsia="Times New Roman" w:hAnsiTheme="minorHAnsi"/>
                <w:iCs/>
                <w:szCs w:val="17"/>
                <w:lang w:eastAsia="en-US"/>
              </w:rPr>
              <w:t>Achievement of all prior actions under the Joint Policy Matrix triggers the release of donor funding.</w:t>
            </w:r>
          </w:p>
        </w:tc>
        <w:tc>
          <w:tcPr>
            <w:tcW w:w="1040" w:type="pct"/>
            <w:tcBorders>
              <w:top w:val="single" w:sz="4" w:space="0" w:color="auto"/>
              <w:left w:val="single" w:sz="4" w:space="0" w:color="auto"/>
              <w:bottom w:val="single" w:sz="4" w:space="0" w:color="auto"/>
              <w:right w:val="single" w:sz="4" w:space="0" w:color="auto"/>
            </w:tcBorders>
          </w:tcPr>
          <w:p w:rsidR="009870CE" w:rsidRPr="009870CE" w:rsidRDefault="009870CE" w:rsidP="009870CE">
            <w:pPr>
              <w:pStyle w:val="NormalIndented"/>
              <w:ind w:left="0"/>
              <w:rPr>
                <w:rFonts w:asciiTheme="minorHAnsi" w:eastAsia="Times New Roman" w:hAnsiTheme="minorHAnsi"/>
                <w:iCs/>
                <w:szCs w:val="17"/>
                <w:lang w:eastAsia="en-US"/>
              </w:rPr>
            </w:pPr>
            <w:r w:rsidRPr="009870CE">
              <w:rPr>
                <w:rFonts w:asciiTheme="minorHAnsi" w:eastAsia="Times New Roman" w:hAnsiTheme="minorHAnsi"/>
                <w:iCs/>
                <w:szCs w:val="17"/>
                <w:lang w:eastAsia="en-US"/>
              </w:rPr>
              <w:t>Achievement of all prior actions under the Joint Policy Matrix triggers the release of donor funding.</w:t>
            </w:r>
          </w:p>
        </w:tc>
        <w:tc>
          <w:tcPr>
            <w:tcW w:w="1047" w:type="pct"/>
            <w:tcBorders>
              <w:top w:val="single" w:sz="4" w:space="0" w:color="auto"/>
              <w:left w:val="single" w:sz="4" w:space="0" w:color="auto"/>
              <w:bottom w:val="single" w:sz="4" w:space="0" w:color="auto"/>
              <w:right w:val="single" w:sz="4" w:space="0" w:color="auto"/>
            </w:tcBorders>
          </w:tcPr>
          <w:p w:rsidR="009870CE" w:rsidRPr="009870CE" w:rsidRDefault="008612E8" w:rsidP="009870CE">
            <w:pPr>
              <w:pStyle w:val="NormalIndented"/>
              <w:ind w:left="0" w:hanging="14"/>
              <w:rPr>
                <w:rFonts w:asciiTheme="minorHAnsi" w:eastAsia="Times New Roman" w:hAnsiTheme="minorHAnsi"/>
                <w:iCs/>
                <w:szCs w:val="17"/>
                <w:lang w:eastAsia="en-US"/>
              </w:rPr>
            </w:pPr>
            <w:r w:rsidRPr="009870CE">
              <w:rPr>
                <w:rFonts w:asciiTheme="minorHAnsi" w:eastAsia="Times New Roman" w:hAnsiTheme="minorHAnsi"/>
                <w:iCs/>
                <w:szCs w:val="17"/>
                <w:lang w:eastAsia="en-US"/>
              </w:rPr>
              <w:t>Achievement of all prior actions under the Joint Policy Matrix triggers the release of donor funding.</w:t>
            </w:r>
          </w:p>
        </w:tc>
      </w:tr>
      <w:tr w:rsidR="0085070D" w:rsidTr="0058247C">
        <w:trPr>
          <w:trHeight w:val="965"/>
        </w:trPr>
        <w:tc>
          <w:tcPr>
            <w:tcW w:w="802" w:type="pct"/>
            <w:vMerge w:val="restart"/>
            <w:tcBorders>
              <w:top w:val="single" w:sz="4" w:space="0" w:color="auto"/>
              <w:left w:val="single" w:sz="4" w:space="0" w:color="auto"/>
              <w:right w:val="single" w:sz="4" w:space="0" w:color="auto"/>
            </w:tcBorders>
          </w:tcPr>
          <w:p w:rsidR="0085070D" w:rsidRPr="00BE6C6D" w:rsidRDefault="0085070D" w:rsidP="00CD17F4">
            <w:pPr>
              <w:pStyle w:val="NormalIndented"/>
              <w:ind w:left="37"/>
              <w:rPr>
                <w:rFonts w:asciiTheme="minorHAnsi" w:hAnsiTheme="minorHAnsi"/>
                <w:i/>
                <w:color w:val="808080" w:themeColor="background1" w:themeShade="80"/>
                <w:sz w:val="18"/>
              </w:rPr>
            </w:pPr>
            <w:r>
              <w:rPr>
                <w:rFonts w:asciiTheme="minorHAnsi" w:eastAsia="Times New Roman" w:hAnsiTheme="minorHAnsi"/>
                <w:iCs/>
                <w:szCs w:val="17"/>
                <w:lang w:eastAsia="en-US"/>
              </w:rPr>
              <w:t>Objective 2: Building a better educated and healthier population</w:t>
            </w:r>
          </w:p>
        </w:tc>
        <w:tc>
          <w:tcPr>
            <w:tcW w:w="1070" w:type="pct"/>
            <w:vMerge w:val="restart"/>
            <w:tcBorders>
              <w:top w:val="single" w:sz="4" w:space="0" w:color="auto"/>
              <w:left w:val="single" w:sz="4" w:space="0" w:color="auto"/>
              <w:right w:val="single" w:sz="4" w:space="0" w:color="auto"/>
            </w:tcBorders>
          </w:tcPr>
          <w:p w:rsidR="0085070D" w:rsidRPr="00BE6C6D" w:rsidRDefault="0085070D" w:rsidP="00CD17F4">
            <w:pPr>
              <w:pStyle w:val="NormalIndented"/>
              <w:ind w:left="-26"/>
              <w:rPr>
                <w:rFonts w:asciiTheme="minorHAnsi" w:hAnsiTheme="minorHAnsi"/>
                <w:i/>
                <w:color w:val="808080" w:themeColor="background1" w:themeShade="80"/>
                <w:szCs w:val="20"/>
                <w:lang w:eastAsia="en-US"/>
              </w:rPr>
            </w:pPr>
            <w:r w:rsidRPr="001C27F2">
              <w:rPr>
                <w:rFonts w:asciiTheme="minorHAnsi" w:eastAsia="Times New Roman" w:hAnsiTheme="minorHAnsi"/>
                <w:iCs/>
                <w:szCs w:val="17"/>
                <w:lang w:eastAsia="en-US"/>
              </w:rPr>
              <w:t>Improve standards in basic education</w:t>
            </w:r>
          </w:p>
        </w:tc>
        <w:tc>
          <w:tcPr>
            <w:tcW w:w="1041" w:type="pct"/>
            <w:tcBorders>
              <w:top w:val="single" w:sz="4" w:space="0" w:color="auto"/>
              <w:left w:val="single" w:sz="4" w:space="0" w:color="auto"/>
              <w:bottom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1C27F2">
              <w:rPr>
                <w:rFonts w:asciiTheme="minorHAnsi" w:eastAsia="Times New Roman" w:hAnsiTheme="minorHAnsi"/>
                <w:iCs/>
                <w:szCs w:val="17"/>
                <w:lang w:eastAsia="en-US"/>
              </w:rPr>
              <w:t xml:space="preserve">80 per cent of permanent / contract teachers complete training in the delivery of new </w:t>
            </w:r>
            <w:r>
              <w:rPr>
                <w:rFonts w:asciiTheme="minorHAnsi" w:eastAsia="Times New Roman" w:hAnsiTheme="minorHAnsi"/>
                <w:iCs/>
                <w:szCs w:val="17"/>
                <w:lang w:eastAsia="en-US"/>
              </w:rPr>
              <w:t>year 7 curriculum by June 2017.</w:t>
            </w:r>
          </w:p>
        </w:tc>
        <w:tc>
          <w:tcPr>
            <w:tcW w:w="1040" w:type="pct"/>
            <w:tcBorders>
              <w:top w:val="single" w:sz="4" w:space="0" w:color="auto"/>
              <w:left w:val="single" w:sz="4" w:space="0" w:color="auto"/>
              <w:bottom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1C27F2">
              <w:rPr>
                <w:rFonts w:asciiTheme="minorHAnsi" w:eastAsia="Times New Roman" w:hAnsiTheme="minorHAnsi"/>
                <w:iCs/>
                <w:szCs w:val="17"/>
                <w:lang w:eastAsia="en-US"/>
              </w:rPr>
              <w:t>80 per cent of permanent / contract teachers complete training in the delivery of new year 8 curriculum by June 2018.</w:t>
            </w:r>
          </w:p>
        </w:tc>
        <w:tc>
          <w:tcPr>
            <w:tcW w:w="1047" w:type="pct"/>
            <w:tcBorders>
              <w:top w:val="single" w:sz="4" w:space="0" w:color="auto"/>
              <w:left w:val="single" w:sz="4" w:space="0" w:color="auto"/>
              <w:bottom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1C27F2">
              <w:rPr>
                <w:rFonts w:asciiTheme="minorHAnsi" w:eastAsia="Times New Roman" w:hAnsiTheme="minorHAnsi"/>
                <w:iCs/>
                <w:szCs w:val="17"/>
                <w:lang w:eastAsia="en-US"/>
              </w:rPr>
              <w:t>80 per cent of permanent / contract teachers complete initial training in the delivery of new year 9 curriculum by December 2019.</w:t>
            </w:r>
          </w:p>
        </w:tc>
      </w:tr>
      <w:tr w:rsidR="0085070D" w:rsidTr="0058247C">
        <w:trPr>
          <w:trHeight w:val="730"/>
        </w:trPr>
        <w:tc>
          <w:tcPr>
            <w:tcW w:w="802" w:type="pct"/>
            <w:vMerge/>
            <w:tcBorders>
              <w:left w:val="single" w:sz="4" w:space="0" w:color="auto"/>
              <w:right w:val="single" w:sz="4" w:space="0" w:color="auto"/>
            </w:tcBorders>
          </w:tcPr>
          <w:p w:rsidR="0085070D" w:rsidRPr="00BB58BF" w:rsidRDefault="0085070D" w:rsidP="00CD17F4">
            <w:pPr>
              <w:pStyle w:val="NormalIndented"/>
              <w:ind w:left="37"/>
              <w:rPr>
                <w:rFonts w:eastAsia="Times New Roman"/>
                <w:iCs/>
                <w:szCs w:val="17"/>
              </w:rPr>
            </w:pPr>
          </w:p>
        </w:tc>
        <w:tc>
          <w:tcPr>
            <w:tcW w:w="1070" w:type="pct"/>
            <w:vMerge/>
            <w:tcBorders>
              <w:left w:val="single" w:sz="4" w:space="0" w:color="auto"/>
              <w:bottom w:val="single" w:sz="4" w:space="0" w:color="auto"/>
              <w:right w:val="single" w:sz="4" w:space="0" w:color="auto"/>
            </w:tcBorders>
          </w:tcPr>
          <w:p w:rsidR="0085070D" w:rsidRPr="001C27F2" w:rsidRDefault="0085070D" w:rsidP="00CD17F4">
            <w:pPr>
              <w:pStyle w:val="NormalIndented"/>
              <w:ind w:left="-26"/>
              <w:rPr>
                <w:rFonts w:eastAsia="Times New Roman"/>
                <w:iCs/>
                <w:szCs w:val="17"/>
              </w:rPr>
            </w:pPr>
          </w:p>
        </w:tc>
        <w:tc>
          <w:tcPr>
            <w:tcW w:w="1041" w:type="pct"/>
            <w:tcBorders>
              <w:top w:val="single" w:sz="4" w:space="0" w:color="auto"/>
              <w:left w:val="single" w:sz="4" w:space="0" w:color="auto"/>
              <w:bottom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1C27F2">
              <w:rPr>
                <w:rFonts w:asciiTheme="minorHAnsi" w:eastAsia="Times New Roman" w:hAnsiTheme="minorHAnsi"/>
                <w:iCs/>
                <w:szCs w:val="17"/>
                <w:lang w:eastAsia="en-US"/>
              </w:rPr>
              <w:t>1896 children</w:t>
            </w:r>
            <w:r>
              <w:rPr>
                <w:rFonts w:asciiTheme="minorHAnsi" w:eastAsia="Times New Roman" w:hAnsiTheme="minorHAnsi"/>
                <w:iCs/>
                <w:szCs w:val="17"/>
                <w:lang w:eastAsia="en-US"/>
              </w:rPr>
              <w:t xml:space="preserve"> with improved learning spaces</w:t>
            </w:r>
            <w:r w:rsidRPr="001C27F2">
              <w:rPr>
                <w:rFonts w:asciiTheme="minorHAnsi" w:eastAsia="Times New Roman" w:hAnsiTheme="minorHAnsi"/>
                <w:iCs/>
                <w:szCs w:val="17"/>
                <w:lang w:eastAsia="en-US"/>
              </w:rPr>
              <w:t>, and access for girls and boys including children with a disability to wash facilities.</w:t>
            </w:r>
          </w:p>
        </w:tc>
        <w:tc>
          <w:tcPr>
            <w:tcW w:w="1040" w:type="pct"/>
            <w:tcBorders>
              <w:top w:val="single" w:sz="4" w:space="0" w:color="auto"/>
              <w:left w:val="single" w:sz="4" w:space="0" w:color="auto"/>
              <w:bottom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1C27F2">
              <w:rPr>
                <w:rFonts w:asciiTheme="minorHAnsi" w:eastAsia="Times New Roman" w:hAnsiTheme="minorHAnsi"/>
                <w:iCs/>
                <w:szCs w:val="17"/>
                <w:lang w:eastAsia="en-US"/>
              </w:rPr>
              <w:t>936 children with improved learning spaces, and access for girls and boys including children with a disability to wash facilities.</w:t>
            </w:r>
          </w:p>
        </w:tc>
        <w:tc>
          <w:tcPr>
            <w:tcW w:w="1047" w:type="pct"/>
            <w:tcBorders>
              <w:top w:val="single" w:sz="4" w:space="0" w:color="auto"/>
              <w:left w:val="single" w:sz="4" w:space="0" w:color="auto"/>
              <w:bottom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1C27F2">
              <w:rPr>
                <w:rFonts w:asciiTheme="minorHAnsi" w:eastAsia="Times New Roman" w:hAnsiTheme="minorHAnsi"/>
                <w:iCs/>
                <w:szCs w:val="17"/>
                <w:lang w:eastAsia="en-US"/>
              </w:rPr>
              <w:t>240 children</w:t>
            </w:r>
            <w:r>
              <w:rPr>
                <w:rFonts w:asciiTheme="minorHAnsi" w:eastAsia="Times New Roman" w:hAnsiTheme="minorHAnsi"/>
                <w:iCs/>
                <w:szCs w:val="17"/>
                <w:lang w:eastAsia="en-US"/>
              </w:rPr>
              <w:t xml:space="preserve"> with improved learning spaces</w:t>
            </w:r>
            <w:r w:rsidRPr="001C27F2">
              <w:rPr>
                <w:rFonts w:asciiTheme="minorHAnsi" w:eastAsia="Times New Roman" w:hAnsiTheme="minorHAnsi"/>
                <w:iCs/>
                <w:szCs w:val="17"/>
                <w:lang w:eastAsia="en-US"/>
              </w:rPr>
              <w:t>, and access for girls and boys including children with a disability to wash facilities.</w:t>
            </w:r>
          </w:p>
        </w:tc>
      </w:tr>
      <w:tr w:rsidR="0085070D" w:rsidTr="0058247C">
        <w:trPr>
          <w:trHeight w:val="730"/>
        </w:trPr>
        <w:tc>
          <w:tcPr>
            <w:tcW w:w="802" w:type="pct"/>
            <w:vMerge/>
            <w:tcBorders>
              <w:left w:val="single" w:sz="4" w:space="0" w:color="auto"/>
              <w:right w:val="single" w:sz="4" w:space="0" w:color="auto"/>
            </w:tcBorders>
          </w:tcPr>
          <w:p w:rsidR="0085070D" w:rsidRPr="00BB58BF" w:rsidRDefault="0085070D" w:rsidP="00CD17F4">
            <w:pPr>
              <w:pStyle w:val="NormalIndented"/>
              <w:ind w:left="37"/>
              <w:rPr>
                <w:rFonts w:eastAsia="Times New Roman"/>
                <w:iCs/>
                <w:szCs w:val="17"/>
              </w:rPr>
            </w:pPr>
          </w:p>
        </w:tc>
        <w:tc>
          <w:tcPr>
            <w:tcW w:w="1070" w:type="pct"/>
            <w:vMerge w:val="restart"/>
            <w:tcBorders>
              <w:top w:val="single" w:sz="4" w:space="0" w:color="auto"/>
              <w:left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1C27F2">
              <w:rPr>
                <w:rFonts w:asciiTheme="minorHAnsi" w:eastAsia="Times New Roman" w:hAnsiTheme="minorHAnsi"/>
                <w:iCs/>
                <w:szCs w:val="17"/>
                <w:lang w:eastAsia="en-US"/>
              </w:rPr>
              <w:t xml:space="preserve">Provision of quality skills training aligned with labour market demand  </w:t>
            </w:r>
          </w:p>
        </w:tc>
        <w:tc>
          <w:tcPr>
            <w:tcW w:w="1041" w:type="pct"/>
            <w:tcBorders>
              <w:top w:val="single" w:sz="4" w:space="0" w:color="auto"/>
              <w:left w:val="single" w:sz="4" w:space="0" w:color="auto"/>
              <w:bottom w:val="single" w:sz="4" w:space="0" w:color="auto"/>
              <w:right w:val="single" w:sz="4" w:space="0" w:color="auto"/>
            </w:tcBorders>
          </w:tcPr>
          <w:p w:rsidR="0085070D" w:rsidRPr="001C27F2" w:rsidRDefault="0085070D" w:rsidP="009773A2">
            <w:pPr>
              <w:pStyle w:val="NormalIndented"/>
              <w:ind w:left="0"/>
              <w:rPr>
                <w:rFonts w:asciiTheme="minorHAnsi" w:eastAsia="Times New Roman" w:hAnsiTheme="minorHAnsi"/>
                <w:iCs/>
                <w:szCs w:val="17"/>
                <w:lang w:eastAsia="en-US"/>
              </w:rPr>
            </w:pPr>
            <w:r w:rsidRPr="005E1C2E">
              <w:rPr>
                <w:rFonts w:asciiTheme="minorHAnsi" w:hAnsiTheme="minorHAnsi"/>
              </w:rPr>
              <w:t xml:space="preserve">All new trainers at KIT will have commenced training to obtain professional qualifications </w:t>
            </w:r>
            <w:r w:rsidRPr="005E1C2E">
              <w:rPr>
                <w:rFonts w:asciiTheme="minorHAnsi" w:eastAsia="Times New Roman" w:hAnsiTheme="minorHAnsi"/>
                <w:iCs/>
                <w:szCs w:val="17"/>
                <w:lang w:eastAsia="en-US"/>
              </w:rPr>
              <w:t xml:space="preserve">for their industry </w:t>
            </w:r>
            <w:r w:rsidRPr="005E1C2E">
              <w:rPr>
                <w:rFonts w:asciiTheme="minorHAnsi" w:hAnsiTheme="minorHAnsi"/>
              </w:rPr>
              <w:t>within 12 months of starting employment.</w:t>
            </w:r>
          </w:p>
        </w:tc>
        <w:tc>
          <w:tcPr>
            <w:tcW w:w="1040" w:type="pct"/>
            <w:tcBorders>
              <w:top w:val="single" w:sz="4" w:space="0" w:color="auto"/>
              <w:left w:val="single" w:sz="4" w:space="0" w:color="auto"/>
              <w:bottom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5E1C2E">
              <w:rPr>
                <w:rFonts w:asciiTheme="minorHAnsi" w:hAnsiTheme="minorHAnsi"/>
              </w:rPr>
              <w:t xml:space="preserve">All new trainers at KIT will have commenced training to obtain professional qualifications </w:t>
            </w:r>
            <w:r w:rsidRPr="005E1C2E">
              <w:rPr>
                <w:rFonts w:asciiTheme="minorHAnsi" w:eastAsia="Times New Roman" w:hAnsiTheme="minorHAnsi"/>
                <w:iCs/>
                <w:szCs w:val="17"/>
                <w:lang w:eastAsia="en-US"/>
              </w:rPr>
              <w:t xml:space="preserve">for their industry </w:t>
            </w:r>
            <w:r w:rsidRPr="005E1C2E">
              <w:rPr>
                <w:rFonts w:asciiTheme="minorHAnsi" w:hAnsiTheme="minorHAnsi"/>
              </w:rPr>
              <w:t>within 12 months of starting employment.</w:t>
            </w:r>
          </w:p>
        </w:tc>
        <w:tc>
          <w:tcPr>
            <w:tcW w:w="1047" w:type="pct"/>
            <w:tcBorders>
              <w:top w:val="single" w:sz="4" w:space="0" w:color="auto"/>
              <w:left w:val="single" w:sz="4" w:space="0" w:color="auto"/>
              <w:bottom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5E1C2E">
              <w:rPr>
                <w:rFonts w:asciiTheme="minorHAnsi" w:hAnsiTheme="minorHAnsi"/>
              </w:rPr>
              <w:t xml:space="preserve">All new trainers at KIT will have commenced training to obtain professional qualifications </w:t>
            </w:r>
            <w:r w:rsidRPr="005E1C2E">
              <w:rPr>
                <w:rFonts w:asciiTheme="minorHAnsi" w:eastAsia="Times New Roman" w:hAnsiTheme="minorHAnsi"/>
                <w:iCs/>
                <w:szCs w:val="17"/>
                <w:lang w:eastAsia="en-US"/>
              </w:rPr>
              <w:t xml:space="preserve">for their industry </w:t>
            </w:r>
            <w:r w:rsidRPr="005E1C2E">
              <w:rPr>
                <w:rFonts w:asciiTheme="minorHAnsi" w:hAnsiTheme="minorHAnsi"/>
              </w:rPr>
              <w:t>within 12 months of starting employment.</w:t>
            </w:r>
          </w:p>
        </w:tc>
      </w:tr>
      <w:tr w:rsidR="0085070D" w:rsidRPr="00CD17F4" w:rsidTr="0058247C">
        <w:trPr>
          <w:trHeight w:val="730"/>
        </w:trPr>
        <w:tc>
          <w:tcPr>
            <w:tcW w:w="802" w:type="pct"/>
            <w:vMerge/>
            <w:tcBorders>
              <w:left w:val="single" w:sz="4" w:space="0" w:color="auto"/>
              <w:right w:val="single" w:sz="4" w:space="0" w:color="auto"/>
            </w:tcBorders>
          </w:tcPr>
          <w:p w:rsidR="0085070D" w:rsidRPr="00BB58BF" w:rsidRDefault="0085070D" w:rsidP="00CD17F4">
            <w:pPr>
              <w:pStyle w:val="NormalIndented"/>
              <w:ind w:left="37"/>
              <w:rPr>
                <w:rFonts w:eastAsia="Times New Roman"/>
                <w:iCs/>
                <w:szCs w:val="17"/>
              </w:rPr>
            </w:pPr>
          </w:p>
        </w:tc>
        <w:tc>
          <w:tcPr>
            <w:tcW w:w="1070" w:type="pct"/>
            <w:vMerge/>
            <w:tcBorders>
              <w:left w:val="single" w:sz="4" w:space="0" w:color="auto"/>
              <w:bottom w:val="single" w:sz="4" w:space="0" w:color="auto"/>
              <w:right w:val="single" w:sz="4" w:space="0" w:color="auto"/>
            </w:tcBorders>
          </w:tcPr>
          <w:p w:rsidR="0085070D" w:rsidRPr="001C27F2" w:rsidRDefault="0085070D" w:rsidP="00CD17F4">
            <w:pPr>
              <w:pStyle w:val="NormalIndented"/>
              <w:ind w:left="-26"/>
              <w:rPr>
                <w:rFonts w:eastAsia="Times New Roman"/>
                <w:iCs/>
                <w:szCs w:val="17"/>
              </w:rPr>
            </w:pPr>
          </w:p>
        </w:tc>
        <w:tc>
          <w:tcPr>
            <w:tcW w:w="1041" w:type="pct"/>
            <w:tcBorders>
              <w:top w:val="single" w:sz="4" w:space="0" w:color="auto"/>
              <w:left w:val="single" w:sz="4" w:space="0" w:color="auto"/>
              <w:bottom w:val="single" w:sz="4" w:space="0" w:color="auto"/>
              <w:right w:val="single" w:sz="4" w:space="0" w:color="auto"/>
            </w:tcBorders>
          </w:tcPr>
          <w:p w:rsidR="0085070D" w:rsidRPr="00CD17F4" w:rsidRDefault="0085070D" w:rsidP="009773A2">
            <w:pPr>
              <w:pStyle w:val="NormalIndented"/>
              <w:ind w:left="0"/>
              <w:rPr>
                <w:rFonts w:asciiTheme="minorHAnsi" w:eastAsia="Times New Roman" w:hAnsiTheme="minorHAnsi"/>
                <w:iCs/>
                <w:szCs w:val="17"/>
                <w:lang w:eastAsia="en-US"/>
              </w:rPr>
            </w:pPr>
            <w:r w:rsidRPr="00CD17F4">
              <w:rPr>
                <w:rFonts w:asciiTheme="minorHAnsi" w:eastAsia="Times New Roman" w:hAnsiTheme="minorHAnsi"/>
                <w:iCs/>
                <w:szCs w:val="17"/>
                <w:lang w:eastAsia="en-US"/>
              </w:rPr>
              <w:t xml:space="preserve">Accredited courses </w:t>
            </w:r>
            <w:r>
              <w:rPr>
                <w:rFonts w:asciiTheme="minorHAnsi" w:eastAsia="Times New Roman" w:hAnsiTheme="minorHAnsi"/>
                <w:iCs/>
                <w:szCs w:val="17"/>
                <w:lang w:eastAsia="en-US"/>
              </w:rPr>
              <w:t xml:space="preserve">(in 2018) </w:t>
            </w:r>
            <w:r w:rsidRPr="00CD17F4">
              <w:rPr>
                <w:rFonts w:asciiTheme="minorHAnsi" w:eastAsia="Times New Roman" w:hAnsiTheme="minorHAnsi"/>
                <w:iCs/>
                <w:szCs w:val="17"/>
                <w:lang w:eastAsia="en-US"/>
              </w:rPr>
              <w:t xml:space="preserve">at KIT have a female participation rate of 50 per cent and a participation rate of 3 per cent by people with a declared disability. </w:t>
            </w:r>
          </w:p>
        </w:tc>
        <w:tc>
          <w:tcPr>
            <w:tcW w:w="1040" w:type="pct"/>
            <w:tcBorders>
              <w:top w:val="single" w:sz="4" w:space="0" w:color="auto"/>
              <w:left w:val="single" w:sz="4" w:space="0" w:color="auto"/>
              <w:bottom w:val="single" w:sz="4" w:space="0" w:color="auto"/>
              <w:right w:val="single" w:sz="4" w:space="0" w:color="auto"/>
            </w:tcBorders>
          </w:tcPr>
          <w:p w:rsidR="0085070D" w:rsidRPr="00CD17F4" w:rsidRDefault="0085070D" w:rsidP="009773A2">
            <w:pPr>
              <w:pStyle w:val="NormalIndented"/>
              <w:ind w:left="0"/>
              <w:rPr>
                <w:rFonts w:asciiTheme="minorHAnsi" w:eastAsia="Times New Roman" w:hAnsiTheme="minorHAnsi"/>
                <w:iCs/>
                <w:szCs w:val="17"/>
                <w:lang w:eastAsia="en-US"/>
              </w:rPr>
            </w:pPr>
            <w:r w:rsidRPr="00CD17F4">
              <w:rPr>
                <w:rFonts w:asciiTheme="minorHAnsi" w:eastAsia="Times New Roman" w:hAnsiTheme="minorHAnsi"/>
                <w:iCs/>
                <w:szCs w:val="17"/>
                <w:lang w:eastAsia="en-US"/>
              </w:rPr>
              <w:t xml:space="preserve">Accredited courses </w:t>
            </w:r>
            <w:r>
              <w:rPr>
                <w:rFonts w:asciiTheme="minorHAnsi" w:eastAsia="Times New Roman" w:hAnsiTheme="minorHAnsi"/>
                <w:iCs/>
                <w:szCs w:val="17"/>
                <w:lang w:eastAsia="en-US"/>
              </w:rPr>
              <w:t xml:space="preserve">(in 2019) </w:t>
            </w:r>
            <w:r w:rsidRPr="00CD17F4">
              <w:rPr>
                <w:rFonts w:asciiTheme="minorHAnsi" w:eastAsia="Times New Roman" w:hAnsiTheme="minorHAnsi"/>
                <w:iCs/>
                <w:szCs w:val="17"/>
                <w:lang w:eastAsia="en-US"/>
              </w:rPr>
              <w:t xml:space="preserve">at KIT have a female participation rate of 50 per cent and a participation rate of 5 per cent by people with a declared disability. </w:t>
            </w:r>
          </w:p>
        </w:tc>
        <w:tc>
          <w:tcPr>
            <w:tcW w:w="1047" w:type="pct"/>
            <w:tcBorders>
              <w:top w:val="single" w:sz="4" w:space="0" w:color="auto"/>
              <w:left w:val="single" w:sz="4" w:space="0" w:color="auto"/>
              <w:bottom w:val="single" w:sz="4" w:space="0" w:color="auto"/>
              <w:right w:val="single" w:sz="4" w:space="0" w:color="auto"/>
            </w:tcBorders>
          </w:tcPr>
          <w:p w:rsidR="0085070D" w:rsidRPr="00CD17F4" w:rsidRDefault="0085070D" w:rsidP="00CD17F4">
            <w:pPr>
              <w:pStyle w:val="NormalIndented"/>
              <w:ind w:left="0"/>
              <w:rPr>
                <w:rFonts w:asciiTheme="minorHAnsi" w:eastAsia="Times New Roman" w:hAnsiTheme="minorHAnsi"/>
                <w:iCs/>
                <w:szCs w:val="17"/>
                <w:lang w:eastAsia="en-US"/>
              </w:rPr>
            </w:pPr>
            <w:r w:rsidRPr="00CD17F4">
              <w:rPr>
                <w:rFonts w:asciiTheme="minorHAnsi" w:eastAsia="Times New Roman" w:hAnsiTheme="minorHAnsi"/>
                <w:iCs/>
                <w:szCs w:val="17"/>
                <w:lang w:eastAsia="en-US"/>
              </w:rPr>
              <w:t>Accredited courses</w:t>
            </w:r>
            <w:r>
              <w:rPr>
                <w:rFonts w:asciiTheme="minorHAnsi" w:eastAsia="Times New Roman" w:hAnsiTheme="minorHAnsi"/>
                <w:iCs/>
                <w:szCs w:val="17"/>
                <w:lang w:eastAsia="en-US"/>
              </w:rPr>
              <w:t xml:space="preserve"> (in 2020)</w:t>
            </w:r>
            <w:r w:rsidRPr="00CD17F4">
              <w:rPr>
                <w:rFonts w:asciiTheme="minorHAnsi" w:eastAsia="Times New Roman" w:hAnsiTheme="minorHAnsi"/>
                <w:iCs/>
                <w:szCs w:val="17"/>
                <w:lang w:eastAsia="en-US"/>
              </w:rPr>
              <w:t xml:space="preserve"> at KIT have a female participation rate of 50 per cent and a participation rate of 5 per cent by people with a declared disability.</w:t>
            </w:r>
          </w:p>
        </w:tc>
      </w:tr>
      <w:tr w:rsidR="0085070D" w:rsidTr="0058247C">
        <w:trPr>
          <w:trHeight w:val="730"/>
        </w:trPr>
        <w:tc>
          <w:tcPr>
            <w:tcW w:w="802" w:type="pct"/>
            <w:vMerge/>
            <w:tcBorders>
              <w:left w:val="single" w:sz="4" w:space="0" w:color="auto"/>
              <w:right w:val="single" w:sz="4" w:space="0" w:color="auto"/>
            </w:tcBorders>
          </w:tcPr>
          <w:p w:rsidR="0085070D" w:rsidRPr="00BB58BF" w:rsidRDefault="0085070D" w:rsidP="00CD17F4">
            <w:pPr>
              <w:pStyle w:val="NormalIndented"/>
              <w:ind w:left="37"/>
              <w:rPr>
                <w:rFonts w:eastAsia="Times New Roman"/>
                <w:iCs/>
                <w:szCs w:val="17"/>
              </w:rPr>
            </w:pPr>
          </w:p>
        </w:tc>
        <w:tc>
          <w:tcPr>
            <w:tcW w:w="1070" w:type="pct"/>
            <w:vMerge w:val="restart"/>
            <w:tcBorders>
              <w:top w:val="single" w:sz="4" w:space="0" w:color="auto"/>
              <w:left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r w:rsidRPr="001C27F2">
              <w:rPr>
                <w:rFonts w:asciiTheme="minorHAnsi" w:eastAsia="Times New Roman" w:hAnsiTheme="minorHAnsi"/>
                <w:iCs/>
                <w:szCs w:val="17"/>
                <w:lang w:eastAsia="en-US"/>
              </w:rPr>
              <w:t>Improved health outcomes</w:t>
            </w:r>
          </w:p>
        </w:tc>
        <w:tc>
          <w:tcPr>
            <w:tcW w:w="1041" w:type="pct"/>
            <w:tcBorders>
              <w:top w:val="single" w:sz="4" w:space="0" w:color="auto"/>
              <w:left w:val="single" w:sz="4" w:space="0" w:color="auto"/>
              <w:bottom w:val="single" w:sz="4" w:space="0" w:color="auto"/>
              <w:right w:val="single" w:sz="4" w:space="0" w:color="auto"/>
            </w:tcBorders>
          </w:tcPr>
          <w:p w:rsidR="0085070D" w:rsidRPr="0073407D" w:rsidRDefault="0085070D" w:rsidP="008612E8">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Tuberculous case notification rate of 570 (all forms, per 100,000 population).</w:t>
            </w:r>
          </w:p>
        </w:tc>
        <w:tc>
          <w:tcPr>
            <w:tcW w:w="1040" w:type="pct"/>
            <w:tcBorders>
              <w:top w:val="single" w:sz="4" w:space="0" w:color="auto"/>
              <w:left w:val="single" w:sz="4" w:space="0" w:color="auto"/>
              <w:bottom w:val="single" w:sz="4" w:space="0" w:color="auto"/>
              <w:right w:val="single" w:sz="4" w:space="0" w:color="auto"/>
            </w:tcBorders>
          </w:tcPr>
          <w:p w:rsidR="0085070D" w:rsidRPr="0073407D" w:rsidRDefault="0085070D" w:rsidP="008612E8">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Tuberculous case notification rate of 600 (all forms, per 100,000 population).</w:t>
            </w:r>
          </w:p>
        </w:tc>
        <w:tc>
          <w:tcPr>
            <w:tcW w:w="1047" w:type="pct"/>
            <w:tcBorders>
              <w:top w:val="single" w:sz="4" w:space="0" w:color="auto"/>
              <w:left w:val="single" w:sz="4" w:space="0" w:color="auto"/>
              <w:bottom w:val="single" w:sz="4" w:space="0" w:color="auto"/>
              <w:right w:val="single" w:sz="4" w:space="0" w:color="auto"/>
            </w:tcBorders>
          </w:tcPr>
          <w:p w:rsidR="0085070D" w:rsidRPr="001C27F2" w:rsidRDefault="00723805" w:rsidP="00CD17F4">
            <w:pPr>
              <w:pStyle w:val="TableTextEntries"/>
              <w:spacing w:before="0" w:after="0"/>
              <w:rPr>
                <w:rFonts w:asciiTheme="minorHAnsi" w:hAnsiTheme="minorHAnsi" w:cstheme="minorBidi"/>
                <w:color w:val="495965" w:themeColor="text2"/>
                <w:lang w:val="en-GB" w:eastAsia="en-US"/>
              </w:rPr>
            </w:pPr>
            <w:r>
              <w:rPr>
                <w:rFonts w:asciiTheme="minorHAnsi" w:hAnsiTheme="minorHAnsi" w:cstheme="minorBidi"/>
                <w:color w:val="495965" w:themeColor="text2"/>
                <w:lang w:val="en-GB" w:eastAsia="en-US"/>
              </w:rPr>
              <w:t>-</w:t>
            </w:r>
          </w:p>
        </w:tc>
      </w:tr>
      <w:tr w:rsidR="0085070D" w:rsidTr="0058247C">
        <w:trPr>
          <w:trHeight w:val="730"/>
        </w:trPr>
        <w:tc>
          <w:tcPr>
            <w:tcW w:w="802" w:type="pct"/>
            <w:vMerge/>
            <w:tcBorders>
              <w:left w:val="single" w:sz="4" w:space="0" w:color="auto"/>
              <w:bottom w:val="single" w:sz="4" w:space="0" w:color="auto"/>
              <w:right w:val="single" w:sz="4" w:space="0" w:color="auto"/>
            </w:tcBorders>
          </w:tcPr>
          <w:p w:rsidR="0085070D" w:rsidRPr="00BB58BF" w:rsidRDefault="0085070D" w:rsidP="00CD17F4">
            <w:pPr>
              <w:pStyle w:val="NormalIndented"/>
              <w:ind w:left="37"/>
              <w:rPr>
                <w:rFonts w:eastAsia="Times New Roman"/>
                <w:iCs/>
                <w:szCs w:val="17"/>
              </w:rPr>
            </w:pPr>
          </w:p>
        </w:tc>
        <w:tc>
          <w:tcPr>
            <w:tcW w:w="1070" w:type="pct"/>
            <w:vMerge/>
            <w:tcBorders>
              <w:left w:val="single" w:sz="4" w:space="0" w:color="auto"/>
              <w:bottom w:val="single" w:sz="4" w:space="0" w:color="auto"/>
              <w:right w:val="single" w:sz="4" w:space="0" w:color="auto"/>
            </w:tcBorders>
          </w:tcPr>
          <w:p w:rsidR="0085070D" w:rsidRPr="001C27F2" w:rsidRDefault="0085070D" w:rsidP="00CD17F4">
            <w:pPr>
              <w:pStyle w:val="NormalIndented"/>
              <w:ind w:left="0"/>
              <w:rPr>
                <w:rFonts w:asciiTheme="minorHAnsi" w:eastAsia="Times New Roman" w:hAnsiTheme="minorHAnsi"/>
                <w:iCs/>
                <w:szCs w:val="17"/>
                <w:lang w:eastAsia="en-US"/>
              </w:rPr>
            </w:pPr>
          </w:p>
        </w:tc>
        <w:tc>
          <w:tcPr>
            <w:tcW w:w="1041" w:type="pct"/>
            <w:tcBorders>
              <w:top w:val="single" w:sz="4" w:space="0" w:color="auto"/>
              <w:left w:val="single" w:sz="4" w:space="0" w:color="auto"/>
              <w:bottom w:val="single" w:sz="4" w:space="0" w:color="auto"/>
              <w:right w:val="single" w:sz="4" w:space="0" w:color="auto"/>
            </w:tcBorders>
          </w:tcPr>
          <w:p w:rsidR="0085070D" w:rsidRPr="0073407D" w:rsidRDefault="0085070D" w:rsidP="00CD17F4">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Rehabilitation of the sewage outfalls in Bairiki, Betio and Bikenibeu.</w:t>
            </w:r>
          </w:p>
        </w:tc>
        <w:tc>
          <w:tcPr>
            <w:tcW w:w="1040" w:type="pct"/>
            <w:tcBorders>
              <w:top w:val="single" w:sz="4" w:space="0" w:color="auto"/>
              <w:left w:val="single" w:sz="4" w:space="0" w:color="auto"/>
              <w:bottom w:val="single" w:sz="4" w:space="0" w:color="auto"/>
              <w:right w:val="single" w:sz="4" w:space="0" w:color="auto"/>
            </w:tcBorders>
          </w:tcPr>
          <w:p w:rsidR="0085070D" w:rsidRPr="0073407D" w:rsidRDefault="0085070D" w:rsidP="00CD17F4">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70 per cent of communities in South Tarawa are actively engaged in health and sanitation awareness programs.</w:t>
            </w:r>
          </w:p>
        </w:tc>
        <w:tc>
          <w:tcPr>
            <w:tcW w:w="1047" w:type="pct"/>
            <w:tcBorders>
              <w:top w:val="single" w:sz="4" w:space="0" w:color="auto"/>
              <w:left w:val="single" w:sz="4" w:space="0" w:color="auto"/>
              <w:bottom w:val="single" w:sz="4" w:space="0" w:color="auto"/>
              <w:right w:val="single" w:sz="4" w:space="0" w:color="auto"/>
            </w:tcBorders>
          </w:tcPr>
          <w:p w:rsidR="0085070D" w:rsidRPr="0073407D" w:rsidRDefault="0085070D" w:rsidP="00CD17F4">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 xml:space="preserve">Establishment of Sanitation Maintenance Fund program. </w:t>
            </w:r>
          </w:p>
        </w:tc>
      </w:tr>
      <w:tr w:rsidR="0085070D" w:rsidTr="0058247C">
        <w:trPr>
          <w:trHeight w:val="455"/>
        </w:trPr>
        <w:tc>
          <w:tcPr>
            <w:tcW w:w="802" w:type="pct"/>
            <w:vMerge w:val="restart"/>
            <w:tcBorders>
              <w:top w:val="single" w:sz="4" w:space="0" w:color="auto"/>
              <w:left w:val="single" w:sz="4" w:space="0" w:color="auto"/>
              <w:right w:val="single" w:sz="4" w:space="0" w:color="auto"/>
            </w:tcBorders>
          </w:tcPr>
          <w:p w:rsidR="0085070D" w:rsidRPr="00BE6C6D" w:rsidRDefault="0085070D" w:rsidP="00CD17F4">
            <w:pPr>
              <w:pStyle w:val="NormalIndented"/>
              <w:ind w:left="37"/>
              <w:rPr>
                <w:rFonts w:asciiTheme="minorHAnsi" w:hAnsiTheme="minorHAnsi"/>
                <w:i/>
                <w:color w:val="808080" w:themeColor="background1" w:themeShade="80"/>
                <w:sz w:val="18"/>
              </w:rPr>
            </w:pPr>
            <w:r w:rsidRPr="00490366">
              <w:rPr>
                <w:rFonts w:asciiTheme="minorHAnsi" w:eastAsia="Times New Roman" w:hAnsiTheme="minorHAnsi"/>
                <w:iCs/>
                <w:szCs w:val="17"/>
                <w:lang w:eastAsia="en-US"/>
              </w:rPr>
              <w:lastRenderedPageBreak/>
              <w:t>Cross-cutting issues across all development assistance</w:t>
            </w:r>
          </w:p>
        </w:tc>
        <w:tc>
          <w:tcPr>
            <w:tcW w:w="1070" w:type="pct"/>
            <w:tcBorders>
              <w:top w:val="single" w:sz="4" w:space="0" w:color="auto"/>
              <w:left w:val="single" w:sz="4" w:space="0" w:color="auto"/>
              <w:bottom w:val="single" w:sz="4" w:space="0" w:color="auto"/>
              <w:right w:val="single" w:sz="4" w:space="0" w:color="auto"/>
            </w:tcBorders>
          </w:tcPr>
          <w:p w:rsidR="0085070D" w:rsidRPr="0073407D" w:rsidRDefault="0085070D" w:rsidP="00CD17F4">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Improved resilience to the impact of climate change</w:t>
            </w:r>
          </w:p>
          <w:p w:rsidR="0085070D" w:rsidRPr="0073407D" w:rsidRDefault="0085070D" w:rsidP="00CD17F4">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 xml:space="preserve"> </w:t>
            </w:r>
          </w:p>
        </w:tc>
        <w:tc>
          <w:tcPr>
            <w:tcW w:w="1041" w:type="pct"/>
            <w:tcBorders>
              <w:top w:val="single" w:sz="4" w:space="0" w:color="auto"/>
              <w:left w:val="single" w:sz="4" w:space="0" w:color="auto"/>
              <w:bottom w:val="single" w:sz="4" w:space="0" w:color="auto"/>
              <w:right w:val="single" w:sz="4" w:space="0" w:color="auto"/>
            </w:tcBorders>
          </w:tcPr>
          <w:p w:rsidR="0085070D" w:rsidRPr="0073407D" w:rsidRDefault="0085070D" w:rsidP="00CD17F4">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 xml:space="preserve">Rainwater harvesting systems and infiltration galleries are installed in North Tarawa.  </w:t>
            </w:r>
          </w:p>
        </w:tc>
        <w:tc>
          <w:tcPr>
            <w:tcW w:w="1040" w:type="pct"/>
            <w:tcBorders>
              <w:top w:val="single" w:sz="4" w:space="0" w:color="auto"/>
              <w:left w:val="single" w:sz="4" w:space="0" w:color="auto"/>
              <w:bottom w:val="single" w:sz="4" w:space="0" w:color="auto"/>
              <w:right w:val="single" w:sz="4" w:space="0" w:color="auto"/>
            </w:tcBorders>
          </w:tcPr>
          <w:p w:rsidR="0085070D" w:rsidRPr="0073407D" w:rsidRDefault="00723805" w:rsidP="00CD17F4">
            <w:pPr>
              <w:pStyle w:val="NormalIndented"/>
              <w:ind w:left="37"/>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1047" w:type="pct"/>
            <w:tcBorders>
              <w:top w:val="single" w:sz="4" w:space="0" w:color="auto"/>
              <w:left w:val="single" w:sz="4" w:space="0" w:color="auto"/>
              <w:bottom w:val="single" w:sz="4" w:space="0" w:color="auto"/>
              <w:right w:val="single" w:sz="4" w:space="0" w:color="auto"/>
            </w:tcBorders>
          </w:tcPr>
          <w:p w:rsidR="0085070D" w:rsidRPr="0073407D" w:rsidRDefault="00723805" w:rsidP="00CD17F4">
            <w:pPr>
              <w:pStyle w:val="NormalIndented"/>
              <w:ind w:left="37"/>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85070D" w:rsidTr="0058247C">
        <w:trPr>
          <w:trHeight w:val="455"/>
        </w:trPr>
        <w:tc>
          <w:tcPr>
            <w:tcW w:w="802" w:type="pct"/>
            <w:vMerge/>
            <w:tcBorders>
              <w:left w:val="single" w:sz="4" w:space="0" w:color="auto"/>
              <w:bottom w:val="single" w:sz="4" w:space="0" w:color="auto"/>
              <w:right w:val="single" w:sz="4" w:space="0" w:color="auto"/>
            </w:tcBorders>
          </w:tcPr>
          <w:p w:rsidR="0085070D" w:rsidRPr="00490366" w:rsidRDefault="0085070D" w:rsidP="00CD17F4">
            <w:pPr>
              <w:pStyle w:val="NormalIndented"/>
              <w:ind w:left="37"/>
              <w:rPr>
                <w:rFonts w:eastAsia="Times New Roman"/>
                <w:iCs/>
                <w:szCs w:val="17"/>
              </w:rPr>
            </w:pPr>
          </w:p>
        </w:tc>
        <w:tc>
          <w:tcPr>
            <w:tcW w:w="1070" w:type="pct"/>
            <w:tcBorders>
              <w:top w:val="single" w:sz="4" w:space="0" w:color="auto"/>
              <w:left w:val="single" w:sz="4" w:space="0" w:color="auto"/>
              <w:bottom w:val="single" w:sz="4" w:space="0" w:color="auto"/>
              <w:right w:val="single" w:sz="4" w:space="0" w:color="auto"/>
            </w:tcBorders>
          </w:tcPr>
          <w:p w:rsidR="0085070D" w:rsidRPr="0073407D" w:rsidRDefault="0085070D" w:rsidP="00CD17F4">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Eliminating violence against women</w:t>
            </w:r>
          </w:p>
        </w:tc>
        <w:tc>
          <w:tcPr>
            <w:tcW w:w="1041" w:type="pct"/>
            <w:tcBorders>
              <w:top w:val="single" w:sz="4" w:space="0" w:color="auto"/>
              <w:left w:val="single" w:sz="4" w:space="0" w:color="auto"/>
              <w:bottom w:val="single" w:sz="4" w:space="0" w:color="auto"/>
              <w:right w:val="single" w:sz="4" w:space="0" w:color="auto"/>
            </w:tcBorders>
          </w:tcPr>
          <w:p w:rsidR="0085070D" w:rsidRPr="0073407D" w:rsidRDefault="0085070D" w:rsidP="00C95893">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70 per cent of frontline police officers complete training on the enforcement of the new Family Act and at least 20 per cent of all domestic violence cases result in protection orders.</w:t>
            </w:r>
          </w:p>
        </w:tc>
        <w:tc>
          <w:tcPr>
            <w:tcW w:w="1040" w:type="pct"/>
            <w:tcBorders>
              <w:top w:val="single" w:sz="4" w:space="0" w:color="auto"/>
              <w:left w:val="single" w:sz="4" w:space="0" w:color="auto"/>
              <w:bottom w:val="single" w:sz="4" w:space="0" w:color="auto"/>
              <w:right w:val="single" w:sz="4" w:space="0" w:color="auto"/>
            </w:tcBorders>
          </w:tcPr>
          <w:p w:rsidR="0085070D" w:rsidRPr="0073407D" w:rsidRDefault="0085070D" w:rsidP="00C95893">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90 per cent of frontline police officers complete training on the enforcement of the new Family Act and at least 25 per cent of all domestic violence cases result in protection orders.</w:t>
            </w:r>
          </w:p>
        </w:tc>
        <w:tc>
          <w:tcPr>
            <w:tcW w:w="1047" w:type="pct"/>
            <w:tcBorders>
              <w:top w:val="single" w:sz="4" w:space="0" w:color="auto"/>
              <w:left w:val="single" w:sz="4" w:space="0" w:color="auto"/>
              <w:bottom w:val="single" w:sz="4" w:space="0" w:color="auto"/>
              <w:right w:val="single" w:sz="4" w:space="0" w:color="auto"/>
            </w:tcBorders>
          </w:tcPr>
          <w:p w:rsidR="0085070D" w:rsidRPr="0073407D" w:rsidRDefault="0085070D" w:rsidP="00C95893">
            <w:pPr>
              <w:pStyle w:val="NormalIndented"/>
              <w:ind w:left="37"/>
              <w:rPr>
                <w:rFonts w:asciiTheme="minorHAnsi" w:eastAsia="Times New Roman" w:hAnsiTheme="minorHAnsi"/>
                <w:iCs/>
                <w:szCs w:val="17"/>
                <w:lang w:eastAsia="en-US"/>
              </w:rPr>
            </w:pPr>
            <w:r w:rsidRPr="0073407D">
              <w:rPr>
                <w:rFonts w:asciiTheme="minorHAnsi" w:eastAsia="Times New Roman" w:hAnsiTheme="minorHAnsi"/>
                <w:iCs/>
                <w:szCs w:val="17"/>
                <w:lang w:eastAsia="en-US"/>
              </w:rPr>
              <w:t>100 per cent of frontline police officers complete training on the enforcement of the new Family Act and at least 30 per cent of all domestic violence cases result in protection orders.</w:t>
            </w:r>
          </w:p>
        </w:tc>
      </w:tr>
    </w:tbl>
    <w:p w:rsidR="00AF1B85" w:rsidRPr="00A8197B" w:rsidRDefault="00184F1E" w:rsidP="00BE1BEB">
      <w:pPr>
        <w:pStyle w:val="Subtitle"/>
        <w:numPr>
          <w:ilvl w:val="0"/>
          <w:numId w:val="0"/>
        </w:numPr>
      </w:pPr>
      <w:r>
        <w:br w:type="page"/>
      </w:r>
      <w:r w:rsidR="00AF1B85" w:rsidRPr="00A8197B">
        <w:lastRenderedPageBreak/>
        <w:t xml:space="preserve">Annex </w:t>
      </w:r>
      <w:r>
        <w:t>C</w:t>
      </w:r>
      <w:r w:rsidR="00AF1B85" w:rsidRPr="00A8197B">
        <w:t xml:space="preserve"> - Evaluation Planning</w:t>
      </w:r>
    </w:p>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D23D73" w:rsidRDefault="00D23D73" w:rsidP="00D15A00">
            <w:pPr>
              <w:keepLines/>
              <w:spacing w:before="40" w:after="40" w:line="200" w:lineRule="atLeast"/>
              <w:rPr>
                <w:rFonts w:asciiTheme="minorHAnsi" w:eastAsia="Times New Roman" w:hAnsiTheme="minorHAnsi"/>
                <w:b w:val="0"/>
                <w:iCs/>
                <w:color w:val="auto"/>
                <w:szCs w:val="17"/>
                <w:lang w:eastAsia="en-US"/>
              </w:rPr>
            </w:pPr>
            <w:r w:rsidRPr="00D23D73">
              <w:rPr>
                <w:rFonts w:asciiTheme="minorHAnsi" w:eastAsia="Times New Roman" w:hAnsiTheme="minorHAnsi"/>
                <w:b w:val="0"/>
                <w:iCs/>
                <w:color w:val="auto"/>
                <w:szCs w:val="17"/>
                <w:lang w:eastAsia="en-US"/>
              </w:rPr>
              <w:t>INK504 Kiribati Disability</w:t>
            </w:r>
          </w:p>
        </w:tc>
        <w:tc>
          <w:tcPr>
            <w:tcW w:w="3665" w:type="dxa"/>
          </w:tcPr>
          <w:p w:rsidR="00AF1B85" w:rsidRPr="00D23D73" w:rsidRDefault="00D23D73" w:rsidP="00D15A00">
            <w:pPr>
              <w:keepLines/>
              <w:spacing w:before="40" w:after="40" w:line="200" w:lineRule="atLeast"/>
              <w:rPr>
                <w:rFonts w:asciiTheme="minorHAnsi" w:eastAsia="Times New Roman" w:hAnsiTheme="minorHAnsi"/>
                <w:b w:val="0"/>
                <w:iCs/>
                <w:color w:val="auto"/>
                <w:szCs w:val="17"/>
                <w:lang w:eastAsia="en-US"/>
              </w:rPr>
            </w:pPr>
            <w:r w:rsidRPr="00D23D73">
              <w:rPr>
                <w:rFonts w:asciiTheme="minorHAnsi" w:eastAsia="Times New Roman" w:hAnsiTheme="minorHAnsi"/>
                <w:b w:val="0"/>
                <w:iCs/>
                <w:color w:val="auto"/>
                <w:szCs w:val="17"/>
                <w:lang w:eastAsia="en-US"/>
              </w:rPr>
              <w:t>Report of the independent review of the Kiribati Disability Inclusive Development Program</w:t>
            </w:r>
          </w:p>
        </w:tc>
        <w:tc>
          <w:tcPr>
            <w:tcW w:w="1397" w:type="dxa"/>
          </w:tcPr>
          <w:p w:rsidR="00AF1B85" w:rsidRPr="00D23D73" w:rsidRDefault="00D23D73" w:rsidP="00D23D73">
            <w:pPr>
              <w:keepLines/>
              <w:spacing w:before="40" w:after="40" w:line="200" w:lineRule="atLeast"/>
              <w:rPr>
                <w:rFonts w:asciiTheme="minorHAnsi" w:eastAsia="Times New Roman" w:hAnsiTheme="minorHAnsi"/>
                <w:b w:val="0"/>
                <w:iCs/>
                <w:color w:val="auto"/>
                <w:szCs w:val="17"/>
                <w:lang w:eastAsia="en-US"/>
              </w:rPr>
            </w:pPr>
            <w:r w:rsidRPr="00D23D73">
              <w:rPr>
                <w:rFonts w:asciiTheme="minorHAnsi" w:eastAsia="Times New Roman" w:hAnsiTheme="minorHAnsi"/>
                <w:b w:val="0"/>
                <w:iCs/>
                <w:color w:val="auto"/>
                <w:szCs w:val="17"/>
                <w:lang w:eastAsia="en-US"/>
              </w:rPr>
              <w:t>May 2017</w:t>
            </w:r>
          </w:p>
        </w:tc>
        <w:tc>
          <w:tcPr>
            <w:tcW w:w="1953" w:type="dxa"/>
          </w:tcPr>
          <w:p w:rsidR="00AF1B85" w:rsidRPr="00D23D73" w:rsidRDefault="00D23D73" w:rsidP="00D15A00">
            <w:pPr>
              <w:keepLines/>
              <w:spacing w:before="40" w:after="40" w:line="200" w:lineRule="atLeast"/>
              <w:rPr>
                <w:rFonts w:asciiTheme="minorHAnsi" w:eastAsia="Times New Roman" w:hAnsiTheme="minorHAnsi"/>
                <w:b w:val="0"/>
                <w:iCs/>
                <w:color w:val="auto"/>
                <w:szCs w:val="17"/>
                <w:lang w:eastAsia="en-US"/>
              </w:rPr>
            </w:pPr>
            <w:r w:rsidRPr="00D23D73">
              <w:rPr>
                <w:rFonts w:asciiTheme="minorHAnsi" w:eastAsia="Times New Roman" w:hAnsiTheme="minorHAnsi"/>
                <w:b w:val="0"/>
                <w:iCs/>
                <w:color w:val="auto"/>
                <w:szCs w:val="17"/>
                <w:lang w:eastAsia="en-US"/>
              </w:rPr>
              <w:t>June 2017</w:t>
            </w:r>
            <w:r w:rsidR="00AF1B85" w:rsidRPr="00D23D73">
              <w:rPr>
                <w:rFonts w:asciiTheme="minorHAnsi" w:eastAsia="Times New Roman" w:hAnsiTheme="minorHAnsi"/>
                <w:b w:val="0"/>
                <w:iCs/>
                <w:color w:val="auto"/>
                <w:szCs w:val="17"/>
                <w:lang w:eastAsia="en-US"/>
              </w:rPr>
              <w:t xml:space="preserve"> </w:t>
            </w:r>
          </w:p>
        </w:tc>
        <w:tc>
          <w:tcPr>
            <w:tcW w:w="1671" w:type="dxa"/>
          </w:tcPr>
          <w:p w:rsidR="00AF1B85" w:rsidRPr="00D23D73" w:rsidRDefault="00AC7E33" w:rsidP="00D15A00">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w:t>
            </w:r>
          </w:p>
        </w:tc>
        <w:tc>
          <w:tcPr>
            <w:tcW w:w="2365" w:type="dxa"/>
          </w:tcPr>
          <w:p w:rsidR="00AF1B85" w:rsidRPr="00D23D73" w:rsidRDefault="00D23D73" w:rsidP="003E305C">
            <w:pPr>
              <w:keepLines/>
              <w:spacing w:before="40" w:after="40" w:line="200" w:lineRule="atLeast"/>
              <w:rPr>
                <w:rFonts w:asciiTheme="minorHAnsi" w:eastAsia="Times New Roman" w:hAnsiTheme="minorHAnsi"/>
                <w:b w:val="0"/>
                <w:iCs/>
                <w:color w:val="auto"/>
                <w:szCs w:val="17"/>
                <w:lang w:eastAsia="en-US"/>
              </w:rPr>
            </w:pPr>
            <w:r w:rsidRPr="00D23D73">
              <w:rPr>
                <w:rFonts w:asciiTheme="minorHAnsi" w:eastAsia="Times New Roman" w:hAnsiTheme="minorHAnsi"/>
                <w:b w:val="0"/>
                <w:iCs/>
                <w:color w:val="auto"/>
                <w:szCs w:val="17"/>
                <w:lang w:eastAsia="en-US"/>
              </w:rPr>
              <w:t>August 2017</w:t>
            </w:r>
          </w:p>
        </w:tc>
      </w:tr>
    </w:tbl>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rsidTr="005E606B">
        <w:tc>
          <w:tcPr>
            <w:tcW w:w="2444"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rsidTr="005E606B">
        <w:tc>
          <w:tcPr>
            <w:tcW w:w="2444" w:type="dxa"/>
          </w:tcPr>
          <w:p w:rsidR="00AF1B85" w:rsidRPr="00630143" w:rsidRDefault="00630143" w:rsidP="00D15A00">
            <w:pPr>
              <w:keepLines/>
              <w:spacing w:before="40" w:after="40" w:line="200" w:lineRule="atLeast"/>
              <w:rPr>
                <w:rFonts w:asciiTheme="minorHAnsi" w:eastAsia="Times New Roman" w:hAnsiTheme="minorHAnsi"/>
                <w:iCs/>
                <w:color w:val="auto"/>
                <w:szCs w:val="17"/>
                <w:lang w:eastAsia="en-US"/>
              </w:rPr>
            </w:pPr>
            <w:r w:rsidRPr="00630143">
              <w:rPr>
                <w:rFonts w:asciiTheme="minorHAnsi" w:eastAsia="Times New Roman" w:hAnsiTheme="minorHAnsi"/>
                <w:iCs/>
                <w:color w:val="auto"/>
                <w:szCs w:val="17"/>
                <w:lang w:eastAsia="en-US"/>
              </w:rPr>
              <w:t>No evaluations planned for 2016-17</w:t>
            </w:r>
          </w:p>
        </w:tc>
        <w:tc>
          <w:tcPr>
            <w:tcW w:w="2356" w:type="dxa"/>
          </w:tcPr>
          <w:p w:rsidR="00AF1B85" w:rsidRPr="00AC7E33" w:rsidRDefault="00AC7E33" w:rsidP="00D15A00">
            <w:pPr>
              <w:keepLines/>
              <w:spacing w:before="40" w:after="40" w:line="200" w:lineRule="atLeast"/>
              <w:rPr>
                <w:rFonts w:asciiTheme="minorHAnsi" w:eastAsia="Times New Roman" w:hAnsiTheme="minorHAnsi"/>
                <w:iCs/>
                <w:color w:val="auto"/>
                <w:szCs w:val="17"/>
                <w:lang w:eastAsia="en-US"/>
              </w:rPr>
            </w:pPr>
            <w:r w:rsidRPr="00AC7E33">
              <w:rPr>
                <w:rFonts w:asciiTheme="minorHAnsi" w:eastAsia="Times New Roman" w:hAnsiTheme="minorHAnsi"/>
                <w:iCs/>
                <w:color w:val="auto"/>
                <w:szCs w:val="17"/>
                <w:lang w:eastAsia="en-US"/>
              </w:rPr>
              <w:t>-</w:t>
            </w:r>
          </w:p>
        </w:tc>
        <w:tc>
          <w:tcPr>
            <w:tcW w:w="2042" w:type="dxa"/>
          </w:tcPr>
          <w:p w:rsidR="00AF1B85" w:rsidRPr="00AC7E33" w:rsidRDefault="00AC7E33" w:rsidP="00D15A00">
            <w:pPr>
              <w:keepLines/>
              <w:spacing w:before="40" w:after="40" w:line="200" w:lineRule="atLeast"/>
              <w:rPr>
                <w:rFonts w:asciiTheme="minorHAnsi" w:eastAsia="Times New Roman" w:hAnsiTheme="minorHAnsi"/>
                <w:iCs/>
                <w:color w:val="auto"/>
                <w:szCs w:val="17"/>
                <w:lang w:eastAsia="en-US"/>
              </w:rPr>
            </w:pPr>
            <w:r w:rsidRPr="00AC7E33">
              <w:rPr>
                <w:rFonts w:asciiTheme="minorHAnsi" w:eastAsia="Times New Roman" w:hAnsiTheme="minorHAnsi"/>
                <w:iCs/>
                <w:color w:val="auto"/>
                <w:szCs w:val="17"/>
                <w:lang w:eastAsia="en-US"/>
              </w:rPr>
              <w:t>-</w:t>
            </w:r>
          </w:p>
        </w:tc>
        <w:tc>
          <w:tcPr>
            <w:tcW w:w="2208" w:type="dxa"/>
          </w:tcPr>
          <w:p w:rsidR="00AF1B85" w:rsidRPr="00AC7E33" w:rsidRDefault="00AC7E33" w:rsidP="00D15A00">
            <w:pPr>
              <w:keepLines/>
              <w:spacing w:before="40" w:after="40" w:line="200" w:lineRule="atLeast"/>
              <w:rPr>
                <w:rFonts w:asciiTheme="minorHAnsi" w:eastAsia="Times New Roman" w:hAnsiTheme="minorHAnsi"/>
                <w:iCs/>
                <w:color w:val="auto"/>
                <w:szCs w:val="17"/>
                <w:lang w:eastAsia="en-US"/>
              </w:rPr>
            </w:pPr>
            <w:r w:rsidRPr="00AC7E33">
              <w:rPr>
                <w:rFonts w:asciiTheme="minorHAnsi" w:eastAsia="Times New Roman" w:hAnsiTheme="minorHAnsi"/>
                <w:iCs/>
                <w:color w:val="auto"/>
                <w:szCs w:val="17"/>
                <w:lang w:eastAsia="en-US"/>
              </w:rPr>
              <w:t>-</w:t>
            </w:r>
          </w:p>
        </w:tc>
        <w:tc>
          <w:tcPr>
            <w:tcW w:w="2325" w:type="dxa"/>
          </w:tcPr>
          <w:p w:rsidR="00AF1B85" w:rsidRPr="00AC7E33" w:rsidRDefault="00AC7E33" w:rsidP="00D15A00">
            <w:pPr>
              <w:keepLines/>
              <w:spacing w:before="40" w:after="40" w:line="200" w:lineRule="atLeast"/>
              <w:rPr>
                <w:rFonts w:asciiTheme="minorHAnsi" w:eastAsia="Times New Roman" w:hAnsiTheme="minorHAnsi"/>
                <w:iCs/>
                <w:color w:val="auto"/>
                <w:szCs w:val="17"/>
                <w:lang w:eastAsia="en-US"/>
              </w:rPr>
            </w:pPr>
            <w:r w:rsidRPr="00AC7E33">
              <w:rPr>
                <w:rFonts w:asciiTheme="minorHAnsi" w:eastAsia="Times New Roman" w:hAnsiTheme="minorHAnsi"/>
                <w:iCs/>
                <w:color w:val="auto"/>
                <w:szCs w:val="17"/>
                <w:lang w:eastAsia="en-US"/>
              </w:rPr>
              <w:t>-</w:t>
            </w:r>
          </w:p>
        </w:tc>
        <w:tc>
          <w:tcPr>
            <w:tcW w:w="2740" w:type="dxa"/>
          </w:tcPr>
          <w:p w:rsidR="00AF1B85" w:rsidRPr="00AC7E33" w:rsidRDefault="00AC7E33" w:rsidP="00D15A00">
            <w:pPr>
              <w:keepLines/>
              <w:spacing w:before="40" w:after="40" w:line="200" w:lineRule="atLeast"/>
              <w:rPr>
                <w:rFonts w:asciiTheme="minorHAnsi" w:eastAsia="Times New Roman" w:hAnsiTheme="minorHAnsi"/>
                <w:iCs/>
                <w:color w:val="auto"/>
                <w:szCs w:val="17"/>
                <w:lang w:eastAsia="en-US"/>
              </w:rPr>
            </w:pPr>
            <w:r w:rsidRPr="00AC7E33">
              <w:rPr>
                <w:rFonts w:asciiTheme="minorHAnsi" w:eastAsia="Times New Roman" w:hAnsiTheme="minorHAnsi"/>
                <w:iCs/>
                <w:color w:val="auto"/>
                <w:szCs w:val="17"/>
                <w:lang w:eastAsia="en-US"/>
              </w:rPr>
              <w:t>-</w:t>
            </w:r>
          </w:p>
        </w:tc>
      </w:tr>
    </w:tbl>
    <w:p w:rsidR="0059146A" w:rsidRPr="0059146A" w:rsidRDefault="0059146A" w:rsidP="005B5769">
      <w:pPr>
        <w:pStyle w:val="ListBullet"/>
        <w:tabs>
          <w:tab w:val="clear" w:pos="284"/>
        </w:tabs>
      </w:pPr>
    </w:p>
    <w:p w:rsidR="0059146A" w:rsidRDefault="0059146A" w:rsidP="005B5769">
      <w:pPr>
        <w:pStyle w:val="ListBullet"/>
        <w:tabs>
          <w:tab w:val="clear" w:pos="284"/>
        </w:tabs>
      </w:pPr>
    </w:p>
    <w:p w:rsidR="005E606B" w:rsidRDefault="005E606B" w:rsidP="005B5769">
      <w:pPr>
        <w:pStyle w:val="ListBullet"/>
        <w:tabs>
          <w:tab w:val="clear" w:pos="284"/>
        </w:tabs>
        <w:sectPr w:rsidR="005E606B" w:rsidSect="00D2653F">
          <w:headerReference w:type="default" r:id="rId24"/>
          <w:headerReference w:type="first" r:id="rId25"/>
          <w:pgSz w:w="16838" w:h="11906" w:orient="landscape" w:code="9"/>
          <w:pgMar w:top="1134" w:right="1952" w:bottom="1134" w:left="851" w:header="1107" w:footer="567" w:gutter="0"/>
          <w:cols w:space="397"/>
          <w:docGrid w:linePitch="360"/>
        </w:sectPr>
      </w:pPr>
    </w:p>
    <w:p w:rsidR="005E606B" w:rsidRPr="00A8197B" w:rsidRDefault="005E606B" w:rsidP="00A8197B">
      <w:pPr>
        <w:pStyle w:val="Subtitle"/>
      </w:pPr>
      <w:r w:rsidRPr="00A8197B">
        <w:lastRenderedPageBreak/>
        <w:t xml:space="preserve">Annex </w:t>
      </w:r>
      <w:r w:rsidR="00184F1E">
        <w:t>D</w:t>
      </w:r>
      <w:r w:rsidRPr="00A8197B">
        <w:t xml:space="preserve"> -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tbl>
      <w:tblPr>
        <w:tblW w:w="9380" w:type="dxa"/>
        <w:tblLook w:val="04A0" w:firstRow="1" w:lastRow="0" w:firstColumn="1" w:lastColumn="0" w:noHBand="0" w:noVBand="1"/>
      </w:tblPr>
      <w:tblGrid>
        <w:gridCol w:w="1700"/>
        <w:gridCol w:w="960"/>
        <w:gridCol w:w="960"/>
        <w:gridCol w:w="960"/>
        <w:gridCol w:w="960"/>
        <w:gridCol w:w="960"/>
        <w:gridCol w:w="960"/>
        <w:gridCol w:w="960"/>
        <w:gridCol w:w="960"/>
      </w:tblGrid>
      <w:tr w:rsidR="00AC1586" w:rsidRPr="00AC1586" w:rsidTr="00AC1586">
        <w:trPr>
          <w:trHeight w:val="1230"/>
        </w:trPr>
        <w:tc>
          <w:tcPr>
            <w:tcW w:w="1700" w:type="dxa"/>
            <w:tcBorders>
              <w:top w:val="single" w:sz="12" w:space="0" w:color="000000"/>
              <w:left w:val="nil"/>
              <w:bottom w:val="single" w:sz="8" w:space="0" w:color="auto"/>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AC1586">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324100" cy="228600"/>
                  <wp:effectExtent l="0" t="0" r="0" b="0"/>
                  <wp:wrapNone/>
                  <wp:docPr id="2" name="Picture 2"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C1586">
              <w:rPr>
                <w:rFonts w:ascii="Calibri Light" w:eastAsia="Times New Roman" w:hAnsi="Calibri Light" w:cs="Times New Roman"/>
                <w:b/>
                <w:bCs/>
                <w:iCs/>
                <w:color w:val="495965"/>
                <w:sz w:val="17"/>
                <w:szCs w:val="17"/>
                <w:lang w:eastAsia="en-AU"/>
              </w:rPr>
              <w:t>Investment name</w:t>
            </w:r>
          </w:p>
        </w:tc>
        <w:tc>
          <w:tcPr>
            <w:tcW w:w="960" w:type="dxa"/>
            <w:tcBorders>
              <w:top w:val="single" w:sz="12" w:space="0" w:color="000000"/>
              <w:left w:val="nil"/>
              <w:bottom w:val="single" w:sz="8" w:space="0" w:color="auto"/>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AC1586">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8" w:space="0" w:color="auto"/>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AC1586">
              <w:rPr>
                <w:rFonts w:ascii="Calibri Light" w:eastAsia="Times New Roman" w:hAnsi="Calibri Light" w:cs="Times New Roman"/>
                <w:b/>
                <w:bCs/>
                <w:iCs/>
                <w:color w:val="495965"/>
                <w:sz w:val="17"/>
                <w:szCs w:val="17"/>
                <w:lang w:eastAsia="en-AU"/>
              </w:rPr>
              <w:t>year on year</w:t>
            </w:r>
          </w:p>
        </w:tc>
        <w:tc>
          <w:tcPr>
            <w:tcW w:w="960" w:type="dxa"/>
            <w:tcBorders>
              <w:top w:val="single" w:sz="12" w:space="0" w:color="000000"/>
              <w:left w:val="nil"/>
              <w:bottom w:val="single" w:sz="8" w:space="0" w:color="auto"/>
              <w:right w:val="nil"/>
            </w:tcBorders>
            <w:shd w:val="clear" w:color="auto" w:fill="auto"/>
            <w:textDirection w:val="btLr"/>
            <w:vAlign w:val="bottom"/>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AC1586">
              <w:rPr>
                <w:rFonts w:ascii="Calibri Light" w:eastAsia="Times New Roman" w:hAnsi="Calibri Light" w:cs="Times New Roman"/>
                <w:b/>
                <w:bCs/>
                <w:iCs/>
                <w:color w:val="495965"/>
                <w:sz w:val="17"/>
                <w:szCs w:val="17"/>
                <w:lang w:eastAsia="en-AU"/>
              </w:rPr>
              <w:t>Relevance</w:t>
            </w:r>
          </w:p>
        </w:tc>
        <w:tc>
          <w:tcPr>
            <w:tcW w:w="960" w:type="dxa"/>
            <w:tcBorders>
              <w:top w:val="single" w:sz="12" w:space="0" w:color="000000"/>
              <w:left w:val="nil"/>
              <w:bottom w:val="single" w:sz="8" w:space="0" w:color="auto"/>
              <w:right w:val="nil"/>
            </w:tcBorders>
            <w:shd w:val="clear" w:color="auto" w:fill="auto"/>
            <w:textDirection w:val="btLr"/>
            <w:vAlign w:val="bottom"/>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AC1586">
              <w:rPr>
                <w:rFonts w:ascii="Calibri Light" w:eastAsia="Times New Roman" w:hAnsi="Calibri Light" w:cs="Times New Roman"/>
                <w:b/>
                <w:bCs/>
                <w:iCs/>
                <w:color w:val="495965"/>
                <w:sz w:val="17"/>
                <w:szCs w:val="17"/>
                <w:lang w:eastAsia="en-AU"/>
              </w:rPr>
              <w:t>Effectiveness</w:t>
            </w:r>
          </w:p>
        </w:tc>
        <w:tc>
          <w:tcPr>
            <w:tcW w:w="960" w:type="dxa"/>
            <w:tcBorders>
              <w:top w:val="single" w:sz="12" w:space="0" w:color="000000"/>
              <w:left w:val="nil"/>
              <w:bottom w:val="single" w:sz="8" w:space="0" w:color="auto"/>
              <w:right w:val="nil"/>
            </w:tcBorders>
            <w:shd w:val="clear" w:color="auto" w:fill="auto"/>
            <w:textDirection w:val="btLr"/>
            <w:vAlign w:val="bottom"/>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AC1586">
              <w:rPr>
                <w:rFonts w:ascii="Calibri Light" w:eastAsia="Times New Roman" w:hAnsi="Calibri Light" w:cs="Times New Roman"/>
                <w:b/>
                <w:bCs/>
                <w:iCs/>
                <w:color w:val="495965"/>
                <w:sz w:val="17"/>
                <w:szCs w:val="17"/>
                <w:lang w:eastAsia="en-AU"/>
              </w:rPr>
              <w:t>Efficiency</w:t>
            </w:r>
          </w:p>
        </w:tc>
        <w:tc>
          <w:tcPr>
            <w:tcW w:w="960" w:type="dxa"/>
            <w:tcBorders>
              <w:top w:val="single" w:sz="12" w:space="0" w:color="000000"/>
              <w:left w:val="nil"/>
              <w:bottom w:val="single" w:sz="8" w:space="0" w:color="auto"/>
              <w:right w:val="nil"/>
            </w:tcBorders>
            <w:shd w:val="clear" w:color="auto" w:fill="auto"/>
            <w:textDirection w:val="btLr"/>
            <w:vAlign w:val="bottom"/>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AC1586">
              <w:rPr>
                <w:rFonts w:ascii="Calibri Light" w:eastAsia="Times New Roman" w:hAnsi="Calibri Light" w:cs="Times New Roman"/>
                <w:b/>
                <w:bCs/>
                <w:iCs/>
                <w:color w:val="495965"/>
                <w:sz w:val="17"/>
                <w:szCs w:val="17"/>
                <w:lang w:eastAsia="en-AU"/>
              </w:rPr>
              <w:t>Monitoring and Evaluation</w:t>
            </w:r>
          </w:p>
        </w:tc>
        <w:tc>
          <w:tcPr>
            <w:tcW w:w="960" w:type="dxa"/>
            <w:tcBorders>
              <w:top w:val="single" w:sz="12" w:space="0" w:color="000000"/>
              <w:left w:val="nil"/>
              <w:bottom w:val="single" w:sz="8" w:space="0" w:color="auto"/>
              <w:right w:val="nil"/>
            </w:tcBorders>
            <w:shd w:val="clear" w:color="auto" w:fill="auto"/>
            <w:textDirection w:val="btLr"/>
            <w:vAlign w:val="bottom"/>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AC1586">
              <w:rPr>
                <w:rFonts w:ascii="Calibri Light" w:eastAsia="Times New Roman" w:hAnsi="Calibri Light" w:cs="Times New Roman"/>
                <w:b/>
                <w:bCs/>
                <w:iCs/>
                <w:color w:val="495965"/>
                <w:sz w:val="17"/>
                <w:szCs w:val="17"/>
                <w:lang w:eastAsia="en-AU"/>
              </w:rPr>
              <w:t>Sustainability</w:t>
            </w:r>
          </w:p>
        </w:tc>
        <w:tc>
          <w:tcPr>
            <w:tcW w:w="960" w:type="dxa"/>
            <w:tcBorders>
              <w:top w:val="single" w:sz="12" w:space="0" w:color="000000"/>
              <w:left w:val="nil"/>
              <w:bottom w:val="single" w:sz="8" w:space="0" w:color="auto"/>
              <w:right w:val="nil"/>
            </w:tcBorders>
            <w:shd w:val="clear" w:color="auto" w:fill="auto"/>
            <w:textDirection w:val="btLr"/>
            <w:vAlign w:val="bottom"/>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AC1586">
              <w:rPr>
                <w:rFonts w:ascii="Calibri Light" w:eastAsia="Times New Roman" w:hAnsi="Calibri Light" w:cs="Times New Roman"/>
                <w:b/>
                <w:bCs/>
                <w:iCs/>
                <w:color w:val="495965"/>
                <w:sz w:val="17"/>
                <w:szCs w:val="17"/>
                <w:lang w:eastAsia="en-AU"/>
              </w:rPr>
              <w:t>Gender equality</w:t>
            </w:r>
          </w:p>
        </w:tc>
      </w:tr>
      <w:tr w:rsidR="00AC1586" w:rsidRPr="00AC1586" w:rsidTr="00AC1586">
        <w:trPr>
          <w:trHeight w:val="300"/>
        </w:trPr>
        <w:tc>
          <w:tcPr>
            <w:tcW w:w="170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INJ383</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 xml:space="preserve">$7.5m </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2017 AQC</w:t>
            </w:r>
          </w:p>
        </w:tc>
        <w:tc>
          <w:tcPr>
            <w:tcW w:w="960" w:type="dxa"/>
            <w:tcBorders>
              <w:top w:val="nil"/>
              <w:left w:val="nil"/>
              <w:bottom w:val="nil"/>
              <w:right w:val="nil"/>
            </w:tcBorders>
            <w:shd w:val="clear" w:color="auto" w:fill="auto"/>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n/a</w:t>
            </w:r>
          </w:p>
        </w:tc>
        <w:tc>
          <w:tcPr>
            <w:tcW w:w="960" w:type="dxa"/>
            <w:tcBorders>
              <w:top w:val="nil"/>
              <w:left w:val="nil"/>
              <w:bottom w:val="nil"/>
              <w:right w:val="nil"/>
            </w:tcBorders>
            <w:shd w:val="clear" w:color="auto" w:fill="auto"/>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n/a</w:t>
            </w:r>
          </w:p>
        </w:tc>
        <w:tc>
          <w:tcPr>
            <w:tcW w:w="960" w:type="dxa"/>
            <w:tcBorders>
              <w:top w:val="nil"/>
              <w:left w:val="nil"/>
              <w:bottom w:val="nil"/>
              <w:right w:val="nil"/>
            </w:tcBorders>
            <w:shd w:val="clear" w:color="auto" w:fill="auto"/>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n/a</w:t>
            </w:r>
          </w:p>
        </w:tc>
        <w:tc>
          <w:tcPr>
            <w:tcW w:w="960" w:type="dxa"/>
            <w:tcBorders>
              <w:top w:val="nil"/>
              <w:left w:val="nil"/>
              <w:bottom w:val="nil"/>
              <w:right w:val="nil"/>
            </w:tcBorders>
            <w:shd w:val="clear" w:color="auto" w:fill="auto"/>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n/a</w:t>
            </w:r>
          </w:p>
        </w:tc>
        <w:tc>
          <w:tcPr>
            <w:tcW w:w="960" w:type="dxa"/>
            <w:tcBorders>
              <w:top w:val="nil"/>
              <w:left w:val="nil"/>
              <w:bottom w:val="nil"/>
              <w:right w:val="nil"/>
            </w:tcBorders>
            <w:shd w:val="clear" w:color="auto" w:fill="auto"/>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n/a</w:t>
            </w:r>
          </w:p>
        </w:tc>
        <w:tc>
          <w:tcPr>
            <w:tcW w:w="960" w:type="dxa"/>
            <w:tcBorders>
              <w:top w:val="nil"/>
              <w:left w:val="nil"/>
              <w:bottom w:val="nil"/>
              <w:right w:val="nil"/>
            </w:tcBorders>
            <w:shd w:val="clear" w:color="auto" w:fill="auto"/>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n/a</w:t>
            </w:r>
          </w:p>
        </w:tc>
      </w:tr>
      <w:tr w:rsidR="00AC1586" w:rsidRPr="00AC1586" w:rsidTr="00AC1586">
        <w:trPr>
          <w:trHeight w:val="465"/>
        </w:trPr>
        <w:tc>
          <w:tcPr>
            <w:tcW w:w="1700" w:type="dxa"/>
            <w:tcBorders>
              <w:top w:val="nil"/>
              <w:left w:val="nil"/>
              <w:bottom w:val="single" w:sz="8" w:space="0" w:color="auto"/>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color w:val="495965"/>
                <w:sz w:val="17"/>
                <w:szCs w:val="17"/>
                <w:lang w:val="en-AU" w:eastAsia="en-AU"/>
              </w:rPr>
              <w:t>Growth &amp; Economic Management</w:t>
            </w:r>
          </w:p>
        </w:tc>
        <w:tc>
          <w:tcPr>
            <w:tcW w:w="960" w:type="dxa"/>
            <w:tcBorders>
              <w:top w:val="nil"/>
              <w:left w:val="nil"/>
              <w:bottom w:val="single" w:sz="8" w:space="0" w:color="auto"/>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2010-20</w:t>
            </w:r>
          </w:p>
        </w:tc>
        <w:tc>
          <w:tcPr>
            <w:tcW w:w="960" w:type="dxa"/>
            <w:tcBorders>
              <w:top w:val="nil"/>
              <w:left w:val="nil"/>
              <w:bottom w:val="single" w:sz="8" w:space="0" w:color="auto"/>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000000" w:fill="FFC0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3</w:t>
            </w:r>
          </w:p>
        </w:tc>
        <w:tc>
          <w:tcPr>
            <w:tcW w:w="960" w:type="dxa"/>
            <w:tcBorders>
              <w:top w:val="nil"/>
              <w:left w:val="nil"/>
              <w:bottom w:val="single" w:sz="8" w:space="0" w:color="auto"/>
              <w:right w:val="nil"/>
            </w:tcBorders>
            <w:shd w:val="clear" w:color="000000" w:fill="FFC0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3</w:t>
            </w:r>
          </w:p>
        </w:tc>
      </w:tr>
      <w:tr w:rsidR="00AC1586" w:rsidRPr="00AC1586" w:rsidTr="00AC1586">
        <w:trPr>
          <w:trHeight w:val="300"/>
        </w:trPr>
        <w:tc>
          <w:tcPr>
            <w:tcW w:w="170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INI620</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$68.9m</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2017 AQC</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r>
      <w:tr w:rsidR="00AC1586" w:rsidRPr="00AC1586" w:rsidTr="00AC1586">
        <w:trPr>
          <w:trHeight w:val="465"/>
        </w:trPr>
        <w:tc>
          <w:tcPr>
            <w:tcW w:w="170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color w:val="495965"/>
                <w:sz w:val="17"/>
                <w:szCs w:val="17"/>
                <w:lang w:val="en-AU" w:eastAsia="en-AU"/>
              </w:rPr>
              <w:t>Improved Basic Education</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color w:val="495965"/>
                <w:sz w:val="17"/>
                <w:szCs w:val="17"/>
                <w:lang w:val="en-AU" w:eastAsia="en-AU"/>
              </w:rPr>
              <w:t>2009-19</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2016 AQC</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r>
      <w:tr w:rsidR="00AC1586" w:rsidRPr="00AC1586" w:rsidTr="00AC1586">
        <w:trPr>
          <w:trHeight w:val="300"/>
        </w:trPr>
        <w:tc>
          <w:tcPr>
            <w:tcW w:w="1700" w:type="dxa"/>
            <w:tcBorders>
              <w:top w:val="single" w:sz="8" w:space="0" w:color="auto"/>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INI894</w:t>
            </w:r>
          </w:p>
        </w:tc>
        <w:tc>
          <w:tcPr>
            <w:tcW w:w="960" w:type="dxa"/>
            <w:tcBorders>
              <w:top w:val="single" w:sz="8" w:space="0" w:color="auto"/>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 xml:space="preserve">$4.6m </w:t>
            </w:r>
          </w:p>
        </w:tc>
        <w:tc>
          <w:tcPr>
            <w:tcW w:w="960" w:type="dxa"/>
            <w:tcBorders>
              <w:top w:val="single" w:sz="8" w:space="0" w:color="auto"/>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2017 AQC</w:t>
            </w:r>
          </w:p>
        </w:tc>
        <w:tc>
          <w:tcPr>
            <w:tcW w:w="960" w:type="dxa"/>
            <w:tcBorders>
              <w:top w:val="single" w:sz="8" w:space="0" w:color="auto"/>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C0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3</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C0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3</w:t>
            </w:r>
          </w:p>
        </w:tc>
      </w:tr>
      <w:tr w:rsidR="00AC1586" w:rsidRPr="00AC1586" w:rsidTr="00AC1586">
        <w:trPr>
          <w:trHeight w:val="315"/>
        </w:trPr>
        <w:tc>
          <w:tcPr>
            <w:tcW w:w="170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color w:val="495965"/>
                <w:sz w:val="17"/>
                <w:szCs w:val="17"/>
                <w:lang w:val="en-AU" w:eastAsia="en-AU"/>
              </w:rPr>
              <w:t>Health</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 xml:space="preserve">2010-20 </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2016 AQC</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C0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r>
      <w:tr w:rsidR="00AC1586" w:rsidRPr="00AC1586" w:rsidTr="00AC1586">
        <w:trPr>
          <w:trHeight w:val="300"/>
        </w:trPr>
        <w:tc>
          <w:tcPr>
            <w:tcW w:w="1700" w:type="dxa"/>
            <w:tcBorders>
              <w:top w:val="single" w:sz="8" w:space="0" w:color="auto"/>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INK327</w:t>
            </w:r>
          </w:p>
        </w:tc>
        <w:tc>
          <w:tcPr>
            <w:tcW w:w="960" w:type="dxa"/>
            <w:tcBorders>
              <w:top w:val="single" w:sz="8" w:space="0" w:color="auto"/>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$34.7m</w:t>
            </w:r>
          </w:p>
        </w:tc>
        <w:tc>
          <w:tcPr>
            <w:tcW w:w="960" w:type="dxa"/>
            <w:tcBorders>
              <w:top w:val="single" w:sz="8" w:space="0" w:color="auto"/>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2017 AQC</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r>
      <w:tr w:rsidR="00AC1586" w:rsidRPr="00AC1586" w:rsidTr="00AC1586">
        <w:trPr>
          <w:trHeight w:val="315"/>
        </w:trPr>
        <w:tc>
          <w:tcPr>
            <w:tcW w:w="170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color w:val="495965"/>
                <w:sz w:val="17"/>
                <w:szCs w:val="17"/>
                <w:lang w:val="en-AU" w:eastAsia="en-AU"/>
              </w:rPr>
              <w:t>Infrastructure</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2011-19</w:t>
            </w:r>
          </w:p>
        </w:tc>
        <w:tc>
          <w:tcPr>
            <w:tcW w:w="960" w:type="dxa"/>
            <w:tcBorders>
              <w:top w:val="nil"/>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2016 AQC</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r>
      <w:tr w:rsidR="00AC1586" w:rsidRPr="00AC1586" w:rsidTr="00AC1586">
        <w:trPr>
          <w:trHeight w:val="300"/>
        </w:trPr>
        <w:tc>
          <w:tcPr>
            <w:tcW w:w="1700" w:type="dxa"/>
            <w:tcBorders>
              <w:top w:val="single" w:sz="8" w:space="0" w:color="auto"/>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INJ569</w:t>
            </w:r>
          </w:p>
        </w:tc>
        <w:tc>
          <w:tcPr>
            <w:tcW w:w="960" w:type="dxa"/>
            <w:tcBorders>
              <w:top w:val="single" w:sz="8" w:space="0" w:color="auto"/>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$8.4m</w:t>
            </w:r>
          </w:p>
        </w:tc>
        <w:tc>
          <w:tcPr>
            <w:tcW w:w="960" w:type="dxa"/>
            <w:tcBorders>
              <w:top w:val="single" w:sz="8" w:space="0" w:color="auto"/>
              <w:left w:val="nil"/>
              <w:bottom w:val="nil"/>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2017 AQC</w:t>
            </w:r>
          </w:p>
        </w:tc>
        <w:tc>
          <w:tcPr>
            <w:tcW w:w="960" w:type="dxa"/>
            <w:tcBorders>
              <w:top w:val="single" w:sz="8" w:space="0" w:color="auto"/>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single" w:sz="8" w:space="0" w:color="auto"/>
              <w:left w:val="nil"/>
              <w:bottom w:val="nil"/>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r>
      <w:tr w:rsidR="00AC1586" w:rsidRPr="00AC1586" w:rsidTr="00AC1586">
        <w:trPr>
          <w:trHeight w:val="315"/>
        </w:trPr>
        <w:tc>
          <w:tcPr>
            <w:tcW w:w="1700" w:type="dxa"/>
            <w:tcBorders>
              <w:top w:val="nil"/>
              <w:left w:val="nil"/>
              <w:bottom w:val="single" w:sz="12" w:space="0" w:color="000000"/>
              <w:right w:val="nil"/>
            </w:tcBorders>
            <w:shd w:val="clear" w:color="auto" w:fill="auto"/>
            <w:vAlign w:val="center"/>
            <w:hideMark/>
          </w:tcPr>
          <w:p w:rsidR="00AC1586" w:rsidRPr="00AC1586" w:rsidRDefault="00AC1586" w:rsidP="00AC1586">
            <w:pPr>
              <w:suppressAutoHyphens w:val="0"/>
              <w:spacing w:before="0" w:after="0" w:line="240" w:lineRule="auto"/>
              <w:rPr>
                <w:rFonts w:ascii="Franklin Gothic Book" w:eastAsia="Times New Roman" w:hAnsi="Franklin Gothic Book" w:cs="Times New Roman"/>
                <w:color w:val="495965"/>
                <w:sz w:val="17"/>
                <w:szCs w:val="17"/>
                <w:lang w:val="en-AU" w:eastAsia="en-AU"/>
              </w:rPr>
            </w:pPr>
            <w:r w:rsidRPr="00AC1586">
              <w:rPr>
                <w:rFonts w:ascii="Franklin Gothic Book" w:eastAsia="Times New Roman" w:hAnsi="Franklin Gothic Book" w:cs="Times New Roman"/>
                <w:color w:val="495965"/>
                <w:sz w:val="17"/>
                <w:szCs w:val="17"/>
                <w:lang w:val="en-AU" w:eastAsia="en-AU"/>
              </w:rPr>
              <w:t>Climate Change</w:t>
            </w:r>
          </w:p>
        </w:tc>
        <w:tc>
          <w:tcPr>
            <w:tcW w:w="960" w:type="dxa"/>
            <w:tcBorders>
              <w:top w:val="nil"/>
              <w:left w:val="nil"/>
              <w:bottom w:val="single" w:sz="12" w:space="0" w:color="000000"/>
              <w:right w:val="nil"/>
            </w:tcBorders>
            <w:shd w:val="clear" w:color="auto" w:fill="auto"/>
            <w:vAlign w:val="center"/>
            <w:hideMark/>
          </w:tcPr>
          <w:p w:rsidR="00AC1586" w:rsidRPr="00AC1586" w:rsidRDefault="00AC1586" w:rsidP="00AC1586">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AC1586">
              <w:rPr>
                <w:rFonts w:ascii="Franklin Gothic Book" w:eastAsia="Times New Roman" w:hAnsi="Franklin Gothic Book" w:cs="Times New Roman"/>
                <w:color w:val="495965"/>
                <w:sz w:val="17"/>
                <w:szCs w:val="17"/>
                <w:lang w:val="en-AU" w:eastAsia="en-AU"/>
              </w:rPr>
              <w:t>2010-18</w:t>
            </w:r>
          </w:p>
        </w:tc>
        <w:tc>
          <w:tcPr>
            <w:tcW w:w="960" w:type="dxa"/>
            <w:tcBorders>
              <w:top w:val="nil"/>
              <w:left w:val="nil"/>
              <w:bottom w:val="single" w:sz="12" w:space="0" w:color="000000"/>
              <w:right w:val="nil"/>
            </w:tcBorders>
            <w:shd w:val="clear" w:color="auto" w:fill="auto"/>
            <w:vAlign w:val="center"/>
            <w:hideMark/>
          </w:tcPr>
          <w:p w:rsidR="00AC1586" w:rsidRPr="00AC1586" w:rsidRDefault="00AC1586" w:rsidP="00AC1586">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2016 AQC</w:t>
            </w:r>
          </w:p>
        </w:tc>
        <w:tc>
          <w:tcPr>
            <w:tcW w:w="960" w:type="dxa"/>
            <w:tcBorders>
              <w:top w:val="nil"/>
              <w:left w:val="nil"/>
              <w:bottom w:val="single" w:sz="12" w:space="0" w:color="000000"/>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c>
          <w:tcPr>
            <w:tcW w:w="960" w:type="dxa"/>
            <w:tcBorders>
              <w:top w:val="nil"/>
              <w:left w:val="nil"/>
              <w:bottom w:val="single" w:sz="12" w:space="0" w:color="000000"/>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nil"/>
              <w:left w:val="nil"/>
              <w:bottom w:val="single" w:sz="12" w:space="0" w:color="000000"/>
              <w:right w:val="nil"/>
            </w:tcBorders>
            <w:shd w:val="clear" w:color="000000" w:fill="FFC0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3</w:t>
            </w:r>
          </w:p>
        </w:tc>
        <w:tc>
          <w:tcPr>
            <w:tcW w:w="960" w:type="dxa"/>
            <w:tcBorders>
              <w:top w:val="nil"/>
              <w:left w:val="nil"/>
              <w:bottom w:val="single" w:sz="12" w:space="0" w:color="000000"/>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nil"/>
              <w:left w:val="nil"/>
              <w:bottom w:val="single" w:sz="12" w:space="0" w:color="000000"/>
              <w:right w:val="nil"/>
            </w:tcBorders>
            <w:shd w:val="clear" w:color="000000" w:fill="FFFF0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4</w:t>
            </w:r>
          </w:p>
        </w:tc>
        <w:tc>
          <w:tcPr>
            <w:tcW w:w="960" w:type="dxa"/>
            <w:tcBorders>
              <w:top w:val="nil"/>
              <w:left w:val="nil"/>
              <w:bottom w:val="single" w:sz="12" w:space="0" w:color="000000"/>
              <w:right w:val="nil"/>
            </w:tcBorders>
            <w:shd w:val="clear" w:color="000000" w:fill="92D050"/>
            <w:noWrap/>
            <w:vAlign w:val="center"/>
            <w:hideMark/>
          </w:tcPr>
          <w:p w:rsidR="00AC1586" w:rsidRPr="00AC1586" w:rsidRDefault="00AC1586" w:rsidP="00AC1586">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AC1586">
              <w:rPr>
                <w:rFonts w:ascii="Calibri Light" w:eastAsia="Times New Roman" w:hAnsi="Calibri Light" w:cs="Times New Roman"/>
                <w:iCs/>
                <w:color w:val="495965"/>
                <w:sz w:val="17"/>
                <w:szCs w:val="17"/>
                <w:lang w:eastAsia="en-AU"/>
              </w:rPr>
              <w:t>5</w:t>
            </w:r>
          </w:p>
        </w:tc>
      </w:tr>
    </w:tbl>
    <w:p w:rsidR="00AC1586" w:rsidRDefault="00AC1586"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FAQC ratings</w:t>
      </w:r>
    </w:p>
    <w:tbl>
      <w:tblPr>
        <w:tblStyle w:val="APPR"/>
        <w:tblW w:w="4576" w:type="pct"/>
        <w:tblLook w:val="0000" w:firstRow="0" w:lastRow="0" w:firstColumn="0" w:lastColumn="0" w:noHBand="0" w:noVBand="0"/>
      </w:tblPr>
      <w:tblGrid>
        <w:gridCol w:w="1756"/>
        <w:gridCol w:w="1272"/>
        <w:gridCol w:w="928"/>
        <w:gridCol w:w="810"/>
        <w:gridCol w:w="812"/>
        <w:gridCol w:w="810"/>
        <w:gridCol w:w="812"/>
        <w:gridCol w:w="810"/>
        <w:gridCol w:w="811"/>
      </w:tblGrid>
      <w:tr w:rsidR="002B71EC" w:rsidRPr="00812509" w:rsidTr="00B72C4E">
        <w:trPr>
          <w:cnfStyle w:val="000000010000" w:firstRow="0" w:lastRow="0" w:firstColumn="0" w:lastColumn="0" w:oddVBand="0" w:evenVBand="0" w:oddHBand="0" w:evenHBand="1" w:firstRowFirstColumn="0" w:firstRowLastColumn="0" w:lastRowFirstColumn="0" w:lastRowLastColumn="0"/>
          <w:trHeight w:val="1505"/>
        </w:trPr>
        <w:tc>
          <w:tcPr>
            <w:tcW w:w="972" w:type="pct"/>
          </w:tcPr>
          <w:p w:rsidR="002B71EC" w:rsidRPr="00812509" w:rsidRDefault="002B71EC"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8720" behindDoc="0" locked="0" layoutInCell="1" allowOverlap="1" wp14:anchorId="6499B499" wp14:editId="77B23203">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705" w:type="pct"/>
            <w:textDirection w:val="btLr"/>
          </w:tcPr>
          <w:p w:rsidR="002B71EC" w:rsidRPr="00812509" w:rsidRDefault="002B71EC"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510" w:type="pct"/>
            <w:noWrap/>
            <w:textDirection w:val="btLr"/>
            <w:vAlign w:val="center"/>
          </w:tcPr>
          <w:p w:rsidR="002B71EC" w:rsidRPr="00812509" w:rsidRDefault="002B71EC"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43" w:type="pct"/>
            <w:noWrap/>
            <w:textDirection w:val="btLr"/>
            <w:vAlign w:val="center"/>
          </w:tcPr>
          <w:p w:rsidR="002B71EC" w:rsidRPr="00812509" w:rsidRDefault="002B71EC"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44" w:type="pct"/>
            <w:noWrap/>
            <w:textDirection w:val="btLr"/>
            <w:vAlign w:val="center"/>
          </w:tcPr>
          <w:p w:rsidR="002B71EC" w:rsidRPr="00812509" w:rsidRDefault="002B71EC"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43" w:type="pct"/>
            <w:noWrap/>
            <w:textDirection w:val="btLr"/>
            <w:vAlign w:val="center"/>
          </w:tcPr>
          <w:p w:rsidR="002B71EC" w:rsidRPr="00812509" w:rsidRDefault="002B71EC"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44" w:type="pct"/>
            <w:noWrap/>
            <w:textDirection w:val="btLr"/>
            <w:vAlign w:val="center"/>
          </w:tcPr>
          <w:p w:rsidR="002B71EC" w:rsidRPr="00812509" w:rsidRDefault="002B71EC"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43" w:type="pct"/>
            <w:noWrap/>
            <w:textDirection w:val="btLr"/>
            <w:vAlign w:val="center"/>
          </w:tcPr>
          <w:p w:rsidR="002B71EC" w:rsidRPr="00812509" w:rsidRDefault="002B71EC"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36" w:type="pct"/>
            <w:textDirection w:val="btLr"/>
            <w:vAlign w:val="center"/>
          </w:tcPr>
          <w:p w:rsidR="002B71EC" w:rsidRPr="00812509" w:rsidRDefault="002B71EC"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2B71EC" w:rsidRPr="00812509" w:rsidTr="002B71EC">
        <w:trPr>
          <w:cnfStyle w:val="000000010000" w:firstRow="0" w:lastRow="0" w:firstColumn="0" w:lastColumn="0" w:oddVBand="0" w:evenVBand="0" w:oddHBand="0" w:evenHBand="1" w:firstRowFirstColumn="0" w:firstRowLastColumn="0" w:lastRowFirstColumn="0" w:lastRowLastColumn="0"/>
          <w:trHeight w:val="284"/>
        </w:trPr>
        <w:tc>
          <w:tcPr>
            <w:tcW w:w="972" w:type="pct"/>
            <w:tcBorders>
              <w:top w:val="single" w:sz="4" w:space="0" w:color="auto"/>
            </w:tcBorders>
          </w:tcPr>
          <w:p w:rsidR="002B71EC" w:rsidRPr="00812509" w:rsidRDefault="002B71EC" w:rsidP="00E1416F">
            <w:pPr>
              <w:keepLines/>
              <w:spacing w:before="40" w:after="40" w:line="200" w:lineRule="atLeast"/>
              <w:rPr>
                <w:rFonts w:asciiTheme="minorHAnsi" w:eastAsia="Times New Roman" w:hAnsiTheme="minorHAnsi"/>
                <w:iCs/>
                <w:szCs w:val="17"/>
                <w:lang w:eastAsia="en-US"/>
              </w:rPr>
            </w:pPr>
            <w:r w:rsidRPr="004D00B4">
              <w:rPr>
                <w:rFonts w:asciiTheme="minorHAnsi" w:eastAsia="Times New Roman" w:hAnsiTheme="minorHAnsi"/>
                <w:iCs/>
                <w:szCs w:val="17"/>
                <w:lang w:eastAsia="en-US"/>
              </w:rPr>
              <w:t>INI614</w:t>
            </w:r>
            <w:r>
              <w:rPr>
                <w:rFonts w:asciiTheme="minorHAnsi" w:eastAsia="Times New Roman" w:hAnsiTheme="minorHAnsi"/>
                <w:iCs/>
                <w:szCs w:val="17"/>
                <w:lang w:eastAsia="en-US"/>
              </w:rPr>
              <w:t xml:space="preserve"> Scholarships</w:t>
            </w:r>
          </w:p>
        </w:tc>
        <w:tc>
          <w:tcPr>
            <w:tcW w:w="705" w:type="pct"/>
            <w:tcBorders>
              <w:top w:val="single" w:sz="4" w:space="0" w:color="auto"/>
            </w:tcBorders>
          </w:tcPr>
          <w:p w:rsidR="002B71EC" w:rsidRDefault="002B71EC" w:rsidP="00E1416F">
            <w:pPr>
              <w:keepLines/>
              <w:spacing w:before="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w:t>
            </w:r>
            <w:r w:rsidR="00BB0F4E">
              <w:rPr>
                <w:rFonts w:asciiTheme="minorHAnsi" w:eastAsia="Times New Roman" w:hAnsiTheme="minorHAnsi"/>
                <w:iCs/>
                <w:szCs w:val="17"/>
                <w:lang w:eastAsia="en-US"/>
              </w:rPr>
              <w:t>8</w:t>
            </w:r>
            <w:r>
              <w:rPr>
                <w:rFonts w:asciiTheme="minorHAnsi" w:eastAsia="Times New Roman" w:hAnsiTheme="minorHAnsi"/>
                <w:iCs/>
                <w:szCs w:val="17"/>
                <w:lang w:eastAsia="en-US"/>
              </w:rPr>
              <w:t>m</w:t>
            </w:r>
          </w:p>
          <w:p w:rsidR="002B71EC" w:rsidRPr="00812509" w:rsidRDefault="002B71EC" w:rsidP="00E1416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2010-17</w:t>
            </w:r>
          </w:p>
        </w:tc>
        <w:tc>
          <w:tcPr>
            <w:tcW w:w="510" w:type="pct"/>
            <w:tcBorders>
              <w:top w:val="single" w:sz="4" w:space="0" w:color="auto"/>
            </w:tcBorders>
            <w:noWrap/>
          </w:tcPr>
          <w:p w:rsidR="002B71EC" w:rsidRPr="00812509" w:rsidRDefault="002B71EC" w:rsidP="00E1416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43" w:type="pct"/>
            <w:tcBorders>
              <w:top w:val="single" w:sz="4" w:space="0" w:color="auto"/>
            </w:tcBorders>
            <w:shd w:val="clear" w:color="auto" w:fill="92D050"/>
            <w:noWrap/>
          </w:tcPr>
          <w:p w:rsidR="002B71EC" w:rsidRPr="00812509" w:rsidRDefault="002B71EC" w:rsidP="00E1416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44" w:type="pct"/>
            <w:tcBorders>
              <w:top w:val="single" w:sz="4" w:space="0" w:color="auto"/>
            </w:tcBorders>
            <w:shd w:val="clear" w:color="auto" w:fill="FFFF00"/>
            <w:noWrap/>
          </w:tcPr>
          <w:p w:rsidR="002B71EC" w:rsidRPr="00812509" w:rsidRDefault="002B71EC" w:rsidP="00E1416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43" w:type="pct"/>
            <w:tcBorders>
              <w:top w:val="single" w:sz="4" w:space="0" w:color="auto"/>
            </w:tcBorders>
            <w:shd w:val="clear" w:color="auto" w:fill="FFFF00"/>
            <w:noWrap/>
          </w:tcPr>
          <w:p w:rsidR="002B71EC" w:rsidRPr="00812509" w:rsidRDefault="002B71EC" w:rsidP="00E1416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44" w:type="pct"/>
            <w:tcBorders>
              <w:top w:val="single" w:sz="4" w:space="0" w:color="auto"/>
            </w:tcBorders>
            <w:shd w:val="clear" w:color="auto" w:fill="FFC000"/>
            <w:noWrap/>
          </w:tcPr>
          <w:p w:rsidR="002B71EC" w:rsidRPr="00812509" w:rsidRDefault="002B71EC" w:rsidP="00E1416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43" w:type="pct"/>
            <w:tcBorders>
              <w:top w:val="single" w:sz="4" w:space="0" w:color="auto"/>
            </w:tcBorders>
            <w:shd w:val="clear" w:color="auto" w:fill="FFC000"/>
            <w:noWrap/>
          </w:tcPr>
          <w:p w:rsidR="002B71EC" w:rsidRPr="00812509" w:rsidRDefault="002B71EC" w:rsidP="00E1416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36" w:type="pct"/>
            <w:tcBorders>
              <w:top w:val="single" w:sz="4" w:space="0" w:color="auto"/>
            </w:tcBorders>
            <w:shd w:val="clear" w:color="auto" w:fill="FFFF00"/>
          </w:tcPr>
          <w:p w:rsidR="002B71EC" w:rsidRPr="00812509" w:rsidRDefault="002B71EC" w:rsidP="00E1416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A8197B" w:rsidRPr="004C0807" w:rsidRDefault="00A8197B" w:rsidP="004C0807">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sectPr w:rsidR="00A8197B" w:rsidRPr="004C0807" w:rsidSect="004839E3">
      <w:headerReference w:type="default" r:id="rId26"/>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947" w:rsidRDefault="004D0947" w:rsidP="00EF4574">
      <w:pPr>
        <w:spacing w:before="0" w:after="0" w:line="240" w:lineRule="auto"/>
      </w:pPr>
      <w:r>
        <w:separator/>
      </w:r>
    </w:p>
  </w:endnote>
  <w:endnote w:type="continuationSeparator" w:id="0">
    <w:p w:rsidR="004D0947" w:rsidRDefault="004D094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FE1" w:rsidRDefault="002B7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Default="0058247C" w:rsidP="004839E3">
    <w:pPr>
      <w:pStyle w:val="Footer"/>
      <w:rPr>
        <w:lang w:val="en-AU"/>
      </w:rPr>
    </w:pPr>
  </w:p>
  <w:p w:rsidR="0058247C" w:rsidRDefault="0058247C" w:rsidP="004839E3">
    <w:pPr>
      <w:pStyle w:val="Footer"/>
    </w:pPr>
  </w:p>
  <w:p w:rsidR="0058247C" w:rsidRPr="00CD0E4B" w:rsidRDefault="0058247C" w:rsidP="004839E3">
    <w:pPr>
      <w:pStyle w:val="Footer"/>
    </w:pPr>
    <w:r w:rsidRPr="00CD0E4B">
      <w:rPr>
        <w:noProof/>
        <w:lang w:val="en-AU" w:eastAsia="en-AU"/>
      </w:rPr>
      <w:drawing>
        <wp:inline distT="0" distB="0" distL="0" distR="0" wp14:anchorId="5E5392B3" wp14:editId="472FD536">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58247C" w:rsidRPr="00CD0E4B" w:rsidRDefault="0058247C" w:rsidP="004839E3">
    <w:pPr>
      <w:pStyle w:val="Footer"/>
      <w:rPr>
        <w:color w:val="ACD08C" w:themeColor="accent3"/>
      </w:rPr>
    </w:pPr>
    <w:r w:rsidRPr="00CD0E4B">
      <w:rPr>
        <w:color w:val="ACD08C" w:themeColor="accent3"/>
      </w:rPr>
      <w:t>DFAT.GOV.AU</w:t>
    </w:r>
  </w:p>
  <w:p w:rsidR="0058247C" w:rsidRPr="004839E3" w:rsidRDefault="0058247C"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Pr="004839E3" w:rsidRDefault="0058247C"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59AE200E" wp14:editId="0810A463">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58247C" w:rsidRDefault="0058247C"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Default="0058247C" w:rsidP="004839E3">
    <w:pPr>
      <w:pStyle w:val="Footer"/>
      <w:rPr>
        <w:lang w:val="en-AU"/>
      </w:rPr>
    </w:pPr>
  </w:p>
  <w:p w:rsidR="0058247C" w:rsidRDefault="0058247C" w:rsidP="004839E3">
    <w:pPr>
      <w:pStyle w:val="Footer"/>
    </w:pPr>
  </w:p>
  <w:p w:rsidR="0058247C" w:rsidRPr="00CD0E4B" w:rsidRDefault="0058247C" w:rsidP="004839E3">
    <w:pPr>
      <w:pStyle w:val="Footer"/>
    </w:pPr>
    <w:r w:rsidRPr="00CD0E4B">
      <w:rPr>
        <w:noProof/>
        <w:lang w:val="en-AU" w:eastAsia="en-AU"/>
      </w:rPr>
      <w:drawing>
        <wp:inline distT="0" distB="0" distL="0" distR="0" wp14:anchorId="2715417A" wp14:editId="757DADA8">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58247C" w:rsidRPr="00CD0E4B" w:rsidRDefault="0058247C" w:rsidP="004839E3">
    <w:pPr>
      <w:pStyle w:val="Footer"/>
      <w:rPr>
        <w:color w:val="ACD08C" w:themeColor="accent3"/>
      </w:rPr>
    </w:pPr>
    <w:r w:rsidRPr="00CD0E4B">
      <w:rPr>
        <w:color w:val="ACD08C" w:themeColor="accent3"/>
      </w:rPr>
      <w:t>DFAT.GOV.AU</w:t>
    </w:r>
  </w:p>
  <w:p w:rsidR="0058247C" w:rsidRPr="004839E3" w:rsidRDefault="0058247C"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947" w:rsidRPr="008C5A0E" w:rsidRDefault="004D0947" w:rsidP="001D663E">
      <w:pPr>
        <w:pStyle w:val="Footer"/>
        <w:pBdr>
          <w:top w:val="single" w:sz="4" w:space="1" w:color="495965" w:themeColor="text2"/>
        </w:pBdr>
      </w:pPr>
    </w:p>
  </w:footnote>
  <w:footnote w:type="continuationSeparator" w:id="0">
    <w:p w:rsidR="004D0947" w:rsidRDefault="004D0947"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FE1" w:rsidRDefault="002B7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Pr="00333501" w:rsidRDefault="0058247C" w:rsidP="008F56A8">
    <w:pPr>
      <w:pStyle w:val="Header"/>
      <w:jc w:val="left"/>
    </w:pPr>
    <w:r>
      <w:rPr>
        <w:noProof/>
        <w:lang w:val="en-AU" w:eastAsia="en-AU"/>
      </w:rPr>
      <w:drawing>
        <wp:anchor distT="0" distB="0" distL="114300" distR="114300" simplePos="0" relativeHeight="251671552" behindDoc="1" locked="1" layoutInCell="1" allowOverlap="1" wp14:anchorId="7071C66F" wp14:editId="57D6965F">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Pr="003D352D" w:rsidRDefault="0058247C" w:rsidP="003D352D">
    <w:pPr>
      <w:pStyle w:val="Header"/>
      <w:jc w:val="left"/>
    </w:pPr>
    <w:r>
      <w:rPr>
        <w:noProof/>
        <w:lang w:val="en-AU" w:eastAsia="en-AU"/>
      </w:rPr>
      <w:drawing>
        <wp:anchor distT="0" distB="0" distL="114300" distR="114300" simplePos="0" relativeHeight="251669504" behindDoc="1" locked="1" layoutInCell="1" allowOverlap="1" wp14:anchorId="11135FF2" wp14:editId="2F548CE6">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Pr="00333501" w:rsidRDefault="0058247C" w:rsidP="008F56A8">
    <w:pPr>
      <w:pStyle w:val="Header"/>
      <w:jc w:val="left"/>
    </w:pPr>
    <w:r>
      <w:rPr>
        <w:noProof/>
        <w:lang w:val="en-AU" w:eastAsia="en-AU"/>
      </w:rPr>
      <w:drawing>
        <wp:anchor distT="0" distB="0" distL="114300" distR="114300" simplePos="0" relativeHeight="251685888" behindDoc="1" locked="1" layoutInCell="1" allowOverlap="1" wp14:anchorId="017F21A4" wp14:editId="053A427C">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Pr="003D352D" w:rsidRDefault="0058247C" w:rsidP="003D352D">
    <w:pPr>
      <w:pStyle w:val="Header"/>
      <w:jc w:val="left"/>
    </w:pPr>
    <w:r>
      <w:rPr>
        <w:noProof/>
        <w:lang w:val="en-AU" w:eastAsia="en-AU"/>
      </w:rPr>
      <w:drawing>
        <wp:anchor distT="0" distB="0" distL="114300" distR="114300" simplePos="0" relativeHeight="251673600" behindDoc="1" locked="1" layoutInCell="1" allowOverlap="1" wp14:anchorId="717BF9C1" wp14:editId="3C29631D">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Pr="00333501" w:rsidRDefault="0058247C" w:rsidP="008F56A8">
    <w:pPr>
      <w:pStyle w:val="Header"/>
      <w:jc w:val="left"/>
    </w:pPr>
    <w:r>
      <w:rPr>
        <w:noProof/>
        <w:lang w:val="en-AU" w:eastAsia="en-AU"/>
      </w:rPr>
      <w:drawing>
        <wp:anchor distT="0" distB="0" distL="114300" distR="114300" simplePos="0" relativeHeight="251687936" behindDoc="1" locked="1" layoutInCell="1" allowOverlap="1" wp14:anchorId="1ACC2F12" wp14:editId="26368FB8">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Pr="003D352D" w:rsidRDefault="0058247C" w:rsidP="003D352D">
    <w:pPr>
      <w:pStyle w:val="Header"/>
      <w:jc w:val="left"/>
    </w:pPr>
    <w:r>
      <w:rPr>
        <w:noProof/>
        <w:lang w:val="en-AU" w:eastAsia="en-AU"/>
      </w:rPr>
      <w:drawing>
        <wp:anchor distT="0" distB="0" distL="114300" distR="114300" simplePos="0" relativeHeight="251675648" behindDoc="1" locked="1" layoutInCell="1" allowOverlap="1" wp14:anchorId="163458F1" wp14:editId="7144D9E2">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7C" w:rsidRPr="00333501" w:rsidRDefault="0058247C" w:rsidP="008F56A8">
    <w:pPr>
      <w:pStyle w:val="Header"/>
      <w:jc w:val="left"/>
    </w:pPr>
    <w:r>
      <w:rPr>
        <w:noProof/>
        <w:lang w:val="en-AU" w:eastAsia="en-AU"/>
      </w:rPr>
      <w:drawing>
        <wp:anchor distT="0" distB="0" distL="114300" distR="114300" simplePos="0" relativeHeight="251683840" behindDoc="1" locked="1" layoutInCell="1" allowOverlap="1" wp14:anchorId="7967A61D" wp14:editId="185C9FD9">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F90F0D"/>
    <w:multiLevelType w:val="hybridMultilevel"/>
    <w:tmpl w:val="3EC6B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CF1B3B"/>
    <w:multiLevelType w:val="hybridMultilevel"/>
    <w:tmpl w:val="22E63484"/>
    <w:lvl w:ilvl="0" w:tplc="BF7A36E4">
      <w:start w:val="1"/>
      <w:numFmt w:val="upp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506109"/>
    <w:multiLevelType w:val="multilevel"/>
    <w:tmpl w:val="B1E4F11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15:restartNumberingAfterBreak="0">
    <w:nsid w:val="435A0976"/>
    <w:multiLevelType w:val="hybridMultilevel"/>
    <w:tmpl w:val="5016C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3C1EA7"/>
    <w:multiLevelType w:val="multilevel"/>
    <w:tmpl w:val="43428892"/>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4F96268"/>
    <w:multiLevelType w:val="hybridMultilevel"/>
    <w:tmpl w:val="E2B4D6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684A1BBC"/>
    <w:multiLevelType w:val="hybridMultilevel"/>
    <w:tmpl w:val="088C62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44E39"/>
    <w:multiLevelType w:val="hybridMultilevel"/>
    <w:tmpl w:val="7A5486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2"/>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5"/>
  </w:num>
  <w:num w:numId="23">
    <w:abstractNumId w:val="15"/>
  </w:num>
  <w:num w:numId="24">
    <w:abstractNumId w:val="23"/>
  </w:num>
  <w:num w:numId="25">
    <w:abstractNumId w:val="23"/>
  </w:num>
  <w:num w:numId="26">
    <w:abstractNumId w:val="23"/>
  </w:num>
  <w:num w:numId="27">
    <w:abstractNumId w:val="22"/>
  </w:num>
  <w:num w:numId="28">
    <w:abstractNumId w:val="10"/>
  </w:num>
  <w:num w:numId="29">
    <w:abstractNumId w:val="10"/>
  </w:num>
  <w:num w:numId="30">
    <w:abstractNumId w:val="10"/>
  </w:num>
  <w:num w:numId="31">
    <w:abstractNumId w:val="16"/>
  </w:num>
  <w:num w:numId="32">
    <w:abstractNumId w:val="21"/>
  </w:num>
  <w:num w:numId="33">
    <w:abstractNumId w:val="28"/>
  </w:num>
  <w:num w:numId="34">
    <w:abstractNumId w:val="20"/>
  </w:num>
  <w:num w:numId="35">
    <w:abstractNumId w:val="13"/>
  </w:num>
  <w:num w:numId="36">
    <w:abstractNumId w:val="17"/>
  </w:num>
  <w:num w:numId="37">
    <w:abstractNumId w:val="12"/>
  </w:num>
  <w:num w:numId="38">
    <w:abstractNumId w:val="18"/>
  </w:num>
  <w:num w:numId="39">
    <w:abstractNumId w:val="19"/>
  </w:num>
  <w:num w:numId="40">
    <w:abstractNumId w:val="1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5"/>
  </w:num>
  <w:num w:numId="44">
    <w:abstractNumId w:val="2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38BA"/>
    <w:rsid w:val="00007C30"/>
    <w:rsid w:val="00015316"/>
    <w:rsid w:val="0002080A"/>
    <w:rsid w:val="000262E6"/>
    <w:rsid w:val="0002782F"/>
    <w:rsid w:val="00031512"/>
    <w:rsid w:val="0003578F"/>
    <w:rsid w:val="00046F67"/>
    <w:rsid w:val="000510C5"/>
    <w:rsid w:val="00054E4D"/>
    <w:rsid w:val="000572CE"/>
    <w:rsid w:val="00057C66"/>
    <w:rsid w:val="00060073"/>
    <w:rsid w:val="00060268"/>
    <w:rsid w:val="000624B5"/>
    <w:rsid w:val="000650EC"/>
    <w:rsid w:val="00067C9B"/>
    <w:rsid w:val="000767BE"/>
    <w:rsid w:val="00076806"/>
    <w:rsid w:val="00084483"/>
    <w:rsid w:val="000C3879"/>
    <w:rsid w:val="000D3E7E"/>
    <w:rsid w:val="000D66D6"/>
    <w:rsid w:val="000E1813"/>
    <w:rsid w:val="000E1E2C"/>
    <w:rsid w:val="000E2FCA"/>
    <w:rsid w:val="000E314A"/>
    <w:rsid w:val="000E7FD4"/>
    <w:rsid w:val="000F1FE2"/>
    <w:rsid w:val="000F2CFF"/>
    <w:rsid w:val="000F3559"/>
    <w:rsid w:val="000F4768"/>
    <w:rsid w:val="000F6499"/>
    <w:rsid w:val="0010537F"/>
    <w:rsid w:val="00126F0B"/>
    <w:rsid w:val="001323B2"/>
    <w:rsid w:val="00133D60"/>
    <w:rsid w:val="00136FC4"/>
    <w:rsid w:val="00141AA1"/>
    <w:rsid w:val="00143755"/>
    <w:rsid w:val="00143A9F"/>
    <w:rsid w:val="001536D3"/>
    <w:rsid w:val="001541EA"/>
    <w:rsid w:val="00162DE2"/>
    <w:rsid w:val="00166DDA"/>
    <w:rsid w:val="00176766"/>
    <w:rsid w:val="0017676D"/>
    <w:rsid w:val="001827E8"/>
    <w:rsid w:val="00182AFF"/>
    <w:rsid w:val="00184F1E"/>
    <w:rsid w:val="001A6E2C"/>
    <w:rsid w:val="001B31AC"/>
    <w:rsid w:val="001B416A"/>
    <w:rsid w:val="001C00CC"/>
    <w:rsid w:val="001C197B"/>
    <w:rsid w:val="001C27F2"/>
    <w:rsid w:val="001C3790"/>
    <w:rsid w:val="001C47D3"/>
    <w:rsid w:val="001C5115"/>
    <w:rsid w:val="001C5ED2"/>
    <w:rsid w:val="001C62FF"/>
    <w:rsid w:val="001D23A7"/>
    <w:rsid w:val="001D663E"/>
    <w:rsid w:val="001D7940"/>
    <w:rsid w:val="001E1DC0"/>
    <w:rsid w:val="001E7C6A"/>
    <w:rsid w:val="00200DC9"/>
    <w:rsid w:val="00207D08"/>
    <w:rsid w:val="002118EE"/>
    <w:rsid w:val="00215CA9"/>
    <w:rsid w:val="00216340"/>
    <w:rsid w:val="00221B76"/>
    <w:rsid w:val="00222BEC"/>
    <w:rsid w:val="002349CC"/>
    <w:rsid w:val="00236A53"/>
    <w:rsid w:val="0024172F"/>
    <w:rsid w:val="00242E02"/>
    <w:rsid w:val="002439DD"/>
    <w:rsid w:val="00247F5D"/>
    <w:rsid w:val="00261F2D"/>
    <w:rsid w:val="002745F7"/>
    <w:rsid w:val="00275DB7"/>
    <w:rsid w:val="00284957"/>
    <w:rsid w:val="0028602A"/>
    <w:rsid w:val="002903D0"/>
    <w:rsid w:val="002A4A0E"/>
    <w:rsid w:val="002A4AB0"/>
    <w:rsid w:val="002A51CA"/>
    <w:rsid w:val="002A62C8"/>
    <w:rsid w:val="002A75BC"/>
    <w:rsid w:val="002B3E95"/>
    <w:rsid w:val="002B4828"/>
    <w:rsid w:val="002B5E10"/>
    <w:rsid w:val="002B71EC"/>
    <w:rsid w:val="002B7FE1"/>
    <w:rsid w:val="002C2E7E"/>
    <w:rsid w:val="002E3A0E"/>
    <w:rsid w:val="002E4144"/>
    <w:rsid w:val="003002C0"/>
    <w:rsid w:val="00301144"/>
    <w:rsid w:val="003148B7"/>
    <w:rsid w:val="003158C3"/>
    <w:rsid w:val="003202D5"/>
    <w:rsid w:val="003257A5"/>
    <w:rsid w:val="003274CD"/>
    <w:rsid w:val="00331504"/>
    <w:rsid w:val="00331DC5"/>
    <w:rsid w:val="00333471"/>
    <w:rsid w:val="00333501"/>
    <w:rsid w:val="003457C4"/>
    <w:rsid w:val="0035119D"/>
    <w:rsid w:val="00353365"/>
    <w:rsid w:val="00355299"/>
    <w:rsid w:val="00357584"/>
    <w:rsid w:val="00361981"/>
    <w:rsid w:val="00366B1C"/>
    <w:rsid w:val="00372C2B"/>
    <w:rsid w:val="00380104"/>
    <w:rsid w:val="00380D23"/>
    <w:rsid w:val="00382A23"/>
    <w:rsid w:val="003A378A"/>
    <w:rsid w:val="003A518C"/>
    <w:rsid w:val="003B4F12"/>
    <w:rsid w:val="003B5094"/>
    <w:rsid w:val="003C14B0"/>
    <w:rsid w:val="003C4E71"/>
    <w:rsid w:val="003D1067"/>
    <w:rsid w:val="003D352D"/>
    <w:rsid w:val="003D793B"/>
    <w:rsid w:val="003E110D"/>
    <w:rsid w:val="003E1D8C"/>
    <w:rsid w:val="003E203A"/>
    <w:rsid w:val="003E305C"/>
    <w:rsid w:val="003E3218"/>
    <w:rsid w:val="003F090F"/>
    <w:rsid w:val="003F1DB2"/>
    <w:rsid w:val="003F3083"/>
    <w:rsid w:val="00400B0F"/>
    <w:rsid w:val="00400F26"/>
    <w:rsid w:val="00402ACC"/>
    <w:rsid w:val="004120EC"/>
    <w:rsid w:val="00412CB5"/>
    <w:rsid w:val="00423F31"/>
    <w:rsid w:val="00431899"/>
    <w:rsid w:val="00435000"/>
    <w:rsid w:val="0044032B"/>
    <w:rsid w:val="0044401A"/>
    <w:rsid w:val="00446D1F"/>
    <w:rsid w:val="00452AC3"/>
    <w:rsid w:val="00461C50"/>
    <w:rsid w:val="0047320C"/>
    <w:rsid w:val="00480422"/>
    <w:rsid w:val="00480CF2"/>
    <w:rsid w:val="004839E3"/>
    <w:rsid w:val="004848A3"/>
    <w:rsid w:val="004854F2"/>
    <w:rsid w:val="00485A3A"/>
    <w:rsid w:val="00486804"/>
    <w:rsid w:val="00486DF7"/>
    <w:rsid w:val="00490366"/>
    <w:rsid w:val="004922AF"/>
    <w:rsid w:val="00492FC4"/>
    <w:rsid w:val="004977A1"/>
    <w:rsid w:val="004A1E4A"/>
    <w:rsid w:val="004A2D31"/>
    <w:rsid w:val="004A4B21"/>
    <w:rsid w:val="004A77AF"/>
    <w:rsid w:val="004B3775"/>
    <w:rsid w:val="004B5ADA"/>
    <w:rsid w:val="004C0807"/>
    <w:rsid w:val="004D0947"/>
    <w:rsid w:val="004D0BA0"/>
    <w:rsid w:val="004E0264"/>
    <w:rsid w:val="004E058F"/>
    <w:rsid w:val="004E3B87"/>
    <w:rsid w:val="004F4AB2"/>
    <w:rsid w:val="004F7766"/>
    <w:rsid w:val="0050369D"/>
    <w:rsid w:val="00510921"/>
    <w:rsid w:val="00510AD3"/>
    <w:rsid w:val="00511CAB"/>
    <w:rsid w:val="00513348"/>
    <w:rsid w:val="005148B9"/>
    <w:rsid w:val="00520FC0"/>
    <w:rsid w:val="00522007"/>
    <w:rsid w:val="00525A99"/>
    <w:rsid w:val="00533B5D"/>
    <w:rsid w:val="005511BF"/>
    <w:rsid w:val="00560642"/>
    <w:rsid w:val="00567E02"/>
    <w:rsid w:val="00575946"/>
    <w:rsid w:val="0057735D"/>
    <w:rsid w:val="00580844"/>
    <w:rsid w:val="00580A46"/>
    <w:rsid w:val="0058247C"/>
    <w:rsid w:val="005877B3"/>
    <w:rsid w:val="005906CB"/>
    <w:rsid w:val="0059146A"/>
    <w:rsid w:val="005A29D9"/>
    <w:rsid w:val="005A690F"/>
    <w:rsid w:val="005B11C9"/>
    <w:rsid w:val="005B5769"/>
    <w:rsid w:val="005B6CF8"/>
    <w:rsid w:val="005C0408"/>
    <w:rsid w:val="005C5CD7"/>
    <w:rsid w:val="005C78DB"/>
    <w:rsid w:val="005D28C1"/>
    <w:rsid w:val="005D3655"/>
    <w:rsid w:val="005D499C"/>
    <w:rsid w:val="005D544B"/>
    <w:rsid w:val="005E1C2E"/>
    <w:rsid w:val="005E46F9"/>
    <w:rsid w:val="005E606B"/>
    <w:rsid w:val="005F3816"/>
    <w:rsid w:val="006029B4"/>
    <w:rsid w:val="00610B4B"/>
    <w:rsid w:val="006148CA"/>
    <w:rsid w:val="00623BA1"/>
    <w:rsid w:val="00630143"/>
    <w:rsid w:val="0063465A"/>
    <w:rsid w:val="006346BC"/>
    <w:rsid w:val="00647D55"/>
    <w:rsid w:val="00663129"/>
    <w:rsid w:val="00663CE6"/>
    <w:rsid w:val="0066652A"/>
    <w:rsid w:val="00680052"/>
    <w:rsid w:val="00680522"/>
    <w:rsid w:val="00681E5F"/>
    <w:rsid w:val="00681F08"/>
    <w:rsid w:val="00682167"/>
    <w:rsid w:val="006946B4"/>
    <w:rsid w:val="00695730"/>
    <w:rsid w:val="006A7A79"/>
    <w:rsid w:val="006C3EB2"/>
    <w:rsid w:val="006C42AF"/>
    <w:rsid w:val="006D120C"/>
    <w:rsid w:val="006D5672"/>
    <w:rsid w:val="006D5CA1"/>
    <w:rsid w:val="006E3E82"/>
    <w:rsid w:val="006E5750"/>
    <w:rsid w:val="006F27B1"/>
    <w:rsid w:val="007070C3"/>
    <w:rsid w:val="00707E0B"/>
    <w:rsid w:val="007101F3"/>
    <w:rsid w:val="0071150B"/>
    <w:rsid w:val="00711D8E"/>
    <w:rsid w:val="00712672"/>
    <w:rsid w:val="00723805"/>
    <w:rsid w:val="00724E8B"/>
    <w:rsid w:val="0073407D"/>
    <w:rsid w:val="00734E3F"/>
    <w:rsid w:val="00736985"/>
    <w:rsid w:val="00737182"/>
    <w:rsid w:val="00745DF5"/>
    <w:rsid w:val="00747D21"/>
    <w:rsid w:val="00756A59"/>
    <w:rsid w:val="00760007"/>
    <w:rsid w:val="0076250F"/>
    <w:rsid w:val="00764EE7"/>
    <w:rsid w:val="00765C39"/>
    <w:rsid w:val="00770E83"/>
    <w:rsid w:val="00771B53"/>
    <w:rsid w:val="00782B44"/>
    <w:rsid w:val="0078378B"/>
    <w:rsid w:val="00784031"/>
    <w:rsid w:val="00785B9D"/>
    <w:rsid w:val="007A1F22"/>
    <w:rsid w:val="007A6119"/>
    <w:rsid w:val="007A61AD"/>
    <w:rsid w:val="007A77A6"/>
    <w:rsid w:val="007B6200"/>
    <w:rsid w:val="007B6F70"/>
    <w:rsid w:val="007B7CE2"/>
    <w:rsid w:val="007C74E7"/>
    <w:rsid w:val="007D458D"/>
    <w:rsid w:val="007E0F19"/>
    <w:rsid w:val="007E7E67"/>
    <w:rsid w:val="007F0D3F"/>
    <w:rsid w:val="007F2E15"/>
    <w:rsid w:val="007F3395"/>
    <w:rsid w:val="00801B9F"/>
    <w:rsid w:val="008057FD"/>
    <w:rsid w:val="00805DA2"/>
    <w:rsid w:val="0080600B"/>
    <w:rsid w:val="008078A7"/>
    <w:rsid w:val="00812509"/>
    <w:rsid w:val="008126CC"/>
    <w:rsid w:val="00815DFA"/>
    <w:rsid w:val="00832126"/>
    <w:rsid w:val="00842C48"/>
    <w:rsid w:val="00842F1B"/>
    <w:rsid w:val="008475F0"/>
    <w:rsid w:val="0085070D"/>
    <w:rsid w:val="008521B6"/>
    <w:rsid w:val="00853A29"/>
    <w:rsid w:val="00855720"/>
    <w:rsid w:val="00855E99"/>
    <w:rsid w:val="008612E8"/>
    <w:rsid w:val="00863D04"/>
    <w:rsid w:val="00864210"/>
    <w:rsid w:val="00882884"/>
    <w:rsid w:val="00891FEA"/>
    <w:rsid w:val="00893DB7"/>
    <w:rsid w:val="00894D41"/>
    <w:rsid w:val="008A0E36"/>
    <w:rsid w:val="008A5AFE"/>
    <w:rsid w:val="008B68D7"/>
    <w:rsid w:val="008C1C11"/>
    <w:rsid w:val="008C2F58"/>
    <w:rsid w:val="008C5A0E"/>
    <w:rsid w:val="008D2A51"/>
    <w:rsid w:val="008D2EE5"/>
    <w:rsid w:val="008D4779"/>
    <w:rsid w:val="008E0144"/>
    <w:rsid w:val="008E7F13"/>
    <w:rsid w:val="008F085F"/>
    <w:rsid w:val="008F2C30"/>
    <w:rsid w:val="008F4190"/>
    <w:rsid w:val="008F56A8"/>
    <w:rsid w:val="009019DE"/>
    <w:rsid w:val="00904885"/>
    <w:rsid w:val="00906CC0"/>
    <w:rsid w:val="00907F4D"/>
    <w:rsid w:val="00916442"/>
    <w:rsid w:val="00916FB1"/>
    <w:rsid w:val="0092159A"/>
    <w:rsid w:val="00934081"/>
    <w:rsid w:val="009371E6"/>
    <w:rsid w:val="00940611"/>
    <w:rsid w:val="00955D47"/>
    <w:rsid w:val="00960FD7"/>
    <w:rsid w:val="00974283"/>
    <w:rsid w:val="009773A2"/>
    <w:rsid w:val="00986B2D"/>
    <w:rsid w:val="009870CE"/>
    <w:rsid w:val="009903F3"/>
    <w:rsid w:val="00992972"/>
    <w:rsid w:val="00992C76"/>
    <w:rsid w:val="009A0742"/>
    <w:rsid w:val="009B4D3B"/>
    <w:rsid w:val="009B7EEC"/>
    <w:rsid w:val="009C14F6"/>
    <w:rsid w:val="009C22B3"/>
    <w:rsid w:val="009C73ED"/>
    <w:rsid w:val="009D2709"/>
    <w:rsid w:val="009D65EB"/>
    <w:rsid w:val="009D7407"/>
    <w:rsid w:val="009E0866"/>
    <w:rsid w:val="009E7459"/>
    <w:rsid w:val="009F5488"/>
    <w:rsid w:val="009F5647"/>
    <w:rsid w:val="009F6423"/>
    <w:rsid w:val="00A06EE0"/>
    <w:rsid w:val="00A11926"/>
    <w:rsid w:val="00A15862"/>
    <w:rsid w:val="00A15E87"/>
    <w:rsid w:val="00A24A62"/>
    <w:rsid w:val="00A25C01"/>
    <w:rsid w:val="00A31C9F"/>
    <w:rsid w:val="00A40BD1"/>
    <w:rsid w:val="00A4144F"/>
    <w:rsid w:val="00A53EB3"/>
    <w:rsid w:val="00A56F14"/>
    <w:rsid w:val="00A76CBD"/>
    <w:rsid w:val="00A770E9"/>
    <w:rsid w:val="00A80D65"/>
    <w:rsid w:val="00A80F95"/>
    <w:rsid w:val="00A80FD5"/>
    <w:rsid w:val="00A8197B"/>
    <w:rsid w:val="00A833A8"/>
    <w:rsid w:val="00A84162"/>
    <w:rsid w:val="00A91117"/>
    <w:rsid w:val="00A92CF2"/>
    <w:rsid w:val="00A94E8A"/>
    <w:rsid w:val="00AA1B92"/>
    <w:rsid w:val="00AA7BE3"/>
    <w:rsid w:val="00AA7EFC"/>
    <w:rsid w:val="00AB37B6"/>
    <w:rsid w:val="00AB5E7F"/>
    <w:rsid w:val="00AC1586"/>
    <w:rsid w:val="00AC164A"/>
    <w:rsid w:val="00AC2B86"/>
    <w:rsid w:val="00AC7A1E"/>
    <w:rsid w:val="00AC7E33"/>
    <w:rsid w:val="00AD4179"/>
    <w:rsid w:val="00AE2A83"/>
    <w:rsid w:val="00AF0F3F"/>
    <w:rsid w:val="00AF1B85"/>
    <w:rsid w:val="00AF2050"/>
    <w:rsid w:val="00AF3E0D"/>
    <w:rsid w:val="00B00F07"/>
    <w:rsid w:val="00B01311"/>
    <w:rsid w:val="00B014F0"/>
    <w:rsid w:val="00B03CA8"/>
    <w:rsid w:val="00B04170"/>
    <w:rsid w:val="00B05982"/>
    <w:rsid w:val="00B104A5"/>
    <w:rsid w:val="00B1127D"/>
    <w:rsid w:val="00B11812"/>
    <w:rsid w:val="00B12980"/>
    <w:rsid w:val="00B14EFE"/>
    <w:rsid w:val="00B27AE1"/>
    <w:rsid w:val="00B27DF0"/>
    <w:rsid w:val="00B331DC"/>
    <w:rsid w:val="00B438D3"/>
    <w:rsid w:val="00B55E19"/>
    <w:rsid w:val="00B63C6B"/>
    <w:rsid w:val="00B72C4E"/>
    <w:rsid w:val="00B754C8"/>
    <w:rsid w:val="00B8475C"/>
    <w:rsid w:val="00B907C7"/>
    <w:rsid w:val="00BA4B6D"/>
    <w:rsid w:val="00BA62EB"/>
    <w:rsid w:val="00BB0F4E"/>
    <w:rsid w:val="00BB26C5"/>
    <w:rsid w:val="00BB44E2"/>
    <w:rsid w:val="00BB58BF"/>
    <w:rsid w:val="00BC509F"/>
    <w:rsid w:val="00BD2682"/>
    <w:rsid w:val="00BD3EAB"/>
    <w:rsid w:val="00BD5D0C"/>
    <w:rsid w:val="00BD79D2"/>
    <w:rsid w:val="00BE1BEB"/>
    <w:rsid w:val="00BE285A"/>
    <w:rsid w:val="00BF3260"/>
    <w:rsid w:val="00BF4DE6"/>
    <w:rsid w:val="00BF4F1C"/>
    <w:rsid w:val="00BF52CA"/>
    <w:rsid w:val="00C00158"/>
    <w:rsid w:val="00C034BE"/>
    <w:rsid w:val="00C0458E"/>
    <w:rsid w:val="00C1502C"/>
    <w:rsid w:val="00C15C01"/>
    <w:rsid w:val="00C15DD2"/>
    <w:rsid w:val="00C25A5D"/>
    <w:rsid w:val="00C26AD7"/>
    <w:rsid w:val="00C350E5"/>
    <w:rsid w:val="00C40ED1"/>
    <w:rsid w:val="00C42CDE"/>
    <w:rsid w:val="00C46DEE"/>
    <w:rsid w:val="00C5182A"/>
    <w:rsid w:val="00C523F9"/>
    <w:rsid w:val="00C615A3"/>
    <w:rsid w:val="00C63EE9"/>
    <w:rsid w:val="00C6626C"/>
    <w:rsid w:val="00C7139B"/>
    <w:rsid w:val="00C93E35"/>
    <w:rsid w:val="00C9574E"/>
    <w:rsid w:val="00C95893"/>
    <w:rsid w:val="00CA37B1"/>
    <w:rsid w:val="00CB1959"/>
    <w:rsid w:val="00CB441E"/>
    <w:rsid w:val="00CB54D8"/>
    <w:rsid w:val="00CB5933"/>
    <w:rsid w:val="00CC25BB"/>
    <w:rsid w:val="00CC4767"/>
    <w:rsid w:val="00CD0E4B"/>
    <w:rsid w:val="00CD12CF"/>
    <w:rsid w:val="00CD1652"/>
    <w:rsid w:val="00CD17F4"/>
    <w:rsid w:val="00CE0155"/>
    <w:rsid w:val="00CE3D0D"/>
    <w:rsid w:val="00CE4B31"/>
    <w:rsid w:val="00CF3847"/>
    <w:rsid w:val="00CF48C2"/>
    <w:rsid w:val="00CF670F"/>
    <w:rsid w:val="00CF6986"/>
    <w:rsid w:val="00D00802"/>
    <w:rsid w:val="00D0296C"/>
    <w:rsid w:val="00D1164C"/>
    <w:rsid w:val="00D146A2"/>
    <w:rsid w:val="00D15A00"/>
    <w:rsid w:val="00D2168C"/>
    <w:rsid w:val="00D23D73"/>
    <w:rsid w:val="00D2653F"/>
    <w:rsid w:val="00D316F2"/>
    <w:rsid w:val="00D3388F"/>
    <w:rsid w:val="00D33F13"/>
    <w:rsid w:val="00D64BD1"/>
    <w:rsid w:val="00D66D4F"/>
    <w:rsid w:val="00D72760"/>
    <w:rsid w:val="00D80A9B"/>
    <w:rsid w:val="00DB394D"/>
    <w:rsid w:val="00DC5829"/>
    <w:rsid w:val="00DD1986"/>
    <w:rsid w:val="00DD3FAF"/>
    <w:rsid w:val="00DD78E7"/>
    <w:rsid w:val="00DE01B3"/>
    <w:rsid w:val="00DE084C"/>
    <w:rsid w:val="00DE26A6"/>
    <w:rsid w:val="00DE317D"/>
    <w:rsid w:val="00DF21E0"/>
    <w:rsid w:val="00E05514"/>
    <w:rsid w:val="00E06CA1"/>
    <w:rsid w:val="00E10C07"/>
    <w:rsid w:val="00E11A48"/>
    <w:rsid w:val="00E133C2"/>
    <w:rsid w:val="00E1416F"/>
    <w:rsid w:val="00E20897"/>
    <w:rsid w:val="00E30A57"/>
    <w:rsid w:val="00E357B7"/>
    <w:rsid w:val="00E3642C"/>
    <w:rsid w:val="00E42C59"/>
    <w:rsid w:val="00E43671"/>
    <w:rsid w:val="00E52F13"/>
    <w:rsid w:val="00E532B3"/>
    <w:rsid w:val="00E53800"/>
    <w:rsid w:val="00E53E7B"/>
    <w:rsid w:val="00E53FA5"/>
    <w:rsid w:val="00E5493C"/>
    <w:rsid w:val="00E562FB"/>
    <w:rsid w:val="00E6081F"/>
    <w:rsid w:val="00E65105"/>
    <w:rsid w:val="00E6596D"/>
    <w:rsid w:val="00E67CBE"/>
    <w:rsid w:val="00E71394"/>
    <w:rsid w:val="00E71E4C"/>
    <w:rsid w:val="00E86494"/>
    <w:rsid w:val="00EA04B2"/>
    <w:rsid w:val="00EA20F3"/>
    <w:rsid w:val="00EA7C4F"/>
    <w:rsid w:val="00EB38DA"/>
    <w:rsid w:val="00EC42B9"/>
    <w:rsid w:val="00ED11E0"/>
    <w:rsid w:val="00ED1CD6"/>
    <w:rsid w:val="00ED2831"/>
    <w:rsid w:val="00ED43D1"/>
    <w:rsid w:val="00ED7B09"/>
    <w:rsid w:val="00EE001D"/>
    <w:rsid w:val="00EE4D20"/>
    <w:rsid w:val="00EE4EE1"/>
    <w:rsid w:val="00EE6A22"/>
    <w:rsid w:val="00EF4574"/>
    <w:rsid w:val="00EF4AD9"/>
    <w:rsid w:val="00F06182"/>
    <w:rsid w:val="00F13F0A"/>
    <w:rsid w:val="00F20968"/>
    <w:rsid w:val="00F21C11"/>
    <w:rsid w:val="00F2684E"/>
    <w:rsid w:val="00F373F0"/>
    <w:rsid w:val="00F4140A"/>
    <w:rsid w:val="00F50594"/>
    <w:rsid w:val="00F5404C"/>
    <w:rsid w:val="00F54682"/>
    <w:rsid w:val="00F54D29"/>
    <w:rsid w:val="00F6574E"/>
    <w:rsid w:val="00F729EF"/>
    <w:rsid w:val="00F72F23"/>
    <w:rsid w:val="00F77CAE"/>
    <w:rsid w:val="00F82271"/>
    <w:rsid w:val="00F83428"/>
    <w:rsid w:val="00F901E6"/>
    <w:rsid w:val="00F90D93"/>
    <w:rsid w:val="00F96BB9"/>
    <w:rsid w:val="00FA3F5E"/>
    <w:rsid w:val="00FB4F75"/>
    <w:rsid w:val="00FB6DB0"/>
    <w:rsid w:val="00FC7EFC"/>
    <w:rsid w:val="00FD57AD"/>
    <w:rsid w:val="00FE474F"/>
    <w:rsid w:val="00FE6D51"/>
    <w:rsid w:val="00FE753D"/>
    <w:rsid w:val="00FF09F3"/>
    <w:rsid w:val="00FF0C20"/>
    <w:rsid w:val="00FF22DA"/>
    <w:rsid w:val="00FF34A8"/>
    <w:rsid w:val="00FF5168"/>
    <w:rsid w:val="00FF6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5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ADB List Paragraph,Recommendation,L,F5 List Paragraph,Dot pt,CV text,Table text,List Paragraph111,Medium Grid 1 - Accent 21,Numbered Paragraph,List Paragraph2,Bulleted Para,NFP GP Bulleted List,FooterText"/>
    <w:basedOn w:val="Normal"/>
    <w:link w:val="ListParagraphChar"/>
    <w:uiPriority w:val="34"/>
    <w:qFormat/>
    <w:rsid w:val="00E42C59"/>
    <w:pPr>
      <w:ind w:left="720"/>
      <w:contextualSpacing/>
    </w:pPr>
  </w:style>
  <w:style w:type="character" w:customStyle="1" w:styleId="ListParagraphChar">
    <w:name w:val="List Paragraph Char"/>
    <w:aliases w:val="List Paragraph1 Char,List Paragraph11 Char,ADB List Paragraph Char,Recommendation Char,L Char,F5 List Paragraph Char,Dot pt Char,CV text Char,Table text Char,List Paragraph111 Char,Medium Grid 1 - Accent 21 Char,List Paragraph2 Char"/>
    <w:basedOn w:val="DefaultParagraphFont"/>
    <w:link w:val="ListParagraph"/>
    <w:uiPriority w:val="34"/>
    <w:qFormat/>
    <w:locked/>
    <w:rsid w:val="00E42C59"/>
    <w:rPr>
      <w:color w:val="495965" w:themeColor="text2"/>
      <w:lang w:val="en-GB"/>
    </w:rPr>
  </w:style>
  <w:style w:type="character" w:styleId="CommentReference">
    <w:name w:val="annotation reference"/>
    <w:basedOn w:val="DefaultParagraphFont"/>
    <w:uiPriority w:val="99"/>
    <w:semiHidden/>
    <w:unhideWhenUsed/>
    <w:rsid w:val="005D28C1"/>
    <w:rPr>
      <w:sz w:val="16"/>
      <w:szCs w:val="16"/>
    </w:rPr>
  </w:style>
  <w:style w:type="paragraph" w:styleId="CommentText">
    <w:name w:val="annotation text"/>
    <w:basedOn w:val="Normal"/>
    <w:link w:val="CommentTextChar"/>
    <w:uiPriority w:val="99"/>
    <w:semiHidden/>
    <w:unhideWhenUsed/>
    <w:rsid w:val="005D28C1"/>
    <w:pPr>
      <w:spacing w:line="240" w:lineRule="auto"/>
    </w:pPr>
    <w:rPr>
      <w:sz w:val="20"/>
      <w:szCs w:val="20"/>
    </w:rPr>
  </w:style>
  <w:style w:type="character" w:customStyle="1" w:styleId="CommentTextChar">
    <w:name w:val="Comment Text Char"/>
    <w:basedOn w:val="DefaultParagraphFont"/>
    <w:link w:val="CommentText"/>
    <w:uiPriority w:val="99"/>
    <w:semiHidden/>
    <w:rsid w:val="005D28C1"/>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D28C1"/>
    <w:rPr>
      <w:b/>
      <w:bCs/>
    </w:rPr>
  </w:style>
  <w:style w:type="character" w:customStyle="1" w:styleId="CommentSubjectChar">
    <w:name w:val="Comment Subject Char"/>
    <w:basedOn w:val="CommentTextChar"/>
    <w:link w:val="CommentSubject"/>
    <w:uiPriority w:val="99"/>
    <w:semiHidden/>
    <w:rsid w:val="005D28C1"/>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3548">
      <w:bodyDiv w:val="1"/>
      <w:marLeft w:val="0"/>
      <w:marRight w:val="0"/>
      <w:marTop w:val="0"/>
      <w:marBottom w:val="0"/>
      <w:divBdr>
        <w:top w:val="none" w:sz="0" w:space="0" w:color="auto"/>
        <w:left w:val="none" w:sz="0" w:space="0" w:color="auto"/>
        <w:bottom w:val="none" w:sz="0" w:space="0" w:color="auto"/>
        <w:right w:val="none" w:sz="0" w:space="0" w:color="auto"/>
      </w:divBdr>
    </w:div>
    <w:div w:id="211623727">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545920259">
      <w:bodyDiv w:val="1"/>
      <w:marLeft w:val="0"/>
      <w:marRight w:val="0"/>
      <w:marTop w:val="0"/>
      <w:marBottom w:val="0"/>
      <w:divBdr>
        <w:top w:val="none" w:sz="0" w:space="0" w:color="auto"/>
        <w:left w:val="none" w:sz="0" w:space="0" w:color="auto"/>
        <w:bottom w:val="none" w:sz="0" w:space="0" w:color="auto"/>
        <w:right w:val="none" w:sz="0" w:space="0" w:color="auto"/>
      </w:divBdr>
    </w:div>
    <w:div w:id="550961467">
      <w:bodyDiv w:val="1"/>
      <w:marLeft w:val="0"/>
      <w:marRight w:val="0"/>
      <w:marTop w:val="0"/>
      <w:marBottom w:val="0"/>
      <w:divBdr>
        <w:top w:val="none" w:sz="0" w:space="0" w:color="auto"/>
        <w:left w:val="none" w:sz="0" w:space="0" w:color="auto"/>
        <w:bottom w:val="none" w:sz="0" w:space="0" w:color="auto"/>
        <w:right w:val="none" w:sz="0" w:space="0" w:color="auto"/>
      </w:divBdr>
    </w:div>
    <w:div w:id="719866505">
      <w:bodyDiv w:val="1"/>
      <w:marLeft w:val="0"/>
      <w:marRight w:val="0"/>
      <w:marTop w:val="0"/>
      <w:marBottom w:val="0"/>
      <w:divBdr>
        <w:top w:val="none" w:sz="0" w:space="0" w:color="auto"/>
        <w:left w:val="none" w:sz="0" w:space="0" w:color="auto"/>
        <w:bottom w:val="none" w:sz="0" w:space="0" w:color="auto"/>
        <w:right w:val="none" w:sz="0" w:space="0" w:color="auto"/>
      </w:divBdr>
    </w:div>
    <w:div w:id="864825078">
      <w:bodyDiv w:val="1"/>
      <w:marLeft w:val="0"/>
      <w:marRight w:val="0"/>
      <w:marTop w:val="0"/>
      <w:marBottom w:val="0"/>
      <w:divBdr>
        <w:top w:val="none" w:sz="0" w:space="0" w:color="auto"/>
        <w:left w:val="none" w:sz="0" w:space="0" w:color="auto"/>
        <w:bottom w:val="none" w:sz="0" w:space="0" w:color="auto"/>
        <w:right w:val="none" w:sz="0" w:space="0" w:color="auto"/>
      </w:divBdr>
    </w:div>
    <w:div w:id="1394965094">
      <w:bodyDiv w:val="1"/>
      <w:marLeft w:val="0"/>
      <w:marRight w:val="0"/>
      <w:marTop w:val="0"/>
      <w:marBottom w:val="0"/>
      <w:divBdr>
        <w:top w:val="none" w:sz="0" w:space="0" w:color="auto"/>
        <w:left w:val="none" w:sz="0" w:space="0" w:color="auto"/>
        <w:bottom w:val="none" w:sz="0" w:space="0" w:color="auto"/>
        <w:right w:val="none" w:sz="0" w:space="0" w:color="auto"/>
      </w:divBdr>
    </w:div>
    <w:div w:id="1494105515">
      <w:bodyDiv w:val="1"/>
      <w:marLeft w:val="0"/>
      <w:marRight w:val="0"/>
      <w:marTop w:val="0"/>
      <w:marBottom w:val="0"/>
      <w:divBdr>
        <w:top w:val="none" w:sz="0" w:space="0" w:color="auto"/>
        <w:left w:val="none" w:sz="0" w:space="0" w:color="auto"/>
        <w:bottom w:val="none" w:sz="0" w:space="0" w:color="auto"/>
        <w:right w:val="none" w:sz="0" w:space="0" w:color="auto"/>
      </w:divBdr>
    </w:div>
    <w:div w:id="1496604080">
      <w:bodyDiv w:val="1"/>
      <w:marLeft w:val="0"/>
      <w:marRight w:val="0"/>
      <w:marTop w:val="0"/>
      <w:marBottom w:val="0"/>
      <w:divBdr>
        <w:top w:val="none" w:sz="0" w:space="0" w:color="auto"/>
        <w:left w:val="none" w:sz="0" w:space="0" w:color="auto"/>
        <w:bottom w:val="none" w:sz="0" w:space="0" w:color="auto"/>
        <w:right w:val="none" w:sz="0" w:space="0" w:color="auto"/>
      </w:divBdr>
    </w:div>
    <w:div w:id="1499807774">
      <w:bodyDiv w:val="1"/>
      <w:marLeft w:val="0"/>
      <w:marRight w:val="0"/>
      <w:marTop w:val="0"/>
      <w:marBottom w:val="0"/>
      <w:divBdr>
        <w:top w:val="none" w:sz="0" w:space="0" w:color="auto"/>
        <w:left w:val="none" w:sz="0" w:space="0" w:color="auto"/>
        <w:bottom w:val="none" w:sz="0" w:space="0" w:color="auto"/>
        <w:right w:val="none" w:sz="0" w:space="0" w:color="auto"/>
      </w:divBdr>
    </w:div>
    <w:div w:id="1564296668">
      <w:bodyDiv w:val="1"/>
      <w:marLeft w:val="0"/>
      <w:marRight w:val="0"/>
      <w:marTop w:val="0"/>
      <w:marBottom w:val="0"/>
      <w:divBdr>
        <w:top w:val="none" w:sz="0" w:space="0" w:color="auto"/>
        <w:left w:val="none" w:sz="0" w:space="0" w:color="auto"/>
        <w:bottom w:val="none" w:sz="0" w:space="0" w:color="auto"/>
        <w:right w:val="none" w:sz="0" w:space="0" w:color="auto"/>
      </w:divBdr>
    </w:div>
    <w:div w:id="1719931326">
      <w:bodyDiv w:val="1"/>
      <w:marLeft w:val="0"/>
      <w:marRight w:val="0"/>
      <w:marTop w:val="0"/>
      <w:marBottom w:val="0"/>
      <w:divBdr>
        <w:top w:val="none" w:sz="0" w:space="0" w:color="auto"/>
        <w:left w:val="none" w:sz="0" w:space="0" w:color="auto"/>
        <w:bottom w:val="none" w:sz="0" w:space="0" w:color="auto"/>
        <w:right w:val="none" w:sz="0" w:space="0" w:color="auto"/>
      </w:divBdr>
    </w:div>
    <w:div w:id="1888175588">
      <w:bodyDiv w:val="1"/>
      <w:marLeft w:val="0"/>
      <w:marRight w:val="0"/>
      <w:marTop w:val="0"/>
      <w:marBottom w:val="0"/>
      <w:divBdr>
        <w:top w:val="none" w:sz="0" w:space="0" w:color="auto"/>
        <w:left w:val="none" w:sz="0" w:space="0" w:color="auto"/>
        <w:bottom w:val="none" w:sz="0" w:space="0" w:color="auto"/>
        <w:right w:val="none" w:sz="0" w:space="0" w:color="auto"/>
      </w:divBdr>
    </w:div>
    <w:div w:id="19638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JP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3B1F1A-774A-499D-BE5A-EEB6F92E7346}"/>
</file>

<file path=customXml/itemProps2.xml><?xml version="1.0" encoding="utf-8"?>
<ds:datastoreItem xmlns:ds="http://schemas.openxmlformats.org/officeDocument/2006/customXml" ds:itemID="{B102A245-DF5C-42C2-97F0-AF5FFE6A0A37}"/>
</file>

<file path=customXml/itemProps3.xml><?xml version="1.0" encoding="utf-8"?>
<ds:datastoreItem xmlns:ds="http://schemas.openxmlformats.org/officeDocument/2006/customXml" ds:itemID="{FF5477BF-18C5-4A8E-AE5B-F7F4F347C90F}"/>
</file>

<file path=customXml/itemProps4.xml><?xml version="1.0" encoding="utf-8"?>
<ds:datastoreItem xmlns:ds="http://schemas.openxmlformats.org/officeDocument/2006/customXml" ds:itemID="{C7DADF24-1EBC-44D6-BD49-26B21682F76C}"/>
</file>

<file path=docProps/app.xml><?xml version="1.0" encoding="utf-8"?>
<Properties xmlns="http://schemas.openxmlformats.org/officeDocument/2006/extended-properties" xmlns:vt="http://schemas.openxmlformats.org/officeDocument/2006/docPropsVTypes">
  <Template>Normal.dotm</Template>
  <TotalTime>0</TotalTime>
  <Pages>13</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Kiribati Aid Program Performance Report 2016-17</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Kiribati Aid Program Performance Report 2016-17</dc:title>
  <dc:creator/>
  <cp:lastModifiedBy/>
  <cp:revision>1</cp:revision>
  <dcterms:created xsi:type="dcterms:W3CDTF">2017-09-21T03:07:00Z</dcterms:created>
  <dcterms:modified xsi:type="dcterms:W3CDTF">2017-09-21T03:08:00Z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75986df6-d7ee-44d4-a037-699621c27d2c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1123400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