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2D" w:rsidRDefault="00A56F14" w:rsidP="00D146A2">
      <w:r>
        <w:rPr>
          <w:noProof/>
          <w:lang w:val="en-AU" w:eastAsia="en-AU"/>
        </w:rPr>
        <w:drawing>
          <wp:anchor distT="0" distB="0" distL="114300" distR="114300" simplePos="0" relativeHeight="251661312" behindDoc="1" locked="1" layoutInCell="1" allowOverlap="1" wp14:anchorId="11715481" wp14:editId="43C39E9F">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42A917B9" wp14:editId="6BFFE580">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3">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rsidR="0059146A" w:rsidRDefault="00D153A3" w:rsidP="00A56F14">
      <w:pPr>
        <w:rPr>
          <w:sz w:val="24"/>
        </w:rPr>
        <w:sectPr w:rsidR="0059146A" w:rsidSect="00444806">
          <w:headerReference w:type="default" r:id="rId14"/>
          <w:footerReference w:type="default" r:id="rId15"/>
          <w:headerReference w:type="first" r:id="rId16"/>
          <w:footerReference w:type="first" r:id="rId17"/>
          <w:pgSz w:w="11906" w:h="16838" w:code="9"/>
          <w:pgMar w:top="1952" w:right="1134" w:bottom="851" w:left="1134" w:header="1814" w:footer="567" w:gutter="0"/>
          <w:cols w:space="397"/>
          <w:titlePg/>
          <w:docGrid w:linePitch="360"/>
        </w:sectPr>
      </w:pPr>
      <w:r>
        <w:rPr>
          <w:sz w:val="40"/>
        </w:rPr>
        <w:t>KIRIBATI</w:t>
      </w:r>
      <w:r w:rsidR="0059146A">
        <w:rPr>
          <w:sz w:val="40"/>
        </w:rPr>
        <w:br/>
      </w:r>
      <w:r w:rsidR="0059146A" w:rsidRPr="0059146A">
        <w:rPr>
          <w:sz w:val="24"/>
        </w:rPr>
        <w:t>September 2016</w:t>
      </w:r>
    </w:p>
    <w:p w:rsidR="005B5769" w:rsidRPr="00B438D3" w:rsidRDefault="00D153A3" w:rsidP="00B438D3">
      <w:pPr>
        <w:pStyle w:val="Title"/>
      </w:pPr>
      <w:r>
        <w:lastRenderedPageBreak/>
        <w:t>Kiribati</w:t>
      </w:r>
      <w:r w:rsidR="005B5769" w:rsidRPr="00B438D3">
        <w:t xml:space="preserve"> Aid Program Performance Information 2015-16</w:t>
      </w:r>
    </w:p>
    <w:p w:rsidR="005B5769" w:rsidRPr="00C4114C" w:rsidRDefault="005B5769" w:rsidP="00B438D3">
      <w:pPr>
        <w:pStyle w:val="Subtitle"/>
      </w:pPr>
      <w:r w:rsidRPr="00C4114C">
        <w:t>Summary</w:t>
      </w:r>
    </w:p>
    <w:p w:rsidR="009D1D2E" w:rsidRDefault="00A93F04" w:rsidP="0097027C">
      <w:pPr>
        <w:rPr>
          <w:lang w:val="en-US"/>
        </w:rPr>
      </w:pPr>
      <w:r>
        <w:t>Kiribati</w:t>
      </w:r>
      <w:r w:rsidR="009D1D2E">
        <w:t xml:space="preserve"> is a small Pacific Island country with a population of approximately 110,000. </w:t>
      </w:r>
      <w:r w:rsidR="00131F66">
        <w:rPr>
          <w:lang w:val="en-US"/>
        </w:rPr>
        <w:t xml:space="preserve">With </w:t>
      </w:r>
      <w:r w:rsidR="009D1D2E">
        <w:rPr>
          <w:lang w:val="en-US"/>
        </w:rPr>
        <w:t xml:space="preserve">gross national income per capita at USD2,280, Kiribati is one of the poorest countries in the region. </w:t>
      </w:r>
      <w:r w:rsidR="00A94285">
        <w:rPr>
          <w:lang w:val="en-US"/>
        </w:rPr>
        <w:t xml:space="preserve">Growth prospects are constrained and </w:t>
      </w:r>
      <w:r w:rsidR="00251956">
        <w:rPr>
          <w:lang w:val="en-US"/>
        </w:rPr>
        <w:t>the government</w:t>
      </w:r>
      <w:r w:rsidR="009D1D2E">
        <w:rPr>
          <w:lang w:val="en-US"/>
        </w:rPr>
        <w:t xml:space="preserve"> relies heavily on fisheries revenue</w:t>
      </w:r>
      <w:r w:rsidR="00A94285">
        <w:rPr>
          <w:lang w:val="en-US"/>
        </w:rPr>
        <w:t>. The capital</w:t>
      </w:r>
      <w:r w:rsidR="00251956">
        <w:rPr>
          <w:lang w:val="en-US"/>
        </w:rPr>
        <w:t>,</w:t>
      </w:r>
      <w:r w:rsidR="00A94285">
        <w:rPr>
          <w:lang w:val="en-US"/>
        </w:rPr>
        <w:t xml:space="preserve"> Tarawa</w:t>
      </w:r>
      <w:r w:rsidR="00251956">
        <w:rPr>
          <w:lang w:val="en-US"/>
        </w:rPr>
        <w:t>,</w:t>
      </w:r>
      <w:r w:rsidR="00A94285">
        <w:rPr>
          <w:lang w:val="en-US"/>
        </w:rPr>
        <w:t xml:space="preserve"> has</w:t>
      </w:r>
      <w:r w:rsidR="009D1D2E">
        <w:rPr>
          <w:lang w:val="en-US"/>
        </w:rPr>
        <w:t xml:space="preserve"> high youth unemployment </w:t>
      </w:r>
      <w:r w:rsidR="00254411">
        <w:rPr>
          <w:lang w:val="en-US"/>
        </w:rPr>
        <w:t xml:space="preserve">and </w:t>
      </w:r>
      <w:r w:rsidR="00251956">
        <w:rPr>
          <w:lang w:val="en-US"/>
        </w:rPr>
        <w:t xml:space="preserve">rapid population growth is increasing pressure on its basic services </w:t>
      </w:r>
      <w:r w:rsidR="00254411">
        <w:rPr>
          <w:lang w:val="en-US"/>
        </w:rPr>
        <w:t xml:space="preserve">and infrastructure. Climate change impacts </w:t>
      </w:r>
      <w:r w:rsidR="002E1224">
        <w:rPr>
          <w:lang w:val="en-US"/>
        </w:rPr>
        <w:t>are</w:t>
      </w:r>
      <w:r w:rsidR="00254411">
        <w:rPr>
          <w:lang w:val="en-US"/>
        </w:rPr>
        <w:t xml:space="preserve"> exacerbat</w:t>
      </w:r>
      <w:r w:rsidR="002E1224">
        <w:rPr>
          <w:lang w:val="en-US"/>
        </w:rPr>
        <w:t>ing</w:t>
      </w:r>
      <w:r w:rsidR="00254411">
        <w:rPr>
          <w:lang w:val="en-US"/>
        </w:rPr>
        <w:t xml:space="preserve"> </w:t>
      </w:r>
      <w:r w:rsidR="00251956">
        <w:rPr>
          <w:lang w:val="en-US"/>
        </w:rPr>
        <w:t xml:space="preserve">these </w:t>
      </w:r>
      <w:r w:rsidR="00254411">
        <w:rPr>
          <w:lang w:val="en-US"/>
        </w:rPr>
        <w:t>development challenges.</w:t>
      </w:r>
    </w:p>
    <w:p w:rsidR="009B79CB" w:rsidRDefault="00343139" w:rsidP="0097027C">
      <w:r w:rsidRPr="00724319">
        <w:t>Australia</w:t>
      </w:r>
      <w:r>
        <w:t>’s</w:t>
      </w:r>
      <w:r w:rsidRPr="00724319">
        <w:t xml:space="preserve"> </w:t>
      </w:r>
      <w:r w:rsidR="00621606" w:rsidRPr="00724319">
        <w:t xml:space="preserve">aid program is </w:t>
      </w:r>
      <w:r w:rsidR="003F3EF9">
        <w:t>working with</w:t>
      </w:r>
      <w:r w:rsidR="00621606" w:rsidRPr="00724319">
        <w:t xml:space="preserve"> Kiribati to maximise benefits </w:t>
      </w:r>
      <w:r w:rsidR="003F3EF9">
        <w:rPr>
          <w:lang w:val="en-US"/>
        </w:rPr>
        <w:t xml:space="preserve">from its human resources and </w:t>
      </w:r>
      <w:r w:rsidR="00932B56">
        <w:rPr>
          <w:lang w:val="en-US"/>
        </w:rPr>
        <w:t xml:space="preserve">its </w:t>
      </w:r>
      <w:r w:rsidR="003F3EF9">
        <w:rPr>
          <w:lang w:val="en-US"/>
        </w:rPr>
        <w:t>fisheries sector to</w:t>
      </w:r>
      <w:r w:rsidR="003F3EF9" w:rsidRPr="003F3EF9">
        <w:rPr>
          <w:lang w:val="en-US"/>
        </w:rPr>
        <w:t xml:space="preserve"> </w:t>
      </w:r>
      <w:r w:rsidR="003F3EF9">
        <w:rPr>
          <w:lang w:val="en-US"/>
        </w:rPr>
        <w:t>improve its economic prospects, and strengthen its economic and environmental resilience</w:t>
      </w:r>
      <w:r w:rsidR="00621606" w:rsidRPr="00724319">
        <w:t xml:space="preserve">. </w:t>
      </w:r>
      <w:r>
        <w:rPr>
          <w:lang w:val="en-US"/>
        </w:rPr>
        <w:t xml:space="preserve">These strategic priorities are in line with the Kiribati Development Plan (2016-19) and Australia’s aid policy </w:t>
      </w:r>
      <w:r w:rsidRPr="00343139">
        <w:rPr>
          <w:i/>
          <w:lang w:val="en-US"/>
        </w:rPr>
        <w:t>Promoting prosperity, reducing poverty and enhancing stability</w:t>
      </w:r>
      <w:r>
        <w:rPr>
          <w:lang w:val="en-US"/>
        </w:rPr>
        <w:t xml:space="preserve">. </w:t>
      </w:r>
      <w:r w:rsidR="008D74C1" w:rsidRPr="00C87E8D">
        <w:t xml:space="preserve">Across all of </w:t>
      </w:r>
      <w:r w:rsidR="009331A2">
        <w:t>our</w:t>
      </w:r>
      <w:r w:rsidR="008D74C1" w:rsidRPr="00C87E8D">
        <w:t xml:space="preserve"> investments, </w:t>
      </w:r>
      <w:r w:rsidR="009331A2">
        <w:t>Australia</w:t>
      </w:r>
      <w:r w:rsidR="008D74C1" w:rsidRPr="00C87E8D">
        <w:t xml:space="preserve"> seeks to strengthen Kiribati’s capacity to improve gender equality, disability inclusiveness, </w:t>
      </w:r>
      <w:r w:rsidR="00D21009">
        <w:t>climate change</w:t>
      </w:r>
      <w:r w:rsidR="008D74C1" w:rsidRPr="00C87E8D">
        <w:t xml:space="preserve"> and disaster risk management. </w:t>
      </w:r>
      <w:r w:rsidR="00FE2CD6">
        <w:t xml:space="preserve">Australia’s aid program is delivered under the Kiribati </w:t>
      </w:r>
      <w:r w:rsidR="00FE2CD6">
        <w:rPr>
          <w:lang w:val="en-US"/>
        </w:rPr>
        <w:t>Aid Investment Plan 2015-19,</w:t>
      </w:r>
      <w:r w:rsidR="00C941D3">
        <w:rPr>
          <w:lang w:val="en-US"/>
        </w:rPr>
        <w:t xml:space="preserve"> </w:t>
      </w:r>
      <w:r w:rsidR="00FE2CD6">
        <w:rPr>
          <w:lang w:val="en-US"/>
        </w:rPr>
        <w:t>which deploys our resources to most effectively and efficiently achieve results in these areas.</w:t>
      </w:r>
      <w:r w:rsidR="00C941D3">
        <w:rPr>
          <w:lang w:val="en-US"/>
        </w:rPr>
        <w:t xml:space="preserve"> </w:t>
      </w:r>
    </w:p>
    <w:p w:rsidR="00AB00C1" w:rsidRPr="00C87E8D" w:rsidRDefault="0075507B" w:rsidP="00AB00C1">
      <w:r w:rsidRPr="00C87E8D">
        <w:t xml:space="preserve">Australia is the largest donor of aid to </w:t>
      </w:r>
      <w:r w:rsidR="007B0D9C" w:rsidRPr="00C87E8D">
        <w:t>Kiribati</w:t>
      </w:r>
      <w:r w:rsidRPr="00C87E8D">
        <w:t xml:space="preserve">. In 2015-16, Australia provided </w:t>
      </w:r>
      <w:r w:rsidR="007D4424" w:rsidRPr="00C87E8D">
        <w:t xml:space="preserve">an estimated </w:t>
      </w:r>
      <w:r w:rsidRPr="00C87E8D">
        <w:t>$2</w:t>
      </w:r>
      <w:r w:rsidR="007D4424" w:rsidRPr="00C87E8D">
        <w:t>4</w:t>
      </w:r>
      <w:r w:rsidRPr="00C87E8D">
        <w:t>.</w:t>
      </w:r>
      <w:r w:rsidR="007D4424" w:rsidRPr="00C87E8D">
        <w:t>9</w:t>
      </w:r>
      <w:r w:rsidRPr="00C87E8D">
        <w:t> million</w:t>
      </w:r>
      <w:r w:rsidR="007D4424" w:rsidRPr="00C87E8D">
        <w:t xml:space="preserve"> of</w:t>
      </w:r>
      <w:r w:rsidRPr="00C87E8D">
        <w:t xml:space="preserve"> </w:t>
      </w:r>
      <w:r w:rsidR="0050363C" w:rsidRPr="00C87E8D">
        <w:t>official development assistance (</w:t>
      </w:r>
      <w:r w:rsidRPr="00C87E8D">
        <w:t>ODA</w:t>
      </w:r>
      <w:r w:rsidR="0050363C" w:rsidRPr="00C87E8D">
        <w:t>)</w:t>
      </w:r>
      <w:r w:rsidRPr="00C87E8D">
        <w:t xml:space="preserve"> to Kiribati, </w:t>
      </w:r>
      <w:r w:rsidR="007B0D9C" w:rsidRPr="00C87E8D">
        <w:t>equivalent</w:t>
      </w:r>
      <w:r w:rsidRPr="00C87E8D">
        <w:t xml:space="preserve"> to approximately 1</w:t>
      </w:r>
      <w:r w:rsidR="007D4424" w:rsidRPr="00C87E8D">
        <w:t>1</w:t>
      </w:r>
      <w:r w:rsidRPr="00C87E8D">
        <w:t xml:space="preserve"> per cent of Kiribati’s Gross Domestic Product.</w:t>
      </w:r>
      <w:r w:rsidRPr="00C87E8D">
        <w:rPr>
          <w:rStyle w:val="FootnoteReference"/>
          <w:sz w:val="21"/>
          <w:szCs w:val="21"/>
        </w:rPr>
        <w:footnoteReference w:id="2"/>
      </w:r>
      <w:r w:rsidRPr="00C87E8D">
        <w:t xml:space="preserve"> </w:t>
      </w:r>
      <w:r w:rsidR="00FE3902" w:rsidRPr="00C87E8D">
        <w:t>Kiribati</w:t>
      </w:r>
      <w:r w:rsidR="0003550D">
        <w:t>’s</w:t>
      </w:r>
      <w:r w:rsidR="00FE3902" w:rsidRPr="00C87E8D">
        <w:t xml:space="preserve"> other long-term partners</w:t>
      </w:r>
      <w:r w:rsidR="0003550D">
        <w:t xml:space="preserve"> are New Zealand, </w:t>
      </w:r>
      <w:r w:rsidR="00FE3902" w:rsidRPr="00C87E8D">
        <w:t>Japan</w:t>
      </w:r>
      <w:r w:rsidR="0003550D">
        <w:t>,</w:t>
      </w:r>
      <w:r w:rsidR="00FE3902" w:rsidRPr="00C87E8D">
        <w:t xml:space="preserve"> </w:t>
      </w:r>
      <w:r w:rsidR="00AB00C1" w:rsidRPr="00CD5D6C">
        <w:t>Taiwan</w:t>
      </w:r>
      <w:r w:rsidR="0003550D">
        <w:t>,</w:t>
      </w:r>
      <w:r w:rsidR="00AB00C1" w:rsidRPr="00CD5D6C">
        <w:t xml:space="preserve"> </w:t>
      </w:r>
      <w:r w:rsidR="0003550D">
        <w:t>t</w:t>
      </w:r>
      <w:r w:rsidR="00FE3902" w:rsidRPr="00CD5D6C">
        <w:t>he World Bank and Asian Development</w:t>
      </w:r>
      <w:r w:rsidR="00FE3902" w:rsidRPr="00C87E8D">
        <w:t xml:space="preserve"> Bank</w:t>
      </w:r>
      <w:r w:rsidR="00AB00C1" w:rsidRPr="00C87E8D">
        <w:t>.</w:t>
      </w:r>
    </w:p>
    <w:p w:rsidR="005B5769" w:rsidRPr="008C2F58" w:rsidRDefault="005B5769" w:rsidP="00B438D3">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6785"/>
        <w:gridCol w:w="1157"/>
        <w:gridCol w:w="468"/>
        <w:gridCol w:w="1228"/>
      </w:tblGrid>
      <w:tr w:rsidR="005B5769" w:rsidRPr="00812509" w:rsidTr="00BC1847">
        <w:trPr>
          <w:cnfStyle w:val="000000010000" w:firstRow="0" w:lastRow="0" w:firstColumn="0" w:lastColumn="0" w:oddVBand="0" w:evenVBand="0" w:oddHBand="0" w:evenHBand="1" w:firstRowFirstColumn="0" w:firstRowLastColumn="0" w:lastRowFirstColumn="0" w:lastRowLastColumn="0"/>
          <w:trHeight w:val="651"/>
        </w:trPr>
        <w:tc>
          <w:tcPr>
            <w:tcW w:w="7004" w:type="dxa"/>
          </w:tcPr>
          <w:p w:rsidR="005B5769" w:rsidRPr="00812509" w:rsidRDefault="005B5769" w:rsidP="00D15A00">
            <w:pPr>
              <w:pStyle w:val="TableTextColumnHeading"/>
              <w:rPr>
                <w:rFonts w:asciiTheme="minorHAnsi" w:hAnsiTheme="minorHAnsi"/>
              </w:rPr>
            </w:pPr>
            <w:r w:rsidRPr="00812509">
              <w:rPr>
                <w:rFonts w:asciiTheme="minorHAnsi" w:hAnsiTheme="minorHAnsi"/>
                <w:noProof/>
              </w:rPr>
              <w:drawing>
                <wp:anchor distT="0" distB="0" distL="114300" distR="114300" simplePos="0" relativeHeight="251666432" behindDoc="0" locked="0" layoutInCell="1" allowOverlap="1" wp14:anchorId="24CDE3FE" wp14:editId="09B03F5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hAnsiTheme="minorHAnsi"/>
              </w:rPr>
              <w:t>Objective</w:t>
            </w:r>
          </w:p>
        </w:tc>
        <w:tc>
          <w:tcPr>
            <w:tcW w:w="1129" w:type="dxa"/>
          </w:tcPr>
          <w:p w:rsidR="005B5769" w:rsidRPr="00812509" w:rsidRDefault="005B5769" w:rsidP="00D15A00">
            <w:pPr>
              <w:pStyle w:val="TableTextColumnHeading"/>
              <w:rPr>
                <w:rFonts w:asciiTheme="minorHAnsi" w:hAnsiTheme="minorHAnsi"/>
              </w:rPr>
            </w:pPr>
            <w:r w:rsidRPr="00812509">
              <w:rPr>
                <w:rFonts w:asciiTheme="minorHAnsi" w:hAnsiTheme="minorHAnsi"/>
              </w:rPr>
              <w:t>Previous Rating</w:t>
            </w:r>
          </w:p>
        </w:tc>
        <w:tc>
          <w:tcPr>
            <w:tcW w:w="451" w:type="dxa"/>
          </w:tcPr>
          <w:p w:rsidR="005B5769" w:rsidRPr="00812509" w:rsidRDefault="005B5769" w:rsidP="00D15A00">
            <w:pPr>
              <w:pStyle w:val="TableTextColumnHeading"/>
              <w:rPr>
                <w:rFonts w:asciiTheme="minorHAnsi" w:hAnsiTheme="minorHAnsi"/>
              </w:rPr>
            </w:pPr>
          </w:p>
        </w:tc>
        <w:tc>
          <w:tcPr>
            <w:tcW w:w="1186" w:type="dxa"/>
          </w:tcPr>
          <w:p w:rsidR="005B5769" w:rsidRPr="00812509" w:rsidRDefault="005B5769" w:rsidP="00D15A00">
            <w:pPr>
              <w:pStyle w:val="TableTextColumnHeading"/>
              <w:rPr>
                <w:rFonts w:asciiTheme="minorHAnsi" w:hAnsiTheme="minorHAnsi"/>
              </w:rPr>
            </w:pPr>
            <w:r w:rsidRPr="00812509">
              <w:rPr>
                <w:rFonts w:asciiTheme="minorHAnsi" w:hAnsiTheme="minorHAnsi"/>
              </w:rPr>
              <w:t>Current Rating</w:t>
            </w:r>
          </w:p>
        </w:tc>
      </w:tr>
      <w:tr w:rsidR="005B5769" w:rsidRPr="00812509" w:rsidTr="004F3C34">
        <w:trPr>
          <w:cnfStyle w:val="000000010000" w:firstRow="0" w:lastRow="0" w:firstColumn="0" w:lastColumn="0" w:oddVBand="0" w:evenVBand="0" w:oddHBand="0" w:evenHBand="1" w:firstRowFirstColumn="0" w:firstRowLastColumn="0" w:lastRowFirstColumn="0" w:lastRowLastColumn="0"/>
        </w:trPr>
        <w:tc>
          <w:tcPr>
            <w:tcW w:w="7004" w:type="dxa"/>
          </w:tcPr>
          <w:p w:rsidR="005B5769" w:rsidRPr="00812509" w:rsidRDefault="005B5769" w:rsidP="00D15A00">
            <w:pPr>
              <w:pStyle w:val="TableTextEntries"/>
              <w:rPr>
                <w:rFonts w:asciiTheme="minorHAnsi" w:hAnsiTheme="minorHAnsi"/>
              </w:rPr>
            </w:pPr>
            <w:r w:rsidRPr="00812509">
              <w:rPr>
                <w:rFonts w:asciiTheme="minorHAnsi" w:hAnsiTheme="minorHAnsi"/>
              </w:rPr>
              <w:t>Objective 1</w:t>
            </w:r>
            <w:r w:rsidR="00BC1847">
              <w:rPr>
                <w:rFonts w:asciiTheme="minorHAnsi" w:hAnsiTheme="minorHAnsi"/>
              </w:rPr>
              <w:t xml:space="preserve">: </w:t>
            </w:r>
            <w:r w:rsidR="004F3C34">
              <w:rPr>
                <w:rFonts w:asciiTheme="minorHAnsi" w:hAnsiTheme="minorHAnsi"/>
              </w:rPr>
              <w:t>Implementation of Economic Reform Plan</w:t>
            </w:r>
          </w:p>
        </w:tc>
        <w:tc>
          <w:tcPr>
            <w:tcW w:w="1129" w:type="dxa"/>
            <w:shd w:val="clear" w:color="auto" w:fill="7FB64D" w:themeFill="accent3" w:themeFillShade="BF"/>
            <w:noWrap/>
          </w:tcPr>
          <w:p w:rsidR="005B5769" w:rsidRPr="00812509" w:rsidRDefault="005B5769" w:rsidP="00D15A00">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51" w:type="dxa"/>
          </w:tcPr>
          <w:p w:rsidR="005B5769" w:rsidRPr="00812509" w:rsidRDefault="005B5769" w:rsidP="00D15A00">
            <w:pPr>
              <w:pStyle w:val="TableTextEntries"/>
              <w:jc w:val="center"/>
              <w:rPr>
                <w:rFonts w:asciiTheme="minorHAnsi" w:hAnsiTheme="minorHAnsi"/>
                <w:color w:val="FFFFFF" w:themeColor="background1"/>
              </w:rPr>
            </w:pPr>
          </w:p>
        </w:tc>
        <w:tc>
          <w:tcPr>
            <w:tcW w:w="1186" w:type="dxa"/>
            <w:shd w:val="clear" w:color="auto" w:fill="7FB64D" w:themeFill="accent3" w:themeFillShade="BF"/>
            <w:noWrap/>
          </w:tcPr>
          <w:p w:rsidR="005B5769" w:rsidRPr="00812509" w:rsidRDefault="00B8319E" w:rsidP="00D15A00">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5B5769" w:rsidRPr="00812509" w:rsidTr="00801C5B">
        <w:trPr>
          <w:cnfStyle w:val="000000010000" w:firstRow="0" w:lastRow="0" w:firstColumn="0" w:lastColumn="0" w:oddVBand="0" w:evenVBand="0" w:oddHBand="0" w:evenHBand="1" w:firstRowFirstColumn="0" w:firstRowLastColumn="0" w:lastRowFirstColumn="0" w:lastRowLastColumn="0"/>
        </w:trPr>
        <w:tc>
          <w:tcPr>
            <w:tcW w:w="7004" w:type="dxa"/>
          </w:tcPr>
          <w:p w:rsidR="005B5769" w:rsidRPr="00812509" w:rsidRDefault="005B5769" w:rsidP="00D15A00">
            <w:pPr>
              <w:pStyle w:val="TableTextEntries"/>
              <w:rPr>
                <w:rFonts w:asciiTheme="minorHAnsi" w:hAnsiTheme="minorHAnsi"/>
              </w:rPr>
            </w:pPr>
            <w:r w:rsidRPr="00812509">
              <w:rPr>
                <w:rFonts w:asciiTheme="minorHAnsi" w:hAnsiTheme="minorHAnsi"/>
              </w:rPr>
              <w:t>Objective 2</w:t>
            </w:r>
            <w:r w:rsidR="00BC1847">
              <w:rPr>
                <w:rFonts w:asciiTheme="minorHAnsi" w:hAnsiTheme="minorHAnsi"/>
              </w:rPr>
              <w:t xml:space="preserve">: </w:t>
            </w:r>
            <w:r w:rsidR="004F3C34" w:rsidRPr="004F3C34">
              <w:rPr>
                <w:rFonts w:asciiTheme="minorHAnsi" w:hAnsiTheme="minorHAnsi"/>
              </w:rPr>
              <w:t>Better educated and healthier population</w:t>
            </w:r>
          </w:p>
        </w:tc>
        <w:tc>
          <w:tcPr>
            <w:tcW w:w="1129" w:type="dxa"/>
            <w:tcBorders>
              <w:bottom w:val="single" w:sz="12" w:space="0" w:color="000000" w:themeColor="text1"/>
            </w:tcBorders>
            <w:shd w:val="clear" w:color="auto" w:fill="7FB64D" w:themeFill="accent3" w:themeFillShade="BF"/>
            <w:noWrap/>
          </w:tcPr>
          <w:p w:rsidR="005B5769" w:rsidRPr="00812509" w:rsidRDefault="00B8319E" w:rsidP="00540A69">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r w:rsidR="00540A69" w:rsidRPr="00540A69">
              <w:rPr>
                <w:rFonts w:asciiTheme="minorHAnsi" w:hAnsiTheme="minorHAnsi"/>
                <w:b/>
                <w:color w:val="FFFFFF" w:themeColor="background1"/>
              </w:rPr>
              <w:t>*</w:t>
            </w:r>
          </w:p>
        </w:tc>
        <w:tc>
          <w:tcPr>
            <w:tcW w:w="451" w:type="dxa"/>
          </w:tcPr>
          <w:p w:rsidR="005B5769" w:rsidRPr="00812509" w:rsidRDefault="005B5769" w:rsidP="00D15A00">
            <w:pPr>
              <w:pStyle w:val="TableTextEntries"/>
              <w:jc w:val="center"/>
              <w:rPr>
                <w:rFonts w:asciiTheme="minorHAnsi" w:hAnsiTheme="minorHAnsi"/>
                <w:color w:val="FFFFFF" w:themeColor="background1"/>
              </w:rPr>
            </w:pPr>
          </w:p>
        </w:tc>
        <w:tc>
          <w:tcPr>
            <w:tcW w:w="1186" w:type="dxa"/>
            <w:tcBorders>
              <w:bottom w:val="single" w:sz="12" w:space="0" w:color="000000" w:themeColor="text1"/>
            </w:tcBorders>
            <w:shd w:val="clear" w:color="auto" w:fill="7FB64D" w:themeFill="accent3" w:themeFillShade="BF"/>
            <w:noWrap/>
          </w:tcPr>
          <w:p w:rsidR="005B5769" w:rsidRPr="00812509" w:rsidRDefault="005B5769" w:rsidP="00D15A00">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bl>
    <w:p w:rsidR="005B5769" w:rsidRPr="00812509" w:rsidRDefault="005B5769" w:rsidP="00CA62FF">
      <w:pPr>
        <w:pStyle w:val="Note"/>
      </w:pPr>
      <w:r w:rsidRPr="00812509">
        <w:t xml:space="preserve">Note: </w:t>
      </w:r>
    </w:p>
    <w:p w:rsidR="005B5769" w:rsidRPr="00812509" w:rsidRDefault="005B5769" w:rsidP="00CA62FF">
      <w:pPr>
        <w:pStyle w:val="Note"/>
      </w:pPr>
      <w:r w:rsidRPr="00812509">
        <w:rPr>
          <w:color w:val="72AF2F"/>
        </w:rPr>
        <w:sym w:font="Webdings" w:char="F067"/>
      </w:r>
      <w:r w:rsidRPr="00812509">
        <w:t> </w:t>
      </w:r>
      <w:r w:rsidRPr="00812509">
        <w:t xml:space="preserve"> Green. Progress is as expected at this stage of implementation and it is likely that the objective will be achieved. Standard program management practices are sufficient.</w:t>
      </w:r>
    </w:p>
    <w:p w:rsidR="005B5769" w:rsidRPr="00812509" w:rsidRDefault="005B5769" w:rsidP="00CA62FF">
      <w:pPr>
        <w:pStyle w:val="Note"/>
      </w:pPr>
      <w:r w:rsidRPr="00812509">
        <w:rPr>
          <w:color w:val="E36C0A"/>
        </w:rPr>
        <w:sym w:font="Webdings" w:char="F067"/>
      </w:r>
      <w:r w:rsidRPr="00812509">
        <w:t> </w:t>
      </w:r>
      <w:r w:rsidRPr="00812509">
        <w:t xml:space="preserve"> Amber. Progress is somewhat less than expected at this stage of implementation and restorative action will be necessary if the objective is to be achieved. Close performance monitoring is recommended.</w:t>
      </w:r>
    </w:p>
    <w:p w:rsidR="005B5769" w:rsidRPr="00812509" w:rsidRDefault="005B5769" w:rsidP="00CA62FF">
      <w:pPr>
        <w:pStyle w:val="Note"/>
      </w:pPr>
      <w:r w:rsidRPr="00812509">
        <w:rPr>
          <w:color w:val="FF0000"/>
        </w:rPr>
        <w:sym w:font="Webdings" w:char="F067"/>
      </w:r>
      <w:r w:rsidRPr="00812509">
        <w:t> </w:t>
      </w:r>
      <w:r w:rsidRPr="00812509">
        <w:t xml:space="preserve"> Red. Progress is significantly less than expected at this stage of implementation and the objective is not likely to be met given available resources and priorities. Recasting the objective may be required.</w:t>
      </w:r>
    </w:p>
    <w:p w:rsidR="00540A69" w:rsidRPr="00540A69" w:rsidRDefault="00540A69" w:rsidP="00CA62FF">
      <w:pPr>
        <w:pStyle w:val="Note"/>
      </w:pPr>
      <w:r w:rsidRPr="00540A69">
        <w:rPr>
          <w:b/>
        </w:rPr>
        <w:t>*</w:t>
      </w:r>
      <w:r>
        <w:t xml:space="preserve">    </w:t>
      </w:r>
      <w:r w:rsidRPr="00540A69">
        <w:t xml:space="preserve">The 2014-15 Kiribati Aid Program Performance Report rated performance against the </w:t>
      </w:r>
      <w:r w:rsidRPr="00EE7F11">
        <w:rPr>
          <w:i/>
        </w:rPr>
        <w:t>Australia-Kiribati Partnership for Development 2009-15</w:t>
      </w:r>
      <w:r w:rsidRPr="00540A69">
        <w:t>, which include</w:t>
      </w:r>
      <w:r w:rsidR="00401E25">
        <w:t>s</w:t>
      </w:r>
      <w:r w:rsidRPr="00540A69">
        <w:t xml:space="preserve"> four</w:t>
      </w:r>
      <w:r>
        <w:t xml:space="preserve"> partnership</w:t>
      </w:r>
      <w:r w:rsidR="00D275C9">
        <w:t xml:space="preserve"> outcomes. Three of these </w:t>
      </w:r>
      <w:r w:rsidRPr="00540A69">
        <w:t>outcomes broad</w:t>
      </w:r>
      <w:r>
        <w:t>ly</w:t>
      </w:r>
      <w:r w:rsidRPr="00540A69">
        <w:t xml:space="preserve"> relate to the second objective of the </w:t>
      </w:r>
      <w:r w:rsidR="00D275C9">
        <w:t>new</w:t>
      </w:r>
      <w:r w:rsidRPr="00EE7F11">
        <w:rPr>
          <w:i/>
        </w:rPr>
        <w:t xml:space="preserve"> </w:t>
      </w:r>
      <w:r w:rsidR="00EE7F11">
        <w:rPr>
          <w:i/>
        </w:rPr>
        <w:t xml:space="preserve">Kiribati </w:t>
      </w:r>
      <w:r w:rsidRPr="00EE7F11">
        <w:rPr>
          <w:i/>
        </w:rPr>
        <w:t>Aid Investment Plan</w:t>
      </w:r>
      <w:r w:rsidR="00EE7F11" w:rsidRPr="00EE7F11">
        <w:rPr>
          <w:i/>
        </w:rPr>
        <w:t xml:space="preserve"> 2015-19</w:t>
      </w:r>
      <w:r w:rsidRPr="00540A69">
        <w:t>. Two of these</w:t>
      </w:r>
      <w:r>
        <w:t xml:space="preserve"> three</w:t>
      </w:r>
      <w:r w:rsidRPr="00540A69">
        <w:t xml:space="preserve"> outcomes (</w:t>
      </w:r>
      <w:r>
        <w:t>i</w:t>
      </w:r>
      <w:r w:rsidRPr="00540A69">
        <w:t xml:space="preserve">mproved standards in basic education and </w:t>
      </w:r>
      <w:r>
        <w:t>i</w:t>
      </w:r>
      <w:r w:rsidRPr="00540A69">
        <w:t xml:space="preserve">ncreased opportunities to develop internationally recognised workforce skills) were rated </w:t>
      </w:r>
      <w:r>
        <w:t>‘</w:t>
      </w:r>
      <w:r w:rsidRPr="00540A69">
        <w:t>green</w:t>
      </w:r>
      <w:r>
        <w:t>’</w:t>
      </w:r>
      <w:r w:rsidRPr="00540A69">
        <w:t xml:space="preserve">, but </w:t>
      </w:r>
      <w:r>
        <w:t xml:space="preserve">the </w:t>
      </w:r>
      <w:r w:rsidRPr="00540A69">
        <w:t>third</w:t>
      </w:r>
      <w:r>
        <w:t xml:space="preserve"> (i</w:t>
      </w:r>
      <w:r w:rsidRPr="00540A69">
        <w:t>mproved infrastructure services</w:t>
      </w:r>
      <w:r>
        <w:t>) was rated ‘amber’</w:t>
      </w:r>
      <w:r w:rsidR="0097027C">
        <w:t>.</w:t>
      </w:r>
      <w:r w:rsidR="00D275C9">
        <w:t xml:space="preserve"> Improved infrastructure services is not a priority of the new Aid Investment Plan.</w:t>
      </w:r>
    </w:p>
    <w:p w:rsidR="00F141B0" w:rsidRPr="00494A36" w:rsidRDefault="00BC1847" w:rsidP="004D43F4">
      <w:r w:rsidRPr="00494A36">
        <w:t>During 2015-16 the</w:t>
      </w:r>
      <w:r w:rsidR="004D43F4">
        <w:t>re was</w:t>
      </w:r>
      <w:r w:rsidRPr="00494A36">
        <w:t xml:space="preserve"> goo</w:t>
      </w:r>
      <w:r w:rsidR="003F05E9" w:rsidRPr="00494A36">
        <w:t xml:space="preserve">d progress towards achieving </w:t>
      </w:r>
      <w:r w:rsidR="004D43F4">
        <w:t>our</w:t>
      </w:r>
      <w:r w:rsidRPr="00494A36">
        <w:t xml:space="preserve"> </w:t>
      </w:r>
      <w:r w:rsidR="00C65153" w:rsidRPr="00494A36">
        <w:t xml:space="preserve">two </w:t>
      </w:r>
      <w:r w:rsidR="008402B1" w:rsidRPr="00494A36">
        <w:t xml:space="preserve">key </w:t>
      </w:r>
      <w:r w:rsidR="00C65153" w:rsidRPr="00494A36">
        <w:t xml:space="preserve">objectives. </w:t>
      </w:r>
      <w:r w:rsidR="004D43F4">
        <w:t>As part of work to</w:t>
      </w:r>
      <w:r w:rsidR="00C65153" w:rsidRPr="00494A36">
        <w:t xml:space="preserve"> </w:t>
      </w:r>
      <w:r w:rsidR="004D43F4">
        <w:t>support</w:t>
      </w:r>
      <w:r w:rsidR="00C65153" w:rsidRPr="00494A36">
        <w:t xml:space="preserve"> the Government of Kiribati to implement its </w:t>
      </w:r>
      <w:r w:rsidR="00C65153" w:rsidRPr="00D275C9">
        <w:rPr>
          <w:b/>
        </w:rPr>
        <w:t>Economic Reform Plan</w:t>
      </w:r>
      <w:r w:rsidR="00C65153" w:rsidRPr="00494A36">
        <w:t xml:space="preserve">, </w:t>
      </w:r>
      <w:bookmarkStart w:id="0" w:name="_Toc451521840"/>
      <w:r w:rsidR="002E1224">
        <w:t>Australia</w:t>
      </w:r>
      <w:r w:rsidR="00C65153" w:rsidRPr="00494A36">
        <w:t xml:space="preserve"> c</w:t>
      </w:r>
      <w:r w:rsidR="0097027C" w:rsidRPr="00494A36">
        <w:t>ontinued to engage closely with the Kiribati Economic Taskforce (including the</w:t>
      </w:r>
      <w:r w:rsidR="000B30CF" w:rsidRPr="00494A36">
        <w:t xml:space="preserve"> Government of Kiribati,</w:t>
      </w:r>
      <w:r w:rsidR="0097027C" w:rsidRPr="00494A36">
        <w:t xml:space="preserve"> Asian Development Bank</w:t>
      </w:r>
      <w:r w:rsidR="00490F39">
        <w:t xml:space="preserve"> (ADB)</w:t>
      </w:r>
      <w:r w:rsidR="0097027C" w:rsidRPr="00494A36">
        <w:t>, World Bank</w:t>
      </w:r>
      <w:r w:rsidR="008A4038">
        <w:t>, European Union</w:t>
      </w:r>
      <w:r w:rsidR="0097027C" w:rsidRPr="00494A36">
        <w:t xml:space="preserve"> and New Zealand) on progressing agreed economic reform priorities.</w:t>
      </w:r>
      <w:r w:rsidR="00EE7F11">
        <w:t xml:space="preserve"> </w:t>
      </w:r>
      <w:r w:rsidR="004D58B1" w:rsidRPr="00494A36">
        <w:t>Australia</w:t>
      </w:r>
      <w:r w:rsidR="00877853">
        <w:t xml:space="preserve"> is</w:t>
      </w:r>
      <w:r w:rsidR="004D58B1" w:rsidRPr="00494A36">
        <w:t xml:space="preserve"> </w:t>
      </w:r>
      <w:r w:rsidR="00877853">
        <w:t>supporting the implementation of Kiribati’s Economic Reform Plan</w:t>
      </w:r>
      <w:r w:rsidR="00037AA2">
        <w:t xml:space="preserve"> (</w:t>
      </w:r>
      <w:r w:rsidR="00037AA2" w:rsidRPr="00037AA2">
        <w:t>$</w:t>
      </w:r>
      <w:r w:rsidR="00DF19AE">
        <w:t>460,000</w:t>
      </w:r>
      <w:r w:rsidR="00037AA2" w:rsidRPr="00037AA2">
        <w:t xml:space="preserve"> in 2015–16)</w:t>
      </w:r>
      <w:r w:rsidR="00877853">
        <w:t xml:space="preserve"> by</w:t>
      </w:r>
      <w:r w:rsidR="004D58B1" w:rsidRPr="00494A36">
        <w:t xml:space="preserve"> </w:t>
      </w:r>
      <w:r w:rsidR="002F4461" w:rsidRPr="00494A36">
        <w:t>fund</w:t>
      </w:r>
      <w:r w:rsidR="00037AA2">
        <w:t>ing</w:t>
      </w:r>
      <w:r w:rsidR="002F4461" w:rsidRPr="00494A36">
        <w:t xml:space="preserve"> </w:t>
      </w:r>
      <w:r w:rsidR="004D58B1" w:rsidRPr="00494A36">
        <w:t>two advisers through the Pacific Technical Assistance Mechanism</w:t>
      </w:r>
      <w:r w:rsidR="002F0EE7" w:rsidRPr="00494A36">
        <w:t xml:space="preserve">. </w:t>
      </w:r>
      <w:r w:rsidR="00DF19AE">
        <w:t xml:space="preserve">The </w:t>
      </w:r>
      <w:r w:rsidR="004D43F4">
        <w:t>first,</w:t>
      </w:r>
      <w:r w:rsidR="003410F9">
        <w:t xml:space="preserve"> </w:t>
      </w:r>
      <w:r w:rsidR="004D43F4">
        <w:t>a</w:t>
      </w:r>
      <w:r w:rsidR="003410F9">
        <w:t xml:space="preserve"> </w:t>
      </w:r>
      <w:r w:rsidR="00DF19AE">
        <w:t xml:space="preserve">Director of </w:t>
      </w:r>
      <w:r w:rsidR="003410F9">
        <w:t xml:space="preserve">the </w:t>
      </w:r>
      <w:r w:rsidR="00DF19AE">
        <w:t>National Economic Planning Office</w:t>
      </w:r>
      <w:r w:rsidR="004D43F4">
        <w:t>,</w:t>
      </w:r>
      <w:r w:rsidR="00DF19AE">
        <w:t xml:space="preserve"> </w:t>
      </w:r>
      <w:r w:rsidR="003410F9">
        <w:t>is</w:t>
      </w:r>
      <w:r w:rsidR="003410F9" w:rsidRPr="00494A36">
        <w:t xml:space="preserve"> </w:t>
      </w:r>
      <w:r w:rsidR="003410F9">
        <w:t xml:space="preserve">helping to </w:t>
      </w:r>
      <w:r w:rsidR="004D58B1" w:rsidRPr="00494A36">
        <w:t>improve budget planning and better coordinate development partner efforts</w:t>
      </w:r>
      <w:r w:rsidR="002F0EE7" w:rsidRPr="00494A36">
        <w:t>.</w:t>
      </w:r>
      <w:r w:rsidR="00C87E8D" w:rsidRPr="00494A36">
        <w:t xml:space="preserve"> </w:t>
      </w:r>
      <w:r w:rsidR="002F0EE7" w:rsidRPr="00494A36">
        <w:t xml:space="preserve">This </w:t>
      </w:r>
      <w:r w:rsidR="002F4461" w:rsidRPr="00494A36">
        <w:t xml:space="preserve">support </w:t>
      </w:r>
      <w:r w:rsidR="002F0EE7" w:rsidRPr="00494A36">
        <w:t xml:space="preserve">was valued by </w:t>
      </w:r>
      <w:r w:rsidR="00187B3F">
        <w:t xml:space="preserve">the </w:t>
      </w:r>
      <w:r w:rsidR="002F0EE7" w:rsidRPr="00494A36">
        <w:t>Government of Kiribati and other stakeholders</w:t>
      </w:r>
      <w:r w:rsidR="00D275C9">
        <w:t>. C</w:t>
      </w:r>
      <w:r w:rsidR="002F4461" w:rsidRPr="00494A36">
        <w:t>onsequently</w:t>
      </w:r>
      <w:r w:rsidR="004D43F4">
        <w:t>,</w:t>
      </w:r>
      <w:r w:rsidR="002F0EE7" w:rsidRPr="00494A36">
        <w:t xml:space="preserve"> Australia agreed to </w:t>
      </w:r>
      <w:r w:rsidR="00877853">
        <w:t>extend this</w:t>
      </w:r>
      <w:r w:rsidR="002F0EE7" w:rsidRPr="00494A36">
        <w:t xml:space="preserve"> position</w:t>
      </w:r>
      <w:r w:rsidR="00CB4B3B">
        <w:t xml:space="preserve"> </w:t>
      </w:r>
      <w:r w:rsidR="00932B56">
        <w:t>until</w:t>
      </w:r>
      <w:r w:rsidR="00CB4B3B">
        <w:t xml:space="preserve"> 2018</w:t>
      </w:r>
      <w:r w:rsidR="002F0EE7" w:rsidRPr="00494A36">
        <w:t>.</w:t>
      </w:r>
      <w:r w:rsidR="002F4461" w:rsidRPr="00494A36">
        <w:t xml:space="preserve"> The </w:t>
      </w:r>
      <w:r w:rsidR="004D43F4">
        <w:t xml:space="preserve">second position, a </w:t>
      </w:r>
      <w:r w:rsidR="00CB4B3B">
        <w:t>Tax A</w:t>
      </w:r>
      <w:r w:rsidR="002F4461" w:rsidRPr="00494A36">
        <w:t>dviser</w:t>
      </w:r>
      <w:r w:rsidR="004D43F4">
        <w:t>,</w:t>
      </w:r>
      <w:r w:rsidR="002F4461" w:rsidRPr="00494A36">
        <w:t xml:space="preserve"> </w:t>
      </w:r>
      <w:r w:rsidR="004D58B1" w:rsidRPr="00494A36">
        <w:t>support</w:t>
      </w:r>
      <w:r w:rsidR="003410F9">
        <w:t>ed</w:t>
      </w:r>
      <w:r w:rsidR="004D58B1" w:rsidRPr="00494A36">
        <w:t xml:space="preserve"> the implementation of the Value Added Tax and </w:t>
      </w:r>
      <w:r w:rsidR="00C87E8D" w:rsidRPr="00494A36">
        <w:t xml:space="preserve">an </w:t>
      </w:r>
      <w:r w:rsidR="004D58B1" w:rsidRPr="00494A36">
        <w:t>automated tax system.</w:t>
      </w:r>
      <w:r w:rsidR="00F141B0" w:rsidRPr="00494A36">
        <w:t xml:space="preserve"> </w:t>
      </w:r>
      <w:r w:rsidR="002F4461" w:rsidRPr="00494A36">
        <w:t xml:space="preserve">This support </w:t>
      </w:r>
      <w:r w:rsidR="003410F9">
        <w:t xml:space="preserve">has </w:t>
      </w:r>
      <w:r w:rsidR="004D58B1" w:rsidRPr="00494A36">
        <w:t xml:space="preserve">contributed </w:t>
      </w:r>
      <w:r w:rsidR="00C87E8D" w:rsidRPr="00494A36">
        <w:t>to an estimated 23 per </w:t>
      </w:r>
      <w:r w:rsidR="00F141B0" w:rsidRPr="00494A36">
        <w:t xml:space="preserve">cent increase </w:t>
      </w:r>
      <w:r w:rsidR="00C87E8D" w:rsidRPr="00494A36">
        <w:t xml:space="preserve">($6.5 million) </w:t>
      </w:r>
      <w:r w:rsidR="00F141B0" w:rsidRPr="00494A36">
        <w:t xml:space="preserve">in </w:t>
      </w:r>
      <w:r w:rsidR="002776BE" w:rsidRPr="00494A36">
        <w:t xml:space="preserve">taxation </w:t>
      </w:r>
      <w:r w:rsidR="00F141B0" w:rsidRPr="00494A36">
        <w:t>revenue collection</w:t>
      </w:r>
      <w:r w:rsidR="00767B19">
        <w:t xml:space="preserve"> in 2015</w:t>
      </w:r>
      <w:r w:rsidR="00F141B0" w:rsidRPr="00494A36">
        <w:t xml:space="preserve"> </w:t>
      </w:r>
      <w:r w:rsidR="004D43F4">
        <w:t>over</w:t>
      </w:r>
      <w:r w:rsidR="00767B19">
        <w:t xml:space="preserve"> the previous year.</w:t>
      </w:r>
    </w:p>
    <w:p w:rsidR="007D4424" w:rsidRPr="00C87E8D" w:rsidRDefault="004D58B1" w:rsidP="00494A36">
      <w:r w:rsidRPr="00C87E8D">
        <w:lastRenderedPageBreak/>
        <w:t xml:space="preserve">In 2015-16, Australia </w:t>
      </w:r>
      <w:r w:rsidR="00F141B0" w:rsidRPr="003C177E">
        <w:t xml:space="preserve">continued </w:t>
      </w:r>
      <w:r w:rsidRPr="003C177E">
        <w:t>to support</w:t>
      </w:r>
      <w:r w:rsidRPr="00C87E8D">
        <w:t xml:space="preserve"> Kiribati in </w:t>
      </w:r>
      <w:r w:rsidR="002E1224">
        <w:t>the</w:t>
      </w:r>
      <w:r w:rsidR="003C177E">
        <w:t xml:space="preserve"> management, development and surveillance of </w:t>
      </w:r>
      <w:r w:rsidR="004D43F4">
        <w:t>its</w:t>
      </w:r>
      <w:r w:rsidR="003C177E">
        <w:t xml:space="preserve"> tuna fisheries</w:t>
      </w:r>
      <w:r w:rsidR="00EF7E5F">
        <w:t xml:space="preserve">, through </w:t>
      </w:r>
      <w:r w:rsidR="004D43F4">
        <w:t>our</w:t>
      </w:r>
      <w:r w:rsidR="00EF7E5F">
        <w:t xml:space="preserve"> support to the Pacific regional fisheries organisations</w:t>
      </w:r>
      <w:r w:rsidR="00EF7E5F" w:rsidRPr="00C87E8D" w:rsidDel="003C177E">
        <w:t xml:space="preserve"> </w:t>
      </w:r>
      <w:r w:rsidR="00EF7E5F" w:rsidRPr="00C87E8D">
        <w:t>(annual core funding of approximately $5 million to the Forum Fisheries Agency and approximately $4.3 million to the Fisheries Division of the Secretariat of the Pacific Community)</w:t>
      </w:r>
      <w:r w:rsidRPr="00C87E8D">
        <w:t xml:space="preserve">. </w:t>
      </w:r>
      <w:r w:rsidR="00C87E8D" w:rsidRPr="00C87E8D">
        <w:t xml:space="preserve">In 2015, </w:t>
      </w:r>
      <w:r w:rsidR="00C65153" w:rsidRPr="00C87E8D">
        <w:rPr>
          <w:lang w:val="en-US"/>
        </w:rPr>
        <w:t>Kiribati achieved its highest ever fisheries revenue</w:t>
      </w:r>
      <w:r w:rsidR="002F0EE7" w:rsidRPr="00C87E8D">
        <w:rPr>
          <w:lang w:val="en-US"/>
        </w:rPr>
        <w:t xml:space="preserve"> ($20</w:t>
      </w:r>
      <w:r w:rsidR="00F141B0" w:rsidRPr="00C87E8D">
        <w:rPr>
          <w:lang w:val="en-US"/>
        </w:rPr>
        <w:t>7</w:t>
      </w:r>
      <w:r w:rsidR="002F0EE7" w:rsidRPr="00C87E8D">
        <w:rPr>
          <w:lang w:val="en-US"/>
        </w:rPr>
        <w:t>.1 million</w:t>
      </w:r>
      <w:r w:rsidR="00F141B0" w:rsidRPr="00C87E8D">
        <w:rPr>
          <w:lang w:val="en-US"/>
        </w:rPr>
        <w:t xml:space="preserve"> </w:t>
      </w:r>
      <w:r w:rsidR="007D4424" w:rsidRPr="00C87E8D">
        <w:rPr>
          <w:lang w:val="en-US"/>
        </w:rPr>
        <w:t>– a</w:t>
      </w:r>
      <w:r w:rsidR="00F141B0" w:rsidRPr="00C87E8D">
        <w:rPr>
          <w:lang w:val="en-US"/>
        </w:rPr>
        <w:t xml:space="preserve"> 45 per cent increase from 2014</w:t>
      </w:r>
      <w:r w:rsidR="002F0EE7" w:rsidRPr="00C87E8D">
        <w:rPr>
          <w:lang w:val="en-US"/>
        </w:rPr>
        <w:t>)</w:t>
      </w:r>
      <w:r w:rsidR="00F141B0" w:rsidRPr="00C87E8D">
        <w:rPr>
          <w:lang w:val="en-US"/>
        </w:rPr>
        <w:t xml:space="preserve">. </w:t>
      </w:r>
      <w:r w:rsidR="007D4424" w:rsidRPr="00C87E8D">
        <w:rPr>
          <w:lang w:val="en-US"/>
        </w:rPr>
        <w:t xml:space="preserve">However, </w:t>
      </w:r>
      <w:r w:rsidR="00C65153" w:rsidRPr="00C87E8D">
        <w:rPr>
          <w:lang w:val="en-US"/>
        </w:rPr>
        <w:t>a</w:t>
      </w:r>
      <w:r w:rsidR="007D4424" w:rsidRPr="00C87E8D">
        <w:rPr>
          <w:lang w:val="en-US"/>
        </w:rPr>
        <w:t xml:space="preserve">n independent </w:t>
      </w:r>
      <w:r w:rsidR="00C65153" w:rsidRPr="00C87E8D">
        <w:rPr>
          <w:lang w:val="en-US"/>
        </w:rPr>
        <w:t>report</w:t>
      </w:r>
      <w:r w:rsidR="007D4424" w:rsidRPr="00C87E8D">
        <w:rPr>
          <w:lang w:val="en-US"/>
        </w:rPr>
        <w:t xml:space="preserve"> </w:t>
      </w:r>
      <w:r w:rsidR="00C65153" w:rsidRPr="00C87E8D">
        <w:rPr>
          <w:lang w:val="en-US"/>
        </w:rPr>
        <w:t xml:space="preserve">found </w:t>
      </w:r>
      <w:r w:rsidR="007D4424" w:rsidRPr="00C87E8D">
        <w:rPr>
          <w:lang w:val="en-US"/>
        </w:rPr>
        <w:t xml:space="preserve">that </w:t>
      </w:r>
      <w:r w:rsidR="00C65153" w:rsidRPr="00C87E8D">
        <w:rPr>
          <w:lang w:val="en-US"/>
        </w:rPr>
        <w:t xml:space="preserve">there </w:t>
      </w:r>
      <w:r w:rsidR="007D4424" w:rsidRPr="00C87E8D">
        <w:rPr>
          <w:lang w:val="en-US"/>
        </w:rPr>
        <w:t>wa</w:t>
      </w:r>
      <w:r w:rsidR="00C65153" w:rsidRPr="00C87E8D">
        <w:rPr>
          <w:lang w:val="en-US"/>
        </w:rPr>
        <w:t xml:space="preserve">s under-reporting of catch, and </w:t>
      </w:r>
      <w:r w:rsidR="007D4424" w:rsidRPr="00C87E8D">
        <w:rPr>
          <w:lang w:val="en-US"/>
        </w:rPr>
        <w:t>the European Union issu</w:t>
      </w:r>
      <w:r w:rsidR="00FA7742">
        <w:rPr>
          <w:lang w:val="en-US"/>
        </w:rPr>
        <w:t>ed</w:t>
      </w:r>
      <w:r w:rsidR="007D4424" w:rsidRPr="00C87E8D">
        <w:rPr>
          <w:lang w:val="en-US"/>
        </w:rPr>
        <w:t xml:space="preserve"> a ‘Yellow Card’ warning to Kiribati under its ‘</w:t>
      </w:r>
      <w:r w:rsidR="00187B3F">
        <w:rPr>
          <w:lang w:val="en-US"/>
        </w:rPr>
        <w:t xml:space="preserve">Illegal, Unreported and Unregulated </w:t>
      </w:r>
      <w:r w:rsidR="007D4424" w:rsidRPr="00C87E8D">
        <w:t>Regulation’</w:t>
      </w:r>
      <w:r w:rsidR="007D4424" w:rsidRPr="00C87E8D">
        <w:rPr>
          <w:lang w:val="en-US"/>
        </w:rPr>
        <w:t>.</w:t>
      </w:r>
      <w:r w:rsidR="007D4424" w:rsidRPr="00C87E8D">
        <w:rPr>
          <w:rStyle w:val="FootnoteReference"/>
          <w:lang w:val="en-US"/>
        </w:rPr>
        <w:footnoteReference w:id="3"/>
      </w:r>
      <w:r w:rsidR="00C65153" w:rsidRPr="00C87E8D">
        <w:rPr>
          <w:lang w:val="en-US"/>
        </w:rPr>
        <w:t xml:space="preserve"> Australia </w:t>
      </w:r>
      <w:r w:rsidR="00EF7E5F" w:rsidRPr="00C87E8D">
        <w:t xml:space="preserve">will work with </w:t>
      </w:r>
      <w:r w:rsidR="00741461">
        <w:t>Pacific</w:t>
      </w:r>
      <w:r w:rsidR="00EF7E5F">
        <w:t xml:space="preserve"> </w:t>
      </w:r>
      <w:r w:rsidR="007D4424" w:rsidRPr="00C87E8D">
        <w:t>regional fisheries organisations</w:t>
      </w:r>
      <w:r w:rsidR="00EF7E5F">
        <w:t xml:space="preserve"> </w:t>
      </w:r>
      <w:r w:rsidR="00C87E8D" w:rsidRPr="00C87E8D">
        <w:t>in 2016-17</w:t>
      </w:r>
      <w:r w:rsidR="007D4424" w:rsidRPr="00C87E8D">
        <w:t xml:space="preserve"> to assist Kiribati address these issues.</w:t>
      </w:r>
    </w:p>
    <w:p w:rsidR="00402F06" w:rsidRPr="00CD5D6C" w:rsidRDefault="00F141B0" w:rsidP="00402F06">
      <w:r w:rsidRPr="00C87E8D">
        <w:t xml:space="preserve">Australia is working with the Government of Kiribati to improve standards in </w:t>
      </w:r>
      <w:r w:rsidRPr="00C87E8D">
        <w:rPr>
          <w:b/>
        </w:rPr>
        <w:t>basic education</w:t>
      </w:r>
      <w:r w:rsidRPr="00C87E8D">
        <w:t xml:space="preserve">, in terms of both </w:t>
      </w:r>
      <w:r w:rsidR="00C87E8D" w:rsidRPr="00C87E8D">
        <w:t xml:space="preserve">quality and </w:t>
      </w:r>
      <w:r w:rsidRPr="00C87E8D">
        <w:t>access</w:t>
      </w:r>
      <w:r w:rsidR="00741461">
        <w:t>, in support of</w:t>
      </w:r>
      <w:r w:rsidR="00741461" w:rsidRPr="00741461">
        <w:t xml:space="preserve"> </w:t>
      </w:r>
      <w:r w:rsidR="00741461" w:rsidRPr="00C87E8D">
        <w:t>our second objective of building a better educated and healthier population</w:t>
      </w:r>
      <w:r w:rsidRPr="00C87E8D">
        <w:t>.</w:t>
      </w:r>
      <w:r w:rsidR="00CA62FF">
        <w:t xml:space="preserve"> The</w:t>
      </w:r>
      <w:r w:rsidR="00C87E8D" w:rsidRPr="00C87E8D">
        <w:t xml:space="preserve"> </w:t>
      </w:r>
      <w:r w:rsidR="00D7590B">
        <w:t>results of the</w:t>
      </w:r>
      <w:r w:rsidR="00C87E8D" w:rsidRPr="00C87E8D">
        <w:t xml:space="preserve"> 2015 </w:t>
      </w:r>
      <w:r w:rsidR="00C87E8D" w:rsidRPr="00402F06">
        <w:t>Pacific Island Literacy and Numeracy Assessment</w:t>
      </w:r>
      <w:r w:rsidR="00F10723" w:rsidRPr="00402F06">
        <w:t xml:space="preserve"> (PILNA) provide strong evidence for the success of the education reforms </w:t>
      </w:r>
      <w:r w:rsidR="00BB4A2D">
        <w:t xml:space="preserve">implemented </w:t>
      </w:r>
      <w:r w:rsidR="00932B56">
        <w:t>with support from</w:t>
      </w:r>
      <w:r w:rsidR="00BB4A2D">
        <w:t xml:space="preserve"> Australia’s</w:t>
      </w:r>
      <w:r w:rsidR="00BB4A2D" w:rsidRPr="00C87E8D">
        <w:t xml:space="preserve"> </w:t>
      </w:r>
      <w:r w:rsidR="00BB4A2D" w:rsidRPr="00490F39">
        <w:rPr>
          <w:i/>
        </w:rPr>
        <w:t>Kiribati Education Improvement Program</w:t>
      </w:r>
      <w:r w:rsidR="000750FF">
        <w:t>,</w:t>
      </w:r>
      <w:r w:rsidR="00BB4A2D" w:rsidRPr="00C87E8D">
        <w:t xml:space="preserve"> </w:t>
      </w:r>
      <w:r w:rsidR="000750FF" w:rsidRPr="00490F39">
        <w:rPr>
          <w:i/>
        </w:rPr>
        <w:t>Phases I and II</w:t>
      </w:r>
      <w:r w:rsidR="000750FF">
        <w:t xml:space="preserve"> ($36 million, 2011-16)</w:t>
      </w:r>
      <w:r w:rsidR="00C87E8D" w:rsidRPr="00402F06">
        <w:t xml:space="preserve">. </w:t>
      </w:r>
      <w:r w:rsidR="00F10723" w:rsidRPr="00402F06">
        <w:t xml:space="preserve">From poor 2012 PILNA results, </w:t>
      </w:r>
      <w:r w:rsidR="00F10723">
        <w:t xml:space="preserve">Kiribati </w:t>
      </w:r>
      <w:r w:rsidR="00932B56">
        <w:t xml:space="preserve">has </w:t>
      </w:r>
      <w:r w:rsidR="00F10723">
        <w:t>significant</w:t>
      </w:r>
      <w:r w:rsidR="00AB356A">
        <w:t>ly</w:t>
      </w:r>
      <w:r w:rsidR="00F10723">
        <w:t xml:space="preserve"> increase</w:t>
      </w:r>
      <w:r w:rsidR="00AB356A">
        <w:t>d</w:t>
      </w:r>
      <w:r w:rsidR="00F10723">
        <w:t xml:space="preserve"> </w:t>
      </w:r>
      <w:r w:rsidR="00AB356A">
        <w:t>numeracy and literacy levels</w:t>
      </w:r>
      <w:r w:rsidR="00F10723">
        <w:t>.</w:t>
      </w:r>
      <w:r w:rsidR="00402F06">
        <w:t xml:space="preserve"> </w:t>
      </w:r>
      <w:r w:rsidR="00C87E8D" w:rsidRPr="00CD5D6C">
        <w:t xml:space="preserve">The 2015 </w:t>
      </w:r>
      <w:r w:rsidR="00402F06">
        <w:t xml:space="preserve">PILNA </w:t>
      </w:r>
      <w:r w:rsidR="00C87E8D" w:rsidRPr="00402F06">
        <w:t xml:space="preserve">found that 93 per cent of </w:t>
      </w:r>
      <w:r w:rsidR="00F10723" w:rsidRPr="00402F06">
        <w:t>Year 4</w:t>
      </w:r>
      <w:r w:rsidR="00C87E8D" w:rsidRPr="00402F06">
        <w:t xml:space="preserve"> students were performing</w:t>
      </w:r>
      <w:r w:rsidR="00C87E8D" w:rsidRPr="00CD5D6C">
        <w:t xml:space="preserve"> </w:t>
      </w:r>
      <w:r w:rsidR="00C87E8D" w:rsidRPr="00402F06">
        <w:t>at or above</w:t>
      </w:r>
      <w:r w:rsidR="00402F06" w:rsidRPr="00402F06">
        <w:t xml:space="preserve"> the</w:t>
      </w:r>
      <w:r w:rsidR="00C87E8D" w:rsidRPr="00402F06">
        <w:t xml:space="preserve"> expected proficiency level in literacy (</w:t>
      </w:r>
      <w:r w:rsidR="00F10723" w:rsidRPr="00402F06">
        <w:t xml:space="preserve">compared to only 66 per cent in </w:t>
      </w:r>
      <w:r w:rsidR="00A835B1" w:rsidRPr="00402F06">
        <w:t>201</w:t>
      </w:r>
      <w:r w:rsidR="00A835B1">
        <w:t>2</w:t>
      </w:r>
      <w:r w:rsidR="00C87E8D" w:rsidRPr="00402F06">
        <w:t xml:space="preserve">), and 73 per cent were performing at or above </w:t>
      </w:r>
      <w:r w:rsidR="00402F06" w:rsidRPr="00402F06">
        <w:t xml:space="preserve">the </w:t>
      </w:r>
      <w:r w:rsidR="00C87E8D" w:rsidRPr="00402F06">
        <w:t>expected proficiency level in numeracy (</w:t>
      </w:r>
      <w:r w:rsidR="00F10723" w:rsidRPr="00402F06">
        <w:t>compared to only 29 per cent in 2012</w:t>
      </w:r>
      <w:r w:rsidR="00C87E8D" w:rsidRPr="00402F06">
        <w:t>). Girls out-perform</w:t>
      </w:r>
      <w:r w:rsidR="00AB356A">
        <w:t>ed</w:t>
      </w:r>
      <w:r w:rsidR="00C87E8D" w:rsidRPr="00402F06">
        <w:t xml:space="preserve"> boys across all </w:t>
      </w:r>
      <w:r w:rsidR="00402F06">
        <w:t>areas</w:t>
      </w:r>
      <w:r w:rsidR="00C87E8D" w:rsidRPr="00402F06">
        <w:t xml:space="preserve">. </w:t>
      </w:r>
      <w:r w:rsidR="00402F06">
        <w:t>T</w:t>
      </w:r>
      <w:r w:rsidR="00402F06" w:rsidRPr="00C87E8D">
        <w:t>he year four students assessed in 2015 benefit</w:t>
      </w:r>
      <w:r w:rsidR="00402F06">
        <w:t>ed from approximately two years</w:t>
      </w:r>
      <w:r w:rsidR="00402F06" w:rsidRPr="00C87E8D">
        <w:t xml:space="preserve"> </w:t>
      </w:r>
      <w:r w:rsidR="00402F06">
        <w:t>learning</w:t>
      </w:r>
      <w:r w:rsidR="00402F06" w:rsidRPr="00C87E8D">
        <w:t xml:space="preserve"> under the new national c</w:t>
      </w:r>
      <w:r w:rsidR="00402F06" w:rsidRPr="00CD5D6C">
        <w:t>urriculum implemented under</w:t>
      </w:r>
      <w:r w:rsidR="00BB4A2D" w:rsidRPr="00BB4A2D">
        <w:t xml:space="preserve"> </w:t>
      </w:r>
      <w:r w:rsidR="00BB4A2D">
        <w:t>Phase</w:t>
      </w:r>
      <w:r w:rsidR="000750FF">
        <w:t>s</w:t>
      </w:r>
      <w:r w:rsidR="00BB4A2D">
        <w:t xml:space="preserve"> I and II of</w:t>
      </w:r>
      <w:r w:rsidR="00402F06" w:rsidRPr="00CD5D6C">
        <w:t xml:space="preserve">  </w:t>
      </w:r>
      <w:r w:rsidR="00BB4A2D">
        <w:t xml:space="preserve">our </w:t>
      </w:r>
      <w:r w:rsidR="00402F06" w:rsidRPr="00CD5D6C">
        <w:t>program, which has substantially improved the quality of the syllabus and teaching materials</w:t>
      </w:r>
      <w:r w:rsidR="00402F06">
        <w:t>, and provided teacher training</w:t>
      </w:r>
      <w:r w:rsidR="00402F06" w:rsidRPr="00CD5D6C">
        <w:t xml:space="preserve">. </w:t>
      </w:r>
      <w:r w:rsidR="00402F06">
        <w:t>Many</w:t>
      </w:r>
      <w:r w:rsidR="00402F06" w:rsidRPr="00CD5D6C">
        <w:t xml:space="preserve"> of the students assessed in 2015 also benefited from learning </w:t>
      </w:r>
      <w:r w:rsidR="00402F06" w:rsidRPr="00C87E8D">
        <w:t>in</w:t>
      </w:r>
      <w:r w:rsidR="00402F06">
        <w:t xml:space="preserve"> rehabilitated </w:t>
      </w:r>
      <w:r w:rsidR="00402F06" w:rsidRPr="00C87E8D">
        <w:t>school buildings</w:t>
      </w:r>
      <w:r w:rsidR="00402F06">
        <w:t>,</w:t>
      </w:r>
      <w:r w:rsidR="00402F06" w:rsidRPr="00E037B1">
        <w:t xml:space="preserve"> </w:t>
      </w:r>
      <w:r w:rsidR="00402F06">
        <w:t>including improvements to water and sanitation and access ramps for children with a disability</w:t>
      </w:r>
      <w:r w:rsidR="00AB356A">
        <w:t xml:space="preserve">, also implemented under </w:t>
      </w:r>
      <w:r w:rsidR="00BB4A2D">
        <w:t>Phase</w:t>
      </w:r>
      <w:r w:rsidR="000750FF">
        <w:t>s</w:t>
      </w:r>
      <w:r w:rsidR="00BB4A2D">
        <w:t xml:space="preserve"> I and II of </w:t>
      </w:r>
      <w:r w:rsidR="00932B56">
        <w:t>Australia’s</w:t>
      </w:r>
      <w:r w:rsidR="00BB4A2D">
        <w:t xml:space="preserve"> </w:t>
      </w:r>
      <w:r w:rsidR="00AB356A">
        <w:t>program</w:t>
      </w:r>
      <w:r w:rsidR="00402F06" w:rsidRPr="00E037B1">
        <w:t>.</w:t>
      </w:r>
      <w:r w:rsidR="00402F06" w:rsidRPr="00CD5D6C">
        <w:t xml:space="preserve"> </w:t>
      </w:r>
    </w:p>
    <w:p w:rsidR="00F141B0" w:rsidRPr="00C87E8D" w:rsidRDefault="0062460F" w:rsidP="00494A36">
      <w:r>
        <w:t>Other k</w:t>
      </w:r>
      <w:r w:rsidR="00C87E8D" w:rsidRPr="00C87E8D">
        <w:t xml:space="preserve">ey </w:t>
      </w:r>
      <w:r w:rsidR="00F141B0" w:rsidRPr="00C87E8D">
        <w:t xml:space="preserve">achievements </w:t>
      </w:r>
      <w:r w:rsidR="000750FF">
        <w:t>under Australia’s</w:t>
      </w:r>
      <w:r w:rsidR="000750FF" w:rsidRPr="00C87E8D">
        <w:t xml:space="preserve"> </w:t>
      </w:r>
      <w:r w:rsidR="000750FF">
        <w:t>Kiribati Education Improvement P</w:t>
      </w:r>
      <w:r w:rsidR="000750FF" w:rsidRPr="00C87E8D">
        <w:t>rogram</w:t>
      </w:r>
      <w:r w:rsidR="000750FF">
        <w:t xml:space="preserve"> </w:t>
      </w:r>
      <w:r>
        <w:t xml:space="preserve">in </w:t>
      </w:r>
      <w:r w:rsidR="00F141B0" w:rsidRPr="00C87E8D">
        <w:t>2015-16 include:</w:t>
      </w:r>
    </w:p>
    <w:p w:rsidR="00F141B0" w:rsidRPr="00C87E8D" w:rsidRDefault="00166456" w:rsidP="00494A36">
      <w:pPr>
        <w:pStyle w:val="ListParagraph"/>
        <w:numPr>
          <w:ilvl w:val="0"/>
          <w:numId w:val="12"/>
        </w:numPr>
        <w:suppressAutoHyphens w:val="0"/>
        <w:spacing w:before="0" w:after="0" w:line="240" w:lineRule="auto"/>
        <w:ind w:left="357" w:hanging="357"/>
        <w:contextualSpacing w:val="0"/>
        <w:rPr>
          <w:rFonts w:eastAsia="SimSun"/>
        </w:rPr>
      </w:pPr>
      <w:r>
        <w:rPr>
          <w:rFonts w:eastAsia="SimSun"/>
        </w:rPr>
        <w:t>a</w:t>
      </w:r>
      <w:r w:rsidR="00F141B0" w:rsidRPr="00C87E8D">
        <w:rPr>
          <w:rFonts w:eastAsia="SimSun"/>
        </w:rPr>
        <w:t>ll Year 5 students had access to a new curriculum</w:t>
      </w:r>
      <w:r>
        <w:rPr>
          <w:rFonts w:eastAsia="SimSun"/>
        </w:rPr>
        <w:t>;</w:t>
      </w:r>
      <w:r w:rsidR="00F141B0" w:rsidRPr="00C87E8D">
        <w:rPr>
          <w:rFonts w:eastAsia="SimSun"/>
        </w:rPr>
        <w:t xml:space="preserve"> </w:t>
      </w:r>
    </w:p>
    <w:p w:rsidR="00F141B0" w:rsidRPr="00D7590B" w:rsidRDefault="00CC4E85" w:rsidP="00494A36">
      <w:pPr>
        <w:pStyle w:val="ListParagraph"/>
        <w:numPr>
          <w:ilvl w:val="0"/>
          <w:numId w:val="12"/>
        </w:numPr>
        <w:suppressAutoHyphens w:val="0"/>
        <w:spacing w:before="0" w:after="0" w:line="240" w:lineRule="auto"/>
        <w:ind w:left="357" w:hanging="357"/>
        <w:contextualSpacing w:val="0"/>
        <w:rPr>
          <w:rFonts w:eastAsia="SimSun"/>
        </w:rPr>
      </w:pPr>
      <w:r w:rsidRPr="00CD5D6C">
        <w:rPr>
          <w:rFonts w:eastAsia="SimSun"/>
        </w:rPr>
        <w:t>446</w:t>
      </w:r>
      <w:r w:rsidR="00F141B0" w:rsidRPr="00D7590B">
        <w:rPr>
          <w:rFonts w:eastAsia="SimSun"/>
        </w:rPr>
        <w:t xml:space="preserve"> teachers were trained in the new curriculum</w:t>
      </w:r>
      <w:r w:rsidR="00D7590B">
        <w:rPr>
          <w:rFonts w:eastAsia="SimSun"/>
        </w:rPr>
        <w:t xml:space="preserve"> (Years 1-5)</w:t>
      </w:r>
      <w:r w:rsidR="00166456">
        <w:rPr>
          <w:rFonts w:eastAsia="SimSun"/>
        </w:rPr>
        <w:t>;</w:t>
      </w:r>
    </w:p>
    <w:p w:rsidR="00F141B0" w:rsidRPr="00C87E8D" w:rsidRDefault="00EB6A9E" w:rsidP="00494A36">
      <w:pPr>
        <w:pStyle w:val="ListParagraph"/>
        <w:numPr>
          <w:ilvl w:val="0"/>
          <w:numId w:val="12"/>
        </w:numPr>
        <w:suppressAutoHyphens w:val="0"/>
        <w:spacing w:before="0" w:after="0" w:line="240" w:lineRule="auto"/>
        <w:ind w:left="357" w:hanging="357"/>
        <w:contextualSpacing w:val="0"/>
        <w:rPr>
          <w:rFonts w:eastAsia="SimSun"/>
        </w:rPr>
      </w:pPr>
      <w:r w:rsidRPr="00CD5D6C">
        <w:rPr>
          <w:rFonts w:eastAsia="SimSun"/>
        </w:rPr>
        <w:t>2</w:t>
      </w:r>
      <w:r w:rsidR="00B16B09">
        <w:rPr>
          <w:rFonts w:eastAsia="SimSun"/>
        </w:rPr>
        <w:t>05</w:t>
      </w:r>
      <w:r w:rsidRPr="00CD5D6C">
        <w:rPr>
          <w:rFonts w:eastAsia="SimSun"/>
        </w:rPr>
        <w:t>4</w:t>
      </w:r>
      <w:r w:rsidR="00F141B0" w:rsidRPr="00D7590B">
        <w:rPr>
          <w:rFonts w:eastAsia="SimSun"/>
        </w:rPr>
        <w:t xml:space="preserve"> children benefited from rehabilitated primary school</w:t>
      </w:r>
      <w:r w:rsidR="001F76DD" w:rsidRPr="00D7590B">
        <w:rPr>
          <w:rFonts w:eastAsia="SimSun"/>
        </w:rPr>
        <w:t xml:space="preserve"> building</w:t>
      </w:r>
      <w:r w:rsidR="00F141B0" w:rsidRPr="00D7590B">
        <w:rPr>
          <w:rFonts w:eastAsia="SimSun"/>
        </w:rPr>
        <w:t>s, built in line with Accessibility</w:t>
      </w:r>
      <w:r w:rsidR="00F141B0" w:rsidRPr="00C87E8D">
        <w:rPr>
          <w:rFonts w:eastAsia="SimSun"/>
        </w:rPr>
        <w:t xml:space="preserve"> Design Guide standards</w:t>
      </w:r>
      <w:r w:rsidR="00166456">
        <w:rPr>
          <w:rFonts w:eastAsia="SimSun"/>
        </w:rPr>
        <w:t>;</w:t>
      </w:r>
    </w:p>
    <w:p w:rsidR="00F141B0" w:rsidRPr="00D7590B" w:rsidRDefault="00166456" w:rsidP="00494A36">
      <w:pPr>
        <w:pStyle w:val="TableTextEntries"/>
        <w:keepNext/>
        <w:numPr>
          <w:ilvl w:val="0"/>
          <w:numId w:val="12"/>
        </w:numPr>
        <w:rPr>
          <w:rFonts w:asciiTheme="minorHAnsi" w:eastAsia="SimSun" w:hAnsiTheme="minorHAnsi" w:cstheme="minorBidi"/>
          <w:iCs w:val="0"/>
          <w:color w:val="495965" w:themeColor="text2"/>
          <w:sz w:val="22"/>
          <w:szCs w:val="22"/>
          <w:lang w:val="en-GB"/>
        </w:rPr>
      </w:pPr>
      <w:r>
        <w:rPr>
          <w:rFonts w:asciiTheme="minorHAnsi" w:eastAsia="SimSun" w:hAnsiTheme="minorHAnsi" w:cstheme="minorBidi"/>
          <w:iCs w:val="0"/>
          <w:color w:val="495965" w:themeColor="text2"/>
          <w:sz w:val="22"/>
          <w:szCs w:val="22"/>
          <w:lang w:val="en-GB"/>
        </w:rPr>
        <w:t>t</w:t>
      </w:r>
      <w:r w:rsidR="00A835B1" w:rsidRPr="00D7590B">
        <w:rPr>
          <w:rFonts w:asciiTheme="minorHAnsi" w:eastAsia="SimSun" w:hAnsiTheme="minorHAnsi" w:cstheme="minorBidi"/>
          <w:iCs w:val="0"/>
          <w:color w:val="495965" w:themeColor="text2"/>
          <w:sz w:val="22"/>
          <w:szCs w:val="22"/>
          <w:lang w:val="en-GB"/>
        </w:rPr>
        <w:t>he</w:t>
      </w:r>
      <w:r w:rsidR="00A835B1">
        <w:rPr>
          <w:rFonts w:asciiTheme="minorHAnsi" w:eastAsia="SimSun" w:hAnsiTheme="minorHAnsi" w:cstheme="minorBidi"/>
          <w:iCs w:val="0"/>
          <w:color w:val="495965" w:themeColor="text2"/>
          <w:sz w:val="22"/>
          <w:szCs w:val="22"/>
          <w:lang w:val="en-GB"/>
        </w:rPr>
        <w:t xml:space="preserve"> primary school Net Enrolment Rate has increased from 82</w:t>
      </w:r>
      <w:r w:rsidR="00932B56">
        <w:rPr>
          <w:rFonts w:asciiTheme="minorHAnsi" w:eastAsia="SimSun" w:hAnsiTheme="minorHAnsi" w:cstheme="minorBidi"/>
          <w:iCs w:val="0"/>
          <w:color w:val="495965" w:themeColor="text2"/>
          <w:sz w:val="22"/>
          <w:szCs w:val="22"/>
          <w:lang w:val="en-GB"/>
        </w:rPr>
        <w:t xml:space="preserve"> per cent</w:t>
      </w:r>
      <w:r w:rsidR="00A835B1">
        <w:rPr>
          <w:rFonts w:asciiTheme="minorHAnsi" w:eastAsia="SimSun" w:hAnsiTheme="minorHAnsi" w:cstheme="minorBidi"/>
          <w:iCs w:val="0"/>
          <w:color w:val="495965" w:themeColor="text2"/>
          <w:sz w:val="22"/>
          <w:szCs w:val="22"/>
          <w:lang w:val="en-GB"/>
        </w:rPr>
        <w:t xml:space="preserve"> in 2011 to 99</w:t>
      </w:r>
      <w:r w:rsidR="00932B56">
        <w:rPr>
          <w:rFonts w:asciiTheme="minorHAnsi" w:eastAsia="SimSun" w:hAnsiTheme="minorHAnsi" w:cstheme="minorBidi"/>
          <w:iCs w:val="0"/>
          <w:color w:val="495965" w:themeColor="text2"/>
          <w:sz w:val="22"/>
          <w:szCs w:val="22"/>
          <w:lang w:val="en-GB"/>
        </w:rPr>
        <w:t xml:space="preserve"> per cent</w:t>
      </w:r>
      <w:r w:rsidR="00A835B1">
        <w:rPr>
          <w:rFonts w:asciiTheme="minorHAnsi" w:eastAsia="SimSun" w:hAnsiTheme="minorHAnsi" w:cstheme="minorBidi"/>
          <w:iCs w:val="0"/>
          <w:color w:val="495965" w:themeColor="text2"/>
          <w:sz w:val="22"/>
          <w:szCs w:val="22"/>
          <w:lang w:val="en-GB"/>
        </w:rPr>
        <w:t xml:space="preserve"> in 2015</w:t>
      </w:r>
      <w:r>
        <w:rPr>
          <w:rFonts w:asciiTheme="minorHAnsi" w:eastAsia="SimSun" w:hAnsiTheme="minorHAnsi" w:cstheme="minorBidi"/>
          <w:iCs w:val="0"/>
          <w:color w:val="495965" w:themeColor="text2"/>
          <w:sz w:val="22"/>
          <w:szCs w:val="22"/>
          <w:lang w:val="en-GB"/>
        </w:rPr>
        <w:t>; and</w:t>
      </w:r>
    </w:p>
    <w:p w:rsidR="00F141B0" w:rsidRDefault="00166456" w:rsidP="00CD5D6C">
      <w:pPr>
        <w:pStyle w:val="ListParagraph"/>
        <w:numPr>
          <w:ilvl w:val="0"/>
          <w:numId w:val="13"/>
        </w:numPr>
        <w:suppressAutoHyphens w:val="0"/>
        <w:spacing w:before="0" w:after="120" w:line="240" w:lineRule="auto"/>
        <w:ind w:left="357" w:hanging="357"/>
        <w:contextualSpacing w:val="0"/>
        <w:rPr>
          <w:rFonts w:eastAsia="SimSun"/>
        </w:rPr>
      </w:pPr>
      <w:r>
        <w:rPr>
          <w:rFonts w:eastAsia="SimSun"/>
        </w:rPr>
        <w:t>m</w:t>
      </w:r>
      <w:r w:rsidR="00F141B0" w:rsidRPr="00C87E8D">
        <w:rPr>
          <w:rFonts w:eastAsia="SimSun"/>
        </w:rPr>
        <w:t>ore children with a disability (from 179 in 2015 – 95 bo</w:t>
      </w:r>
      <w:r w:rsidR="0062460F">
        <w:rPr>
          <w:rFonts w:eastAsia="SimSun"/>
        </w:rPr>
        <w:t xml:space="preserve">ys and 84 girls to 185 in 2016 – </w:t>
      </w:r>
      <w:r w:rsidR="00F141B0" w:rsidRPr="00C87E8D">
        <w:t>106 boys and 79 girls</w:t>
      </w:r>
      <w:r w:rsidR="00F141B0" w:rsidRPr="00C87E8D">
        <w:rPr>
          <w:rFonts w:eastAsia="SimSun"/>
        </w:rPr>
        <w:t xml:space="preserve">) were able to access quality education services at the Kiribati School </w:t>
      </w:r>
      <w:r w:rsidR="0062460F">
        <w:rPr>
          <w:rFonts w:eastAsia="SimSun"/>
        </w:rPr>
        <w:t>for Children with Special Needs</w:t>
      </w:r>
      <w:r w:rsidR="006A488B">
        <w:rPr>
          <w:rFonts w:eastAsia="SimSun"/>
        </w:rPr>
        <w:t>.</w:t>
      </w:r>
    </w:p>
    <w:p w:rsidR="006C00D2" w:rsidRPr="00C87E8D" w:rsidRDefault="00C87E8D" w:rsidP="00CD5D6C">
      <w:pPr>
        <w:suppressAutoHyphens w:val="0"/>
        <w:spacing w:before="0" w:after="0" w:line="240" w:lineRule="auto"/>
      </w:pPr>
      <w:r w:rsidRPr="00C87E8D">
        <w:t>In 2015-16</w:t>
      </w:r>
      <w:r w:rsidR="00166456">
        <w:t>,</w:t>
      </w:r>
      <w:r w:rsidRPr="00C87E8D">
        <w:t xml:space="preserve"> Australia continued to provide</w:t>
      </w:r>
      <w:r w:rsidR="0097027C" w:rsidRPr="00C87E8D">
        <w:t xml:space="preserve"> </w:t>
      </w:r>
      <w:r w:rsidR="005A1CE2" w:rsidRPr="006A7B51">
        <w:rPr>
          <w:b/>
        </w:rPr>
        <w:t>quality skills training</w:t>
      </w:r>
      <w:r w:rsidR="005A1CE2" w:rsidRPr="006A7B51">
        <w:t xml:space="preserve"> aligned with labour market demand</w:t>
      </w:r>
      <w:r w:rsidR="00932B56">
        <w:t>,</w:t>
      </w:r>
      <w:r w:rsidR="005A1CE2" w:rsidRPr="006A7B51">
        <w:t xml:space="preserve"> to provide opportunities for young </w:t>
      </w:r>
      <w:r w:rsidR="00932B56">
        <w:t>I-Kiribati</w:t>
      </w:r>
      <w:r w:rsidR="005A1CE2" w:rsidRPr="006A7B51">
        <w:t xml:space="preserve"> to pursue domestic and international employment</w:t>
      </w:r>
      <w:bookmarkEnd w:id="0"/>
      <w:r w:rsidR="006A7B51">
        <w:t xml:space="preserve">. </w:t>
      </w:r>
      <w:r w:rsidR="006C00D2" w:rsidRPr="00C87E8D">
        <w:t>In October 2015, an independen</w:t>
      </w:r>
      <w:r w:rsidR="005A1CE2">
        <w:t xml:space="preserve">t evaluation of </w:t>
      </w:r>
      <w:r w:rsidR="00932B56">
        <w:t>Australia’s</w:t>
      </w:r>
      <w:r w:rsidR="005A1CE2">
        <w:t xml:space="preserve"> </w:t>
      </w:r>
      <w:r w:rsidR="005A1CE2" w:rsidRPr="008402B1">
        <w:rPr>
          <w:i/>
        </w:rPr>
        <w:t>T</w:t>
      </w:r>
      <w:r w:rsidR="001F4FAA">
        <w:rPr>
          <w:i/>
        </w:rPr>
        <w:t xml:space="preserve">echnical and </w:t>
      </w:r>
      <w:r w:rsidR="005A1CE2" w:rsidRPr="008402B1">
        <w:rPr>
          <w:i/>
        </w:rPr>
        <w:t>V</w:t>
      </w:r>
      <w:r w:rsidR="001F4FAA">
        <w:rPr>
          <w:i/>
        </w:rPr>
        <w:t xml:space="preserve">ocational </w:t>
      </w:r>
      <w:r w:rsidR="005A1CE2" w:rsidRPr="008402B1">
        <w:rPr>
          <w:i/>
        </w:rPr>
        <w:t>E</w:t>
      </w:r>
      <w:r w:rsidR="001F4FAA">
        <w:rPr>
          <w:i/>
        </w:rPr>
        <w:t xml:space="preserve">ducation and </w:t>
      </w:r>
      <w:r w:rsidR="005A1CE2" w:rsidRPr="008402B1">
        <w:rPr>
          <w:i/>
        </w:rPr>
        <w:t>T</w:t>
      </w:r>
      <w:r w:rsidR="001F4FAA">
        <w:rPr>
          <w:i/>
        </w:rPr>
        <w:t>raining</w:t>
      </w:r>
      <w:r w:rsidR="005A1CE2" w:rsidRPr="008402B1">
        <w:rPr>
          <w:i/>
        </w:rPr>
        <w:t xml:space="preserve"> Sector Strengthening Program</w:t>
      </w:r>
      <w:r w:rsidR="00490F39">
        <w:rPr>
          <w:i/>
        </w:rPr>
        <w:t>,</w:t>
      </w:r>
      <w:r w:rsidR="001C7F0E">
        <w:rPr>
          <w:i/>
        </w:rPr>
        <w:t xml:space="preserve"> Phases I and II </w:t>
      </w:r>
      <w:r w:rsidR="001C7F0E" w:rsidRPr="001C7F0E">
        <w:t>($23.6 million, 2011-16)</w:t>
      </w:r>
      <w:r w:rsidR="005A1CE2">
        <w:t xml:space="preserve"> found that the</w:t>
      </w:r>
      <w:r w:rsidR="00752459">
        <w:t xml:space="preserve"> program had </w:t>
      </w:r>
      <w:r w:rsidR="00E549A6">
        <w:t>achieved</w:t>
      </w:r>
      <w:r w:rsidR="00752459" w:rsidRPr="001C7F0E">
        <w:t xml:space="preserve"> most of its output targets, </w:t>
      </w:r>
      <w:r w:rsidR="001C7F0E" w:rsidRPr="001C7F0E">
        <w:t xml:space="preserve">including </w:t>
      </w:r>
      <w:r w:rsidR="001C7F0E">
        <w:t xml:space="preserve">substantial </w:t>
      </w:r>
      <w:r w:rsidR="00752459" w:rsidRPr="001C7F0E">
        <w:t xml:space="preserve">improvements to the quality, quantity, scope and equity of training delivered by </w:t>
      </w:r>
      <w:r w:rsidR="001C7F0E" w:rsidRPr="001C7F0E">
        <w:t xml:space="preserve">the Kiribati </w:t>
      </w:r>
      <w:r w:rsidR="00752459" w:rsidRPr="001C7F0E">
        <w:t>I</w:t>
      </w:r>
      <w:r w:rsidR="001C7F0E" w:rsidRPr="001C7F0E">
        <w:t xml:space="preserve">nstitute of </w:t>
      </w:r>
      <w:r w:rsidR="00752459" w:rsidRPr="001C7F0E">
        <w:t>T</w:t>
      </w:r>
      <w:r w:rsidR="001C7F0E" w:rsidRPr="001C7F0E">
        <w:t>echnology</w:t>
      </w:r>
      <w:r w:rsidR="00C478FB">
        <w:t xml:space="preserve"> (KIT)</w:t>
      </w:r>
      <w:r w:rsidR="001C7F0E" w:rsidRPr="001C7F0E">
        <w:t xml:space="preserve">. </w:t>
      </w:r>
      <w:r w:rsidR="00752459" w:rsidRPr="001C7F0E">
        <w:t>Ho</w:t>
      </w:r>
      <w:r w:rsidR="00643DE0">
        <w:t xml:space="preserve">wever, it also </w:t>
      </w:r>
      <w:r w:rsidR="00E549A6">
        <w:t xml:space="preserve">found </w:t>
      </w:r>
      <w:r w:rsidR="00643DE0">
        <w:t xml:space="preserve">that </w:t>
      </w:r>
      <w:r w:rsidR="00E549A6">
        <w:t xml:space="preserve">the </w:t>
      </w:r>
      <w:r w:rsidR="00752459" w:rsidRPr="001C7F0E">
        <w:t>program</w:t>
      </w:r>
      <w:r w:rsidR="001C7F0E" w:rsidRPr="001C7F0E">
        <w:t>’s design</w:t>
      </w:r>
      <w:r w:rsidR="00752459" w:rsidRPr="001C7F0E">
        <w:t xml:space="preserve"> overestimated the </w:t>
      </w:r>
      <w:r w:rsidR="00837B12">
        <w:t>opportunity</w:t>
      </w:r>
      <w:r w:rsidR="00837B12" w:rsidRPr="001C7F0E">
        <w:t xml:space="preserve"> </w:t>
      </w:r>
      <w:r w:rsidR="00752459" w:rsidRPr="001C7F0E">
        <w:t xml:space="preserve">for </w:t>
      </w:r>
      <w:r w:rsidR="009464F5">
        <w:t xml:space="preserve">graduates with </w:t>
      </w:r>
      <w:r w:rsidR="00752459" w:rsidRPr="001C7F0E">
        <w:t xml:space="preserve">an international qualification delivered in Kiribati to </w:t>
      </w:r>
      <w:r w:rsidR="00837B12">
        <w:t>secure</w:t>
      </w:r>
      <w:r w:rsidR="00752459" w:rsidRPr="001C7F0E">
        <w:t xml:space="preserve"> employment without additional support</w:t>
      </w:r>
      <w:r w:rsidRPr="00C87E8D">
        <w:t xml:space="preserve">. </w:t>
      </w:r>
      <w:r w:rsidR="006C00D2" w:rsidRPr="00C87E8D">
        <w:t xml:space="preserve">In response to the findings of the independent evaluation, the </w:t>
      </w:r>
      <w:r>
        <w:t>third</w:t>
      </w:r>
      <w:r w:rsidR="006C00D2" w:rsidRPr="00C87E8D">
        <w:t xml:space="preserve"> phase of the program </w:t>
      </w:r>
      <w:r w:rsidR="006A7B51">
        <w:t xml:space="preserve">(renamed the </w:t>
      </w:r>
      <w:r w:rsidR="006A7B51" w:rsidRPr="001C7F0E">
        <w:rPr>
          <w:i/>
        </w:rPr>
        <w:t xml:space="preserve">Kiribati Facility: </w:t>
      </w:r>
      <w:r w:rsidR="00C767A8" w:rsidRPr="001C7F0E">
        <w:rPr>
          <w:i/>
        </w:rPr>
        <w:t>Skills for Employment Program</w:t>
      </w:r>
      <w:r w:rsidR="001F76DD">
        <w:t>, $20 </w:t>
      </w:r>
      <w:r w:rsidR="00C767A8" w:rsidRPr="00C87E8D">
        <w:t xml:space="preserve">million, 2016-19) has been designed </w:t>
      </w:r>
      <w:r w:rsidR="006C00D2" w:rsidRPr="00C87E8D">
        <w:t>with a stronger focus on strengthening pathways to employment.</w:t>
      </w:r>
      <w:r w:rsidRPr="00C87E8D">
        <w:t xml:space="preserve"> </w:t>
      </w:r>
      <w:r w:rsidR="00C767A8" w:rsidRPr="00C87E8D">
        <w:t xml:space="preserve">New </w:t>
      </w:r>
      <w:r w:rsidRPr="00C87E8D">
        <w:t>initiatives</w:t>
      </w:r>
      <w:r w:rsidR="00C767A8" w:rsidRPr="00C87E8D">
        <w:t xml:space="preserve"> includes a Job Search Centre, work placement</w:t>
      </w:r>
      <w:r>
        <w:t>s</w:t>
      </w:r>
      <w:r w:rsidR="00C767A8" w:rsidRPr="00C87E8D">
        <w:t xml:space="preserve"> and a vocational pathway bridging program to reach young people disengaged from the education system. </w:t>
      </w:r>
      <w:r w:rsidR="006C00D2" w:rsidRPr="00C87E8D">
        <w:t>Key achievements</w:t>
      </w:r>
      <w:r w:rsidR="00490F39">
        <w:t xml:space="preserve"> of the program</w:t>
      </w:r>
      <w:r w:rsidR="006C00D2" w:rsidRPr="00C87E8D">
        <w:t xml:space="preserve"> in 2015-16 include:</w:t>
      </w:r>
    </w:p>
    <w:p w:rsidR="006A7B51" w:rsidRPr="006A7B51" w:rsidRDefault="00C4442F" w:rsidP="006A7B51">
      <w:pPr>
        <w:pStyle w:val="ListParagraph"/>
        <w:numPr>
          <w:ilvl w:val="0"/>
          <w:numId w:val="12"/>
        </w:numPr>
        <w:suppressAutoHyphens w:val="0"/>
        <w:spacing w:before="0" w:after="0" w:line="240" w:lineRule="auto"/>
        <w:ind w:left="357" w:hanging="357"/>
        <w:contextualSpacing w:val="0"/>
        <w:rPr>
          <w:rFonts w:eastAsia="SimSun"/>
        </w:rPr>
      </w:pPr>
      <w:r w:rsidRPr="00CD5D6C">
        <w:rPr>
          <w:rFonts w:eastAsia="SimSun"/>
        </w:rPr>
        <w:t>17</w:t>
      </w:r>
      <w:r w:rsidR="00CE1425" w:rsidRPr="00CD5D6C">
        <w:rPr>
          <w:rFonts w:eastAsia="SimSun"/>
        </w:rPr>
        <w:t>2</w:t>
      </w:r>
      <w:r w:rsidR="006A7B51" w:rsidRPr="00CD5D6C">
        <w:rPr>
          <w:rFonts w:eastAsia="SimSun"/>
        </w:rPr>
        <w:t xml:space="preserve"> I-Kiribati women (</w:t>
      </w:r>
      <w:r w:rsidRPr="00CD5D6C">
        <w:rPr>
          <w:rFonts w:eastAsia="SimSun"/>
        </w:rPr>
        <w:t>92</w:t>
      </w:r>
      <w:r w:rsidR="006A7B51" w:rsidRPr="00CD5D6C">
        <w:rPr>
          <w:rFonts w:eastAsia="SimSun"/>
        </w:rPr>
        <w:t>) and men (</w:t>
      </w:r>
      <w:r w:rsidRPr="00CD5D6C">
        <w:rPr>
          <w:rFonts w:eastAsia="SimSun"/>
        </w:rPr>
        <w:t>8</w:t>
      </w:r>
      <w:r w:rsidR="00CE1425" w:rsidRPr="00CD5D6C">
        <w:rPr>
          <w:rFonts w:eastAsia="SimSun"/>
        </w:rPr>
        <w:t>0</w:t>
      </w:r>
      <w:r w:rsidR="006A7B51" w:rsidRPr="00CD5D6C">
        <w:rPr>
          <w:rFonts w:eastAsia="SimSun"/>
        </w:rPr>
        <w:t>) graduated</w:t>
      </w:r>
      <w:r w:rsidR="006A7B51" w:rsidRPr="006A7B51">
        <w:rPr>
          <w:rFonts w:eastAsia="SimSun"/>
        </w:rPr>
        <w:t xml:space="preserve"> with an internationally recognised qualification from</w:t>
      </w:r>
      <w:r w:rsidR="009331A2">
        <w:rPr>
          <w:rFonts w:eastAsia="SimSun"/>
        </w:rPr>
        <w:t xml:space="preserve"> the </w:t>
      </w:r>
      <w:r w:rsidR="006A7B51" w:rsidRPr="006A7B51">
        <w:rPr>
          <w:rFonts w:eastAsia="SimSun"/>
        </w:rPr>
        <w:t>K</w:t>
      </w:r>
      <w:r w:rsidR="009331A2">
        <w:rPr>
          <w:rFonts w:eastAsia="SimSun"/>
        </w:rPr>
        <w:t xml:space="preserve">iribati </w:t>
      </w:r>
      <w:r w:rsidR="006A7B51" w:rsidRPr="006A7B51">
        <w:rPr>
          <w:rFonts w:eastAsia="SimSun"/>
        </w:rPr>
        <w:t>I</w:t>
      </w:r>
      <w:r w:rsidR="009331A2">
        <w:rPr>
          <w:rFonts w:eastAsia="SimSun"/>
        </w:rPr>
        <w:t>nstitute of Technology</w:t>
      </w:r>
      <w:r w:rsidR="006A7B51" w:rsidRPr="006A7B51">
        <w:rPr>
          <w:rFonts w:eastAsia="SimSun"/>
        </w:rPr>
        <w:t xml:space="preserve"> in 2015</w:t>
      </w:r>
      <w:r w:rsidR="00166456">
        <w:rPr>
          <w:rFonts w:eastAsia="SimSun"/>
        </w:rPr>
        <w:t>;</w:t>
      </w:r>
    </w:p>
    <w:p w:rsidR="00276AA9" w:rsidRPr="00CD5D6C" w:rsidRDefault="00166456" w:rsidP="006A7B51">
      <w:pPr>
        <w:pStyle w:val="ListParagraph"/>
        <w:numPr>
          <w:ilvl w:val="0"/>
          <w:numId w:val="12"/>
        </w:numPr>
        <w:suppressAutoHyphens w:val="0"/>
        <w:spacing w:before="0" w:after="0" w:line="240" w:lineRule="auto"/>
        <w:ind w:left="357" w:hanging="357"/>
        <w:contextualSpacing w:val="0"/>
        <w:rPr>
          <w:rFonts w:eastAsia="SimSun"/>
        </w:rPr>
      </w:pPr>
      <w:r>
        <w:t>p</w:t>
      </w:r>
      <w:r w:rsidR="00276AA9">
        <w:t xml:space="preserve">articipation of women across accredited courses increased </w:t>
      </w:r>
      <w:r w:rsidR="00224186">
        <w:t xml:space="preserve">from </w:t>
      </w:r>
      <w:r w:rsidR="00276AA9">
        <w:t>39</w:t>
      </w:r>
      <w:r w:rsidR="00932B56" w:rsidRPr="00932B56">
        <w:rPr>
          <w:rFonts w:eastAsia="SimSun"/>
          <w:iCs/>
        </w:rPr>
        <w:t xml:space="preserve"> </w:t>
      </w:r>
      <w:r w:rsidR="00932B56">
        <w:rPr>
          <w:rFonts w:eastAsia="SimSun"/>
          <w:iCs/>
        </w:rPr>
        <w:t>per cent</w:t>
      </w:r>
      <w:r w:rsidR="00276AA9">
        <w:t xml:space="preserve"> in 2014 to 48</w:t>
      </w:r>
      <w:r w:rsidR="00932B56" w:rsidRPr="00932B56">
        <w:rPr>
          <w:rFonts w:eastAsia="SimSun"/>
          <w:iCs/>
        </w:rPr>
        <w:t xml:space="preserve"> </w:t>
      </w:r>
      <w:r w:rsidR="00932B56">
        <w:rPr>
          <w:rFonts w:eastAsia="SimSun"/>
          <w:iCs/>
        </w:rPr>
        <w:t>per cent</w:t>
      </w:r>
      <w:r w:rsidR="00276AA9">
        <w:t xml:space="preserve"> in 2015</w:t>
      </w:r>
      <w:r w:rsidR="00445D80">
        <w:t>, as a percentage of total enrolments</w:t>
      </w:r>
      <w:r>
        <w:t>;</w:t>
      </w:r>
      <w:r w:rsidR="00276AA9">
        <w:t xml:space="preserve"> </w:t>
      </w:r>
    </w:p>
    <w:p w:rsidR="006A7B51" w:rsidRPr="006A7B51" w:rsidRDefault="00166456" w:rsidP="006A7B51">
      <w:pPr>
        <w:pStyle w:val="ListParagraph"/>
        <w:numPr>
          <w:ilvl w:val="0"/>
          <w:numId w:val="12"/>
        </w:numPr>
        <w:suppressAutoHyphens w:val="0"/>
        <w:spacing w:before="0" w:after="0" w:line="240" w:lineRule="auto"/>
        <w:contextualSpacing w:val="0"/>
        <w:rPr>
          <w:rFonts w:eastAsia="SimSun"/>
        </w:rPr>
      </w:pPr>
      <w:r>
        <w:rPr>
          <w:rFonts w:eastAsia="SimSun"/>
        </w:rPr>
        <w:t>s</w:t>
      </w:r>
      <w:r w:rsidR="006A7B51" w:rsidRPr="006A7B51">
        <w:rPr>
          <w:rFonts w:eastAsia="SimSun"/>
        </w:rPr>
        <w:t xml:space="preserve">tage one of the redevelopment of the </w:t>
      </w:r>
      <w:r w:rsidR="00C478FB">
        <w:rPr>
          <w:rFonts w:eastAsia="SimSun"/>
        </w:rPr>
        <w:t>KIT</w:t>
      </w:r>
      <w:r w:rsidR="006A7B51" w:rsidRPr="006A7B51">
        <w:rPr>
          <w:rFonts w:eastAsia="SimSun"/>
        </w:rPr>
        <w:t xml:space="preserve"> campus was completed on time and </w:t>
      </w:r>
      <w:r w:rsidR="009464F5">
        <w:rPr>
          <w:rFonts w:eastAsia="SimSun"/>
        </w:rPr>
        <w:t>within</w:t>
      </w:r>
      <w:r w:rsidR="009464F5" w:rsidRPr="006A7B51">
        <w:rPr>
          <w:rFonts w:eastAsia="SimSun"/>
        </w:rPr>
        <w:t xml:space="preserve"> </w:t>
      </w:r>
      <w:r w:rsidR="006A7B51" w:rsidRPr="006A7B51">
        <w:rPr>
          <w:rFonts w:eastAsia="SimSun"/>
        </w:rPr>
        <w:t>budget</w:t>
      </w:r>
      <w:r>
        <w:rPr>
          <w:rFonts w:eastAsia="SimSun"/>
        </w:rPr>
        <w:t>;</w:t>
      </w:r>
    </w:p>
    <w:p w:rsidR="006A7B51" w:rsidRDefault="00166456" w:rsidP="006A7B51">
      <w:pPr>
        <w:pStyle w:val="ListParagraph"/>
        <w:numPr>
          <w:ilvl w:val="0"/>
          <w:numId w:val="12"/>
        </w:numPr>
        <w:suppressAutoHyphens w:val="0"/>
        <w:spacing w:before="0" w:after="0" w:line="240" w:lineRule="auto"/>
        <w:contextualSpacing w:val="0"/>
        <w:rPr>
          <w:rFonts w:ascii="Franklin Gothic Book" w:eastAsia="SimSun" w:hAnsi="Franklin Gothic Book"/>
          <w:sz w:val="21"/>
          <w:szCs w:val="21"/>
        </w:rPr>
      </w:pPr>
      <w:r>
        <w:rPr>
          <w:rFonts w:eastAsia="SimSun"/>
        </w:rPr>
        <w:t>t</w:t>
      </w:r>
      <w:r w:rsidR="006A7B51">
        <w:rPr>
          <w:rFonts w:eastAsia="SimSun"/>
        </w:rPr>
        <w:t xml:space="preserve">he Kiribati Institute of Technology and the Kiribati School of Nursing were merged </w:t>
      </w:r>
      <w:r w:rsidR="009331A2">
        <w:rPr>
          <w:rFonts w:eastAsia="SimSun"/>
        </w:rPr>
        <w:t>in January 2016</w:t>
      </w:r>
      <w:r w:rsidR="003F0AB4">
        <w:rPr>
          <w:rFonts w:eastAsia="SimSun"/>
        </w:rPr>
        <w:t xml:space="preserve"> to </w:t>
      </w:r>
      <w:r w:rsidR="003F0AB4">
        <w:t>strengthen Kiribati’s capacity to provide quality</w:t>
      </w:r>
      <w:r w:rsidR="00932B56">
        <w:t>-</w:t>
      </w:r>
      <w:r w:rsidR="003F0AB4">
        <w:t>assured nurs</w:t>
      </w:r>
      <w:r w:rsidR="001F76DD">
        <w:t>ing</w:t>
      </w:r>
      <w:r w:rsidR="003F0AB4">
        <w:t xml:space="preserve"> and allied health education</w:t>
      </w:r>
      <w:r>
        <w:t>; and</w:t>
      </w:r>
      <w:r w:rsidR="003F0AB4">
        <w:t xml:space="preserve">  </w:t>
      </w:r>
    </w:p>
    <w:p w:rsidR="00037AA2" w:rsidRDefault="00AD6163" w:rsidP="00037AA2">
      <w:pPr>
        <w:pStyle w:val="ListParagraph"/>
        <w:numPr>
          <w:ilvl w:val="0"/>
          <w:numId w:val="12"/>
        </w:numPr>
        <w:suppressAutoHyphens w:val="0"/>
        <w:spacing w:before="0" w:after="0" w:line="240" w:lineRule="auto"/>
        <w:contextualSpacing w:val="0"/>
      </w:pPr>
      <w:r>
        <w:rPr>
          <w:rFonts w:eastAsia="SimSun"/>
        </w:rPr>
        <w:t>32</w:t>
      </w:r>
      <w:r w:rsidR="00037AA2">
        <w:rPr>
          <w:rFonts w:eastAsia="SimSun"/>
        </w:rPr>
        <w:t xml:space="preserve"> awardees </w:t>
      </w:r>
      <w:r w:rsidR="00B16B09" w:rsidRPr="00B16B09">
        <w:t xml:space="preserve">(17 male/15 female) </w:t>
      </w:r>
      <w:r>
        <w:rPr>
          <w:rFonts w:eastAsia="SimSun"/>
        </w:rPr>
        <w:t xml:space="preserve">were </w:t>
      </w:r>
      <w:r w:rsidR="00037AA2">
        <w:rPr>
          <w:rFonts w:eastAsia="SimSun"/>
        </w:rPr>
        <w:t>selected to commence Australia Award scholarships in</w:t>
      </w:r>
      <w:r>
        <w:rPr>
          <w:rFonts w:eastAsia="SimSun"/>
        </w:rPr>
        <w:t xml:space="preserve"> Australia or the region in</w:t>
      </w:r>
      <w:r w:rsidR="00037AA2">
        <w:rPr>
          <w:rFonts w:eastAsia="SimSun"/>
        </w:rPr>
        <w:t xml:space="preserve"> </w:t>
      </w:r>
      <w:r>
        <w:rPr>
          <w:rFonts w:eastAsia="SimSun"/>
        </w:rPr>
        <w:t>2016</w:t>
      </w:r>
      <w:r w:rsidR="00B8590E">
        <w:rPr>
          <w:rFonts w:eastAsia="SimSun"/>
        </w:rPr>
        <w:t>, up from 30 in 2015</w:t>
      </w:r>
      <w:r w:rsidR="006A7B51" w:rsidRPr="004C382B">
        <w:rPr>
          <w:rFonts w:eastAsia="SimSun"/>
        </w:rPr>
        <w:t>.</w:t>
      </w:r>
      <w:r w:rsidR="006A7B51" w:rsidRPr="004C382B">
        <w:rPr>
          <w:rFonts w:ascii="Franklin Gothic Book" w:eastAsia="SimSun" w:hAnsi="Franklin Gothic Book"/>
          <w:sz w:val="21"/>
          <w:szCs w:val="21"/>
        </w:rPr>
        <w:t xml:space="preserve"> </w:t>
      </w:r>
      <w:r w:rsidR="00932B56">
        <w:t>Twenty-seven</w:t>
      </w:r>
      <w:r w:rsidR="00B16B09" w:rsidRPr="00B16B09">
        <w:t xml:space="preserve"> awardees (10 male/17 female) successfully completed their awards in 2015, with a completion rate of 90 per cent (improving from 78 per cent in 2010).</w:t>
      </w:r>
    </w:p>
    <w:p w:rsidR="009F1050" w:rsidRDefault="009F1050" w:rsidP="00037AA2">
      <w:r w:rsidRPr="00C87E8D">
        <w:t>In 2015-16, Australia provided greater support to Kiribati under</w:t>
      </w:r>
      <w:r w:rsidR="00490F39">
        <w:t xml:space="preserve"> the</w:t>
      </w:r>
      <w:r w:rsidRPr="00C87E8D">
        <w:t xml:space="preserve"> </w:t>
      </w:r>
      <w:r w:rsidRPr="00877853">
        <w:rPr>
          <w:i/>
        </w:rPr>
        <w:t>Seasonal Workers Programme</w:t>
      </w:r>
      <w:r w:rsidRPr="00C87E8D">
        <w:t xml:space="preserve"> and </w:t>
      </w:r>
      <w:r w:rsidRPr="00877853">
        <w:t xml:space="preserve">established the </w:t>
      </w:r>
      <w:r w:rsidRPr="00877853">
        <w:rPr>
          <w:i/>
        </w:rPr>
        <w:t xml:space="preserve">Pacific Microstates – Northern Australia </w:t>
      </w:r>
      <w:r>
        <w:rPr>
          <w:i/>
        </w:rPr>
        <w:t xml:space="preserve">Worker </w:t>
      </w:r>
      <w:r w:rsidRPr="00877853">
        <w:rPr>
          <w:i/>
        </w:rPr>
        <w:t>Pilot Program</w:t>
      </w:r>
      <w:r w:rsidRPr="00877853">
        <w:t>, which enables citizens from Kiribati, Tuvalu and Na</w:t>
      </w:r>
      <w:r>
        <w:t>u</w:t>
      </w:r>
      <w:r w:rsidRPr="00877853">
        <w:t>ru to access multi-year visas to work in Northern Australia. The first</w:t>
      </w:r>
      <w:r>
        <w:t xml:space="preserve"> 27</w:t>
      </w:r>
      <w:r w:rsidRPr="00877853">
        <w:t xml:space="preserve"> I</w:t>
      </w:r>
      <w:r w:rsidRPr="00877853">
        <w:noBreakHyphen/>
        <w:t xml:space="preserve">Kiribati workers </w:t>
      </w:r>
      <w:r>
        <w:t>under the pilot are expected to start work in Australia by October</w:t>
      </w:r>
      <w:r w:rsidRPr="00877853">
        <w:t xml:space="preserve"> 2016</w:t>
      </w:r>
      <w:r>
        <w:t>, with more expected to commence later in 2016</w:t>
      </w:r>
      <w:r>
        <w:noBreakHyphen/>
        <w:t>17</w:t>
      </w:r>
      <w:r w:rsidRPr="00877853">
        <w:t xml:space="preserve">. The pilot will provide opportunities for workers to gain important workforce skills and experiences </w:t>
      </w:r>
      <w:r w:rsidR="00932B56">
        <w:t>abroad in Australia</w:t>
      </w:r>
      <w:r w:rsidRPr="00877853">
        <w:t xml:space="preserve"> context, and make modest remittances to their families. </w:t>
      </w:r>
    </w:p>
    <w:p w:rsidR="00741461" w:rsidRDefault="00932B56" w:rsidP="00037AA2">
      <w:r>
        <w:t xml:space="preserve">Under the Australia aid program’s </w:t>
      </w:r>
      <w:r w:rsidRPr="00C87E8D">
        <w:t>second objective of building a better educated and healthier population</w:t>
      </w:r>
      <w:r>
        <w:t>, i</w:t>
      </w:r>
      <w:r w:rsidR="00CF72DC">
        <w:t xml:space="preserve">n 2015-16 Australia </w:t>
      </w:r>
      <w:r w:rsidR="00934DED">
        <w:t xml:space="preserve">also </w:t>
      </w:r>
      <w:r w:rsidR="00CF72DC">
        <w:t>ma</w:t>
      </w:r>
      <w:r w:rsidR="007D4424">
        <w:t>de</w:t>
      </w:r>
      <w:r w:rsidR="005B1C59">
        <w:t xml:space="preserve"> </w:t>
      </w:r>
      <w:r w:rsidR="007D4424">
        <w:t xml:space="preserve">progress towards </w:t>
      </w:r>
      <w:r w:rsidR="007D4424" w:rsidRPr="000B5C9F">
        <w:rPr>
          <w:b/>
        </w:rPr>
        <w:t>better health outcomes</w:t>
      </w:r>
      <w:r w:rsidR="007D4424" w:rsidRPr="00724319">
        <w:t xml:space="preserve"> </w:t>
      </w:r>
      <w:r w:rsidR="007D4424">
        <w:t>in Kiribati</w:t>
      </w:r>
      <w:r w:rsidR="00CF72DC">
        <w:t>.</w:t>
      </w:r>
      <w:r w:rsidR="00531EE0">
        <w:t xml:space="preserve"> </w:t>
      </w:r>
      <w:r w:rsidR="00037AA2" w:rsidRPr="00CF72DC">
        <w:t>Kiribati has the highest rate of tuberculosis in the Pacific outside of Papua New Guinea and the disease remains a very high public health priority.</w:t>
      </w:r>
      <w:r w:rsidR="00037AA2">
        <w:t xml:space="preserve"> </w:t>
      </w:r>
      <w:r w:rsidR="00037AA2" w:rsidRPr="00CF72DC">
        <w:t xml:space="preserve">In 2015-16, Australia </w:t>
      </w:r>
      <w:r w:rsidR="00037AA2">
        <w:t xml:space="preserve">continued to support the Government of Kiribati’s </w:t>
      </w:r>
      <w:r w:rsidR="00037AA2" w:rsidRPr="00E549A6">
        <w:rPr>
          <w:i/>
        </w:rPr>
        <w:t>National Tuberculosis Program</w:t>
      </w:r>
      <w:r w:rsidR="00037AA2" w:rsidRPr="00C2350C">
        <w:t xml:space="preserve">, delivered through a partnership with the </w:t>
      </w:r>
      <w:r w:rsidR="00741461">
        <w:t>Secretariat of</w:t>
      </w:r>
      <w:r w:rsidR="00224186">
        <w:t xml:space="preserve"> the </w:t>
      </w:r>
      <w:r w:rsidR="00037AA2">
        <w:t>Pacific Community</w:t>
      </w:r>
      <w:r w:rsidR="00E549A6">
        <w:t>,</w:t>
      </w:r>
      <w:r w:rsidR="00037AA2">
        <w:t xml:space="preserve"> to</w:t>
      </w:r>
      <w:r w:rsidR="00037AA2" w:rsidRPr="00C2350C">
        <w:t xml:space="preserve"> help improve the quality, accessibility and efficiency of</w:t>
      </w:r>
      <w:r w:rsidR="00037AA2">
        <w:t xml:space="preserve"> t</w:t>
      </w:r>
      <w:r w:rsidR="00037AA2" w:rsidRPr="00C2350C">
        <w:t>uberculosis diagnosis and treatment in Kiribati</w:t>
      </w:r>
      <w:r w:rsidR="00741461">
        <w:t>.</w:t>
      </w:r>
      <w:r w:rsidR="00E549A6">
        <w:t xml:space="preserve"> Australia’s contribution </w:t>
      </w:r>
      <w:r w:rsidR="00166456">
        <w:t>over 2012-</w:t>
      </w:r>
      <w:r w:rsidR="00166456" w:rsidRPr="00C2350C">
        <w:t>1</w:t>
      </w:r>
      <w:r w:rsidR="00166456">
        <w:t xml:space="preserve">6 </w:t>
      </w:r>
      <w:r w:rsidR="009464F5">
        <w:t xml:space="preserve">was </w:t>
      </w:r>
      <w:r w:rsidR="00E549A6">
        <w:t>$2 million</w:t>
      </w:r>
      <w:r w:rsidR="00037AA2" w:rsidRPr="00C2350C">
        <w:t>.</w:t>
      </w:r>
      <w:r w:rsidR="00037AA2">
        <w:t xml:space="preserve"> </w:t>
      </w:r>
      <w:r w:rsidR="005B1C59">
        <w:t>Aspects of the program have</w:t>
      </w:r>
      <w:r w:rsidR="00037AA2" w:rsidRPr="00C2350C">
        <w:t xml:space="preserve"> </w:t>
      </w:r>
      <w:r w:rsidR="00037AA2">
        <w:t>been successful: 90</w:t>
      </w:r>
      <w:r w:rsidR="00037AA2">
        <w:noBreakHyphen/>
        <w:t>95 </w:t>
      </w:r>
      <w:r w:rsidR="00037AA2" w:rsidRPr="00C2350C">
        <w:t>per cent of identified</w:t>
      </w:r>
      <w:r w:rsidR="00037AA2">
        <w:t xml:space="preserve"> t</w:t>
      </w:r>
      <w:r w:rsidR="00037AA2" w:rsidRPr="00C2350C">
        <w:t xml:space="preserve">uberculosis cases have been successfully treated, exceeding the World Health Organisation target </w:t>
      </w:r>
      <w:r w:rsidR="002E1224">
        <w:t>of 80 per cent</w:t>
      </w:r>
      <w:r w:rsidR="00037AA2" w:rsidRPr="00C2350C">
        <w:t xml:space="preserve">. An increasing number of </w:t>
      </w:r>
      <w:r w:rsidR="00037AA2">
        <w:t>t</w:t>
      </w:r>
      <w:r w:rsidR="00037AA2" w:rsidRPr="00C2350C">
        <w:t>uberculosis</w:t>
      </w:r>
      <w:r w:rsidR="00037AA2">
        <w:t xml:space="preserve"> </w:t>
      </w:r>
      <w:r w:rsidR="00037AA2" w:rsidRPr="00C2350C">
        <w:t>cases are also being detected (from 265 in 2010 to 419 in 2015 - per 100,000 population) which suggests the program is better reaching affected communities.</w:t>
      </w:r>
      <w:r w:rsidR="005B1C59">
        <w:t xml:space="preserve"> However, an </w:t>
      </w:r>
      <w:r w:rsidR="00931374">
        <w:t>independent</w:t>
      </w:r>
      <w:r w:rsidR="005B1C59">
        <w:t xml:space="preserve"> </w:t>
      </w:r>
      <w:r w:rsidR="007E4F5B">
        <w:t xml:space="preserve">evaluation released in March 2016 found that there had been </w:t>
      </w:r>
      <w:r w:rsidR="00132F5E">
        <w:t xml:space="preserve">implementation </w:t>
      </w:r>
      <w:r w:rsidR="007E4F5B">
        <w:t xml:space="preserve">delays to technical </w:t>
      </w:r>
      <w:r w:rsidR="00132F5E">
        <w:t>areas</w:t>
      </w:r>
      <w:r w:rsidR="001F76DD">
        <w:t xml:space="preserve"> of the program</w:t>
      </w:r>
      <w:r w:rsidR="007E4F5B">
        <w:t xml:space="preserve"> (including advocacy, monitoring and evaluation and risk management) and limited evidence </w:t>
      </w:r>
      <w:r w:rsidR="001F76DD">
        <w:t xml:space="preserve">it </w:t>
      </w:r>
      <w:r w:rsidR="00DF5B1F">
        <w:t>had achieved</w:t>
      </w:r>
      <w:r w:rsidR="007E4F5B">
        <w:t xml:space="preserve"> sustainable outcomes</w:t>
      </w:r>
      <w:r w:rsidR="00DF5B1F">
        <w:t>,</w:t>
      </w:r>
      <w:r w:rsidR="007E4F5B">
        <w:t xml:space="preserve"> thereby </w:t>
      </w:r>
      <w:r w:rsidR="00132F5E">
        <w:t>affecting the overall development effectiveness of the program.</w:t>
      </w:r>
    </w:p>
    <w:p w:rsidR="00037AA2" w:rsidRDefault="00037AA2" w:rsidP="00037AA2">
      <w:r>
        <w:t>In 2016-17, the</w:t>
      </w:r>
      <w:r w:rsidRPr="00443D00">
        <w:t xml:space="preserve"> </w:t>
      </w:r>
      <w:r>
        <w:t>National Tuberculosis</w:t>
      </w:r>
      <w:r w:rsidRPr="00C2350C">
        <w:t xml:space="preserve"> Program</w:t>
      </w:r>
      <w:r w:rsidRPr="000B5C9F">
        <w:t xml:space="preserve"> will transition from a project model </w:t>
      </w:r>
      <w:r w:rsidR="00934DED">
        <w:t xml:space="preserve">to a government-led program </w:t>
      </w:r>
      <w:r w:rsidRPr="000B5C9F">
        <w:t>as</w:t>
      </w:r>
      <w:r>
        <w:t xml:space="preserve"> the</w:t>
      </w:r>
      <w:r w:rsidR="00E52413">
        <w:t xml:space="preserve"> Kiribati</w:t>
      </w:r>
      <w:r w:rsidRPr="000B5C9F">
        <w:t xml:space="preserve"> Government progressively assumes full management and financial responsibility</w:t>
      </w:r>
      <w:r w:rsidR="009464F5">
        <w:t>.</w:t>
      </w:r>
      <w:r w:rsidRPr="000B5C9F">
        <w:t xml:space="preserve"> </w:t>
      </w:r>
      <w:r>
        <w:t xml:space="preserve">Australia will support this transition by providing interim funding to maintain key program functions while </w:t>
      </w:r>
      <w:r w:rsidR="00CD0BAD">
        <w:t xml:space="preserve">a single funding management framework for the program is developed, as part of updating </w:t>
      </w:r>
      <w:r w:rsidR="00405D5B">
        <w:t>the</w:t>
      </w:r>
      <w:r w:rsidR="00931374">
        <w:t xml:space="preserve"> National </w:t>
      </w:r>
      <w:r w:rsidR="00224186">
        <w:t>Tuberculosis</w:t>
      </w:r>
      <w:r w:rsidR="00224186" w:rsidRPr="00C2350C">
        <w:t xml:space="preserve"> </w:t>
      </w:r>
      <w:r w:rsidR="00931374">
        <w:t>Strategic Plan</w:t>
      </w:r>
      <w:r w:rsidR="00CD0BAD">
        <w:t>,</w:t>
      </w:r>
      <w:r w:rsidR="00931374">
        <w:t xml:space="preserve"> </w:t>
      </w:r>
      <w:r w:rsidR="00405D5B">
        <w:t>2016-19</w:t>
      </w:r>
      <w:r w:rsidR="002B2B00">
        <w:t xml:space="preserve">. </w:t>
      </w:r>
      <w:r w:rsidR="00490F39">
        <w:t>Australia’s</w:t>
      </w:r>
      <w:r w:rsidR="00A20317">
        <w:t xml:space="preserve"> health adviser will work with the Ministry of Health to ensure </w:t>
      </w:r>
      <w:r w:rsidR="003722BC" w:rsidRPr="003722BC">
        <w:t>l</w:t>
      </w:r>
      <w:r w:rsidR="002B2B00" w:rsidRPr="003722BC">
        <w:t>essons learned</w:t>
      </w:r>
      <w:r w:rsidR="00DF5B1F" w:rsidRPr="003722BC">
        <w:t xml:space="preserve"> from the independent evaluation </w:t>
      </w:r>
      <w:r w:rsidR="00A20317" w:rsidRPr="003722BC">
        <w:t>are</w:t>
      </w:r>
      <w:r w:rsidR="002B2B00" w:rsidRPr="003722BC">
        <w:t xml:space="preserve"> </w:t>
      </w:r>
      <w:r w:rsidR="00DF5B1F" w:rsidRPr="003722BC">
        <w:t xml:space="preserve">incorporated </w:t>
      </w:r>
      <w:r w:rsidR="003722BC" w:rsidRPr="003722BC">
        <w:t>into the</w:t>
      </w:r>
      <w:r w:rsidR="00934DED">
        <w:t xml:space="preserve"> government’s</w:t>
      </w:r>
      <w:r w:rsidR="003722BC" w:rsidRPr="003722BC">
        <w:t xml:space="preserve"> Strategic Plan </w:t>
      </w:r>
      <w:r w:rsidR="00DF5B1F" w:rsidRPr="003722BC">
        <w:t>and</w:t>
      </w:r>
      <w:r w:rsidR="009331A2" w:rsidRPr="003722BC">
        <w:t xml:space="preserve"> </w:t>
      </w:r>
      <w:r w:rsidR="00934DED">
        <w:t xml:space="preserve">to ensure </w:t>
      </w:r>
      <w:r w:rsidR="0045258E" w:rsidRPr="003722BC">
        <w:t>fiduciary risks</w:t>
      </w:r>
      <w:r w:rsidR="009331A2" w:rsidRPr="003722BC">
        <w:t xml:space="preserve"> associated with the transition to Government management</w:t>
      </w:r>
      <w:r w:rsidR="003722BC" w:rsidRPr="003722BC">
        <w:t xml:space="preserve"> are</w:t>
      </w:r>
      <w:r w:rsidR="00DF5B1F" w:rsidRPr="003722BC">
        <w:t xml:space="preserve"> appropriately managed</w:t>
      </w:r>
      <w:r w:rsidRPr="003722BC">
        <w:t>.</w:t>
      </w:r>
    </w:p>
    <w:p w:rsidR="009B5137" w:rsidRPr="00AD2599" w:rsidRDefault="009B5137" w:rsidP="00037AA2">
      <w:r w:rsidRPr="003722BC">
        <w:t xml:space="preserve">Australian-supported regional programs are also improving health outcomes in Kiribati.  </w:t>
      </w:r>
      <w:r w:rsidR="008E51DE" w:rsidRPr="00FE45A8">
        <w:t>World Bank</w:t>
      </w:r>
      <w:r w:rsidR="008E51DE" w:rsidRPr="003722BC">
        <w:t xml:space="preserve"> t</w:t>
      </w:r>
      <w:r w:rsidRPr="00FE45A8">
        <w:t xml:space="preserve">echnical assistance </w:t>
      </w:r>
      <w:r w:rsidR="008E51DE" w:rsidRPr="003722BC">
        <w:t>to</w:t>
      </w:r>
      <w:r w:rsidRPr="003722BC">
        <w:t xml:space="preserve"> the Ministry of Health is increasing the effectiveness of quarterly health sector coordination committee meetings, which mon</w:t>
      </w:r>
      <w:r w:rsidR="00820F38" w:rsidRPr="00AD2599">
        <w:t>itor the implementation of the National S</w:t>
      </w:r>
      <w:r w:rsidRPr="00AD2599">
        <w:t xml:space="preserve">trategic </w:t>
      </w:r>
      <w:r w:rsidR="00820F38" w:rsidRPr="00AD2599">
        <w:t>Health P</w:t>
      </w:r>
      <w:r w:rsidRPr="00AD2599">
        <w:t xml:space="preserve">lan and emerging health issues.  </w:t>
      </w:r>
      <w:r w:rsidRPr="003722BC">
        <w:t>T</w:t>
      </w:r>
      <w:r w:rsidRPr="00FE45A8">
        <w:t>echn</w:t>
      </w:r>
      <w:r w:rsidRPr="003722BC">
        <w:t>ical assistance has also been provided for the first Joint Annual Performance Review of the Health Sector in Tarawa</w:t>
      </w:r>
      <w:r w:rsidRPr="00AD2599">
        <w:t>, which aims to improve health service outcomes by identifying how best to allocate and use limited health resources.</w:t>
      </w:r>
    </w:p>
    <w:p w:rsidR="00741461" w:rsidRDefault="00531EE0" w:rsidP="00037AA2">
      <w:r>
        <w:t xml:space="preserve">Australia </w:t>
      </w:r>
      <w:r w:rsidR="00037AA2">
        <w:t xml:space="preserve">also </w:t>
      </w:r>
      <w:r>
        <w:t xml:space="preserve">continued its support for the </w:t>
      </w:r>
      <w:r w:rsidR="00820F38">
        <w:t>ADB</w:t>
      </w:r>
      <w:r>
        <w:t xml:space="preserve">-led </w:t>
      </w:r>
      <w:r w:rsidR="0003395A" w:rsidRPr="00E549A6">
        <w:rPr>
          <w:i/>
        </w:rPr>
        <w:t>South Tarawa Sanitation Improvement Sector Program</w:t>
      </w:r>
      <w:r w:rsidR="00741461">
        <w:t xml:space="preserve">, with funding of </w:t>
      </w:r>
      <w:r w:rsidR="00E549A6">
        <w:t>$13.95 million</w:t>
      </w:r>
      <w:r w:rsidR="00741461">
        <w:t xml:space="preserve"> from</w:t>
      </w:r>
      <w:r w:rsidR="00E549A6">
        <w:t xml:space="preserve"> 2012-17</w:t>
      </w:r>
      <w:r w:rsidR="000B5C9F">
        <w:t xml:space="preserve">. </w:t>
      </w:r>
      <w:r w:rsidR="000B5C9F" w:rsidRPr="00C2350C">
        <w:t>The project is rehabilitating the existing sewerage network</w:t>
      </w:r>
      <w:r w:rsidR="004C382B">
        <w:t xml:space="preserve"> and outfalls</w:t>
      </w:r>
      <w:r w:rsidR="00443D00">
        <w:t xml:space="preserve"> to help reduce</w:t>
      </w:r>
      <w:r w:rsidR="000B5C9F" w:rsidRPr="00C2350C">
        <w:t xml:space="preserve"> waterborne diseases, including diarrhoea in babies which contribute</w:t>
      </w:r>
      <w:r w:rsidR="00443D00">
        <w:t>s</w:t>
      </w:r>
      <w:r w:rsidR="000B5C9F" w:rsidRPr="00C2350C">
        <w:t xml:space="preserve"> to Kiribati having one of the highest infant mortality rates in the Pacific.</w:t>
      </w:r>
      <w:r w:rsidR="000B5C9F">
        <w:t xml:space="preserve"> </w:t>
      </w:r>
      <w:r w:rsidR="003C1F31" w:rsidRPr="003C1F31">
        <w:t xml:space="preserve">The project also promotes improved hygienic practices at the community level.  </w:t>
      </w:r>
      <w:r w:rsidR="000B5C9F">
        <w:t>In 2015-16, r</w:t>
      </w:r>
      <w:r w:rsidR="0003395A" w:rsidRPr="000B5C9F">
        <w:t>ehabilitatio</w:t>
      </w:r>
      <w:r w:rsidR="000B5C9F" w:rsidRPr="000B5C9F">
        <w:t>n work on the sewerage network was</w:t>
      </w:r>
      <w:r w:rsidR="0003395A" w:rsidRPr="000B5C9F">
        <w:t xml:space="preserve"> 90 per cent complete and </w:t>
      </w:r>
      <w:r w:rsidR="000B5C9F">
        <w:t xml:space="preserve">a </w:t>
      </w:r>
      <w:r w:rsidR="0003395A" w:rsidRPr="000B5C9F">
        <w:t xml:space="preserve">contract </w:t>
      </w:r>
      <w:r w:rsidR="000B5C9F">
        <w:t xml:space="preserve">for </w:t>
      </w:r>
      <w:r w:rsidR="000B5C9F" w:rsidRPr="000B5C9F">
        <w:t xml:space="preserve">the rehabilitation of the </w:t>
      </w:r>
      <w:r w:rsidR="000B5C9F">
        <w:t>sewer outfalls</w:t>
      </w:r>
      <w:r w:rsidR="00D85ADC">
        <w:t xml:space="preserve"> </w:t>
      </w:r>
      <w:r w:rsidR="00934DED">
        <w:t xml:space="preserve">was </w:t>
      </w:r>
      <w:r w:rsidR="00D1534E">
        <w:t>awarded</w:t>
      </w:r>
      <w:r w:rsidR="000B5C9F">
        <w:t xml:space="preserve"> in </w:t>
      </w:r>
      <w:r w:rsidR="0003395A" w:rsidRPr="000B5C9F">
        <w:t>August 2016</w:t>
      </w:r>
      <w:r w:rsidR="00D1534E">
        <w:t>.</w:t>
      </w:r>
      <w:r w:rsidR="0003395A" w:rsidRPr="000B5C9F">
        <w:t xml:space="preserve"> </w:t>
      </w:r>
    </w:p>
    <w:p w:rsidR="00CF72DC" w:rsidRPr="000B5C9F" w:rsidRDefault="00CF72DC" w:rsidP="00037AA2">
      <w:r w:rsidRPr="000B5C9F">
        <w:t xml:space="preserve">Other key achievements </w:t>
      </w:r>
      <w:r w:rsidR="00BD79E0" w:rsidRPr="000B5C9F">
        <w:t xml:space="preserve">in </w:t>
      </w:r>
      <w:r w:rsidR="00CA62FF" w:rsidRPr="000B5C9F">
        <w:t>improving</w:t>
      </w:r>
      <w:r w:rsidR="00BD79E0" w:rsidRPr="000B5C9F">
        <w:t xml:space="preserve"> health and disability outcomes </w:t>
      </w:r>
      <w:r w:rsidR="00037AA2" w:rsidRPr="000B5C9F">
        <w:t xml:space="preserve">in 2015-16 </w:t>
      </w:r>
      <w:r w:rsidR="00037AA2">
        <w:t>we</w:t>
      </w:r>
      <w:r w:rsidR="00BD79E0" w:rsidRPr="000B5C9F">
        <w:t>re:</w:t>
      </w:r>
    </w:p>
    <w:p w:rsidR="00037AA2" w:rsidRPr="00037AA2" w:rsidRDefault="00741461" w:rsidP="00037AA2">
      <w:pPr>
        <w:pStyle w:val="ListParagraph"/>
        <w:numPr>
          <w:ilvl w:val="0"/>
          <w:numId w:val="12"/>
        </w:numPr>
        <w:suppressAutoHyphens w:val="0"/>
        <w:spacing w:before="0" w:after="0" w:line="240" w:lineRule="auto"/>
        <w:ind w:left="357" w:hanging="357"/>
        <w:contextualSpacing w:val="0"/>
        <w:rPr>
          <w:rFonts w:eastAsia="SimSun"/>
        </w:rPr>
      </w:pPr>
      <w:r>
        <w:t>Australian</w:t>
      </w:r>
      <w:r w:rsidR="006151CD">
        <w:t>-funded</w:t>
      </w:r>
      <w:r>
        <w:t xml:space="preserve"> i</w:t>
      </w:r>
      <w:r w:rsidR="00037AA2">
        <w:t xml:space="preserve">mprovements to facilities at the Kiribati </w:t>
      </w:r>
      <w:r w:rsidR="00037AA2" w:rsidRPr="00037AA2">
        <w:t xml:space="preserve">mental health </w:t>
      </w:r>
      <w:r w:rsidR="00554032">
        <w:t>ward</w:t>
      </w:r>
      <w:r w:rsidR="00037AA2" w:rsidRPr="00037AA2">
        <w:t>, including new separate facilities and a segregated open area for women and girls</w:t>
      </w:r>
      <w:r w:rsidR="00934DED">
        <w:t>,</w:t>
      </w:r>
      <w:r w:rsidR="00037AA2" w:rsidRPr="00037AA2">
        <w:t xml:space="preserve"> to improve their care, security and dignity, were formally opened in October 2015 </w:t>
      </w:r>
      <w:r w:rsidR="00037AA2">
        <w:t>(</w:t>
      </w:r>
      <w:r w:rsidR="00037AA2">
        <w:rPr>
          <w:lang w:val="en-US"/>
        </w:rPr>
        <w:t>$200</w:t>
      </w:r>
      <w:r w:rsidR="00037AA2" w:rsidRPr="0027081D">
        <w:rPr>
          <w:lang w:val="en-US"/>
        </w:rPr>
        <w:t>,000</w:t>
      </w:r>
      <w:r w:rsidR="00037AA2">
        <w:rPr>
          <w:lang w:val="en-US"/>
        </w:rPr>
        <w:t xml:space="preserve">, </w:t>
      </w:r>
      <w:r w:rsidR="00037AA2" w:rsidRPr="0027081D">
        <w:t>201</w:t>
      </w:r>
      <w:r w:rsidR="00037AA2">
        <w:t>4</w:t>
      </w:r>
      <w:r w:rsidR="00037AA2" w:rsidRPr="0027081D">
        <w:t>-1</w:t>
      </w:r>
      <w:r w:rsidR="00037AA2">
        <w:t>5</w:t>
      </w:r>
      <w:r w:rsidR="00037AA2" w:rsidRPr="0027081D">
        <w:t>)</w:t>
      </w:r>
      <w:r>
        <w:t>;</w:t>
      </w:r>
    </w:p>
    <w:p w:rsidR="00D62A69" w:rsidRPr="00A5459A" w:rsidRDefault="006151CD" w:rsidP="00D62A69">
      <w:pPr>
        <w:pStyle w:val="ListParagraph"/>
        <w:numPr>
          <w:ilvl w:val="0"/>
          <w:numId w:val="12"/>
        </w:numPr>
        <w:suppressAutoHyphens w:val="0"/>
        <w:spacing w:before="0" w:after="0" w:line="240" w:lineRule="auto"/>
        <w:ind w:left="357" w:hanging="357"/>
        <w:contextualSpacing w:val="0"/>
        <w:rPr>
          <w:rFonts w:eastAsia="SimSun"/>
        </w:rPr>
      </w:pPr>
      <w:r>
        <w:rPr>
          <w:rFonts w:eastAsia="SimSun"/>
        </w:rPr>
        <w:t xml:space="preserve">with Australia’s support, </w:t>
      </w:r>
      <w:r w:rsidR="00741461">
        <w:rPr>
          <w:rFonts w:eastAsia="SimSun"/>
        </w:rPr>
        <w:t>t</w:t>
      </w:r>
      <w:r w:rsidR="00D62A69" w:rsidRPr="00A5459A">
        <w:rPr>
          <w:rFonts w:eastAsia="SimSun"/>
        </w:rPr>
        <w:t xml:space="preserve">he </w:t>
      </w:r>
      <w:proofErr w:type="spellStart"/>
      <w:r w:rsidR="00D62A69" w:rsidRPr="00A5459A">
        <w:rPr>
          <w:rFonts w:eastAsia="SimSun"/>
        </w:rPr>
        <w:t>Tungaru</w:t>
      </w:r>
      <w:proofErr w:type="spellEnd"/>
      <w:r w:rsidR="00D62A69" w:rsidRPr="00A5459A">
        <w:rPr>
          <w:rFonts w:eastAsia="SimSun"/>
        </w:rPr>
        <w:t xml:space="preserve"> Rehabilitation Centre </w:t>
      </w:r>
      <w:r w:rsidR="00D62A69">
        <w:rPr>
          <w:rFonts w:eastAsia="SimSun"/>
        </w:rPr>
        <w:t xml:space="preserve">is now </w:t>
      </w:r>
      <w:r w:rsidR="00137337">
        <w:rPr>
          <w:rFonts w:eastAsia="SimSun"/>
        </w:rPr>
        <w:t xml:space="preserve">able to </w:t>
      </w:r>
      <w:r w:rsidR="00D62A69">
        <w:rPr>
          <w:rFonts w:eastAsia="SimSun"/>
        </w:rPr>
        <w:t>provid</w:t>
      </w:r>
      <w:r w:rsidR="00137337">
        <w:rPr>
          <w:rFonts w:eastAsia="SimSun"/>
        </w:rPr>
        <w:t>e</w:t>
      </w:r>
      <w:r w:rsidR="00D62A69" w:rsidRPr="00A5459A">
        <w:rPr>
          <w:rFonts w:eastAsia="SimSun"/>
        </w:rPr>
        <w:t xml:space="preserve"> </w:t>
      </w:r>
      <w:r w:rsidR="00D62A69">
        <w:t xml:space="preserve">more effective </w:t>
      </w:r>
      <w:r w:rsidR="003F0194" w:rsidRPr="00362F59">
        <w:rPr>
          <w:lang w:val="en"/>
        </w:rPr>
        <w:t>rehabilitation services</w:t>
      </w:r>
      <w:r w:rsidR="00D62A69">
        <w:t xml:space="preserve"> </w:t>
      </w:r>
      <w:r w:rsidR="003F0194" w:rsidRPr="00993F38">
        <w:rPr>
          <w:iCs/>
        </w:rPr>
        <w:t xml:space="preserve">for people </w:t>
      </w:r>
      <w:r w:rsidR="003F0194">
        <w:rPr>
          <w:iCs/>
        </w:rPr>
        <w:t xml:space="preserve">with or </w:t>
      </w:r>
      <w:r w:rsidR="003F0194" w:rsidRPr="00993F38">
        <w:rPr>
          <w:iCs/>
        </w:rPr>
        <w:t>at risk of developing</w:t>
      </w:r>
      <w:r w:rsidR="003F0194" w:rsidRPr="00367507">
        <w:rPr>
          <w:iCs/>
        </w:rPr>
        <w:t xml:space="preserve"> </w:t>
      </w:r>
      <w:r w:rsidR="003F0194">
        <w:rPr>
          <w:iCs/>
        </w:rPr>
        <w:t xml:space="preserve">complications from a non-communicable disease. </w:t>
      </w:r>
      <w:r>
        <w:t>Australia financ</w:t>
      </w:r>
      <w:r w:rsidR="00934DED">
        <w:t>ed</w:t>
      </w:r>
      <w:r>
        <w:t xml:space="preserve"> the </w:t>
      </w:r>
      <w:r w:rsidRPr="00CB17ED">
        <w:rPr>
          <w:rFonts w:cs="Arial"/>
        </w:rPr>
        <w:t xml:space="preserve">rebuild </w:t>
      </w:r>
      <w:r>
        <w:rPr>
          <w:rFonts w:cs="Arial"/>
        </w:rPr>
        <w:t xml:space="preserve">of </w:t>
      </w:r>
      <w:r w:rsidRPr="00CB17ED">
        <w:rPr>
          <w:rFonts w:cs="Arial"/>
        </w:rPr>
        <w:t>the centre</w:t>
      </w:r>
      <w:r>
        <w:rPr>
          <w:rFonts w:cs="Arial"/>
        </w:rPr>
        <w:t xml:space="preserve"> </w:t>
      </w:r>
      <w:r>
        <w:t xml:space="preserve">(re-opened in 2015), </w:t>
      </w:r>
      <w:r w:rsidRPr="006C2628">
        <w:t>replace</w:t>
      </w:r>
      <w:r>
        <w:t>ment of</w:t>
      </w:r>
      <w:r w:rsidRPr="006C2628">
        <w:t xml:space="preserve"> </w:t>
      </w:r>
      <w:r>
        <w:t xml:space="preserve">essential tools required for prosthetics services </w:t>
      </w:r>
      <w:r w:rsidRPr="00CB17ED">
        <w:rPr>
          <w:bCs/>
          <w:szCs w:val="20"/>
        </w:rPr>
        <w:t>and</w:t>
      </w:r>
      <w:r>
        <w:t xml:space="preserve"> support for </w:t>
      </w:r>
      <w:r w:rsidRPr="00CB17ED">
        <w:rPr>
          <w:bCs/>
          <w:szCs w:val="20"/>
        </w:rPr>
        <w:t>outreach programs</w:t>
      </w:r>
      <w:r>
        <w:rPr>
          <w:bCs/>
          <w:szCs w:val="20"/>
        </w:rPr>
        <w:t xml:space="preserve"> </w:t>
      </w:r>
      <w:r>
        <w:t>($831,000, 2013</w:t>
      </w:r>
      <w:r>
        <w:noBreakHyphen/>
      </w:r>
      <w:r w:rsidRPr="00C2350C">
        <w:t>16)</w:t>
      </w:r>
      <w:r>
        <w:t xml:space="preserve">, </w:t>
      </w:r>
      <w:r w:rsidR="00D62A69">
        <w:t>contribut</w:t>
      </w:r>
      <w:r w:rsidR="00934DED">
        <w:t>ing</w:t>
      </w:r>
      <w:r w:rsidR="00D62A69">
        <w:t xml:space="preserve"> to a reduction in the amputation rate (5-6 amputation</w:t>
      </w:r>
      <w:r w:rsidR="002E1224">
        <w:t xml:space="preserve"> per </w:t>
      </w:r>
      <w:r w:rsidR="00D62A69">
        <w:t>month in 2015 compared to 7-8</w:t>
      </w:r>
      <w:r w:rsidR="002E1224">
        <w:t xml:space="preserve"> per </w:t>
      </w:r>
      <w:r w:rsidR="00D62A69">
        <w:t>month in 2010). Kiribati has o</w:t>
      </w:r>
      <w:r w:rsidR="00D62A69" w:rsidRPr="00C2350C">
        <w:t>ne of the high</w:t>
      </w:r>
      <w:r w:rsidR="00D62A69">
        <w:t>est incidences</w:t>
      </w:r>
      <w:r w:rsidR="00D62A69" w:rsidRPr="00F071A4">
        <w:t xml:space="preserve"> </w:t>
      </w:r>
      <w:r w:rsidR="00D62A69">
        <w:t>of amputations per population due to very high rates of diabetes</w:t>
      </w:r>
      <w:r w:rsidR="00741461">
        <w:t>; and</w:t>
      </w:r>
    </w:p>
    <w:p w:rsidR="00D62A69" w:rsidRDefault="00D62A69" w:rsidP="00D62A69">
      <w:pPr>
        <w:pStyle w:val="ListParagraph"/>
        <w:numPr>
          <w:ilvl w:val="0"/>
          <w:numId w:val="12"/>
        </w:numPr>
        <w:suppressAutoHyphens w:val="0"/>
        <w:spacing w:before="0" w:after="0" w:line="240" w:lineRule="auto"/>
        <w:ind w:left="357" w:hanging="357"/>
        <w:contextualSpacing w:val="0"/>
        <w:rPr>
          <w:rFonts w:eastAsia="SimSun"/>
        </w:rPr>
      </w:pPr>
      <w:r>
        <w:rPr>
          <w:rFonts w:eastAsia="SimSun"/>
        </w:rPr>
        <w:t>18 of 21</w:t>
      </w:r>
      <w:r w:rsidRPr="005A1CE2">
        <w:rPr>
          <w:rFonts w:eastAsia="SimSun"/>
        </w:rPr>
        <w:t xml:space="preserve"> Kiribati </w:t>
      </w:r>
      <w:r>
        <w:rPr>
          <w:rFonts w:eastAsia="SimSun"/>
        </w:rPr>
        <w:t xml:space="preserve">medical </w:t>
      </w:r>
      <w:r w:rsidRPr="005A1CE2">
        <w:rPr>
          <w:rFonts w:eastAsia="SimSun"/>
        </w:rPr>
        <w:t>interns</w:t>
      </w:r>
      <w:r w:rsidR="00137337" w:rsidRPr="00137337">
        <w:rPr>
          <w:rFonts w:eastAsia="SimSun"/>
        </w:rPr>
        <w:t xml:space="preserve"> </w:t>
      </w:r>
      <w:r w:rsidR="00137337">
        <w:rPr>
          <w:rFonts w:eastAsia="SimSun"/>
        </w:rPr>
        <w:t>under the</w:t>
      </w:r>
      <w:r w:rsidR="00240304">
        <w:rPr>
          <w:rFonts w:eastAsia="SimSun"/>
        </w:rPr>
        <w:t xml:space="preserve"> Australia-funded</w:t>
      </w:r>
      <w:r w:rsidR="00137337">
        <w:rPr>
          <w:rFonts w:eastAsia="SimSun"/>
        </w:rPr>
        <w:t xml:space="preserve"> </w:t>
      </w:r>
      <w:r w:rsidR="00137337" w:rsidRPr="001F4FAA">
        <w:rPr>
          <w:rFonts w:eastAsia="SimSun"/>
          <w:i/>
        </w:rPr>
        <w:t>Kiribati Internship Program</w:t>
      </w:r>
      <w:r w:rsidR="00240304">
        <w:rPr>
          <w:rFonts w:eastAsia="SimSun"/>
        </w:rPr>
        <w:t xml:space="preserve"> </w:t>
      </w:r>
      <w:r w:rsidR="00240304" w:rsidRPr="005A1CE2">
        <w:rPr>
          <w:rFonts w:eastAsia="SimSun"/>
        </w:rPr>
        <w:t>($100,000</w:t>
      </w:r>
      <w:r w:rsidR="00240304">
        <w:rPr>
          <w:rFonts w:eastAsia="SimSun"/>
        </w:rPr>
        <w:t xml:space="preserve"> in 2015-16</w:t>
      </w:r>
      <w:r w:rsidR="00240304" w:rsidRPr="005A1CE2">
        <w:rPr>
          <w:rFonts w:eastAsia="SimSun"/>
        </w:rPr>
        <w:t>)</w:t>
      </w:r>
      <w:r>
        <w:rPr>
          <w:rFonts w:eastAsia="SimSun"/>
        </w:rPr>
        <w:t xml:space="preserve"> have</w:t>
      </w:r>
      <w:r w:rsidRPr="005A1CE2">
        <w:rPr>
          <w:rFonts w:eastAsia="SimSun"/>
        </w:rPr>
        <w:t xml:space="preserve"> completed their training and become registered doctors</w:t>
      </w:r>
      <w:r>
        <w:rPr>
          <w:rFonts w:eastAsia="SimSun"/>
        </w:rPr>
        <w:t xml:space="preserve"> (the remaining will complete by the end of 2016).</w:t>
      </w:r>
    </w:p>
    <w:p w:rsidR="0003395A" w:rsidRDefault="0003395A" w:rsidP="00494A36">
      <w:r>
        <w:t>I</w:t>
      </w:r>
      <w:r w:rsidR="008D5BB6">
        <w:t xml:space="preserve">mproving </w:t>
      </w:r>
      <w:r w:rsidR="008D5BB6" w:rsidRPr="002A77BD">
        <w:rPr>
          <w:b/>
        </w:rPr>
        <w:t>i</w:t>
      </w:r>
      <w:r w:rsidRPr="002A77BD">
        <w:rPr>
          <w:b/>
        </w:rPr>
        <w:t>nfrastructure</w:t>
      </w:r>
      <w:r w:rsidR="008D5BB6" w:rsidRPr="002A77BD">
        <w:rPr>
          <w:b/>
        </w:rPr>
        <w:t xml:space="preserve"> services</w:t>
      </w:r>
      <w:r>
        <w:t xml:space="preserve"> </w:t>
      </w:r>
      <w:r w:rsidR="002A77BD">
        <w:t xml:space="preserve">in Kiribati </w:t>
      </w:r>
      <w:r>
        <w:t xml:space="preserve">was </w:t>
      </w:r>
      <w:r w:rsidR="002B358E">
        <w:t>previous</w:t>
      </w:r>
      <w:r w:rsidR="00650E8B">
        <w:t>ly a</w:t>
      </w:r>
      <w:r>
        <w:t xml:space="preserve"> priority outco</w:t>
      </w:r>
      <w:r w:rsidR="00037AA2">
        <w:t xml:space="preserve">me under the </w:t>
      </w:r>
      <w:r w:rsidR="00037AA2" w:rsidRPr="009E19A7">
        <w:rPr>
          <w:i/>
        </w:rPr>
        <w:t>Australia-Kiribati Partnership for Development</w:t>
      </w:r>
      <w:r w:rsidR="009E19A7" w:rsidRPr="009E19A7">
        <w:rPr>
          <w:i/>
        </w:rPr>
        <w:t xml:space="preserve"> 2009-15</w:t>
      </w:r>
      <w:r w:rsidR="003F0AB4">
        <w:rPr>
          <w:i/>
        </w:rPr>
        <w:t xml:space="preserve">. </w:t>
      </w:r>
      <w:r w:rsidRPr="003F0AB4">
        <w:t>Australia’s</w:t>
      </w:r>
      <w:r>
        <w:t xml:space="preserve"> inve</w:t>
      </w:r>
      <w:r w:rsidR="008D5BB6">
        <w:t>stme</w:t>
      </w:r>
      <w:r>
        <w:t>nts</w:t>
      </w:r>
      <w:r w:rsidR="008D5BB6">
        <w:t xml:space="preserve"> </w:t>
      </w:r>
      <w:r>
        <w:t xml:space="preserve">focused on </w:t>
      </w:r>
      <w:r w:rsidR="009E19A7">
        <w:t>the</w:t>
      </w:r>
      <w:r w:rsidRPr="00724319">
        <w:t xml:space="preserve"> transport, telecommunication and energy sectors to help to improve economic growth</w:t>
      </w:r>
      <w:r>
        <w:t xml:space="preserve"> </w:t>
      </w:r>
      <w:r w:rsidRPr="00724319">
        <w:t xml:space="preserve">and provide a </w:t>
      </w:r>
      <w:r>
        <w:t xml:space="preserve">cleaner, healthier </w:t>
      </w:r>
      <w:r w:rsidRPr="00724319">
        <w:t>environment.</w:t>
      </w:r>
      <w:r>
        <w:t xml:space="preserve"> </w:t>
      </w:r>
      <w:r w:rsidR="009E19A7">
        <w:t xml:space="preserve">Good </w:t>
      </w:r>
      <w:r>
        <w:t xml:space="preserve">progress was made </w:t>
      </w:r>
      <w:r w:rsidR="006C6D4B">
        <w:t xml:space="preserve">towards finalising </w:t>
      </w:r>
      <w:r w:rsidR="00934DED">
        <w:t>Australia’s</w:t>
      </w:r>
      <w:r w:rsidR="006C6D4B">
        <w:t xml:space="preserve"> infrast</w:t>
      </w:r>
      <w:r w:rsidR="009E19A7">
        <w:t>r</w:t>
      </w:r>
      <w:r w:rsidR="006C6D4B">
        <w:t>u</w:t>
      </w:r>
      <w:r w:rsidR="009E19A7">
        <w:t>ctu</w:t>
      </w:r>
      <w:r w:rsidR="006C6D4B">
        <w:t xml:space="preserve">re </w:t>
      </w:r>
      <w:r w:rsidR="009E19A7">
        <w:t>investments</w:t>
      </w:r>
      <w:r w:rsidR="008D5BB6">
        <w:t xml:space="preserve"> in</w:t>
      </w:r>
      <w:r w:rsidR="009E19A7">
        <w:t xml:space="preserve"> 2015-16 after delays in </w:t>
      </w:r>
      <w:r w:rsidR="002E1224">
        <w:br/>
      </w:r>
      <w:r w:rsidR="009E19A7">
        <w:t>2014-15.</w:t>
      </w:r>
      <w:r w:rsidR="008D5BB6">
        <w:rPr>
          <w:rStyle w:val="FootnoteReference"/>
        </w:rPr>
        <w:footnoteReference w:id="4"/>
      </w:r>
      <w:r w:rsidR="009E19A7">
        <w:t xml:space="preserve"> </w:t>
      </w:r>
      <w:r>
        <w:t xml:space="preserve">Key achievements </w:t>
      </w:r>
      <w:r w:rsidR="003F0AB4">
        <w:t>we</w:t>
      </w:r>
      <w:r w:rsidR="006A488B">
        <w:t>re:</w:t>
      </w:r>
    </w:p>
    <w:p w:rsidR="0003395A" w:rsidRPr="006A488B" w:rsidRDefault="00240304" w:rsidP="005A1CE2">
      <w:pPr>
        <w:pStyle w:val="ListParagraph"/>
        <w:numPr>
          <w:ilvl w:val="0"/>
          <w:numId w:val="12"/>
        </w:numPr>
        <w:suppressAutoHyphens w:val="0"/>
        <w:spacing w:before="0" w:after="0" w:line="240" w:lineRule="auto"/>
        <w:ind w:left="357" w:hanging="357"/>
        <w:contextualSpacing w:val="0"/>
        <w:rPr>
          <w:rFonts w:eastAsia="SimSun"/>
        </w:rPr>
      </w:pPr>
      <w:r>
        <w:rPr>
          <w:rFonts w:eastAsia="SimSun"/>
        </w:rPr>
        <w:t>p</w:t>
      </w:r>
      <w:r w:rsidR="008D5BB6" w:rsidRPr="006A488B">
        <w:rPr>
          <w:rFonts w:eastAsia="SimSun"/>
        </w:rPr>
        <w:t>rogress</w:t>
      </w:r>
      <w:r w:rsidR="0003395A" w:rsidRPr="006A488B">
        <w:rPr>
          <w:rFonts w:eastAsia="SimSun"/>
        </w:rPr>
        <w:t xml:space="preserve"> </w:t>
      </w:r>
      <w:r w:rsidR="008D5BB6" w:rsidRPr="006A488B">
        <w:rPr>
          <w:rFonts w:eastAsia="SimSun"/>
        </w:rPr>
        <w:t xml:space="preserve">on the </w:t>
      </w:r>
      <w:r w:rsidR="008D5BB6" w:rsidRPr="00E549A6">
        <w:rPr>
          <w:rFonts w:eastAsia="SimSun"/>
          <w:i/>
        </w:rPr>
        <w:t xml:space="preserve">Kiribati Road </w:t>
      </w:r>
      <w:r w:rsidR="006A488B" w:rsidRPr="00E549A6">
        <w:rPr>
          <w:rFonts w:eastAsia="SimSun"/>
          <w:i/>
        </w:rPr>
        <w:t>Rehabilitation</w:t>
      </w:r>
      <w:r w:rsidR="008D5BB6" w:rsidRPr="00E549A6">
        <w:rPr>
          <w:rFonts w:eastAsia="SimSun"/>
          <w:i/>
        </w:rPr>
        <w:t xml:space="preserve"> Project</w:t>
      </w:r>
      <w:r w:rsidR="006A488B" w:rsidRPr="006A488B">
        <w:rPr>
          <w:rFonts w:eastAsia="SimSun"/>
        </w:rPr>
        <w:t xml:space="preserve"> (Australia’s contribution $21.8 million, 2011-1</w:t>
      </w:r>
      <w:r w:rsidR="005E5A09">
        <w:rPr>
          <w:rFonts w:eastAsia="SimSun"/>
        </w:rPr>
        <w:t>8</w:t>
      </w:r>
      <w:r w:rsidR="006A488B" w:rsidRPr="006A488B">
        <w:rPr>
          <w:rFonts w:eastAsia="SimSun"/>
        </w:rPr>
        <w:t>)</w:t>
      </w:r>
      <w:r w:rsidR="003F0AB4">
        <w:rPr>
          <w:rFonts w:eastAsia="SimSun"/>
        </w:rPr>
        <w:t xml:space="preserve"> </w:t>
      </w:r>
      <w:r w:rsidR="006A488B" w:rsidRPr="006A488B">
        <w:rPr>
          <w:rFonts w:eastAsia="SimSun"/>
        </w:rPr>
        <w:t>reduced travel time and provided a safer road network – 20.4</w:t>
      </w:r>
      <w:r w:rsidR="002C6038">
        <w:rPr>
          <w:rFonts w:eastAsia="SimSun"/>
        </w:rPr>
        <w:t xml:space="preserve"> </w:t>
      </w:r>
      <w:r w:rsidR="006A488B" w:rsidRPr="006A488B">
        <w:rPr>
          <w:rFonts w:eastAsia="SimSun"/>
        </w:rPr>
        <w:t>k</w:t>
      </w:r>
      <w:r w:rsidR="002C6038">
        <w:rPr>
          <w:rFonts w:eastAsia="SimSun"/>
        </w:rPr>
        <w:t>ilo</w:t>
      </w:r>
      <w:r w:rsidR="006A488B" w:rsidRPr="006A488B">
        <w:rPr>
          <w:rFonts w:eastAsia="SimSun"/>
        </w:rPr>
        <w:t>m</w:t>
      </w:r>
      <w:r w:rsidR="002C6038">
        <w:rPr>
          <w:rFonts w:eastAsia="SimSun"/>
        </w:rPr>
        <w:t>etres</w:t>
      </w:r>
      <w:r w:rsidR="006A488B" w:rsidRPr="006A488B">
        <w:rPr>
          <w:rFonts w:eastAsia="SimSun"/>
        </w:rPr>
        <w:t xml:space="preserve"> of asphalt/bitumen/concrete surfacing and</w:t>
      </w:r>
      <w:r w:rsidR="002C6038">
        <w:rPr>
          <w:rFonts w:eastAsia="SimSun"/>
        </w:rPr>
        <w:t xml:space="preserve"> 8.3 kilometres</w:t>
      </w:r>
      <w:r w:rsidR="0003395A" w:rsidRPr="006A488B">
        <w:rPr>
          <w:rFonts w:eastAsia="SimSun"/>
        </w:rPr>
        <w:t xml:space="preserve"> of drains </w:t>
      </w:r>
      <w:r w:rsidR="008D5BB6" w:rsidRPr="006A488B">
        <w:rPr>
          <w:rFonts w:eastAsia="SimSun"/>
        </w:rPr>
        <w:t>ha</w:t>
      </w:r>
      <w:r w:rsidR="006A488B" w:rsidRPr="006A488B">
        <w:rPr>
          <w:rFonts w:eastAsia="SimSun"/>
        </w:rPr>
        <w:t>ve</w:t>
      </w:r>
      <w:r w:rsidR="008D5BB6" w:rsidRPr="006A488B">
        <w:rPr>
          <w:rFonts w:eastAsia="SimSun"/>
        </w:rPr>
        <w:t xml:space="preserve"> been completed</w:t>
      </w:r>
      <w:r w:rsidR="002B358E">
        <w:rPr>
          <w:rFonts w:eastAsia="SimSun"/>
        </w:rPr>
        <w:t>.</w:t>
      </w:r>
      <w:r w:rsidR="008D5BB6" w:rsidRPr="006A488B">
        <w:rPr>
          <w:rFonts w:eastAsia="SimSun"/>
        </w:rPr>
        <w:t xml:space="preserve"> </w:t>
      </w:r>
      <w:r w:rsidR="002B358E">
        <w:rPr>
          <w:rFonts w:eastAsia="SimSun"/>
        </w:rPr>
        <w:t>T</w:t>
      </w:r>
      <w:r w:rsidR="0003395A" w:rsidRPr="006A488B">
        <w:rPr>
          <w:rFonts w:eastAsia="SimSun"/>
        </w:rPr>
        <w:t xml:space="preserve">he project is </w:t>
      </w:r>
      <w:r w:rsidR="002B358E">
        <w:rPr>
          <w:rFonts w:eastAsia="SimSun"/>
        </w:rPr>
        <w:t>due</w:t>
      </w:r>
      <w:r w:rsidR="0003395A" w:rsidRPr="006A488B">
        <w:rPr>
          <w:rFonts w:eastAsia="SimSun"/>
        </w:rPr>
        <w:t xml:space="preserve"> to be completed in early 2017</w:t>
      </w:r>
      <w:r>
        <w:rPr>
          <w:rFonts w:eastAsia="SimSun"/>
        </w:rPr>
        <w:t>;</w:t>
      </w:r>
    </w:p>
    <w:p w:rsidR="003F0AB4" w:rsidRDefault="00002678" w:rsidP="003F0AB4">
      <w:pPr>
        <w:pStyle w:val="ListParagraph"/>
        <w:numPr>
          <w:ilvl w:val="0"/>
          <w:numId w:val="12"/>
        </w:numPr>
        <w:suppressAutoHyphens w:val="0"/>
        <w:spacing w:before="0" w:after="0" w:line="240" w:lineRule="auto"/>
        <w:ind w:left="357" w:hanging="357"/>
        <w:contextualSpacing w:val="0"/>
        <w:rPr>
          <w:rFonts w:eastAsia="SimSun"/>
        </w:rPr>
      </w:pPr>
      <w:r w:rsidRPr="006A488B">
        <w:rPr>
          <w:rFonts w:eastAsia="SimSun"/>
        </w:rPr>
        <w:t>increased mobile (phone and internet) coverage</w:t>
      </w:r>
      <w:r>
        <w:rPr>
          <w:rFonts w:eastAsia="SimSun"/>
        </w:rPr>
        <w:t xml:space="preserve"> in Kiribati</w:t>
      </w:r>
      <w:r w:rsidR="005C5E5B">
        <w:rPr>
          <w:rFonts w:eastAsia="SimSun"/>
        </w:rPr>
        <w:t>, including in the outer islands,</w:t>
      </w:r>
      <w:r>
        <w:rPr>
          <w:rFonts w:eastAsia="SimSun"/>
        </w:rPr>
        <w:t xml:space="preserve"> as a result of reforms to the telecommunications sector, including </w:t>
      </w:r>
      <w:r w:rsidR="00240304">
        <w:rPr>
          <w:rFonts w:eastAsia="SimSun"/>
        </w:rPr>
        <w:t>t</w:t>
      </w:r>
      <w:r w:rsidR="006A488B" w:rsidRPr="006A488B">
        <w:rPr>
          <w:rFonts w:eastAsia="SimSun"/>
        </w:rPr>
        <w:t xml:space="preserve">he </w:t>
      </w:r>
      <w:r w:rsidR="003F0AB4" w:rsidRPr="006A488B">
        <w:rPr>
          <w:rFonts w:eastAsia="SimSun"/>
        </w:rPr>
        <w:t>privatisation</w:t>
      </w:r>
      <w:r w:rsidR="006A488B" w:rsidRPr="006A488B">
        <w:rPr>
          <w:rFonts w:eastAsia="SimSun"/>
        </w:rPr>
        <w:t xml:space="preserve"> of Telecommunications Services Kiribati Limited</w:t>
      </w:r>
      <w:r w:rsidR="002B358E">
        <w:rPr>
          <w:rFonts w:eastAsia="SimSun"/>
        </w:rPr>
        <w:t>. T</w:t>
      </w:r>
      <w:r w:rsidR="0003395A" w:rsidRPr="006A488B">
        <w:rPr>
          <w:rFonts w:eastAsia="SimSun"/>
        </w:rPr>
        <w:t xml:space="preserve">he project is </w:t>
      </w:r>
      <w:r w:rsidR="002B358E">
        <w:rPr>
          <w:rFonts w:eastAsia="SimSun"/>
        </w:rPr>
        <w:t>due</w:t>
      </w:r>
      <w:r w:rsidR="0003395A" w:rsidRPr="006A488B">
        <w:rPr>
          <w:rFonts w:eastAsia="SimSun"/>
        </w:rPr>
        <w:t xml:space="preserve"> to</w:t>
      </w:r>
      <w:r w:rsidR="006151CD">
        <w:rPr>
          <w:rFonts w:eastAsia="SimSun"/>
        </w:rPr>
        <w:t xml:space="preserve"> be</w:t>
      </w:r>
      <w:r w:rsidR="0003395A" w:rsidRPr="006A488B">
        <w:rPr>
          <w:rFonts w:eastAsia="SimSun"/>
        </w:rPr>
        <w:t xml:space="preserve"> complete</w:t>
      </w:r>
      <w:r w:rsidR="002B358E">
        <w:rPr>
          <w:rFonts w:eastAsia="SimSun"/>
        </w:rPr>
        <w:t>d</w:t>
      </w:r>
      <w:r w:rsidR="0003395A" w:rsidRPr="006A488B">
        <w:rPr>
          <w:rFonts w:eastAsia="SimSun"/>
        </w:rPr>
        <w:t xml:space="preserve"> in June 201</w:t>
      </w:r>
      <w:r w:rsidR="005E5A09">
        <w:rPr>
          <w:rFonts w:eastAsia="SimSun"/>
        </w:rPr>
        <w:t>8</w:t>
      </w:r>
      <w:r w:rsidR="00240304">
        <w:rPr>
          <w:rFonts w:eastAsia="SimSun"/>
        </w:rPr>
        <w:t>;</w:t>
      </w:r>
      <w:r w:rsidR="00650E8B">
        <w:rPr>
          <w:rFonts w:eastAsia="SimSun"/>
        </w:rPr>
        <w:t xml:space="preserve"> and</w:t>
      </w:r>
    </w:p>
    <w:p w:rsidR="0003395A" w:rsidRPr="003F0AB4" w:rsidRDefault="00240304" w:rsidP="003F0AB4">
      <w:pPr>
        <w:pStyle w:val="ListParagraph"/>
        <w:numPr>
          <w:ilvl w:val="0"/>
          <w:numId w:val="12"/>
        </w:numPr>
        <w:suppressAutoHyphens w:val="0"/>
        <w:spacing w:before="0" w:after="0" w:line="240" w:lineRule="auto"/>
        <w:ind w:left="357" w:hanging="357"/>
        <w:contextualSpacing w:val="0"/>
        <w:rPr>
          <w:rFonts w:eastAsia="SimSun"/>
        </w:rPr>
      </w:pPr>
      <w:r w:rsidRPr="003F0AB4">
        <w:rPr>
          <w:rFonts w:eastAsia="SimSun"/>
        </w:rPr>
        <w:t xml:space="preserve">installation </w:t>
      </w:r>
      <w:r>
        <w:rPr>
          <w:rFonts w:eastAsia="SimSun"/>
        </w:rPr>
        <w:t>of an</w:t>
      </w:r>
      <w:r w:rsidRPr="003F0AB4">
        <w:rPr>
          <w:rFonts w:eastAsia="SimSun"/>
        </w:rPr>
        <w:t xml:space="preserve"> </w:t>
      </w:r>
      <w:r w:rsidR="0003395A" w:rsidRPr="003F0AB4">
        <w:rPr>
          <w:rFonts w:eastAsia="SimSun"/>
        </w:rPr>
        <w:t>approximately 500</w:t>
      </w:r>
      <w:r w:rsidR="002C6038">
        <w:rPr>
          <w:rFonts w:eastAsia="SimSun"/>
        </w:rPr>
        <w:t xml:space="preserve"> k</w:t>
      </w:r>
      <w:r w:rsidR="0003395A" w:rsidRPr="003F0AB4">
        <w:rPr>
          <w:rFonts w:eastAsia="SimSun"/>
        </w:rPr>
        <w:t>ilowatt peak capacity solar grid</w:t>
      </w:r>
      <w:r w:rsidR="006A488B" w:rsidRPr="003F0AB4">
        <w:rPr>
          <w:rFonts w:eastAsia="SimSun"/>
        </w:rPr>
        <w:t xml:space="preserve"> </w:t>
      </w:r>
      <w:r w:rsidRPr="003F0AB4">
        <w:rPr>
          <w:rFonts w:eastAsia="SimSun"/>
        </w:rPr>
        <w:t>commence</w:t>
      </w:r>
      <w:r>
        <w:rPr>
          <w:rFonts w:eastAsia="SimSun"/>
        </w:rPr>
        <w:t>d</w:t>
      </w:r>
      <w:r w:rsidRPr="003F0AB4">
        <w:rPr>
          <w:rFonts w:eastAsia="SimSun"/>
        </w:rPr>
        <w:t xml:space="preserve"> in January 2016</w:t>
      </w:r>
      <w:r w:rsidR="00934DED">
        <w:rPr>
          <w:rFonts w:eastAsia="SimSun"/>
        </w:rPr>
        <w:t>,</w:t>
      </w:r>
      <w:r>
        <w:rPr>
          <w:rFonts w:eastAsia="SimSun"/>
        </w:rPr>
        <w:t xml:space="preserve"> to</w:t>
      </w:r>
      <w:r w:rsidR="006A488B" w:rsidRPr="003F0AB4">
        <w:rPr>
          <w:rFonts w:eastAsia="SimSun"/>
        </w:rPr>
        <w:t xml:space="preserve"> reduce Kiribati’s dependence on imported </w:t>
      </w:r>
      <w:r w:rsidR="00934DED">
        <w:rPr>
          <w:rFonts w:eastAsia="SimSun"/>
        </w:rPr>
        <w:t>diesel</w:t>
      </w:r>
      <w:r w:rsidR="006A488B" w:rsidRPr="003F0AB4">
        <w:rPr>
          <w:rFonts w:eastAsia="SimSun"/>
        </w:rPr>
        <w:t xml:space="preserve"> for power generation</w:t>
      </w:r>
      <w:r w:rsidR="00934DED">
        <w:rPr>
          <w:rFonts w:eastAsia="SimSun"/>
        </w:rPr>
        <w:t>,</w:t>
      </w:r>
      <w:r w:rsidR="006A488B" w:rsidRPr="003F0AB4">
        <w:rPr>
          <w:rFonts w:eastAsia="SimSun"/>
        </w:rPr>
        <w:t xml:space="preserve"> and is </w:t>
      </w:r>
      <w:r w:rsidR="002B358E">
        <w:rPr>
          <w:rFonts w:eastAsia="SimSun"/>
        </w:rPr>
        <w:t>due</w:t>
      </w:r>
      <w:r w:rsidR="0003395A" w:rsidRPr="003F0AB4">
        <w:rPr>
          <w:rFonts w:eastAsia="SimSun"/>
        </w:rPr>
        <w:t xml:space="preserve"> to be completed </w:t>
      </w:r>
      <w:r w:rsidR="006151CD">
        <w:rPr>
          <w:rFonts w:eastAsia="SimSun"/>
        </w:rPr>
        <w:t>by</w:t>
      </w:r>
      <w:r w:rsidR="0003395A" w:rsidRPr="003F0AB4">
        <w:rPr>
          <w:rFonts w:eastAsia="SimSun"/>
        </w:rPr>
        <w:t xml:space="preserve"> the end of 2016. </w:t>
      </w:r>
    </w:p>
    <w:p w:rsidR="0003395A" w:rsidRDefault="001F4FAA" w:rsidP="00494A36">
      <w:r>
        <w:rPr>
          <w:lang w:val="en-US"/>
        </w:rPr>
        <w:t xml:space="preserve">Australia is </w:t>
      </w:r>
      <w:r w:rsidR="00934DED">
        <w:rPr>
          <w:lang w:val="en-US"/>
        </w:rPr>
        <w:t xml:space="preserve">also </w:t>
      </w:r>
      <w:r>
        <w:rPr>
          <w:lang w:val="en-US"/>
        </w:rPr>
        <w:t xml:space="preserve">working </w:t>
      </w:r>
      <w:r w:rsidR="00934DED">
        <w:rPr>
          <w:lang w:val="en-US"/>
        </w:rPr>
        <w:t xml:space="preserve">with Kiribati </w:t>
      </w:r>
      <w:r>
        <w:rPr>
          <w:lang w:val="en-US"/>
        </w:rPr>
        <w:t xml:space="preserve">to address issues of </w:t>
      </w:r>
      <w:r w:rsidR="006151CD">
        <w:rPr>
          <w:lang w:val="en-US"/>
        </w:rPr>
        <w:t xml:space="preserve">climate change resilience, </w:t>
      </w:r>
      <w:r>
        <w:rPr>
          <w:lang w:val="en-US"/>
        </w:rPr>
        <w:t xml:space="preserve">gender equality, </w:t>
      </w:r>
      <w:r w:rsidR="006151CD">
        <w:rPr>
          <w:lang w:val="en-US"/>
        </w:rPr>
        <w:t xml:space="preserve">and </w:t>
      </w:r>
      <w:r>
        <w:rPr>
          <w:lang w:val="en-US"/>
        </w:rPr>
        <w:t>inclusion of people with disability.</w:t>
      </w:r>
      <w:r>
        <w:t xml:space="preserve"> R</w:t>
      </w:r>
      <w:r w:rsidR="00ED38C1">
        <w:t>esults achieved</w:t>
      </w:r>
      <w:r w:rsidR="003F0AB4">
        <w:t xml:space="preserve"> </w:t>
      </w:r>
      <w:r w:rsidR="002A77BD">
        <w:t>in 2015-16</w:t>
      </w:r>
      <w:r w:rsidR="00206072">
        <w:t xml:space="preserve"> </w:t>
      </w:r>
      <w:r w:rsidR="003F0AB4">
        <w:t>includ</w:t>
      </w:r>
      <w:r w:rsidR="007502C2">
        <w:t>ed:</w:t>
      </w:r>
      <w:r w:rsidR="003F0AB4">
        <w:t xml:space="preserve"> </w:t>
      </w:r>
    </w:p>
    <w:p w:rsidR="006E7327" w:rsidRPr="001A4D13" w:rsidRDefault="005B128B" w:rsidP="00DB7BDC">
      <w:pPr>
        <w:pStyle w:val="ListParagraph"/>
        <w:numPr>
          <w:ilvl w:val="0"/>
          <w:numId w:val="12"/>
        </w:numPr>
        <w:suppressAutoHyphens w:val="0"/>
        <w:autoSpaceDE w:val="0"/>
        <w:autoSpaceDN w:val="0"/>
        <w:adjustRightInd w:val="0"/>
        <w:spacing w:before="0" w:after="0" w:line="240" w:lineRule="auto"/>
        <w:rPr>
          <w:rFonts w:eastAsia="SimSun"/>
        </w:rPr>
      </w:pPr>
      <w:r>
        <w:rPr>
          <w:rFonts w:eastAsia="SimSun"/>
        </w:rPr>
        <w:t>t</w:t>
      </w:r>
      <w:r w:rsidR="00C478FB" w:rsidRPr="001A4D13">
        <w:rPr>
          <w:rFonts w:eastAsia="SimSun"/>
        </w:rPr>
        <w:t xml:space="preserve">he World Bank-led </w:t>
      </w:r>
      <w:r w:rsidR="00C478FB" w:rsidRPr="001A4D13">
        <w:rPr>
          <w:rFonts w:eastAsia="SimSun"/>
          <w:i/>
        </w:rPr>
        <w:t>Kiribati Adaption Project Phase III</w:t>
      </w:r>
      <w:r w:rsidR="00C478FB" w:rsidRPr="001A4D13">
        <w:rPr>
          <w:rFonts w:eastAsia="SimSun"/>
        </w:rPr>
        <w:t xml:space="preserve"> (Australia’s contribution $5.1 million, 2011-16)</w:t>
      </w:r>
      <w:r w:rsidR="006E7327" w:rsidRPr="001A4D13">
        <w:rPr>
          <w:szCs w:val="20"/>
        </w:rPr>
        <w:t xml:space="preserve"> is reducing coastal erosion and increasing the levels of freshwater supplies.</w:t>
      </w:r>
      <w:r w:rsidR="00C478FB" w:rsidRPr="001A4D13">
        <w:rPr>
          <w:rFonts w:eastAsia="SimSun"/>
        </w:rPr>
        <w:t xml:space="preserve"> </w:t>
      </w:r>
      <w:r w:rsidR="006E7327" w:rsidRPr="001A4D13">
        <w:rPr>
          <w:rFonts w:eastAsia="SimSun"/>
        </w:rPr>
        <w:t>Ongoing l</w:t>
      </w:r>
      <w:r w:rsidR="00DB7BDC" w:rsidRPr="001A4D13">
        <w:rPr>
          <w:rFonts w:eastAsia="SimSun"/>
        </w:rPr>
        <w:t xml:space="preserve">eakage detection and repair of </w:t>
      </w:r>
      <w:r w:rsidR="006E7327" w:rsidRPr="001A4D13">
        <w:rPr>
          <w:rFonts w:eastAsia="SimSun"/>
        </w:rPr>
        <w:t>water</w:t>
      </w:r>
      <w:r w:rsidR="00DB7BDC" w:rsidRPr="001A4D13">
        <w:rPr>
          <w:rFonts w:eastAsia="SimSun"/>
        </w:rPr>
        <w:t xml:space="preserve"> mains and reservoirs result</w:t>
      </w:r>
      <w:r w:rsidR="00934DED">
        <w:rPr>
          <w:rFonts w:eastAsia="SimSun"/>
        </w:rPr>
        <w:t>ed</w:t>
      </w:r>
      <w:r w:rsidR="00DB7BDC" w:rsidRPr="001A4D13">
        <w:rPr>
          <w:rFonts w:eastAsia="SimSun"/>
        </w:rPr>
        <w:t xml:space="preserve"> in 266 cu</w:t>
      </w:r>
      <w:r w:rsidR="006E7327" w:rsidRPr="001A4D13">
        <w:rPr>
          <w:rFonts w:eastAsia="SimSun"/>
        </w:rPr>
        <w:t xml:space="preserve">bic </w:t>
      </w:r>
      <w:r w:rsidR="00DB7BDC" w:rsidRPr="001A4D13">
        <w:rPr>
          <w:rFonts w:eastAsia="SimSun"/>
        </w:rPr>
        <w:t>m</w:t>
      </w:r>
      <w:r w:rsidR="006E7327" w:rsidRPr="001A4D13">
        <w:rPr>
          <w:rFonts w:eastAsia="SimSun"/>
        </w:rPr>
        <w:t>eters</w:t>
      </w:r>
      <w:r w:rsidR="00DB7BDC" w:rsidRPr="001A4D13">
        <w:rPr>
          <w:rFonts w:eastAsia="SimSun"/>
        </w:rPr>
        <w:t xml:space="preserve"> per day of potable water</w:t>
      </w:r>
      <w:r w:rsidR="001A4D13" w:rsidRPr="001A4D13">
        <w:rPr>
          <w:rFonts w:eastAsia="SimSun"/>
        </w:rPr>
        <w:t xml:space="preserve"> being </w:t>
      </w:r>
      <w:r w:rsidR="00DB7BDC" w:rsidRPr="001A4D13">
        <w:rPr>
          <w:rFonts w:eastAsia="SimSun"/>
        </w:rPr>
        <w:t xml:space="preserve">saved </w:t>
      </w:r>
      <w:r w:rsidR="006E7327" w:rsidRPr="001A4D13">
        <w:rPr>
          <w:rFonts w:eastAsia="SimSun"/>
        </w:rPr>
        <w:t>(</w:t>
      </w:r>
      <w:r w:rsidR="00DB7BDC" w:rsidRPr="001A4D13">
        <w:rPr>
          <w:rFonts w:eastAsia="SimSun"/>
        </w:rPr>
        <w:t>exceeding the</w:t>
      </w:r>
      <w:r w:rsidR="001A4D13" w:rsidRPr="001A4D13">
        <w:rPr>
          <w:rFonts w:eastAsia="SimSun"/>
        </w:rPr>
        <w:t xml:space="preserve"> project</w:t>
      </w:r>
      <w:r w:rsidR="00DB7BDC" w:rsidRPr="001A4D13">
        <w:rPr>
          <w:rFonts w:eastAsia="SimSun"/>
        </w:rPr>
        <w:t xml:space="preserve"> target of </w:t>
      </w:r>
      <w:r w:rsidR="006E7327" w:rsidRPr="001A4D13">
        <w:rPr>
          <w:rFonts w:eastAsia="SimSun"/>
        </w:rPr>
        <w:t>190 cubic meters per day). Rainwater harvesting systems in Banaba and North Tarawa</w:t>
      </w:r>
      <w:r w:rsidR="001A4D13" w:rsidRPr="001A4D13">
        <w:rPr>
          <w:rFonts w:eastAsia="SimSun"/>
        </w:rPr>
        <w:t xml:space="preserve"> </w:t>
      </w:r>
      <w:r w:rsidR="006E7327" w:rsidRPr="001A4D13">
        <w:rPr>
          <w:rFonts w:eastAsia="SimSun"/>
        </w:rPr>
        <w:t xml:space="preserve">have been substantially completed, providing 4.3 cubic meters of potable water per day. </w:t>
      </w:r>
      <w:r w:rsidR="001A4D13" w:rsidRPr="001A4D13">
        <w:rPr>
          <w:rFonts w:eastAsia="SimSun"/>
        </w:rPr>
        <w:t>Coastal</w:t>
      </w:r>
      <w:r w:rsidR="00DB7BDC" w:rsidRPr="001A4D13">
        <w:rPr>
          <w:rFonts w:eastAsia="SimSun"/>
        </w:rPr>
        <w:t xml:space="preserve"> protection works on South Tarawa combined with the mangrove planting activity </w:t>
      </w:r>
      <w:r w:rsidR="001A4D13" w:rsidRPr="001A4D13">
        <w:rPr>
          <w:rFonts w:eastAsia="SimSun"/>
        </w:rPr>
        <w:t>on</w:t>
      </w:r>
      <w:r w:rsidR="00DB7BDC" w:rsidRPr="001A4D13">
        <w:rPr>
          <w:rFonts w:eastAsia="SimSun"/>
        </w:rPr>
        <w:t xml:space="preserve"> </w:t>
      </w:r>
      <w:r w:rsidR="006E7327" w:rsidRPr="001A4D13">
        <w:rPr>
          <w:rFonts w:eastAsia="SimSun"/>
        </w:rPr>
        <w:t xml:space="preserve">nine </w:t>
      </w:r>
      <w:r w:rsidR="00DB7BDC" w:rsidRPr="001A4D13">
        <w:rPr>
          <w:rFonts w:eastAsia="SimSun"/>
        </w:rPr>
        <w:t>outer islands</w:t>
      </w:r>
      <w:r w:rsidR="006E7327" w:rsidRPr="001A4D13">
        <w:rPr>
          <w:rFonts w:eastAsia="SimSun"/>
        </w:rPr>
        <w:t xml:space="preserve"> </w:t>
      </w:r>
      <w:r w:rsidR="00DB7BDC" w:rsidRPr="001A4D13">
        <w:rPr>
          <w:rFonts w:eastAsia="SimSun"/>
        </w:rPr>
        <w:t>ha</w:t>
      </w:r>
      <w:r w:rsidR="001A4D13" w:rsidRPr="001A4D13">
        <w:rPr>
          <w:rFonts w:eastAsia="SimSun"/>
        </w:rPr>
        <w:t>s</w:t>
      </w:r>
      <w:r w:rsidR="00DB7BDC" w:rsidRPr="001A4D13">
        <w:rPr>
          <w:rFonts w:eastAsia="SimSun"/>
        </w:rPr>
        <w:t xml:space="preserve"> resulted in 1.18 kilomet</w:t>
      </w:r>
      <w:r w:rsidR="0042660D">
        <w:rPr>
          <w:rFonts w:eastAsia="SimSun"/>
        </w:rPr>
        <w:t>r</w:t>
      </w:r>
      <w:r w:rsidR="00DB7BDC" w:rsidRPr="001A4D13">
        <w:rPr>
          <w:rFonts w:eastAsia="SimSun"/>
        </w:rPr>
        <w:t>es of coastline protected</w:t>
      </w:r>
      <w:r>
        <w:rPr>
          <w:rFonts w:eastAsia="SimSun"/>
        </w:rPr>
        <w:t>;</w:t>
      </w:r>
    </w:p>
    <w:p w:rsidR="000C500F" w:rsidRDefault="005B128B" w:rsidP="00FC18F7">
      <w:pPr>
        <w:pStyle w:val="ListParagraph"/>
        <w:numPr>
          <w:ilvl w:val="0"/>
          <w:numId w:val="12"/>
        </w:numPr>
        <w:suppressAutoHyphens w:val="0"/>
        <w:spacing w:before="0" w:after="0" w:line="240" w:lineRule="auto"/>
        <w:contextualSpacing w:val="0"/>
        <w:rPr>
          <w:rFonts w:eastAsia="SimSun"/>
        </w:rPr>
      </w:pPr>
      <w:r>
        <w:rPr>
          <w:rFonts w:eastAsia="SimSun"/>
        </w:rPr>
        <w:t>a</w:t>
      </w:r>
      <w:r w:rsidR="0007766B">
        <w:rPr>
          <w:rFonts w:eastAsia="SimSun"/>
        </w:rPr>
        <w:t xml:space="preserve">ssistance </w:t>
      </w:r>
      <w:r>
        <w:rPr>
          <w:rFonts w:eastAsia="SimSun"/>
        </w:rPr>
        <w:t xml:space="preserve">to eliminate sexual and gender based violence in </w:t>
      </w:r>
      <w:r w:rsidRPr="00206072">
        <w:rPr>
          <w:rFonts w:eastAsia="SimSun"/>
        </w:rPr>
        <w:t xml:space="preserve">Kiribati </w:t>
      </w:r>
      <w:r>
        <w:rPr>
          <w:rFonts w:eastAsia="SimSun"/>
        </w:rPr>
        <w:t>under</w:t>
      </w:r>
      <w:r w:rsidRPr="00206072">
        <w:rPr>
          <w:rFonts w:eastAsia="SimSun"/>
        </w:rPr>
        <w:t xml:space="preserve"> </w:t>
      </w:r>
      <w:r w:rsidR="006151CD">
        <w:rPr>
          <w:rFonts w:eastAsia="SimSun"/>
        </w:rPr>
        <w:t>Australia’s</w:t>
      </w:r>
      <w:r w:rsidRPr="00206072">
        <w:rPr>
          <w:rFonts w:eastAsia="SimSun"/>
        </w:rPr>
        <w:t xml:space="preserve"> </w:t>
      </w:r>
      <w:r w:rsidRPr="002A77BD">
        <w:rPr>
          <w:rFonts w:eastAsia="SimSun"/>
          <w:i/>
        </w:rPr>
        <w:t>Pacific Women Shaping Pacific Development Initiative</w:t>
      </w:r>
      <w:r>
        <w:rPr>
          <w:rFonts w:eastAsia="SimSun"/>
        </w:rPr>
        <w:t xml:space="preserve"> </w:t>
      </w:r>
      <w:bookmarkStart w:id="1" w:name="_Toc451521869"/>
      <w:r w:rsidR="002A77BD">
        <w:rPr>
          <w:rFonts w:eastAsia="SimSun"/>
        </w:rPr>
        <w:t>($3 million, 2013</w:t>
      </w:r>
      <w:r w:rsidR="002A77BD" w:rsidRPr="00206072">
        <w:rPr>
          <w:rFonts w:eastAsia="SimSun"/>
        </w:rPr>
        <w:t>-16</w:t>
      </w:r>
      <w:r w:rsidR="002A77BD">
        <w:rPr>
          <w:rFonts w:eastAsia="SimSun"/>
        </w:rPr>
        <w:t>)</w:t>
      </w:r>
      <w:bookmarkEnd w:id="1"/>
      <w:r w:rsidR="00FE45A8">
        <w:rPr>
          <w:rFonts w:eastAsia="SimSun"/>
          <w:i/>
        </w:rPr>
        <w:t xml:space="preserve"> </w:t>
      </w:r>
      <w:r w:rsidR="00A204C8">
        <w:rPr>
          <w:rFonts w:eastAsia="SimSun"/>
        </w:rPr>
        <w:t xml:space="preserve">focussed on </w:t>
      </w:r>
      <w:r w:rsidR="00FC18F7">
        <w:rPr>
          <w:rFonts w:eastAsia="SimSun"/>
        </w:rPr>
        <w:t xml:space="preserve">training </w:t>
      </w:r>
      <w:r w:rsidR="00A204C8">
        <w:rPr>
          <w:rFonts w:eastAsia="SimSun"/>
        </w:rPr>
        <w:t xml:space="preserve">police and </w:t>
      </w:r>
      <w:r w:rsidR="00FC18F7">
        <w:rPr>
          <w:rFonts w:eastAsia="SimSun"/>
        </w:rPr>
        <w:t>judicial</w:t>
      </w:r>
      <w:r w:rsidR="00A204C8">
        <w:rPr>
          <w:rFonts w:eastAsia="SimSun"/>
        </w:rPr>
        <w:t xml:space="preserve"> </w:t>
      </w:r>
      <w:r w:rsidR="00FC18F7" w:rsidRPr="00FC18F7">
        <w:rPr>
          <w:rFonts w:eastAsia="SimSun"/>
        </w:rPr>
        <w:t xml:space="preserve">officers from </w:t>
      </w:r>
      <w:r w:rsidR="00FC18F7">
        <w:rPr>
          <w:rFonts w:eastAsia="SimSun"/>
        </w:rPr>
        <w:t xml:space="preserve">Tarawa and </w:t>
      </w:r>
      <w:r w:rsidR="00FC18F7" w:rsidRPr="00FC18F7">
        <w:rPr>
          <w:rFonts w:eastAsia="SimSun"/>
        </w:rPr>
        <w:t>the outer islands involved in sexual and gender based violence cases</w:t>
      </w:r>
      <w:r w:rsidR="00A204C8">
        <w:rPr>
          <w:rFonts w:eastAsia="SimSun"/>
        </w:rPr>
        <w:t>,</w:t>
      </w:r>
      <w:r w:rsidR="007A59C1">
        <w:rPr>
          <w:rFonts w:eastAsia="SimSun"/>
        </w:rPr>
        <w:t xml:space="preserve"> </w:t>
      </w:r>
      <w:r w:rsidR="000C500F" w:rsidRPr="00206072">
        <w:rPr>
          <w:rFonts w:eastAsia="SimSun"/>
        </w:rPr>
        <w:t xml:space="preserve">construction of </w:t>
      </w:r>
      <w:r w:rsidR="005905AD">
        <w:rPr>
          <w:rFonts w:eastAsia="SimSun"/>
        </w:rPr>
        <w:t>a</w:t>
      </w:r>
      <w:r w:rsidR="000C500F" w:rsidRPr="00206072">
        <w:rPr>
          <w:rFonts w:eastAsia="SimSun"/>
        </w:rPr>
        <w:t xml:space="preserve"> family health clinic </w:t>
      </w:r>
      <w:r w:rsidR="00FC18F7">
        <w:rPr>
          <w:rFonts w:eastAsia="SimSun"/>
        </w:rPr>
        <w:t>at the central hospital in Tarawa</w:t>
      </w:r>
      <w:r w:rsidR="00FC18F7" w:rsidRPr="00206072">
        <w:rPr>
          <w:rFonts w:eastAsia="SimSun"/>
        </w:rPr>
        <w:t xml:space="preserve"> </w:t>
      </w:r>
      <w:r w:rsidR="000C500F" w:rsidRPr="00206072">
        <w:rPr>
          <w:rFonts w:eastAsia="SimSun"/>
        </w:rPr>
        <w:t>for victims of violence</w:t>
      </w:r>
      <w:r w:rsidR="005905AD">
        <w:rPr>
          <w:rFonts w:eastAsia="SimSun"/>
        </w:rPr>
        <w:t>,</w:t>
      </w:r>
      <w:r w:rsidR="006730BE">
        <w:rPr>
          <w:rFonts w:eastAsia="SimSun"/>
        </w:rPr>
        <w:t xml:space="preserve"> </w:t>
      </w:r>
      <w:r w:rsidR="00DA20DE">
        <w:rPr>
          <w:rFonts w:eastAsia="SimSun"/>
        </w:rPr>
        <w:t xml:space="preserve">and </w:t>
      </w:r>
      <w:r w:rsidR="006730BE">
        <w:rPr>
          <w:rFonts w:eastAsia="SimSun"/>
        </w:rPr>
        <w:t>development of a ‘Respectf</w:t>
      </w:r>
      <w:bookmarkStart w:id="2" w:name="_GoBack"/>
      <w:bookmarkEnd w:id="2"/>
      <w:r w:rsidR="006730BE">
        <w:rPr>
          <w:rFonts w:eastAsia="SimSun"/>
        </w:rPr>
        <w:t>ul Relationships’ program for</w:t>
      </w:r>
      <w:r w:rsidR="005905AD">
        <w:rPr>
          <w:rFonts w:eastAsia="SimSun"/>
        </w:rPr>
        <w:t xml:space="preserve"> all</w:t>
      </w:r>
      <w:r w:rsidR="006730BE">
        <w:rPr>
          <w:rFonts w:eastAsia="SimSun"/>
        </w:rPr>
        <w:t xml:space="preserve"> junior and senior high schools</w:t>
      </w:r>
      <w:r w:rsidR="005905AD">
        <w:rPr>
          <w:rFonts w:eastAsia="SimSun"/>
        </w:rPr>
        <w:t>;</w:t>
      </w:r>
      <w:r w:rsidR="000C500F" w:rsidRPr="00206072">
        <w:rPr>
          <w:rFonts w:eastAsia="SimSun"/>
        </w:rPr>
        <w:t xml:space="preserve"> </w:t>
      </w:r>
      <w:r w:rsidR="004F28F6">
        <w:rPr>
          <w:rFonts w:eastAsia="SimSun"/>
        </w:rPr>
        <w:t>and</w:t>
      </w:r>
    </w:p>
    <w:p w:rsidR="00C478FB" w:rsidRDefault="00ED38C1" w:rsidP="003722BC">
      <w:pPr>
        <w:pStyle w:val="ListParagraph"/>
        <w:numPr>
          <w:ilvl w:val="0"/>
          <w:numId w:val="12"/>
        </w:numPr>
        <w:suppressAutoHyphens w:val="0"/>
        <w:spacing w:before="0" w:after="0" w:line="240" w:lineRule="auto"/>
        <w:contextualSpacing w:val="0"/>
        <w:rPr>
          <w:lang w:val="en-US"/>
        </w:rPr>
      </w:pPr>
      <w:r w:rsidRPr="00166456">
        <w:rPr>
          <w:lang w:val="en-US"/>
        </w:rPr>
        <w:t xml:space="preserve">Australia provided quality assurance advice and capacity building to the </w:t>
      </w:r>
      <w:r w:rsidR="002A77BD" w:rsidRPr="00166456">
        <w:rPr>
          <w:lang w:val="en-US"/>
        </w:rPr>
        <w:t xml:space="preserve">Kiribati </w:t>
      </w:r>
      <w:r w:rsidRPr="00166456">
        <w:rPr>
          <w:lang w:val="en-US"/>
        </w:rPr>
        <w:t>Ministry of Public Works and Utilities</w:t>
      </w:r>
      <w:r w:rsidR="004F28F6">
        <w:rPr>
          <w:lang w:val="en-US"/>
        </w:rPr>
        <w:t>,</w:t>
      </w:r>
      <w:r w:rsidRPr="00166456">
        <w:rPr>
          <w:lang w:val="en-US"/>
        </w:rPr>
        <w:t xml:space="preserve"> to ensure disability-related construction activities are fit for purpose and in line with the Kiribati national building code and Australian accessibility design guideline</w:t>
      </w:r>
      <w:r w:rsidR="005B128B">
        <w:rPr>
          <w:lang w:val="en-US"/>
        </w:rPr>
        <w:t>s</w:t>
      </w:r>
      <w:r w:rsidRPr="00166456">
        <w:rPr>
          <w:lang w:val="en-US"/>
        </w:rPr>
        <w:t xml:space="preserve"> </w:t>
      </w:r>
      <w:r w:rsidR="005B128B">
        <w:rPr>
          <w:lang w:val="en-US"/>
        </w:rPr>
        <w:t>($70,000, 2015-16)</w:t>
      </w:r>
      <w:r w:rsidRPr="00166456">
        <w:rPr>
          <w:lang w:val="en-US"/>
        </w:rPr>
        <w:t>.</w:t>
      </w:r>
    </w:p>
    <w:p w:rsidR="00D3258C" w:rsidRPr="00433A8E" w:rsidRDefault="00850F1F" w:rsidP="00433A8E">
      <w:pPr>
        <w:pStyle w:val="ListBullet"/>
        <w:tabs>
          <w:tab w:val="clear" w:pos="284"/>
        </w:tabs>
        <w:spacing w:before="40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Progress towards Performance Benchmarks in 2015</w:t>
      </w:r>
      <w:r w:rsidRPr="008C2F58">
        <w:rPr>
          <w:rFonts w:asciiTheme="majorHAnsi" w:eastAsiaTheme="majorEastAsia" w:hAnsiTheme="majorHAnsi" w:cstheme="majorBidi"/>
          <w:caps/>
          <w:color w:val="495965" w:themeColor="text2"/>
          <w:sz w:val="36"/>
          <w:szCs w:val="26"/>
          <w:lang w:val="en-GB" w:eastAsia="en-US"/>
        </w:rPr>
        <w:noBreakHyphen/>
        <w:t>16</w:t>
      </w:r>
    </w:p>
    <w:tbl>
      <w:tblPr>
        <w:tblStyle w:val="DFATTable"/>
        <w:tblpPr w:leftFromText="180" w:rightFromText="180" w:vertAnchor="text" w:tblpY="1"/>
        <w:tblOverlap w:val="never"/>
        <w:tblW w:w="5000" w:type="pct"/>
        <w:tblLook w:val="04A0" w:firstRow="1" w:lastRow="0" w:firstColumn="1" w:lastColumn="0" w:noHBand="0" w:noVBand="1"/>
      </w:tblPr>
      <w:tblGrid>
        <w:gridCol w:w="1350"/>
        <w:gridCol w:w="1799"/>
        <w:gridCol w:w="842"/>
        <w:gridCol w:w="5647"/>
      </w:tblGrid>
      <w:tr w:rsidR="00D3258C" w:rsidRPr="00C4114C" w:rsidTr="00D3258C">
        <w:trPr>
          <w:trHeight w:val="38"/>
          <w:tblHeader/>
        </w:trPr>
        <w:tc>
          <w:tcPr>
            <w:tcW w:w="702" w:type="pct"/>
            <w:tcBorders>
              <w:bottom w:val="nil"/>
            </w:tcBorders>
            <w:tcMar>
              <w:top w:w="57" w:type="dxa"/>
              <w:bottom w:w="57" w:type="dxa"/>
            </w:tcMar>
          </w:tcPr>
          <w:p w:rsidR="00D3258C" w:rsidRPr="00812509" w:rsidRDefault="00D3258C" w:rsidP="004F28F6">
            <w:pPr>
              <w:pStyle w:val="TableHeading1"/>
              <w:keepNext/>
              <w:rPr>
                <w:rFonts w:asciiTheme="minorHAnsi" w:hAnsiTheme="minorHAnsi"/>
              </w:rPr>
            </w:pPr>
            <w:r w:rsidRPr="00812509">
              <w:rPr>
                <w:rFonts w:asciiTheme="minorHAnsi" w:hAnsiTheme="minorHAnsi"/>
              </w:rPr>
              <w:t>Aid objective</w:t>
            </w:r>
          </w:p>
        </w:tc>
        <w:tc>
          <w:tcPr>
            <w:tcW w:w="935" w:type="pct"/>
            <w:tcBorders>
              <w:bottom w:val="nil"/>
            </w:tcBorders>
          </w:tcPr>
          <w:p w:rsidR="00D3258C" w:rsidRPr="00812509" w:rsidRDefault="00D3258C" w:rsidP="004F28F6">
            <w:pPr>
              <w:pStyle w:val="TableHeading1"/>
              <w:keepNext/>
              <w:rPr>
                <w:rFonts w:asciiTheme="minorHAnsi" w:hAnsiTheme="minorHAnsi"/>
              </w:rPr>
            </w:pPr>
            <w:r w:rsidRPr="00812509">
              <w:rPr>
                <w:rFonts w:asciiTheme="minorHAnsi" w:hAnsiTheme="minorHAnsi"/>
              </w:rPr>
              <w:t xml:space="preserve">2015-16 benchmark </w:t>
            </w:r>
          </w:p>
        </w:tc>
        <w:tc>
          <w:tcPr>
            <w:tcW w:w="432" w:type="pct"/>
            <w:tcBorders>
              <w:bottom w:val="nil"/>
            </w:tcBorders>
          </w:tcPr>
          <w:p w:rsidR="00D3258C" w:rsidRPr="00812509" w:rsidRDefault="00D3258C" w:rsidP="004F28F6">
            <w:pPr>
              <w:pStyle w:val="TableHeading1"/>
              <w:keepNext/>
              <w:rPr>
                <w:rFonts w:asciiTheme="minorHAnsi" w:hAnsiTheme="minorHAnsi"/>
              </w:rPr>
            </w:pPr>
            <w:r w:rsidRPr="00812509">
              <w:rPr>
                <w:rFonts w:asciiTheme="minorHAnsi" w:hAnsiTheme="minorHAnsi"/>
              </w:rPr>
              <w:t>Rating</w:t>
            </w:r>
          </w:p>
        </w:tc>
        <w:tc>
          <w:tcPr>
            <w:tcW w:w="2931" w:type="pct"/>
            <w:tcBorders>
              <w:bottom w:val="nil"/>
            </w:tcBorders>
          </w:tcPr>
          <w:p w:rsidR="00D3258C" w:rsidRPr="00812509" w:rsidRDefault="00D3258C" w:rsidP="004F28F6">
            <w:pPr>
              <w:pStyle w:val="TableHeading1"/>
              <w:keepNext/>
              <w:rPr>
                <w:rFonts w:asciiTheme="minorHAnsi" w:hAnsiTheme="minorHAnsi"/>
              </w:rPr>
            </w:pPr>
            <w:r w:rsidRPr="00812509">
              <w:rPr>
                <w:rFonts w:asciiTheme="minorHAnsi" w:hAnsiTheme="minorHAnsi"/>
              </w:rPr>
              <w:t>Progress in 2015-16</w:t>
            </w:r>
          </w:p>
        </w:tc>
      </w:tr>
      <w:tr w:rsidR="00D3258C" w:rsidRPr="00C4114C" w:rsidTr="00D3258C">
        <w:tc>
          <w:tcPr>
            <w:tcW w:w="702" w:type="pct"/>
            <w:tcBorders>
              <w:top w:val="nil"/>
              <w:bottom w:val="nil"/>
            </w:tcBorders>
            <w:tcMar>
              <w:top w:w="57" w:type="dxa"/>
              <w:bottom w:w="57" w:type="dxa"/>
            </w:tcMar>
          </w:tcPr>
          <w:p w:rsidR="00D3258C" w:rsidRPr="00812509" w:rsidRDefault="00D3258C" w:rsidP="004F28F6">
            <w:pPr>
              <w:pStyle w:val="TableTextEntries"/>
              <w:keepNext/>
              <w:rPr>
                <w:rFonts w:asciiTheme="minorHAnsi" w:hAnsiTheme="minorHAnsi"/>
              </w:rPr>
            </w:pPr>
            <w:r>
              <w:rPr>
                <w:rFonts w:asciiTheme="minorHAnsi" w:hAnsiTheme="minorHAnsi"/>
              </w:rPr>
              <w:t>Implementation of Economic Reform Plan</w:t>
            </w:r>
          </w:p>
        </w:tc>
        <w:tc>
          <w:tcPr>
            <w:tcW w:w="935" w:type="pct"/>
            <w:tcBorders>
              <w:top w:val="nil"/>
              <w:bottom w:val="nil"/>
            </w:tcBorders>
          </w:tcPr>
          <w:p w:rsidR="00D3258C" w:rsidRPr="00812509" w:rsidRDefault="00D3258C" w:rsidP="004F28F6">
            <w:pPr>
              <w:pStyle w:val="TableTextEntries"/>
              <w:keepNext/>
              <w:rPr>
                <w:rFonts w:asciiTheme="minorHAnsi" w:hAnsiTheme="minorHAnsi"/>
              </w:rPr>
            </w:pPr>
            <w:r w:rsidRPr="004F3C34">
              <w:rPr>
                <w:rFonts w:asciiTheme="minorHAnsi" w:hAnsiTheme="minorHAnsi"/>
              </w:rPr>
              <w:t>Procurement Review conducted and Development Fund Account #4 reconciled by Kiribati’s Ministry of Finance and Economic Development (as agreed under the Economic Reform Plan and Joint Policy Matrix)</w:t>
            </w:r>
          </w:p>
        </w:tc>
        <w:tc>
          <w:tcPr>
            <w:tcW w:w="432" w:type="pct"/>
            <w:tcBorders>
              <w:top w:val="nil"/>
              <w:bottom w:val="nil"/>
            </w:tcBorders>
            <w:shd w:val="clear" w:color="auto" w:fill="FFC000"/>
          </w:tcPr>
          <w:p w:rsidR="00D3258C" w:rsidRPr="00FC18F7" w:rsidRDefault="00D3258C" w:rsidP="004F28F6">
            <w:pPr>
              <w:pStyle w:val="TableTextEntries"/>
              <w:keepNext/>
              <w:jc w:val="center"/>
              <w:rPr>
                <w:rFonts w:asciiTheme="minorHAnsi" w:hAnsiTheme="minorHAnsi"/>
                <w:color w:val="FFFFFF" w:themeColor="background1"/>
              </w:rPr>
            </w:pPr>
            <w:r w:rsidRPr="00FC18F7">
              <w:rPr>
                <w:rFonts w:asciiTheme="minorHAnsi" w:hAnsiTheme="minorHAnsi"/>
                <w:color w:val="FFFFFF" w:themeColor="background1"/>
              </w:rPr>
              <w:t>Partially Achieved</w:t>
            </w:r>
          </w:p>
          <w:p w:rsidR="00D3258C" w:rsidRPr="00FC18F7" w:rsidRDefault="00D3258C" w:rsidP="004F28F6">
            <w:pPr>
              <w:rPr>
                <w:lang w:val="en-AU"/>
              </w:rPr>
            </w:pPr>
          </w:p>
          <w:p w:rsidR="00D3258C" w:rsidRPr="00FC18F7" w:rsidRDefault="00D3258C" w:rsidP="004F28F6">
            <w:pPr>
              <w:rPr>
                <w:lang w:val="en-AU"/>
              </w:rPr>
            </w:pPr>
          </w:p>
          <w:p w:rsidR="00D3258C" w:rsidRPr="00FC18F7" w:rsidRDefault="00D3258C" w:rsidP="004F28F6">
            <w:pPr>
              <w:rPr>
                <w:lang w:val="en-AU"/>
              </w:rPr>
            </w:pPr>
          </w:p>
          <w:p w:rsidR="00D3258C" w:rsidRPr="00FC18F7" w:rsidRDefault="00D3258C" w:rsidP="004F28F6">
            <w:pPr>
              <w:rPr>
                <w:lang w:val="en-AU"/>
              </w:rPr>
            </w:pPr>
          </w:p>
        </w:tc>
        <w:tc>
          <w:tcPr>
            <w:tcW w:w="2931" w:type="pct"/>
            <w:tcBorders>
              <w:top w:val="nil"/>
              <w:bottom w:val="nil"/>
            </w:tcBorders>
          </w:tcPr>
          <w:p w:rsidR="00D3258C" w:rsidRDefault="00D3258C" w:rsidP="004F28F6">
            <w:pPr>
              <w:pStyle w:val="TableTextEntries"/>
              <w:keepNext/>
              <w:rPr>
                <w:rFonts w:asciiTheme="minorHAnsi" w:hAnsiTheme="minorHAnsi"/>
              </w:rPr>
            </w:pPr>
            <w:r w:rsidRPr="00E52413">
              <w:rPr>
                <w:rFonts w:asciiTheme="minorHAnsi" w:hAnsiTheme="minorHAnsi"/>
              </w:rPr>
              <w:t>The Kiribati Ministry of Finance and Economic Development</w:t>
            </w:r>
            <w:r>
              <w:rPr>
                <w:rFonts w:asciiTheme="minorHAnsi" w:hAnsiTheme="minorHAnsi"/>
              </w:rPr>
              <w:t xml:space="preserve"> completed a</w:t>
            </w:r>
            <w:r w:rsidRPr="00E52413">
              <w:rPr>
                <w:rFonts w:asciiTheme="minorHAnsi" w:hAnsiTheme="minorHAnsi"/>
              </w:rPr>
              <w:t xml:space="preserve"> bank reconciliation </w:t>
            </w:r>
            <w:r>
              <w:rPr>
                <w:rFonts w:asciiTheme="minorHAnsi" w:hAnsiTheme="minorHAnsi"/>
              </w:rPr>
              <w:t xml:space="preserve">process </w:t>
            </w:r>
            <w:r w:rsidRPr="00E52413">
              <w:rPr>
                <w:rFonts w:asciiTheme="minorHAnsi" w:hAnsiTheme="minorHAnsi"/>
              </w:rPr>
              <w:t>in June 2016</w:t>
            </w:r>
            <w:r>
              <w:rPr>
                <w:rFonts w:asciiTheme="minorHAnsi" w:hAnsiTheme="minorHAnsi"/>
              </w:rPr>
              <w:t xml:space="preserve">.  </w:t>
            </w:r>
            <w:r w:rsidRPr="00E52413">
              <w:rPr>
                <w:rFonts w:asciiTheme="minorHAnsi" w:hAnsiTheme="minorHAnsi"/>
              </w:rPr>
              <w:t xml:space="preserve">However, the procurement review has been delayed by over 12 months due to Government of Kiribati funding issues. Post is assured this will be completed by the end of 2016 as the ADB have committed to fund the review. The Government of Kiribati and the ADB are in the final stages of recruitment, with interviews to be conducted in the </w:t>
            </w:r>
            <w:r w:rsidR="002E1224">
              <w:rPr>
                <w:rFonts w:asciiTheme="minorHAnsi" w:hAnsiTheme="minorHAnsi"/>
              </w:rPr>
              <w:t>coming</w:t>
            </w:r>
            <w:r w:rsidRPr="00E52413">
              <w:rPr>
                <w:rFonts w:asciiTheme="minorHAnsi" w:hAnsiTheme="minorHAnsi"/>
              </w:rPr>
              <w:t xml:space="preserve"> months.</w:t>
            </w:r>
          </w:p>
          <w:p w:rsidR="00D3258C" w:rsidRPr="00812509" w:rsidRDefault="00D3258C" w:rsidP="004F28F6">
            <w:pPr>
              <w:pStyle w:val="TableTextEntries"/>
              <w:keepNext/>
              <w:rPr>
                <w:rFonts w:asciiTheme="minorHAnsi" w:hAnsiTheme="minorHAnsi"/>
              </w:rPr>
            </w:pPr>
          </w:p>
        </w:tc>
      </w:tr>
      <w:tr w:rsidR="00D3258C" w:rsidRPr="00C4114C" w:rsidTr="00D3258C">
        <w:tc>
          <w:tcPr>
            <w:tcW w:w="702" w:type="pct"/>
            <w:tcBorders>
              <w:top w:val="nil"/>
            </w:tcBorders>
            <w:tcMar>
              <w:top w:w="57" w:type="dxa"/>
              <w:bottom w:w="57" w:type="dxa"/>
            </w:tcMar>
          </w:tcPr>
          <w:p w:rsidR="00D3258C" w:rsidRPr="00812509" w:rsidRDefault="00D3258C" w:rsidP="004F28F6">
            <w:pPr>
              <w:pStyle w:val="TableTextEntries"/>
              <w:keepNext/>
              <w:rPr>
                <w:rFonts w:asciiTheme="minorHAnsi" w:hAnsiTheme="minorHAnsi"/>
              </w:rPr>
            </w:pPr>
            <w:r w:rsidRPr="004F3C34">
              <w:rPr>
                <w:rFonts w:asciiTheme="minorHAnsi" w:hAnsiTheme="minorHAnsi"/>
              </w:rPr>
              <w:t>Better educated and healthier population</w:t>
            </w:r>
          </w:p>
        </w:tc>
        <w:tc>
          <w:tcPr>
            <w:tcW w:w="935" w:type="pct"/>
            <w:tcBorders>
              <w:top w:val="nil"/>
            </w:tcBorders>
          </w:tcPr>
          <w:p w:rsidR="00D3258C" w:rsidRPr="00812509" w:rsidRDefault="00D3258C" w:rsidP="004F28F6">
            <w:pPr>
              <w:pStyle w:val="TableTextEntries"/>
              <w:keepNext/>
              <w:rPr>
                <w:rFonts w:asciiTheme="minorHAnsi" w:hAnsiTheme="minorHAnsi"/>
              </w:rPr>
            </w:pPr>
            <w:r w:rsidRPr="004F3C34">
              <w:rPr>
                <w:rFonts w:asciiTheme="minorHAnsi" w:hAnsiTheme="minorHAnsi"/>
              </w:rPr>
              <w:t xml:space="preserve">Improved enrolment and retention rates for girls and boys (including for those with a disability) </w:t>
            </w:r>
          </w:p>
        </w:tc>
        <w:tc>
          <w:tcPr>
            <w:tcW w:w="432" w:type="pct"/>
            <w:tcBorders>
              <w:top w:val="nil"/>
              <w:bottom w:val="nil"/>
            </w:tcBorders>
            <w:shd w:val="clear" w:color="auto" w:fill="92D050"/>
          </w:tcPr>
          <w:p w:rsidR="00D3258C" w:rsidRPr="00327FCD" w:rsidRDefault="00D3258C" w:rsidP="004F28F6">
            <w:pPr>
              <w:pStyle w:val="TableTextEntries"/>
              <w:keepNext/>
              <w:jc w:val="center"/>
              <w:rPr>
                <w:rFonts w:asciiTheme="minorHAnsi" w:hAnsiTheme="minorHAnsi"/>
              </w:rPr>
            </w:pPr>
            <w:r w:rsidRPr="00327FCD">
              <w:rPr>
                <w:rFonts w:asciiTheme="minorHAnsi" w:hAnsiTheme="minorHAnsi"/>
                <w:color w:val="FFFFFF" w:themeColor="background1"/>
              </w:rPr>
              <w:t>Achieved</w:t>
            </w:r>
          </w:p>
        </w:tc>
        <w:tc>
          <w:tcPr>
            <w:tcW w:w="2931" w:type="pct"/>
            <w:tcBorders>
              <w:top w:val="nil"/>
            </w:tcBorders>
          </w:tcPr>
          <w:p w:rsidR="00D3258C" w:rsidRPr="00327FCD" w:rsidRDefault="00D3258C" w:rsidP="004F28F6">
            <w:pPr>
              <w:pStyle w:val="TableTextEntries"/>
              <w:keepNext/>
              <w:rPr>
                <w:rFonts w:asciiTheme="minorHAnsi" w:hAnsiTheme="minorHAnsi"/>
              </w:rPr>
            </w:pPr>
            <w:r w:rsidRPr="00A5459A">
              <w:rPr>
                <w:rFonts w:asciiTheme="minorHAnsi" w:hAnsiTheme="minorHAnsi"/>
              </w:rPr>
              <w:t>The primary school Net Enrolment Rate has increased from 82% in 2011 to 99% in 2015</w:t>
            </w:r>
            <w:r>
              <w:rPr>
                <w:rFonts w:asciiTheme="minorHAnsi" w:hAnsiTheme="minorHAnsi"/>
              </w:rPr>
              <w:t>.</w:t>
            </w:r>
            <w:r w:rsidRPr="00327FCD">
              <w:rPr>
                <w:rFonts w:asciiTheme="minorHAnsi" w:hAnsiTheme="minorHAnsi"/>
              </w:rPr>
              <w:t xml:space="preserve"> </w:t>
            </w:r>
          </w:p>
          <w:p w:rsidR="00D3258C" w:rsidRPr="00327FCD" w:rsidRDefault="00D3258C" w:rsidP="004F28F6">
            <w:pPr>
              <w:pStyle w:val="TableTextEntries"/>
              <w:keepNext/>
              <w:rPr>
                <w:rFonts w:asciiTheme="minorHAnsi" w:hAnsiTheme="minorHAnsi"/>
              </w:rPr>
            </w:pPr>
            <w:r w:rsidRPr="00327FCD">
              <w:rPr>
                <w:rFonts w:asciiTheme="minorHAnsi" w:hAnsiTheme="minorHAnsi"/>
              </w:rPr>
              <w:t>Australian support to the School and Centre for Children with Special Needs enabled the school to expand access to education from 179 children with special needs (96 boys and 84 girls) in 2015 to 185</w:t>
            </w:r>
            <w:r>
              <w:rPr>
                <w:rFonts w:asciiTheme="minorHAnsi" w:hAnsiTheme="minorHAnsi"/>
              </w:rPr>
              <w:t xml:space="preserve"> </w:t>
            </w:r>
            <w:r w:rsidRPr="00327FCD">
              <w:rPr>
                <w:rFonts w:asciiTheme="minorHAnsi" w:hAnsiTheme="minorHAnsi"/>
              </w:rPr>
              <w:t>(106 boys and 79 girls) in 2016</w:t>
            </w:r>
            <w:r>
              <w:rPr>
                <w:rFonts w:asciiTheme="minorHAnsi" w:hAnsiTheme="minorHAnsi"/>
              </w:rPr>
              <w:t>.</w:t>
            </w:r>
          </w:p>
        </w:tc>
      </w:tr>
      <w:tr w:rsidR="00D3258C" w:rsidRPr="00C4114C" w:rsidTr="00D3258C">
        <w:tc>
          <w:tcPr>
            <w:tcW w:w="702" w:type="pct"/>
            <w:tcMar>
              <w:top w:w="57" w:type="dxa"/>
              <w:bottom w:w="57" w:type="dxa"/>
            </w:tcMar>
          </w:tcPr>
          <w:p w:rsidR="00D3258C" w:rsidRDefault="00D3258C" w:rsidP="004F28F6">
            <w:pPr>
              <w:pStyle w:val="TableTextEntries"/>
              <w:keepNext/>
              <w:rPr>
                <w:rFonts w:cstheme="minorHAnsi"/>
              </w:rPr>
            </w:pPr>
          </w:p>
        </w:tc>
        <w:tc>
          <w:tcPr>
            <w:tcW w:w="935" w:type="pct"/>
            <w:tcBorders>
              <w:bottom w:val="nil"/>
            </w:tcBorders>
          </w:tcPr>
          <w:p w:rsidR="00D3258C" w:rsidRPr="004F3C34" w:rsidRDefault="00D3258C" w:rsidP="004F28F6">
            <w:pPr>
              <w:pStyle w:val="TableTextEntries"/>
              <w:keepNext/>
              <w:rPr>
                <w:rFonts w:asciiTheme="minorHAnsi" w:hAnsiTheme="minorHAnsi"/>
              </w:rPr>
            </w:pPr>
            <w:r w:rsidRPr="004F3C34">
              <w:rPr>
                <w:rFonts w:asciiTheme="minorHAnsi" w:hAnsiTheme="minorHAnsi"/>
              </w:rPr>
              <w:t xml:space="preserve">Increased number of female and male </w:t>
            </w:r>
            <w:r>
              <w:rPr>
                <w:rFonts w:asciiTheme="minorHAnsi" w:hAnsiTheme="minorHAnsi"/>
              </w:rPr>
              <w:t>I</w:t>
            </w:r>
            <w:r w:rsidRPr="004F3C34">
              <w:rPr>
                <w:rFonts w:asciiTheme="minorHAnsi" w:hAnsiTheme="minorHAnsi"/>
              </w:rPr>
              <w:t>-Kiribati are supported to access domestic, regional and international employment opportunities</w:t>
            </w:r>
          </w:p>
        </w:tc>
        <w:tc>
          <w:tcPr>
            <w:tcW w:w="432" w:type="pct"/>
            <w:tcBorders>
              <w:top w:val="nil"/>
              <w:bottom w:val="nil"/>
            </w:tcBorders>
            <w:shd w:val="clear" w:color="auto" w:fill="92D050"/>
          </w:tcPr>
          <w:p w:rsidR="00D3258C" w:rsidRPr="00327FCD" w:rsidRDefault="00D3258C" w:rsidP="004F28F6">
            <w:pPr>
              <w:pStyle w:val="TableTextEntries"/>
              <w:keepNext/>
              <w:jc w:val="center"/>
              <w:rPr>
                <w:rFonts w:asciiTheme="minorHAnsi" w:hAnsiTheme="minorHAnsi"/>
                <w:color w:val="FFFFFF" w:themeColor="background1"/>
              </w:rPr>
            </w:pPr>
            <w:r w:rsidRPr="00327FCD">
              <w:rPr>
                <w:rFonts w:asciiTheme="minorHAnsi" w:hAnsiTheme="minorHAnsi"/>
                <w:color w:val="FFFFFF" w:themeColor="background1"/>
              </w:rPr>
              <w:t>Achieved</w:t>
            </w:r>
          </w:p>
        </w:tc>
        <w:tc>
          <w:tcPr>
            <w:tcW w:w="2931" w:type="pct"/>
            <w:tcBorders>
              <w:bottom w:val="nil"/>
            </w:tcBorders>
          </w:tcPr>
          <w:p w:rsidR="00D3258C" w:rsidRPr="00CD5D6C" w:rsidRDefault="00D3258C" w:rsidP="004F28F6">
            <w:pPr>
              <w:pStyle w:val="TableTextEntries"/>
              <w:keepNext/>
              <w:rPr>
                <w:rFonts w:asciiTheme="minorHAnsi" w:hAnsiTheme="minorHAnsi"/>
              </w:rPr>
            </w:pPr>
            <w:r w:rsidRPr="00CD5D6C">
              <w:rPr>
                <w:rFonts w:asciiTheme="minorHAnsi" w:hAnsiTheme="minorHAnsi"/>
              </w:rPr>
              <w:t>17</w:t>
            </w:r>
            <w:r>
              <w:rPr>
                <w:rFonts w:asciiTheme="minorHAnsi" w:hAnsiTheme="minorHAnsi"/>
              </w:rPr>
              <w:t>2</w:t>
            </w:r>
            <w:r w:rsidRPr="00CD5D6C">
              <w:rPr>
                <w:rFonts w:asciiTheme="minorHAnsi" w:hAnsiTheme="minorHAnsi"/>
              </w:rPr>
              <w:t xml:space="preserve"> I-Kiribati women (92) and men (8</w:t>
            </w:r>
            <w:r>
              <w:rPr>
                <w:rFonts w:asciiTheme="minorHAnsi" w:hAnsiTheme="minorHAnsi"/>
              </w:rPr>
              <w:t>0</w:t>
            </w:r>
            <w:r w:rsidRPr="00CD5D6C">
              <w:rPr>
                <w:rFonts w:asciiTheme="minorHAnsi" w:hAnsiTheme="minorHAnsi"/>
              </w:rPr>
              <w:t>) graduated with an internationally recognised qualification from the Kiribati Institute of Technology in 2015</w:t>
            </w:r>
            <w:r>
              <w:rPr>
                <w:rFonts w:asciiTheme="minorHAnsi" w:hAnsiTheme="minorHAnsi"/>
              </w:rPr>
              <w:t>.</w:t>
            </w:r>
            <w:r w:rsidRPr="00CD5D6C">
              <w:rPr>
                <w:rFonts w:asciiTheme="minorHAnsi" w:hAnsiTheme="minorHAnsi"/>
              </w:rPr>
              <w:t xml:space="preserve"> </w:t>
            </w:r>
          </w:p>
          <w:p w:rsidR="00D3258C" w:rsidRPr="00CD5D6C" w:rsidRDefault="00D3258C" w:rsidP="004F28F6">
            <w:pPr>
              <w:pStyle w:val="TableTextEntries"/>
              <w:keepNext/>
              <w:rPr>
                <w:rFonts w:asciiTheme="minorHAnsi" w:hAnsiTheme="minorHAnsi"/>
              </w:rPr>
            </w:pPr>
            <w:r w:rsidRPr="00CD5D6C">
              <w:rPr>
                <w:rFonts w:asciiTheme="minorHAnsi" w:hAnsiTheme="minorHAnsi"/>
              </w:rPr>
              <w:t xml:space="preserve">Participation of women across accredited courses increased </w:t>
            </w:r>
            <w:r>
              <w:rPr>
                <w:rFonts w:asciiTheme="minorHAnsi" w:hAnsiTheme="minorHAnsi"/>
              </w:rPr>
              <w:t>to</w:t>
            </w:r>
            <w:r w:rsidRPr="00CD5D6C">
              <w:rPr>
                <w:rFonts w:asciiTheme="minorHAnsi" w:hAnsiTheme="minorHAnsi"/>
              </w:rPr>
              <w:t xml:space="preserve"> 39% in 2014 to 48% in 2015</w:t>
            </w:r>
            <w:r>
              <w:rPr>
                <w:rFonts w:asciiTheme="minorHAnsi" w:hAnsiTheme="minorHAnsi"/>
              </w:rPr>
              <w:t>, as a percentage of total enrolments</w:t>
            </w:r>
            <w:r w:rsidRPr="00CD5D6C">
              <w:rPr>
                <w:rFonts w:asciiTheme="minorHAnsi" w:hAnsiTheme="minorHAnsi"/>
              </w:rPr>
              <w:t>. Du</w:t>
            </w:r>
            <w:r>
              <w:rPr>
                <w:rFonts w:asciiTheme="minorHAnsi" w:hAnsiTheme="minorHAnsi"/>
              </w:rPr>
              <w:t xml:space="preserve">ring the reporting period, two </w:t>
            </w:r>
            <w:r w:rsidRPr="00CD5D6C">
              <w:rPr>
                <w:rFonts w:asciiTheme="minorHAnsi" w:hAnsiTheme="minorHAnsi"/>
              </w:rPr>
              <w:t xml:space="preserve">students identified themselves with a disability. </w:t>
            </w:r>
          </w:p>
          <w:p w:rsidR="00D3258C" w:rsidRPr="003C1F31" w:rsidRDefault="00D3258C" w:rsidP="004F28F6">
            <w:pPr>
              <w:pStyle w:val="TableTextEntries"/>
              <w:keepNext/>
              <w:rPr>
                <w:rFonts w:asciiTheme="minorHAnsi" w:hAnsiTheme="minorHAnsi"/>
              </w:rPr>
            </w:pPr>
            <w:r w:rsidRPr="003C1F31">
              <w:rPr>
                <w:rFonts w:asciiTheme="minorHAnsi" w:hAnsiTheme="minorHAnsi"/>
              </w:rPr>
              <w:t>32 awardees (17 male/15 female) were selected to commence Australia Award scholarships in Australia or the region in 2016, up from 30 in 2015. 27 awardees (10 male/17 female) successfully completed their awards in 2015, with a completion rate of 90</w:t>
            </w:r>
            <w:r>
              <w:rPr>
                <w:rFonts w:asciiTheme="minorHAnsi" w:hAnsiTheme="minorHAnsi"/>
              </w:rPr>
              <w:t>% (improving from 78%</w:t>
            </w:r>
            <w:r w:rsidRPr="003C1F31">
              <w:rPr>
                <w:rFonts w:asciiTheme="minorHAnsi" w:hAnsiTheme="minorHAnsi"/>
              </w:rPr>
              <w:t xml:space="preserve"> in 2010).</w:t>
            </w:r>
          </w:p>
          <w:p w:rsidR="00D3258C" w:rsidRDefault="00D3258C" w:rsidP="004F28F6">
            <w:pPr>
              <w:suppressAutoHyphens w:val="0"/>
              <w:spacing w:before="0" w:line="240" w:lineRule="auto"/>
              <w:rPr>
                <w:rFonts w:asciiTheme="minorHAnsi" w:eastAsia="Times New Roman" w:hAnsiTheme="minorHAnsi" w:cs="Times New Roman"/>
                <w:iCs/>
                <w:color w:val="auto"/>
                <w:szCs w:val="17"/>
                <w:lang w:val="en-AU"/>
              </w:rPr>
            </w:pPr>
            <w:r w:rsidRPr="008F4581">
              <w:rPr>
                <w:rFonts w:asciiTheme="minorHAnsi" w:eastAsia="Times New Roman" w:hAnsiTheme="minorHAnsi" w:cs="Times New Roman"/>
                <w:iCs/>
                <w:color w:val="auto"/>
                <w:szCs w:val="17"/>
                <w:lang w:val="en-AU"/>
              </w:rPr>
              <w:t>20 I-Kiribati workers</w:t>
            </w:r>
            <w:r>
              <w:rPr>
                <w:rFonts w:asciiTheme="minorHAnsi" w:eastAsia="Times New Roman" w:hAnsiTheme="minorHAnsi" w:cs="Times New Roman"/>
                <w:iCs/>
                <w:color w:val="auto"/>
                <w:szCs w:val="17"/>
                <w:lang w:val="en-AU"/>
              </w:rPr>
              <w:t xml:space="preserve"> </w:t>
            </w:r>
            <w:r w:rsidRPr="008F4581">
              <w:rPr>
                <w:rFonts w:asciiTheme="minorHAnsi" w:eastAsia="Times New Roman" w:hAnsiTheme="minorHAnsi" w:cs="Times New Roman"/>
                <w:iCs/>
                <w:color w:val="auto"/>
                <w:szCs w:val="17"/>
                <w:lang w:val="en-AU"/>
              </w:rPr>
              <w:t>were provided with visas</w:t>
            </w:r>
            <w:r>
              <w:rPr>
                <w:rFonts w:asciiTheme="minorHAnsi" w:eastAsia="Times New Roman" w:hAnsiTheme="minorHAnsi" w:cs="Times New Roman"/>
                <w:iCs/>
                <w:color w:val="auto"/>
                <w:szCs w:val="17"/>
                <w:lang w:val="en-AU"/>
              </w:rPr>
              <w:t xml:space="preserve"> to work</w:t>
            </w:r>
            <w:r w:rsidRPr="008F4581">
              <w:rPr>
                <w:rFonts w:asciiTheme="minorHAnsi" w:eastAsia="Times New Roman" w:hAnsiTheme="minorHAnsi" w:cs="Times New Roman"/>
                <w:iCs/>
                <w:color w:val="auto"/>
                <w:szCs w:val="17"/>
                <w:lang w:val="en-AU"/>
              </w:rPr>
              <w:t xml:space="preserve"> under the </w:t>
            </w:r>
            <w:r w:rsidRPr="004776BA">
              <w:rPr>
                <w:rFonts w:asciiTheme="minorHAnsi" w:eastAsia="Times New Roman" w:hAnsiTheme="minorHAnsi" w:cs="Times New Roman"/>
                <w:i/>
                <w:iCs/>
                <w:color w:val="auto"/>
                <w:szCs w:val="17"/>
                <w:lang w:val="en-AU"/>
              </w:rPr>
              <w:t>Seasonal Workers Programme</w:t>
            </w:r>
            <w:r w:rsidRPr="008F4581">
              <w:rPr>
                <w:rFonts w:asciiTheme="minorHAnsi" w:eastAsia="Times New Roman" w:hAnsiTheme="minorHAnsi" w:cs="Times New Roman"/>
                <w:iCs/>
                <w:color w:val="auto"/>
                <w:szCs w:val="17"/>
                <w:lang w:val="en-AU"/>
              </w:rPr>
              <w:t xml:space="preserve"> </w:t>
            </w:r>
            <w:r>
              <w:rPr>
                <w:rFonts w:asciiTheme="minorHAnsi" w:eastAsia="Times New Roman" w:hAnsiTheme="minorHAnsi" w:cs="Times New Roman"/>
                <w:iCs/>
                <w:color w:val="auto"/>
                <w:szCs w:val="17"/>
                <w:lang w:val="en-AU"/>
              </w:rPr>
              <w:t>in 2015-16.</w:t>
            </w:r>
          </w:p>
          <w:p w:rsidR="00D3258C" w:rsidRPr="00327FCD" w:rsidRDefault="00D3258C" w:rsidP="004F28F6">
            <w:pPr>
              <w:suppressAutoHyphens w:val="0"/>
              <w:spacing w:before="0" w:after="0" w:line="240" w:lineRule="auto"/>
              <w:rPr>
                <w:rFonts w:asciiTheme="minorHAnsi" w:hAnsiTheme="minorHAnsi"/>
                <w:szCs w:val="17"/>
              </w:rPr>
            </w:pPr>
            <w:r>
              <w:rPr>
                <w:rFonts w:asciiTheme="minorHAnsi" w:eastAsia="Times New Roman" w:hAnsiTheme="minorHAnsi" w:cs="Times New Roman"/>
                <w:iCs/>
                <w:color w:val="auto"/>
                <w:szCs w:val="17"/>
                <w:lang w:val="en-AU"/>
              </w:rPr>
              <w:t>A Memorandum of Understanding between the Governments of Australia and Kiribati was executed in April 2016 to enable I-</w:t>
            </w:r>
            <w:r w:rsidRPr="008F4581">
              <w:rPr>
                <w:rFonts w:asciiTheme="minorHAnsi" w:eastAsia="Times New Roman" w:hAnsiTheme="minorHAnsi" w:cs="Times New Roman"/>
                <w:iCs/>
                <w:color w:val="auto"/>
                <w:szCs w:val="17"/>
                <w:lang w:val="en-AU"/>
              </w:rPr>
              <w:t>Kiribati</w:t>
            </w:r>
            <w:r>
              <w:rPr>
                <w:rFonts w:asciiTheme="minorHAnsi" w:eastAsia="Times New Roman" w:hAnsiTheme="minorHAnsi" w:cs="Times New Roman"/>
                <w:iCs/>
                <w:color w:val="auto"/>
                <w:szCs w:val="17"/>
                <w:lang w:val="en-AU"/>
              </w:rPr>
              <w:t xml:space="preserve"> citizens</w:t>
            </w:r>
            <w:r w:rsidRPr="008F4581">
              <w:rPr>
                <w:rFonts w:asciiTheme="minorHAnsi" w:eastAsia="Times New Roman" w:hAnsiTheme="minorHAnsi" w:cs="Times New Roman"/>
                <w:iCs/>
                <w:color w:val="auto"/>
                <w:szCs w:val="17"/>
                <w:lang w:val="en-AU"/>
              </w:rPr>
              <w:t xml:space="preserve"> access multi-year visas to work in Northern Australia</w:t>
            </w:r>
            <w:r>
              <w:rPr>
                <w:rFonts w:asciiTheme="minorHAnsi" w:eastAsia="Times New Roman" w:hAnsiTheme="minorHAnsi" w:cs="Times New Roman"/>
                <w:iCs/>
                <w:color w:val="auto"/>
                <w:szCs w:val="17"/>
                <w:lang w:val="en-AU"/>
              </w:rPr>
              <w:t xml:space="preserve"> under the new </w:t>
            </w:r>
            <w:r w:rsidRPr="00352774">
              <w:rPr>
                <w:rFonts w:asciiTheme="minorHAnsi" w:eastAsia="Times New Roman" w:hAnsiTheme="minorHAnsi" w:cs="Times New Roman"/>
                <w:i/>
                <w:iCs/>
                <w:color w:val="auto"/>
                <w:szCs w:val="17"/>
                <w:lang w:val="en-AU"/>
              </w:rPr>
              <w:t>Pacific Microstates – Northern Australia</w:t>
            </w:r>
            <w:r>
              <w:rPr>
                <w:rFonts w:asciiTheme="minorHAnsi" w:eastAsia="Times New Roman" w:hAnsiTheme="minorHAnsi" w:cs="Times New Roman"/>
                <w:i/>
                <w:iCs/>
                <w:color w:val="auto"/>
                <w:szCs w:val="17"/>
                <w:lang w:val="en-AU"/>
              </w:rPr>
              <w:t xml:space="preserve"> Worker</w:t>
            </w:r>
            <w:r w:rsidRPr="00352774">
              <w:rPr>
                <w:rFonts w:asciiTheme="minorHAnsi" w:eastAsia="Times New Roman" w:hAnsiTheme="minorHAnsi" w:cs="Times New Roman"/>
                <w:i/>
                <w:iCs/>
                <w:color w:val="auto"/>
                <w:szCs w:val="17"/>
                <w:lang w:val="en-AU"/>
              </w:rPr>
              <w:t xml:space="preserve"> Pilot Program</w:t>
            </w:r>
            <w:r w:rsidRPr="00D64F5E">
              <w:rPr>
                <w:rFonts w:asciiTheme="minorHAnsi" w:eastAsia="Times New Roman" w:hAnsiTheme="minorHAnsi" w:cs="Times New Roman"/>
                <w:iCs/>
                <w:color w:val="auto"/>
                <w:szCs w:val="17"/>
                <w:lang w:val="en-AU"/>
              </w:rPr>
              <w:t>.</w:t>
            </w:r>
          </w:p>
        </w:tc>
      </w:tr>
      <w:tr w:rsidR="00D3258C" w:rsidRPr="00C4114C" w:rsidTr="00D3258C">
        <w:tc>
          <w:tcPr>
            <w:tcW w:w="702" w:type="pct"/>
            <w:tcMar>
              <w:top w:w="57" w:type="dxa"/>
              <w:bottom w:w="57" w:type="dxa"/>
            </w:tcMar>
          </w:tcPr>
          <w:p w:rsidR="00D3258C" w:rsidRPr="00812509" w:rsidRDefault="00D3258C" w:rsidP="004F28F6">
            <w:pPr>
              <w:pStyle w:val="TableTextEntries"/>
              <w:keepNext/>
              <w:rPr>
                <w:rFonts w:asciiTheme="minorHAnsi" w:hAnsiTheme="minorHAnsi"/>
              </w:rPr>
            </w:pPr>
          </w:p>
        </w:tc>
        <w:tc>
          <w:tcPr>
            <w:tcW w:w="935" w:type="pct"/>
            <w:tcBorders>
              <w:top w:val="nil"/>
              <w:bottom w:val="single" w:sz="12" w:space="0" w:color="auto"/>
            </w:tcBorders>
          </w:tcPr>
          <w:p w:rsidR="00D3258C" w:rsidRPr="00812509" w:rsidRDefault="00D3258C" w:rsidP="004F28F6">
            <w:pPr>
              <w:pStyle w:val="TableTextEntries"/>
              <w:keepNext/>
              <w:rPr>
                <w:rFonts w:asciiTheme="minorHAnsi" w:hAnsiTheme="minorHAnsi"/>
              </w:rPr>
            </w:pPr>
            <w:r w:rsidRPr="004F3C34">
              <w:rPr>
                <w:rFonts w:asciiTheme="minorHAnsi" w:hAnsiTheme="minorHAnsi"/>
              </w:rPr>
              <w:t>Government and Partners agree a core indicator set, collect baseline data and monitor annually progress across the health sector</w:t>
            </w:r>
          </w:p>
        </w:tc>
        <w:tc>
          <w:tcPr>
            <w:tcW w:w="432" w:type="pct"/>
            <w:tcBorders>
              <w:top w:val="nil"/>
              <w:bottom w:val="single" w:sz="12" w:space="0" w:color="auto"/>
            </w:tcBorders>
            <w:shd w:val="clear" w:color="auto" w:fill="92D050"/>
          </w:tcPr>
          <w:p w:rsidR="00D3258C" w:rsidRPr="00327FCD" w:rsidRDefault="00D3258C" w:rsidP="004F28F6">
            <w:pPr>
              <w:pStyle w:val="TableTextEntries"/>
              <w:keepNext/>
              <w:rPr>
                <w:rFonts w:asciiTheme="minorHAnsi" w:hAnsiTheme="minorHAnsi"/>
              </w:rPr>
            </w:pPr>
            <w:r w:rsidRPr="00327FCD">
              <w:rPr>
                <w:rFonts w:asciiTheme="minorHAnsi" w:hAnsiTheme="minorHAnsi"/>
                <w:color w:val="FFFFFF" w:themeColor="background1"/>
              </w:rPr>
              <w:t xml:space="preserve">Achieved </w:t>
            </w:r>
          </w:p>
        </w:tc>
        <w:tc>
          <w:tcPr>
            <w:tcW w:w="2931" w:type="pct"/>
            <w:tcBorders>
              <w:top w:val="nil"/>
              <w:bottom w:val="single" w:sz="12" w:space="0" w:color="auto"/>
            </w:tcBorders>
          </w:tcPr>
          <w:p w:rsidR="00D3258C" w:rsidRPr="00327FCD" w:rsidRDefault="00D3258C" w:rsidP="004F28F6">
            <w:pPr>
              <w:pStyle w:val="TableTextEntries"/>
              <w:keepNext/>
              <w:rPr>
                <w:rFonts w:asciiTheme="minorHAnsi" w:hAnsiTheme="minorHAnsi"/>
              </w:rPr>
            </w:pPr>
            <w:r w:rsidRPr="00327FCD">
              <w:rPr>
                <w:rFonts w:asciiTheme="minorHAnsi" w:hAnsiTheme="minorHAnsi"/>
              </w:rPr>
              <w:t>Australia</w:t>
            </w:r>
            <w:r>
              <w:rPr>
                <w:rFonts w:asciiTheme="minorHAnsi" w:hAnsiTheme="minorHAnsi"/>
              </w:rPr>
              <w:t xml:space="preserve"> and other partners worked with </w:t>
            </w:r>
            <w:r w:rsidRPr="00327FCD">
              <w:rPr>
                <w:rFonts w:asciiTheme="minorHAnsi" w:hAnsiTheme="minorHAnsi"/>
              </w:rPr>
              <w:t>Government of Kiribati</w:t>
            </w:r>
            <w:r>
              <w:rPr>
                <w:rFonts w:asciiTheme="minorHAnsi" w:hAnsiTheme="minorHAnsi"/>
              </w:rPr>
              <w:t xml:space="preserve"> to finalise </w:t>
            </w:r>
            <w:r w:rsidRPr="00327FCD">
              <w:rPr>
                <w:rFonts w:asciiTheme="minorHAnsi" w:hAnsiTheme="minorHAnsi"/>
              </w:rPr>
              <w:t xml:space="preserve">a core set of indicators for the </w:t>
            </w:r>
            <w:r>
              <w:rPr>
                <w:rFonts w:asciiTheme="minorHAnsi" w:hAnsiTheme="minorHAnsi"/>
              </w:rPr>
              <w:t>h</w:t>
            </w:r>
            <w:r w:rsidRPr="00327FCD">
              <w:rPr>
                <w:rFonts w:asciiTheme="minorHAnsi" w:hAnsiTheme="minorHAnsi"/>
              </w:rPr>
              <w:t xml:space="preserve">ealth sector during the Health Sector Coordination Committee meeting in May 2016. </w:t>
            </w:r>
            <w:r>
              <w:rPr>
                <w:rFonts w:asciiTheme="minorHAnsi" w:hAnsiTheme="minorHAnsi"/>
              </w:rPr>
              <w:t xml:space="preserve">Baseline data </w:t>
            </w:r>
            <w:r w:rsidRPr="004F3C34">
              <w:rPr>
                <w:rFonts w:asciiTheme="minorHAnsi" w:hAnsiTheme="minorHAnsi"/>
              </w:rPr>
              <w:t>across the health sector</w:t>
            </w:r>
            <w:r>
              <w:rPr>
                <w:rFonts w:asciiTheme="minorHAnsi" w:hAnsiTheme="minorHAnsi"/>
              </w:rPr>
              <w:t xml:space="preserve"> will be collected and reported each </w:t>
            </w:r>
            <w:r w:rsidRPr="00CD5D6C">
              <w:rPr>
                <w:rFonts w:asciiTheme="minorHAnsi" w:hAnsiTheme="minorHAnsi"/>
              </w:rPr>
              <w:t>year during a joint annual performance review.</w:t>
            </w:r>
          </w:p>
        </w:tc>
      </w:tr>
    </w:tbl>
    <w:p w:rsidR="00ED1F49" w:rsidRDefault="00ED1F49" w:rsidP="00C87E8D">
      <w:pPr>
        <w:pStyle w:val="Caption"/>
        <w:rPr>
          <w:sz w:val="24"/>
        </w:rPr>
      </w:pPr>
    </w:p>
    <w:p w:rsidR="00C87E8D" w:rsidRDefault="005B5769" w:rsidP="00433A8E">
      <w:pPr>
        <w:pStyle w:val="Caption"/>
        <w:spacing w:after="0"/>
        <w:rPr>
          <w:sz w:val="24"/>
        </w:rPr>
      </w:pPr>
      <w:r w:rsidRPr="008C2F58">
        <w:rPr>
          <w:sz w:val="24"/>
        </w:rPr>
        <w:t xml:space="preserve">Performance Benchmarks 2016-17 to 2018-19 </w:t>
      </w:r>
    </w:p>
    <w:p w:rsidR="00433A8E" w:rsidRPr="002E1224" w:rsidRDefault="00433A8E" w:rsidP="00433A8E">
      <w:pPr>
        <w:spacing w:before="0"/>
        <w:rPr>
          <w:sz w:val="17"/>
          <w:szCs w:val="17"/>
        </w:rPr>
      </w:pPr>
      <w:r w:rsidRPr="002E1224">
        <w:rPr>
          <w:sz w:val="17"/>
          <w:szCs w:val="17"/>
        </w:rPr>
        <w:t>[Note: subject to agreement with the Government of Kiribati as part of the Aid Partnership arrangement]</w:t>
      </w:r>
    </w:p>
    <w:tbl>
      <w:tblPr>
        <w:tblStyle w:val="DFATTable"/>
        <w:tblW w:w="4946" w:type="pct"/>
        <w:tblLook w:val="04A0" w:firstRow="1" w:lastRow="0" w:firstColumn="1" w:lastColumn="0" w:noHBand="0" w:noVBand="1"/>
      </w:tblPr>
      <w:tblGrid>
        <w:gridCol w:w="394"/>
        <w:gridCol w:w="1035"/>
        <w:gridCol w:w="482"/>
        <w:gridCol w:w="2496"/>
        <w:gridCol w:w="2492"/>
        <w:gridCol w:w="2225"/>
        <w:gridCol w:w="410"/>
      </w:tblGrid>
      <w:tr w:rsidR="00C87E8D" w:rsidTr="00C87E8D">
        <w:trPr>
          <w:gridAfter w:val="1"/>
          <w:wAfter w:w="215" w:type="pct"/>
          <w:trHeight w:val="331"/>
        </w:trPr>
        <w:tc>
          <w:tcPr>
            <w:tcW w:w="749" w:type="pct"/>
            <w:gridSpan w:val="2"/>
            <w:tcBorders>
              <w:top w:val="single" w:sz="12" w:space="0" w:color="auto"/>
              <w:left w:val="nil"/>
              <w:bottom w:val="nil"/>
              <w:right w:val="nil"/>
            </w:tcBorders>
          </w:tcPr>
          <w:p w:rsidR="00C87E8D" w:rsidRPr="00812509" w:rsidRDefault="00C87E8D" w:rsidP="00D15A00">
            <w:pPr>
              <w:pStyle w:val="TableHeading1"/>
              <w:rPr>
                <w:rFonts w:asciiTheme="minorHAnsi" w:hAnsiTheme="minorHAnsi"/>
              </w:rPr>
            </w:pPr>
          </w:p>
        </w:tc>
        <w:tc>
          <w:tcPr>
            <w:tcW w:w="253" w:type="pct"/>
            <w:tcBorders>
              <w:top w:val="single" w:sz="12" w:space="0" w:color="auto"/>
              <w:left w:val="nil"/>
              <w:bottom w:val="nil"/>
              <w:right w:val="nil"/>
            </w:tcBorders>
          </w:tcPr>
          <w:p w:rsidR="00C87E8D" w:rsidRPr="00812509" w:rsidRDefault="00C87E8D" w:rsidP="00D15A00">
            <w:pPr>
              <w:pStyle w:val="TableHeading1"/>
              <w:rPr>
                <w:rFonts w:asciiTheme="minorHAnsi" w:hAnsiTheme="minorHAnsi"/>
              </w:rPr>
            </w:pPr>
          </w:p>
        </w:tc>
        <w:tc>
          <w:tcPr>
            <w:tcW w:w="1309" w:type="pct"/>
            <w:tcBorders>
              <w:top w:val="single" w:sz="12" w:space="0" w:color="auto"/>
              <w:left w:val="nil"/>
              <w:bottom w:val="nil"/>
              <w:right w:val="nil"/>
            </w:tcBorders>
            <w:hideMark/>
          </w:tcPr>
          <w:p w:rsidR="00C87E8D" w:rsidRPr="00812509" w:rsidRDefault="00C87E8D" w:rsidP="00D15A00">
            <w:pPr>
              <w:pStyle w:val="TableHeading1"/>
              <w:rPr>
                <w:rFonts w:asciiTheme="minorHAnsi" w:hAnsiTheme="minorHAnsi"/>
              </w:rPr>
            </w:pPr>
            <w:r w:rsidRPr="00812509">
              <w:rPr>
                <w:rFonts w:asciiTheme="minorHAnsi" w:hAnsiTheme="minorHAnsi"/>
              </w:rPr>
              <w:t>2016-17</w:t>
            </w:r>
          </w:p>
        </w:tc>
        <w:tc>
          <w:tcPr>
            <w:tcW w:w="1307" w:type="pct"/>
            <w:tcBorders>
              <w:top w:val="single" w:sz="12" w:space="0" w:color="auto"/>
              <w:left w:val="nil"/>
              <w:bottom w:val="nil"/>
              <w:right w:val="nil"/>
            </w:tcBorders>
            <w:hideMark/>
          </w:tcPr>
          <w:p w:rsidR="00C87E8D" w:rsidRPr="00812509" w:rsidRDefault="00C87E8D" w:rsidP="00D15A00">
            <w:pPr>
              <w:pStyle w:val="TableHeading1"/>
              <w:rPr>
                <w:rFonts w:asciiTheme="minorHAnsi" w:hAnsiTheme="minorHAnsi"/>
              </w:rPr>
            </w:pPr>
            <w:r w:rsidRPr="00812509">
              <w:rPr>
                <w:rFonts w:asciiTheme="minorHAnsi" w:hAnsiTheme="minorHAnsi"/>
              </w:rPr>
              <w:t>2017-18</w:t>
            </w:r>
          </w:p>
        </w:tc>
        <w:tc>
          <w:tcPr>
            <w:tcW w:w="1167" w:type="pct"/>
            <w:tcBorders>
              <w:top w:val="single" w:sz="12" w:space="0" w:color="auto"/>
              <w:left w:val="nil"/>
              <w:bottom w:val="nil"/>
              <w:right w:val="nil"/>
            </w:tcBorders>
            <w:hideMark/>
          </w:tcPr>
          <w:p w:rsidR="00C87E8D" w:rsidRPr="00812509" w:rsidRDefault="00C87E8D" w:rsidP="00D15A00">
            <w:pPr>
              <w:pStyle w:val="TableHeading1"/>
              <w:rPr>
                <w:rFonts w:asciiTheme="minorHAnsi" w:hAnsiTheme="minorHAnsi"/>
              </w:rPr>
            </w:pPr>
            <w:r w:rsidRPr="00812509">
              <w:rPr>
                <w:rFonts w:asciiTheme="minorHAnsi" w:hAnsiTheme="minorHAnsi"/>
              </w:rPr>
              <w:t>2018-19</w:t>
            </w:r>
          </w:p>
        </w:tc>
      </w:tr>
      <w:tr w:rsidR="00C87E8D" w:rsidRPr="00C87E8D" w:rsidTr="00BF3318">
        <w:trPr>
          <w:trHeight w:val="392"/>
        </w:trPr>
        <w:tc>
          <w:tcPr>
            <w:tcW w:w="5000" w:type="pct"/>
            <w:gridSpan w:val="7"/>
            <w:tcBorders>
              <w:top w:val="nil"/>
              <w:left w:val="nil"/>
              <w:bottom w:val="nil"/>
              <w:right w:val="nil"/>
            </w:tcBorders>
          </w:tcPr>
          <w:p w:rsidR="00C87E8D" w:rsidRPr="00C87E8D" w:rsidRDefault="00C87E8D" w:rsidP="00C87E8D">
            <w:pPr>
              <w:pStyle w:val="TableHeading1"/>
              <w:rPr>
                <w:rFonts w:asciiTheme="minorHAnsi" w:hAnsiTheme="minorHAnsi"/>
                <w:b w:val="0"/>
              </w:rPr>
            </w:pPr>
            <w:r w:rsidRPr="00C87E8D">
              <w:rPr>
                <w:rFonts w:asciiTheme="minorHAnsi" w:hAnsiTheme="minorHAnsi"/>
              </w:rPr>
              <w:t>Priority 1: Implementation of Economic Reform Plan</w:t>
            </w:r>
          </w:p>
        </w:tc>
      </w:tr>
      <w:tr w:rsidR="00C87E8D" w:rsidRPr="00C87E8D" w:rsidTr="00C87E8D">
        <w:trPr>
          <w:trHeight w:val="1111"/>
        </w:trPr>
        <w:tc>
          <w:tcPr>
            <w:tcW w:w="206" w:type="pct"/>
            <w:tcBorders>
              <w:top w:val="nil"/>
              <w:left w:val="nil"/>
              <w:bottom w:val="nil"/>
              <w:right w:val="nil"/>
            </w:tcBorders>
          </w:tcPr>
          <w:p w:rsidR="00C87E8D" w:rsidRPr="00812509" w:rsidRDefault="00C87E8D" w:rsidP="0003395A">
            <w:pPr>
              <w:spacing w:after="120"/>
              <w:rPr>
                <w:rFonts w:asciiTheme="minorHAnsi" w:hAnsiTheme="minorHAnsi"/>
                <w:i/>
                <w:color w:val="808080" w:themeColor="background1" w:themeShade="80"/>
              </w:rPr>
            </w:pPr>
            <w:r>
              <w:rPr>
                <w:rFonts w:asciiTheme="minorHAnsi" w:hAnsiTheme="minorHAnsi"/>
                <w:szCs w:val="17"/>
              </w:rPr>
              <w:t>A</w:t>
            </w:r>
          </w:p>
        </w:tc>
        <w:tc>
          <w:tcPr>
            <w:tcW w:w="796" w:type="pct"/>
            <w:gridSpan w:val="2"/>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Progress of agreed economic reform priorities</w:t>
            </w:r>
          </w:p>
        </w:tc>
        <w:tc>
          <w:tcPr>
            <w:tcW w:w="1309" w:type="pct"/>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Achievement of all prior actions under the Joint Policy Matrix, including improved public financial management, trigge</w:t>
            </w:r>
            <w:r>
              <w:rPr>
                <w:rFonts w:asciiTheme="minorHAnsi" w:hAnsiTheme="minorHAnsi"/>
                <w:szCs w:val="17"/>
              </w:rPr>
              <w:t>rs the release of donor funding</w:t>
            </w:r>
          </w:p>
        </w:tc>
        <w:tc>
          <w:tcPr>
            <w:tcW w:w="1307" w:type="pct"/>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 xml:space="preserve">Achievement of all prior actions under the Joint Policy Matrix triggers the release of donor funding </w:t>
            </w:r>
          </w:p>
          <w:p w:rsidR="00C87E8D" w:rsidRPr="00C87E8D" w:rsidRDefault="00C87E8D" w:rsidP="0003395A">
            <w:pPr>
              <w:spacing w:after="120"/>
              <w:rPr>
                <w:rFonts w:asciiTheme="minorHAnsi" w:hAnsiTheme="minorHAnsi"/>
                <w:szCs w:val="17"/>
              </w:rPr>
            </w:pPr>
          </w:p>
        </w:tc>
        <w:tc>
          <w:tcPr>
            <w:tcW w:w="1382" w:type="pct"/>
            <w:gridSpan w:val="2"/>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 xml:space="preserve">Achievement of all prior actions under the Joint Policy Matrix triggers the release of donor funding </w:t>
            </w:r>
          </w:p>
          <w:p w:rsidR="00C87E8D" w:rsidRPr="00C87E8D" w:rsidRDefault="00C87E8D" w:rsidP="0003395A">
            <w:pPr>
              <w:spacing w:after="120"/>
              <w:rPr>
                <w:rFonts w:asciiTheme="minorHAnsi" w:hAnsiTheme="minorHAnsi"/>
                <w:szCs w:val="17"/>
              </w:rPr>
            </w:pP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F92273">
            <w:pPr>
              <w:spacing w:after="120"/>
              <w:rPr>
                <w:rFonts w:asciiTheme="minorHAnsi" w:hAnsiTheme="minorHAnsi"/>
                <w:szCs w:val="17"/>
              </w:rPr>
            </w:pPr>
            <w:r w:rsidRPr="00C87E8D">
              <w:rPr>
                <w:rFonts w:asciiTheme="minorHAnsi" w:hAnsiTheme="minorHAnsi"/>
                <w:szCs w:val="17"/>
              </w:rPr>
              <w:t xml:space="preserve">Mobilisation of a second in-line Director for the National Economic Planning Office by 1 </w:t>
            </w:r>
            <w:r w:rsidR="00F92273">
              <w:rPr>
                <w:rFonts w:asciiTheme="minorHAnsi" w:hAnsiTheme="minorHAnsi"/>
                <w:szCs w:val="17"/>
              </w:rPr>
              <w:t>December</w:t>
            </w:r>
            <w:r w:rsidR="00F92273" w:rsidRPr="00C87E8D">
              <w:rPr>
                <w:rFonts w:asciiTheme="minorHAnsi" w:hAnsiTheme="minorHAnsi"/>
                <w:szCs w:val="17"/>
              </w:rPr>
              <w:t xml:space="preserve"> </w:t>
            </w:r>
            <w:r w:rsidRPr="00C87E8D">
              <w:rPr>
                <w:rFonts w:asciiTheme="minorHAnsi" w:hAnsiTheme="minorHAnsi"/>
                <w:szCs w:val="17"/>
              </w:rPr>
              <w:t>2016</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Contribution of Australian funded technical assistance to progressing agreed economic reform priorities is assessed by stakeholders as being effective</w:t>
            </w:r>
          </w:p>
        </w:tc>
        <w:tc>
          <w:tcPr>
            <w:tcW w:w="1382" w:type="pct"/>
            <w:gridSpan w:val="2"/>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Contribution of Australian funded technical assistance to progressing agreed economic reform priorities is assessed by stakeholders as being effective</w:t>
            </w:r>
          </w:p>
        </w:tc>
      </w:tr>
      <w:tr w:rsidR="00C87E8D" w:rsidTr="00C87E8D">
        <w:trPr>
          <w:trHeight w:val="397"/>
        </w:trPr>
        <w:tc>
          <w:tcPr>
            <w:tcW w:w="5000" w:type="pct"/>
            <w:gridSpan w:val="7"/>
            <w:tcBorders>
              <w:top w:val="nil"/>
              <w:left w:val="nil"/>
              <w:bottom w:val="nil"/>
              <w:right w:val="nil"/>
            </w:tcBorders>
          </w:tcPr>
          <w:p w:rsidR="00C87E8D" w:rsidRPr="00C87E8D" w:rsidRDefault="00C87E8D" w:rsidP="00C87E8D">
            <w:pPr>
              <w:pStyle w:val="TableHeading1"/>
              <w:rPr>
                <w:rFonts w:asciiTheme="minorHAnsi" w:hAnsiTheme="minorHAnsi"/>
              </w:rPr>
            </w:pPr>
            <w:r w:rsidRPr="00C87E8D">
              <w:rPr>
                <w:rFonts w:asciiTheme="minorHAnsi" w:hAnsiTheme="minorHAnsi"/>
              </w:rPr>
              <w:t>Priority 2: Better educated and healthier population</w:t>
            </w:r>
          </w:p>
        </w:tc>
      </w:tr>
      <w:tr w:rsidR="00C87E8D" w:rsidTr="00C87E8D">
        <w:trPr>
          <w:trHeight w:val="614"/>
        </w:trPr>
        <w:tc>
          <w:tcPr>
            <w:tcW w:w="206" w:type="pct"/>
            <w:tcBorders>
              <w:top w:val="nil"/>
              <w:left w:val="nil"/>
              <w:bottom w:val="nil"/>
              <w:right w:val="nil"/>
            </w:tcBorders>
          </w:tcPr>
          <w:p w:rsidR="00C87E8D" w:rsidRPr="00C87E8D" w:rsidRDefault="00C87E8D" w:rsidP="0003395A">
            <w:pPr>
              <w:spacing w:after="120"/>
              <w:rPr>
                <w:rFonts w:asciiTheme="minorHAnsi" w:hAnsiTheme="minorHAnsi"/>
                <w:szCs w:val="17"/>
              </w:rPr>
            </w:pPr>
            <w:r>
              <w:rPr>
                <w:rFonts w:asciiTheme="minorHAnsi" w:hAnsiTheme="minorHAnsi"/>
                <w:szCs w:val="17"/>
              </w:rPr>
              <w:t>B</w:t>
            </w:r>
          </w:p>
        </w:tc>
        <w:tc>
          <w:tcPr>
            <w:tcW w:w="796" w:type="pct"/>
            <w:gridSpan w:val="2"/>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Improve standards in basic education</w:t>
            </w:r>
          </w:p>
        </w:tc>
        <w:tc>
          <w:tcPr>
            <w:tcW w:w="1309" w:type="pct"/>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New year 6 curriculum developed by December 2016</w:t>
            </w:r>
          </w:p>
        </w:tc>
        <w:tc>
          <w:tcPr>
            <w:tcW w:w="1307" w:type="pct"/>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New year 7 curriculum developed by December 2017</w:t>
            </w:r>
          </w:p>
        </w:tc>
        <w:tc>
          <w:tcPr>
            <w:tcW w:w="1382" w:type="pct"/>
            <w:gridSpan w:val="2"/>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New year 8 curriculum developed by December 2018</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80 per cent of permanent / contract teachers complete training in the delivery of new year 6 curriculum by June 2017</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80 per cent of permanent / contract teachers complete training in the delivery of new year 7 curriculum by June 2018</w:t>
            </w:r>
          </w:p>
        </w:tc>
        <w:tc>
          <w:tcPr>
            <w:tcW w:w="1382" w:type="pct"/>
            <w:gridSpan w:val="2"/>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80 per cent of permanent / contract teachers complete training in the delivery of new year 8 curriculum by June 2019</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Three additional schools (up to 15 classrooms) upgraded, including water and sanitation facilities, by June 2017</w:t>
            </w:r>
          </w:p>
        </w:tc>
        <w:tc>
          <w:tcPr>
            <w:tcW w:w="1307" w:type="pct"/>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Three additional schools (up to 15 classrooms) upgraded, including water and sanitation facilities, by June 2018</w:t>
            </w:r>
          </w:p>
        </w:tc>
        <w:tc>
          <w:tcPr>
            <w:tcW w:w="1382" w:type="pct"/>
            <w:gridSpan w:val="2"/>
            <w:tcBorders>
              <w:top w:val="nil"/>
              <w:left w:val="nil"/>
              <w:bottom w:val="nil"/>
              <w:right w:val="nil"/>
            </w:tcBorders>
          </w:tcPr>
          <w:p w:rsidR="00C87E8D" w:rsidRPr="00C87E8D" w:rsidRDefault="00C87E8D" w:rsidP="0003395A">
            <w:pPr>
              <w:spacing w:after="120"/>
              <w:rPr>
                <w:rFonts w:asciiTheme="minorHAnsi" w:hAnsiTheme="minorHAnsi"/>
                <w:szCs w:val="17"/>
              </w:rPr>
            </w:pPr>
            <w:r w:rsidRPr="00C87E8D">
              <w:rPr>
                <w:rFonts w:asciiTheme="minorHAnsi" w:hAnsiTheme="minorHAnsi"/>
                <w:szCs w:val="17"/>
              </w:rPr>
              <w:t>Three additional schools (up to 15 classrooms) upgraded, including water and sanitation facilities, by June 2019</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03395A">
            <w:pPr>
              <w:spacing w:after="120"/>
              <w:rPr>
                <w:rFonts w:asciiTheme="minorHAnsi" w:hAnsiTheme="minorHAnsi"/>
                <w:szCs w:val="17"/>
              </w:rPr>
            </w:pPr>
          </w:p>
        </w:tc>
        <w:tc>
          <w:tcPr>
            <w:tcW w:w="1307" w:type="pct"/>
            <w:tcBorders>
              <w:top w:val="nil"/>
              <w:left w:val="nil"/>
              <w:bottom w:val="nil"/>
              <w:right w:val="nil"/>
            </w:tcBorders>
          </w:tcPr>
          <w:p w:rsidR="00C87E8D" w:rsidRPr="00C87E8D" w:rsidRDefault="00C87E8D" w:rsidP="0003395A">
            <w:pPr>
              <w:rPr>
                <w:rFonts w:asciiTheme="minorHAnsi" w:hAnsiTheme="minorHAnsi"/>
                <w:szCs w:val="17"/>
              </w:rPr>
            </w:pPr>
            <w:r w:rsidRPr="00C87E8D">
              <w:rPr>
                <w:rFonts w:asciiTheme="minorHAnsi" w:hAnsiTheme="minorHAnsi"/>
                <w:szCs w:val="17"/>
              </w:rPr>
              <w:t>Commencement of the Pilot of tablets pre-loaded with learning materials in identified primary schools by June 2018</w:t>
            </w:r>
          </w:p>
        </w:tc>
        <w:tc>
          <w:tcPr>
            <w:tcW w:w="1382" w:type="pct"/>
            <w:gridSpan w:val="2"/>
            <w:tcBorders>
              <w:top w:val="nil"/>
              <w:left w:val="nil"/>
              <w:bottom w:val="nil"/>
              <w:right w:val="nil"/>
            </w:tcBorders>
          </w:tcPr>
          <w:p w:rsidR="00C87E8D" w:rsidRPr="00C87E8D" w:rsidRDefault="00C87E8D" w:rsidP="0003395A">
            <w:pPr>
              <w:rPr>
                <w:rFonts w:asciiTheme="minorHAnsi" w:hAnsiTheme="minorHAnsi"/>
                <w:szCs w:val="17"/>
              </w:rPr>
            </w:pPr>
            <w:r w:rsidRPr="00C87E8D">
              <w:rPr>
                <w:rFonts w:asciiTheme="minorHAnsi" w:hAnsiTheme="minorHAnsi"/>
                <w:szCs w:val="17"/>
              </w:rPr>
              <w:t>Completion and evaluation of the educational outcomes of the Tablet Pilot including recommendations by June 2019</w:t>
            </w:r>
          </w:p>
        </w:tc>
      </w:tr>
      <w:tr w:rsidR="00C87E8D" w:rsidTr="00C87E8D">
        <w:trPr>
          <w:trHeight w:val="614"/>
        </w:trPr>
        <w:tc>
          <w:tcPr>
            <w:tcW w:w="206" w:type="pct"/>
            <w:tcBorders>
              <w:top w:val="nil"/>
              <w:left w:val="nil"/>
              <w:bottom w:val="nil"/>
              <w:right w:val="nil"/>
            </w:tcBorders>
          </w:tcPr>
          <w:p w:rsidR="00C87E8D" w:rsidRPr="00C87E8D" w:rsidRDefault="00C87E8D" w:rsidP="00C87E8D">
            <w:pPr>
              <w:spacing w:after="120"/>
              <w:rPr>
                <w:rFonts w:asciiTheme="minorHAnsi" w:hAnsiTheme="minorHAnsi"/>
                <w:szCs w:val="17"/>
              </w:rPr>
            </w:pPr>
            <w:r>
              <w:rPr>
                <w:rFonts w:asciiTheme="minorHAnsi" w:hAnsiTheme="minorHAnsi"/>
                <w:szCs w:val="17"/>
              </w:rPr>
              <w:t>C</w:t>
            </w: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r w:rsidRPr="00C87E8D">
              <w:rPr>
                <w:rFonts w:asciiTheme="minorHAnsi" w:hAnsiTheme="minorHAnsi"/>
                <w:szCs w:val="17"/>
              </w:rPr>
              <w:t xml:space="preserve">Provision of quality skills training aligned with labour market demand  </w:t>
            </w: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The Kiribati Institute of Technology (KIT)</w:t>
            </w:r>
            <w:r>
              <w:rPr>
                <w:rFonts w:asciiTheme="minorHAnsi" w:hAnsiTheme="minorHAnsi"/>
                <w:szCs w:val="17"/>
              </w:rPr>
              <w:t xml:space="preserve"> </w:t>
            </w:r>
            <w:r w:rsidRPr="00C87E8D">
              <w:rPr>
                <w:rFonts w:asciiTheme="minorHAnsi" w:hAnsiTheme="minorHAnsi"/>
                <w:szCs w:val="17"/>
              </w:rPr>
              <w:t>is accredited under the Australian</w:t>
            </w:r>
            <w:r>
              <w:rPr>
                <w:rFonts w:asciiTheme="minorHAnsi" w:hAnsiTheme="minorHAnsi"/>
                <w:szCs w:val="17"/>
              </w:rPr>
              <w:t xml:space="preserve"> Qualifications Framework (AQF)</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KIT is accredited under AQF, the New Zealand Qualifications Framework (NZQF) and the Pacific Quality Assurance Framework</w:t>
            </w:r>
          </w:p>
        </w:tc>
        <w:tc>
          <w:tcPr>
            <w:tcW w:w="1382" w:type="pct"/>
            <w:gridSpan w:val="2"/>
            <w:tcBorders>
              <w:top w:val="nil"/>
              <w:left w:val="nil"/>
              <w:bottom w:val="nil"/>
              <w:right w:val="nil"/>
            </w:tcBorders>
          </w:tcPr>
          <w:p w:rsidR="00C87E8D" w:rsidRPr="00C87E8D" w:rsidRDefault="00C87E8D" w:rsidP="00C87E8D">
            <w:pPr>
              <w:rPr>
                <w:rFonts w:asciiTheme="minorHAnsi" w:hAnsiTheme="minorHAnsi"/>
                <w:szCs w:val="17"/>
              </w:rPr>
            </w:pPr>
            <w:r w:rsidRPr="00C87E8D">
              <w:rPr>
                <w:rFonts w:asciiTheme="minorHAnsi" w:hAnsiTheme="minorHAnsi"/>
                <w:szCs w:val="17"/>
              </w:rPr>
              <w:t>KIT is accredited under AQF, NZQF and PQAF</w:t>
            </w:r>
          </w:p>
          <w:p w:rsidR="00C87E8D" w:rsidRPr="00C87E8D" w:rsidRDefault="00C87E8D" w:rsidP="00C87E8D">
            <w:pPr>
              <w:rPr>
                <w:rFonts w:asciiTheme="minorHAnsi" w:hAnsiTheme="minorHAnsi"/>
                <w:szCs w:val="17"/>
              </w:rPr>
            </w:pPr>
            <w:r w:rsidRPr="00C87E8D">
              <w:rPr>
                <w:rFonts w:asciiTheme="minorHAnsi" w:hAnsiTheme="minorHAnsi"/>
                <w:szCs w:val="17"/>
              </w:rPr>
              <w:t> </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80 per cent of trainers at KIT meet Australian VET Quality Framework (AVQF) standards</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80 per cent of trainers at KIT meet AVQF &amp; regional Standards</w:t>
            </w:r>
          </w:p>
        </w:tc>
        <w:tc>
          <w:tcPr>
            <w:tcW w:w="1382" w:type="pct"/>
            <w:gridSpan w:val="2"/>
            <w:tcBorders>
              <w:top w:val="nil"/>
              <w:left w:val="nil"/>
              <w:bottom w:val="nil"/>
              <w:right w:val="nil"/>
            </w:tcBorders>
          </w:tcPr>
          <w:p w:rsidR="00C87E8D" w:rsidRPr="00C87E8D" w:rsidRDefault="00C87E8D" w:rsidP="00C87E8D">
            <w:pPr>
              <w:rPr>
                <w:rFonts w:asciiTheme="minorHAnsi" w:hAnsiTheme="minorHAnsi"/>
                <w:szCs w:val="17"/>
              </w:rPr>
            </w:pPr>
            <w:r w:rsidRPr="00C87E8D">
              <w:rPr>
                <w:rFonts w:asciiTheme="minorHAnsi" w:hAnsiTheme="minorHAnsi"/>
                <w:szCs w:val="17"/>
              </w:rPr>
              <w:t>80 per cent of trainers at KIT meet AVQF &amp; regional Standards</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 xml:space="preserve">372 enrolments at KIT with 250 graduates. </w:t>
            </w:r>
            <w:r>
              <w:rPr>
                <w:rFonts w:asciiTheme="minorHAnsi" w:hAnsiTheme="minorHAnsi"/>
                <w:szCs w:val="17"/>
              </w:rPr>
              <w:t>Retention rate of 77 per cent</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400 enrolments at KIT with 300 graduates. Retention rate of 80 per cent</w:t>
            </w:r>
          </w:p>
        </w:tc>
        <w:tc>
          <w:tcPr>
            <w:tcW w:w="1382" w:type="pct"/>
            <w:gridSpan w:val="2"/>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400 enrolments at KIT with 300 graduates. Retention rate of 80 per cent</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 xml:space="preserve">Accredited courses at KIT have a female participation rate of </w:t>
            </w:r>
            <w:r w:rsidR="00AA3E81">
              <w:rPr>
                <w:rFonts w:asciiTheme="minorHAnsi" w:hAnsiTheme="minorHAnsi"/>
                <w:szCs w:val="17"/>
              </w:rPr>
              <w:t>at least</w:t>
            </w:r>
            <w:r w:rsidR="00AA3E81" w:rsidRPr="00C87E8D">
              <w:rPr>
                <w:rFonts w:asciiTheme="minorHAnsi" w:hAnsiTheme="minorHAnsi"/>
                <w:szCs w:val="17"/>
              </w:rPr>
              <w:t xml:space="preserve"> </w:t>
            </w:r>
            <w:r w:rsidRPr="00C87E8D">
              <w:rPr>
                <w:rFonts w:asciiTheme="minorHAnsi" w:hAnsiTheme="minorHAnsi"/>
                <w:szCs w:val="17"/>
              </w:rPr>
              <w:t xml:space="preserve">49 per cent and a participation rate of 2 per cent </w:t>
            </w:r>
            <w:r>
              <w:rPr>
                <w:rFonts w:asciiTheme="minorHAnsi" w:hAnsiTheme="minorHAnsi"/>
                <w:szCs w:val="17"/>
              </w:rPr>
              <w:t>by people with a disability</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Accredited courses at KIT have a female participation rate of</w:t>
            </w:r>
            <w:r w:rsidR="00AA3E81">
              <w:rPr>
                <w:rFonts w:asciiTheme="minorHAnsi" w:hAnsiTheme="minorHAnsi"/>
                <w:szCs w:val="17"/>
              </w:rPr>
              <w:t xml:space="preserve"> at least</w:t>
            </w:r>
            <w:r w:rsidRPr="00C87E8D">
              <w:rPr>
                <w:rFonts w:asciiTheme="minorHAnsi" w:hAnsiTheme="minorHAnsi"/>
                <w:szCs w:val="17"/>
              </w:rPr>
              <w:t xml:space="preserve"> 50 per cent and a participation rate of 5 per cent </w:t>
            </w:r>
            <w:r>
              <w:rPr>
                <w:rFonts w:asciiTheme="minorHAnsi" w:hAnsiTheme="minorHAnsi"/>
                <w:szCs w:val="17"/>
              </w:rPr>
              <w:t>by people with a disability</w:t>
            </w:r>
          </w:p>
        </w:tc>
        <w:tc>
          <w:tcPr>
            <w:tcW w:w="1382" w:type="pct"/>
            <w:gridSpan w:val="2"/>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Accredited courses at KIT have a female participation rate of</w:t>
            </w:r>
            <w:r w:rsidR="00AA3E81">
              <w:rPr>
                <w:rFonts w:asciiTheme="minorHAnsi" w:hAnsiTheme="minorHAnsi"/>
                <w:szCs w:val="17"/>
              </w:rPr>
              <w:t xml:space="preserve"> at least</w:t>
            </w:r>
            <w:r w:rsidRPr="00C87E8D">
              <w:rPr>
                <w:rFonts w:asciiTheme="minorHAnsi" w:hAnsiTheme="minorHAnsi"/>
                <w:szCs w:val="17"/>
              </w:rPr>
              <w:t xml:space="preserve"> 50 per cent and a participation rate of 5 per cent by people with a disability </w:t>
            </w:r>
          </w:p>
        </w:tc>
      </w:tr>
      <w:tr w:rsidR="00C87E8D" w:rsidTr="00C87E8D">
        <w:trPr>
          <w:trHeight w:val="614"/>
        </w:trPr>
        <w:tc>
          <w:tcPr>
            <w:tcW w:w="206" w:type="pct"/>
            <w:tcBorders>
              <w:top w:val="nil"/>
              <w:left w:val="nil"/>
              <w:bottom w:val="nil"/>
              <w:right w:val="nil"/>
            </w:tcBorders>
          </w:tcPr>
          <w:p w:rsidR="00C87E8D" w:rsidRPr="00C87E8D" w:rsidRDefault="00C87E8D" w:rsidP="0003395A">
            <w:pPr>
              <w:spacing w:after="120"/>
              <w:rPr>
                <w:rFonts w:asciiTheme="minorHAnsi" w:hAnsiTheme="minorHAnsi"/>
                <w:szCs w:val="17"/>
              </w:rPr>
            </w:pPr>
            <w:r>
              <w:rPr>
                <w:rFonts w:asciiTheme="minorHAnsi" w:hAnsiTheme="minorHAnsi"/>
                <w:szCs w:val="17"/>
              </w:rPr>
              <w:t>D</w:t>
            </w:r>
          </w:p>
        </w:tc>
        <w:tc>
          <w:tcPr>
            <w:tcW w:w="796" w:type="pct"/>
            <w:gridSpan w:val="2"/>
            <w:tcBorders>
              <w:top w:val="nil"/>
              <w:left w:val="nil"/>
              <w:bottom w:val="nil"/>
              <w:right w:val="nil"/>
            </w:tcBorders>
          </w:tcPr>
          <w:p w:rsidR="00C87E8D" w:rsidRPr="00C87E8D" w:rsidRDefault="00C87E8D" w:rsidP="00C87E8D">
            <w:pPr>
              <w:spacing w:after="120"/>
              <w:rPr>
                <w:rFonts w:asciiTheme="minorHAnsi" w:hAnsiTheme="minorHAnsi"/>
                <w:iCs/>
                <w:szCs w:val="17"/>
              </w:rPr>
            </w:pPr>
            <w:r w:rsidRPr="00C87E8D">
              <w:rPr>
                <w:rFonts w:asciiTheme="minorHAnsi" w:hAnsiTheme="minorHAnsi"/>
                <w:szCs w:val="17"/>
              </w:rPr>
              <w:t>Improved health outcomes</w:t>
            </w: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br w:type="page"/>
              <w:t>Tuberculous case notification rate of 530 (all forms, per 100,000 population)</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Tuberculous case notification rate of 570 (all</w:t>
            </w:r>
            <w:r>
              <w:rPr>
                <w:rFonts w:asciiTheme="minorHAnsi" w:hAnsiTheme="minorHAnsi"/>
                <w:szCs w:val="17"/>
              </w:rPr>
              <w:t xml:space="preserve"> forms, per 100,000 population)</w:t>
            </w:r>
          </w:p>
        </w:tc>
        <w:tc>
          <w:tcPr>
            <w:tcW w:w="1382" w:type="pct"/>
            <w:gridSpan w:val="2"/>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Tuberculous case notification rate of 600 (all forms, per 100,000 population)</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 xml:space="preserve">Increasing or maintaining Tuberculous treatment success rate at or </w:t>
            </w:r>
            <w:r>
              <w:rPr>
                <w:rFonts w:asciiTheme="minorHAnsi" w:hAnsiTheme="minorHAnsi"/>
                <w:szCs w:val="17"/>
              </w:rPr>
              <w:t>above 90 per cent</w:t>
            </w:r>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Increasing or maintaining Tuberculous treatment success rate at or above 90 per cent</w:t>
            </w:r>
          </w:p>
        </w:tc>
        <w:tc>
          <w:tcPr>
            <w:tcW w:w="1382" w:type="pct"/>
            <w:gridSpan w:val="2"/>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Increasing or maintaining Tuberculous treatment success rate at or above 90 per cent</w:t>
            </w:r>
          </w:p>
        </w:tc>
      </w:tr>
      <w:tr w:rsidR="00C87E8D" w:rsidTr="00C87E8D">
        <w:trPr>
          <w:trHeight w:val="614"/>
        </w:trPr>
        <w:tc>
          <w:tcPr>
            <w:tcW w:w="206" w:type="pct"/>
            <w:tcBorders>
              <w:top w:val="nil"/>
              <w:left w:val="nil"/>
              <w:bottom w:val="nil"/>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nil"/>
              <w:right w:val="nil"/>
            </w:tcBorders>
          </w:tcPr>
          <w:p w:rsidR="00C87E8D" w:rsidRPr="00C87E8D" w:rsidRDefault="00C87E8D" w:rsidP="00613CE4">
            <w:pPr>
              <w:spacing w:after="120"/>
              <w:rPr>
                <w:rFonts w:asciiTheme="minorHAnsi" w:hAnsiTheme="minorHAnsi"/>
                <w:szCs w:val="17"/>
              </w:rPr>
            </w:pPr>
          </w:p>
        </w:tc>
        <w:tc>
          <w:tcPr>
            <w:tcW w:w="1309"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 xml:space="preserve">Rehabilitation of the existing sewage networks in </w:t>
            </w:r>
            <w:proofErr w:type="spellStart"/>
            <w:r w:rsidRPr="00C87E8D">
              <w:rPr>
                <w:rFonts w:asciiTheme="minorHAnsi" w:hAnsiTheme="minorHAnsi"/>
                <w:szCs w:val="17"/>
              </w:rPr>
              <w:t>Betio</w:t>
            </w:r>
            <w:proofErr w:type="spellEnd"/>
            <w:r w:rsidRPr="00C87E8D">
              <w:rPr>
                <w:rFonts w:asciiTheme="minorHAnsi" w:hAnsiTheme="minorHAnsi"/>
                <w:szCs w:val="17"/>
              </w:rPr>
              <w:t xml:space="preserve">, Bairiki and </w:t>
            </w:r>
            <w:proofErr w:type="spellStart"/>
            <w:r w:rsidRPr="00C87E8D">
              <w:rPr>
                <w:rFonts w:asciiTheme="minorHAnsi" w:hAnsiTheme="minorHAnsi"/>
                <w:szCs w:val="17"/>
              </w:rPr>
              <w:t>Bikenibeu</w:t>
            </w:r>
            <w:proofErr w:type="spellEnd"/>
          </w:p>
        </w:tc>
        <w:tc>
          <w:tcPr>
            <w:tcW w:w="1307" w:type="pct"/>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 xml:space="preserve">Rehabilitation of the sewage outfalls in Bairiki, </w:t>
            </w:r>
            <w:proofErr w:type="spellStart"/>
            <w:r w:rsidRPr="00C87E8D">
              <w:rPr>
                <w:rFonts w:asciiTheme="minorHAnsi" w:hAnsiTheme="minorHAnsi"/>
                <w:szCs w:val="17"/>
              </w:rPr>
              <w:t>Betio</w:t>
            </w:r>
            <w:proofErr w:type="spellEnd"/>
            <w:r w:rsidRPr="00C87E8D">
              <w:rPr>
                <w:rFonts w:asciiTheme="minorHAnsi" w:hAnsiTheme="minorHAnsi"/>
                <w:szCs w:val="17"/>
              </w:rPr>
              <w:t xml:space="preserve"> and </w:t>
            </w:r>
            <w:proofErr w:type="spellStart"/>
            <w:r w:rsidRPr="00C87E8D">
              <w:rPr>
                <w:rFonts w:asciiTheme="minorHAnsi" w:hAnsiTheme="minorHAnsi"/>
                <w:szCs w:val="17"/>
              </w:rPr>
              <w:t>Bikenibeu</w:t>
            </w:r>
            <w:proofErr w:type="spellEnd"/>
          </w:p>
        </w:tc>
        <w:tc>
          <w:tcPr>
            <w:tcW w:w="1382" w:type="pct"/>
            <w:gridSpan w:val="2"/>
            <w:tcBorders>
              <w:top w:val="nil"/>
              <w:left w:val="nil"/>
              <w:bottom w:val="nil"/>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70 per cent of communities in South Tarawa are actively engaged in health and sanitation awareness programs</w:t>
            </w:r>
          </w:p>
        </w:tc>
      </w:tr>
      <w:tr w:rsidR="00C87E8D" w:rsidTr="00C87E8D">
        <w:trPr>
          <w:trHeight w:val="337"/>
        </w:trPr>
        <w:tc>
          <w:tcPr>
            <w:tcW w:w="5000" w:type="pct"/>
            <w:gridSpan w:val="7"/>
            <w:tcBorders>
              <w:top w:val="nil"/>
              <w:left w:val="nil"/>
              <w:bottom w:val="nil"/>
              <w:right w:val="nil"/>
            </w:tcBorders>
          </w:tcPr>
          <w:p w:rsidR="00C87E8D" w:rsidRPr="00C87E8D" w:rsidRDefault="00C87E8D" w:rsidP="00C87E8D">
            <w:pPr>
              <w:pStyle w:val="TableHeading1"/>
              <w:rPr>
                <w:rFonts w:asciiTheme="minorHAnsi" w:eastAsiaTheme="minorHAnsi" w:hAnsiTheme="minorHAnsi" w:cstheme="minorBidi"/>
                <w:color w:val="495965" w:themeColor="text2"/>
                <w:lang w:val="en-GB"/>
              </w:rPr>
            </w:pPr>
            <w:r w:rsidRPr="00C87E8D">
              <w:rPr>
                <w:rFonts w:asciiTheme="minorHAnsi" w:hAnsiTheme="minorHAnsi"/>
              </w:rPr>
              <w:t>Cross-cutting issues across all development assistance</w:t>
            </w:r>
          </w:p>
        </w:tc>
      </w:tr>
      <w:tr w:rsidR="00C87E8D" w:rsidTr="00C87E8D">
        <w:trPr>
          <w:trHeight w:val="614"/>
        </w:trPr>
        <w:tc>
          <w:tcPr>
            <w:tcW w:w="206" w:type="pct"/>
            <w:tcBorders>
              <w:top w:val="nil"/>
              <w:left w:val="nil"/>
              <w:bottom w:val="single" w:sz="12" w:space="0" w:color="auto"/>
              <w:right w:val="nil"/>
            </w:tcBorders>
          </w:tcPr>
          <w:p w:rsidR="00C87E8D" w:rsidRPr="00812509" w:rsidRDefault="00C87E8D" w:rsidP="00D15A00">
            <w:pPr>
              <w:pStyle w:val="TableHeading1"/>
              <w:rPr>
                <w:rFonts w:asciiTheme="minorHAnsi" w:hAnsiTheme="minorHAnsi"/>
                <w:i/>
                <w:color w:val="808080" w:themeColor="background1" w:themeShade="80"/>
              </w:rPr>
            </w:pPr>
          </w:p>
        </w:tc>
        <w:tc>
          <w:tcPr>
            <w:tcW w:w="796" w:type="pct"/>
            <w:gridSpan w:val="2"/>
            <w:tcBorders>
              <w:top w:val="nil"/>
              <w:left w:val="nil"/>
              <w:bottom w:val="single" w:sz="12" w:space="0" w:color="auto"/>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 xml:space="preserve">Improved resilience to the impact of climate change </w:t>
            </w:r>
          </w:p>
          <w:p w:rsidR="00C87E8D" w:rsidRPr="00C87E8D" w:rsidRDefault="00C87E8D" w:rsidP="00C87E8D">
            <w:pPr>
              <w:spacing w:after="120"/>
              <w:rPr>
                <w:rFonts w:asciiTheme="minorHAnsi" w:hAnsiTheme="minorHAnsi"/>
                <w:szCs w:val="17"/>
              </w:rPr>
            </w:pPr>
            <w:r w:rsidRPr="00C87E8D">
              <w:rPr>
                <w:rFonts w:asciiTheme="minorHAnsi" w:hAnsiTheme="minorHAnsi"/>
                <w:szCs w:val="17"/>
              </w:rPr>
              <w:t xml:space="preserve"> </w:t>
            </w:r>
          </w:p>
        </w:tc>
        <w:tc>
          <w:tcPr>
            <w:tcW w:w="1309" w:type="pct"/>
            <w:tcBorders>
              <w:top w:val="nil"/>
              <w:left w:val="nil"/>
              <w:bottom w:val="single" w:sz="12" w:space="0" w:color="auto"/>
              <w:right w:val="nil"/>
            </w:tcBorders>
          </w:tcPr>
          <w:p w:rsidR="00C87E8D" w:rsidRPr="00C87E8D" w:rsidRDefault="00C87E8D" w:rsidP="00C87E8D">
            <w:pPr>
              <w:spacing w:after="120" w:line="200" w:lineRule="atLeast"/>
              <w:rPr>
                <w:rFonts w:asciiTheme="minorHAnsi" w:hAnsiTheme="minorHAnsi"/>
                <w:szCs w:val="17"/>
              </w:rPr>
            </w:pPr>
            <w:r w:rsidRPr="00C87E8D">
              <w:rPr>
                <w:rFonts w:asciiTheme="minorHAnsi" w:hAnsiTheme="minorHAnsi"/>
                <w:szCs w:val="17"/>
              </w:rPr>
              <w:t>Shoreline protection works are completed in six identified vulnerable sites in South Tarawa; and more than 30,000 mangroves are plant</w:t>
            </w:r>
            <w:r>
              <w:rPr>
                <w:rFonts w:asciiTheme="minorHAnsi" w:hAnsiTheme="minorHAnsi"/>
                <w:szCs w:val="17"/>
              </w:rPr>
              <w:t xml:space="preserve">ed </w:t>
            </w:r>
            <w:r w:rsidR="00F92273">
              <w:rPr>
                <w:rFonts w:asciiTheme="minorHAnsi" w:hAnsiTheme="minorHAnsi"/>
                <w:szCs w:val="17"/>
              </w:rPr>
              <w:t xml:space="preserve">nationally </w:t>
            </w:r>
            <w:r>
              <w:rPr>
                <w:rFonts w:asciiTheme="minorHAnsi" w:hAnsiTheme="minorHAnsi"/>
                <w:szCs w:val="17"/>
              </w:rPr>
              <w:t>to support coastal protection</w:t>
            </w:r>
          </w:p>
        </w:tc>
        <w:tc>
          <w:tcPr>
            <w:tcW w:w="1307" w:type="pct"/>
            <w:tcBorders>
              <w:top w:val="nil"/>
              <w:left w:val="nil"/>
              <w:bottom w:val="single" w:sz="12" w:space="0" w:color="auto"/>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Rainwater harvesting systems and infiltration galleries are installed in North Tarawa; Leak detection and repair is completed for South Tarawa Public Utilities Board reticulated water network</w:t>
            </w:r>
          </w:p>
        </w:tc>
        <w:tc>
          <w:tcPr>
            <w:tcW w:w="1382" w:type="pct"/>
            <w:gridSpan w:val="2"/>
            <w:tcBorders>
              <w:top w:val="nil"/>
              <w:left w:val="nil"/>
              <w:bottom w:val="single" w:sz="12" w:space="0" w:color="auto"/>
              <w:right w:val="nil"/>
            </w:tcBorders>
          </w:tcPr>
          <w:p w:rsidR="00C87E8D" w:rsidRPr="00C87E8D" w:rsidRDefault="00C87E8D" w:rsidP="00C87E8D">
            <w:pPr>
              <w:spacing w:after="120"/>
              <w:rPr>
                <w:rFonts w:asciiTheme="minorHAnsi" w:hAnsiTheme="minorHAnsi"/>
                <w:szCs w:val="17"/>
              </w:rPr>
            </w:pPr>
            <w:r w:rsidRPr="00C87E8D">
              <w:rPr>
                <w:rFonts w:asciiTheme="minorHAnsi" w:hAnsiTheme="minorHAnsi"/>
                <w:szCs w:val="17"/>
              </w:rPr>
              <w:t>Coastal management policy and locally managed adaptation plans are accepted and approved by Government</w:t>
            </w:r>
          </w:p>
        </w:tc>
      </w:tr>
    </w:tbl>
    <w:p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F016EC" w:rsidRPr="002A1C8F" w:rsidRDefault="00F016EC" w:rsidP="00F016EC">
      <w:pPr>
        <w:pStyle w:val="BodyText"/>
        <w:rPr>
          <w:rFonts w:asciiTheme="minorHAnsi" w:eastAsiaTheme="minorHAnsi" w:hAnsiTheme="minorHAnsi" w:cstheme="minorBidi"/>
          <w:color w:val="495965" w:themeColor="text2"/>
          <w:sz w:val="22"/>
          <w:szCs w:val="22"/>
          <w:lang w:val="en-GB" w:eastAsia="en-US"/>
        </w:rPr>
      </w:pPr>
      <w:r w:rsidRPr="002A1C8F">
        <w:rPr>
          <w:rFonts w:asciiTheme="minorHAnsi" w:eastAsiaTheme="minorHAnsi" w:hAnsiTheme="minorHAnsi" w:cstheme="minorBidi"/>
          <w:color w:val="495965" w:themeColor="text2"/>
          <w:sz w:val="22"/>
          <w:szCs w:val="22"/>
          <w:lang w:val="en-GB" w:eastAsia="en-US"/>
        </w:rPr>
        <w:t xml:space="preserve">The Australian Aid Investment Plan </w:t>
      </w:r>
      <w:r w:rsidR="003E2C68">
        <w:rPr>
          <w:rFonts w:asciiTheme="minorHAnsi" w:eastAsiaTheme="minorHAnsi" w:hAnsiTheme="minorHAnsi" w:cstheme="minorBidi"/>
          <w:color w:val="495965" w:themeColor="text2"/>
          <w:sz w:val="22"/>
          <w:szCs w:val="22"/>
          <w:lang w:val="en-GB" w:eastAsia="en-US"/>
        </w:rPr>
        <w:t>for</w:t>
      </w:r>
      <w:r w:rsidR="003E2C68" w:rsidRPr="002A1C8F">
        <w:rPr>
          <w:rFonts w:asciiTheme="minorHAnsi" w:eastAsiaTheme="minorHAnsi" w:hAnsiTheme="minorHAnsi" w:cstheme="minorBidi"/>
          <w:color w:val="495965" w:themeColor="text2"/>
          <w:sz w:val="22"/>
          <w:szCs w:val="22"/>
          <w:lang w:val="en-GB" w:eastAsia="en-US"/>
        </w:rPr>
        <w:t xml:space="preserve"> </w:t>
      </w:r>
      <w:r w:rsidRPr="002A1C8F">
        <w:rPr>
          <w:rFonts w:asciiTheme="minorHAnsi" w:eastAsiaTheme="minorHAnsi" w:hAnsiTheme="minorHAnsi" w:cstheme="minorBidi"/>
          <w:color w:val="495965" w:themeColor="text2"/>
          <w:sz w:val="22"/>
          <w:szCs w:val="22"/>
          <w:lang w:val="en-GB" w:eastAsia="en-US"/>
        </w:rPr>
        <w:t xml:space="preserve">Kiribati is based on </w:t>
      </w:r>
      <w:r w:rsidR="004F28F6" w:rsidRPr="002A1C8F">
        <w:rPr>
          <w:rFonts w:asciiTheme="minorHAnsi" w:eastAsiaTheme="minorHAnsi" w:hAnsiTheme="minorHAnsi" w:cstheme="minorBidi"/>
          <w:color w:val="495965" w:themeColor="text2"/>
          <w:sz w:val="22"/>
          <w:szCs w:val="22"/>
          <w:lang w:val="en-GB" w:eastAsia="en-US"/>
        </w:rPr>
        <w:t xml:space="preserve">shared goals and </w:t>
      </w:r>
      <w:r w:rsidRPr="002A1C8F">
        <w:rPr>
          <w:rFonts w:asciiTheme="minorHAnsi" w:eastAsiaTheme="minorHAnsi" w:hAnsiTheme="minorHAnsi" w:cstheme="minorBidi"/>
          <w:color w:val="495965" w:themeColor="text2"/>
          <w:sz w:val="22"/>
          <w:szCs w:val="22"/>
          <w:lang w:val="en-GB" w:eastAsia="en-US"/>
        </w:rPr>
        <w:t>mutual obligation</w:t>
      </w:r>
      <w:r w:rsidR="004F28F6">
        <w:rPr>
          <w:rFonts w:asciiTheme="minorHAnsi" w:eastAsiaTheme="minorHAnsi" w:hAnsiTheme="minorHAnsi" w:cstheme="minorBidi"/>
          <w:color w:val="495965" w:themeColor="text2"/>
          <w:sz w:val="22"/>
          <w:szCs w:val="22"/>
          <w:lang w:val="en-GB" w:eastAsia="en-US"/>
        </w:rPr>
        <w:t>s</w:t>
      </w:r>
      <w:r w:rsidRPr="002A1C8F">
        <w:rPr>
          <w:rFonts w:asciiTheme="minorHAnsi" w:eastAsiaTheme="minorHAnsi" w:hAnsiTheme="minorHAnsi" w:cstheme="minorBidi"/>
          <w:color w:val="495965" w:themeColor="text2"/>
          <w:sz w:val="22"/>
          <w:szCs w:val="22"/>
          <w:lang w:val="en-GB" w:eastAsia="en-US"/>
        </w:rPr>
        <w:t xml:space="preserve">. </w:t>
      </w:r>
      <w:r w:rsidR="00693146" w:rsidRPr="00693146">
        <w:rPr>
          <w:rFonts w:asciiTheme="minorHAnsi" w:eastAsiaTheme="minorHAnsi" w:hAnsiTheme="minorHAnsi" w:cstheme="minorBidi"/>
          <w:color w:val="495965" w:themeColor="text2"/>
          <w:sz w:val="22"/>
          <w:szCs w:val="22"/>
          <w:lang w:val="en-GB" w:eastAsia="en-US"/>
        </w:rPr>
        <w:t>Our mutual obligations are discussed at Quarterly Aid Talks (where Australia</w:t>
      </w:r>
      <w:r w:rsidR="00693146">
        <w:rPr>
          <w:rFonts w:asciiTheme="minorHAnsi" w:eastAsiaTheme="minorHAnsi" w:hAnsiTheme="minorHAnsi" w:cstheme="minorBidi"/>
          <w:color w:val="495965" w:themeColor="text2"/>
          <w:sz w:val="22"/>
          <w:szCs w:val="22"/>
          <w:lang w:val="en-GB" w:eastAsia="en-US"/>
        </w:rPr>
        <w:t xml:space="preserve"> is represented by its </w:t>
      </w:r>
      <w:r w:rsidR="00693146" w:rsidRPr="00693146">
        <w:rPr>
          <w:rFonts w:asciiTheme="minorHAnsi" w:eastAsiaTheme="minorHAnsi" w:hAnsiTheme="minorHAnsi" w:cstheme="minorBidi"/>
          <w:color w:val="495965" w:themeColor="text2"/>
          <w:sz w:val="22"/>
          <w:szCs w:val="22"/>
          <w:lang w:val="en-GB" w:eastAsia="en-US"/>
        </w:rPr>
        <w:t xml:space="preserve">High Commission in Tarawa) and </w:t>
      </w:r>
      <w:r w:rsidR="00AF5DEF">
        <w:rPr>
          <w:rFonts w:asciiTheme="minorHAnsi" w:eastAsiaTheme="minorHAnsi" w:hAnsiTheme="minorHAnsi" w:cstheme="minorBidi"/>
          <w:color w:val="495965" w:themeColor="text2"/>
          <w:sz w:val="22"/>
          <w:szCs w:val="22"/>
          <w:lang w:val="en-GB" w:eastAsia="en-US"/>
        </w:rPr>
        <w:t>Biennial Senior Official Talks</w:t>
      </w:r>
      <w:r w:rsidR="00693146" w:rsidRPr="00693146">
        <w:rPr>
          <w:rFonts w:asciiTheme="minorHAnsi" w:eastAsiaTheme="minorHAnsi" w:hAnsiTheme="minorHAnsi" w:cstheme="minorBidi"/>
          <w:color w:val="495965" w:themeColor="text2"/>
          <w:sz w:val="22"/>
          <w:szCs w:val="22"/>
          <w:lang w:val="en-GB" w:eastAsia="en-US"/>
        </w:rPr>
        <w:t>.</w:t>
      </w:r>
      <w:r w:rsidRPr="002A1C8F">
        <w:rPr>
          <w:rFonts w:asciiTheme="minorHAnsi" w:eastAsiaTheme="minorHAnsi" w:hAnsiTheme="minorHAnsi" w:cstheme="minorBidi"/>
          <w:color w:val="495965" w:themeColor="text2"/>
          <w:sz w:val="22"/>
          <w:szCs w:val="22"/>
          <w:lang w:val="en-GB" w:eastAsia="en-US"/>
        </w:rPr>
        <w:t xml:space="preserve"> In 2015-16, the Government of Kiribati:</w:t>
      </w:r>
    </w:p>
    <w:p w:rsidR="00F016EC" w:rsidRDefault="00974911" w:rsidP="00C87E8D">
      <w:pPr>
        <w:pStyle w:val="ListParagraph"/>
        <w:numPr>
          <w:ilvl w:val="0"/>
          <w:numId w:val="12"/>
        </w:numPr>
        <w:suppressAutoHyphens w:val="0"/>
        <w:spacing w:before="0" w:after="0" w:line="240" w:lineRule="auto"/>
        <w:ind w:left="357" w:hanging="357"/>
        <w:contextualSpacing w:val="0"/>
        <w:rPr>
          <w:rFonts w:eastAsia="SimSun"/>
        </w:rPr>
      </w:pPr>
      <w:r w:rsidRPr="002A1C8F">
        <w:rPr>
          <w:rFonts w:eastAsia="SimSun"/>
        </w:rPr>
        <w:t xml:space="preserve">increased its allocation to education </w:t>
      </w:r>
      <w:r>
        <w:rPr>
          <w:rFonts w:eastAsia="SimSun"/>
        </w:rPr>
        <w:t xml:space="preserve">in its </w:t>
      </w:r>
      <w:r w:rsidRPr="002A1C8F">
        <w:rPr>
          <w:rFonts w:eastAsia="SimSun"/>
        </w:rPr>
        <w:t>2016 budget</w:t>
      </w:r>
      <w:r>
        <w:rPr>
          <w:rFonts w:eastAsia="SimSun"/>
        </w:rPr>
        <w:t>, however due</w:t>
      </w:r>
      <w:r w:rsidR="0076551D">
        <w:rPr>
          <w:rFonts w:eastAsia="SimSun"/>
        </w:rPr>
        <w:t xml:space="preserve"> to</w:t>
      </w:r>
      <w:r>
        <w:rPr>
          <w:rFonts w:eastAsia="SimSun"/>
        </w:rPr>
        <w:t xml:space="preserve"> overall increase</w:t>
      </w:r>
      <w:r w:rsidR="00056480">
        <w:rPr>
          <w:rFonts w:eastAsia="SimSun"/>
        </w:rPr>
        <w:t>s</w:t>
      </w:r>
      <w:r>
        <w:rPr>
          <w:rFonts w:eastAsia="SimSun"/>
        </w:rPr>
        <w:t xml:space="preserve"> to its</w:t>
      </w:r>
      <w:r w:rsidRPr="002A1C8F">
        <w:rPr>
          <w:rFonts w:eastAsia="SimSun"/>
        </w:rPr>
        <w:t xml:space="preserve"> </w:t>
      </w:r>
      <w:r>
        <w:rPr>
          <w:rFonts w:eastAsia="SimSun"/>
        </w:rPr>
        <w:t xml:space="preserve">budget, </w:t>
      </w:r>
      <w:r w:rsidR="00056480">
        <w:rPr>
          <w:rFonts w:eastAsia="SimSun"/>
        </w:rPr>
        <w:t xml:space="preserve">the </w:t>
      </w:r>
      <w:r w:rsidR="00056480" w:rsidRPr="002A1C8F">
        <w:rPr>
          <w:rFonts w:eastAsia="SimSun"/>
        </w:rPr>
        <w:t>proportion o</w:t>
      </w:r>
      <w:r w:rsidR="00056480">
        <w:rPr>
          <w:rFonts w:eastAsia="SimSun"/>
        </w:rPr>
        <w:t xml:space="preserve">f </w:t>
      </w:r>
      <w:r w:rsidR="00F016EC" w:rsidRPr="002A1C8F">
        <w:rPr>
          <w:rFonts w:eastAsia="SimSun"/>
        </w:rPr>
        <w:t xml:space="preserve">expenditure </w:t>
      </w:r>
      <w:r w:rsidR="002E1224">
        <w:rPr>
          <w:rFonts w:eastAsia="SimSun"/>
        </w:rPr>
        <w:t>o</w:t>
      </w:r>
      <w:r w:rsidR="00F016EC" w:rsidRPr="002A1C8F">
        <w:rPr>
          <w:rFonts w:eastAsia="SimSun"/>
        </w:rPr>
        <w:t xml:space="preserve">n education and health </w:t>
      </w:r>
      <w:r>
        <w:rPr>
          <w:rFonts w:eastAsia="SimSun"/>
        </w:rPr>
        <w:t>h</w:t>
      </w:r>
      <w:r w:rsidR="00F016EC" w:rsidRPr="002A1C8F">
        <w:rPr>
          <w:rFonts w:eastAsia="SimSun"/>
        </w:rPr>
        <w:t>as</w:t>
      </w:r>
      <w:r>
        <w:rPr>
          <w:rFonts w:eastAsia="SimSun"/>
        </w:rPr>
        <w:t xml:space="preserve"> declined</w:t>
      </w:r>
      <w:r w:rsidR="00AF5DEF">
        <w:rPr>
          <w:rFonts w:eastAsia="SimSun"/>
        </w:rPr>
        <w:t>;</w:t>
      </w:r>
    </w:p>
    <w:p w:rsidR="00D57D1D" w:rsidRPr="00D57D1D" w:rsidRDefault="00D57D1D" w:rsidP="00D57D1D">
      <w:pPr>
        <w:pStyle w:val="ListParagraph"/>
        <w:numPr>
          <w:ilvl w:val="0"/>
          <w:numId w:val="12"/>
        </w:numPr>
        <w:suppressAutoHyphens w:val="0"/>
        <w:spacing w:before="0" w:after="0" w:line="240" w:lineRule="auto"/>
        <w:ind w:left="357" w:hanging="357"/>
        <w:contextualSpacing w:val="0"/>
        <w:rPr>
          <w:rFonts w:eastAsia="SimSun"/>
        </w:rPr>
      </w:pPr>
      <w:r w:rsidRPr="00D57D1D">
        <w:rPr>
          <w:rFonts w:eastAsia="SimSun"/>
        </w:rPr>
        <w:t xml:space="preserve">made good progress in implementing reforms agreed under the Economic Reform Plan and Joint Policy Matrix, </w:t>
      </w:r>
      <w:r>
        <w:rPr>
          <w:rFonts w:eastAsia="SimSun"/>
        </w:rPr>
        <w:t xml:space="preserve">including </w:t>
      </w:r>
      <w:r w:rsidR="008A4038">
        <w:rPr>
          <w:rFonts w:eastAsia="SimSun"/>
        </w:rPr>
        <w:t xml:space="preserve">producing the second joint report on sources of fisheries revenue, </w:t>
      </w:r>
      <w:r>
        <w:rPr>
          <w:rFonts w:eastAsia="SimSun"/>
        </w:rPr>
        <w:t xml:space="preserve"> </w:t>
      </w:r>
      <w:r w:rsidR="008A4038">
        <w:rPr>
          <w:rFonts w:eastAsia="SimSun"/>
        </w:rPr>
        <w:t xml:space="preserve">the review of all existing fisheries joint ventures, and </w:t>
      </w:r>
      <w:r w:rsidR="008A4038" w:rsidRPr="008A4038">
        <w:rPr>
          <w:rFonts w:eastAsia="SimSun"/>
        </w:rPr>
        <w:t xml:space="preserve">execution of the approved </w:t>
      </w:r>
      <w:r w:rsidR="001C612D">
        <w:rPr>
          <w:rFonts w:eastAsia="SimSun"/>
        </w:rPr>
        <w:t>Revenue Equalisation Reserve Fund</w:t>
      </w:r>
      <w:r w:rsidR="008A4038">
        <w:rPr>
          <w:rFonts w:eastAsia="SimSun"/>
        </w:rPr>
        <w:t xml:space="preserve"> </w:t>
      </w:r>
      <w:r w:rsidR="008A4038" w:rsidRPr="008A4038">
        <w:rPr>
          <w:rFonts w:eastAsia="SimSun"/>
        </w:rPr>
        <w:t>strategic asset allocation</w:t>
      </w:r>
      <w:r w:rsidR="00AF5DEF">
        <w:rPr>
          <w:rFonts w:eastAsia="SimSun"/>
        </w:rPr>
        <w:t>;</w:t>
      </w:r>
      <w:r w:rsidR="00FC18F7">
        <w:rPr>
          <w:rFonts w:eastAsia="SimSun"/>
        </w:rPr>
        <w:t xml:space="preserve"> and</w:t>
      </w:r>
    </w:p>
    <w:p w:rsidR="00855068" w:rsidRPr="00855068" w:rsidRDefault="00D57D1D" w:rsidP="00855068">
      <w:pPr>
        <w:pStyle w:val="ListParagraph"/>
        <w:numPr>
          <w:ilvl w:val="0"/>
          <w:numId w:val="12"/>
        </w:numPr>
        <w:suppressAutoHyphens w:val="0"/>
        <w:spacing w:before="0" w:after="0" w:line="240" w:lineRule="auto"/>
        <w:ind w:left="357" w:hanging="357"/>
        <w:contextualSpacing w:val="0"/>
        <w:rPr>
          <w:rFonts w:eastAsia="SimSun"/>
        </w:rPr>
      </w:pPr>
      <w:r w:rsidRPr="00855068">
        <w:rPr>
          <w:rFonts w:eastAsia="SimSun"/>
        </w:rPr>
        <w:t xml:space="preserve">made good progress </w:t>
      </w:r>
      <w:r w:rsidR="00FC18F7">
        <w:rPr>
          <w:rFonts w:eastAsia="SimSun"/>
        </w:rPr>
        <w:t>on the</w:t>
      </w:r>
      <w:r w:rsidRPr="00855068">
        <w:rPr>
          <w:rFonts w:eastAsia="SimSun"/>
        </w:rPr>
        <w:t xml:space="preserve"> gender equality indicators it committed to in the Pacific Islands Forum Leaders’ Gender Equality Declaration</w:t>
      </w:r>
      <w:r w:rsidR="00DA20DE">
        <w:rPr>
          <w:rFonts w:eastAsia="SimSun"/>
        </w:rPr>
        <w:t xml:space="preserve">, including </w:t>
      </w:r>
      <w:r w:rsidR="00855068" w:rsidRPr="00855068">
        <w:rPr>
          <w:rFonts w:eastAsia="SimSun"/>
        </w:rPr>
        <w:t>improvements to</w:t>
      </w:r>
      <w:r w:rsidR="00F36127">
        <w:rPr>
          <w:rFonts w:eastAsia="SimSun"/>
        </w:rPr>
        <w:t xml:space="preserve"> </w:t>
      </w:r>
      <w:r w:rsidR="00E44EDC">
        <w:rPr>
          <w:rFonts w:eastAsia="SimSun"/>
        </w:rPr>
        <w:t xml:space="preserve">police and judiciary </w:t>
      </w:r>
      <w:r w:rsidRPr="00855068">
        <w:rPr>
          <w:rFonts w:eastAsia="SimSun"/>
        </w:rPr>
        <w:t>services</w:t>
      </w:r>
      <w:r w:rsidR="004776BA">
        <w:rPr>
          <w:rFonts w:eastAsia="SimSun"/>
        </w:rPr>
        <w:t xml:space="preserve"> related </w:t>
      </w:r>
      <w:r w:rsidRPr="00855068">
        <w:rPr>
          <w:rFonts w:eastAsia="SimSun"/>
        </w:rPr>
        <w:t>to end</w:t>
      </w:r>
      <w:r w:rsidR="004776BA">
        <w:rPr>
          <w:rFonts w:eastAsia="SimSun"/>
        </w:rPr>
        <w:t>ing</w:t>
      </w:r>
      <w:r w:rsidRPr="00855068">
        <w:rPr>
          <w:rFonts w:eastAsia="SimSun"/>
        </w:rPr>
        <w:t xml:space="preserve"> violence against women</w:t>
      </w:r>
      <w:r w:rsidR="00FC18F7">
        <w:rPr>
          <w:rFonts w:eastAsia="SimSun"/>
        </w:rPr>
        <w:t>,</w:t>
      </w:r>
      <w:r w:rsidR="00E44EDC">
        <w:rPr>
          <w:rFonts w:eastAsia="SimSun"/>
        </w:rPr>
        <w:t xml:space="preserve"> and strengthening health and social services for victims of violence</w:t>
      </w:r>
      <w:r w:rsidR="008B0EE2">
        <w:rPr>
          <w:rFonts w:eastAsia="SimSun"/>
        </w:rPr>
        <w:t>.</w:t>
      </w:r>
    </w:p>
    <w:p w:rsidR="00855068" w:rsidRDefault="00855068" w:rsidP="00855068">
      <w:pPr>
        <w:suppressAutoHyphens w:val="0"/>
        <w:autoSpaceDE w:val="0"/>
        <w:autoSpaceDN w:val="0"/>
        <w:adjustRightInd w:val="0"/>
        <w:spacing w:before="0" w:after="0" w:line="240" w:lineRule="auto"/>
        <w:rPr>
          <w:rFonts w:ascii="Franklin Gothic Book" w:eastAsia="SimSun" w:hAnsi="Franklin Gothic Book"/>
          <w:sz w:val="21"/>
          <w:szCs w:val="21"/>
        </w:rPr>
      </w:pPr>
    </w:p>
    <w:p w:rsidR="00D57D1D" w:rsidRPr="00855068" w:rsidRDefault="00855068" w:rsidP="00855068">
      <w:pPr>
        <w:suppressAutoHyphens w:val="0"/>
        <w:autoSpaceDE w:val="0"/>
        <w:autoSpaceDN w:val="0"/>
        <w:adjustRightInd w:val="0"/>
        <w:spacing w:before="0" w:after="0" w:line="240" w:lineRule="auto"/>
      </w:pPr>
      <w:r w:rsidRPr="00855068">
        <w:t>Both the Governments of Australia and Kiribati have committed to maintaining a zero-tolerance approach to fraudulent and corrupt actions against Australia’s aid program to Kiribati. In 2015-16 improvements</w:t>
      </w:r>
      <w:r w:rsidR="004776BA">
        <w:t xml:space="preserve"> were made</w:t>
      </w:r>
      <w:r w:rsidRPr="00855068">
        <w:t xml:space="preserve"> to Kiribati’s procurement and financial systems to ensure that </w:t>
      </w:r>
      <w:r w:rsidR="00F36127">
        <w:t xml:space="preserve">Australian </w:t>
      </w:r>
      <w:r w:rsidRPr="00855068">
        <w:t>aid funds are disbursed effectively, efficiently, economically and ethically</w:t>
      </w:r>
      <w:r w:rsidR="004776BA">
        <w:t xml:space="preserve">. Improvements will continue to be </w:t>
      </w:r>
      <w:r w:rsidR="00693146">
        <w:t xml:space="preserve">made </w:t>
      </w:r>
      <w:r w:rsidR="004776BA">
        <w:t>in 2016-17.</w:t>
      </w:r>
    </w:p>
    <w:p w:rsidR="00855068" w:rsidRDefault="00855068" w:rsidP="00855068">
      <w:pPr>
        <w:suppressAutoHyphens w:val="0"/>
        <w:autoSpaceDE w:val="0"/>
        <w:autoSpaceDN w:val="0"/>
        <w:adjustRightInd w:val="0"/>
        <w:spacing w:before="0" w:after="0" w:line="240" w:lineRule="auto"/>
      </w:pPr>
    </w:p>
    <w:p w:rsidR="00693146" w:rsidRDefault="00855068" w:rsidP="00855068">
      <w:pPr>
        <w:suppressAutoHyphens w:val="0"/>
        <w:autoSpaceDE w:val="0"/>
        <w:autoSpaceDN w:val="0"/>
        <w:adjustRightInd w:val="0"/>
        <w:spacing w:before="0" w:after="0" w:line="240" w:lineRule="auto"/>
      </w:pPr>
      <w:r w:rsidRPr="00855068">
        <w:t>Australia cooperated closely with the Government of Kiribati to deliver its development assistance in line with the strategic objectives of the</w:t>
      </w:r>
      <w:r>
        <w:t xml:space="preserve"> </w:t>
      </w:r>
      <w:r w:rsidRPr="00855068">
        <w:rPr>
          <w:i/>
        </w:rPr>
        <w:t>Kiribati Aid Investment Plan 2015-19</w:t>
      </w:r>
      <w:r w:rsidR="00C941D3">
        <w:rPr>
          <w:i/>
        </w:rPr>
        <w:t xml:space="preserve"> </w:t>
      </w:r>
      <w:r w:rsidR="00C941D3" w:rsidRPr="00C941D3">
        <w:t xml:space="preserve">and the </w:t>
      </w:r>
      <w:r w:rsidR="00C941D3">
        <w:rPr>
          <w:i/>
        </w:rPr>
        <w:t>Kiribati Development Plan (2016-19)</w:t>
      </w:r>
      <w:r w:rsidRPr="00855068">
        <w:t xml:space="preserve">. As the leading aid donor in Kiribati, Australia also worked to support improved coordination among donors, greater coordination of development policies and programs with the Government, and promotion of gender and disability inclusive development. </w:t>
      </w:r>
    </w:p>
    <w:p w:rsidR="007E1DE0" w:rsidRDefault="007E1DE0" w:rsidP="00855068">
      <w:pPr>
        <w:suppressAutoHyphens w:val="0"/>
        <w:autoSpaceDE w:val="0"/>
        <w:autoSpaceDN w:val="0"/>
        <w:adjustRightInd w:val="0"/>
        <w:spacing w:before="0" w:after="0" w:line="240" w:lineRule="auto"/>
      </w:pPr>
    </w:p>
    <w:p w:rsidR="00CF2923" w:rsidRPr="00015316" w:rsidRDefault="00CF2923" w:rsidP="00CF2923">
      <w:pPr>
        <w:suppressAutoHyphens w:val="0"/>
        <w:spacing w:before="0" w:after="120" w:line="440" w:lineRule="atLeast"/>
        <w:rPr>
          <w:rFonts w:asciiTheme="majorHAnsi" w:eastAsiaTheme="majorEastAsia" w:hAnsiTheme="majorHAnsi" w:cstheme="majorBidi"/>
          <w:caps/>
          <w:sz w:val="38"/>
          <w:szCs w:val="26"/>
        </w:rPr>
      </w:pPr>
      <w:r w:rsidRPr="00015316">
        <w:rPr>
          <w:rFonts w:asciiTheme="majorHAnsi" w:eastAsiaTheme="majorEastAsia" w:hAnsiTheme="majorHAnsi" w:cstheme="majorBidi"/>
          <w:caps/>
          <w:sz w:val="38"/>
          <w:szCs w:val="26"/>
        </w:rPr>
        <w:t>Program Quality</w:t>
      </w:r>
    </w:p>
    <w:p w:rsidR="00CF2923" w:rsidRDefault="00CF2923" w:rsidP="00CF2923">
      <w:pPr>
        <w:pStyle w:val="BodyText"/>
        <w:rPr>
          <w:rFonts w:asciiTheme="minorHAnsi" w:eastAsiaTheme="minorHAnsi" w:hAnsiTheme="minorHAnsi" w:cstheme="minorBidi"/>
          <w:color w:val="495965" w:themeColor="text2"/>
          <w:sz w:val="22"/>
          <w:szCs w:val="22"/>
          <w:lang w:val="en-GB" w:eastAsia="en-US"/>
        </w:rPr>
      </w:pPr>
      <w:r w:rsidRPr="00DB727A">
        <w:rPr>
          <w:rFonts w:asciiTheme="minorHAnsi" w:eastAsiaTheme="minorHAnsi" w:hAnsiTheme="minorHAnsi" w:cstheme="minorBidi"/>
          <w:color w:val="495965" w:themeColor="text2"/>
          <w:sz w:val="22"/>
          <w:szCs w:val="22"/>
          <w:lang w:val="en-GB" w:eastAsia="en-US"/>
        </w:rPr>
        <w:t xml:space="preserve">Aid Quality Checks rating across all Kiribati initiatives were </w:t>
      </w:r>
      <w:r>
        <w:rPr>
          <w:rFonts w:asciiTheme="minorHAnsi" w:eastAsiaTheme="minorHAnsi" w:hAnsiTheme="minorHAnsi" w:cstheme="minorBidi"/>
          <w:color w:val="495965" w:themeColor="text2"/>
          <w:sz w:val="22"/>
          <w:szCs w:val="22"/>
          <w:lang w:val="en-GB" w:eastAsia="en-US"/>
        </w:rPr>
        <w:t>satisfactory</w:t>
      </w:r>
      <w:r w:rsidRPr="00DB727A">
        <w:rPr>
          <w:rFonts w:asciiTheme="minorHAnsi" w:eastAsiaTheme="minorHAnsi" w:hAnsiTheme="minorHAnsi" w:cstheme="minorBidi"/>
          <w:color w:val="495965" w:themeColor="text2"/>
          <w:sz w:val="22"/>
          <w:szCs w:val="22"/>
          <w:lang w:val="en-GB" w:eastAsia="en-US"/>
        </w:rPr>
        <w:t>. The efficiency of our infrastructure investments improved</w:t>
      </w:r>
      <w:r>
        <w:rPr>
          <w:rFonts w:asciiTheme="minorHAnsi" w:eastAsiaTheme="minorHAnsi" w:hAnsiTheme="minorHAnsi" w:cstheme="minorBidi"/>
          <w:color w:val="495965" w:themeColor="text2"/>
          <w:sz w:val="22"/>
          <w:szCs w:val="22"/>
          <w:lang w:val="en-GB" w:eastAsia="en-US"/>
        </w:rPr>
        <w:t>.</w:t>
      </w:r>
      <w:r w:rsidRPr="00DB727A">
        <w:rPr>
          <w:rFonts w:asciiTheme="minorHAnsi" w:eastAsiaTheme="minorHAnsi" w:hAnsiTheme="minorHAnsi" w:cstheme="minorBidi"/>
          <w:color w:val="495965" w:themeColor="text2"/>
          <w:sz w:val="22"/>
          <w:szCs w:val="22"/>
          <w:lang w:val="en-GB" w:eastAsia="en-US"/>
        </w:rPr>
        <w:t xml:space="preserve"> </w:t>
      </w:r>
    </w:p>
    <w:p w:rsidR="00CF2923" w:rsidRDefault="00CF2923" w:rsidP="00CF2923">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The effectiveness rating for Australia’s support for the Tuberculosis Program was downgraded from ‘good (5)’ in 2014-15 to ‘less than adequate (3)’, and the monitoring and evaluation and the risk management of the program were also downgraded from adequate (4) to ‘less than adequate (3)’, reflecting the findings of the independent evaluation of the program.</w:t>
      </w:r>
    </w:p>
    <w:p w:rsidR="00CF2923" w:rsidRDefault="00CF2923" w:rsidP="00CF2923">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The sustainability rating for Australia’s economic reform program was downgraded from ‘good (5)’ to ‘less than adequate (3)’. This reflects the need for continued capacity building at the Ministry of Finance and Economic Development. </w:t>
      </w:r>
    </w:p>
    <w:p w:rsidR="00CF2923" w:rsidRPr="00DB727A" w:rsidRDefault="00CF2923" w:rsidP="00CF2923">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G</w:t>
      </w:r>
      <w:r w:rsidRPr="00DB727A">
        <w:rPr>
          <w:rFonts w:asciiTheme="minorHAnsi" w:eastAsiaTheme="minorHAnsi" w:hAnsiTheme="minorHAnsi" w:cstheme="minorBidi"/>
          <w:color w:val="495965" w:themeColor="text2"/>
          <w:sz w:val="22"/>
          <w:szCs w:val="22"/>
          <w:lang w:val="en-GB" w:eastAsia="en-US"/>
        </w:rPr>
        <w:t>ender equality</w:t>
      </w:r>
      <w:r>
        <w:rPr>
          <w:rFonts w:asciiTheme="minorHAnsi" w:eastAsiaTheme="minorHAnsi" w:hAnsiTheme="minorHAnsi" w:cstheme="minorBidi"/>
          <w:color w:val="495965" w:themeColor="text2"/>
          <w:sz w:val="22"/>
          <w:szCs w:val="22"/>
          <w:lang w:val="en-GB" w:eastAsia="en-US"/>
        </w:rPr>
        <w:t xml:space="preserve"> ratings in 2015-16</w:t>
      </w:r>
      <w:r w:rsidRPr="00DB727A">
        <w:rPr>
          <w:rFonts w:asciiTheme="minorHAnsi" w:eastAsiaTheme="minorHAnsi" w:hAnsiTheme="minorHAnsi" w:cstheme="minorBidi"/>
          <w:color w:val="495965" w:themeColor="text2"/>
          <w:sz w:val="22"/>
          <w:szCs w:val="22"/>
          <w:lang w:val="en-GB" w:eastAsia="en-US"/>
        </w:rPr>
        <w:t xml:space="preserve"> were a</w:t>
      </w:r>
      <w:r>
        <w:rPr>
          <w:rFonts w:asciiTheme="minorHAnsi" w:eastAsiaTheme="minorHAnsi" w:hAnsiTheme="minorHAnsi" w:cstheme="minorBidi"/>
          <w:color w:val="495965" w:themeColor="text2"/>
          <w:sz w:val="22"/>
          <w:szCs w:val="22"/>
          <w:lang w:val="en-GB" w:eastAsia="en-US"/>
        </w:rPr>
        <w:t>dequate (4)</w:t>
      </w:r>
      <w:r w:rsidRPr="00DB727A">
        <w:rPr>
          <w:rFonts w:asciiTheme="minorHAnsi" w:eastAsiaTheme="minorHAnsi" w:hAnsiTheme="minorHAnsi" w:cstheme="minorBidi"/>
          <w:color w:val="495965" w:themeColor="text2"/>
          <w:sz w:val="22"/>
          <w:szCs w:val="22"/>
          <w:lang w:val="en-GB" w:eastAsia="en-US"/>
        </w:rPr>
        <w:t xml:space="preserve">, except </w:t>
      </w:r>
      <w:r>
        <w:rPr>
          <w:rFonts w:asciiTheme="minorHAnsi" w:eastAsiaTheme="minorHAnsi" w:hAnsiTheme="minorHAnsi" w:cstheme="minorBidi"/>
          <w:color w:val="495965" w:themeColor="text2"/>
          <w:sz w:val="22"/>
          <w:szCs w:val="22"/>
          <w:lang w:val="en-GB" w:eastAsia="en-US"/>
        </w:rPr>
        <w:t xml:space="preserve">for economic reform which was downgraded from adequate (4) in 2014-15 to ‘less than adequate (3)’ as gender issues are yet to be comprehensively addressed. The gender rating for the Tuberculosis Program improved. The independent evaluation confirmed the ratio of males to females receiving program services is surpassing the global ratio of 1.7. </w:t>
      </w:r>
    </w:p>
    <w:p w:rsidR="00CF2923" w:rsidRPr="00DB727A" w:rsidRDefault="00CF2923" w:rsidP="00CF2923">
      <w:pPr>
        <w:pStyle w:val="BodyText"/>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I</w:t>
      </w:r>
      <w:r w:rsidRPr="00DB727A">
        <w:rPr>
          <w:rFonts w:asciiTheme="minorHAnsi" w:eastAsiaTheme="minorHAnsi" w:hAnsiTheme="minorHAnsi" w:cstheme="minorBidi"/>
          <w:color w:val="495965" w:themeColor="text2"/>
          <w:sz w:val="22"/>
          <w:szCs w:val="22"/>
          <w:lang w:val="en-GB" w:eastAsia="en-US"/>
        </w:rPr>
        <w:t>ndependent evaluation</w:t>
      </w:r>
      <w:r>
        <w:rPr>
          <w:rFonts w:asciiTheme="minorHAnsi" w:eastAsiaTheme="minorHAnsi" w:hAnsiTheme="minorHAnsi" w:cstheme="minorBidi"/>
          <w:color w:val="495965" w:themeColor="text2"/>
          <w:sz w:val="22"/>
          <w:szCs w:val="22"/>
          <w:lang w:val="en-GB" w:eastAsia="en-US"/>
        </w:rPr>
        <w:t>s</w:t>
      </w:r>
      <w:r w:rsidRPr="00DB727A">
        <w:rPr>
          <w:rFonts w:asciiTheme="minorHAnsi" w:eastAsiaTheme="minorHAnsi" w:hAnsiTheme="minorHAnsi" w:cstheme="minorBidi"/>
          <w:color w:val="495965" w:themeColor="text2"/>
          <w:sz w:val="22"/>
          <w:szCs w:val="22"/>
          <w:lang w:val="en-GB" w:eastAsia="en-US"/>
        </w:rPr>
        <w:t xml:space="preserve"> of the </w:t>
      </w:r>
      <w:r w:rsidRPr="003946AF">
        <w:rPr>
          <w:rFonts w:asciiTheme="minorHAnsi" w:eastAsiaTheme="minorHAnsi" w:hAnsiTheme="minorHAnsi" w:cstheme="minorBidi"/>
          <w:i/>
          <w:color w:val="495965" w:themeColor="text2"/>
          <w:sz w:val="22"/>
          <w:szCs w:val="22"/>
          <w:lang w:val="en-GB" w:eastAsia="en-US"/>
        </w:rPr>
        <w:t>Kiribati Technical and Vocational Education and Training Sector Strengthening Program Phase I and II</w:t>
      </w:r>
      <w:r w:rsidRPr="00DB727A">
        <w:rPr>
          <w:rFonts w:asciiTheme="minorHAnsi" w:eastAsiaTheme="minorHAnsi" w:hAnsiTheme="minorHAnsi" w:cstheme="minorBidi"/>
          <w:color w:val="495965" w:themeColor="text2"/>
          <w:sz w:val="22"/>
          <w:szCs w:val="22"/>
          <w:lang w:val="en-GB" w:eastAsia="en-US"/>
        </w:rPr>
        <w:t xml:space="preserve"> </w:t>
      </w:r>
      <w:r>
        <w:rPr>
          <w:rFonts w:asciiTheme="minorHAnsi" w:eastAsiaTheme="minorHAnsi" w:hAnsiTheme="minorHAnsi" w:cstheme="minorBidi"/>
          <w:color w:val="495965" w:themeColor="text2"/>
          <w:sz w:val="22"/>
          <w:szCs w:val="22"/>
          <w:lang w:val="en-GB" w:eastAsia="en-US"/>
        </w:rPr>
        <w:t>and the Towards Tuberculosis Elimination in Kiribati Program were</w:t>
      </w:r>
      <w:r w:rsidRPr="00DB727A">
        <w:rPr>
          <w:rFonts w:asciiTheme="minorHAnsi" w:eastAsiaTheme="minorHAnsi" w:hAnsiTheme="minorHAnsi" w:cstheme="minorBidi"/>
          <w:color w:val="495965" w:themeColor="text2"/>
          <w:sz w:val="22"/>
          <w:szCs w:val="22"/>
          <w:lang w:val="en-GB" w:eastAsia="en-US"/>
        </w:rPr>
        <w:t xml:space="preserve"> finalised in 2015–16</w:t>
      </w:r>
      <w:r>
        <w:rPr>
          <w:rFonts w:asciiTheme="minorHAnsi" w:eastAsiaTheme="minorHAnsi" w:hAnsiTheme="minorHAnsi" w:cstheme="minorBidi"/>
          <w:color w:val="495965" w:themeColor="text2"/>
          <w:sz w:val="22"/>
          <w:szCs w:val="22"/>
          <w:lang w:val="en-GB" w:eastAsia="en-US"/>
        </w:rPr>
        <w:t xml:space="preserve">. </w:t>
      </w:r>
    </w:p>
    <w:p w:rsidR="00CF2923" w:rsidRPr="00015316" w:rsidRDefault="00CF2923" w:rsidP="00CF2923">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Management Responses</w:t>
      </w:r>
    </w:p>
    <w:p w:rsidR="00CF2923" w:rsidRDefault="00CF2923" w:rsidP="00CF2923">
      <w:r>
        <w:t>In 2016-17, Australia will:</w:t>
      </w:r>
    </w:p>
    <w:p w:rsidR="00CF2923" w:rsidRPr="00327FCD" w:rsidRDefault="00CF2923" w:rsidP="00CF2923">
      <w:pPr>
        <w:pStyle w:val="ListParagraph"/>
        <w:numPr>
          <w:ilvl w:val="0"/>
          <w:numId w:val="12"/>
        </w:numPr>
        <w:suppressAutoHyphens w:val="0"/>
        <w:spacing w:before="0" w:after="0" w:line="240" w:lineRule="auto"/>
        <w:ind w:left="357" w:hanging="357"/>
        <w:contextualSpacing w:val="0"/>
        <w:rPr>
          <w:rFonts w:eastAsia="SimSun"/>
        </w:rPr>
      </w:pPr>
      <w:r>
        <w:t>work with regional fisheries organisations to assist Kiribati respond to the European Union’s ‘Yellow card’ warning;</w:t>
      </w:r>
    </w:p>
    <w:p w:rsidR="00CF2923" w:rsidRPr="006E3DC1" w:rsidRDefault="00CF2923" w:rsidP="00CF2923">
      <w:pPr>
        <w:pStyle w:val="ListParagraph"/>
        <w:numPr>
          <w:ilvl w:val="0"/>
          <w:numId w:val="12"/>
        </w:numPr>
        <w:suppressAutoHyphens w:val="0"/>
        <w:spacing w:before="0" w:after="0" w:line="240" w:lineRule="auto"/>
        <w:ind w:left="357" w:hanging="357"/>
        <w:contextualSpacing w:val="0"/>
        <w:rPr>
          <w:rFonts w:eastAsia="SimSun"/>
        </w:rPr>
      </w:pPr>
      <w:r>
        <w:t>s</w:t>
      </w:r>
      <w:r w:rsidRPr="00B04A18">
        <w:t>upport the G</w:t>
      </w:r>
      <w:r>
        <w:t xml:space="preserve">overnment of </w:t>
      </w:r>
      <w:r w:rsidRPr="00B04A18">
        <w:t>K</w:t>
      </w:r>
      <w:r>
        <w:t>iribati</w:t>
      </w:r>
      <w:r w:rsidRPr="00B04A18">
        <w:t xml:space="preserve"> to plan additional coastal managem</w:t>
      </w:r>
      <w:r>
        <w:t>ent protection for South Tarawa;</w:t>
      </w:r>
    </w:p>
    <w:p w:rsidR="00CF2923" w:rsidRPr="006E3DC1" w:rsidRDefault="00CF2923" w:rsidP="00CF2923">
      <w:pPr>
        <w:pStyle w:val="ListParagraph"/>
        <w:numPr>
          <w:ilvl w:val="0"/>
          <w:numId w:val="12"/>
        </w:numPr>
        <w:suppressAutoHyphens w:val="0"/>
        <w:spacing w:before="0" w:after="0" w:line="240" w:lineRule="auto"/>
        <w:ind w:left="357" w:hanging="357"/>
        <w:contextualSpacing w:val="0"/>
        <w:rPr>
          <w:rFonts w:eastAsia="SimSun"/>
        </w:rPr>
      </w:pPr>
      <w:r>
        <w:t>support the Government of Kiribati</w:t>
      </w:r>
      <w:r w:rsidRPr="00D1534E">
        <w:rPr>
          <w:rFonts w:ascii="Times New Roman" w:eastAsia="Times New Roman" w:hAnsi="Times New Roman" w:cs="Times New Roman"/>
          <w:color w:val="auto"/>
          <w:sz w:val="24"/>
          <w:szCs w:val="24"/>
          <w:lang w:val="en-AU" w:eastAsia="en-AU"/>
        </w:rPr>
        <w:t xml:space="preserve"> </w:t>
      </w:r>
      <w:r>
        <w:rPr>
          <w:lang w:val="en-AU"/>
        </w:rPr>
        <w:t>to</w:t>
      </w:r>
      <w:r w:rsidRPr="00D1534E">
        <w:rPr>
          <w:lang w:val="en-AU"/>
        </w:rPr>
        <w:t xml:space="preserve"> access </w:t>
      </w:r>
      <w:r>
        <w:rPr>
          <w:lang w:val="en-AU"/>
        </w:rPr>
        <w:t>multilateral climate finance such as the Green Climate Fund, the Adaptation Fund and Climate Investment Fund. DFAT is funding a PACTAM advisor to assist the Government of Kiribati to prepare high quality proposals;</w:t>
      </w:r>
    </w:p>
    <w:p w:rsidR="004A7C0C" w:rsidRPr="00707A6A" w:rsidRDefault="00CF2923" w:rsidP="00CF2923">
      <w:pPr>
        <w:pStyle w:val="ListParagraph"/>
        <w:numPr>
          <w:ilvl w:val="0"/>
          <w:numId w:val="12"/>
        </w:numPr>
        <w:suppressAutoHyphens w:val="0"/>
        <w:spacing w:before="0" w:after="0" w:line="240" w:lineRule="auto"/>
        <w:ind w:left="357" w:hanging="357"/>
        <w:contextualSpacing w:val="0"/>
      </w:pPr>
      <w:r>
        <w:t>i</w:t>
      </w:r>
      <w:r w:rsidRPr="00CD5D6C">
        <w:t xml:space="preserve">ncrease the employability of KIT graduates </w:t>
      </w:r>
      <w:r>
        <w:t>by</w:t>
      </w:r>
      <w:r w:rsidRPr="00CD5D6C">
        <w:t xml:space="preserve"> align</w:t>
      </w:r>
      <w:r>
        <w:t>ing</w:t>
      </w:r>
      <w:r w:rsidRPr="00CD5D6C">
        <w:t xml:space="preserve"> KIT courses with labour market demand</w:t>
      </w:r>
      <w:r>
        <w:t>;</w:t>
      </w:r>
      <w:r w:rsidRPr="00CD5D6C">
        <w:t xml:space="preserve"> and</w:t>
      </w:r>
      <w:r>
        <w:t xml:space="preserve"> provide</w:t>
      </w:r>
      <w:r w:rsidRPr="00CD5D6C">
        <w:t xml:space="preserve"> support </w:t>
      </w:r>
      <w:r>
        <w:t xml:space="preserve">to </w:t>
      </w:r>
      <w:r w:rsidRPr="00CD5D6C">
        <w:t>access local and international labour markets through the Job Search Centre</w:t>
      </w:r>
      <w:r>
        <w:rPr>
          <w:lang w:val="en-AU"/>
        </w:rPr>
        <w:t xml:space="preserve">; </w:t>
      </w:r>
    </w:p>
    <w:p w:rsidR="00CF2923" w:rsidRDefault="002F6ABB" w:rsidP="002F6ABB">
      <w:pPr>
        <w:pStyle w:val="ListParagraph"/>
        <w:numPr>
          <w:ilvl w:val="0"/>
          <w:numId w:val="12"/>
        </w:numPr>
        <w:suppressAutoHyphens w:val="0"/>
        <w:spacing w:before="0" w:after="0" w:line="240" w:lineRule="auto"/>
        <w:ind w:left="357" w:hanging="357"/>
        <w:contextualSpacing w:val="0"/>
      </w:pPr>
      <w:r w:rsidRPr="00707A6A">
        <w:rPr>
          <w:color w:val="1F497D"/>
        </w:rPr>
        <w:t xml:space="preserve">improve the quality of monitoring of the Australia Awards Scholarships program to </w:t>
      </w:r>
      <w:r w:rsidR="00DD2F07">
        <w:rPr>
          <w:color w:val="1F497D"/>
        </w:rPr>
        <w:t>gather</w:t>
      </w:r>
      <w:r w:rsidRPr="00707A6A">
        <w:rPr>
          <w:color w:val="1F497D"/>
        </w:rPr>
        <w:t xml:space="preserve"> more robust evidence to inform program management and reporting.</w:t>
      </w:r>
      <w:r w:rsidRPr="002F6ABB">
        <w:rPr>
          <w:b/>
          <w:color w:val="1F497D"/>
        </w:rPr>
        <w:t xml:space="preserve"> </w:t>
      </w:r>
      <w:r w:rsidR="004A7C0C">
        <w:t xml:space="preserve">; </w:t>
      </w:r>
      <w:r w:rsidR="00CF2923" w:rsidRPr="002F6ABB">
        <w:rPr>
          <w:lang w:val="en-AU"/>
        </w:rPr>
        <w:t xml:space="preserve">and </w:t>
      </w:r>
    </w:p>
    <w:p w:rsidR="00CF2923" w:rsidRPr="00CD5D6C" w:rsidRDefault="00CF2923" w:rsidP="00CF2923">
      <w:pPr>
        <w:pStyle w:val="ListParagraph"/>
        <w:numPr>
          <w:ilvl w:val="0"/>
          <w:numId w:val="12"/>
        </w:numPr>
        <w:suppressAutoHyphens w:val="0"/>
        <w:spacing w:before="0" w:after="0" w:line="240" w:lineRule="auto"/>
        <w:ind w:left="357" w:hanging="357"/>
        <w:contextualSpacing w:val="0"/>
      </w:pPr>
      <w:r>
        <w:t>work with the Health Adviser to incorporate lessons learned from the independent review of the National Tuberculosis Program into the National Tuberculosis</w:t>
      </w:r>
      <w:r w:rsidRPr="00C2350C">
        <w:t xml:space="preserve"> </w:t>
      </w:r>
      <w:r>
        <w:t xml:space="preserve">Strategic Plan and ensure that </w:t>
      </w:r>
      <w:r w:rsidRPr="00CC7A0F">
        <w:t>fiduciary risk</w:t>
      </w:r>
      <w:r>
        <w:t xml:space="preserve">s associated with the transition to a </w:t>
      </w:r>
      <w:r w:rsidRPr="000B5C9F">
        <w:t>Government</w:t>
      </w:r>
      <w:r>
        <w:t xml:space="preserve"> of Kiribati-managed model are appropriately managed</w:t>
      </w:r>
      <w:r w:rsidRPr="00CD5D6C">
        <w:t>.</w:t>
      </w:r>
    </w:p>
    <w:p w:rsidR="00643DE0" w:rsidRPr="006E3DC1" w:rsidRDefault="00643DE0" w:rsidP="00643DE0">
      <w:pPr>
        <w:pStyle w:val="ListParagraph"/>
        <w:suppressAutoHyphens w:val="0"/>
        <w:spacing w:before="0" w:after="0" w:line="240" w:lineRule="auto"/>
        <w:ind w:left="357"/>
        <w:contextualSpacing w:val="0"/>
        <w:sectPr w:rsidR="00643DE0" w:rsidRPr="006E3DC1" w:rsidSect="00850F1F">
          <w:pgSz w:w="11906" w:h="16838" w:code="9"/>
          <w:pgMar w:top="1811" w:right="1134" w:bottom="851" w:left="1134" w:header="1191" w:footer="342" w:gutter="0"/>
          <w:cols w:space="397"/>
          <w:titlePg/>
          <w:docGrid w:linePitch="360"/>
        </w:sectPr>
      </w:pPr>
    </w:p>
    <w:p w:rsidR="00AF1B85" w:rsidRPr="00A8197B" w:rsidRDefault="00AF1B85" w:rsidP="00BA0D72">
      <w:pPr>
        <w:pStyle w:val="Subtitle"/>
        <w:spacing w:after="0"/>
      </w:pPr>
      <w:r w:rsidRPr="00A8197B">
        <w:t>Annex A - Progress in Addressing Management Responses</w:t>
      </w:r>
    </w:p>
    <w:p w:rsidR="00AF1B85" w:rsidRPr="00C61187" w:rsidRDefault="00AF1B85" w:rsidP="00BA0D72">
      <w:pPr>
        <w:spacing w:before="0"/>
      </w:pP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rsidTr="009067E3">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2014-15 APPR</w:t>
            </w:r>
            <w:r w:rsidRPr="00812509">
              <w:rPr>
                <w:rFonts w:asciiTheme="minorHAnsi" w:eastAsia="Times New Roman" w:hAnsiTheme="minorHAnsi"/>
                <w:b/>
                <w:iCs/>
                <w:szCs w:val="17"/>
                <w:lang w:eastAsia="en-US"/>
              </w:rPr>
              <w:tab/>
            </w:r>
          </w:p>
        </w:tc>
        <w:tc>
          <w:tcPr>
            <w:tcW w:w="1170" w:type="dxa"/>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2015-16</w:t>
            </w:r>
          </w:p>
        </w:tc>
      </w:tr>
      <w:tr w:rsidR="00AF1B85" w:rsidRPr="00812509" w:rsidTr="009067E3">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BF3318" w:rsidRDefault="00EA3C58" w:rsidP="00EA3C58">
            <w:pPr>
              <w:suppressAutoHyphens w:val="0"/>
              <w:spacing w:before="0" w:after="80" w:line="240" w:lineRule="auto"/>
              <w:rPr>
                <w:rFonts w:asciiTheme="minorHAnsi" w:hAnsiTheme="minorHAnsi"/>
                <w:szCs w:val="17"/>
              </w:rPr>
            </w:pPr>
            <w:r w:rsidRPr="00BF3318">
              <w:rPr>
                <w:rFonts w:asciiTheme="minorHAnsi" w:hAnsiTheme="minorHAnsi"/>
                <w:szCs w:val="17"/>
              </w:rPr>
              <w:t xml:space="preserve">In 2015-16 the Kiribati program will continue to drive key infrastructure investments towards completion, notwithstanding ongoing implementation challenges. Post will maintain engagement with international technical auditors based in-country and relevant Government stakeholders to harmonise reporting and improve the efficiency of implementation procedures (particularly around safeguards and procurement). </w:t>
            </w:r>
          </w:p>
        </w:tc>
        <w:tc>
          <w:tcPr>
            <w:tcW w:w="1170"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rsidR="0073490B" w:rsidRPr="00812509" w:rsidRDefault="003946AF" w:rsidP="0008726A">
            <w:pPr>
              <w:keepLines/>
              <w:spacing w:before="40" w:after="40" w:line="200" w:lineRule="atLeast"/>
              <w:rPr>
                <w:rFonts w:asciiTheme="minorHAnsi" w:eastAsia="Times New Roman" w:hAnsiTheme="minorHAnsi"/>
                <w:iCs/>
                <w:color w:val="92D050"/>
                <w:szCs w:val="17"/>
                <w:lang w:eastAsia="en-US"/>
              </w:rPr>
            </w:pPr>
            <w:r>
              <w:rPr>
                <w:rFonts w:asciiTheme="minorHAnsi" w:hAnsiTheme="minorHAnsi"/>
                <w:szCs w:val="17"/>
              </w:rPr>
              <w:t>Progress towards</w:t>
            </w:r>
            <w:r w:rsidR="00BF3318" w:rsidRPr="00BF3318">
              <w:rPr>
                <w:rFonts w:asciiTheme="minorHAnsi" w:hAnsiTheme="minorHAnsi"/>
                <w:szCs w:val="17"/>
              </w:rPr>
              <w:t xml:space="preserve"> </w:t>
            </w:r>
            <w:r>
              <w:rPr>
                <w:rFonts w:asciiTheme="minorHAnsi" w:hAnsiTheme="minorHAnsi"/>
                <w:szCs w:val="17"/>
              </w:rPr>
              <w:t xml:space="preserve">finalising </w:t>
            </w:r>
            <w:r w:rsidR="00BF3318" w:rsidRPr="00BF3318">
              <w:rPr>
                <w:rFonts w:asciiTheme="minorHAnsi" w:hAnsiTheme="minorHAnsi"/>
                <w:szCs w:val="17"/>
              </w:rPr>
              <w:t xml:space="preserve">Australia’s infrastructure investments </w:t>
            </w:r>
            <w:r>
              <w:rPr>
                <w:rFonts w:asciiTheme="minorHAnsi" w:hAnsiTheme="minorHAnsi"/>
                <w:szCs w:val="17"/>
              </w:rPr>
              <w:t>improved</w:t>
            </w:r>
            <w:r w:rsidR="00BF3318" w:rsidRPr="00BF3318">
              <w:rPr>
                <w:rFonts w:asciiTheme="minorHAnsi" w:hAnsiTheme="minorHAnsi"/>
                <w:szCs w:val="17"/>
              </w:rPr>
              <w:t xml:space="preserve"> in 2015-16 (see discussion above). </w:t>
            </w:r>
            <w:r w:rsidR="0008726A">
              <w:rPr>
                <w:rFonts w:asciiTheme="minorHAnsi" w:hAnsiTheme="minorHAnsi"/>
                <w:szCs w:val="17"/>
              </w:rPr>
              <w:t>I</w:t>
            </w:r>
            <w:r w:rsidR="003E3781">
              <w:rPr>
                <w:rFonts w:asciiTheme="minorHAnsi" w:hAnsiTheme="minorHAnsi"/>
                <w:szCs w:val="17"/>
              </w:rPr>
              <w:t xml:space="preserve">nvestments </w:t>
            </w:r>
            <w:r w:rsidR="003E3781" w:rsidRPr="003E3781">
              <w:rPr>
                <w:rFonts w:asciiTheme="minorHAnsi" w:hAnsiTheme="minorHAnsi"/>
                <w:szCs w:val="17"/>
              </w:rPr>
              <w:t>are now expected to be completed by 201</w:t>
            </w:r>
            <w:r w:rsidR="00DF6A3B">
              <w:rPr>
                <w:rFonts w:asciiTheme="minorHAnsi" w:hAnsiTheme="minorHAnsi"/>
                <w:szCs w:val="17"/>
              </w:rPr>
              <w:t>8</w:t>
            </w:r>
            <w:r w:rsidR="003E3781" w:rsidRPr="003E3781">
              <w:rPr>
                <w:rFonts w:asciiTheme="minorHAnsi" w:hAnsiTheme="minorHAnsi"/>
                <w:szCs w:val="17"/>
              </w:rPr>
              <w:t xml:space="preserve">. </w:t>
            </w:r>
            <w:r w:rsidR="003E3781">
              <w:rPr>
                <w:rFonts w:asciiTheme="minorHAnsi" w:hAnsiTheme="minorHAnsi"/>
                <w:szCs w:val="17"/>
              </w:rPr>
              <w:t>Australia’s e</w:t>
            </w:r>
            <w:r w:rsidR="00BF3318" w:rsidRPr="00BF3318">
              <w:rPr>
                <w:rFonts w:asciiTheme="minorHAnsi" w:hAnsiTheme="minorHAnsi"/>
                <w:szCs w:val="17"/>
              </w:rPr>
              <w:t>ngagement with auditors and stakeholders</w:t>
            </w:r>
            <w:r w:rsidR="003E3781">
              <w:rPr>
                <w:rFonts w:asciiTheme="minorHAnsi" w:hAnsiTheme="minorHAnsi"/>
                <w:szCs w:val="17"/>
              </w:rPr>
              <w:t xml:space="preserve"> in 2016-17</w:t>
            </w:r>
            <w:r w:rsidR="00BF3318" w:rsidRPr="00BF3318">
              <w:rPr>
                <w:rFonts w:asciiTheme="minorHAnsi" w:hAnsiTheme="minorHAnsi"/>
                <w:szCs w:val="17"/>
              </w:rPr>
              <w:t xml:space="preserve"> was regular and </w:t>
            </w:r>
            <w:r>
              <w:rPr>
                <w:rFonts w:asciiTheme="minorHAnsi" w:hAnsiTheme="minorHAnsi"/>
                <w:szCs w:val="17"/>
              </w:rPr>
              <w:t>effective.</w:t>
            </w:r>
            <w:r w:rsidR="003E3781">
              <w:rPr>
                <w:rFonts w:asciiTheme="minorHAnsi" w:hAnsiTheme="minorHAnsi"/>
                <w:szCs w:val="17"/>
              </w:rPr>
              <w:t xml:space="preserve"> </w:t>
            </w:r>
          </w:p>
        </w:tc>
      </w:tr>
      <w:tr w:rsidR="00AF1B85" w:rsidRPr="00812509" w:rsidTr="009067E3">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BF3318" w:rsidRDefault="00EA3C58" w:rsidP="0008726A">
            <w:pPr>
              <w:suppressAutoHyphens w:val="0"/>
              <w:spacing w:before="0" w:after="80" w:line="240" w:lineRule="auto"/>
              <w:rPr>
                <w:rFonts w:asciiTheme="minorHAnsi" w:hAnsiTheme="minorHAnsi"/>
                <w:szCs w:val="17"/>
              </w:rPr>
            </w:pPr>
            <w:r w:rsidRPr="00BF3318">
              <w:rPr>
                <w:rFonts w:asciiTheme="minorHAnsi" w:hAnsiTheme="minorHAnsi"/>
                <w:szCs w:val="17"/>
              </w:rPr>
              <w:t xml:space="preserve">In 2015-16 the Kiribati program will focus on increasing uptake and benefits from labour mobility opportunities under the expanded </w:t>
            </w:r>
            <w:r w:rsidRPr="003E3781">
              <w:rPr>
                <w:rFonts w:asciiTheme="minorHAnsi" w:hAnsiTheme="minorHAnsi"/>
                <w:i/>
                <w:szCs w:val="17"/>
              </w:rPr>
              <w:t xml:space="preserve">Seasonal Workers Programme </w:t>
            </w:r>
            <w:r w:rsidRPr="00643DE0">
              <w:rPr>
                <w:rFonts w:asciiTheme="minorHAnsi" w:hAnsiTheme="minorHAnsi"/>
                <w:szCs w:val="17"/>
              </w:rPr>
              <w:t>and</w:t>
            </w:r>
            <w:r w:rsidR="00643DE0">
              <w:rPr>
                <w:rFonts w:asciiTheme="minorHAnsi" w:hAnsiTheme="minorHAnsi"/>
                <w:szCs w:val="17"/>
              </w:rPr>
              <w:t xml:space="preserve"> the</w:t>
            </w:r>
            <w:r w:rsidRPr="00643DE0">
              <w:rPr>
                <w:rFonts w:asciiTheme="minorHAnsi" w:hAnsiTheme="minorHAnsi"/>
                <w:szCs w:val="17"/>
              </w:rPr>
              <w:t xml:space="preserve"> </w:t>
            </w:r>
            <w:r w:rsidRPr="00643DE0">
              <w:rPr>
                <w:rFonts w:asciiTheme="minorHAnsi" w:hAnsiTheme="minorHAnsi"/>
                <w:i/>
                <w:szCs w:val="17"/>
              </w:rPr>
              <w:t>Pacific Micr</w:t>
            </w:r>
            <w:r w:rsidRPr="003E3781">
              <w:rPr>
                <w:rFonts w:asciiTheme="minorHAnsi" w:hAnsiTheme="minorHAnsi"/>
                <w:i/>
                <w:szCs w:val="17"/>
              </w:rPr>
              <w:t>ostates – Northern Australia Worker Pilot Program</w:t>
            </w:r>
            <w:r w:rsidRPr="00BF3318">
              <w:rPr>
                <w:rFonts w:asciiTheme="minorHAnsi" w:hAnsiTheme="minorHAnsi"/>
                <w:szCs w:val="17"/>
              </w:rPr>
              <w:t xml:space="preserve">. Support for labour mobility will be driven under the next phase of the </w:t>
            </w:r>
            <w:r w:rsidRPr="00643DE0">
              <w:rPr>
                <w:rFonts w:asciiTheme="minorHAnsi" w:hAnsiTheme="minorHAnsi"/>
                <w:i/>
                <w:szCs w:val="17"/>
              </w:rPr>
              <w:t>TVET Sector Support Program</w:t>
            </w:r>
            <w:r w:rsidR="00363ECB">
              <w:rPr>
                <w:rFonts w:asciiTheme="minorHAnsi" w:hAnsiTheme="minorHAnsi"/>
                <w:i/>
                <w:szCs w:val="17"/>
              </w:rPr>
              <w:t xml:space="preserve"> (known as the Kiribati Facility: Skills for Employment Program)</w:t>
            </w:r>
            <w:r w:rsidRPr="00BF3318">
              <w:rPr>
                <w:rFonts w:asciiTheme="minorHAnsi" w:hAnsiTheme="minorHAnsi"/>
                <w:szCs w:val="17"/>
              </w:rPr>
              <w:t>, the DFAT Labour Mobility Assistance Program (regional) and through greater coordination with the New Zealand Aid Programme in mobilising seasonal and longer-term workers.</w:t>
            </w:r>
          </w:p>
        </w:tc>
        <w:tc>
          <w:tcPr>
            <w:tcW w:w="1170"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829" w:type="dxa"/>
          </w:tcPr>
          <w:p w:rsidR="003E3781" w:rsidRPr="00812509" w:rsidRDefault="003E3781" w:rsidP="0008726A">
            <w:pPr>
              <w:keepLines/>
              <w:spacing w:before="40" w:after="40" w:line="200" w:lineRule="atLeast"/>
              <w:rPr>
                <w:rFonts w:asciiTheme="minorHAnsi" w:eastAsia="Times New Roman" w:hAnsiTheme="minorHAnsi"/>
                <w:iCs/>
                <w:color w:val="92D050"/>
                <w:szCs w:val="17"/>
                <w:lang w:eastAsia="en-US"/>
              </w:rPr>
            </w:pPr>
            <w:r w:rsidRPr="00643DE0">
              <w:rPr>
                <w:rFonts w:asciiTheme="minorHAnsi" w:hAnsiTheme="minorHAnsi"/>
                <w:szCs w:val="17"/>
              </w:rPr>
              <w:t xml:space="preserve">Significant progress was made towards </w:t>
            </w:r>
            <w:r w:rsidRPr="00BF3318">
              <w:rPr>
                <w:rFonts w:asciiTheme="minorHAnsi" w:hAnsiTheme="minorHAnsi"/>
                <w:szCs w:val="17"/>
              </w:rPr>
              <w:t xml:space="preserve">increasing uptake and benefits from labour mobility opportunities </w:t>
            </w:r>
            <w:r w:rsidR="00643DE0">
              <w:rPr>
                <w:rFonts w:asciiTheme="minorHAnsi" w:hAnsiTheme="minorHAnsi"/>
                <w:szCs w:val="17"/>
              </w:rPr>
              <w:t>in 2015-16</w:t>
            </w:r>
            <w:r>
              <w:rPr>
                <w:rFonts w:asciiTheme="minorHAnsi" w:hAnsiTheme="minorHAnsi"/>
                <w:szCs w:val="17"/>
              </w:rPr>
              <w:t xml:space="preserve">. </w:t>
            </w:r>
            <w:r w:rsidR="00643DE0">
              <w:rPr>
                <w:rFonts w:asciiTheme="minorHAnsi" w:hAnsiTheme="minorHAnsi"/>
                <w:szCs w:val="17"/>
              </w:rPr>
              <w:t>The first</w:t>
            </w:r>
            <w:r w:rsidR="00D64F5E">
              <w:rPr>
                <w:rFonts w:asciiTheme="minorHAnsi" w:hAnsiTheme="minorHAnsi"/>
                <w:szCs w:val="17"/>
              </w:rPr>
              <w:t xml:space="preserve"> 27</w:t>
            </w:r>
            <w:r w:rsidR="00643DE0">
              <w:rPr>
                <w:rFonts w:asciiTheme="minorHAnsi" w:hAnsiTheme="minorHAnsi"/>
                <w:szCs w:val="17"/>
              </w:rPr>
              <w:t xml:space="preserve"> I-Kiribati workers under the </w:t>
            </w:r>
            <w:r w:rsidRPr="00643DE0">
              <w:rPr>
                <w:rFonts w:asciiTheme="minorHAnsi" w:hAnsiTheme="minorHAnsi"/>
                <w:szCs w:val="17"/>
              </w:rPr>
              <w:t xml:space="preserve">new </w:t>
            </w:r>
            <w:r w:rsidRPr="00643DE0">
              <w:rPr>
                <w:rFonts w:asciiTheme="minorHAnsi" w:hAnsiTheme="minorHAnsi"/>
                <w:i/>
                <w:szCs w:val="17"/>
              </w:rPr>
              <w:t xml:space="preserve">Northern Australia </w:t>
            </w:r>
            <w:r w:rsidR="003722BC">
              <w:rPr>
                <w:rFonts w:asciiTheme="minorHAnsi" w:hAnsiTheme="minorHAnsi"/>
                <w:i/>
                <w:szCs w:val="17"/>
              </w:rPr>
              <w:t xml:space="preserve">Worker </w:t>
            </w:r>
            <w:r w:rsidRPr="00643DE0">
              <w:rPr>
                <w:rFonts w:asciiTheme="minorHAnsi" w:hAnsiTheme="minorHAnsi"/>
                <w:i/>
                <w:szCs w:val="17"/>
              </w:rPr>
              <w:t>Pilot Program</w:t>
            </w:r>
            <w:r w:rsidR="00643DE0" w:rsidRPr="00643DE0">
              <w:rPr>
                <w:rFonts w:asciiTheme="minorHAnsi" w:hAnsiTheme="minorHAnsi"/>
                <w:szCs w:val="17"/>
              </w:rPr>
              <w:t xml:space="preserve"> have been recruited and are expected </w:t>
            </w:r>
            <w:r w:rsidRPr="00643DE0">
              <w:rPr>
                <w:rFonts w:asciiTheme="minorHAnsi" w:hAnsiTheme="minorHAnsi"/>
                <w:szCs w:val="17"/>
              </w:rPr>
              <w:t xml:space="preserve">to commence </w:t>
            </w:r>
            <w:r w:rsidR="003722BC">
              <w:rPr>
                <w:rFonts w:asciiTheme="minorHAnsi" w:hAnsiTheme="minorHAnsi"/>
                <w:szCs w:val="17"/>
              </w:rPr>
              <w:t>by</w:t>
            </w:r>
            <w:r w:rsidR="00D64F5E">
              <w:rPr>
                <w:rFonts w:asciiTheme="minorHAnsi" w:hAnsiTheme="minorHAnsi"/>
                <w:szCs w:val="17"/>
              </w:rPr>
              <w:t xml:space="preserve"> October</w:t>
            </w:r>
            <w:r w:rsidRPr="00643DE0">
              <w:rPr>
                <w:rFonts w:asciiTheme="minorHAnsi" w:hAnsiTheme="minorHAnsi"/>
                <w:szCs w:val="17"/>
              </w:rPr>
              <w:t xml:space="preserve"> 2016</w:t>
            </w:r>
            <w:r w:rsidR="00D64F5E" w:rsidRPr="00D64F5E">
              <w:rPr>
                <w:rFonts w:asciiTheme="minorHAnsi" w:hAnsiTheme="minorHAnsi"/>
                <w:szCs w:val="17"/>
              </w:rPr>
              <w:t>, with more expected to commence later in 2016</w:t>
            </w:r>
            <w:r w:rsidR="00D64F5E" w:rsidRPr="00D64F5E">
              <w:rPr>
                <w:rFonts w:asciiTheme="minorHAnsi" w:hAnsiTheme="minorHAnsi"/>
                <w:szCs w:val="17"/>
              </w:rPr>
              <w:noBreakHyphen/>
              <w:t>17.</w:t>
            </w:r>
            <w:r w:rsidR="00643DE0">
              <w:rPr>
                <w:rFonts w:asciiTheme="minorHAnsi" w:hAnsiTheme="minorHAnsi"/>
                <w:szCs w:val="17"/>
              </w:rPr>
              <w:t xml:space="preserve"> </w:t>
            </w:r>
            <w:r w:rsidR="000069D4">
              <w:rPr>
                <w:rFonts w:asciiTheme="minorHAnsi" w:hAnsiTheme="minorHAnsi"/>
                <w:szCs w:val="17"/>
              </w:rPr>
              <w:t>20</w:t>
            </w:r>
            <w:r w:rsidR="000069D4" w:rsidRPr="00643DE0">
              <w:rPr>
                <w:rFonts w:asciiTheme="minorHAnsi" w:hAnsiTheme="minorHAnsi"/>
                <w:szCs w:val="17"/>
              </w:rPr>
              <w:t xml:space="preserve"> I-Kiribati workers (all male) were provided with visas to work under the </w:t>
            </w:r>
            <w:r w:rsidR="000069D4" w:rsidRPr="00643DE0">
              <w:rPr>
                <w:rFonts w:asciiTheme="minorHAnsi" w:hAnsiTheme="minorHAnsi"/>
                <w:i/>
                <w:szCs w:val="17"/>
              </w:rPr>
              <w:t>Seasonal Workers Programme</w:t>
            </w:r>
            <w:r w:rsidR="000069D4" w:rsidRPr="00643DE0">
              <w:rPr>
                <w:rFonts w:asciiTheme="minorHAnsi" w:hAnsiTheme="minorHAnsi"/>
                <w:szCs w:val="17"/>
              </w:rPr>
              <w:t xml:space="preserve"> in 2015-16 and a larger contingent is expected to be deployed in 2016-17 following an Australian-supported marketing tour </w:t>
            </w:r>
            <w:r w:rsidR="000069D4">
              <w:rPr>
                <w:rFonts w:asciiTheme="minorHAnsi" w:hAnsiTheme="minorHAnsi"/>
                <w:szCs w:val="17"/>
              </w:rPr>
              <w:t>by the Kiribati</w:t>
            </w:r>
            <w:r w:rsidR="000069D4" w:rsidRPr="00643DE0">
              <w:rPr>
                <w:rFonts w:asciiTheme="minorHAnsi" w:hAnsiTheme="minorHAnsi"/>
                <w:szCs w:val="17"/>
              </w:rPr>
              <w:t xml:space="preserve"> Ministry of Labour and Human Resources Development </w:t>
            </w:r>
            <w:r w:rsidR="000069D4">
              <w:rPr>
                <w:rFonts w:asciiTheme="minorHAnsi" w:hAnsiTheme="minorHAnsi"/>
                <w:szCs w:val="17"/>
              </w:rPr>
              <w:t>(planned for late</w:t>
            </w:r>
            <w:r w:rsidR="000069D4" w:rsidRPr="00643DE0">
              <w:rPr>
                <w:rFonts w:asciiTheme="minorHAnsi" w:hAnsiTheme="minorHAnsi"/>
                <w:szCs w:val="17"/>
              </w:rPr>
              <w:t xml:space="preserve"> 2016</w:t>
            </w:r>
            <w:r w:rsidR="000069D4">
              <w:rPr>
                <w:rFonts w:asciiTheme="minorHAnsi" w:hAnsiTheme="minorHAnsi"/>
                <w:szCs w:val="17"/>
              </w:rPr>
              <w:t>)</w:t>
            </w:r>
            <w:r w:rsidR="000069D4" w:rsidRPr="00643DE0">
              <w:rPr>
                <w:rFonts w:asciiTheme="minorHAnsi" w:hAnsiTheme="minorHAnsi"/>
                <w:szCs w:val="17"/>
              </w:rPr>
              <w:t>.</w:t>
            </w:r>
            <w:r w:rsidR="000069D4">
              <w:rPr>
                <w:rFonts w:asciiTheme="minorHAnsi" w:hAnsiTheme="minorHAnsi"/>
                <w:szCs w:val="17"/>
              </w:rPr>
              <w:t xml:space="preserve"> </w:t>
            </w:r>
            <w:r w:rsidR="0008726A">
              <w:rPr>
                <w:rFonts w:asciiTheme="minorHAnsi" w:hAnsiTheme="minorHAnsi"/>
                <w:szCs w:val="17"/>
              </w:rPr>
              <w:t>Australia</w:t>
            </w:r>
            <w:r w:rsidR="00363ECB">
              <w:rPr>
                <w:rFonts w:asciiTheme="minorHAnsi" w:hAnsiTheme="minorHAnsi"/>
                <w:szCs w:val="17"/>
              </w:rPr>
              <w:t xml:space="preserve"> continues to work in partnership with New Zealand on labour mobility, </w:t>
            </w:r>
            <w:r w:rsidR="00525E2F">
              <w:rPr>
                <w:rFonts w:asciiTheme="minorHAnsi" w:hAnsiTheme="minorHAnsi"/>
                <w:szCs w:val="17"/>
              </w:rPr>
              <w:t>including</w:t>
            </w:r>
            <w:r w:rsidR="00363ECB">
              <w:rPr>
                <w:rFonts w:asciiTheme="minorHAnsi" w:hAnsiTheme="minorHAnsi"/>
                <w:szCs w:val="17"/>
              </w:rPr>
              <w:t xml:space="preserve"> sharing knowledge through the DFAT Labour Mobility Assistance Program. For example, </w:t>
            </w:r>
            <w:r w:rsidR="00525E2F" w:rsidRPr="00525E2F">
              <w:rPr>
                <w:rFonts w:asciiTheme="minorHAnsi" w:hAnsiTheme="minorHAnsi"/>
                <w:szCs w:val="17"/>
              </w:rPr>
              <w:t xml:space="preserve">Australia and </w:t>
            </w:r>
            <w:r w:rsidR="0008726A">
              <w:rPr>
                <w:rFonts w:asciiTheme="minorHAnsi" w:hAnsiTheme="minorHAnsi"/>
                <w:szCs w:val="17"/>
              </w:rPr>
              <w:t xml:space="preserve">New Zealand </w:t>
            </w:r>
            <w:r w:rsidR="00525E2F" w:rsidRPr="00525E2F">
              <w:rPr>
                <w:rFonts w:asciiTheme="minorHAnsi" w:hAnsiTheme="minorHAnsi"/>
                <w:szCs w:val="17"/>
              </w:rPr>
              <w:t xml:space="preserve">are </w:t>
            </w:r>
            <w:r w:rsidR="001C764A">
              <w:rPr>
                <w:rFonts w:asciiTheme="minorHAnsi" w:hAnsiTheme="minorHAnsi"/>
                <w:szCs w:val="17"/>
              </w:rPr>
              <w:t>working to develop a</w:t>
            </w:r>
            <w:r w:rsidR="00176D8A">
              <w:rPr>
                <w:rFonts w:asciiTheme="minorHAnsi" w:hAnsiTheme="minorHAnsi"/>
                <w:szCs w:val="17"/>
              </w:rPr>
              <w:t>n</w:t>
            </w:r>
            <w:r w:rsidR="00363ECB">
              <w:rPr>
                <w:rFonts w:asciiTheme="minorHAnsi" w:hAnsiTheme="minorHAnsi"/>
                <w:szCs w:val="17"/>
              </w:rPr>
              <w:t xml:space="preserve"> </w:t>
            </w:r>
            <w:r w:rsidR="00525E2F">
              <w:rPr>
                <w:rFonts w:asciiTheme="minorHAnsi" w:hAnsiTheme="minorHAnsi"/>
                <w:szCs w:val="17"/>
              </w:rPr>
              <w:t xml:space="preserve">in-country </w:t>
            </w:r>
            <w:r w:rsidR="00363ECB">
              <w:rPr>
                <w:rFonts w:asciiTheme="minorHAnsi" w:hAnsiTheme="minorHAnsi"/>
                <w:szCs w:val="17"/>
              </w:rPr>
              <w:t xml:space="preserve">database </w:t>
            </w:r>
            <w:r w:rsidR="001C764A">
              <w:rPr>
                <w:rFonts w:asciiTheme="minorHAnsi" w:hAnsiTheme="minorHAnsi"/>
                <w:szCs w:val="17"/>
              </w:rPr>
              <w:t xml:space="preserve">that </w:t>
            </w:r>
            <w:r w:rsidR="00525E2F">
              <w:rPr>
                <w:rFonts w:asciiTheme="minorHAnsi" w:hAnsiTheme="minorHAnsi"/>
                <w:szCs w:val="17"/>
              </w:rPr>
              <w:t xml:space="preserve">manages </w:t>
            </w:r>
            <w:r w:rsidR="00363ECB">
              <w:rPr>
                <w:rFonts w:asciiTheme="minorHAnsi" w:hAnsiTheme="minorHAnsi"/>
                <w:szCs w:val="17"/>
              </w:rPr>
              <w:t>information on</w:t>
            </w:r>
            <w:r w:rsidR="001C764A">
              <w:rPr>
                <w:rFonts w:asciiTheme="minorHAnsi" w:hAnsiTheme="minorHAnsi"/>
                <w:szCs w:val="17"/>
              </w:rPr>
              <w:t xml:space="preserve"> workers </w:t>
            </w:r>
            <w:r w:rsidR="00E64CDD">
              <w:rPr>
                <w:rFonts w:asciiTheme="minorHAnsi" w:hAnsiTheme="minorHAnsi"/>
                <w:szCs w:val="17"/>
              </w:rPr>
              <w:t xml:space="preserve">from Kiribati </w:t>
            </w:r>
            <w:r w:rsidR="001C764A">
              <w:rPr>
                <w:rFonts w:asciiTheme="minorHAnsi" w:hAnsiTheme="minorHAnsi"/>
                <w:szCs w:val="17"/>
              </w:rPr>
              <w:t xml:space="preserve">for </w:t>
            </w:r>
            <w:r w:rsidR="00363ECB">
              <w:rPr>
                <w:rFonts w:asciiTheme="minorHAnsi" w:hAnsiTheme="minorHAnsi"/>
                <w:szCs w:val="17"/>
              </w:rPr>
              <w:t xml:space="preserve">both the </w:t>
            </w:r>
            <w:r w:rsidR="00363ECB">
              <w:rPr>
                <w:rFonts w:asciiTheme="minorHAnsi" w:hAnsiTheme="minorHAnsi"/>
                <w:i/>
                <w:szCs w:val="17"/>
              </w:rPr>
              <w:t xml:space="preserve">Seasonal Workers Program </w:t>
            </w:r>
            <w:r w:rsidR="00363ECB">
              <w:rPr>
                <w:rFonts w:asciiTheme="minorHAnsi" w:hAnsiTheme="minorHAnsi"/>
                <w:szCs w:val="17"/>
              </w:rPr>
              <w:t xml:space="preserve">and New Zealand’s </w:t>
            </w:r>
            <w:r w:rsidR="001C764A">
              <w:rPr>
                <w:rFonts w:asciiTheme="minorHAnsi" w:hAnsiTheme="minorHAnsi"/>
                <w:i/>
                <w:szCs w:val="17"/>
              </w:rPr>
              <w:t>Recognised Seasonal Employers</w:t>
            </w:r>
            <w:r w:rsidR="00E64CDD">
              <w:rPr>
                <w:rFonts w:asciiTheme="minorHAnsi" w:hAnsiTheme="minorHAnsi"/>
                <w:i/>
                <w:szCs w:val="17"/>
              </w:rPr>
              <w:t xml:space="preserve"> Schem</w:t>
            </w:r>
            <w:r w:rsidR="002D4C91">
              <w:rPr>
                <w:rFonts w:asciiTheme="minorHAnsi" w:hAnsiTheme="minorHAnsi"/>
                <w:i/>
                <w:szCs w:val="17"/>
              </w:rPr>
              <w:t>e</w:t>
            </w:r>
            <w:r w:rsidR="00363ECB">
              <w:rPr>
                <w:rFonts w:asciiTheme="minorHAnsi" w:hAnsiTheme="minorHAnsi"/>
                <w:szCs w:val="17"/>
              </w:rPr>
              <w:t xml:space="preserve">. </w:t>
            </w:r>
            <w:r w:rsidR="00643DE0" w:rsidRPr="00643DE0">
              <w:rPr>
                <w:rFonts w:asciiTheme="minorHAnsi" w:hAnsiTheme="minorHAnsi"/>
                <w:szCs w:val="17"/>
              </w:rPr>
              <w:t xml:space="preserve"> </w:t>
            </w:r>
            <w:r w:rsidRPr="009351A6">
              <w:rPr>
                <w:rFonts w:asciiTheme="minorHAnsi" w:hAnsiTheme="minorHAnsi"/>
                <w:szCs w:val="17"/>
                <w:highlight w:val="yellow"/>
              </w:rPr>
              <w:t xml:space="preserve"> </w:t>
            </w:r>
          </w:p>
        </w:tc>
      </w:tr>
      <w:tr w:rsidR="00AF1B85" w:rsidRPr="00812509" w:rsidTr="009067E3">
        <w:trPr>
          <w:cnfStyle w:val="000000010000" w:firstRow="0" w:lastRow="0" w:firstColumn="0" w:lastColumn="0" w:oddVBand="0" w:evenVBand="0" w:oddHBand="0" w:evenHBand="1" w:firstRowFirstColumn="0" w:firstRowLastColumn="0" w:lastRowFirstColumn="0" w:lastRowLastColumn="0"/>
        </w:trPr>
        <w:tc>
          <w:tcPr>
            <w:tcW w:w="6408" w:type="dxa"/>
          </w:tcPr>
          <w:p w:rsidR="00AF1B85" w:rsidRPr="00BF3318" w:rsidRDefault="00EA3C58" w:rsidP="0073490B">
            <w:pPr>
              <w:suppressAutoHyphens w:val="0"/>
              <w:spacing w:before="0" w:after="80" w:line="240" w:lineRule="auto"/>
              <w:rPr>
                <w:rFonts w:asciiTheme="minorHAnsi" w:hAnsiTheme="minorHAnsi"/>
                <w:szCs w:val="17"/>
              </w:rPr>
            </w:pPr>
            <w:r w:rsidRPr="00BF3318">
              <w:rPr>
                <w:rFonts w:asciiTheme="minorHAnsi" w:hAnsiTheme="minorHAnsi"/>
                <w:szCs w:val="17"/>
              </w:rPr>
              <w:t>In 2015-16, the Kiribati program will transition</w:t>
            </w:r>
            <w:r w:rsidR="00556B3B">
              <w:rPr>
                <w:rFonts w:asciiTheme="minorHAnsi" w:hAnsiTheme="minorHAnsi"/>
                <w:szCs w:val="17"/>
              </w:rPr>
              <w:t xml:space="preserve"> to</w:t>
            </w:r>
            <w:r w:rsidRPr="00BF3318">
              <w:rPr>
                <w:rFonts w:asciiTheme="minorHAnsi" w:hAnsiTheme="minorHAnsi"/>
                <w:szCs w:val="17"/>
              </w:rPr>
              <w:t xml:space="preserve"> new phases of its key strategic investments in Basic Education and the TVET sector focussed on increased and more equitable access and participation, and pathways to higher education and employment, both domestically and internationally. This will include responding to the current phase review findings for both sectors and incorporation of lessons learnt into future governance and implementation arrange</w:t>
            </w:r>
            <w:r w:rsidR="00BF3318">
              <w:rPr>
                <w:rFonts w:asciiTheme="minorHAnsi" w:hAnsiTheme="minorHAnsi"/>
                <w:szCs w:val="17"/>
              </w:rPr>
              <w:t>ments.</w:t>
            </w:r>
          </w:p>
        </w:tc>
        <w:tc>
          <w:tcPr>
            <w:tcW w:w="1170"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829" w:type="dxa"/>
          </w:tcPr>
          <w:p w:rsidR="00AF1B85" w:rsidRPr="00812509" w:rsidRDefault="0008726A" w:rsidP="0008726A">
            <w:pPr>
              <w:keepLines/>
              <w:spacing w:before="40" w:after="40" w:line="200" w:lineRule="atLeast"/>
              <w:rPr>
                <w:rFonts w:asciiTheme="minorHAnsi" w:eastAsia="Times New Roman" w:hAnsiTheme="minorHAnsi"/>
                <w:iCs/>
                <w:color w:val="92D050"/>
                <w:szCs w:val="17"/>
                <w:lang w:eastAsia="en-US"/>
              </w:rPr>
            </w:pPr>
            <w:r>
              <w:rPr>
                <w:rFonts w:asciiTheme="minorHAnsi" w:hAnsiTheme="minorHAnsi"/>
                <w:szCs w:val="17"/>
              </w:rPr>
              <w:t>T</w:t>
            </w:r>
            <w:r w:rsidR="003946AF">
              <w:rPr>
                <w:rFonts w:asciiTheme="minorHAnsi" w:hAnsiTheme="minorHAnsi"/>
                <w:szCs w:val="17"/>
              </w:rPr>
              <w:t xml:space="preserve">he </w:t>
            </w:r>
            <w:r w:rsidR="009351A6" w:rsidRPr="00975BC7">
              <w:rPr>
                <w:rFonts w:asciiTheme="minorHAnsi" w:hAnsiTheme="minorHAnsi"/>
                <w:i/>
                <w:szCs w:val="17"/>
              </w:rPr>
              <w:t xml:space="preserve">Kiribati Education </w:t>
            </w:r>
            <w:r w:rsidR="00556B3B">
              <w:rPr>
                <w:rFonts w:asciiTheme="minorHAnsi" w:hAnsiTheme="minorHAnsi"/>
                <w:i/>
                <w:szCs w:val="17"/>
              </w:rPr>
              <w:t xml:space="preserve">Improvement </w:t>
            </w:r>
            <w:r w:rsidR="009351A6" w:rsidRPr="00975BC7">
              <w:rPr>
                <w:rFonts w:asciiTheme="minorHAnsi" w:hAnsiTheme="minorHAnsi"/>
                <w:i/>
                <w:szCs w:val="17"/>
              </w:rPr>
              <w:t>Program</w:t>
            </w:r>
            <w:r>
              <w:rPr>
                <w:rFonts w:asciiTheme="minorHAnsi" w:hAnsiTheme="minorHAnsi"/>
                <w:i/>
                <w:szCs w:val="17"/>
              </w:rPr>
              <w:t xml:space="preserve"> Phase III</w:t>
            </w:r>
            <w:r w:rsidR="009351A6" w:rsidRPr="00975BC7">
              <w:rPr>
                <w:rFonts w:asciiTheme="minorHAnsi" w:hAnsiTheme="minorHAnsi"/>
                <w:i/>
                <w:szCs w:val="17"/>
              </w:rPr>
              <w:t xml:space="preserve"> </w:t>
            </w:r>
            <w:r>
              <w:rPr>
                <w:rFonts w:asciiTheme="minorHAnsi" w:hAnsiTheme="minorHAnsi"/>
                <w:szCs w:val="17"/>
              </w:rPr>
              <w:t>incorporated</w:t>
            </w:r>
            <w:r w:rsidR="009351A6">
              <w:rPr>
                <w:rFonts w:asciiTheme="minorHAnsi" w:hAnsiTheme="minorHAnsi"/>
                <w:szCs w:val="17"/>
              </w:rPr>
              <w:t xml:space="preserve"> the</w:t>
            </w:r>
            <w:r w:rsidR="00494C89">
              <w:rPr>
                <w:rFonts w:asciiTheme="minorHAnsi" w:hAnsiTheme="minorHAnsi"/>
                <w:szCs w:val="17"/>
              </w:rPr>
              <w:t xml:space="preserve"> </w:t>
            </w:r>
            <w:r w:rsidR="00397FAD">
              <w:rPr>
                <w:rFonts w:asciiTheme="minorHAnsi" w:hAnsiTheme="minorHAnsi"/>
                <w:szCs w:val="17"/>
              </w:rPr>
              <w:t>recommendations</w:t>
            </w:r>
            <w:r w:rsidR="009351A6">
              <w:rPr>
                <w:rFonts w:asciiTheme="minorHAnsi" w:hAnsiTheme="minorHAnsi"/>
                <w:szCs w:val="17"/>
              </w:rPr>
              <w:t xml:space="preserve"> of </w:t>
            </w:r>
            <w:r w:rsidR="00397FAD">
              <w:rPr>
                <w:rFonts w:asciiTheme="minorHAnsi" w:hAnsiTheme="minorHAnsi"/>
                <w:szCs w:val="17"/>
              </w:rPr>
              <w:t xml:space="preserve">the </w:t>
            </w:r>
            <w:r w:rsidR="009351A6">
              <w:rPr>
                <w:rFonts w:asciiTheme="minorHAnsi" w:hAnsiTheme="minorHAnsi"/>
                <w:szCs w:val="17"/>
              </w:rPr>
              <w:t>2014 independent evaluation of Phases I and II</w:t>
            </w:r>
            <w:r w:rsidR="003946AF">
              <w:rPr>
                <w:rFonts w:asciiTheme="minorHAnsi" w:hAnsiTheme="minorHAnsi"/>
                <w:szCs w:val="17"/>
              </w:rPr>
              <w:t xml:space="preserve">. </w:t>
            </w:r>
            <w:r w:rsidR="00397FAD">
              <w:rPr>
                <w:rFonts w:asciiTheme="minorHAnsi" w:hAnsiTheme="minorHAnsi"/>
                <w:szCs w:val="17"/>
              </w:rPr>
              <w:t xml:space="preserve">Phase III </w:t>
            </w:r>
            <w:r w:rsidR="009351A6">
              <w:rPr>
                <w:rFonts w:asciiTheme="minorHAnsi" w:hAnsiTheme="minorHAnsi"/>
                <w:szCs w:val="17"/>
              </w:rPr>
              <w:t xml:space="preserve">commenced </w:t>
            </w:r>
            <w:r w:rsidR="000069D4">
              <w:rPr>
                <w:rFonts w:asciiTheme="minorHAnsi" w:hAnsiTheme="minorHAnsi"/>
                <w:szCs w:val="17"/>
              </w:rPr>
              <w:t>in</w:t>
            </w:r>
            <w:r w:rsidR="009351A6">
              <w:rPr>
                <w:rFonts w:asciiTheme="minorHAnsi" w:hAnsiTheme="minorHAnsi"/>
                <w:szCs w:val="17"/>
              </w:rPr>
              <w:t xml:space="preserve"> April 2016. The </w:t>
            </w:r>
            <w:r w:rsidR="00975BC7">
              <w:rPr>
                <w:rFonts w:asciiTheme="minorHAnsi" w:hAnsiTheme="minorHAnsi"/>
                <w:szCs w:val="17"/>
              </w:rPr>
              <w:t xml:space="preserve">design for the </w:t>
            </w:r>
            <w:r w:rsidR="009351A6">
              <w:rPr>
                <w:rFonts w:asciiTheme="minorHAnsi" w:hAnsiTheme="minorHAnsi"/>
                <w:szCs w:val="17"/>
              </w:rPr>
              <w:t xml:space="preserve">third phase of the </w:t>
            </w:r>
            <w:r w:rsidR="009351A6" w:rsidRPr="00643DE0">
              <w:rPr>
                <w:rFonts w:asciiTheme="minorHAnsi" w:hAnsiTheme="minorHAnsi"/>
                <w:i/>
                <w:szCs w:val="17"/>
              </w:rPr>
              <w:t>TVET Sector Support Program</w:t>
            </w:r>
            <w:r w:rsidR="009351A6">
              <w:rPr>
                <w:rFonts w:asciiTheme="minorHAnsi" w:eastAsia="Times New Roman" w:hAnsiTheme="minorHAnsi"/>
                <w:iCs/>
                <w:color w:val="92D050"/>
                <w:szCs w:val="17"/>
                <w:lang w:eastAsia="en-US"/>
              </w:rPr>
              <w:t xml:space="preserve"> </w:t>
            </w:r>
            <w:r w:rsidR="009351A6" w:rsidRPr="009351A6">
              <w:rPr>
                <w:rFonts w:asciiTheme="minorHAnsi" w:hAnsiTheme="minorHAnsi"/>
                <w:szCs w:val="17"/>
              </w:rPr>
              <w:t xml:space="preserve">(renamed the </w:t>
            </w:r>
            <w:r w:rsidR="009351A6" w:rsidRPr="009351A6">
              <w:rPr>
                <w:rFonts w:asciiTheme="minorHAnsi" w:hAnsiTheme="minorHAnsi"/>
                <w:i/>
                <w:szCs w:val="17"/>
              </w:rPr>
              <w:t>Kiribati Facility: Skills for Employment Program</w:t>
            </w:r>
            <w:r w:rsidR="00975BC7">
              <w:rPr>
                <w:rFonts w:asciiTheme="minorHAnsi" w:hAnsiTheme="minorHAnsi"/>
                <w:szCs w:val="17"/>
              </w:rPr>
              <w:t>)</w:t>
            </w:r>
            <w:r w:rsidR="009351A6">
              <w:rPr>
                <w:rFonts w:asciiTheme="minorHAnsi" w:hAnsiTheme="minorHAnsi"/>
                <w:i/>
                <w:szCs w:val="17"/>
              </w:rPr>
              <w:t xml:space="preserve"> </w:t>
            </w:r>
            <w:r w:rsidR="00975BC7">
              <w:rPr>
                <w:rFonts w:asciiTheme="minorHAnsi" w:hAnsiTheme="minorHAnsi"/>
                <w:szCs w:val="17"/>
              </w:rPr>
              <w:t>was</w:t>
            </w:r>
            <w:r w:rsidR="009351A6" w:rsidRPr="009351A6">
              <w:rPr>
                <w:rFonts w:asciiTheme="minorHAnsi" w:hAnsiTheme="minorHAnsi"/>
                <w:szCs w:val="17"/>
              </w:rPr>
              <w:t xml:space="preserve"> </w:t>
            </w:r>
            <w:r w:rsidR="00975BC7">
              <w:rPr>
                <w:rFonts w:asciiTheme="minorHAnsi" w:hAnsiTheme="minorHAnsi"/>
                <w:szCs w:val="17"/>
              </w:rPr>
              <w:t>also</w:t>
            </w:r>
            <w:r w:rsidR="009351A6" w:rsidRPr="009351A6">
              <w:rPr>
                <w:rFonts w:asciiTheme="minorHAnsi" w:hAnsiTheme="minorHAnsi"/>
                <w:szCs w:val="17"/>
              </w:rPr>
              <w:t xml:space="preserve"> </w:t>
            </w:r>
            <w:r w:rsidR="00975BC7">
              <w:rPr>
                <w:rFonts w:asciiTheme="minorHAnsi" w:hAnsiTheme="minorHAnsi"/>
                <w:szCs w:val="17"/>
              </w:rPr>
              <w:t xml:space="preserve">finalised in 2015-16 </w:t>
            </w:r>
            <w:r w:rsidR="009351A6" w:rsidRPr="009351A6">
              <w:rPr>
                <w:rFonts w:asciiTheme="minorHAnsi" w:hAnsiTheme="minorHAnsi"/>
                <w:szCs w:val="17"/>
              </w:rPr>
              <w:t>with a stronger focus on strengthening pathways to employment</w:t>
            </w:r>
            <w:r w:rsidR="00AE24E9">
              <w:rPr>
                <w:rFonts w:asciiTheme="minorHAnsi" w:hAnsiTheme="minorHAnsi"/>
                <w:szCs w:val="17"/>
              </w:rPr>
              <w:t>,</w:t>
            </w:r>
            <w:r w:rsidR="00975BC7">
              <w:rPr>
                <w:rFonts w:asciiTheme="minorHAnsi" w:hAnsiTheme="minorHAnsi"/>
                <w:szCs w:val="17"/>
              </w:rPr>
              <w:t xml:space="preserve"> as recommended by the 2015 independent evaluation of Phases I and II</w:t>
            </w:r>
            <w:r w:rsidR="009351A6" w:rsidRPr="009351A6">
              <w:rPr>
                <w:rFonts w:asciiTheme="minorHAnsi" w:hAnsiTheme="minorHAnsi"/>
                <w:szCs w:val="17"/>
              </w:rPr>
              <w:t>.</w:t>
            </w:r>
            <w:r w:rsidR="00975BC7">
              <w:rPr>
                <w:rFonts w:asciiTheme="minorHAnsi" w:hAnsiTheme="minorHAnsi"/>
                <w:szCs w:val="17"/>
              </w:rPr>
              <w:t xml:space="preserve"> It </w:t>
            </w:r>
            <w:r w:rsidR="00397FAD">
              <w:rPr>
                <w:rFonts w:asciiTheme="minorHAnsi" w:hAnsiTheme="minorHAnsi"/>
                <w:szCs w:val="17"/>
              </w:rPr>
              <w:t xml:space="preserve">is expected to </w:t>
            </w:r>
            <w:r w:rsidR="00975BC7">
              <w:rPr>
                <w:rFonts w:asciiTheme="minorHAnsi" w:hAnsiTheme="minorHAnsi"/>
                <w:szCs w:val="17"/>
              </w:rPr>
              <w:t xml:space="preserve">commence </w:t>
            </w:r>
            <w:r w:rsidR="000069D4">
              <w:rPr>
                <w:rFonts w:asciiTheme="minorHAnsi" w:hAnsiTheme="minorHAnsi"/>
                <w:szCs w:val="17"/>
              </w:rPr>
              <w:t>in</w:t>
            </w:r>
            <w:r w:rsidR="00975BC7">
              <w:rPr>
                <w:rFonts w:asciiTheme="minorHAnsi" w:hAnsiTheme="minorHAnsi"/>
                <w:szCs w:val="17"/>
              </w:rPr>
              <w:t xml:space="preserve"> October 2016.</w:t>
            </w:r>
          </w:p>
        </w:tc>
      </w:tr>
      <w:tr w:rsidR="0073490B" w:rsidRPr="00812509" w:rsidTr="009067E3">
        <w:trPr>
          <w:cnfStyle w:val="000000010000" w:firstRow="0" w:lastRow="0" w:firstColumn="0" w:lastColumn="0" w:oddVBand="0" w:evenVBand="0" w:oddHBand="0" w:evenHBand="1" w:firstRowFirstColumn="0" w:firstRowLastColumn="0" w:lastRowFirstColumn="0" w:lastRowLastColumn="0"/>
        </w:trPr>
        <w:tc>
          <w:tcPr>
            <w:tcW w:w="6408" w:type="dxa"/>
          </w:tcPr>
          <w:p w:rsidR="0073490B" w:rsidRPr="00BF3318" w:rsidRDefault="0073490B" w:rsidP="0073490B">
            <w:pPr>
              <w:suppressAutoHyphens w:val="0"/>
              <w:spacing w:before="0" w:after="80" w:line="240" w:lineRule="auto"/>
              <w:rPr>
                <w:rFonts w:asciiTheme="minorHAnsi" w:hAnsiTheme="minorHAnsi"/>
                <w:szCs w:val="17"/>
              </w:rPr>
            </w:pPr>
            <w:r w:rsidRPr="00BF3318">
              <w:rPr>
                <w:rFonts w:asciiTheme="minorHAnsi" w:hAnsiTheme="minorHAnsi"/>
                <w:szCs w:val="17"/>
              </w:rPr>
              <w:t>Following the finalisation of the Assessment of National Systems 2014 Update Report, the Kiribati Program will monitor the reconciliation and acquittal of development spending through the Kiribati Government’s Account #4; review and update procurement processes relating to DFAT funds; and support the implementation of financial and compliance audits by the Kiribati National Audit Office and other independent parties. Engagement with Economic Taskforce partners will also continue to support the implementation of broader economic and public financial management reforms.</w:t>
            </w:r>
          </w:p>
          <w:p w:rsidR="0073490B" w:rsidRPr="00BF3318" w:rsidRDefault="0073490B" w:rsidP="00EA3C58">
            <w:pPr>
              <w:suppressAutoHyphens w:val="0"/>
              <w:spacing w:before="0" w:after="80" w:line="240" w:lineRule="auto"/>
              <w:rPr>
                <w:rFonts w:asciiTheme="minorHAnsi" w:hAnsiTheme="minorHAnsi"/>
                <w:szCs w:val="17"/>
              </w:rPr>
            </w:pPr>
          </w:p>
        </w:tc>
        <w:tc>
          <w:tcPr>
            <w:tcW w:w="1170" w:type="dxa"/>
            <w:shd w:val="clear" w:color="auto" w:fill="72AF2F"/>
          </w:tcPr>
          <w:p w:rsidR="0073490B" w:rsidRPr="00812509" w:rsidRDefault="0073490B" w:rsidP="00D15A00">
            <w:pPr>
              <w:keepLines/>
              <w:spacing w:before="40" w:after="40" w:line="200" w:lineRule="atLeast"/>
              <w:jc w:val="center"/>
              <w:rPr>
                <w:rFonts w:eastAsia="Times New Roman"/>
                <w:iCs/>
                <w:color w:val="FFFFFF" w:themeColor="background1"/>
                <w:szCs w:val="17"/>
              </w:rPr>
            </w:pPr>
            <w:r w:rsidRPr="00812509">
              <w:rPr>
                <w:rFonts w:asciiTheme="minorHAnsi" w:eastAsia="Times New Roman" w:hAnsiTheme="minorHAnsi"/>
                <w:iCs/>
                <w:color w:val="FFFFFF" w:themeColor="background1"/>
                <w:szCs w:val="17"/>
                <w:lang w:eastAsia="en-US"/>
              </w:rPr>
              <w:t>Achieved</w:t>
            </w:r>
          </w:p>
        </w:tc>
        <w:tc>
          <w:tcPr>
            <w:tcW w:w="6829" w:type="dxa"/>
          </w:tcPr>
          <w:p w:rsidR="0073490B" w:rsidRPr="009067E3" w:rsidRDefault="009067E3" w:rsidP="00BA0D72">
            <w:pPr>
              <w:keepLines/>
              <w:spacing w:before="40" w:after="40" w:line="200" w:lineRule="atLeast"/>
              <w:rPr>
                <w:rFonts w:asciiTheme="minorHAnsi" w:hAnsiTheme="minorHAnsi"/>
                <w:szCs w:val="17"/>
              </w:rPr>
            </w:pPr>
            <w:r w:rsidRPr="009067E3">
              <w:rPr>
                <w:rFonts w:asciiTheme="minorHAnsi" w:hAnsiTheme="minorHAnsi"/>
                <w:szCs w:val="17"/>
              </w:rPr>
              <w:t xml:space="preserve">The </w:t>
            </w:r>
            <w:r w:rsidRPr="00BF3318">
              <w:rPr>
                <w:rFonts w:asciiTheme="minorHAnsi" w:hAnsiTheme="minorHAnsi"/>
                <w:szCs w:val="17"/>
              </w:rPr>
              <w:t>reconciliation and acquittal of development spending through the Kiribati Government’s Account #4</w:t>
            </w:r>
            <w:r>
              <w:rPr>
                <w:rFonts w:asciiTheme="minorHAnsi" w:hAnsiTheme="minorHAnsi"/>
                <w:szCs w:val="17"/>
              </w:rPr>
              <w:t xml:space="preserve"> is expected to be completed by </w:t>
            </w:r>
            <w:r w:rsidR="008A4038">
              <w:rPr>
                <w:rFonts w:asciiTheme="minorHAnsi" w:hAnsiTheme="minorHAnsi"/>
                <w:szCs w:val="17"/>
              </w:rPr>
              <w:t>June 2016</w:t>
            </w:r>
            <w:r>
              <w:rPr>
                <w:rFonts w:asciiTheme="minorHAnsi" w:hAnsiTheme="minorHAnsi"/>
                <w:szCs w:val="17"/>
              </w:rPr>
              <w:t xml:space="preserve">. A </w:t>
            </w:r>
            <w:r w:rsidR="000069D4">
              <w:rPr>
                <w:rFonts w:asciiTheme="minorHAnsi" w:hAnsiTheme="minorHAnsi"/>
                <w:szCs w:val="17"/>
              </w:rPr>
              <w:t>‘</w:t>
            </w:r>
            <w:r w:rsidRPr="009067E3">
              <w:rPr>
                <w:rFonts w:asciiTheme="minorHAnsi" w:hAnsiTheme="minorHAnsi"/>
                <w:szCs w:val="17"/>
              </w:rPr>
              <w:t>No Objection’ template for Australian funded procurement greater than $20,000 has been finalised</w:t>
            </w:r>
            <w:r>
              <w:rPr>
                <w:rFonts w:asciiTheme="minorHAnsi" w:hAnsiTheme="minorHAnsi"/>
                <w:szCs w:val="17"/>
              </w:rPr>
              <w:t xml:space="preserve"> and shared with the Kiribati Government</w:t>
            </w:r>
            <w:r w:rsidRPr="009067E3">
              <w:rPr>
                <w:rFonts w:asciiTheme="minorHAnsi" w:hAnsiTheme="minorHAnsi"/>
                <w:szCs w:val="17"/>
              </w:rPr>
              <w:t xml:space="preserve">. The Kiribati National Audit Office completed the audit of the </w:t>
            </w:r>
            <w:r w:rsidR="00987BAD">
              <w:rPr>
                <w:rFonts w:asciiTheme="minorHAnsi" w:hAnsiTheme="minorHAnsi"/>
                <w:szCs w:val="17"/>
              </w:rPr>
              <w:t>three</w:t>
            </w:r>
            <w:r w:rsidRPr="009067E3">
              <w:rPr>
                <w:rFonts w:asciiTheme="minorHAnsi" w:hAnsiTheme="minorHAnsi"/>
                <w:szCs w:val="17"/>
              </w:rPr>
              <w:t xml:space="preserve"> </w:t>
            </w:r>
            <w:r w:rsidR="00987BAD">
              <w:rPr>
                <w:rFonts w:asciiTheme="minorHAnsi" w:hAnsiTheme="minorHAnsi"/>
                <w:szCs w:val="17"/>
              </w:rPr>
              <w:t>A</w:t>
            </w:r>
            <w:r w:rsidRPr="009067E3">
              <w:rPr>
                <w:rFonts w:asciiTheme="minorHAnsi" w:hAnsiTheme="minorHAnsi"/>
                <w:szCs w:val="17"/>
              </w:rPr>
              <w:t xml:space="preserve">ccountable </w:t>
            </w:r>
            <w:r w:rsidR="00987BAD">
              <w:rPr>
                <w:rFonts w:asciiTheme="minorHAnsi" w:hAnsiTheme="minorHAnsi"/>
                <w:szCs w:val="17"/>
              </w:rPr>
              <w:t>C</w:t>
            </w:r>
            <w:r w:rsidRPr="009067E3">
              <w:rPr>
                <w:rFonts w:asciiTheme="minorHAnsi" w:hAnsiTheme="minorHAnsi"/>
                <w:szCs w:val="17"/>
              </w:rPr>
              <w:t xml:space="preserve">ash </w:t>
            </w:r>
            <w:r w:rsidR="00987BAD">
              <w:rPr>
                <w:rFonts w:asciiTheme="minorHAnsi" w:hAnsiTheme="minorHAnsi"/>
                <w:szCs w:val="17"/>
              </w:rPr>
              <w:t>G</w:t>
            </w:r>
            <w:r w:rsidRPr="009067E3">
              <w:rPr>
                <w:rFonts w:asciiTheme="minorHAnsi" w:hAnsiTheme="minorHAnsi"/>
                <w:szCs w:val="17"/>
              </w:rPr>
              <w:t>rants to assess the completeness, accuracy and compliance of financial reporting</w:t>
            </w:r>
            <w:r>
              <w:rPr>
                <w:rFonts w:asciiTheme="minorHAnsi" w:hAnsiTheme="minorHAnsi"/>
                <w:szCs w:val="17"/>
              </w:rPr>
              <w:t xml:space="preserve">. </w:t>
            </w:r>
            <w:r w:rsidR="008A4038">
              <w:rPr>
                <w:rFonts w:asciiTheme="minorHAnsi" w:hAnsiTheme="minorHAnsi"/>
                <w:szCs w:val="17"/>
              </w:rPr>
              <w:t xml:space="preserve"> </w:t>
            </w:r>
            <w:r w:rsidRPr="009067E3">
              <w:rPr>
                <w:rFonts w:asciiTheme="minorHAnsi" w:hAnsiTheme="minorHAnsi"/>
                <w:szCs w:val="17"/>
              </w:rPr>
              <w:t>Australia continued to cooperate with partners on the Economic Taskforce to agree on forward prioriti</w:t>
            </w:r>
            <w:r w:rsidR="00494C89">
              <w:rPr>
                <w:rFonts w:asciiTheme="minorHAnsi" w:hAnsiTheme="minorHAnsi"/>
                <w:szCs w:val="17"/>
              </w:rPr>
              <w:t xml:space="preserve">es for the Economic Reform </w:t>
            </w:r>
            <w:r w:rsidRPr="009067E3">
              <w:rPr>
                <w:rFonts w:asciiTheme="minorHAnsi" w:hAnsiTheme="minorHAnsi"/>
                <w:szCs w:val="17"/>
              </w:rPr>
              <w:t>Plan</w:t>
            </w:r>
            <w:r w:rsidR="00397FAD">
              <w:rPr>
                <w:rFonts w:asciiTheme="minorHAnsi" w:hAnsiTheme="minorHAnsi"/>
                <w:szCs w:val="17"/>
              </w:rPr>
              <w:t>,</w:t>
            </w:r>
            <w:r>
              <w:rPr>
                <w:rFonts w:asciiTheme="minorHAnsi" w:hAnsiTheme="minorHAnsi"/>
                <w:szCs w:val="17"/>
              </w:rPr>
              <w:t xml:space="preserve"> </w:t>
            </w:r>
            <w:r w:rsidRPr="009067E3">
              <w:rPr>
                <w:rFonts w:asciiTheme="minorHAnsi" w:hAnsiTheme="minorHAnsi"/>
                <w:szCs w:val="17"/>
              </w:rPr>
              <w:t>inclu</w:t>
            </w:r>
            <w:r w:rsidR="00987BAD">
              <w:rPr>
                <w:rFonts w:asciiTheme="minorHAnsi" w:hAnsiTheme="minorHAnsi"/>
                <w:szCs w:val="17"/>
              </w:rPr>
              <w:t>d</w:t>
            </w:r>
            <w:r w:rsidRPr="009067E3">
              <w:rPr>
                <w:rFonts w:asciiTheme="minorHAnsi" w:hAnsiTheme="minorHAnsi"/>
                <w:szCs w:val="17"/>
              </w:rPr>
              <w:t>ing a comprehensive review of the Kiribati Government’s procurement systems (fund</w:t>
            </w:r>
            <w:r w:rsidR="00987BAD">
              <w:rPr>
                <w:rFonts w:asciiTheme="minorHAnsi" w:hAnsiTheme="minorHAnsi"/>
                <w:szCs w:val="17"/>
              </w:rPr>
              <w:t>ed by the</w:t>
            </w:r>
            <w:r w:rsidRPr="009067E3">
              <w:rPr>
                <w:rFonts w:asciiTheme="minorHAnsi" w:hAnsiTheme="minorHAnsi"/>
                <w:szCs w:val="17"/>
              </w:rPr>
              <w:t xml:space="preserve"> Asian Development Bank).</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444806">
          <w:headerReference w:type="first" r:id="rId19"/>
          <w:pgSz w:w="16838" w:h="11906" w:orient="landscape" w:code="9"/>
          <w:pgMar w:top="1134" w:right="1952" w:bottom="1134" w:left="851" w:header="1107" w:footer="567" w:gutter="0"/>
          <w:cols w:space="397"/>
          <w:titlePg/>
          <w:docGrid w:linePitch="360"/>
        </w:sectPr>
      </w:pPr>
    </w:p>
    <w:p w:rsidR="00AF1B85" w:rsidRPr="00A8197B" w:rsidRDefault="00AF1B85" w:rsidP="005E606B">
      <w:pPr>
        <w:pStyle w:val="Subtitle"/>
      </w:pPr>
      <w:r w:rsidRPr="00A8197B">
        <w:t>Annex B - Evaluation Planning</w:t>
      </w: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p>
        </w:tc>
        <w:tc>
          <w:tcPr>
            <w:tcW w:w="36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Default="00C34D73"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w:t>
            </w:r>
            <w:r w:rsidRPr="00C34D73">
              <w:rPr>
                <w:rFonts w:asciiTheme="minorHAnsi" w:eastAsia="Times New Roman" w:hAnsiTheme="minorHAnsi"/>
                <w:b w:val="0"/>
                <w:iCs/>
                <w:szCs w:val="17"/>
                <w:lang w:eastAsia="en-US"/>
              </w:rPr>
              <w:t>NJ197 - Workforce Skills Development</w:t>
            </w:r>
          </w:p>
          <w:p w:rsidR="0073490B" w:rsidRPr="00812509" w:rsidRDefault="0073490B" w:rsidP="00D15A00">
            <w:pPr>
              <w:keepLines/>
              <w:spacing w:before="40" w:after="40" w:line="200" w:lineRule="atLeast"/>
              <w:rPr>
                <w:rFonts w:asciiTheme="minorHAnsi" w:eastAsia="Times New Roman" w:hAnsiTheme="minorHAnsi"/>
                <w:b w:val="0"/>
                <w:iCs/>
                <w:szCs w:val="17"/>
                <w:lang w:eastAsia="en-US"/>
              </w:rPr>
            </w:pPr>
          </w:p>
        </w:tc>
        <w:tc>
          <w:tcPr>
            <w:tcW w:w="3665" w:type="dxa"/>
          </w:tcPr>
          <w:p w:rsidR="00C34D73" w:rsidRPr="00C34D73" w:rsidRDefault="00C34D73" w:rsidP="00C34D73">
            <w:pPr>
              <w:keepLines/>
              <w:spacing w:before="40" w:after="40" w:line="200" w:lineRule="atLeast"/>
              <w:rPr>
                <w:rFonts w:asciiTheme="minorHAnsi" w:eastAsia="Times New Roman" w:hAnsiTheme="minorHAnsi"/>
                <w:b w:val="0"/>
                <w:iCs/>
                <w:szCs w:val="17"/>
                <w:lang w:eastAsia="en-US"/>
              </w:rPr>
            </w:pPr>
            <w:bookmarkStart w:id="3" w:name="_Toc432116938"/>
            <w:bookmarkStart w:id="4" w:name="_Toc431566378"/>
            <w:r w:rsidRPr="00C34D73">
              <w:rPr>
                <w:rFonts w:asciiTheme="minorHAnsi" w:eastAsia="Times New Roman" w:hAnsiTheme="minorHAnsi"/>
                <w:b w:val="0"/>
                <w:iCs/>
                <w:szCs w:val="17"/>
                <w:lang w:eastAsia="en-US"/>
              </w:rPr>
              <w:t xml:space="preserve">Kiribati Technical and Vocational Education and Training Sector Strengthening Program </w:t>
            </w:r>
            <w:bookmarkStart w:id="5" w:name="_Toc432116940"/>
            <w:bookmarkStart w:id="6" w:name="_Toc431566380"/>
            <w:bookmarkEnd w:id="3"/>
            <w:bookmarkEnd w:id="4"/>
            <w:r w:rsidRPr="00C34D73">
              <w:rPr>
                <w:rFonts w:asciiTheme="minorHAnsi" w:eastAsia="Times New Roman" w:hAnsiTheme="minorHAnsi"/>
                <w:b w:val="0"/>
                <w:iCs/>
                <w:szCs w:val="17"/>
                <w:lang w:eastAsia="en-US"/>
              </w:rPr>
              <w:t>Phase I and II</w:t>
            </w:r>
            <w:bookmarkEnd w:id="5"/>
            <w:r w:rsidRPr="00C34D73">
              <w:rPr>
                <w:rFonts w:asciiTheme="minorHAnsi" w:eastAsia="Times New Roman" w:hAnsiTheme="minorHAnsi"/>
                <w:b w:val="0"/>
                <w:iCs/>
                <w:szCs w:val="17"/>
                <w:lang w:eastAsia="en-US"/>
              </w:rPr>
              <w:t xml:space="preserve"> Progress Review Report 2015</w:t>
            </w:r>
          </w:p>
          <w:bookmarkEnd w:id="6"/>
          <w:p w:rsidR="00C34D73" w:rsidRPr="00812509" w:rsidRDefault="00C34D73" w:rsidP="00C34D73">
            <w:pPr>
              <w:keepLines/>
              <w:spacing w:before="40" w:after="40" w:line="200" w:lineRule="atLeast"/>
              <w:rPr>
                <w:rFonts w:asciiTheme="minorHAnsi" w:eastAsia="Times New Roman" w:hAnsiTheme="minorHAnsi"/>
                <w:b w:val="0"/>
                <w:iCs/>
                <w:szCs w:val="17"/>
                <w:lang w:eastAsia="en-US"/>
              </w:rPr>
            </w:pPr>
          </w:p>
        </w:tc>
        <w:tc>
          <w:tcPr>
            <w:tcW w:w="1397" w:type="dxa"/>
          </w:tcPr>
          <w:p w:rsidR="00AF1B85" w:rsidRPr="00812509" w:rsidRDefault="00395B58" w:rsidP="00D15A00">
            <w:pPr>
              <w:keepLines/>
              <w:spacing w:before="40" w:after="40" w:line="200" w:lineRule="atLeast"/>
              <w:rPr>
                <w:rFonts w:asciiTheme="minorHAnsi" w:eastAsia="Times New Roman" w:hAnsiTheme="minorHAnsi"/>
                <w:b w:val="0"/>
                <w:iCs/>
                <w:szCs w:val="17"/>
                <w:lang w:eastAsia="en-US"/>
              </w:rPr>
            </w:pPr>
            <w:r w:rsidRPr="00395B58">
              <w:rPr>
                <w:rFonts w:asciiTheme="minorHAnsi" w:eastAsia="Times New Roman" w:hAnsiTheme="minorHAnsi"/>
                <w:b w:val="0"/>
                <w:iCs/>
                <w:szCs w:val="17"/>
                <w:lang w:eastAsia="en-US"/>
              </w:rPr>
              <w:t>28/10/2015</w:t>
            </w:r>
          </w:p>
        </w:tc>
        <w:tc>
          <w:tcPr>
            <w:tcW w:w="1953" w:type="dxa"/>
          </w:tcPr>
          <w:p w:rsidR="00AF1B85" w:rsidRPr="00812509" w:rsidRDefault="00395B58" w:rsidP="00395B58">
            <w:pPr>
              <w:keepLines/>
              <w:spacing w:before="40" w:after="40" w:line="200" w:lineRule="atLeast"/>
              <w:rPr>
                <w:rFonts w:asciiTheme="minorHAnsi" w:eastAsia="Times New Roman" w:hAnsiTheme="minorHAnsi"/>
                <w:b w:val="0"/>
                <w:iCs/>
                <w:szCs w:val="17"/>
                <w:lang w:eastAsia="en-US"/>
              </w:rPr>
            </w:pPr>
            <w:r w:rsidRPr="00395B58">
              <w:rPr>
                <w:rFonts w:asciiTheme="minorHAnsi" w:eastAsia="Times New Roman" w:hAnsiTheme="minorHAnsi"/>
                <w:b w:val="0"/>
                <w:iCs/>
                <w:szCs w:val="17"/>
                <w:lang w:eastAsia="en-US"/>
              </w:rPr>
              <w:t>15/02/201</w:t>
            </w:r>
            <w:r>
              <w:rPr>
                <w:rFonts w:asciiTheme="minorHAnsi" w:eastAsia="Times New Roman" w:hAnsiTheme="minorHAnsi"/>
                <w:b w:val="0"/>
                <w:iCs/>
                <w:szCs w:val="17"/>
                <w:lang w:eastAsia="en-US"/>
              </w:rPr>
              <w:t>6</w:t>
            </w:r>
          </w:p>
        </w:tc>
        <w:tc>
          <w:tcPr>
            <w:tcW w:w="1671" w:type="dxa"/>
          </w:tcPr>
          <w:p w:rsidR="00AF1B85" w:rsidRPr="00812509" w:rsidRDefault="00395B58" w:rsidP="00395B58">
            <w:pPr>
              <w:keepLines/>
              <w:spacing w:before="40" w:after="40" w:line="200" w:lineRule="atLeast"/>
              <w:rPr>
                <w:rFonts w:asciiTheme="minorHAnsi" w:eastAsia="Times New Roman" w:hAnsiTheme="minorHAnsi"/>
                <w:b w:val="0"/>
                <w:iCs/>
                <w:szCs w:val="17"/>
                <w:lang w:eastAsia="en-US"/>
              </w:rPr>
            </w:pPr>
            <w:r w:rsidRPr="00395B58">
              <w:rPr>
                <w:rFonts w:asciiTheme="minorHAnsi" w:eastAsia="Times New Roman" w:hAnsiTheme="minorHAnsi"/>
                <w:b w:val="0"/>
                <w:iCs/>
                <w:szCs w:val="17"/>
                <w:lang w:eastAsia="en-US"/>
              </w:rPr>
              <w:t>15/02/201</w:t>
            </w:r>
            <w:r>
              <w:rPr>
                <w:rFonts w:asciiTheme="minorHAnsi" w:eastAsia="Times New Roman" w:hAnsiTheme="minorHAnsi"/>
                <w:b w:val="0"/>
                <w:iCs/>
                <w:szCs w:val="17"/>
                <w:lang w:eastAsia="en-US"/>
              </w:rPr>
              <w:t>6</w:t>
            </w:r>
          </w:p>
        </w:tc>
        <w:tc>
          <w:tcPr>
            <w:tcW w:w="2365" w:type="dxa"/>
          </w:tcPr>
          <w:p w:rsidR="00AF1B85" w:rsidRPr="00812509" w:rsidRDefault="00395B58" w:rsidP="00395B58">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02/02/2016</w:t>
            </w:r>
          </w:p>
        </w:tc>
      </w:tr>
      <w:tr w:rsidR="005B1C59" w:rsidRPr="00556B3B"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B12EA5" w:rsidRPr="00AE24E9" w:rsidRDefault="00B12EA5" w:rsidP="00AE24E9">
            <w:pPr>
              <w:keepLines/>
              <w:spacing w:before="40" w:after="40" w:line="200" w:lineRule="atLeast"/>
              <w:rPr>
                <w:rFonts w:asciiTheme="minorHAnsi" w:eastAsia="Times New Roman" w:hAnsiTheme="minorHAnsi"/>
                <w:b w:val="0"/>
                <w:iCs/>
                <w:szCs w:val="17"/>
                <w:lang w:eastAsia="en-US"/>
              </w:rPr>
            </w:pPr>
            <w:r w:rsidRPr="00AE24E9">
              <w:rPr>
                <w:rFonts w:asciiTheme="minorHAnsi" w:eastAsia="Times New Roman" w:hAnsiTheme="minorHAnsi"/>
                <w:b w:val="0"/>
                <w:iCs/>
                <w:szCs w:val="17"/>
                <w:lang w:eastAsia="en-US"/>
              </w:rPr>
              <w:t>INI894 – Kiribati Health</w:t>
            </w:r>
            <w:r w:rsidR="00AE24E9" w:rsidRPr="00AE24E9">
              <w:rPr>
                <w:rFonts w:asciiTheme="minorHAnsi" w:eastAsia="Times New Roman" w:hAnsiTheme="minorHAnsi"/>
                <w:b w:val="0"/>
                <w:iCs/>
                <w:szCs w:val="17"/>
                <w:lang w:eastAsia="en-US"/>
              </w:rPr>
              <w:tab/>
            </w:r>
          </w:p>
          <w:p w:rsidR="005B1C59" w:rsidRPr="00AE24E9" w:rsidRDefault="005B1C59" w:rsidP="00AE24E9">
            <w:pPr>
              <w:keepLines/>
              <w:spacing w:before="40" w:after="40" w:line="200" w:lineRule="atLeast"/>
              <w:rPr>
                <w:rFonts w:asciiTheme="minorHAnsi" w:eastAsia="Times New Roman" w:hAnsiTheme="minorHAnsi"/>
                <w:b w:val="0"/>
                <w:iCs/>
                <w:szCs w:val="17"/>
                <w:lang w:eastAsia="en-US"/>
              </w:rPr>
            </w:pPr>
          </w:p>
        </w:tc>
        <w:tc>
          <w:tcPr>
            <w:tcW w:w="3665" w:type="dxa"/>
          </w:tcPr>
          <w:p w:rsidR="005B1C59" w:rsidRPr="00AE24E9" w:rsidRDefault="00B12EA5" w:rsidP="00AE24E9">
            <w:pPr>
              <w:keepLines/>
              <w:spacing w:before="40" w:after="40" w:line="200" w:lineRule="atLeast"/>
              <w:rPr>
                <w:rFonts w:asciiTheme="minorHAnsi" w:eastAsia="Times New Roman" w:hAnsiTheme="minorHAnsi"/>
                <w:b w:val="0"/>
                <w:iCs/>
                <w:szCs w:val="17"/>
                <w:lang w:eastAsia="en-US"/>
              </w:rPr>
            </w:pPr>
            <w:r w:rsidRPr="00AE24E9">
              <w:rPr>
                <w:rFonts w:asciiTheme="minorHAnsi" w:eastAsia="Times New Roman" w:hAnsiTheme="minorHAnsi"/>
                <w:b w:val="0"/>
                <w:iCs/>
                <w:szCs w:val="17"/>
                <w:lang w:eastAsia="en-US"/>
              </w:rPr>
              <w:t>Mid-Term Evaluation: Towards Tuberculosis Elimination in Kiribati</w:t>
            </w:r>
          </w:p>
        </w:tc>
        <w:tc>
          <w:tcPr>
            <w:tcW w:w="1397" w:type="dxa"/>
          </w:tcPr>
          <w:p w:rsidR="005B1C59" w:rsidRPr="00AE24E9" w:rsidRDefault="00B12EA5" w:rsidP="00AE24E9">
            <w:pPr>
              <w:keepLines/>
              <w:spacing w:before="40" w:after="40" w:line="200" w:lineRule="atLeast"/>
              <w:rPr>
                <w:rFonts w:asciiTheme="minorHAnsi" w:eastAsia="Times New Roman" w:hAnsiTheme="minorHAnsi"/>
                <w:b w:val="0"/>
                <w:iCs/>
                <w:szCs w:val="17"/>
                <w:lang w:eastAsia="en-US"/>
              </w:rPr>
            </w:pPr>
            <w:r w:rsidRPr="00AE24E9">
              <w:rPr>
                <w:rFonts w:asciiTheme="minorHAnsi" w:eastAsia="Times New Roman" w:hAnsiTheme="minorHAnsi"/>
                <w:b w:val="0"/>
                <w:iCs/>
                <w:szCs w:val="17"/>
                <w:lang w:eastAsia="en-US"/>
              </w:rPr>
              <w:t>9/03/2016</w:t>
            </w:r>
          </w:p>
        </w:tc>
        <w:tc>
          <w:tcPr>
            <w:tcW w:w="1953" w:type="dxa"/>
          </w:tcPr>
          <w:p w:rsidR="005B1C59" w:rsidRPr="00AE24E9" w:rsidRDefault="00B12EA5" w:rsidP="00AE24E9">
            <w:pPr>
              <w:keepLines/>
              <w:spacing w:before="40" w:after="40" w:line="200" w:lineRule="atLeast"/>
              <w:rPr>
                <w:rFonts w:asciiTheme="minorHAnsi" w:eastAsia="Times New Roman" w:hAnsiTheme="minorHAnsi"/>
                <w:b w:val="0"/>
                <w:iCs/>
                <w:szCs w:val="17"/>
                <w:lang w:eastAsia="en-US"/>
              </w:rPr>
            </w:pPr>
            <w:r w:rsidRPr="00AE24E9">
              <w:rPr>
                <w:rFonts w:asciiTheme="minorHAnsi" w:eastAsia="Times New Roman" w:hAnsiTheme="minorHAnsi"/>
                <w:b w:val="0"/>
                <w:iCs/>
                <w:szCs w:val="17"/>
                <w:lang w:eastAsia="en-US"/>
              </w:rPr>
              <w:t>26/04/2016</w:t>
            </w:r>
          </w:p>
        </w:tc>
        <w:tc>
          <w:tcPr>
            <w:tcW w:w="1671" w:type="dxa"/>
          </w:tcPr>
          <w:p w:rsidR="005B1C59" w:rsidRPr="00AE24E9" w:rsidRDefault="00B12EA5" w:rsidP="00AE24E9">
            <w:pPr>
              <w:keepLines/>
              <w:spacing w:before="40" w:after="40" w:line="200" w:lineRule="atLeast"/>
              <w:rPr>
                <w:rFonts w:asciiTheme="minorHAnsi" w:eastAsia="Times New Roman" w:hAnsiTheme="minorHAnsi"/>
                <w:b w:val="0"/>
                <w:iCs/>
                <w:szCs w:val="17"/>
                <w:lang w:eastAsia="en-US"/>
              </w:rPr>
            </w:pPr>
            <w:r w:rsidRPr="00AE24E9">
              <w:rPr>
                <w:rFonts w:asciiTheme="minorHAnsi" w:eastAsia="Times New Roman" w:hAnsiTheme="minorHAnsi"/>
                <w:b w:val="0"/>
                <w:iCs/>
                <w:szCs w:val="17"/>
                <w:lang w:eastAsia="en-US"/>
              </w:rPr>
              <w:t>26/04/2016</w:t>
            </w:r>
          </w:p>
        </w:tc>
        <w:tc>
          <w:tcPr>
            <w:tcW w:w="2365" w:type="dxa"/>
          </w:tcPr>
          <w:p w:rsidR="005B1C59" w:rsidRPr="00AE24E9" w:rsidRDefault="006730BE" w:rsidP="00AE24E9">
            <w:pPr>
              <w:keepLines/>
              <w:spacing w:before="40" w:after="40" w:line="200" w:lineRule="atLeast"/>
              <w:rPr>
                <w:rFonts w:asciiTheme="minorHAnsi" w:eastAsia="Times New Roman" w:hAnsiTheme="minorHAnsi"/>
                <w:b w:val="0"/>
                <w:iCs/>
                <w:szCs w:val="17"/>
                <w:lang w:eastAsia="en-US"/>
              </w:rPr>
            </w:pPr>
            <w:r w:rsidRPr="00AE24E9">
              <w:rPr>
                <w:rFonts w:asciiTheme="minorHAnsi" w:eastAsia="Times New Roman" w:hAnsiTheme="minorHAnsi"/>
                <w:b w:val="0"/>
                <w:iCs/>
                <w:szCs w:val="17"/>
                <w:lang w:eastAsia="en-US"/>
              </w:rPr>
              <w:t>N/A – low value project</w:t>
            </w:r>
          </w:p>
        </w:tc>
      </w:tr>
    </w:tbl>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rsidTr="005E606B">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rsidTr="005E606B">
        <w:tc>
          <w:tcPr>
            <w:tcW w:w="2444" w:type="dxa"/>
          </w:tcPr>
          <w:p w:rsidR="00AF1B85" w:rsidRPr="0073490B" w:rsidRDefault="00FE47C6" w:rsidP="00FE47C6">
            <w:pPr>
              <w:keepLines/>
              <w:spacing w:before="40" w:after="40" w:line="200" w:lineRule="atLeast"/>
              <w:rPr>
                <w:rFonts w:asciiTheme="minorHAnsi" w:eastAsia="Times New Roman" w:hAnsiTheme="minorHAnsi"/>
                <w:iCs/>
                <w:szCs w:val="17"/>
                <w:highlight w:val="yellow"/>
                <w:lang w:eastAsia="en-US"/>
              </w:rPr>
            </w:pPr>
            <w:r w:rsidRPr="00CD5D6C">
              <w:rPr>
                <w:rFonts w:eastAsia="Times New Roman"/>
                <w:iCs/>
                <w:szCs w:val="17"/>
              </w:rPr>
              <w:t>No evaluations planned for 2016-17</w:t>
            </w:r>
            <w:r w:rsidR="00AF1B85" w:rsidRPr="00CD5D6C">
              <w:rPr>
                <w:rFonts w:eastAsia="Times New Roman"/>
                <w:iCs/>
                <w:szCs w:val="17"/>
              </w:rPr>
              <w:t xml:space="preserve"> </w:t>
            </w:r>
          </w:p>
        </w:tc>
        <w:tc>
          <w:tcPr>
            <w:tcW w:w="2356" w:type="dxa"/>
          </w:tcPr>
          <w:p w:rsidR="00AF1B85" w:rsidRPr="0073490B" w:rsidRDefault="00AF1B85" w:rsidP="00D15A00">
            <w:pPr>
              <w:keepLines/>
              <w:spacing w:before="40" w:after="40" w:line="200" w:lineRule="atLeast"/>
              <w:rPr>
                <w:rFonts w:asciiTheme="minorHAnsi" w:eastAsia="Times New Roman" w:hAnsiTheme="minorHAnsi"/>
                <w:iCs/>
                <w:szCs w:val="17"/>
                <w:highlight w:val="yellow"/>
                <w:lang w:eastAsia="en-US"/>
              </w:rPr>
            </w:pPr>
          </w:p>
        </w:tc>
        <w:tc>
          <w:tcPr>
            <w:tcW w:w="2042" w:type="dxa"/>
          </w:tcPr>
          <w:p w:rsidR="00AF1B85" w:rsidRPr="0073490B" w:rsidRDefault="00AF1B85" w:rsidP="00D15A00">
            <w:pPr>
              <w:keepLines/>
              <w:spacing w:before="40" w:after="40" w:line="200" w:lineRule="atLeast"/>
              <w:rPr>
                <w:rFonts w:asciiTheme="minorHAnsi" w:eastAsia="Times New Roman" w:hAnsiTheme="minorHAnsi"/>
                <w:iCs/>
                <w:szCs w:val="17"/>
                <w:highlight w:val="yellow"/>
                <w:lang w:eastAsia="en-US"/>
              </w:rPr>
            </w:pPr>
          </w:p>
        </w:tc>
        <w:tc>
          <w:tcPr>
            <w:tcW w:w="2208" w:type="dxa"/>
          </w:tcPr>
          <w:p w:rsidR="00AF1B85" w:rsidRPr="0073490B" w:rsidRDefault="00AF1B85" w:rsidP="00D15A00">
            <w:pPr>
              <w:keepLines/>
              <w:spacing w:before="40" w:after="40" w:line="200" w:lineRule="atLeast"/>
              <w:rPr>
                <w:rFonts w:asciiTheme="minorHAnsi" w:eastAsia="Times New Roman" w:hAnsiTheme="minorHAnsi"/>
                <w:iCs/>
                <w:szCs w:val="17"/>
                <w:highlight w:val="yellow"/>
                <w:lang w:eastAsia="en-US"/>
              </w:rPr>
            </w:pPr>
          </w:p>
        </w:tc>
        <w:tc>
          <w:tcPr>
            <w:tcW w:w="2325" w:type="dxa"/>
          </w:tcPr>
          <w:p w:rsidR="00AF1B85" w:rsidRPr="0073490B" w:rsidRDefault="00AF1B85" w:rsidP="00D15A00">
            <w:pPr>
              <w:keepLines/>
              <w:spacing w:before="40" w:after="40" w:line="200" w:lineRule="atLeast"/>
              <w:rPr>
                <w:rFonts w:asciiTheme="minorHAnsi" w:eastAsia="Times New Roman" w:hAnsiTheme="minorHAnsi"/>
                <w:iCs/>
                <w:color w:val="000000" w:themeColor="text1" w:themeShade="BF"/>
                <w:szCs w:val="17"/>
                <w:highlight w:val="yellow"/>
                <w:lang w:eastAsia="en-US"/>
              </w:rPr>
            </w:pPr>
          </w:p>
        </w:tc>
        <w:tc>
          <w:tcPr>
            <w:tcW w:w="2740" w:type="dxa"/>
          </w:tcPr>
          <w:p w:rsidR="00AF1B85" w:rsidRPr="0073490B" w:rsidRDefault="00AF1B85" w:rsidP="00D15A00">
            <w:pPr>
              <w:keepLines/>
              <w:spacing w:before="40" w:after="40" w:line="200" w:lineRule="atLeast"/>
              <w:rPr>
                <w:rFonts w:asciiTheme="minorHAnsi" w:eastAsia="Times New Roman" w:hAnsiTheme="minorHAnsi"/>
                <w:iCs/>
                <w:szCs w:val="17"/>
                <w:highlight w:val="yellow"/>
                <w:lang w:eastAsia="en-US"/>
              </w:rPr>
            </w:pP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444806">
          <w:headerReference w:type="first" r:id="rId20"/>
          <w:pgSz w:w="16838" w:h="11906" w:orient="landscape" w:code="9"/>
          <w:pgMar w:top="1134" w:right="1952" w:bottom="1134" w:left="851" w:header="1107" w:footer="567" w:gutter="0"/>
          <w:cols w:space="397"/>
          <w:titlePg/>
          <w:docGrid w:linePitch="360"/>
        </w:sectPr>
      </w:pPr>
    </w:p>
    <w:p w:rsidR="0059146A" w:rsidRDefault="0059146A" w:rsidP="005B5769">
      <w:pPr>
        <w:pStyle w:val="ListBullet"/>
        <w:tabs>
          <w:tab w:val="clear" w:pos="284"/>
        </w:tabs>
      </w:pPr>
    </w:p>
    <w:p w:rsidR="005E606B" w:rsidRPr="00A8197B" w:rsidRDefault="005E606B" w:rsidP="00A8197B">
      <w:pPr>
        <w:pStyle w:val="Subtitle"/>
      </w:pPr>
      <w:r w:rsidRPr="00A8197B">
        <w:t>Annex C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Style w:val="APPR"/>
        <w:tblW w:w="5000" w:type="pct"/>
        <w:tblLook w:val="0000" w:firstRow="0" w:lastRow="0" w:firstColumn="0" w:lastColumn="0" w:noHBand="0" w:noVBand="0"/>
      </w:tblPr>
      <w:tblGrid>
        <w:gridCol w:w="1773"/>
        <w:gridCol w:w="1284"/>
        <w:gridCol w:w="821"/>
        <w:gridCol w:w="825"/>
        <w:gridCol w:w="819"/>
        <w:gridCol w:w="825"/>
        <w:gridCol w:w="819"/>
        <w:gridCol w:w="825"/>
        <w:gridCol w:w="819"/>
        <w:gridCol w:w="828"/>
      </w:tblGrid>
      <w:tr w:rsidR="005E606B" w:rsidRPr="00C61187" w:rsidTr="00A74556">
        <w:trPr>
          <w:cnfStyle w:val="000000010000" w:firstRow="0" w:lastRow="0" w:firstColumn="0" w:lastColumn="0" w:oddVBand="0" w:evenVBand="0" w:oddHBand="0" w:evenHBand="1" w:firstRowFirstColumn="0" w:firstRowLastColumn="0" w:lastRowFirstColumn="0" w:lastRowLastColumn="0"/>
          <w:trHeight w:val="1413"/>
        </w:trPr>
        <w:tc>
          <w:tcPr>
            <w:tcW w:w="900" w:type="pct"/>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68480" behindDoc="0" locked="0" layoutInCell="1" allowOverlap="1" wp14:anchorId="300E8AB8" wp14:editId="38EC926E">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4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4"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1"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rsidR="005E606B" w:rsidRPr="00812509" w:rsidRDefault="005E606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5E606B" w:rsidRPr="00C61187" w:rsidTr="00A74556">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444806" w:rsidRPr="00812509" w:rsidRDefault="00FA5988" w:rsidP="00217766">
            <w:pPr>
              <w:keepLines/>
              <w:spacing w:before="0" w:after="40" w:line="200" w:lineRule="atLeast"/>
              <w:rPr>
                <w:rFonts w:asciiTheme="minorHAnsi" w:eastAsia="Times New Roman" w:hAnsiTheme="minorHAnsi"/>
                <w:iCs/>
                <w:szCs w:val="17"/>
                <w:lang w:eastAsia="en-US"/>
              </w:rPr>
            </w:pPr>
            <w:r w:rsidRPr="00FA5988">
              <w:rPr>
                <w:rFonts w:asciiTheme="minorHAnsi" w:eastAsia="Times New Roman" w:hAnsiTheme="minorHAnsi"/>
                <w:iCs/>
                <w:szCs w:val="17"/>
                <w:lang w:eastAsia="en-US"/>
              </w:rPr>
              <w:t>INJ383</w:t>
            </w:r>
            <w:r w:rsidR="00444806" w:rsidRPr="00444806">
              <w:rPr>
                <w:rFonts w:asciiTheme="minorHAnsi" w:eastAsia="Times New Roman" w:hAnsiTheme="minorHAnsi"/>
                <w:iCs/>
                <w:szCs w:val="17"/>
                <w:lang w:eastAsia="en-US"/>
              </w:rPr>
              <w:t xml:space="preserve"> Growth &amp; Economic Management</w:t>
            </w:r>
          </w:p>
        </w:tc>
        <w:tc>
          <w:tcPr>
            <w:tcW w:w="652" w:type="pct"/>
            <w:vMerge w:val="restart"/>
          </w:tcPr>
          <w:p w:rsidR="005E606B" w:rsidRPr="004D00B4" w:rsidRDefault="00444806" w:rsidP="00217766">
            <w:pPr>
              <w:keepLines/>
              <w:spacing w:before="0" w:after="40" w:line="200" w:lineRule="atLeast"/>
              <w:rPr>
                <w:rFonts w:asciiTheme="minorHAnsi" w:eastAsia="Times New Roman" w:hAnsiTheme="minorHAnsi"/>
                <w:iCs/>
                <w:szCs w:val="17"/>
                <w:lang w:eastAsia="en-US"/>
              </w:rPr>
            </w:pPr>
            <w:r w:rsidRPr="004D00B4">
              <w:rPr>
                <w:rFonts w:asciiTheme="minorHAnsi" w:eastAsia="Times New Roman" w:hAnsiTheme="minorHAnsi"/>
                <w:iCs/>
                <w:szCs w:val="17"/>
                <w:lang w:eastAsia="en-US"/>
              </w:rPr>
              <w:t>$7.2</w:t>
            </w:r>
            <w:r w:rsidR="005E606B" w:rsidRPr="004D00B4">
              <w:rPr>
                <w:rFonts w:asciiTheme="minorHAnsi" w:eastAsia="Times New Roman" w:hAnsiTheme="minorHAnsi"/>
                <w:iCs/>
                <w:szCs w:val="17"/>
                <w:lang w:eastAsia="en-US"/>
              </w:rPr>
              <w:t xml:space="preserve">m </w:t>
            </w:r>
          </w:p>
          <w:p w:rsidR="005E606B" w:rsidRPr="00812509" w:rsidRDefault="00444806" w:rsidP="00217766">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2010</w:t>
            </w:r>
            <w:r w:rsidR="005E606B" w:rsidRPr="00812509">
              <w:rPr>
                <w:rFonts w:asciiTheme="minorHAnsi" w:eastAsia="Times New Roman" w:hAnsiTheme="minorHAnsi"/>
                <w:iCs/>
                <w:szCs w:val="17"/>
                <w:lang w:eastAsia="en-US"/>
              </w:rPr>
              <w:t>-</w:t>
            </w:r>
            <w:r>
              <w:rPr>
                <w:rFonts w:asciiTheme="minorHAnsi" w:eastAsia="Times New Roman" w:hAnsiTheme="minorHAnsi"/>
                <w:iCs/>
                <w:szCs w:val="17"/>
                <w:lang w:eastAsia="en-US"/>
              </w:rPr>
              <w:t>20</w:t>
            </w:r>
            <w:r w:rsidR="005E606B" w:rsidRPr="00812509">
              <w:rPr>
                <w:rFonts w:asciiTheme="minorHAnsi" w:eastAsia="Times New Roman" w:hAnsiTheme="minorHAnsi"/>
                <w:iCs/>
                <w:szCs w:val="17"/>
                <w:lang w:eastAsia="en-US"/>
              </w:rPr>
              <w:t xml:space="preserve"> </w:t>
            </w:r>
          </w:p>
        </w:tc>
        <w:tc>
          <w:tcPr>
            <w:tcW w:w="412" w:type="pct"/>
          </w:tcPr>
          <w:p w:rsidR="005E606B" w:rsidRPr="00812509" w:rsidRDefault="005E606B"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2016 AQC</w:t>
            </w:r>
          </w:p>
        </w:tc>
        <w:tc>
          <w:tcPr>
            <w:tcW w:w="414" w:type="pct"/>
            <w:shd w:val="clear" w:color="auto" w:fill="92D050"/>
            <w:noWrap/>
          </w:tcPr>
          <w:p w:rsidR="005E606B" w:rsidRPr="00812509" w:rsidRDefault="005E606B"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shd w:val="clear" w:color="auto" w:fill="92D05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shd w:val="clear" w:color="auto" w:fill="92D05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shd w:val="clear" w:color="auto" w:fill="FFC00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FFC000"/>
            <w:noWrap/>
          </w:tcPr>
          <w:p w:rsidR="005E606B" w:rsidRPr="00812509" w:rsidRDefault="005E606B"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408" w:type="pct"/>
            <w:shd w:val="clear" w:color="auto" w:fill="FFFF00"/>
          </w:tcPr>
          <w:p w:rsidR="005E606B" w:rsidRPr="00812509" w:rsidRDefault="005E606B"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3C5A60" w:rsidRPr="00C61187" w:rsidTr="00A74556">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4" w:space="0" w:color="auto"/>
            </w:tcBorders>
          </w:tcPr>
          <w:p w:rsidR="005E606B" w:rsidRPr="00812509" w:rsidRDefault="005E606B" w:rsidP="00217766">
            <w:pPr>
              <w:keepLines/>
              <w:spacing w:before="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5E606B" w:rsidRPr="00812509" w:rsidRDefault="005E606B" w:rsidP="00217766">
            <w:pPr>
              <w:keepLines/>
              <w:spacing w:before="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5E606B" w:rsidRPr="00812509" w:rsidRDefault="005E606B"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2015 AQC</w:t>
            </w:r>
          </w:p>
        </w:tc>
        <w:tc>
          <w:tcPr>
            <w:tcW w:w="414" w:type="pct"/>
            <w:tcBorders>
              <w:bottom w:val="single" w:sz="4" w:space="0" w:color="auto"/>
            </w:tcBorders>
            <w:shd w:val="clear" w:color="auto" w:fill="92D050"/>
            <w:noWrap/>
          </w:tcPr>
          <w:p w:rsidR="005E606B" w:rsidRPr="00812509" w:rsidRDefault="005E606B"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92D05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bottom w:val="single" w:sz="4" w:space="0" w:color="auto"/>
            </w:tcBorders>
            <w:shd w:val="clear" w:color="auto" w:fill="92D05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bottom w:val="single" w:sz="4" w:space="0" w:color="auto"/>
            </w:tcBorders>
            <w:shd w:val="clear" w:color="auto" w:fill="92D05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bottom w:val="single" w:sz="4" w:space="0" w:color="auto"/>
            </w:tcBorders>
            <w:shd w:val="clear" w:color="auto" w:fill="92D05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bottom w:val="single" w:sz="4" w:space="0" w:color="auto"/>
            </w:tcBorders>
            <w:shd w:val="clear" w:color="auto" w:fill="FFFF00"/>
            <w:noWrap/>
          </w:tcPr>
          <w:p w:rsidR="005E606B" w:rsidRPr="00812509" w:rsidRDefault="0044480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bottom w:val="single" w:sz="4" w:space="0" w:color="auto"/>
            </w:tcBorders>
            <w:shd w:val="clear" w:color="auto" w:fill="FFFF00"/>
          </w:tcPr>
          <w:p w:rsidR="005E606B" w:rsidRPr="00812509" w:rsidRDefault="005E606B"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3C5A60" w:rsidRPr="00C61187" w:rsidTr="001B51A9">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5E606B" w:rsidRPr="00812509" w:rsidRDefault="003C5A60" w:rsidP="00217766">
            <w:pPr>
              <w:keepLines/>
              <w:spacing w:before="0" w:after="40" w:line="200" w:lineRule="atLeast"/>
              <w:rPr>
                <w:rFonts w:asciiTheme="minorHAnsi" w:eastAsia="Times New Roman" w:hAnsiTheme="minorHAnsi"/>
                <w:iCs/>
                <w:szCs w:val="17"/>
                <w:lang w:eastAsia="en-US"/>
              </w:rPr>
            </w:pPr>
            <w:r w:rsidRPr="003C5A60">
              <w:rPr>
                <w:rFonts w:asciiTheme="minorHAnsi" w:eastAsia="Times New Roman" w:hAnsiTheme="minorHAnsi"/>
                <w:iCs/>
                <w:szCs w:val="17"/>
                <w:lang w:eastAsia="en-US"/>
              </w:rPr>
              <w:t>INI894</w:t>
            </w:r>
            <w:r>
              <w:rPr>
                <w:rFonts w:asciiTheme="minorHAnsi" w:eastAsia="Times New Roman" w:hAnsiTheme="minorHAnsi"/>
                <w:iCs/>
                <w:szCs w:val="17"/>
                <w:lang w:eastAsia="en-US"/>
              </w:rPr>
              <w:t xml:space="preserve"> Health</w:t>
            </w:r>
          </w:p>
        </w:tc>
        <w:tc>
          <w:tcPr>
            <w:tcW w:w="652" w:type="pct"/>
            <w:vMerge w:val="restart"/>
          </w:tcPr>
          <w:p w:rsidR="005E606B" w:rsidRPr="004D00B4" w:rsidRDefault="003C5A60" w:rsidP="00217766">
            <w:pPr>
              <w:keepLines/>
              <w:spacing w:before="0" w:after="40" w:line="200" w:lineRule="atLeast"/>
              <w:rPr>
                <w:rFonts w:asciiTheme="minorHAnsi" w:eastAsia="Times New Roman" w:hAnsiTheme="minorHAnsi"/>
                <w:iCs/>
                <w:szCs w:val="17"/>
                <w:lang w:eastAsia="en-US"/>
              </w:rPr>
            </w:pPr>
            <w:r w:rsidRPr="004D00B4">
              <w:rPr>
                <w:rFonts w:asciiTheme="minorHAnsi" w:eastAsia="Times New Roman" w:hAnsiTheme="minorHAnsi"/>
                <w:iCs/>
                <w:szCs w:val="17"/>
                <w:lang w:eastAsia="en-US"/>
              </w:rPr>
              <w:t>$4.4</w:t>
            </w:r>
            <w:r w:rsidR="005E606B" w:rsidRPr="004D00B4">
              <w:rPr>
                <w:rFonts w:asciiTheme="minorHAnsi" w:eastAsia="Times New Roman" w:hAnsiTheme="minorHAnsi"/>
                <w:iCs/>
                <w:szCs w:val="17"/>
                <w:lang w:eastAsia="en-US"/>
              </w:rPr>
              <w:t xml:space="preserve">m </w:t>
            </w:r>
          </w:p>
          <w:p w:rsidR="005E606B" w:rsidRPr="00812509" w:rsidRDefault="005E606B" w:rsidP="00217766">
            <w:pPr>
              <w:keepLines/>
              <w:spacing w:before="0" w:after="40" w:line="200" w:lineRule="atLeast"/>
              <w:rPr>
                <w:rFonts w:asciiTheme="minorHAnsi" w:eastAsia="Times New Roman" w:hAnsiTheme="minorHAnsi"/>
                <w:iCs/>
                <w:szCs w:val="17"/>
                <w:lang w:eastAsia="en-US"/>
              </w:rPr>
            </w:pPr>
            <w:r w:rsidRPr="004D00B4">
              <w:rPr>
                <w:rFonts w:asciiTheme="minorHAnsi" w:eastAsia="Times New Roman" w:hAnsiTheme="minorHAnsi"/>
                <w:iCs/>
                <w:szCs w:val="17"/>
                <w:lang w:eastAsia="en-US"/>
              </w:rPr>
              <w:t>201</w:t>
            </w:r>
            <w:r w:rsidR="003C5A60" w:rsidRPr="004D00B4">
              <w:rPr>
                <w:rFonts w:asciiTheme="minorHAnsi" w:eastAsia="Times New Roman" w:hAnsiTheme="minorHAnsi"/>
                <w:iCs/>
                <w:szCs w:val="17"/>
                <w:lang w:eastAsia="en-US"/>
              </w:rPr>
              <w:t>0</w:t>
            </w:r>
            <w:r w:rsidRPr="004D00B4">
              <w:rPr>
                <w:rFonts w:asciiTheme="minorHAnsi" w:eastAsia="Times New Roman" w:hAnsiTheme="minorHAnsi"/>
                <w:iCs/>
                <w:szCs w:val="17"/>
                <w:lang w:eastAsia="en-US"/>
              </w:rPr>
              <w:t>-18</w:t>
            </w:r>
            <w:r w:rsidRPr="00812509">
              <w:rPr>
                <w:rFonts w:asciiTheme="minorHAnsi" w:eastAsia="Times New Roman" w:hAnsiTheme="minorHAnsi"/>
                <w:iCs/>
                <w:szCs w:val="17"/>
                <w:lang w:eastAsia="en-US"/>
              </w:rPr>
              <w:t xml:space="preserve"> </w:t>
            </w:r>
          </w:p>
        </w:tc>
        <w:tc>
          <w:tcPr>
            <w:tcW w:w="412" w:type="pct"/>
          </w:tcPr>
          <w:p w:rsidR="005E606B" w:rsidRPr="00812509" w:rsidRDefault="005E606B"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2016 AQC</w:t>
            </w:r>
          </w:p>
        </w:tc>
        <w:tc>
          <w:tcPr>
            <w:tcW w:w="414" w:type="pct"/>
            <w:shd w:val="clear" w:color="auto" w:fill="92D050"/>
            <w:noWrap/>
          </w:tcPr>
          <w:p w:rsidR="005E606B" w:rsidRPr="00812509" w:rsidRDefault="005E606B"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shd w:val="clear" w:color="auto" w:fill="FFC000"/>
            <w:noWrap/>
          </w:tcPr>
          <w:p w:rsidR="005E606B" w:rsidRPr="00812509" w:rsidRDefault="001B51A9"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FFFF00"/>
            <w:noWrap/>
          </w:tcPr>
          <w:p w:rsidR="005E606B" w:rsidRPr="00812509" w:rsidRDefault="001B51A9"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5E606B" w:rsidRPr="00812509" w:rsidRDefault="001B51A9"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92D050"/>
            <w:noWrap/>
          </w:tcPr>
          <w:p w:rsidR="005E606B" w:rsidRPr="00812509" w:rsidRDefault="001B51A9"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rsidR="005E606B" w:rsidRPr="00812509" w:rsidRDefault="001B51A9"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shd w:val="clear" w:color="auto" w:fill="FFFF00"/>
          </w:tcPr>
          <w:p w:rsidR="005E606B" w:rsidRPr="00812509" w:rsidRDefault="005E606B"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3C5A60" w:rsidRPr="00C61187" w:rsidTr="00A74556">
        <w:trPr>
          <w:cnfStyle w:val="000000010000" w:firstRow="0" w:lastRow="0" w:firstColumn="0" w:lastColumn="0" w:oddVBand="0" w:evenVBand="0" w:oddHBand="0" w:evenHBand="1" w:firstRowFirstColumn="0" w:firstRowLastColumn="0" w:lastRowFirstColumn="0" w:lastRowLastColumn="0"/>
          <w:trHeight w:val="284"/>
        </w:trPr>
        <w:tc>
          <w:tcPr>
            <w:tcW w:w="900" w:type="pct"/>
            <w:vMerge/>
            <w:tcBorders>
              <w:bottom w:val="single" w:sz="4" w:space="0" w:color="auto"/>
            </w:tcBorders>
          </w:tcPr>
          <w:p w:rsidR="003C5A60" w:rsidRPr="00812509" w:rsidRDefault="003C5A60" w:rsidP="00217766">
            <w:pPr>
              <w:keepLines/>
              <w:spacing w:before="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3C5A60" w:rsidRPr="00812509" w:rsidRDefault="003C5A60" w:rsidP="00217766">
            <w:pPr>
              <w:keepLines/>
              <w:spacing w:before="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3C5A60" w:rsidRPr="00812509" w:rsidRDefault="003C5A60"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2015 AQC</w:t>
            </w:r>
          </w:p>
        </w:tc>
        <w:tc>
          <w:tcPr>
            <w:tcW w:w="414" w:type="pct"/>
            <w:tcBorders>
              <w:bottom w:val="single" w:sz="4" w:space="0" w:color="auto"/>
            </w:tcBorders>
            <w:shd w:val="clear" w:color="auto" w:fill="92D050"/>
            <w:noWrap/>
          </w:tcPr>
          <w:p w:rsidR="003C5A60" w:rsidRPr="00812509" w:rsidRDefault="003C5A60"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92D050"/>
            <w:noWrap/>
          </w:tcPr>
          <w:p w:rsidR="003C5A60" w:rsidRPr="00812509" w:rsidRDefault="003C5A60"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4" w:type="pct"/>
            <w:tcBorders>
              <w:bottom w:val="single" w:sz="4" w:space="0" w:color="auto"/>
            </w:tcBorders>
            <w:shd w:val="clear" w:color="auto" w:fill="FFFF00"/>
            <w:noWrap/>
          </w:tcPr>
          <w:p w:rsidR="003C5A60" w:rsidRPr="00812509" w:rsidRDefault="003C5A60"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bottom w:val="single" w:sz="4" w:space="0" w:color="auto"/>
            </w:tcBorders>
            <w:shd w:val="clear" w:color="auto" w:fill="92D050"/>
            <w:noWrap/>
          </w:tcPr>
          <w:p w:rsidR="003C5A60" w:rsidRPr="00812509" w:rsidRDefault="003C5A60"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4" w:type="pct"/>
            <w:tcBorders>
              <w:bottom w:val="single" w:sz="4" w:space="0" w:color="auto"/>
            </w:tcBorders>
            <w:shd w:val="clear" w:color="auto" w:fill="92D050"/>
            <w:noWrap/>
          </w:tcPr>
          <w:p w:rsidR="003C5A60" w:rsidRPr="00812509" w:rsidRDefault="003C5A60"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bottom w:val="single" w:sz="4" w:space="0" w:color="auto"/>
            </w:tcBorders>
            <w:shd w:val="clear" w:color="auto" w:fill="FFFF00"/>
            <w:noWrap/>
          </w:tcPr>
          <w:p w:rsidR="003C5A60" w:rsidRPr="00812509" w:rsidRDefault="003C5A60"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bottom w:val="single" w:sz="4" w:space="0" w:color="auto"/>
            </w:tcBorders>
            <w:shd w:val="clear" w:color="auto" w:fill="92D050"/>
          </w:tcPr>
          <w:p w:rsidR="003C5A60" w:rsidRPr="00812509" w:rsidRDefault="003C5A60"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891C9B" w:rsidRPr="00C61187" w:rsidTr="000840F4">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Pr>
          <w:p w:rsidR="003C5A60" w:rsidRPr="00812509" w:rsidRDefault="004D00B4" w:rsidP="00217766">
            <w:pPr>
              <w:keepLines/>
              <w:spacing w:before="0" w:after="40" w:line="200" w:lineRule="atLeast"/>
              <w:rPr>
                <w:rFonts w:asciiTheme="minorHAnsi" w:eastAsia="Times New Roman" w:hAnsiTheme="minorHAnsi"/>
                <w:iCs/>
                <w:szCs w:val="17"/>
                <w:lang w:eastAsia="en-US"/>
              </w:rPr>
            </w:pPr>
            <w:r w:rsidRPr="004D00B4">
              <w:rPr>
                <w:rFonts w:asciiTheme="minorHAnsi" w:eastAsia="Times New Roman" w:hAnsiTheme="minorHAnsi"/>
                <w:iCs/>
                <w:szCs w:val="17"/>
                <w:lang w:eastAsia="en-US"/>
              </w:rPr>
              <w:t>INI614</w:t>
            </w:r>
            <w:r>
              <w:rPr>
                <w:rFonts w:asciiTheme="minorHAnsi" w:eastAsia="Times New Roman" w:hAnsiTheme="minorHAnsi"/>
                <w:iCs/>
                <w:szCs w:val="17"/>
                <w:lang w:eastAsia="en-US"/>
              </w:rPr>
              <w:t xml:space="preserve"> Scholarships</w:t>
            </w:r>
          </w:p>
        </w:tc>
        <w:tc>
          <w:tcPr>
            <w:tcW w:w="652" w:type="pct"/>
            <w:vMerge w:val="restart"/>
          </w:tcPr>
          <w:p w:rsidR="004D00B4" w:rsidRDefault="004D00B4" w:rsidP="00217766">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$2.9m</w:t>
            </w:r>
          </w:p>
          <w:p w:rsidR="003C5A60" w:rsidRPr="00812509" w:rsidRDefault="004D00B4" w:rsidP="00217766">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2010-17</w:t>
            </w:r>
          </w:p>
        </w:tc>
        <w:tc>
          <w:tcPr>
            <w:tcW w:w="412" w:type="pct"/>
          </w:tcPr>
          <w:p w:rsidR="003C5A60" w:rsidRPr="00812509" w:rsidRDefault="003C5A60"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2016 AQC</w:t>
            </w:r>
          </w:p>
        </w:tc>
        <w:tc>
          <w:tcPr>
            <w:tcW w:w="414" w:type="pct"/>
            <w:shd w:val="clear" w:color="auto" w:fill="92D050"/>
            <w:noWrap/>
          </w:tcPr>
          <w:p w:rsidR="003C5A60" w:rsidRPr="00812509" w:rsidRDefault="004D00B4"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3C5A60" w:rsidRPr="00812509" w:rsidRDefault="004D00B4"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92D050"/>
            <w:noWrap/>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C000"/>
            <w:noWrap/>
          </w:tcPr>
          <w:p w:rsidR="003C5A60" w:rsidRPr="00812509" w:rsidRDefault="00842720"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92D050"/>
            <w:noWrap/>
          </w:tcPr>
          <w:p w:rsidR="003C5A60" w:rsidRPr="00812509" w:rsidRDefault="004D00B4"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3C5A60" w:rsidRPr="00812509" w:rsidRDefault="004D00B4"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00"/>
          </w:tcPr>
          <w:p w:rsidR="003C5A60" w:rsidRPr="00812509" w:rsidRDefault="004D00B4"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4C70CC" w:rsidRPr="00C61187" w:rsidTr="00A74556">
        <w:trPr>
          <w:cnfStyle w:val="000000010000" w:firstRow="0" w:lastRow="0" w:firstColumn="0" w:lastColumn="0" w:oddVBand="0" w:evenVBand="0" w:oddHBand="0" w:evenHBand="1" w:firstRowFirstColumn="0" w:firstRowLastColumn="0" w:lastRowFirstColumn="0" w:lastRowLastColumn="0"/>
          <w:trHeight w:val="284"/>
        </w:trPr>
        <w:tc>
          <w:tcPr>
            <w:tcW w:w="900" w:type="pct"/>
            <w:vMerge/>
          </w:tcPr>
          <w:p w:rsidR="003C5A60" w:rsidRPr="00812509" w:rsidRDefault="003C5A60" w:rsidP="00217766">
            <w:pPr>
              <w:keepLines/>
              <w:spacing w:before="0" w:after="40" w:line="200" w:lineRule="atLeast"/>
              <w:rPr>
                <w:rFonts w:asciiTheme="minorHAnsi" w:eastAsia="Times New Roman" w:hAnsiTheme="minorHAnsi"/>
                <w:iCs/>
                <w:szCs w:val="17"/>
                <w:lang w:eastAsia="en-US"/>
              </w:rPr>
            </w:pPr>
          </w:p>
        </w:tc>
        <w:tc>
          <w:tcPr>
            <w:tcW w:w="652" w:type="pct"/>
            <w:vMerge/>
          </w:tcPr>
          <w:p w:rsidR="003C5A60" w:rsidRPr="00812509" w:rsidRDefault="003C5A60" w:rsidP="00217766">
            <w:pPr>
              <w:keepLines/>
              <w:spacing w:before="0" w:after="40" w:line="200" w:lineRule="atLeast"/>
              <w:rPr>
                <w:rFonts w:asciiTheme="minorHAnsi" w:eastAsia="Times New Roman" w:hAnsiTheme="minorHAnsi"/>
                <w:iCs/>
                <w:szCs w:val="17"/>
                <w:lang w:eastAsia="en-US"/>
              </w:rPr>
            </w:pPr>
          </w:p>
        </w:tc>
        <w:tc>
          <w:tcPr>
            <w:tcW w:w="412" w:type="pct"/>
          </w:tcPr>
          <w:p w:rsidR="003C5A60" w:rsidRPr="00812509" w:rsidRDefault="003C5A60"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2015 AQC</w:t>
            </w:r>
          </w:p>
        </w:tc>
        <w:tc>
          <w:tcPr>
            <w:tcW w:w="414" w:type="pct"/>
            <w:shd w:val="clear" w:color="auto" w:fill="92D050"/>
            <w:noWrap/>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shd w:val="clear" w:color="auto" w:fill="92D050"/>
            <w:noWrap/>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C000"/>
            <w:noWrap/>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4" w:type="pct"/>
            <w:shd w:val="clear" w:color="auto" w:fill="92D050"/>
            <w:noWrap/>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FFFF00"/>
            <w:noWrap/>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FFFF00"/>
          </w:tcPr>
          <w:p w:rsidR="003C5A60" w:rsidRPr="00812509" w:rsidRDefault="00891C9B"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A74556" w:rsidRPr="00C61187" w:rsidTr="00A74556">
        <w:trPr>
          <w:cnfStyle w:val="000000010000" w:firstRow="0" w:lastRow="0" w:firstColumn="0" w:lastColumn="0" w:oddVBand="0" w:evenVBand="0" w:oddHBand="0" w:evenHBand="1" w:firstRowFirstColumn="0" w:firstRowLastColumn="0" w:lastRowFirstColumn="0" w:lastRowLastColumn="0"/>
          <w:trHeight w:val="284"/>
        </w:trPr>
        <w:tc>
          <w:tcPr>
            <w:tcW w:w="900" w:type="pct"/>
            <w:vMerge w:val="restart"/>
            <w:tcBorders>
              <w:top w:val="single" w:sz="4" w:space="0" w:color="000000" w:themeColor="text1"/>
            </w:tcBorders>
          </w:tcPr>
          <w:p w:rsidR="00A74556" w:rsidRPr="00812509" w:rsidRDefault="00A74556" w:rsidP="00217766">
            <w:pPr>
              <w:keepLines/>
              <w:spacing w:before="0" w:after="40" w:line="200" w:lineRule="atLeast"/>
              <w:rPr>
                <w:rFonts w:asciiTheme="minorHAnsi" w:eastAsia="Times New Roman" w:hAnsiTheme="minorHAnsi"/>
                <w:iCs/>
                <w:szCs w:val="17"/>
                <w:lang w:eastAsia="en-US"/>
              </w:rPr>
            </w:pPr>
            <w:r w:rsidRPr="00A74556">
              <w:rPr>
                <w:rFonts w:asciiTheme="minorHAnsi" w:eastAsia="Times New Roman" w:hAnsiTheme="minorHAnsi"/>
                <w:iCs/>
                <w:szCs w:val="17"/>
                <w:lang w:eastAsia="en-US"/>
              </w:rPr>
              <w:t>I</w:t>
            </w:r>
            <w:r>
              <w:rPr>
                <w:rFonts w:asciiTheme="minorHAnsi" w:eastAsia="Times New Roman" w:hAnsiTheme="minorHAnsi"/>
                <w:iCs/>
                <w:szCs w:val="17"/>
                <w:lang w:eastAsia="en-US"/>
              </w:rPr>
              <w:t xml:space="preserve">NK327 </w:t>
            </w:r>
            <w:r w:rsidRPr="00A74556">
              <w:rPr>
                <w:rFonts w:asciiTheme="minorHAnsi" w:eastAsia="Times New Roman" w:hAnsiTheme="minorHAnsi"/>
                <w:iCs/>
                <w:szCs w:val="17"/>
                <w:lang w:eastAsia="en-US"/>
              </w:rPr>
              <w:t>Infrastructure</w:t>
            </w:r>
          </w:p>
        </w:tc>
        <w:tc>
          <w:tcPr>
            <w:tcW w:w="652" w:type="pct"/>
            <w:vMerge w:val="restart"/>
            <w:tcBorders>
              <w:top w:val="single" w:sz="4" w:space="0" w:color="000000" w:themeColor="text1"/>
            </w:tcBorders>
          </w:tcPr>
          <w:p w:rsidR="00A74556" w:rsidRDefault="00A74556"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w:t>
            </w:r>
            <w:r w:rsidRPr="003C60D2">
              <w:rPr>
                <w:rFonts w:asciiTheme="minorHAnsi" w:eastAsia="Times New Roman" w:hAnsiTheme="minorHAnsi"/>
                <w:iCs/>
                <w:szCs w:val="17"/>
                <w:lang w:eastAsia="en-US"/>
              </w:rPr>
              <w:t>34</w:t>
            </w:r>
            <w:r>
              <w:rPr>
                <w:rFonts w:asciiTheme="minorHAnsi" w:eastAsia="Times New Roman" w:hAnsiTheme="minorHAnsi"/>
                <w:iCs/>
                <w:szCs w:val="17"/>
                <w:lang w:eastAsia="en-US"/>
              </w:rPr>
              <w:t>.5m</w:t>
            </w:r>
          </w:p>
          <w:p w:rsidR="00A74556" w:rsidRPr="00812509" w:rsidRDefault="00A74556" w:rsidP="00217766">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2011-17</w:t>
            </w:r>
          </w:p>
        </w:tc>
        <w:tc>
          <w:tcPr>
            <w:tcW w:w="412" w:type="pct"/>
            <w:tcBorders>
              <w:top w:val="single" w:sz="4" w:space="0" w:color="000000" w:themeColor="text1"/>
            </w:tcBorders>
          </w:tcPr>
          <w:p w:rsidR="00A74556" w:rsidRPr="00812509" w:rsidRDefault="00A74556"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2016 AQC</w:t>
            </w:r>
          </w:p>
        </w:tc>
        <w:tc>
          <w:tcPr>
            <w:tcW w:w="414" w:type="pct"/>
            <w:tcBorders>
              <w:top w:val="single" w:sz="4" w:space="0" w:color="000000" w:themeColor="text1"/>
            </w:tcBorders>
            <w:shd w:val="clear" w:color="auto" w:fill="92D05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top w:val="single" w:sz="4" w:space="0" w:color="000000" w:themeColor="text1"/>
            </w:tcBorders>
            <w:shd w:val="clear" w:color="auto" w:fill="92D05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top w:val="single" w:sz="4" w:space="0" w:color="000000" w:themeColor="text1"/>
            </w:tcBorders>
            <w:shd w:val="clear" w:color="auto" w:fill="FFFF0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top w:val="single" w:sz="4" w:space="0" w:color="000000" w:themeColor="text1"/>
            </w:tcBorders>
            <w:shd w:val="clear" w:color="auto" w:fill="92D05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top w:val="single" w:sz="4" w:space="0" w:color="000000" w:themeColor="text1"/>
            </w:tcBorders>
            <w:shd w:val="clear" w:color="auto" w:fill="FFFF0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top w:val="single" w:sz="4" w:space="0" w:color="000000" w:themeColor="text1"/>
            </w:tcBorders>
            <w:shd w:val="clear" w:color="auto" w:fill="FFFF0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top w:val="single" w:sz="4" w:space="0" w:color="000000" w:themeColor="text1"/>
            </w:tcBorders>
            <w:shd w:val="clear" w:color="auto" w:fill="92D050"/>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A74556" w:rsidRPr="00C61187" w:rsidTr="00CC262D">
        <w:trPr>
          <w:cnfStyle w:val="000000010000" w:firstRow="0" w:lastRow="0" w:firstColumn="0" w:lastColumn="0" w:oddVBand="0" w:evenVBand="0" w:oddHBand="0" w:evenHBand="1" w:firstRowFirstColumn="0" w:firstRowLastColumn="0" w:lastRowFirstColumn="0" w:lastRowLastColumn="0"/>
          <w:trHeight w:val="284"/>
        </w:trPr>
        <w:tc>
          <w:tcPr>
            <w:tcW w:w="900" w:type="pct"/>
            <w:vMerge/>
          </w:tcPr>
          <w:p w:rsidR="00A74556" w:rsidRPr="00812509" w:rsidRDefault="00A74556" w:rsidP="00217766">
            <w:pPr>
              <w:keepLines/>
              <w:spacing w:before="0" w:after="40" w:line="200" w:lineRule="atLeast"/>
              <w:rPr>
                <w:rFonts w:asciiTheme="minorHAnsi" w:eastAsia="Times New Roman" w:hAnsiTheme="minorHAnsi"/>
                <w:iCs/>
                <w:szCs w:val="17"/>
                <w:lang w:eastAsia="en-US"/>
              </w:rPr>
            </w:pPr>
          </w:p>
        </w:tc>
        <w:tc>
          <w:tcPr>
            <w:tcW w:w="652" w:type="pct"/>
            <w:vMerge/>
          </w:tcPr>
          <w:p w:rsidR="00A74556" w:rsidRPr="00812509" w:rsidRDefault="00A74556" w:rsidP="00217766">
            <w:pPr>
              <w:keepLines/>
              <w:spacing w:before="0" w:after="40" w:line="200" w:lineRule="atLeast"/>
              <w:rPr>
                <w:rFonts w:asciiTheme="minorHAnsi" w:eastAsia="Times New Roman" w:hAnsiTheme="minorHAnsi"/>
                <w:iCs/>
                <w:szCs w:val="17"/>
                <w:lang w:eastAsia="en-US"/>
              </w:rPr>
            </w:pPr>
          </w:p>
        </w:tc>
        <w:tc>
          <w:tcPr>
            <w:tcW w:w="412" w:type="pct"/>
          </w:tcPr>
          <w:p w:rsidR="00A74556" w:rsidRPr="00812509" w:rsidRDefault="00A74556" w:rsidP="00217766">
            <w:pPr>
              <w:keepLines/>
              <w:spacing w:before="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2015 AQC</w:t>
            </w:r>
          </w:p>
        </w:tc>
        <w:tc>
          <w:tcPr>
            <w:tcW w:w="414" w:type="pct"/>
            <w:shd w:val="clear" w:color="auto" w:fill="92D05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shd w:val="clear" w:color="auto" w:fill="FFC00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1" w:type="pct"/>
            <w:shd w:val="clear" w:color="auto" w:fill="92D05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shd w:val="clear" w:color="auto" w:fill="FFFF00"/>
            <w:noWrap/>
          </w:tcPr>
          <w:p w:rsidR="00A74556" w:rsidRPr="00812509" w:rsidRDefault="00A74556"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shd w:val="clear" w:color="auto" w:fill="FFFF00"/>
            <w:noWrap/>
          </w:tcPr>
          <w:p w:rsidR="00A74556" w:rsidRPr="00812509" w:rsidRDefault="00CC262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92D050"/>
          </w:tcPr>
          <w:p w:rsidR="00A74556" w:rsidRPr="00812509" w:rsidRDefault="00CC262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842720" w:rsidRPr="00C61187" w:rsidTr="009723DE">
        <w:trPr>
          <w:cnfStyle w:val="000000010000" w:firstRow="0" w:lastRow="0" w:firstColumn="0" w:lastColumn="0" w:oddVBand="0" w:evenVBand="0" w:oddHBand="0" w:evenHBand="1" w:firstRowFirstColumn="0" w:firstRowLastColumn="0" w:lastRowFirstColumn="0" w:lastRowLastColumn="0"/>
          <w:trHeight w:val="284"/>
        </w:trPr>
        <w:tc>
          <w:tcPr>
            <w:tcW w:w="900" w:type="pct"/>
          </w:tcPr>
          <w:p w:rsidR="00842720" w:rsidRPr="00812509" w:rsidRDefault="00842720" w:rsidP="00217766">
            <w:pPr>
              <w:keepLines/>
              <w:spacing w:before="0" w:after="40" w:line="200" w:lineRule="atLeast"/>
              <w:rPr>
                <w:rFonts w:eastAsia="Times New Roman"/>
                <w:iCs/>
                <w:szCs w:val="17"/>
              </w:rPr>
            </w:pPr>
            <w:r w:rsidRPr="00217766">
              <w:rPr>
                <w:rFonts w:asciiTheme="minorHAnsi" w:eastAsia="Times New Roman" w:hAnsiTheme="minorHAnsi"/>
                <w:iCs/>
                <w:szCs w:val="17"/>
                <w:lang w:eastAsia="en-US"/>
              </w:rPr>
              <w:t>INJ469 Climate Change</w:t>
            </w:r>
          </w:p>
        </w:tc>
        <w:tc>
          <w:tcPr>
            <w:tcW w:w="652" w:type="pct"/>
          </w:tcPr>
          <w:p w:rsidR="00842720" w:rsidRPr="00217766" w:rsidRDefault="00842720" w:rsidP="00217766">
            <w:pPr>
              <w:keepLines/>
              <w:spacing w:before="0" w:after="40" w:line="200" w:lineRule="atLeast"/>
              <w:rPr>
                <w:rFonts w:asciiTheme="minorHAnsi" w:eastAsia="Times New Roman" w:hAnsiTheme="minorHAnsi"/>
                <w:iCs/>
                <w:szCs w:val="17"/>
                <w:lang w:eastAsia="en-US"/>
              </w:rPr>
            </w:pPr>
            <w:r w:rsidRPr="00217766">
              <w:rPr>
                <w:rFonts w:asciiTheme="minorHAnsi" w:eastAsia="Times New Roman" w:hAnsiTheme="minorHAnsi"/>
                <w:iCs/>
                <w:szCs w:val="17"/>
                <w:lang w:eastAsia="en-US"/>
              </w:rPr>
              <w:t>$5.1 m</w:t>
            </w:r>
            <w:r>
              <w:rPr>
                <w:rFonts w:asciiTheme="minorHAnsi" w:eastAsia="Times New Roman" w:hAnsiTheme="minorHAnsi"/>
                <w:iCs/>
                <w:szCs w:val="17"/>
                <w:lang w:eastAsia="en-US"/>
              </w:rPr>
              <w:br/>
            </w:r>
            <w:r w:rsidRPr="00217766">
              <w:rPr>
                <w:rFonts w:asciiTheme="minorHAnsi" w:eastAsia="Times New Roman" w:hAnsiTheme="minorHAnsi"/>
                <w:iCs/>
                <w:szCs w:val="17"/>
                <w:lang w:eastAsia="en-US"/>
              </w:rPr>
              <w:t>2011-16</w:t>
            </w:r>
          </w:p>
        </w:tc>
        <w:tc>
          <w:tcPr>
            <w:tcW w:w="412" w:type="pct"/>
          </w:tcPr>
          <w:p w:rsidR="00842720" w:rsidRPr="00812509" w:rsidRDefault="00842720" w:rsidP="00217766">
            <w:pPr>
              <w:keepLines/>
              <w:spacing w:before="0" w:after="40" w:line="200" w:lineRule="atLeast"/>
              <w:rPr>
                <w:rFonts w:eastAsia="Times New Roman"/>
                <w:iCs/>
                <w:szCs w:val="17"/>
              </w:rPr>
            </w:pPr>
            <w:r w:rsidRPr="00812509">
              <w:rPr>
                <w:rFonts w:asciiTheme="minorHAnsi" w:eastAsia="Times New Roman" w:hAnsiTheme="minorHAnsi"/>
                <w:iCs/>
                <w:szCs w:val="17"/>
                <w:lang w:eastAsia="en-US"/>
              </w:rPr>
              <w:t>2016 AQC</w:t>
            </w:r>
          </w:p>
        </w:tc>
        <w:tc>
          <w:tcPr>
            <w:tcW w:w="414" w:type="pct"/>
            <w:shd w:val="clear" w:color="auto" w:fill="92D050"/>
            <w:noWrap/>
          </w:tcPr>
          <w:p w:rsidR="00842720" w:rsidRPr="000840F4" w:rsidRDefault="00842720" w:rsidP="000840F4">
            <w:pPr>
              <w:keepLines/>
              <w:spacing w:before="0" w:after="40" w:line="200" w:lineRule="atLeast"/>
              <w:jc w:val="center"/>
              <w:rPr>
                <w:rFonts w:asciiTheme="minorHAnsi" w:eastAsia="Times New Roman" w:hAnsiTheme="minorHAnsi"/>
                <w:iCs/>
                <w:szCs w:val="17"/>
                <w:lang w:eastAsia="en-US"/>
              </w:rPr>
            </w:pPr>
            <w:r w:rsidRPr="00217766">
              <w:rPr>
                <w:rFonts w:asciiTheme="minorHAnsi" w:eastAsia="Times New Roman" w:hAnsiTheme="minorHAnsi"/>
                <w:iCs/>
                <w:szCs w:val="17"/>
                <w:lang w:eastAsia="en-US"/>
              </w:rPr>
              <w:t>5</w:t>
            </w:r>
          </w:p>
        </w:tc>
        <w:tc>
          <w:tcPr>
            <w:tcW w:w="411" w:type="pct"/>
            <w:shd w:val="clear" w:color="auto" w:fill="FFFF00"/>
            <w:noWrap/>
          </w:tcPr>
          <w:p w:rsidR="00842720" w:rsidRPr="000840F4" w:rsidRDefault="00842720" w:rsidP="000840F4">
            <w:pPr>
              <w:keepLines/>
              <w:spacing w:before="0" w:after="40" w:line="200" w:lineRule="atLeast"/>
              <w:jc w:val="center"/>
              <w:rPr>
                <w:rFonts w:asciiTheme="minorHAnsi" w:eastAsia="Times New Roman" w:hAnsiTheme="minorHAnsi"/>
                <w:iCs/>
                <w:szCs w:val="17"/>
                <w:lang w:eastAsia="en-US"/>
              </w:rPr>
            </w:pPr>
            <w:r w:rsidRPr="000840F4">
              <w:rPr>
                <w:rFonts w:asciiTheme="minorHAnsi" w:eastAsia="Times New Roman" w:hAnsiTheme="minorHAnsi"/>
                <w:iCs/>
                <w:szCs w:val="17"/>
                <w:lang w:eastAsia="en-US"/>
              </w:rPr>
              <w:t>4</w:t>
            </w:r>
          </w:p>
        </w:tc>
        <w:tc>
          <w:tcPr>
            <w:tcW w:w="414" w:type="pct"/>
            <w:shd w:val="clear" w:color="auto" w:fill="FFC000"/>
            <w:noWrap/>
          </w:tcPr>
          <w:p w:rsidR="00842720" w:rsidRPr="000840F4" w:rsidRDefault="00842720" w:rsidP="000840F4">
            <w:pPr>
              <w:keepLines/>
              <w:spacing w:before="0" w:after="40" w:line="200" w:lineRule="atLeast"/>
              <w:jc w:val="center"/>
              <w:rPr>
                <w:rFonts w:asciiTheme="minorHAnsi" w:eastAsia="Times New Roman" w:hAnsiTheme="minorHAnsi"/>
                <w:iCs/>
                <w:szCs w:val="17"/>
                <w:lang w:eastAsia="en-US"/>
              </w:rPr>
            </w:pPr>
            <w:r w:rsidRPr="000840F4">
              <w:rPr>
                <w:rFonts w:asciiTheme="minorHAnsi" w:eastAsia="Times New Roman" w:hAnsiTheme="minorHAnsi"/>
                <w:iCs/>
                <w:szCs w:val="17"/>
                <w:lang w:eastAsia="en-US"/>
              </w:rPr>
              <w:t>3</w:t>
            </w:r>
          </w:p>
        </w:tc>
        <w:tc>
          <w:tcPr>
            <w:tcW w:w="411" w:type="pct"/>
            <w:shd w:val="clear" w:color="auto" w:fill="FFFF00"/>
            <w:noWrap/>
          </w:tcPr>
          <w:p w:rsidR="00842720" w:rsidRPr="000840F4" w:rsidRDefault="00842720" w:rsidP="000840F4">
            <w:pPr>
              <w:keepLines/>
              <w:spacing w:before="0" w:after="40" w:line="200" w:lineRule="atLeast"/>
              <w:jc w:val="center"/>
              <w:rPr>
                <w:rFonts w:asciiTheme="minorHAnsi" w:eastAsia="Times New Roman" w:hAnsiTheme="minorHAnsi"/>
                <w:iCs/>
                <w:szCs w:val="17"/>
                <w:lang w:eastAsia="en-US"/>
              </w:rPr>
            </w:pPr>
            <w:r w:rsidRPr="000840F4">
              <w:rPr>
                <w:rFonts w:asciiTheme="minorHAnsi" w:eastAsia="Times New Roman" w:hAnsiTheme="minorHAnsi"/>
                <w:iCs/>
                <w:szCs w:val="17"/>
                <w:lang w:eastAsia="en-US"/>
              </w:rPr>
              <w:t>4</w:t>
            </w:r>
          </w:p>
        </w:tc>
        <w:tc>
          <w:tcPr>
            <w:tcW w:w="414" w:type="pct"/>
            <w:shd w:val="clear" w:color="auto" w:fill="FFFF00"/>
            <w:noWrap/>
          </w:tcPr>
          <w:p w:rsidR="00842720" w:rsidRPr="000840F4" w:rsidRDefault="00842720" w:rsidP="000840F4">
            <w:pPr>
              <w:keepLines/>
              <w:spacing w:before="0" w:after="40" w:line="200" w:lineRule="atLeast"/>
              <w:jc w:val="center"/>
              <w:rPr>
                <w:rFonts w:asciiTheme="minorHAnsi" w:eastAsia="Times New Roman" w:hAnsiTheme="minorHAnsi"/>
                <w:iCs/>
                <w:szCs w:val="17"/>
                <w:lang w:eastAsia="en-US"/>
              </w:rPr>
            </w:pPr>
            <w:r w:rsidRPr="000840F4">
              <w:rPr>
                <w:rFonts w:asciiTheme="minorHAnsi" w:eastAsia="Times New Roman" w:hAnsiTheme="minorHAnsi"/>
                <w:iCs/>
                <w:szCs w:val="17"/>
                <w:lang w:eastAsia="en-US"/>
              </w:rPr>
              <w:t>4</w:t>
            </w:r>
          </w:p>
        </w:tc>
        <w:tc>
          <w:tcPr>
            <w:tcW w:w="411" w:type="pct"/>
            <w:shd w:val="clear" w:color="auto" w:fill="92D050"/>
            <w:noWrap/>
          </w:tcPr>
          <w:p w:rsidR="00842720" w:rsidRPr="000840F4" w:rsidRDefault="00842720" w:rsidP="000840F4">
            <w:pPr>
              <w:keepLines/>
              <w:spacing w:before="0" w:after="40" w:line="200" w:lineRule="atLeast"/>
              <w:jc w:val="center"/>
              <w:rPr>
                <w:rFonts w:asciiTheme="minorHAnsi" w:eastAsia="Times New Roman" w:hAnsiTheme="minorHAnsi"/>
                <w:iCs/>
                <w:szCs w:val="17"/>
                <w:lang w:eastAsia="en-US"/>
              </w:rPr>
            </w:pPr>
            <w:r w:rsidRPr="000840F4">
              <w:rPr>
                <w:rFonts w:asciiTheme="minorHAnsi" w:eastAsia="Times New Roman" w:hAnsiTheme="minorHAnsi"/>
                <w:iCs/>
                <w:szCs w:val="17"/>
                <w:lang w:eastAsia="en-US"/>
              </w:rPr>
              <w:t>5</w:t>
            </w:r>
          </w:p>
        </w:tc>
        <w:tc>
          <w:tcPr>
            <w:tcW w:w="408" w:type="pct"/>
            <w:shd w:val="clear" w:color="auto" w:fill="FFFF00"/>
          </w:tcPr>
          <w:p w:rsidR="00842720" w:rsidRPr="000840F4" w:rsidRDefault="00842720" w:rsidP="000840F4">
            <w:pPr>
              <w:keepLines/>
              <w:spacing w:before="0" w:after="40" w:line="200" w:lineRule="atLeast"/>
              <w:jc w:val="center"/>
              <w:rPr>
                <w:rFonts w:asciiTheme="minorHAnsi" w:eastAsia="Times New Roman" w:hAnsiTheme="minorHAnsi"/>
                <w:iCs/>
                <w:szCs w:val="17"/>
                <w:lang w:eastAsia="en-US"/>
              </w:rPr>
            </w:pPr>
            <w:r w:rsidRPr="000840F4">
              <w:rPr>
                <w:rFonts w:asciiTheme="minorHAnsi" w:eastAsia="Times New Roman" w:hAnsiTheme="minorHAnsi"/>
                <w:iCs/>
                <w:szCs w:val="17"/>
                <w:lang w:eastAsia="en-US"/>
              </w:rPr>
              <w:t>4</w:t>
            </w:r>
          </w:p>
        </w:tc>
      </w:tr>
    </w:tbl>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FAQC ratings </w:t>
      </w:r>
    </w:p>
    <w:p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71"/>
        <w:gridCol w:w="1284"/>
        <w:gridCol w:w="823"/>
        <w:gridCol w:w="821"/>
        <w:gridCol w:w="823"/>
        <w:gridCol w:w="821"/>
        <w:gridCol w:w="823"/>
        <w:gridCol w:w="821"/>
        <w:gridCol w:w="823"/>
        <w:gridCol w:w="828"/>
      </w:tblGrid>
      <w:tr w:rsidR="00A8197B" w:rsidRPr="00812509" w:rsidTr="005C36FD">
        <w:trPr>
          <w:cnfStyle w:val="000000010000" w:firstRow="0" w:lastRow="0" w:firstColumn="0" w:lastColumn="0" w:oddVBand="0" w:evenVBand="0" w:oddHBand="0" w:evenHBand="1" w:firstRowFirstColumn="0" w:firstRowLastColumn="0" w:lastRowFirstColumn="0" w:lastRowLastColumn="0"/>
          <w:trHeight w:val="1505"/>
        </w:trPr>
        <w:tc>
          <w:tcPr>
            <w:tcW w:w="897"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66BA5AC7" wp14:editId="163975D0">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3"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2"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3"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2"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3"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2"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3"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8"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3B5809" w:rsidRPr="00812509" w:rsidTr="003B5809">
        <w:trPr>
          <w:cnfStyle w:val="000000010000" w:firstRow="0" w:lastRow="0" w:firstColumn="0" w:lastColumn="0" w:oddVBand="0" w:evenVBand="0" w:oddHBand="0" w:evenHBand="1" w:firstRowFirstColumn="0" w:firstRowLastColumn="0" w:lastRowFirstColumn="0" w:lastRowLastColumn="0"/>
          <w:trHeight w:val="284"/>
        </w:trPr>
        <w:tc>
          <w:tcPr>
            <w:tcW w:w="897" w:type="pct"/>
          </w:tcPr>
          <w:p w:rsidR="00A8197B" w:rsidRPr="00812509" w:rsidRDefault="005C36FD" w:rsidP="00217766">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INI620 Improved Basic Education</w:t>
            </w:r>
          </w:p>
        </w:tc>
        <w:tc>
          <w:tcPr>
            <w:tcW w:w="652" w:type="pct"/>
          </w:tcPr>
          <w:p w:rsidR="00A8197B" w:rsidRPr="00812509" w:rsidRDefault="00A8197B" w:rsidP="009723DE">
            <w:pPr>
              <w:autoSpaceDE w:val="0"/>
              <w:autoSpaceDN w:val="0"/>
              <w:adjustRightInd w:val="0"/>
              <w:spacing w:before="0"/>
              <w:rPr>
                <w:rFonts w:asciiTheme="minorHAnsi" w:eastAsia="Times New Roman" w:hAnsiTheme="minorHAnsi"/>
                <w:iCs/>
                <w:szCs w:val="17"/>
                <w:lang w:eastAsia="en-US"/>
              </w:rPr>
            </w:pPr>
            <w:r w:rsidRPr="00812509">
              <w:rPr>
                <w:rFonts w:asciiTheme="minorHAnsi" w:hAnsiTheme="minorHAnsi" w:cs="Franklin Gothic Book"/>
                <w:color w:val="000000"/>
                <w:szCs w:val="17"/>
              </w:rPr>
              <w:t>$</w:t>
            </w:r>
            <w:r w:rsidR="00665A00">
              <w:rPr>
                <w:rFonts w:asciiTheme="minorHAnsi" w:hAnsiTheme="minorHAnsi" w:cs="Franklin Gothic Book"/>
                <w:color w:val="000000"/>
                <w:szCs w:val="17"/>
              </w:rPr>
              <w:t>41.6m</w:t>
            </w:r>
            <w:r w:rsidR="009723DE">
              <w:rPr>
                <w:rFonts w:asciiTheme="minorHAnsi" w:hAnsiTheme="minorHAnsi" w:cs="Franklin Gothic Book"/>
                <w:color w:val="000000"/>
                <w:szCs w:val="17"/>
              </w:rPr>
              <w:br/>
            </w:r>
            <w:r w:rsidRPr="00812509">
              <w:rPr>
                <w:rFonts w:asciiTheme="minorHAnsi" w:eastAsia="Times New Roman" w:hAnsiTheme="minorHAnsi"/>
                <w:iCs/>
                <w:szCs w:val="17"/>
                <w:lang w:eastAsia="en-US"/>
              </w:rPr>
              <w:t>20</w:t>
            </w:r>
            <w:r w:rsidR="003B5809">
              <w:rPr>
                <w:rFonts w:asciiTheme="minorHAnsi" w:eastAsia="Times New Roman" w:hAnsiTheme="minorHAnsi"/>
                <w:iCs/>
                <w:szCs w:val="17"/>
                <w:lang w:eastAsia="en-US"/>
              </w:rPr>
              <w:t>09</w:t>
            </w:r>
            <w:r w:rsidRPr="00812509">
              <w:rPr>
                <w:rFonts w:asciiTheme="minorHAnsi" w:eastAsia="Times New Roman" w:hAnsiTheme="minorHAnsi"/>
                <w:iCs/>
                <w:szCs w:val="17"/>
                <w:lang w:eastAsia="en-US"/>
              </w:rPr>
              <w:t>-1</w:t>
            </w:r>
            <w:r w:rsidR="003B5809">
              <w:rPr>
                <w:rFonts w:asciiTheme="minorHAnsi" w:eastAsia="Times New Roman" w:hAnsiTheme="minorHAnsi"/>
                <w:iCs/>
                <w:szCs w:val="17"/>
                <w:lang w:eastAsia="en-US"/>
              </w:rPr>
              <w:t>6</w:t>
            </w:r>
            <w:r w:rsidRPr="00812509">
              <w:rPr>
                <w:rFonts w:asciiTheme="minorHAnsi" w:eastAsia="Times New Roman" w:hAnsiTheme="minorHAnsi"/>
                <w:iCs/>
                <w:szCs w:val="17"/>
                <w:lang w:eastAsia="en-US"/>
              </w:rPr>
              <w:t xml:space="preserve"> </w:t>
            </w:r>
          </w:p>
        </w:tc>
        <w:tc>
          <w:tcPr>
            <w:tcW w:w="413" w:type="pct"/>
            <w:shd w:val="clear" w:color="auto" w:fill="92D050"/>
            <w:noWrap/>
          </w:tcPr>
          <w:p w:rsidR="00A8197B" w:rsidRPr="00812509" w:rsidRDefault="003B5809"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noWrap/>
          </w:tcPr>
          <w:p w:rsidR="00A8197B"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92D050"/>
            <w:noWrap/>
          </w:tcPr>
          <w:p w:rsidR="00A8197B"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noWrap/>
          </w:tcPr>
          <w:p w:rsidR="00A8197B"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92D050"/>
            <w:noWrap/>
          </w:tcPr>
          <w:p w:rsidR="00A8197B"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2" w:type="pct"/>
            <w:shd w:val="clear" w:color="auto" w:fill="92D050"/>
            <w:noWrap/>
          </w:tcPr>
          <w:p w:rsidR="00A8197B"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FFFF00"/>
          </w:tcPr>
          <w:p w:rsidR="00A8197B"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shd w:val="clear" w:color="auto" w:fill="92D050"/>
          </w:tcPr>
          <w:p w:rsidR="00A8197B" w:rsidRPr="00812509" w:rsidRDefault="003B5809"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5C36FD" w:rsidRPr="00812509" w:rsidTr="009723DE">
        <w:trPr>
          <w:cnfStyle w:val="000000010000" w:firstRow="0" w:lastRow="0" w:firstColumn="0" w:lastColumn="0" w:oddVBand="0" w:evenVBand="0" w:oddHBand="0" w:evenHBand="1" w:firstRowFirstColumn="0" w:firstRowLastColumn="0" w:lastRowFirstColumn="0" w:lastRowLastColumn="0"/>
          <w:trHeight w:val="416"/>
        </w:trPr>
        <w:tc>
          <w:tcPr>
            <w:tcW w:w="897" w:type="pct"/>
          </w:tcPr>
          <w:p w:rsidR="005C36FD" w:rsidRPr="00812509" w:rsidRDefault="005C36FD" w:rsidP="00217766">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INJ197 Workforce Skills Development</w:t>
            </w:r>
          </w:p>
        </w:tc>
        <w:tc>
          <w:tcPr>
            <w:tcW w:w="652" w:type="pct"/>
          </w:tcPr>
          <w:p w:rsidR="005C36FD" w:rsidRPr="00812509" w:rsidRDefault="005C36FD" w:rsidP="009723DE">
            <w:pPr>
              <w:autoSpaceDE w:val="0"/>
              <w:autoSpaceDN w:val="0"/>
              <w:adjustRightInd w:val="0"/>
              <w:spacing w:before="0"/>
              <w:rPr>
                <w:rFonts w:asciiTheme="minorHAnsi" w:eastAsia="Times New Roman" w:hAnsiTheme="minorHAnsi"/>
                <w:iCs/>
                <w:szCs w:val="17"/>
                <w:lang w:eastAsia="en-US"/>
              </w:rPr>
            </w:pPr>
            <w:r>
              <w:rPr>
                <w:rFonts w:asciiTheme="minorHAnsi" w:hAnsiTheme="minorHAnsi" w:cs="Franklin Gothic Book"/>
                <w:color w:val="000000"/>
                <w:szCs w:val="17"/>
              </w:rPr>
              <w:t>$26</w:t>
            </w:r>
            <w:r w:rsidRPr="00812509">
              <w:rPr>
                <w:rFonts w:asciiTheme="minorHAnsi" w:hAnsiTheme="minorHAnsi" w:cs="Franklin Gothic Book"/>
                <w:color w:val="000000"/>
                <w:szCs w:val="17"/>
              </w:rPr>
              <w:t>.</w:t>
            </w:r>
            <w:r>
              <w:rPr>
                <w:rFonts w:asciiTheme="minorHAnsi" w:hAnsiTheme="minorHAnsi" w:cs="Franklin Gothic Book"/>
                <w:color w:val="000000"/>
                <w:szCs w:val="17"/>
              </w:rPr>
              <w:t>5</w:t>
            </w:r>
            <w:r w:rsidRPr="00812509">
              <w:rPr>
                <w:rFonts w:asciiTheme="minorHAnsi" w:hAnsiTheme="minorHAnsi" w:cs="Franklin Gothic Book"/>
                <w:color w:val="000000"/>
                <w:szCs w:val="17"/>
              </w:rPr>
              <w:t xml:space="preserve">m </w:t>
            </w:r>
            <w:r w:rsidR="009723DE">
              <w:rPr>
                <w:rFonts w:asciiTheme="minorHAnsi" w:hAnsiTheme="minorHAnsi" w:cs="Franklin Gothic Book"/>
                <w:color w:val="000000"/>
                <w:szCs w:val="17"/>
              </w:rPr>
              <w:br/>
            </w:r>
            <w:r>
              <w:rPr>
                <w:rFonts w:asciiTheme="minorHAnsi" w:eastAsia="Times New Roman" w:hAnsiTheme="minorHAnsi"/>
                <w:iCs/>
                <w:szCs w:val="17"/>
                <w:lang w:eastAsia="en-US"/>
              </w:rPr>
              <w:t>2010-16</w:t>
            </w:r>
            <w:r w:rsidRPr="00812509">
              <w:rPr>
                <w:rFonts w:asciiTheme="minorHAnsi" w:eastAsia="Times New Roman" w:hAnsiTheme="minorHAnsi"/>
                <w:iCs/>
                <w:szCs w:val="17"/>
                <w:lang w:eastAsia="en-US"/>
              </w:rPr>
              <w:t xml:space="preserve"> </w:t>
            </w:r>
          </w:p>
        </w:tc>
        <w:tc>
          <w:tcPr>
            <w:tcW w:w="413" w:type="pct"/>
            <w:shd w:val="clear" w:color="auto" w:fill="FFFF00"/>
            <w:noWrap/>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noWrap/>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3" w:type="pct"/>
            <w:shd w:val="clear" w:color="auto" w:fill="FFFF00"/>
            <w:noWrap/>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2" w:type="pct"/>
            <w:shd w:val="clear" w:color="auto" w:fill="92D050"/>
            <w:noWrap/>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FFC000"/>
            <w:noWrap/>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2" w:type="pct"/>
            <w:shd w:val="clear" w:color="auto" w:fill="FFFF00"/>
            <w:noWrap/>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shd w:val="clear" w:color="auto" w:fill="FFFF00"/>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8" w:type="pct"/>
            <w:shd w:val="clear" w:color="auto" w:fill="FFFF00"/>
          </w:tcPr>
          <w:p w:rsidR="005C36FD" w:rsidRPr="00812509" w:rsidRDefault="005C36FD" w:rsidP="00217766">
            <w:pPr>
              <w:keepLines/>
              <w:spacing w:before="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015316" w:rsidRDefault="00A8197B" w:rsidP="00CC262D">
      <w:pPr>
        <w:spacing w:before="20" w:after="20" w:line="180" w:lineRule="atLeast"/>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sectPr w:rsidR="00015316" w:rsidSect="00444806">
      <w:headerReference w:type="default" r:id="rId21"/>
      <w:pgSz w:w="11906" w:h="16838" w:code="9"/>
      <w:pgMar w:top="1527" w:right="1134" w:bottom="851" w:left="1134" w:header="1418" w:footer="192" w:gutter="0"/>
      <w:cols w:space="39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44B" w:rsidRDefault="0056744B" w:rsidP="00EF4574">
      <w:pPr>
        <w:spacing w:before="0" w:after="0" w:line="240" w:lineRule="auto"/>
      </w:pPr>
      <w:r>
        <w:separator/>
      </w:r>
    </w:p>
  </w:endnote>
  <w:endnote w:type="continuationSeparator" w:id="0">
    <w:p w:rsidR="0056744B" w:rsidRDefault="0056744B" w:rsidP="00EF4574">
      <w:pPr>
        <w:spacing w:before="0" w:after="0" w:line="240" w:lineRule="auto"/>
      </w:pPr>
      <w:r>
        <w:continuationSeparator/>
      </w:r>
    </w:p>
  </w:endnote>
  <w:endnote w:type="continuationNotice" w:id="1">
    <w:p w:rsidR="0056744B" w:rsidRDefault="005674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71" w:rsidRDefault="00FD7E71" w:rsidP="004839E3">
    <w:pPr>
      <w:pStyle w:val="Footer"/>
      <w:rPr>
        <w:lang w:val="en-AU"/>
      </w:rPr>
    </w:pPr>
  </w:p>
  <w:p w:rsidR="00FD7E71" w:rsidRDefault="00FD7E71" w:rsidP="004839E3">
    <w:pPr>
      <w:pStyle w:val="Footer"/>
    </w:pPr>
  </w:p>
  <w:p w:rsidR="00FD7E71" w:rsidRPr="00CD0E4B" w:rsidRDefault="00FD7E71" w:rsidP="004839E3">
    <w:pPr>
      <w:pStyle w:val="Footer"/>
    </w:pPr>
    <w:r w:rsidRPr="00CD0E4B">
      <w:rPr>
        <w:noProof/>
        <w:lang w:val="en-AU" w:eastAsia="en-AU"/>
      </w:rPr>
      <w:drawing>
        <wp:inline distT="0" distB="0" distL="0" distR="0" wp14:anchorId="73AE009E" wp14:editId="755AA043">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FD7E71" w:rsidRPr="00CD0E4B" w:rsidRDefault="00FD7E71" w:rsidP="004839E3">
    <w:pPr>
      <w:pStyle w:val="Footer"/>
      <w:rPr>
        <w:color w:val="ACD08C" w:themeColor="accent3"/>
      </w:rPr>
    </w:pPr>
    <w:r w:rsidRPr="00CD0E4B">
      <w:rPr>
        <w:color w:val="ACD08C" w:themeColor="accent3"/>
      </w:rPr>
      <w:t>DFAT.GOV.AU</w:t>
    </w:r>
  </w:p>
  <w:p w:rsidR="00FD7E71" w:rsidRPr="004839E3" w:rsidRDefault="00FD7E71" w:rsidP="004839E3">
    <w:pPr>
      <w:pStyle w:val="Footer"/>
      <w:rPr>
        <w:lang w:val="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71" w:rsidRPr="004839E3" w:rsidRDefault="00FD7E71"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69BA7546" wp14:editId="3131F9D6">
          <wp:extent cx="90000" cy="74520"/>
          <wp:effectExtent l="0" t="0" r="571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FD7E71" w:rsidRDefault="00FD7E71" w:rsidP="004839E3">
    <w:pPr>
      <w:spacing w:before="0" w:after="0" w:line="240" w:lineRule="exact"/>
      <w:ind w:right="284"/>
      <w:jc w:val="right"/>
    </w:pPr>
    <w:r w:rsidRPr="004839E3">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44B" w:rsidRPr="008C5A0E" w:rsidRDefault="0056744B" w:rsidP="001D663E">
      <w:pPr>
        <w:pStyle w:val="Footer"/>
        <w:pBdr>
          <w:top w:val="single" w:sz="4" w:space="1" w:color="495965" w:themeColor="text2"/>
        </w:pBdr>
      </w:pPr>
    </w:p>
  </w:footnote>
  <w:footnote w:type="continuationSeparator" w:id="0">
    <w:p w:rsidR="0056744B" w:rsidRDefault="0056744B" w:rsidP="00EF4574">
      <w:pPr>
        <w:spacing w:before="0" w:after="0" w:line="240" w:lineRule="auto"/>
      </w:pPr>
      <w:r>
        <w:continuationSeparator/>
      </w:r>
    </w:p>
  </w:footnote>
  <w:footnote w:type="continuationNotice" w:id="1">
    <w:p w:rsidR="0056744B" w:rsidRDefault="0056744B">
      <w:pPr>
        <w:spacing w:before="0" w:after="0" w:line="240" w:lineRule="auto"/>
      </w:pPr>
    </w:p>
  </w:footnote>
  <w:footnote w:id="2">
    <w:p w:rsidR="00FD7E71" w:rsidRDefault="00FD7E71" w:rsidP="008900BD">
      <w:pPr>
        <w:pStyle w:val="FootnoteText"/>
        <w:spacing w:before="0"/>
        <w:rPr>
          <w:sz w:val="16"/>
          <w:szCs w:val="16"/>
        </w:rPr>
      </w:pPr>
      <w:r w:rsidRPr="00EE7F11">
        <w:rPr>
          <w:rStyle w:val="FootnoteReference"/>
          <w:sz w:val="16"/>
          <w:szCs w:val="16"/>
        </w:rPr>
        <w:footnoteRef/>
      </w:r>
      <w:r w:rsidRPr="00EE7F11">
        <w:rPr>
          <w:sz w:val="16"/>
          <w:szCs w:val="16"/>
        </w:rPr>
        <w:t xml:space="preserve"> In 2014 Kiribati’s Gross Domestic Product was USD166.8 million: </w:t>
      </w:r>
      <w:hyperlink r:id="rId1" w:history="1">
        <w:r w:rsidRPr="00EE7F11">
          <w:rPr>
            <w:rStyle w:val="Hyperlink"/>
            <w:sz w:val="16"/>
            <w:szCs w:val="16"/>
          </w:rPr>
          <w:t>http://data.worldbank.org/country/kiribati</w:t>
        </w:r>
      </w:hyperlink>
      <w:r w:rsidRPr="00EE7F11">
        <w:rPr>
          <w:sz w:val="16"/>
          <w:szCs w:val="16"/>
        </w:rPr>
        <w:t>. As of 1 August 2015, 1AUD = USD1.32.</w:t>
      </w:r>
    </w:p>
    <w:p w:rsidR="0042660D" w:rsidRDefault="0042660D" w:rsidP="008900BD">
      <w:pPr>
        <w:pStyle w:val="FootnoteText"/>
        <w:spacing w:before="0"/>
        <w:rPr>
          <w:sz w:val="16"/>
          <w:szCs w:val="16"/>
        </w:rPr>
      </w:pPr>
    </w:p>
    <w:p w:rsidR="0042660D" w:rsidRPr="00EE7F11" w:rsidRDefault="0042660D" w:rsidP="008900BD">
      <w:pPr>
        <w:pStyle w:val="FootnoteText"/>
        <w:spacing w:before="0"/>
        <w:rPr>
          <w:sz w:val="16"/>
          <w:szCs w:val="16"/>
        </w:rPr>
      </w:pPr>
    </w:p>
  </w:footnote>
  <w:footnote w:id="3">
    <w:p w:rsidR="00FD7E71" w:rsidRPr="00EE7F11" w:rsidRDefault="00FD7E71" w:rsidP="007D4424">
      <w:pPr>
        <w:rPr>
          <w:sz w:val="16"/>
          <w:szCs w:val="16"/>
        </w:rPr>
      </w:pPr>
      <w:r w:rsidRPr="00EE7F11">
        <w:rPr>
          <w:rStyle w:val="FootnoteReference"/>
          <w:sz w:val="16"/>
          <w:szCs w:val="16"/>
        </w:rPr>
        <w:footnoteRef/>
      </w:r>
      <w:r w:rsidRPr="00EE7F11">
        <w:rPr>
          <w:sz w:val="16"/>
          <w:szCs w:val="16"/>
        </w:rPr>
        <w:t xml:space="preserve"> The European Union “Yellow Card” warning reflects its significant concerns about Kiribati’s capacity to control compatible ‘Illegal, Unreported and Unregulated’ fishing activities by foreign fleets, including concerns about the traceability of fish caught in Kiribati waters and the lack of information on its licensed vessels.  The European Union has drafted an action plan for Kiribati, which if not addressed, could lead to the European Union taking further steps, including trade sanctions on fisheries imports. </w:t>
      </w:r>
    </w:p>
    <w:p w:rsidR="00FD7E71" w:rsidRPr="007D4424" w:rsidRDefault="00FD7E71">
      <w:pPr>
        <w:pStyle w:val="FootnoteText"/>
        <w:rPr>
          <w:lang w:val="en-AU"/>
        </w:rPr>
      </w:pPr>
    </w:p>
  </w:footnote>
  <w:footnote w:id="4">
    <w:p w:rsidR="00FD7E71" w:rsidRPr="00EE7F11" w:rsidRDefault="00FD7E71" w:rsidP="008D5BB6">
      <w:pPr>
        <w:spacing w:after="200" w:line="276" w:lineRule="auto"/>
        <w:rPr>
          <w:rFonts w:ascii="Helvetica" w:eastAsia="Times New Roman" w:hAnsi="Helvetica" w:cs="Arial"/>
          <w:color w:val="007FAD"/>
          <w:spacing w:val="-10"/>
          <w:kern w:val="28"/>
          <w:sz w:val="16"/>
          <w:szCs w:val="16"/>
        </w:rPr>
      </w:pPr>
      <w:r w:rsidRPr="00EE7F11">
        <w:rPr>
          <w:rStyle w:val="FootnoteReference"/>
          <w:sz w:val="16"/>
          <w:szCs w:val="16"/>
        </w:rPr>
        <w:footnoteRef/>
      </w:r>
      <w:r w:rsidRPr="00EE7F11">
        <w:rPr>
          <w:sz w:val="16"/>
          <w:szCs w:val="16"/>
        </w:rPr>
        <w:t xml:space="preserve"> Refer to the </w:t>
      </w:r>
      <w:r w:rsidRPr="00EE7F11">
        <w:rPr>
          <w:i/>
          <w:sz w:val="16"/>
          <w:szCs w:val="16"/>
        </w:rPr>
        <w:t>Kiribati Aid Program Performance Report 2014–15</w:t>
      </w:r>
      <w:r w:rsidRPr="00EE7F11">
        <w:rPr>
          <w:sz w:val="16"/>
          <w:szCs w:val="16"/>
        </w:rPr>
        <w:t xml:space="preserve">, available at </w:t>
      </w:r>
      <w:hyperlink r:id="rId2" w:history="1">
        <w:r w:rsidRPr="00EE7F11">
          <w:rPr>
            <w:rStyle w:val="Hyperlink"/>
            <w:rFonts w:cstheme="minorBidi"/>
            <w:sz w:val="16"/>
            <w:szCs w:val="16"/>
          </w:rPr>
          <w:t>http://dfat.gov.au/about-us/publications/Pages/kiribati-aid-program-performance-report-2014-15.aspx</w:t>
        </w:r>
      </w:hyperlink>
      <w:r w:rsidRPr="00EE7F11">
        <w:rPr>
          <w:sz w:val="16"/>
          <w:szCs w:val="16"/>
        </w:rPr>
        <w:t xml:space="preserve">. </w:t>
      </w:r>
    </w:p>
    <w:p w:rsidR="00FD7E71" w:rsidRPr="008D5BB6" w:rsidRDefault="00FD7E71">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71" w:rsidRPr="00333501" w:rsidRDefault="00FD7E71" w:rsidP="008F56A8">
    <w:pPr>
      <w:pStyle w:val="Header"/>
      <w:jc w:val="left"/>
    </w:pPr>
    <w:r>
      <w:rPr>
        <w:noProof/>
        <w:lang w:val="en-AU" w:eastAsia="en-AU"/>
      </w:rPr>
      <w:drawing>
        <wp:anchor distT="0" distB="0" distL="114300" distR="114300" simplePos="0" relativeHeight="251671552" behindDoc="1" locked="1" layoutInCell="1" allowOverlap="1" wp14:anchorId="1BF013A8" wp14:editId="642ED4FE">
          <wp:simplePos x="0" y="0"/>
          <wp:positionH relativeFrom="page">
            <wp:posOffset>7620</wp:posOffset>
          </wp:positionH>
          <wp:positionV relativeFrom="page">
            <wp:posOffset>-6985</wp:posOffset>
          </wp:positionV>
          <wp:extent cx="7545705" cy="10702290"/>
          <wp:effectExtent l="0" t="0" r="0"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71" w:rsidRPr="003D352D" w:rsidRDefault="00FD7E71" w:rsidP="003D352D">
    <w:pPr>
      <w:pStyle w:val="Header"/>
      <w:jc w:val="left"/>
    </w:pPr>
    <w:r>
      <w:rPr>
        <w:noProof/>
        <w:lang w:val="en-AU" w:eastAsia="en-AU"/>
      </w:rPr>
      <w:drawing>
        <wp:anchor distT="0" distB="0" distL="114300" distR="114300" simplePos="0" relativeHeight="251669504" behindDoc="1" locked="1" layoutInCell="1" allowOverlap="1" wp14:anchorId="30C315B7" wp14:editId="4724CC32">
          <wp:simplePos x="0" y="0"/>
          <wp:positionH relativeFrom="page">
            <wp:posOffset>-23495</wp:posOffset>
          </wp:positionH>
          <wp:positionV relativeFrom="page">
            <wp:posOffset>15875</wp:posOffset>
          </wp:positionV>
          <wp:extent cx="7734935" cy="108292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71" w:rsidRPr="003D352D" w:rsidRDefault="00FD7E71" w:rsidP="003D352D">
    <w:pPr>
      <w:pStyle w:val="Header"/>
      <w:jc w:val="left"/>
    </w:pPr>
    <w:r>
      <w:rPr>
        <w:noProof/>
        <w:lang w:val="en-AU" w:eastAsia="en-AU"/>
      </w:rPr>
      <w:drawing>
        <wp:anchor distT="0" distB="0" distL="114300" distR="114300" simplePos="0" relativeHeight="251673600" behindDoc="1" locked="1" layoutInCell="1" allowOverlap="1" wp14:anchorId="3A817C8A" wp14:editId="14938F1B">
          <wp:simplePos x="0" y="0"/>
          <wp:positionH relativeFrom="page">
            <wp:posOffset>0</wp:posOffset>
          </wp:positionH>
          <wp:positionV relativeFrom="page">
            <wp:posOffset>0</wp:posOffset>
          </wp:positionV>
          <wp:extent cx="10694035" cy="7465695"/>
          <wp:effectExtent l="0" t="0" r="0" b="1905"/>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71" w:rsidRPr="003D352D" w:rsidRDefault="00FD7E71" w:rsidP="003D352D">
    <w:pPr>
      <w:pStyle w:val="Header"/>
      <w:jc w:val="left"/>
    </w:pPr>
    <w:r>
      <w:rPr>
        <w:noProof/>
        <w:lang w:val="en-AU" w:eastAsia="en-AU"/>
      </w:rPr>
      <w:drawing>
        <wp:anchor distT="0" distB="0" distL="114300" distR="114300" simplePos="0" relativeHeight="251675648" behindDoc="1" locked="1" layoutInCell="1" allowOverlap="1" wp14:anchorId="70DD603C" wp14:editId="77C1DF45">
          <wp:simplePos x="0" y="0"/>
          <wp:positionH relativeFrom="page">
            <wp:posOffset>-15875</wp:posOffset>
          </wp:positionH>
          <wp:positionV relativeFrom="page">
            <wp:posOffset>0</wp:posOffset>
          </wp:positionV>
          <wp:extent cx="10702290" cy="7458075"/>
          <wp:effectExtent l="0" t="0" r="3810" b="9525"/>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71" w:rsidRPr="00333501" w:rsidRDefault="00FD7E71" w:rsidP="008F56A8">
    <w:pPr>
      <w:pStyle w:val="Header"/>
      <w:jc w:val="left"/>
    </w:pPr>
    <w:r>
      <w:rPr>
        <w:noProof/>
        <w:lang w:val="en-AU" w:eastAsia="en-AU"/>
      </w:rPr>
      <w:drawing>
        <wp:anchor distT="0" distB="0" distL="114300" distR="114300" simplePos="0" relativeHeight="251683840" behindDoc="1" locked="1" layoutInCell="1" allowOverlap="1" wp14:anchorId="547AC4EB" wp14:editId="04E14404">
          <wp:simplePos x="0" y="0"/>
          <wp:positionH relativeFrom="page">
            <wp:posOffset>46990</wp:posOffset>
          </wp:positionH>
          <wp:positionV relativeFrom="page">
            <wp:posOffset>95250</wp:posOffset>
          </wp:positionV>
          <wp:extent cx="7561580" cy="10757535"/>
          <wp:effectExtent l="0" t="0" r="1270" b="5715"/>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F04"/>
    <w:multiLevelType w:val="hybridMultilevel"/>
    <w:tmpl w:val="768C37E4"/>
    <w:lvl w:ilvl="0" w:tplc="F59E5490">
      <w:start w:val="1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329DB"/>
    <w:multiLevelType w:val="hybridMultilevel"/>
    <w:tmpl w:val="E536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6F663F"/>
    <w:multiLevelType w:val="hybridMultilevel"/>
    <w:tmpl w:val="B06CAB10"/>
    <w:lvl w:ilvl="0" w:tplc="0C090001">
      <w:start w:val="1"/>
      <w:numFmt w:val="bullet"/>
      <w:lvlText w:val=""/>
      <w:lvlJc w:val="left"/>
      <w:pPr>
        <w:ind w:left="720" w:hanging="360"/>
      </w:pPr>
      <w:rPr>
        <w:rFonts w:ascii="Symbol" w:hAnsi="Symbol" w:hint="default"/>
        <w:b w:val="0"/>
      </w:rPr>
    </w:lvl>
    <w:lvl w:ilvl="1" w:tplc="99EEC3A0">
      <w:start w:val="1"/>
      <w:numFmt w:val="bullet"/>
      <w:lvlText w:val="-"/>
      <w:lvlJc w:val="left"/>
      <w:pPr>
        <w:ind w:left="1440" w:hanging="360"/>
      </w:pPr>
      <w:rPr>
        <w:rFonts w:ascii="Calibri" w:hAnsi="Calibri" w:hint="default"/>
        <w:b w:val="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F90F0D"/>
    <w:multiLevelType w:val="hybridMultilevel"/>
    <w:tmpl w:val="3EC6B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2B798C"/>
    <w:multiLevelType w:val="hybridMultilevel"/>
    <w:tmpl w:val="69042CAC"/>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7" w15:restartNumberingAfterBreak="0">
    <w:nsid w:val="21B376B9"/>
    <w:multiLevelType w:val="hybridMultilevel"/>
    <w:tmpl w:val="DF1E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E6D3E48"/>
    <w:multiLevelType w:val="hybridMultilevel"/>
    <w:tmpl w:val="3846473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785CCC"/>
    <w:multiLevelType w:val="hybridMultilevel"/>
    <w:tmpl w:val="AB00ADE4"/>
    <w:lvl w:ilvl="0" w:tplc="99EEC3A0">
      <w:start w:val="1"/>
      <w:numFmt w:val="bullet"/>
      <w:lvlText w:val="-"/>
      <w:lvlJc w:val="left"/>
      <w:pPr>
        <w:ind w:left="360" w:hanging="360"/>
      </w:pPr>
      <w:rPr>
        <w:rFonts w:ascii="Calibri" w:hAnsi="Calibri" w:hint="default"/>
        <w:b w:val="0"/>
      </w:rPr>
    </w:lvl>
    <w:lvl w:ilvl="1" w:tplc="99EEC3A0">
      <w:start w:val="1"/>
      <w:numFmt w:val="bullet"/>
      <w:lvlText w:val="-"/>
      <w:lvlJc w:val="left"/>
      <w:pPr>
        <w:ind w:left="1080" w:hanging="360"/>
      </w:pPr>
      <w:rPr>
        <w:rFonts w:ascii="Calibri" w:hAnsi="Calibri" w:hint="default"/>
        <w:b w:val="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F03451F"/>
    <w:multiLevelType w:val="hybridMultilevel"/>
    <w:tmpl w:val="FB2EC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8C5B39"/>
    <w:multiLevelType w:val="hybridMultilevel"/>
    <w:tmpl w:val="B8AAD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9134D2"/>
    <w:multiLevelType w:val="multilevel"/>
    <w:tmpl w:val="2C1A6E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46167DD9"/>
    <w:multiLevelType w:val="hybridMultilevel"/>
    <w:tmpl w:val="D7101BD2"/>
    <w:lvl w:ilvl="0" w:tplc="30EAE5D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0789C"/>
    <w:multiLevelType w:val="hybridMultilevel"/>
    <w:tmpl w:val="5B869584"/>
    <w:lvl w:ilvl="0" w:tplc="0C090001">
      <w:start w:val="1"/>
      <w:numFmt w:val="bullet"/>
      <w:lvlText w:val=""/>
      <w:lvlJc w:val="left"/>
      <w:pPr>
        <w:ind w:left="780" w:hanging="360"/>
      </w:pPr>
      <w:rPr>
        <w:rFonts w:ascii="Symbol" w:hAnsi="Symbol" w:hint="default"/>
        <w:b w:val="0"/>
      </w:rPr>
    </w:lvl>
    <w:lvl w:ilvl="1" w:tplc="99EEC3A0">
      <w:start w:val="1"/>
      <w:numFmt w:val="bullet"/>
      <w:lvlText w:val="-"/>
      <w:lvlJc w:val="left"/>
      <w:pPr>
        <w:ind w:left="1500" w:hanging="360"/>
      </w:pPr>
      <w:rPr>
        <w:rFonts w:ascii="Calibri" w:hAnsi="Calibri" w:hint="default"/>
        <w:b w:val="0"/>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FF0702F"/>
    <w:multiLevelType w:val="multilevel"/>
    <w:tmpl w:val="3D28B41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A652D1B"/>
    <w:multiLevelType w:val="multilevel"/>
    <w:tmpl w:val="3D28B41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15:restartNumberingAfterBreak="0">
    <w:nsid w:val="5B0E6FC3"/>
    <w:multiLevelType w:val="hybridMultilevel"/>
    <w:tmpl w:val="AACCD6EA"/>
    <w:lvl w:ilvl="0" w:tplc="5BA2D38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E3A0F87"/>
    <w:multiLevelType w:val="singleLevel"/>
    <w:tmpl w:val="F7483BC8"/>
    <w:lvl w:ilvl="0">
      <w:start w:val="1"/>
      <w:numFmt w:val="decimal"/>
      <w:pStyle w:val="AfterFirstPara"/>
      <w:lvlText w:val="%1."/>
      <w:lvlJc w:val="left"/>
      <w:pPr>
        <w:tabs>
          <w:tab w:val="num" w:pos="567"/>
        </w:tabs>
        <w:ind w:left="0" w:firstLine="0"/>
      </w:pPr>
      <w:rPr>
        <w:rFonts w:ascii="Times New Roman" w:eastAsia="Times New Roman" w:hAnsi="Times New Roman" w:cs="Times New Roman"/>
      </w:rPr>
    </w:lvl>
  </w:abstractNum>
  <w:abstractNum w:abstractNumId="25" w15:restartNumberingAfterBreak="0">
    <w:nsid w:val="5E971245"/>
    <w:multiLevelType w:val="hybridMultilevel"/>
    <w:tmpl w:val="47FE6AEC"/>
    <w:lvl w:ilvl="0" w:tplc="0C090001">
      <w:start w:val="1"/>
      <w:numFmt w:val="bullet"/>
      <w:lvlText w:val=""/>
      <w:lvlJc w:val="left"/>
      <w:pPr>
        <w:ind w:left="720" w:hanging="360"/>
      </w:pPr>
      <w:rPr>
        <w:rFonts w:ascii="Symbol" w:hAnsi="Symbol" w:hint="default"/>
      </w:rPr>
    </w:lvl>
    <w:lvl w:ilvl="1" w:tplc="99EEC3A0">
      <w:start w:val="1"/>
      <w:numFmt w:val="bullet"/>
      <w:lvlText w:val="-"/>
      <w:lvlJc w:val="left"/>
      <w:pPr>
        <w:ind w:left="1440" w:hanging="360"/>
      </w:pPr>
      <w:rPr>
        <w:rFonts w:ascii="Calibri" w:hAnsi="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782A9E"/>
    <w:multiLevelType w:val="hybridMultilevel"/>
    <w:tmpl w:val="6E62270C"/>
    <w:lvl w:ilvl="0" w:tplc="7DF8F91A">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9E13B4F"/>
    <w:multiLevelType w:val="hybridMultilevel"/>
    <w:tmpl w:val="E8AE1D14"/>
    <w:lvl w:ilvl="0" w:tplc="F6D2707C">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0D314BD"/>
    <w:multiLevelType w:val="hybridMultilevel"/>
    <w:tmpl w:val="B296C742"/>
    <w:lvl w:ilvl="0" w:tplc="7DF8F91A">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497E39"/>
    <w:multiLevelType w:val="hybridMultilevel"/>
    <w:tmpl w:val="157ECC2E"/>
    <w:lvl w:ilvl="0" w:tplc="0C090001">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7622F0D"/>
    <w:multiLevelType w:val="hybridMultilevel"/>
    <w:tmpl w:val="2D4E92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86A3F20"/>
    <w:multiLevelType w:val="multilevel"/>
    <w:tmpl w:val="40A8DB9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3" w15:restartNumberingAfterBreak="0">
    <w:nsid w:val="79503CB7"/>
    <w:multiLevelType w:val="multilevel"/>
    <w:tmpl w:val="71F8BCB2"/>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1080" w:hanging="720"/>
      </w:pPr>
      <w:rPr>
        <w:rFonts w:hint="default"/>
        <w:b w:val="0"/>
        <w:color w:val="3DA18F" w:themeColor="accent1" w:themeShade="BF"/>
      </w:rPr>
    </w:lvl>
    <w:lvl w:ilvl="3">
      <w:start w:val="1"/>
      <w:numFmt w:val="decimal"/>
      <w:isLgl/>
      <w:lvlText w:val="%1.%2.%3.%4"/>
      <w:lvlJc w:val="left"/>
      <w:pPr>
        <w:ind w:left="1080" w:hanging="720"/>
      </w:pPr>
      <w:rPr>
        <w:rFonts w:hint="default"/>
        <w:b w:val="0"/>
        <w:color w:val="3DA18F" w:themeColor="accent1" w:themeShade="BF"/>
      </w:rPr>
    </w:lvl>
    <w:lvl w:ilvl="4">
      <w:start w:val="1"/>
      <w:numFmt w:val="decimal"/>
      <w:isLgl/>
      <w:lvlText w:val="%1.%2.%3.%4.%5"/>
      <w:lvlJc w:val="left"/>
      <w:pPr>
        <w:ind w:left="1440" w:hanging="1080"/>
      </w:pPr>
      <w:rPr>
        <w:rFonts w:hint="default"/>
        <w:b w:val="0"/>
        <w:color w:val="3DA18F" w:themeColor="accent1" w:themeShade="BF"/>
      </w:rPr>
    </w:lvl>
    <w:lvl w:ilvl="5">
      <w:start w:val="1"/>
      <w:numFmt w:val="decimal"/>
      <w:isLgl/>
      <w:lvlText w:val="%1.%2.%3.%4.%5.%6"/>
      <w:lvlJc w:val="left"/>
      <w:pPr>
        <w:ind w:left="1440" w:hanging="1080"/>
      </w:pPr>
      <w:rPr>
        <w:rFonts w:hint="default"/>
        <w:b w:val="0"/>
        <w:color w:val="3DA18F" w:themeColor="accent1" w:themeShade="BF"/>
      </w:rPr>
    </w:lvl>
    <w:lvl w:ilvl="6">
      <w:start w:val="1"/>
      <w:numFmt w:val="decimal"/>
      <w:isLgl/>
      <w:lvlText w:val="%1.%2.%3.%4.%5.%6.%7"/>
      <w:lvlJc w:val="left"/>
      <w:pPr>
        <w:ind w:left="1800" w:hanging="1440"/>
      </w:pPr>
      <w:rPr>
        <w:rFonts w:hint="default"/>
        <w:b w:val="0"/>
        <w:color w:val="3DA18F" w:themeColor="accent1" w:themeShade="BF"/>
      </w:rPr>
    </w:lvl>
    <w:lvl w:ilvl="7">
      <w:start w:val="1"/>
      <w:numFmt w:val="decimal"/>
      <w:isLgl/>
      <w:lvlText w:val="%1.%2.%3.%4.%5.%6.%7.%8"/>
      <w:lvlJc w:val="left"/>
      <w:pPr>
        <w:ind w:left="1800" w:hanging="1440"/>
      </w:pPr>
      <w:rPr>
        <w:rFonts w:hint="default"/>
        <w:b w:val="0"/>
        <w:color w:val="3DA18F" w:themeColor="accent1" w:themeShade="BF"/>
      </w:rPr>
    </w:lvl>
    <w:lvl w:ilvl="8">
      <w:start w:val="1"/>
      <w:numFmt w:val="decimal"/>
      <w:isLgl/>
      <w:lvlText w:val="%1.%2.%3.%4.%5.%6.%7.%8.%9"/>
      <w:lvlJc w:val="left"/>
      <w:pPr>
        <w:ind w:left="2160" w:hanging="1800"/>
      </w:pPr>
      <w:rPr>
        <w:rFonts w:hint="default"/>
        <w:b w:val="0"/>
        <w:color w:val="3DA18F" w:themeColor="accent1" w:themeShade="BF"/>
      </w:rPr>
    </w:lvl>
  </w:abstractNum>
  <w:num w:numId="1">
    <w:abstractNumId w:val="29"/>
  </w:num>
  <w:num w:numId="2">
    <w:abstractNumId w:val="2"/>
  </w:num>
  <w:num w:numId="3">
    <w:abstractNumId w:val="8"/>
  </w:num>
  <w:num w:numId="4">
    <w:abstractNumId w:val="19"/>
  </w:num>
  <w:num w:numId="5">
    <w:abstractNumId w:val="23"/>
  </w:num>
  <w:num w:numId="6">
    <w:abstractNumId w:val="8"/>
  </w:num>
  <w:num w:numId="7">
    <w:abstractNumId w:val="22"/>
  </w:num>
  <w:num w:numId="8">
    <w:abstractNumId w:val="2"/>
  </w:num>
  <w:num w:numId="9">
    <w:abstractNumId w:val="15"/>
  </w:num>
  <w:num w:numId="10">
    <w:abstractNumId w:val="5"/>
  </w:num>
  <w:num w:numId="11">
    <w:abstractNumId w:val="24"/>
  </w:num>
  <w:num w:numId="12">
    <w:abstractNumId w:val="4"/>
  </w:num>
  <w:num w:numId="13">
    <w:abstractNumId w:val="11"/>
  </w:num>
  <w:num w:numId="14">
    <w:abstractNumId w:val="14"/>
  </w:num>
  <w:num w:numId="15">
    <w:abstractNumId w:val="9"/>
  </w:num>
  <w:num w:numId="16">
    <w:abstractNumId w:val="21"/>
  </w:num>
  <w:num w:numId="17">
    <w:abstractNumId w:val="7"/>
  </w:num>
  <w:num w:numId="18">
    <w:abstractNumId w:val="25"/>
  </w:num>
  <w:num w:numId="19">
    <w:abstractNumId w:val="16"/>
  </w:num>
  <w:num w:numId="20">
    <w:abstractNumId w:val="3"/>
  </w:num>
  <w:num w:numId="21">
    <w:abstractNumId w:val="10"/>
  </w:num>
  <w:num w:numId="22">
    <w:abstractNumId w:val="12"/>
  </w:num>
  <w:num w:numId="23">
    <w:abstractNumId w:val="27"/>
  </w:num>
  <w:num w:numId="24">
    <w:abstractNumId w:val="30"/>
  </w:num>
  <w:num w:numId="25">
    <w:abstractNumId w:val="18"/>
  </w:num>
  <w:num w:numId="26">
    <w:abstractNumId w:val="33"/>
  </w:num>
  <w:num w:numId="27">
    <w:abstractNumId w:val="17"/>
  </w:num>
  <w:num w:numId="28">
    <w:abstractNumId w:val="20"/>
  </w:num>
  <w:num w:numId="29">
    <w:abstractNumId w:val="32"/>
  </w:num>
  <w:num w:numId="30">
    <w:abstractNumId w:val="13"/>
  </w:num>
  <w:num w:numId="31">
    <w:abstractNumId w:val="6"/>
  </w:num>
  <w:num w:numId="32">
    <w:abstractNumId w:val="31"/>
  </w:num>
  <w:num w:numId="33">
    <w:abstractNumId w:val="26"/>
  </w:num>
  <w:num w:numId="34">
    <w:abstractNumId w:val="28"/>
  </w:num>
  <w:num w:numId="35">
    <w:abstractNumId w:val="0"/>
  </w:num>
  <w:num w:numId="36">
    <w:abstractNumId w:val="1"/>
  </w:num>
  <w:num w:numId="3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678"/>
    <w:rsid w:val="000048E4"/>
    <w:rsid w:val="000069D4"/>
    <w:rsid w:val="00015316"/>
    <w:rsid w:val="0002080A"/>
    <w:rsid w:val="0002782F"/>
    <w:rsid w:val="00031512"/>
    <w:rsid w:val="0003395A"/>
    <w:rsid w:val="0003550D"/>
    <w:rsid w:val="00037AA2"/>
    <w:rsid w:val="00054E4D"/>
    <w:rsid w:val="00056480"/>
    <w:rsid w:val="00060073"/>
    <w:rsid w:val="00060268"/>
    <w:rsid w:val="00062555"/>
    <w:rsid w:val="00072E84"/>
    <w:rsid w:val="000750FF"/>
    <w:rsid w:val="0007766B"/>
    <w:rsid w:val="000840F4"/>
    <w:rsid w:val="00084483"/>
    <w:rsid w:val="0008726A"/>
    <w:rsid w:val="000B30CF"/>
    <w:rsid w:val="000B5C9F"/>
    <w:rsid w:val="000C500F"/>
    <w:rsid w:val="000D5D0C"/>
    <w:rsid w:val="000D5E19"/>
    <w:rsid w:val="000D66D6"/>
    <w:rsid w:val="000E2B84"/>
    <w:rsid w:val="000E314A"/>
    <w:rsid w:val="00114BC9"/>
    <w:rsid w:val="00123B14"/>
    <w:rsid w:val="00131F66"/>
    <w:rsid w:val="00132F5E"/>
    <w:rsid w:val="00137337"/>
    <w:rsid w:val="001414C8"/>
    <w:rsid w:val="00141AA1"/>
    <w:rsid w:val="001541EA"/>
    <w:rsid w:val="00162DE2"/>
    <w:rsid w:val="00163279"/>
    <w:rsid w:val="00166456"/>
    <w:rsid w:val="00176D8A"/>
    <w:rsid w:val="00180C4A"/>
    <w:rsid w:val="00187187"/>
    <w:rsid w:val="00187B3F"/>
    <w:rsid w:val="001A089B"/>
    <w:rsid w:val="001A2A11"/>
    <w:rsid w:val="001A4D13"/>
    <w:rsid w:val="001A5186"/>
    <w:rsid w:val="001B51A9"/>
    <w:rsid w:val="001C612D"/>
    <w:rsid w:val="001C764A"/>
    <w:rsid w:val="001C7F0E"/>
    <w:rsid w:val="001D1719"/>
    <w:rsid w:val="001D663E"/>
    <w:rsid w:val="001E1DC0"/>
    <w:rsid w:val="001F4FAA"/>
    <w:rsid w:val="001F76DD"/>
    <w:rsid w:val="00206072"/>
    <w:rsid w:val="00207E4D"/>
    <w:rsid w:val="00212ECA"/>
    <w:rsid w:val="00217766"/>
    <w:rsid w:val="002211C6"/>
    <w:rsid w:val="00224186"/>
    <w:rsid w:val="0023351C"/>
    <w:rsid w:val="00233E00"/>
    <w:rsid w:val="00236A53"/>
    <w:rsid w:val="00240304"/>
    <w:rsid w:val="00251956"/>
    <w:rsid w:val="00254411"/>
    <w:rsid w:val="00272644"/>
    <w:rsid w:val="00275DB7"/>
    <w:rsid w:val="00276AA9"/>
    <w:rsid w:val="002776BE"/>
    <w:rsid w:val="00284957"/>
    <w:rsid w:val="0028602A"/>
    <w:rsid w:val="002909BA"/>
    <w:rsid w:val="002A1C8F"/>
    <w:rsid w:val="002A51CA"/>
    <w:rsid w:val="002A6020"/>
    <w:rsid w:val="002A62C8"/>
    <w:rsid w:val="002A77BD"/>
    <w:rsid w:val="002B2B00"/>
    <w:rsid w:val="002B3210"/>
    <w:rsid w:val="002B358E"/>
    <w:rsid w:val="002B3E95"/>
    <w:rsid w:val="002B5E10"/>
    <w:rsid w:val="002C0960"/>
    <w:rsid w:val="002C24A0"/>
    <w:rsid w:val="002C6038"/>
    <w:rsid w:val="002D4C91"/>
    <w:rsid w:val="002D6E2E"/>
    <w:rsid w:val="002E1224"/>
    <w:rsid w:val="002E2535"/>
    <w:rsid w:val="002F0C5A"/>
    <w:rsid w:val="002F0EE7"/>
    <w:rsid w:val="002F3D6F"/>
    <w:rsid w:val="002F4461"/>
    <w:rsid w:val="002F65EA"/>
    <w:rsid w:val="002F6ABB"/>
    <w:rsid w:val="003002C0"/>
    <w:rsid w:val="00301144"/>
    <w:rsid w:val="003148B7"/>
    <w:rsid w:val="003158C3"/>
    <w:rsid w:val="0032693C"/>
    <w:rsid w:val="003274CD"/>
    <w:rsid w:val="00327FCD"/>
    <w:rsid w:val="00333501"/>
    <w:rsid w:val="003410F9"/>
    <w:rsid w:val="00343139"/>
    <w:rsid w:val="003457C4"/>
    <w:rsid w:val="00345C25"/>
    <w:rsid w:val="0035119D"/>
    <w:rsid w:val="00352774"/>
    <w:rsid w:val="00354D83"/>
    <w:rsid w:val="00363ECB"/>
    <w:rsid w:val="003722BC"/>
    <w:rsid w:val="00375D42"/>
    <w:rsid w:val="003775B5"/>
    <w:rsid w:val="00377D29"/>
    <w:rsid w:val="00380104"/>
    <w:rsid w:val="003946AF"/>
    <w:rsid w:val="00395B58"/>
    <w:rsid w:val="00397FAD"/>
    <w:rsid w:val="003B0E24"/>
    <w:rsid w:val="003B36ED"/>
    <w:rsid w:val="003B4F12"/>
    <w:rsid w:val="003B5809"/>
    <w:rsid w:val="003C14B0"/>
    <w:rsid w:val="003C177E"/>
    <w:rsid w:val="003C1F31"/>
    <w:rsid w:val="003C5A60"/>
    <w:rsid w:val="003C60D2"/>
    <w:rsid w:val="003D0913"/>
    <w:rsid w:val="003D352D"/>
    <w:rsid w:val="003E0B79"/>
    <w:rsid w:val="003E2C68"/>
    <w:rsid w:val="003E3781"/>
    <w:rsid w:val="003E690C"/>
    <w:rsid w:val="003F0194"/>
    <w:rsid w:val="003F05E9"/>
    <w:rsid w:val="003F0AB4"/>
    <w:rsid w:val="003F3EF9"/>
    <w:rsid w:val="00400B0F"/>
    <w:rsid w:val="00401A2E"/>
    <w:rsid w:val="00401BEB"/>
    <w:rsid w:val="00401E25"/>
    <w:rsid w:val="00402ACC"/>
    <w:rsid w:val="00402F06"/>
    <w:rsid w:val="00405D5B"/>
    <w:rsid w:val="00407DDF"/>
    <w:rsid w:val="004120EC"/>
    <w:rsid w:val="004164F9"/>
    <w:rsid w:val="004228FD"/>
    <w:rsid w:val="00423F31"/>
    <w:rsid w:val="0042660D"/>
    <w:rsid w:val="00431899"/>
    <w:rsid w:val="00433A8E"/>
    <w:rsid w:val="00434BEC"/>
    <w:rsid w:val="00437F04"/>
    <w:rsid w:val="00443D00"/>
    <w:rsid w:val="00444806"/>
    <w:rsid w:val="00445D80"/>
    <w:rsid w:val="0045258E"/>
    <w:rsid w:val="004776BA"/>
    <w:rsid w:val="004839E3"/>
    <w:rsid w:val="00486804"/>
    <w:rsid w:val="00490F39"/>
    <w:rsid w:val="0049477F"/>
    <w:rsid w:val="00494A36"/>
    <w:rsid w:val="00494C89"/>
    <w:rsid w:val="00495020"/>
    <w:rsid w:val="004959D2"/>
    <w:rsid w:val="004977A1"/>
    <w:rsid w:val="004A2EB0"/>
    <w:rsid w:val="004A7C0C"/>
    <w:rsid w:val="004B338B"/>
    <w:rsid w:val="004B3775"/>
    <w:rsid w:val="004C382B"/>
    <w:rsid w:val="004C5C8F"/>
    <w:rsid w:val="004C70CC"/>
    <w:rsid w:val="004D00B4"/>
    <w:rsid w:val="004D0BA0"/>
    <w:rsid w:val="004D3394"/>
    <w:rsid w:val="004D43F4"/>
    <w:rsid w:val="004D58B1"/>
    <w:rsid w:val="004E0264"/>
    <w:rsid w:val="004E058F"/>
    <w:rsid w:val="004E2C2F"/>
    <w:rsid w:val="004E3B87"/>
    <w:rsid w:val="004F28F6"/>
    <w:rsid w:val="004F3C34"/>
    <w:rsid w:val="0050363C"/>
    <w:rsid w:val="00503C87"/>
    <w:rsid w:val="00510921"/>
    <w:rsid w:val="00510AD3"/>
    <w:rsid w:val="00513348"/>
    <w:rsid w:val="00521517"/>
    <w:rsid w:val="00525E2F"/>
    <w:rsid w:val="00531EE0"/>
    <w:rsid w:val="00533B5D"/>
    <w:rsid w:val="00540A69"/>
    <w:rsid w:val="00547AE7"/>
    <w:rsid w:val="005511BF"/>
    <w:rsid w:val="00554032"/>
    <w:rsid w:val="00556B3B"/>
    <w:rsid w:val="00566997"/>
    <w:rsid w:val="0056744B"/>
    <w:rsid w:val="005905AD"/>
    <w:rsid w:val="0059146A"/>
    <w:rsid w:val="005934E8"/>
    <w:rsid w:val="005A1CE2"/>
    <w:rsid w:val="005A490A"/>
    <w:rsid w:val="005B128B"/>
    <w:rsid w:val="005B1C59"/>
    <w:rsid w:val="005B5769"/>
    <w:rsid w:val="005B6CF8"/>
    <w:rsid w:val="005C36FD"/>
    <w:rsid w:val="005C3EAF"/>
    <w:rsid w:val="005C5E5B"/>
    <w:rsid w:val="005D3655"/>
    <w:rsid w:val="005E2BDA"/>
    <w:rsid w:val="005E5A09"/>
    <w:rsid w:val="005E606B"/>
    <w:rsid w:val="00613CE4"/>
    <w:rsid w:val="006151CD"/>
    <w:rsid w:val="00621606"/>
    <w:rsid w:val="00623BA1"/>
    <w:rsid w:val="0062460F"/>
    <w:rsid w:val="006346BC"/>
    <w:rsid w:val="00643DE0"/>
    <w:rsid w:val="00650E8B"/>
    <w:rsid w:val="00652D6B"/>
    <w:rsid w:val="00665A00"/>
    <w:rsid w:val="0066652A"/>
    <w:rsid w:val="006677F8"/>
    <w:rsid w:val="006730BE"/>
    <w:rsid w:val="00680522"/>
    <w:rsid w:val="00681F08"/>
    <w:rsid w:val="00682167"/>
    <w:rsid w:val="00685E48"/>
    <w:rsid w:val="00691CF8"/>
    <w:rsid w:val="00692DAF"/>
    <w:rsid w:val="00693146"/>
    <w:rsid w:val="006A488B"/>
    <w:rsid w:val="006A6DF0"/>
    <w:rsid w:val="006A7B51"/>
    <w:rsid w:val="006C00D2"/>
    <w:rsid w:val="006C42AF"/>
    <w:rsid w:val="006C614F"/>
    <w:rsid w:val="006C6D4B"/>
    <w:rsid w:val="006E3DC1"/>
    <w:rsid w:val="006E42F3"/>
    <w:rsid w:val="006E5DEC"/>
    <w:rsid w:val="006E7327"/>
    <w:rsid w:val="006F0666"/>
    <w:rsid w:val="006F27B1"/>
    <w:rsid w:val="0070458A"/>
    <w:rsid w:val="00706186"/>
    <w:rsid w:val="00707A6A"/>
    <w:rsid w:val="00711D8E"/>
    <w:rsid w:val="00712672"/>
    <w:rsid w:val="00712DC6"/>
    <w:rsid w:val="00721A2A"/>
    <w:rsid w:val="00724319"/>
    <w:rsid w:val="00724819"/>
    <w:rsid w:val="0072707D"/>
    <w:rsid w:val="00734311"/>
    <w:rsid w:val="0073490B"/>
    <w:rsid w:val="00734E3F"/>
    <w:rsid w:val="00736985"/>
    <w:rsid w:val="00741461"/>
    <w:rsid w:val="00745DF5"/>
    <w:rsid w:val="007502C2"/>
    <w:rsid w:val="00752459"/>
    <w:rsid w:val="0075507B"/>
    <w:rsid w:val="0076250F"/>
    <w:rsid w:val="0076551D"/>
    <w:rsid w:val="00767B19"/>
    <w:rsid w:val="00771B53"/>
    <w:rsid w:val="00775ADD"/>
    <w:rsid w:val="007806E7"/>
    <w:rsid w:val="00784031"/>
    <w:rsid w:val="007A59C1"/>
    <w:rsid w:val="007A63B3"/>
    <w:rsid w:val="007B0D9C"/>
    <w:rsid w:val="007B6200"/>
    <w:rsid w:val="007D4424"/>
    <w:rsid w:val="007D4A30"/>
    <w:rsid w:val="007E0467"/>
    <w:rsid w:val="007E1DE0"/>
    <w:rsid w:val="007E4F5B"/>
    <w:rsid w:val="007F3395"/>
    <w:rsid w:val="00801B9F"/>
    <w:rsid w:val="00801C5B"/>
    <w:rsid w:val="008057FD"/>
    <w:rsid w:val="008061EA"/>
    <w:rsid w:val="00812509"/>
    <w:rsid w:val="00820F38"/>
    <w:rsid w:val="00830006"/>
    <w:rsid w:val="0083599C"/>
    <w:rsid w:val="00837B12"/>
    <w:rsid w:val="008402B1"/>
    <w:rsid w:val="00842720"/>
    <w:rsid w:val="00842C56"/>
    <w:rsid w:val="008475F0"/>
    <w:rsid w:val="00850F1F"/>
    <w:rsid w:val="00855068"/>
    <w:rsid w:val="00855F4A"/>
    <w:rsid w:val="00856F2F"/>
    <w:rsid w:val="00864210"/>
    <w:rsid w:val="00876FDC"/>
    <w:rsid w:val="00877853"/>
    <w:rsid w:val="008851F9"/>
    <w:rsid w:val="008900BD"/>
    <w:rsid w:val="00891C9B"/>
    <w:rsid w:val="008A4038"/>
    <w:rsid w:val="008A5AFE"/>
    <w:rsid w:val="008B0EE2"/>
    <w:rsid w:val="008B68D7"/>
    <w:rsid w:val="008C0683"/>
    <w:rsid w:val="008C2F58"/>
    <w:rsid w:val="008C5A0E"/>
    <w:rsid w:val="008C5E81"/>
    <w:rsid w:val="008D1CF1"/>
    <w:rsid w:val="008D5BB6"/>
    <w:rsid w:val="008D74C1"/>
    <w:rsid w:val="008E51DE"/>
    <w:rsid w:val="008F4581"/>
    <w:rsid w:val="008F56A8"/>
    <w:rsid w:val="0090563D"/>
    <w:rsid w:val="009067E3"/>
    <w:rsid w:val="00916FB1"/>
    <w:rsid w:val="0092127E"/>
    <w:rsid w:val="00931374"/>
    <w:rsid w:val="00932B56"/>
    <w:rsid w:val="009331A2"/>
    <w:rsid w:val="00934DED"/>
    <w:rsid w:val="009351A6"/>
    <w:rsid w:val="0093612C"/>
    <w:rsid w:val="009424F9"/>
    <w:rsid w:val="009437CD"/>
    <w:rsid w:val="009464F5"/>
    <w:rsid w:val="0095178C"/>
    <w:rsid w:val="00953785"/>
    <w:rsid w:val="0097027C"/>
    <w:rsid w:val="009723DE"/>
    <w:rsid w:val="00974911"/>
    <w:rsid w:val="00975BC7"/>
    <w:rsid w:val="00985EDD"/>
    <w:rsid w:val="00987BAD"/>
    <w:rsid w:val="009903F3"/>
    <w:rsid w:val="00992C76"/>
    <w:rsid w:val="009A5F37"/>
    <w:rsid w:val="009A6162"/>
    <w:rsid w:val="009B4D3B"/>
    <w:rsid w:val="009B5137"/>
    <w:rsid w:val="009B7072"/>
    <w:rsid w:val="009B79CB"/>
    <w:rsid w:val="009C0E65"/>
    <w:rsid w:val="009C6B89"/>
    <w:rsid w:val="009D1D2E"/>
    <w:rsid w:val="009D7407"/>
    <w:rsid w:val="009E0866"/>
    <w:rsid w:val="009E19A7"/>
    <w:rsid w:val="009F1050"/>
    <w:rsid w:val="009F5488"/>
    <w:rsid w:val="009F6423"/>
    <w:rsid w:val="00A04822"/>
    <w:rsid w:val="00A050D2"/>
    <w:rsid w:val="00A117D1"/>
    <w:rsid w:val="00A13225"/>
    <w:rsid w:val="00A20317"/>
    <w:rsid w:val="00A204C8"/>
    <w:rsid w:val="00A24A62"/>
    <w:rsid w:val="00A31C9F"/>
    <w:rsid w:val="00A4144F"/>
    <w:rsid w:val="00A42EA3"/>
    <w:rsid w:val="00A42F6D"/>
    <w:rsid w:val="00A50920"/>
    <w:rsid w:val="00A56F14"/>
    <w:rsid w:val="00A67A4A"/>
    <w:rsid w:val="00A74556"/>
    <w:rsid w:val="00A77FD0"/>
    <w:rsid w:val="00A80F95"/>
    <w:rsid w:val="00A8197B"/>
    <w:rsid w:val="00A835B1"/>
    <w:rsid w:val="00A84162"/>
    <w:rsid w:val="00A8549C"/>
    <w:rsid w:val="00A93F04"/>
    <w:rsid w:val="00A94285"/>
    <w:rsid w:val="00A95AAC"/>
    <w:rsid w:val="00AA3E81"/>
    <w:rsid w:val="00AA7BE3"/>
    <w:rsid w:val="00AB00C1"/>
    <w:rsid w:val="00AB356A"/>
    <w:rsid w:val="00AB4A1E"/>
    <w:rsid w:val="00AB5E7F"/>
    <w:rsid w:val="00AB67E3"/>
    <w:rsid w:val="00AC164A"/>
    <w:rsid w:val="00AD2599"/>
    <w:rsid w:val="00AD6163"/>
    <w:rsid w:val="00AE24E9"/>
    <w:rsid w:val="00AE2E38"/>
    <w:rsid w:val="00AF1B85"/>
    <w:rsid w:val="00AF2050"/>
    <w:rsid w:val="00AF3CED"/>
    <w:rsid w:val="00AF5DEF"/>
    <w:rsid w:val="00B00281"/>
    <w:rsid w:val="00B03CA8"/>
    <w:rsid w:val="00B04613"/>
    <w:rsid w:val="00B12EA5"/>
    <w:rsid w:val="00B16B09"/>
    <w:rsid w:val="00B30FA1"/>
    <w:rsid w:val="00B331DC"/>
    <w:rsid w:val="00B43293"/>
    <w:rsid w:val="00B438D3"/>
    <w:rsid w:val="00B43EDE"/>
    <w:rsid w:val="00B541D8"/>
    <w:rsid w:val="00B55E19"/>
    <w:rsid w:val="00B8319E"/>
    <w:rsid w:val="00B83728"/>
    <w:rsid w:val="00B8590E"/>
    <w:rsid w:val="00BA0D72"/>
    <w:rsid w:val="00BA4B6D"/>
    <w:rsid w:val="00BB0D21"/>
    <w:rsid w:val="00BB26C5"/>
    <w:rsid w:val="00BB4A2D"/>
    <w:rsid w:val="00BC1847"/>
    <w:rsid w:val="00BD4229"/>
    <w:rsid w:val="00BD49D4"/>
    <w:rsid w:val="00BD6421"/>
    <w:rsid w:val="00BD6630"/>
    <w:rsid w:val="00BD79E0"/>
    <w:rsid w:val="00BE668E"/>
    <w:rsid w:val="00BF3318"/>
    <w:rsid w:val="00BF4DE6"/>
    <w:rsid w:val="00C06489"/>
    <w:rsid w:val="00C20FD4"/>
    <w:rsid w:val="00C34D73"/>
    <w:rsid w:val="00C42CDE"/>
    <w:rsid w:val="00C43AD5"/>
    <w:rsid w:val="00C4442F"/>
    <w:rsid w:val="00C476D0"/>
    <w:rsid w:val="00C478FB"/>
    <w:rsid w:val="00C5182A"/>
    <w:rsid w:val="00C63EE9"/>
    <w:rsid w:val="00C65153"/>
    <w:rsid w:val="00C6626C"/>
    <w:rsid w:val="00C67D70"/>
    <w:rsid w:val="00C74B64"/>
    <w:rsid w:val="00C767A8"/>
    <w:rsid w:val="00C849DD"/>
    <w:rsid w:val="00C87E8D"/>
    <w:rsid w:val="00C941D3"/>
    <w:rsid w:val="00CA37B1"/>
    <w:rsid w:val="00CA62FF"/>
    <w:rsid w:val="00CB1959"/>
    <w:rsid w:val="00CB4398"/>
    <w:rsid w:val="00CB4B3B"/>
    <w:rsid w:val="00CC008C"/>
    <w:rsid w:val="00CC090A"/>
    <w:rsid w:val="00CC262D"/>
    <w:rsid w:val="00CC4846"/>
    <w:rsid w:val="00CC4E85"/>
    <w:rsid w:val="00CD0BAD"/>
    <w:rsid w:val="00CD0D51"/>
    <w:rsid w:val="00CD0E4B"/>
    <w:rsid w:val="00CD5D6C"/>
    <w:rsid w:val="00CD79E4"/>
    <w:rsid w:val="00CE0155"/>
    <w:rsid w:val="00CE1425"/>
    <w:rsid w:val="00CF2923"/>
    <w:rsid w:val="00CF670F"/>
    <w:rsid w:val="00CF72DC"/>
    <w:rsid w:val="00D00802"/>
    <w:rsid w:val="00D0296C"/>
    <w:rsid w:val="00D06CC6"/>
    <w:rsid w:val="00D146A2"/>
    <w:rsid w:val="00D1534E"/>
    <w:rsid w:val="00D153A3"/>
    <w:rsid w:val="00D15A00"/>
    <w:rsid w:val="00D21009"/>
    <w:rsid w:val="00D275C9"/>
    <w:rsid w:val="00D31AA8"/>
    <w:rsid w:val="00D3258C"/>
    <w:rsid w:val="00D348D7"/>
    <w:rsid w:val="00D42D9A"/>
    <w:rsid w:val="00D42F42"/>
    <w:rsid w:val="00D52266"/>
    <w:rsid w:val="00D57D1D"/>
    <w:rsid w:val="00D62A69"/>
    <w:rsid w:val="00D64BD1"/>
    <w:rsid w:val="00D64F5E"/>
    <w:rsid w:val="00D72760"/>
    <w:rsid w:val="00D74B0A"/>
    <w:rsid w:val="00D7590B"/>
    <w:rsid w:val="00D84D94"/>
    <w:rsid w:val="00D85ADC"/>
    <w:rsid w:val="00D8683B"/>
    <w:rsid w:val="00D96D38"/>
    <w:rsid w:val="00DA20DE"/>
    <w:rsid w:val="00DB080D"/>
    <w:rsid w:val="00DB727A"/>
    <w:rsid w:val="00DB7BDC"/>
    <w:rsid w:val="00DC2282"/>
    <w:rsid w:val="00DD1986"/>
    <w:rsid w:val="00DD2F07"/>
    <w:rsid w:val="00DD390D"/>
    <w:rsid w:val="00DD596B"/>
    <w:rsid w:val="00DE084C"/>
    <w:rsid w:val="00DE53E8"/>
    <w:rsid w:val="00DF19AE"/>
    <w:rsid w:val="00DF5B1F"/>
    <w:rsid w:val="00DF6A3B"/>
    <w:rsid w:val="00E11EE6"/>
    <w:rsid w:val="00E357B7"/>
    <w:rsid w:val="00E4391F"/>
    <w:rsid w:val="00E44EDC"/>
    <w:rsid w:val="00E52413"/>
    <w:rsid w:val="00E53800"/>
    <w:rsid w:val="00E549A6"/>
    <w:rsid w:val="00E6081F"/>
    <w:rsid w:val="00E63016"/>
    <w:rsid w:val="00E64CDD"/>
    <w:rsid w:val="00EA04B2"/>
    <w:rsid w:val="00EA20F3"/>
    <w:rsid w:val="00EA3C58"/>
    <w:rsid w:val="00EA4EE4"/>
    <w:rsid w:val="00EA745E"/>
    <w:rsid w:val="00EB6A9E"/>
    <w:rsid w:val="00EB77F5"/>
    <w:rsid w:val="00EC0F7E"/>
    <w:rsid w:val="00EC5099"/>
    <w:rsid w:val="00ED1CD6"/>
    <w:rsid w:val="00ED1F49"/>
    <w:rsid w:val="00ED2831"/>
    <w:rsid w:val="00ED38C1"/>
    <w:rsid w:val="00ED43D1"/>
    <w:rsid w:val="00EE0E7C"/>
    <w:rsid w:val="00EE367B"/>
    <w:rsid w:val="00EE4EE1"/>
    <w:rsid w:val="00EE7F11"/>
    <w:rsid w:val="00EF4574"/>
    <w:rsid w:val="00EF7E5F"/>
    <w:rsid w:val="00F016EC"/>
    <w:rsid w:val="00F06182"/>
    <w:rsid w:val="00F10723"/>
    <w:rsid w:val="00F141B0"/>
    <w:rsid w:val="00F2684E"/>
    <w:rsid w:val="00F30167"/>
    <w:rsid w:val="00F34FF3"/>
    <w:rsid w:val="00F36127"/>
    <w:rsid w:val="00F40F77"/>
    <w:rsid w:val="00F532DD"/>
    <w:rsid w:val="00F5404C"/>
    <w:rsid w:val="00F66012"/>
    <w:rsid w:val="00F729EF"/>
    <w:rsid w:val="00F77CAE"/>
    <w:rsid w:val="00F81A09"/>
    <w:rsid w:val="00F82271"/>
    <w:rsid w:val="00F83428"/>
    <w:rsid w:val="00F92273"/>
    <w:rsid w:val="00F96BB9"/>
    <w:rsid w:val="00FA5988"/>
    <w:rsid w:val="00FA7742"/>
    <w:rsid w:val="00FB4F75"/>
    <w:rsid w:val="00FB590B"/>
    <w:rsid w:val="00FC06A8"/>
    <w:rsid w:val="00FC18F7"/>
    <w:rsid w:val="00FC3F44"/>
    <w:rsid w:val="00FC5072"/>
    <w:rsid w:val="00FD7E71"/>
    <w:rsid w:val="00FE2CD6"/>
    <w:rsid w:val="00FE3902"/>
    <w:rsid w:val="00FE45A8"/>
    <w:rsid w:val="00FE47C6"/>
    <w:rsid w:val="00FE6D51"/>
    <w:rsid w:val="00FF09F3"/>
    <w:rsid w:val="00FF0C20"/>
    <w:rsid w:val="00FF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F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ftref,fr,16 Point,Superscript 6 Point,Normal + Font:9 Point,Superscript 3 Point Times,Ref,de nota al pie,(NECG) Footnote Reference"/>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CA62FF"/>
    <w:pPr>
      <w:keepNext/>
      <w:spacing w:before="120" w:after="60" w:line="180" w:lineRule="atLeast"/>
      <w:jc w:val="both"/>
    </w:pPr>
    <w:rPr>
      <w:rFonts w:asciiTheme="minorHAnsi" w:eastAsiaTheme="minorHAnsi" w:hAnsiTheme="minorHAnsi"/>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CA62FF"/>
    <w:rPr>
      <w:rFonts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1,List Paragraph11,ADB List Paragraph,Recommendation,L,F5 List Paragraph,Dot pt,CV text,Table text,List Paragraph111,Medium Grid 1 - Accent 21,Numbered Paragraph,List Paragraph2,Bulleted Para,NFP GP Bulleted List,FooterText"/>
    <w:basedOn w:val="Normal"/>
    <w:link w:val="ListParagraphChar"/>
    <w:uiPriority w:val="34"/>
    <w:qFormat/>
    <w:rsid w:val="00D153A3"/>
    <w:pPr>
      <w:ind w:left="720"/>
      <w:contextualSpacing/>
    </w:pPr>
  </w:style>
  <w:style w:type="paragraph" w:styleId="NoSpacing">
    <w:name w:val="No Spacing"/>
    <w:uiPriority w:val="99"/>
    <w:qFormat/>
    <w:rsid w:val="009B79CB"/>
    <w:pPr>
      <w:spacing w:after="0" w:line="240" w:lineRule="auto"/>
    </w:pPr>
    <w:rPr>
      <w:rFonts w:ascii="Times New Roman" w:eastAsia="SimSun" w:hAnsi="Times New Roman" w:cs="Times New Roman"/>
      <w:sz w:val="24"/>
      <w:szCs w:val="24"/>
      <w:lang w:eastAsia="zh-CN"/>
    </w:rPr>
  </w:style>
  <w:style w:type="paragraph" w:customStyle="1" w:styleId="AfterFirstPara">
    <w:name w:val="AfterFirstPara"/>
    <w:basedOn w:val="Normal"/>
    <w:rsid w:val="00EA3C58"/>
    <w:pPr>
      <w:numPr>
        <w:numId w:val="11"/>
      </w:numPr>
      <w:suppressAutoHyphens w:val="0"/>
      <w:spacing w:after="120" w:line="240" w:lineRule="auto"/>
    </w:pPr>
    <w:rPr>
      <w:rFonts w:ascii="Times New Roman" w:eastAsia="Times New Roman" w:hAnsi="Times New Roman" w:cs="Times New Roman"/>
      <w:color w:val="auto"/>
      <w:sz w:val="24"/>
      <w:szCs w:val="24"/>
      <w:lang w:eastAsia="zh-CN"/>
    </w:rPr>
  </w:style>
  <w:style w:type="character" w:customStyle="1" w:styleId="ListParagraphChar">
    <w:name w:val="List Paragraph Char"/>
    <w:aliases w:val="List Paragraph1 Char,List Paragraph11 Char,ADB List Paragraph Char,Recommendation Char,L Char,F5 List Paragraph Char,Dot pt Char,CV text Char,Table text Char,List Paragraph111 Char,Medium Grid 1 - Accent 21 Char,List Paragraph2 Char"/>
    <w:basedOn w:val="DefaultParagraphFont"/>
    <w:link w:val="ListParagraph"/>
    <w:uiPriority w:val="34"/>
    <w:qFormat/>
    <w:locked/>
    <w:rsid w:val="00EA3C58"/>
    <w:rPr>
      <w:color w:val="495965" w:themeColor="text2"/>
      <w:lang w:val="en-GB"/>
    </w:rPr>
  </w:style>
  <w:style w:type="paragraph" w:styleId="NormalWeb">
    <w:name w:val="Normal (Web)"/>
    <w:basedOn w:val="Normal"/>
    <w:uiPriority w:val="99"/>
    <w:unhideWhenUsed/>
    <w:rsid w:val="0073490B"/>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CommentReference">
    <w:name w:val="annotation reference"/>
    <w:basedOn w:val="DefaultParagraphFont"/>
    <w:unhideWhenUsed/>
    <w:rsid w:val="00A77FD0"/>
    <w:rPr>
      <w:sz w:val="16"/>
      <w:szCs w:val="16"/>
    </w:rPr>
  </w:style>
  <w:style w:type="paragraph" w:styleId="CommentText">
    <w:name w:val="annotation text"/>
    <w:basedOn w:val="Normal"/>
    <w:link w:val="CommentTextChar"/>
    <w:unhideWhenUsed/>
    <w:rsid w:val="00A77FD0"/>
    <w:pPr>
      <w:suppressAutoHyphens w:val="0"/>
      <w:spacing w:before="0" w:after="0" w:line="240" w:lineRule="auto"/>
    </w:pPr>
    <w:rPr>
      <w:rFonts w:ascii="Tw Cen MT" w:eastAsia="Tw Cen MT" w:hAnsi="Tw Cen MT" w:cs="Times New Roman"/>
      <w:color w:val="auto"/>
      <w:sz w:val="20"/>
      <w:szCs w:val="20"/>
      <w:lang w:val="en-AU"/>
    </w:rPr>
  </w:style>
  <w:style w:type="character" w:customStyle="1" w:styleId="CommentTextChar">
    <w:name w:val="Comment Text Char"/>
    <w:basedOn w:val="DefaultParagraphFont"/>
    <w:link w:val="CommentText"/>
    <w:uiPriority w:val="99"/>
    <w:rsid w:val="00A77FD0"/>
    <w:rPr>
      <w:rFonts w:ascii="Tw Cen MT" w:eastAsia="Tw Cen MT" w:hAnsi="Tw Cen MT" w:cs="Times New Roman"/>
      <w:sz w:val="20"/>
      <w:szCs w:val="20"/>
    </w:rPr>
  </w:style>
  <w:style w:type="paragraph" w:customStyle="1" w:styleId="BoxQuote">
    <w:name w:val="Box Quote"/>
    <w:basedOn w:val="Normal"/>
    <w:next w:val="Normal"/>
    <w:rsid w:val="0075507B"/>
    <w:pPr>
      <w:pBdr>
        <w:top w:val="single" w:sz="48" w:space="6" w:color="D8DCDB" w:themeColor="background2"/>
        <w:left w:val="single" w:sz="48" w:space="6" w:color="D8DCDB" w:themeColor="background2"/>
        <w:bottom w:val="single" w:sz="48" w:space="6" w:color="D8DCDB" w:themeColor="background2"/>
        <w:right w:val="single" w:sz="48" w:space="6" w:color="D8DCDB" w:themeColor="background2"/>
      </w:pBdr>
      <w:shd w:val="clear" w:color="auto" w:fill="D8DCDB" w:themeFill="background2"/>
      <w:suppressAutoHyphens w:val="0"/>
      <w:spacing w:before="0" w:after="120" w:line="240" w:lineRule="atLeast"/>
      <w:ind w:left="227" w:right="227"/>
    </w:pPr>
    <w:rPr>
      <w:rFonts w:ascii="Franklin Gothic Book" w:eastAsia="Calibri" w:hAnsi="Franklin Gothic Book" w:cs="Times New Roman"/>
      <w:i/>
      <w:iCs/>
      <w:sz w:val="20"/>
      <w:szCs w:val="16"/>
      <w:lang w:val="en-AU" w:eastAsia="en-AU"/>
    </w:rPr>
  </w:style>
  <w:style w:type="paragraph" w:customStyle="1" w:styleId="Default">
    <w:name w:val="Default"/>
    <w:rsid w:val="00BB0D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tDashColonCharChar">
    <w:name w:val="DotDashColon Char Char"/>
    <w:basedOn w:val="DefaultParagraphFont"/>
    <w:link w:val="DotDashColon"/>
    <w:locked/>
    <w:rsid w:val="00443D00"/>
    <w:rPr>
      <w:rFonts w:ascii="SimSun" w:eastAsia="SimSun" w:hAnsi="SimSun"/>
      <w:sz w:val="24"/>
      <w:szCs w:val="24"/>
      <w:lang w:eastAsia="zh-CN"/>
    </w:rPr>
  </w:style>
  <w:style w:type="paragraph" w:customStyle="1" w:styleId="DotDashColon">
    <w:name w:val="DotDashColon"/>
    <w:basedOn w:val="BodyText"/>
    <w:link w:val="DotDashColonCharChar"/>
    <w:rsid w:val="00443D00"/>
    <w:pPr>
      <w:widowControl w:val="0"/>
      <w:numPr>
        <w:numId w:val="25"/>
      </w:numPr>
      <w:spacing w:after="0" w:line="240" w:lineRule="auto"/>
    </w:pPr>
    <w:rPr>
      <w:rFonts w:ascii="SimSun" w:eastAsia="SimSun" w:hAnsi="SimSun" w:cstheme="minorBidi"/>
      <w:sz w:val="24"/>
      <w:lang w:eastAsia="zh-CN"/>
    </w:rPr>
  </w:style>
  <w:style w:type="paragraph" w:styleId="CommentSubject">
    <w:name w:val="annotation subject"/>
    <w:basedOn w:val="CommentText"/>
    <w:next w:val="CommentText"/>
    <w:link w:val="CommentSubjectChar"/>
    <w:uiPriority w:val="99"/>
    <w:semiHidden/>
    <w:unhideWhenUsed/>
    <w:rsid w:val="00EB6A9E"/>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EB6A9E"/>
    <w:rPr>
      <w:rFonts w:ascii="Tw Cen MT" w:eastAsia="Tw Cen MT" w:hAnsi="Tw Cen MT" w:cs="Times New Roman"/>
      <w:b/>
      <w:bCs/>
      <w:color w:val="495965" w:themeColor="text2"/>
      <w:sz w:val="20"/>
      <w:szCs w:val="20"/>
      <w:lang w:val="en-GB"/>
    </w:rPr>
  </w:style>
  <w:style w:type="paragraph" w:styleId="Revision">
    <w:name w:val="Revision"/>
    <w:hidden/>
    <w:uiPriority w:val="99"/>
    <w:semiHidden/>
    <w:rsid w:val="00187B3F"/>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5925">
      <w:bodyDiv w:val="1"/>
      <w:marLeft w:val="0"/>
      <w:marRight w:val="0"/>
      <w:marTop w:val="0"/>
      <w:marBottom w:val="0"/>
      <w:divBdr>
        <w:top w:val="none" w:sz="0" w:space="0" w:color="auto"/>
        <w:left w:val="none" w:sz="0" w:space="0" w:color="auto"/>
        <w:bottom w:val="none" w:sz="0" w:space="0" w:color="auto"/>
        <w:right w:val="none" w:sz="0" w:space="0" w:color="auto"/>
      </w:divBdr>
    </w:div>
    <w:div w:id="387152206">
      <w:bodyDiv w:val="1"/>
      <w:marLeft w:val="0"/>
      <w:marRight w:val="0"/>
      <w:marTop w:val="0"/>
      <w:marBottom w:val="0"/>
      <w:divBdr>
        <w:top w:val="none" w:sz="0" w:space="0" w:color="auto"/>
        <w:left w:val="none" w:sz="0" w:space="0" w:color="auto"/>
        <w:bottom w:val="none" w:sz="0" w:space="0" w:color="auto"/>
        <w:right w:val="none" w:sz="0" w:space="0" w:color="auto"/>
      </w:divBdr>
    </w:div>
    <w:div w:id="472261837">
      <w:bodyDiv w:val="1"/>
      <w:marLeft w:val="0"/>
      <w:marRight w:val="0"/>
      <w:marTop w:val="0"/>
      <w:marBottom w:val="0"/>
      <w:divBdr>
        <w:top w:val="none" w:sz="0" w:space="0" w:color="auto"/>
        <w:left w:val="none" w:sz="0" w:space="0" w:color="auto"/>
        <w:bottom w:val="none" w:sz="0" w:space="0" w:color="auto"/>
        <w:right w:val="none" w:sz="0" w:space="0" w:color="auto"/>
      </w:divBdr>
    </w:div>
    <w:div w:id="583883312">
      <w:bodyDiv w:val="1"/>
      <w:marLeft w:val="0"/>
      <w:marRight w:val="0"/>
      <w:marTop w:val="0"/>
      <w:marBottom w:val="0"/>
      <w:divBdr>
        <w:top w:val="none" w:sz="0" w:space="0" w:color="auto"/>
        <w:left w:val="none" w:sz="0" w:space="0" w:color="auto"/>
        <w:bottom w:val="none" w:sz="0" w:space="0" w:color="auto"/>
        <w:right w:val="none" w:sz="0" w:space="0" w:color="auto"/>
      </w:divBdr>
    </w:div>
    <w:div w:id="838035568">
      <w:bodyDiv w:val="1"/>
      <w:marLeft w:val="0"/>
      <w:marRight w:val="0"/>
      <w:marTop w:val="0"/>
      <w:marBottom w:val="0"/>
      <w:divBdr>
        <w:top w:val="none" w:sz="0" w:space="0" w:color="auto"/>
        <w:left w:val="none" w:sz="0" w:space="0" w:color="auto"/>
        <w:bottom w:val="none" w:sz="0" w:space="0" w:color="auto"/>
        <w:right w:val="none" w:sz="0" w:space="0" w:color="auto"/>
      </w:divBdr>
    </w:div>
    <w:div w:id="840661515">
      <w:bodyDiv w:val="1"/>
      <w:marLeft w:val="0"/>
      <w:marRight w:val="0"/>
      <w:marTop w:val="0"/>
      <w:marBottom w:val="0"/>
      <w:divBdr>
        <w:top w:val="none" w:sz="0" w:space="0" w:color="auto"/>
        <w:left w:val="none" w:sz="0" w:space="0" w:color="auto"/>
        <w:bottom w:val="none" w:sz="0" w:space="0" w:color="auto"/>
        <w:right w:val="none" w:sz="0" w:space="0" w:color="auto"/>
      </w:divBdr>
    </w:div>
    <w:div w:id="912929162">
      <w:bodyDiv w:val="1"/>
      <w:marLeft w:val="0"/>
      <w:marRight w:val="0"/>
      <w:marTop w:val="0"/>
      <w:marBottom w:val="0"/>
      <w:divBdr>
        <w:top w:val="none" w:sz="0" w:space="0" w:color="auto"/>
        <w:left w:val="none" w:sz="0" w:space="0" w:color="auto"/>
        <w:bottom w:val="none" w:sz="0" w:space="0" w:color="auto"/>
        <w:right w:val="none" w:sz="0" w:space="0" w:color="auto"/>
      </w:divBdr>
    </w:div>
    <w:div w:id="1014385015">
      <w:bodyDiv w:val="1"/>
      <w:marLeft w:val="0"/>
      <w:marRight w:val="0"/>
      <w:marTop w:val="0"/>
      <w:marBottom w:val="0"/>
      <w:divBdr>
        <w:top w:val="none" w:sz="0" w:space="0" w:color="auto"/>
        <w:left w:val="none" w:sz="0" w:space="0" w:color="auto"/>
        <w:bottom w:val="none" w:sz="0" w:space="0" w:color="auto"/>
        <w:right w:val="none" w:sz="0" w:space="0" w:color="auto"/>
      </w:divBdr>
    </w:div>
    <w:div w:id="1086732732">
      <w:bodyDiv w:val="1"/>
      <w:marLeft w:val="0"/>
      <w:marRight w:val="0"/>
      <w:marTop w:val="0"/>
      <w:marBottom w:val="0"/>
      <w:divBdr>
        <w:top w:val="none" w:sz="0" w:space="0" w:color="auto"/>
        <w:left w:val="none" w:sz="0" w:space="0" w:color="auto"/>
        <w:bottom w:val="none" w:sz="0" w:space="0" w:color="auto"/>
        <w:right w:val="none" w:sz="0" w:space="0" w:color="auto"/>
      </w:divBdr>
    </w:div>
    <w:div w:id="1118257640">
      <w:bodyDiv w:val="1"/>
      <w:marLeft w:val="0"/>
      <w:marRight w:val="0"/>
      <w:marTop w:val="0"/>
      <w:marBottom w:val="0"/>
      <w:divBdr>
        <w:top w:val="none" w:sz="0" w:space="0" w:color="auto"/>
        <w:left w:val="none" w:sz="0" w:space="0" w:color="auto"/>
        <w:bottom w:val="none" w:sz="0" w:space="0" w:color="auto"/>
        <w:right w:val="none" w:sz="0" w:space="0" w:color="auto"/>
      </w:divBdr>
    </w:div>
    <w:div w:id="1158614777">
      <w:bodyDiv w:val="1"/>
      <w:marLeft w:val="0"/>
      <w:marRight w:val="0"/>
      <w:marTop w:val="0"/>
      <w:marBottom w:val="0"/>
      <w:divBdr>
        <w:top w:val="none" w:sz="0" w:space="0" w:color="auto"/>
        <w:left w:val="none" w:sz="0" w:space="0" w:color="auto"/>
        <w:bottom w:val="none" w:sz="0" w:space="0" w:color="auto"/>
        <w:right w:val="none" w:sz="0" w:space="0" w:color="auto"/>
      </w:divBdr>
    </w:div>
    <w:div w:id="1256129125">
      <w:bodyDiv w:val="1"/>
      <w:marLeft w:val="0"/>
      <w:marRight w:val="0"/>
      <w:marTop w:val="0"/>
      <w:marBottom w:val="0"/>
      <w:divBdr>
        <w:top w:val="none" w:sz="0" w:space="0" w:color="auto"/>
        <w:left w:val="none" w:sz="0" w:space="0" w:color="auto"/>
        <w:bottom w:val="none" w:sz="0" w:space="0" w:color="auto"/>
        <w:right w:val="none" w:sz="0" w:space="0" w:color="auto"/>
      </w:divBdr>
    </w:div>
    <w:div w:id="1345863326">
      <w:bodyDiv w:val="1"/>
      <w:marLeft w:val="0"/>
      <w:marRight w:val="0"/>
      <w:marTop w:val="0"/>
      <w:marBottom w:val="0"/>
      <w:divBdr>
        <w:top w:val="none" w:sz="0" w:space="0" w:color="auto"/>
        <w:left w:val="none" w:sz="0" w:space="0" w:color="auto"/>
        <w:bottom w:val="none" w:sz="0" w:space="0" w:color="auto"/>
        <w:right w:val="none" w:sz="0" w:space="0" w:color="auto"/>
      </w:divBdr>
    </w:div>
    <w:div w:id="1423141510">
      <w:bodyDiv w:val="1"/>
      <w:marLeft w:val="0"/>
      <w:marRight w:val="0"/>
      <w:marTop w:val="0"/>
      <w:marBottom w:val="0"/>
      <w:divBdr>
        <w:top w:val="none" w:sz="0" w:space="0" w:color="auto"/>
        <w:left w:val="none" w:sz="0" w:space="0" w:color="auto"/>
        <w:bottom w:val="none" w:sz="0" w:space="0" w:color="auto"/>
        <w:right w:val="none" w:sz="0" w:space="0" w:color="auto"/>
      </w:divBdr>
    </w:div>
    <w:div w:id="1440875790">
      <w:bodyDiv w:val="1"/>
      <w:marLeft w:val="0"/>
      <w:marRight w:val="0"/>
      <w:marTop w:val="0"/>
      <w:marBottom w:val="0"/>
      <w:divBdr>
        <w:top w:val="none" w:sz="0" w:space="0" w:color="auto"/>
        <w:left w:val="none" w:sz="0" w:space="0" w:color="auto"/>
        <w:bottom w:val="none" w:sz="0" w:space="0" w:color="auto"/>
        <w:right w:val="none" w:sz="0" w:space="0" w:color="auto"/>
      </w:divBdr>
    </w:div>
    <w:div w:id="1505366082">
      <w:bodyDiv w:val="1"/>
      <w:marLeft w:val="0"/>
      <w:marRight w:val="0"/>
      <w:marTop w:val="0"/>
      <w:marBottom w:val="0"/>
      <w:divBdr>
        <w:top w:val="none" w:sz="0" w:space="0" w:color="auto"/>
        <w:left w:val="none" w:sz="0" w:space="0" w:color="auto"/>
        <w:bottom w:val="none" w:sz="0" w:space="0" w:color="auto"/>
        <w:right w:val="none" w:sz="0" w:space="0" w:color="auto"/>
      </w:divBdr>
    </w:div>
    <w:div w:id="1506628226">
      <w:bodyDiv w:val="1"/>
      <w:marLeft w:val="0"/>
      <w:marRight w:val="0"/>
      <w:marTop w:val="0"/>
      <w:marBottom w:val="0"/>
      <w:divBdr>
        <w:top w:val="none" w:sz="0" w:space="0" w:color="auto"/>
        <w:left w:val="none" w:sz="0" w:space="0" w:color="auto"/>
        <w:bottom w:val="none" w:sz="0" w:space="0" w:color="auto"/>
        <w:right w:val="none" w:sz="0" w:space="0" w:color="auto"/>
      </w:divBdr>
    </w:div>
    <w:div w:id="1670447820">
      <w:bodyDiv w:val="1"/>
      <w:marLeft w:val="0"/>
      <w:marRight w:val="0"/>
      <w:marTop w:val="0"/>
      <w:marBottom w:val="0"/>
      <w:divBdr>
        <w:top w:val="none" w:sz="0" w:space="0" w:color="auto"/>
        <w:left w:val="none" w:sz="0" w:space="0" w:color="auto"/>
        <w:bottom w:val="none" w:sz="0" w:space="0" w:color="auto"/>
        <w:right w:val="none" w:sz="0" w:space="0" w:color="auto"/>
      </w:divBdr>
    </w:div>
    <w:div w:id="1989899560">
      <w:bodyDiv w:val="1"/>
      <w:marLeft w:val="0"/>
      <w:marRight w:val="0"/>
      <w:marTop w:val="0"/>
      <w:marBottom w:val="0"/>
      <w:divBdr>
        <w:top w:val="none" w:sz="0" w:space="0" w:color="auto"/>
        <w:left w:val="none" w:sz="0" w:space="0" w:color="auto"/>
        <w:bottom w:val="none" w:sz="0" w:space="0" w:color="auto"/>
        <w:right w:val="none" w:sz="0" w:space="0" w:color="auto"/>
      </w:divBdr>
    </w:div>
    <w:div w:id="2040468696">
      <w:bodyDiv w:val="1"/>
      <w:marLeft w:val="0"/>
      <w:marRight w:val="0"/>
      <w:marTop w:val="0"/>
      <w:marBottom w:val="0"/>
      <w:divBdr>
        <w:top w:val="none" w:sz="0" w:space="0" w:color="auto"/>
        <w:left w:val="none" w:sz="0" w:space="0" w:color="auto"/>
        <w:bottom w:val="none" w:sz="0" w:space="0" w:color="auto"/>
        <w:right w:val="none" w:sz="0" w:space="0" w:color="auto"/>
      </w:divBdr>
    </w:div>
    <w:div w:id="21092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dfat.gov.au/about-us/publications/Pages/kiribati-aid-program-performance-report-2014-15.aspx" TargetMode="External"/><Relationship Id="rId1" Type="http://schemas.openxmlformats.org/officeDocument/2006/relationships/hyperlink" Target="http://data.worldbank.org/country/kiriba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084A6-3A42-4665-B3A6-8B12CC3AB65E}"/>
</file>

<file path=customXml/itemProps2.xml><?xml version="1.0" encoding="utf-8"?>
<ds:datastoreItem xmlns:ds="http://schemas.openxmlformats.org/officeDocument/2006/customXml" ds:itemID="{576C985C-CF0A-4D94-A39E-C0AB7A161B12}"/>
</file>

<file path=customXml/itemProps3.xml><?xml version="1.0" encoding="utf-8"?>
<ds:datastoreItem xmlns:ds="http://schemas.openxmlformats.org/officeDocument/2006/customXml" ds:itemID="{680FACB7-E102-40E2-822C-38193ADCCD1A}"/>
</file>

<file path=customXml/itemProps4.xml><?xml version="1.0" encoding="utf-8"?>
<ds:datastoreItem xmlns:ds="http://schemas.openxmlformats.org/officeDocument/2006/customXml" ds:itemID="{BD7CBCA0-984B-455A-97AD-8C98E21F270F}"/>
</file>

<file path=docProps/app.xml><?xml version="1.0" encoding="utf-8"?>
<Properties xmlns="http://schemas.openxmlformats.org/officeDocument/2006/extended-properties" xmlns:vt="http://schemas.openxmlformats.org/officeDocument/2006/docPropsVTypes">
  <Template>Normal.dotm</Template>
  <TotalTime>0</TotalTime>
  <Pages>12</Pages>
  <Words>5604</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2017-02-13T23:45:00Z</dcterms:created>
  <dcterms:modified xsi:type="dcterms:W3CDTF">2017-02-14T00:13:00Z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3f3481ed-e247-4252-a0b1-7144cca653b8</vt:lpwstr>
  </property>
  <property fmtid="{D5CDD505-2E9C-101B-9397-08002B2CF9AE}" pid="3" name="ContentTypeId">
    <vt:lpwstr>0x01010050F19AC2165D2E47A5E6B7F563E4CF00</vt:lpwstr>
  </property>
  <property fmtid="{D5CDD505-2E9C-101B-9397-08002B2CF9AE}" pid="4" name="Order">
    <vt:r8>1057500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hptrimdataset">
    <vt:lpwstr>CH</vt:lpwstr>
  </property>
  <property fmtid="{D5CDD505-2E9C-101B-9397-08002B2CF9AE}" pid="11" name="hptrimfileref">
    <vt:lpwstr>14/16968#1</vt:lpwstr>
  </property>
  <property fmtid="{D5CDD505-2E9C-101B-9397-08002B2CF9AE}" pid="12" name="hptrimrecordref">
    <vt:lpwstr/>
  </property>
  <property fmtid="{D5CDD505-2E9C-101B-9397-08002B2CF9AE}" pid="13" name="SEC">
    <vt:lpwstr>UNCLASSIFIED</vt:lpwstr>
  </property>
  <property fmtid="{D5CDD505-2E9C-101B-9397-08002B2CF9AE}" pid="14" name="DLM">
    <vt:lpwstr>No DLM</vt:lpwstr>
  </property>
</Properties>
</file>