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8D5C69">
        <w:rPr>
          <w:noProof/>
          <w:color w:val="FFFFFF"/>
          <w:spacing w:val="0"/>
          <w:sz w:val="50"/>
          <w:szCs w:val="50"/>
        </w:rPr>
        <w:drawing>
          <wp:anchor distT="0" distB="0" distL="114300" distR="114300" simplePos="0" relativeHeight="251662336" behindDoc="1" locked="1" layoutInCell="1" allowOverlap="1" wp14:anchorId="6E4A308D" wp14:editId="2F358523">
            <wp:simplePos x="0" y="0"/>
            <wp:positionH relativeFrom="page">
              <wp:align>left</wp:align>
            </wp:positionH>
            <wp:positionV relativeFrom="page">
              <wp:posOffset>57150</wp:posOffset>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7C3D3A"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Kiribati</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A83D5D" w:rsidRDefault="00A83D5D" w:rsidP="00A83D5D">
      <w:pPr>
        <w:pStyle w:val="Heading2"/>
        <w:rPr>
          <w:rStyle w:val="BodyTextChar"/>
          <w:color w:val="auto"/>
        </w:rPr>
      </w:pPr>
      <w:bookmarkStart w:id="1" w:name="_Toc373853205"/>
      <w:r>
        <w:rPr>
          <w:sz w:val="28"/>
        </w:rPr>
        <w:lastRenderedPageBreak/>
        <w:t xml:space="preserve">Key Messages             </w:t>
      </w:r>
      <w:r>
        <w:rPr>
          <w:sz w:val="32"/>
          <w:szCs w:val="32"/>
        </w:rPr>
        <w:t xml:space="preserve">                                </w:t>
      </w:r>
    </w:p>
    <w:p w:rsidR="00A83D5D" w:rsidRPr="00A83D5D" w:rsidRDefault="00A83D5D" w:rsidP="00A83D5D">
      <w:pPr>
        <w:spacing w:after="160" w:line="280" w:lineRule="exact"/>
        <w:rPr>
          <w:rFonts w:ascii="Franklin Gothic Book" w:hAnsi="Franklin Gothic Book"/>
          <w:sz w:val="21"/>
          <w:szCs w:val="21"/>
        </w:rPr>
      </w:pPr>
      <w:r>
        <w:rPr>
          <w:rFonts w:ascii="Franklin Gothic Book" w:hAnsi="Franklin Gothic Book"/>
          <w:sz w:val="21"/>
          <w:szCs w:val="21"/>
        </w:rPr>
        <w:t xml:space="preserve">During 2013/14 Australia’s aid program to Kiribati continued good progress towards achieving its agreed objectives as set out in the Australia-Kiribati Partnership for Development. It </w:t>
      </w:r>
      <w:r w:rsidRPr="00A83D5D">
        <w:rPr>
          <w:rFonts w:ascii="Franklin Gothic Book" w:hAnsi="Franklin Gothic Book"/>
          <w:sz w:val="21"/>
          <w:szCs w:val="21"/>
        </w:rPr>
        <w:t xml:space="preserve">provided strategic support to Kiribati’s </w:t>
      </w:r>
      <w:r w:rsidR="00584819">
        <w:rPr>
          <w:rFonts w:ascii="Franklin Gothic Book" w:hAnsi="Franklin Gothic Book"/>
          <w:sz w:val="21"/>
          <w:szCs w:val="21"/>
        </w:rPr>
        <w:t>d</w:t>
      </w:r>
      <w:r w:rsidRPr="00A83D5D">
        <w:rPr>
          <w:rFonts w:ascii="Franklin Gothic Book" w:hAnsi="Franklin Gothic Book"/>
          <w:sz w:val="21"/>
          <w:szCs w:val="21"/>
        </w:rPr>
        <w:t xml:space="preserve">evelopment and </w:t>
      </w:r>
      <w:r w:rsidR="00584819">
        <w:rPr>
          <w:rFonts w:ascii="Franklin Gothic Book" w:hAnsi="Franklin Gothic Book"/>
          <w:sz w:val="21"/>
          <w:szCs w:val="21"/>
        </w:rPr>
        <w:t>e</w:t>
      </w:r>
      <w:r w:rsidRPr="00A83D5D">
        <w:rPr>
          <w:rFonts w:ascii="Franklin Gothic Book" w:hAnsi="Franklin Gothic Book"/>
          <w:sz w:val="21"/>
          <w:szCs w:val="21"/>
        </w:rPr>
        <w:t xml:space="preserve">conomic </w:t>
      </w:r>
      <w:r w:rsidR="00584819">
        <w:rPr>
          <w:rFonts w:ascii="Franklin Gothic Book" w:hAnsi="Franklin Gothic Book"/>
          <w:sz w:val="21"/>
          <w:szCs w:val="21"/>
        </w:rPr>
        <w:t>r</w:t>
      </w:r>
      <w:r w:rsidRPr="00A83D5D">
        <w:rPr>
          <w:rFonts w:ascii="Franklin Gothic Book" w:hAnsi="Franklin Gothic Book"/>
          <w:sz w:val="21"/>
          <w:szCs w:val="21"/>
        </w:rPr>
        <w:t xml:space="preserve">eform </w:t>
      </w:r>
      <w:r w:rsidR="00584819">
        <w:rPr>
          <w:rFonts w:ascii="Franklin Gothic Book" w:hAnsi="Franklin Gothic Book"/>
          <w:sz w:val="21"/>
          <w:szCs w:val="21"/>
        </w:rPr>
        <w:t>p</w:t>
      </w:r>
      <w:r w:rsidRPr="00A83D5D">
        <w:rPr>
          <w:rFonts w:ascii="Franklin Gothic Book" w:hAnsi="Franklin Gothic Book"/>
          <w:sz w:val="21"/>
          <w:szCs w:val="21"/>
        </w:rPr>
        <w:t xml:space="preserve">rograms.  </w:t>
      </w:r>
    </w:p>
    <w:p w:rsidR="00584819" w:rsidRPr="00584819" w:rsidRDefault="00584819" w:rsidP="00584819">
      <w:pPr>
        <w:spacing w:after="160" w:line="280" w:lineRule="exact"/>
        <w:rPr>
          <w:rFonts w:ascii="Franklin Gothic Book" w:hAnsi="Franklin Gothic Book"/>
          <w:sz w:val="21"/>
          <w:szCs w:val="21"/>
        </w:rPr>
      </w:pPr>
      <w:r w:rsidRPr="00584819">
        <w:rPr>
          <w:rFonts w:ascii="Franklin Gothic Book" w:hAnsi="Franklin Gothic Book"/>
          <w:sz w:val="21"/>
          <w:szCs w:val="21"/>
        </w:rPr>
        <w:t>Key achievements for the reporting year include:</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Established a fresh approach to development partner engagement and coordination in support of the Education Sector Strategic Plan;</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 xml:space="preserve">Successfully implemented the new Year 1-2 curriculum, developed a new Year 3 curriculum; and continued the Teacher Professional Development Program and the School Leaders Professional Development Program.   </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Improved the quality of training and assessment at the Kiribati Institute of Technology and strengthened pathways for graduates to progress to the Australia Pacific Technical College.</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 xml:space="preserve">Implemented an improved process for selecting candidates for the Australia Awards harmonised with that used for the New Zealand scholarship program.  </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Awarded 27 new university scholarships to I-Kiribati women and men during 2013 with 1</w:t>
      </w:r>
      <w:r>
        <w:rPr>
          <w:rFonts w:ascii="Franklin Gothic Book" w:hAnsi="Franklin Gothic Book"/>
          <w:sz w:val="21"/>
          <w:szCs w:val="21"/>
        </w:rPr>
        <w:t>2</w:t>
      </w:r>
      <w:r w:rsidRPr="00584819">
        <w:rPr>
          <w:rFonts w:ascii="Franklin Gothic Book" w:hAnsi="Franklin Gothic Book"/>
          <w:sz w:val="21"/>
          <w:szCs w:val="21"/>
        </w:rPr>
        <w:t xml:space="preserve"> award holders graduating in a range of disciplines. Australia also provided scholarships for 81 students to enrol in vocational training at the APTC with 84 I-Kiribati women and men graduating from APTC in 2013.  </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 xml:space="preserve">Strengthened public financial management and supported the GoK’s economic reform actions (including the introduction of a Value Added Tax in 2014).  </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Assisted the GoK to undertake key reforms to strengthen governance, improve budget planning and better coordinate development partner efforts.</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Completed the construction of the Betio Maternity Ward, easing congestion at the main hospital and to providing services for up to 2,500 women in adjacent communities.</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 xml:space="preserve">With the Secretariat for the Pacific Community and the Ministry of Health and Medical Services, provided more equitable and accessible tuberculosis services, especially for the poor and those in the more isolated areas. </w:t>
      </w:r>
    </w:p>
    <w:p w:rsidR="00584819" w:rsidRPr="00584819" w:rsidRDefault="00584819" w:rsidP="00584819">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Helped more children with a disability access quality education services at the Kiribati School and Centre for Children with Special Needs (increasing enrolment from 80 in 2008 to 137 in 2014).</w:t>
      </w:r>
    </w:p>
    <w:p w:rsidR="00C821F7" w:rsidRPr="00817C3D" w:rsidRDefault="00584819" w:rsidP="00817C3D">
      <w:pPr>
        <w:pStyle w:val="ListParagraph"/>
        <w:numPr>
          <w:ilvl w:val="0"/>
          <w:numId w:val="49"/>
        </w:numPr>
        <w:spacing w:after="160" w:line="280" w:lineRule="exact"/>
        <w:rPr>
          <w:rFonts w:ascii="Franklin Gothic Book" w:hAnsi="Franklin Gothic Book"/>
          <w:sz w:val="21"/>
          <w:szCs w:val="21"/>
        </w:rPr>
      </w:pPr>
      <w:r w:rsidRPr="00584819">
        <w:rPr>
          <w:rFonts w:ascii="Franklin Gothic Book" w:hAnsi="Franklin Gothic Book"/>
          <w:sz w:val="21"/>
          <w:szCs w:val="21"/>
        </w:rPr>
        <w:t>Continued to finance the World Bank-led program to rehabilitate the road on South Tarawa.</w:t>
      </w:r>
      <w:bookmarkEnd w:id="1"/>
    </w:p>
    <w:p w:rsidR="00817C3D" w:rsidRDefault="00817C3D">
      <w:pPr>
        <w:rPr>
          <w:rFonts w:ascii="Helvetica" w:eastAsia="Times New Roman" w:hAnsi="Helvetica" w:cs="Arial"/>
          <w:color w:val="007FAD"/>
          <w:kern w:val="28"/>
          <w:sz w:val="28"/>
          <w:szCs w:val="28"/>
        </w:rPr>
      </w:pPr>
      <w:r>
        <w:rPr>
          <w:sz w:val="28"/>
        </w:rPr>
        <w:br w:type="page"/>
      </w:r>
    </w:p>
    <w:p w:rsidR="00855C57" w:rsidRPr="006E4CFF" w:rsidRDefault="000D733F" w:rsidP="006E4CFF">
      <w:pPr>
        <w:pStyle w:val="Heading2"/>
        <w:rPr>
          <w:rFonts w:ascii="Franklin Gothic Book" w:hAnsi="Franklin Gothic Book" w:cs="Times New Roman"/>
          <w:color w:val="auto"/>
          <w:sz w:val="21"/>
          <w:szCs w:val="24"/>
        </w:rPr>
      </w:pPr>
      <w:r w:rsidRPr="009E38C1">
        <w:rPr>
          <w:sz w:val="28"/>
        </w:rPr>
        <w:lastRenderedPageBreak/>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A6265E" w:rsidRDefault="007D0C65" w:rsidP="006E4CFF">
      <w:pPr>
        <w:pStyle w:val="BodyText"/>
      </w:pPr>
      <w:r>
        <w:t xml:space="preserve">Kiribati has experienced three years of economic growth spurred by </w:t>
      </w:r>
      <w:r w:rsidR="00A6265E">
        <w:t>aid projects and increased private sector investment.</w:t>
      </w:r>
      <w:r w:rsidR="009310FA">
        <w:t xml:space="preserve"> </w:t>
      </w:r>
      <w:r w:rsidR="00BF0687">
        <w:t>In 2013 a</w:t>
      </w:r>
      <w:r w:rsidR="00D95655">
        <w:t xml:space="preserve"> boost in </w:t>
      </w:r>
      <w:r w:rsidR="00A6265E">
        <w:t>Government revenues</w:t>
      </w:r>
      <w:r w:rsidR="00E744A4">
        <w:t>,</w:t>
      </w:r>
      <w:r w:rsidR="00A6265E">
        <w:t xml:space="preserve"> </w:t>
      </w:r>
      <w:r w:rsidR="00D95655">
        <w:t xml:space="preserve">based upon </w:t>
      </w:r>
      <w:r w:rsidR="00A6265E">
        <w:t xml:space="preserve">unusually high fishing </w:t>
      </w:r>
      <w:r w:rsidR="00C3325E">
        <w:t>revenue</w:t>
      </w:r>
      <w:r w:rsidR="00D95655">
        <w:t xml:space="preserve">, enabled </w:t>
      </w:r>
      <w:r w:rsidR="00A6265E">
        <w:t xml:space="preserve">government </w:t>
      </w:r>
      <w:r w:rsidR="00D95655">
        <w:t xml:space="preserve">to </w:t>
      </w:r>
      <w:r w:rsidR="00A6265E">
        <w:t xml:space="preserve">clear its commercial debt and to </w:t>
      </w:r>
      <w:r w:rsidR="00D95655">
        <w:t xml:space="preserve">inject a small capital sum </w:t>
      </w:r>
      <w:r w:rsidR="00A6265E">
        <w:t xml:space="preserve">to the </w:t>
      </w:r>
      <w:r w:rsidR="002C001C">
        <w:t>sovereign</w:t>
      </w:r>
      <w:r w:rsidR="00C04D97">
        <w:t xml:space="preserve"> wealth fund (</w:t>
      </w:r>
      <w:r w:rsidR="00A6265E">
        <w:t>RERF</w:t>
      </w:r>
      <w:r w:rsidR="00C04D97">
        <w:t>)</w:t>
      </w:r>
      <w:r w:rsidR="00A6265E">
        <w:t xml:space="preserve">.  </w:t>
      </w:r>
      <w:r w:rsidR="00E54B36">
        <w:t>D</w:t>
      </w:r>
      <w:r w:rsidR="00A6265E">
        <w:t xml:space="preserve">espite </w:t>
      </w:r>
      <w:r w:rsidR="00D95655">
        <w:t>substantial progress with its economic reform program</w:t>
      </w:r>
      <w:r w:rsidR="00A6265E">
        <w:t xml:space="preserve">, </w:t>
      </w:r>
      <w:r w:rsidR="00D95655">
        <w:t xml:space="preserve">Kiribati continues to face </w:t>
      </w:r>
      <w:r w:rsidR="00A6265E">
        <w:t>many challenges</w:t>
      </w:r>
      <w:r w:rsidR="00D95655">
        <w:t>.</w:t>
      </w:r>
      <w:r w:rsidR="00A6265E">
        <w:t xml:space="preserve"> The IMF Article IV </w:t>
      </w:r>
      <w:r w:rsidR="00C04D97">
        <w:t xml:space="preserve">of 2014 </w:t>
      </w:r>
      <w:r w:rsidR="00A6265E">
        <w:t>states:</w:t>
      </w:r>
    </w:p>
    <w:p w:rsidR="00A6265E" w:rsidRDefault="00A6265E" w:rsidP="00A6265E">
      <w:pPr>
        <w:pStyle w:val="ListBullet"/>
        <w:numPr>
          <w:ilvl w:val="0"/>
          <w:numId w:val="0"/>
        </w:numPr>
        <w:tabs>
          <w:tab w:val="clear" w:pos="284"/>
        </w:tabs>
        <w:ind w:left="4755" w:hanging="360"/>
      </w:pPr>
      <w:r>
        <w:rPr>
          <w:noProof/>
        </w:rPr>
        <mc:AlternateContent>
          <mc:Choice Requires="wps">
            <w:drawing>
              <wp:anchor distT="0" distB="0" distL="114300" distR="114300" simplePos="0" relativeHeight="251667456" behindDoc="0" locked="0" layoutInCell="1" allowOverlap="1" wp14:anchorId="404FF59D" wp14:editId="568E6D90">
                <wp:simplePos x="0" y="0"/>
                <wp:positionH relativeFrom="column">
                  <wp:align>center</wp:align>
                </wp:positionH>
                <wp:positionV relativeFrom="paragraph">
                  <wp:posOffset>0</wp:posOffset>
                </wp:positionV>
                <wp:extent cx="5314950" cy="12668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266825"/>
                        </a:xfrm>
                        <a:prstGeom prst="rect">
                          <a:avLst/>
                        </a:prstGeom>
                        <a:solidFill>
                          <a:srgbClr val="FFFFFF"/>
                        </a:solidFill>
                        <a:ln w="9525">
                          <a:solidFill>
                            <a:srgbClr val="000000"/>
                          </a:solidFill>
                          <a:miter lim="800000"/>
                          <a:headEnd/>
                          <a:tailEnd/>
                        </a:ln>
                      </wps:spPr>
                      <wps:txbx>
                        <w:txbxContent>
                          <w:p w:rsidR="0072492D" w:rsidRDefault="0072492D" w:rsidP="00A6265E">
                            <w:pPr>
                              <w:shd w:val="clear" w:color="auto" w:fill="DAEEF3" w:themeFill="accent5" w:themeFillTint="33"/>
                            </w:pPr>
                            <w:r>
                              <w:rPr>
                                <w:rFonts w:ascii="Franklin Gothic Book" w:eastAsia="Times New Roman" w:hAnsi="Franklin Gothic Book"/>
                                <w:b/>
                                <w:sz w:val="21"/>
                              </w:rPr>
                              <w:t>IMF Article IV</w:t>
                            </w:r>
                            <w:r>
                              <w:rPr>
                                <w:rFonts w:ascii="Franklin Gothic Book" w:eastAsia="Times New Roman" w:hAnsi="Franklin Gothic Book"/>
                                <w:b/>
                                <w:sz w:val="21"/>
                              </w:rPr>
                              <w:br/>
                            </w:r>
                            <w:r>
                              <w:rPr>
                                <w:rFonts w:ascii="Franklin Gothic Book" w:eastAsia="Times New Roman" w:hAnsi="Franklin Gothic Book"/>
                                <w:sz w:val="21"/>
                              </w:rPr>
                              <w:t>K</w:t>
                            </w:r>
                            <w:r w:rsidRPr="007D0C65">
                              <w:rPr>
                                <w:rFonts w:ascii="Franklin Gothic Book" w:eastAsia="Times New Roman" w:hAnsi="Franklin Gothic Book"/>
                                <w:sz w:val="21"/>
                              </w:rPr>
                              <w:t>ey economic challenges are to reduce large structural fiscal imbalances and increase growth and employment opportunities, while facing obstacles posed by remoteness, lack of scale, vulnerabilities to external shocks and climate change.</w:t>
                            </w:r>
                            <w:r w:rsidRPr="00D13CEF">
                              <w:t xml:space="preserve"> </w:t>
                            </w:r>
                            <w:r w:rsidRPr="007D0C65">
                              <w:rPr>
                                <w:rFonts w:ascii="Franklin Gothic Book" w:eastAsia="Times New Roman" w:hAnsi="Franklin Gothic Book"/>
                                <w:sz w:val="21"/>
                              </w:rPr>
                              <w:t>The small private sector share in the economy due to remoteness and weaknesses in</w:t>
                            </w:r>
                            <w:r>
                              <w:t xml:space="preserve"> </w:t>
                            </w:r>
                            <w:r w:rsidRPr="007D0C65">
                              <w:rPr>
                                <w:rFonts w:ascii="Franklin Gothic Book" w:eastAsia="Times New Roman" w:hAnsi="Franklin Gothic Book"/>
                                <w:sz w:val="21"/>
                              </w:rPr>
                              <w:t>business climate constrains growth and puts strain on public finances. Continuing the fiscal and structural reform program is essential. Climate change brings additional risks and fiscal 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18.5pt;height:99.7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">
                <v:textbox>
                  <w:txbxContent>
                    <w:p w:rsidR="0072492D" w:rsidRDefault="0072492D" w:rsidP="00A6265E">
                      <w:pPr>
                        <w:shd w:val="clear" w:color="auto" w:fill="DAEEF3" w:themeFill="accent5" w:themeFillTint="33"/>
                      </w:pPr>
                      <w:r>
                        <w:rPr>
                          <w:rFonts w:ascii="Franklin Gothic Book" w:eastAsia="Times New Roman" w:hAnsi="Franklin Gothic Book"/>
                          <w:b/>
                          <w:sz w:val="21"/>
                        </w:rPr>
                        <w:t>IMF Article IV</w:t>
                      </w:r>
                      <w:r>
                        <w:rPr>
                          <w:rFonts w:ascii="Franklin Gothic Book" w:eastAsia="Times New Roman" w:hAnsi="Franklin Gothic Book"/>
                          <w:b/>
                          <w:sz w:val="21"/>
                        </w:rPr>
                        <w:br/>
                      </w:r>
                      <w:r>
                        <w:rPr>
                          <w:rFonts w:ascii="Franklin Gothic Book" w:eastAsia="Times New Roman" w:hAnsi="Franklin Gothic Book"/>
                          <w:sz w:val="21"/>
                        </w:rPr>
                        <w:t>K</w:t>
                      </w:r>
                      <w:r w:rsidRPr="007D0C65">
                        <w:rPr>
                          <w:rFonts w:ascii="Franklin Gothic Book" w:eastAsia="Times New Roman" w:hAnsi="Franklin Gothic Book"/>
                          <w:sz w:val="21"/>
                        </w:rPr>
                        <w:t>ey economic challenges are to reduce large structural fiscal imbalances and increase growth and employment opportunities, while facing obstacles posed by remoteness, lack of scale, vulnerabilities to external shocks and climate change.</w:t>
                      </w:r>
                      <w:r w:rsidRPr="00D13CEF">
                        <w:t xml:space="preserve"> </w:t>
                      </w:r>
                      <w:r w:rsidRPr="007D0C65">
                        <w:rPr>
                          <w:rFonts w:ascii="Franklin Gothic Book" w:eastAsia="Times New Roman" w:hAnsi="Franklin Gothic Book"/>
                          <w:sz w:val="21"/>
                        </w:rPr>
                        <w:t>The small private sector share in the economy due to remoteness and weaknesses in</w:t>
                      </w:r>
                      <w:r>
                        <w:t xml:space="preserve"> </w:t>
                      </w:r>
                      <w:r w:rsidRPr="007D0C65">
                        <w:rPr>
                          <w:rFonts w:ascii="Franklin Gothic Book" w:eastAsia="Times New Roman" w:hAnsi="Franklin Gothic Book"/>
                          <w:sz w:val="21"/>
                        </w:rPr>
                        <w:t>business climate constrains growth and puts strain on public finances. Continuing the fiscal and structural reform program is essential. Climate change brings additional risks and fiscal costs.</w:t>
                      </w:r>
                    </w:p>
                  </w:txbxContent>
                </v:textbox>
              </v:shape>
            </w:pict>
          </mc:Fallback>
        </mc:AlternateContent>
      </w:r>
    </w:p>
    <w:p w:rsidR="00A6265E" w:rsidRDefault="00A6265E" w:rsidP="00A6265E">
      <w:pPr>
        <w:pStyle w:val="ListBullet"/>
        <w:numPr>
          <w:ilvl w:val="0"/>
          <w:numId w:val="0"/>
        </w:numPr>
        <w:tabs>
          <w:tab w:val="clear" w:pos="284"/>
        </w:tabs>
        <w:ind w:left="4755" w:hanging="360"/>
      </w:pPr>
    </w:p>
    <w:p w:rsidR="00A6265E" w:rsidRDefault="00A6265E" w:rsidP="00A6265E">
      <w:pPr>
        <w:pStyle w:val="ListBullet"/>
        <w:numPr>
          <w:ilvl w:val="0"/>
          <w:numId w:val="0"/>
        </w:numPr>
        <w:tabs>
          <w:tab w:val="clear" w:pos="284"/>
        </w:tabs>
        <w:ind w:left="4755" w:hanging="360"/>
      </w:pPr>
    </w:p>
    <w:p w:rsidR="00A6265E" w:rsidRDefault="00A6265E" w:rsidP="00A6265E">
      <w:pPr>
        <w:pStyle w:val="ListBullet"/>
        <w:numPr>
          <w:ilvl w:val="0"/>
          <w:numId w:val="0"/>
        </w:numPr>
        <w:tabs>
          <w:tab w:val="clear" w:pos="284"/>
        </w:tabs>
        <w:ind w:left="4755" w:hanging="360"/>
      </w:pPr>
    </w:p>
    <w:p w:rsidR="00A6265E" w:rsidRDefault="00A6265E" w:rsidP="00A6265E">
      <w:pPr>
        <w:pStyle w:val="ListBullet"/>
        <w:numPr>
          <w:ilvl w:val="0"/>
          <w:numId w:val="0"/>
        </w:numPr>
        <w:tabs>
          <w:tab w:val="clear" w:pos="284"/>
        </w:tabs>
        <w:ind w:left="4755" w:hanging="360"/>
      </w:pPr>
    </w:p>
    <w:p w:rsidR="00F26AE9" w:rsidRPr="00EE4E1F" w:rsidRDefault="00F26AE9" w:rsidP="006E4CFF">
      <w:pPr>
        <w:pStyle w:val="BodyText"/>
        <w:rPr>
          <w:sz w:val="10"/>
          <w:szCs w:val="10"/>
        </w:rPr>
      </w:pPr>
    </w:p>
    <w:p w:rsidR="00BE48A3" w:rsidRPr="007D0C65" w:rsidRDefault="008174AC" w:rsidP="002D2442">
      <w:pPr>
        <w:pStyle w:val="BodyText"/>
      </w:pPr>
      <w:r>
        <w:t>Kiribati has limited options to generate domestic revenue, with fishing licences</w:t>
      </w:r>
      <w:r w:rsidR="00F913CA">
        <w:t xml:space="preserve"> and joint venture revenue</w:t>
      </w:r>
      <w:r>
        <w:t>, remittances and aid</w:t>
      </w:r>
      <w:r w:rsidR="00A45430">
        <w:t xml:space="preserve"> comprising</w:t>
      </w:r>
      <w:r>
        <w:t xml:space="preserve"> the main source</w:t>
      </w:r>
      <w:r w:rsidR="00A45430">
        <w:t>s</w:t>
      </w:r>
      <w:r>
        <w:t xml:space="preserve"> of income.  </w:t>
      </w:r>
      <w:r w:rsidR="00BF0687">
        <w:t xml:space="preserve">The revenue flow from </w:t>
      </w:r>
      <w:r w:rsidR="00F913CA">
        <w:t xml:space="preserve">the </w:t>
      </w:r>
      <w:r w:rsidR="00BF0687">
        <w:t xml:space="preserve">fisheries </w:t>
      </w:r>
      <w:r w:rsidR="00F913CA">
        <w:t xml:space="preserve">sector </w:t>
      </w:r>
      <w:r w:rsidR="00BF0687">
        <w:t xml:space="preserve">remains particularly volatile. </w:t>
      </w:r>
      <w:r>
        <w:t xml:space="preserve">The introduction of the Value </w:t>
      </w:r>
      <w:r w:rsidRPr="00643933">
        <w:t>Added Tax</w:t>
      </w:r>
      <w:r w:rsidR="005561C2" w:rsidRPr="00643933">
        <w:t xml:space="preserve"> </w:t>
      </w:r>
      <w:r w:rsidR="00EE4E1F">
        <w:t xml:space="preserve">(VAT) </w:t>
      </w:r>
      <w:r w:rsidR="00924B24" w:rsidRPr="00643933">
        <w:t xml:space="preserve">in April 2014 </w:t>
      </w:r>
      <w:r w:rsidR="0034290B">
        <w:t xml:space="preserve">seeks to establish a more </w:t>
      </w:r>
      <w:r w:rsidR="005561C2" w:rsidRPr="00643933">
        <w:t xml:space="preserve">stable and predictable revenue source for the Government.   </w:t>
      </w:r>
      <w:r w:rsidR="00BE48A3" w:rsidRPr="00643933">
        <w:t>Government’s reform program</w:t>
      </w:r>
      <w:r w:rsidR="005561C2" w:rsidRPr="00643933">
        <w:t xml:space="preserve"> continues </w:t>
      </w:r>
      <w:r w:rsidR="00BE48A3" w:rsidRPr="00643933">
        <w:t xml:space="preserve">to address fiscal and structural challenges with </w:t>
      </w:r>
      <w:r w:rsidR="00BE48A3" w:rsidRPr="007D0C65">
        <w:t>the support of t</w:t>
      </w:r>
      <w:r w:rsidR="005561C2">
        <w:t>he donor community</w:t>
      </w:r>
      <w:r w:rsidR="00BE48A3" w:rsidRPr="007D0C65">
        <w:t xml:space="preserve">. </w:t>
      </w:r>
      <w:r w:rsidR="005561C2">
        <w:t xml:space="preserve"> </w:t>
      </w:r>
      <w:r w:rsidR="00BE48A3" w:rsidRPr="007D0C65">
        <w:t xml:space="preserve">Significant progress has been made in </w:t>
      </w:r>
      <w:r w:rsidR="00283596">
        <w:t>state owned enterprise (</w:t>
      </w:r>
      <w:r w:rsidR="00BE48A3" w:rsidRPr="007D0C65">
        <w:t>SOE</w:t>
      </w:r>
      <w:r w:rsidR="00283596">
        <w:t>)</w:t>
      </w:r>
      <w:r w:rsidR="00BE48A3" w:rsidRPr="007D0C65">
        <w:t xml:space="preserve"> reform and work is underway to implement the </w:t>
      </w:r>
      <w:r w:rsidR="00BF0687">
        <w:t>national</w:t>
      </w:r>
      <w:r w:rsidR="00BE48A3" w:rsidRPr="007D0C65">
        <w:t xml:space="preserve"> fisheries policy, and </w:t>
      </w:r>
      <w:r w:rsidR="00C04D97">
        <w:t xml:space="preserve">to </w:t>
      </w:r>
      <w:r w:rsidR="00BE48A3" w:rsidRPr="007D0C65">
        <w:t xml:space="preserve">improve cash and debt management. Recent and planned improvements to infrastructure should </w:t>
      </w:r>
      <w:r w:rsidR="00C3325E">
        <w:t xml:space="preserve">continue to </w:t>
      </w:r>
      <w:r w:rsidR="00BE48A3" w:rsidRPr="007D0C65">
        <w:t xml:space="preserve">strengthen the growth momentum into the medium term. </w:t>
      </w:r>
    </w:p>
    <w:p w:rsidR="002D2442" w:rsidRPr="002D2442" w:rsidRDefault="002D2442" w:rsidP="002D2442">
      <w:pPr>
        <w:spacing w:after="160" w:line="280" w:lineRule="exact"/>
        <w:rPr>
          <w:rFonts w:ascii="Franklin Gothic Book" w:eastAsia="Times New Roman" w:hAnsi="Franklin Gothic Book"/>
          <w:sz w:val="21"/>
        </w:rPr>
      </w:pPr>
      <w:r w:rsidRPr="002D2442">
        <w:rPr>
          <w:rFonts w:ascii="Franklin Gothic Book" w:eastAsia="Times New Roman" w:hAnsi="Franklin Gothic Book"/>
          <w:sz w:val="21"/>
        </w:rPr>
        <w:t xml:space="preserve">As of December 2013, there were </w:t>
      </w:r>
      <w:r w:rsidR="000D04C4">
        <w:rPr>
          <w:rFonts w:ascii="Franklin Gothic Book" w:eastAsia="Times New Roman" w:hAnsi="Franklin Gothic Book"/>
          <w:sz w:val="21"/>
        </w:rPr>
        <w:t>656</w:t>
      </w:r>
      <w:r w:rsidRPr="002D2442">
        <w:rPr>
          <w:rFonts w:ascii="Franklin Gothic Book" w:eastAsia="Times New Roman" w:hAnsi="Franklin Gothic Book"/>
          <w:sz w:val="21"/>
        </w:rPr>
        <w:t xml:space="preserve"> Kiribati seafarers on board </w:t>
      </w:r>
      <w:r w:rsidR="00DB4A1C">
        <w:rPr>
          <w:rFonts w:ascii="Franklin Gothic Book" w:eastAsia="Times New Roman" w:hAnsi="Franklin Gothic Book"/>
          <w:sz w:val="21"/>
        </w:rPr>
        <w:t>container</w:t>
      </w:r>
      <w:r w:rsidR="00DB4A1C" w:rsidRPr="002D2442">
        <w:rPr>
          <w:rFonts w:ascii="Franklin Gothic Book" w:eastAsia="Times New Roman" w:hAnsi="Franklin Gothic Book"/>
          <w:sz w:val="21"/>
        </w:rPr>
        <w:t xml:space="preserve"> </w:t>
      </w:r>
      <w:r w:rsidRPr="002D2442">
        <w:rPr>
          <w:rFonts w:ascii="Franklin Gothic Book" w:eastAsia="Times New Roman" w:hAnsi="Franklin Gothic Book"/>
          <w:sz w:val="21"/>
        </w:rPr>
        <w:t>vessels, compared to 1</w:t>
      </w:r>
      <w:r w:rsidR="0034290B">
        <w:rPr>
          <w:rFonts w:ascii="Franklin Gothic Book" w:eastAsia="Times New Roman" w:hAnsi="Franklin Gothic Book"/>
          <w:sz w:val="21"/>
        </w:rPr>
        <w:t>,</w:t>
      </w:r>
      <w:r w:rsidRPr="002D2442">
        <w:rPr>
          <w:rFonts w:ascii="Franklin Gothic Book" w:eastAsia="Times New Roman" w:hAnsi="Franklin Gothic Book"/>
          <w:sz w:val="21"/>
        </w:rPr>
        <w:t>452 in 2006</w:t>
      </w:r>
      <w:r w:rsidRPr="002D2442">
        <w:rPr>
          <w:rStyle w:val="FootnoteReference"/>
        </w:rPr>
        <w:footnoteReference w:id="1"/>
      </w:r>
      <w:r w:rsidRPr="002D2442">
        <w:rPr>
          <w:rFonts w:ascii="Franklin Gothic Book" w:eastAsia="Times New Roman" w:hAnsi="Franklin Gothic Book"/>
          <w:sz w:val="21"/>
        </w:rPr>
        <w:t>.</w:t>
      </w:r>
      <w:r w:rsidR="000D04C4">
        <w:rPr>
          <w:rFonts w:ascii="Franklin Gothic Book" w:eastAsia="Times New Roman" w:hAnsi="Franklin Gothic Book"/>
          <w:sz w:val="21"/>
        </w:rPr>
        <w:t xml:space="preserve"> </w:t>
      </w:r>
      <w:r w:rsidRPr="002D2442">
        <w:rPr>
          <w:rFonts w:ascii="Franklin Gothic Book" w:eastAsia="Times New Roman" w:hAnsi="Franklin Gothic Book"/>
          <w:sz w:val="21"/>
        </w:rPr>
        <w:t xml:space="preserve">Over the </w:t>
      </w:r>
      <w:r w:rsidR="006F4B73">
        <w:rPr>
          <w:rFonts w:ascii="Franklin Gothic Book" w:eastAsia="Times New Roman" w:hAnsi="Franklin Gothic Book"/>
          <w:sz w:val="21"/>
        </w:rPr>
        <w:t xml:space="preserve">same </w:t>
      </w:r>
      <w:r w:rsidRPr="002D2442">
        <w:rPr>
          <w:rFonts w:ascii="Franklin Gothic Book" w:eastAsia="Times New Roman" w:hAnsi="Franklin Gothic Book"/>
          <w:sz w:val="21"/>
        </w:rPr>
        <w:t xml:space="preserve">period, seafarer remittances fell </w:t>
      </w:r>
      <w:r w:rsidR="000D04C4">
        <w:rPr>
          <w:rFonts w:ascii="Franklin Gothic Book" w:eastAsia="Times New Roman" w:hAnsi="Franklin Gothic Book"/>
          <w:sz w:val="21"/>
        </w:rPr>
        <w:t>from 10</w:t>
      </w:r>
      <w:r w:rsidRPr="002D2442">
        <w:rPr>
          <w:rFonts w:ascii="Franklin Gothic Book" w:eastAsia="Times New Roman" w:hAnsi="Franklin Gothic Book"/>
          <w:sz w:val="21"/>
        </w:rPr>
        <w:t xml:space="preserve"> </w:t>
      </w:r>
      <w:r w:rsidR="000D04C4" w:rsidRPr="002D2442">
        <w:rPr>
          <w:rFonts w:ascii="Franklin Gothic Book" w:eastAsia="Times New Roman" w:hAnsi="Franklin Gothic Book"/>
          <w:sz w:val="21"/>
        </w:rPr>
        <w:t xml:space="preserve">percent </w:t>
      </w:r>
      <w:r w:rsidR="000D04C4">
        <w:rPr>
          <w:rFonts w:ascii="Franklin Gothic Book" w:eastAsia="Times New Roman" w:hAnsi="Franklin Gothic Book"/>
          <w:sz w:val="21"/>
        </w:rPr>
        <w:t xml:space="preserve">to 6 percent </w:t>
      </w:r>
      <w:r w:rsidRPr="002D2442">
        <w:rPr>
          <w:rFonts w:ascii="Franklin Gothic Book" w:eastAsia="Times New Roman" w:hAnsi="Franklin Gothic Book"/>
          <w:sz w:val="21"/>
        </w:rPr>
        <w:t xml:space="preserve">of GDP. The fall in the number of seafarers in employment </w:t>
      </w:r>
      <w:r w:rsidR="000D04C4">
        <w:rPr>
          <w:rFonts w:ascii="Franklin Gothic Book" w:eastAsia="Times New Roman" w:hAnsi="Franklin Gothic Book"/>
          <w:sz w:val="21"/>
        </w:rPr>
        <w:t>is due to</w:t>
      </w:r>
      <w:r w:rsidRPr="002D2442">
        <w:rPr>
          <w:rFonts w:ascii="Franklin Gothic Book" w:eastAsia="Times New Roman" w:hAnsi="Franklin Gothic Book"/>
          <w:sz w:val="21"/>
        </w:rPr>
        <w:t xml:space="preserve"> lower demand as well as high transaction costs of sourcing seafarers from Kiribati.</w:t>
      </w:r>
      <w:r w:rsidR="000D04C4">
        <w:rPr>
          <w:rFonts w:ascii="Franklin Gothic Book" w:eastAsia="Times New Roman" w:hAnsi="Franklin Gothic Book"/>
          <w:sz w:val="21"/>
        </w:rPr>
        <w:t xml:space="preserve"> </w:t>
      </w:r>
      <w:r w:rsidR="00F913CA">
        <w:rPr>
          <w:rFonts w:ascii="Franklin Gothic Book" w:eastAsia="Times New Roman" w:hAnsi="Franklin Gothic Book"/>
          <w:sz w:val="21"/>
        </w:rPr>
        <w:t xml:space="preserve"> Access agreements currently dictate I-Kiribati crewing requirements and I-Kiribati crew have built a strong regional reputation, particularly among Japanese fleets.  It is estimated that approximately 325 I-Kiribati crew are working on Japanese fishing vessels and between 100 and 200 on Korean, Taiwanese and Chinese fleets</w:t>
      </w:r>
      <w:r w:rsidR="00E57BFF">
        <w:rPr>
          <w:rStyle w:val="FootnoteReference"/>
          <w:rFonts w:eastAsia="Times New Roman"/>
        </w:rPr>
        <w:footnoteReference w:id="2"/>
      </w:r>
      <w:r w:rsidR="00E57BFF">
        <w:rPr>
          <w:rStyle w:val="FootnoteReference"/>
        </w:rPr>
        <w:t>.</w:t>
      </w:r>
    </w:p>
    <w:p w:rsidR="005561C2" w:rsidRPr="00E62ABA" w:rsidRDefault="005561C2" w:rsidP="002D2442">
      <w:pPr>
        <w:pStyle w:val="BodyText"/>
      </w:pPr>
      <w:r>
        <w:t>Lack of current data limits accurate measurement of poverty and hardship in Kiribati.  DFAT’s K</w:t>
      </w:r>
      <w:r w:rsidR="00DD608F">
        <w:t xml:space="preserve">iribati Poverty Assessment 2013, which </w:t>
      </w:r>
      <w:r w:rsidR="00EE4E1F">
        <w:t xml:space="preserve">is based upon </w:t>
      </w:r>
      <w:r w:rsidR="00DD608F">
        <w:t xml:space="preserve">the Household Income and Expenditure Survey from 2006 and focus group discussions, found that while communities support each other to provide basic needs (food and accommodation) there is an increasing need for cash </w:t>
      </w:r>
      <w:r w:rsidR="00DD608F" w:rsidRPr="00E62ABA">
        <w:t>and ways to earn money are</w:t>
      </w:r>
      <w:r w:rsidR="00DD608F" w:rsidRPr="00D87377">
        <w:t xml:space="preserve"> </w:t>
      </w:r>
      <w:r w:rsidR="00082E72" w:rsidRPr="00D87377">
        <w:t>limit</w:t>
      </w:r>
      <w:r w:rsidR="00DD608F" w:rsidRPr="00D87377">
        <w:t>ed</w:t>
      </w:r>
      <w:r w:rsidR="00113DC6">
        <w:t>, with very high rates of unemployment</w:t>
      </w:r>
      <w:r w:rsidR="00A45430">
        <w:t>.</w:t>
      </w:r>
      <w:r w:rsidR="00464F51">
        <w:t xml:space="preserve"> The 2010 census reported 31% of the workforce unemployed. Of those in work, 38% were in unpaid labour (subsistence activity, home duties</w:t>
      </w:r>
      <w:r w:rsidR="00163149">
        <w:t xml:space="preserve"> and</w:t>
      </w:r>
      <w:r w:rsidR="00464F51">
        <w:t xml:space="preserve"> voluntary work). </w:t>
      </w:r>
      <w:r w:rsidR="00DD608F" w:rsidRPr="00E62ABA">
        <w:t xml:space="preserve"> The public sector is by far the largest employer in Kiribati representing 42 percent of formal employment</w:t>
      </w:r>
      <w:r w:rsidR="00DD608F" w:rsidRPr="00C91291">
        <w:rPr>
          <w:rStyle w:val="FootnoteReference"/>
        </w:rPr>
        <w:footnoteReference w:id="3"/>
      </w:r>
      <w:r w:rsidR="00DD608F" w:rsidRPr="00C91291">
        <w:rPr>
          <w:rStyle w:val="FootnoteReference"/>
        </w:rPr>
        <w:t>.</w:t>
      </w:r>
    </w:p>
    <w:p w:rsidR="00DD608F" w:rsidRDefault="00DD608F" w:rsidP="006E4CFF">
      <w:pPr>
        <w:pStyle w:val="BodyText"/>
      </w:pPr>
      <w:r w:rsidRPr="00E62ABA">
        <w:t xml:space="preserve">Kiribati is not currently on track to meet any of </w:t>
      </w:r>
      <w:r w:rsidR="00A479F7" w:rsidRPr="00E62ABA">
        <w:t xml:space="preserve">the </w:t>
      </w:r>
      <w:r w:rsidR="00940E7B" w:rsidRPr="00E62ABA">
        <w:t>Millennium</w:t>
      </w:r>
      <w:r w:rsidR="00A479F7" w:rsidRPr="00E62ABA">
        <w:t xml:space="preserve"> Development Goals</w:t>
      </w:r>
      <w:r w:rsidR="00A479F7" w:rsidRPr="00C91291">
        <w:rPr>
          <w:rStyle w:val="FootnoteReference"/>
        </w:rPr>
        <w:footnoteReference w:id="4"/>
      </w:r>
      <w:r w:rsidR="00A479F7" w:rsidRPr="00C91291">
        <w:rPr>
          <w:rStyle w:val="FootnoteReference"/>
        </w:rPr>
        <w:t>.</w:t>
      </w:r>
      <w:r w:rsidR="00A479F7" w:rsidRPr="00E62ABA">
        <w:t xml:space="preserve">  In particular, they are off track for MDG 1 (Poverty), MDG 2 (Universal Primary Education), MDG 6 (Combat HIV/AIDS, Malaria and TB) and MDG 7 (Environmental Sustainability).  MDG 3 (Gender Equality) is achieving results, with gender parity in education met, and gender representation in parliament improved.  However, there </w:t>
      </w:r>
      <w:r w:rsidR="00842378" w:rsidRPr="00D87377">
        <w:t>are</w:t>
      </w:r>
      <w:r w:rsidR="00A479F7" w:rsidRPr="00E62ABA">
        <w:t xml:space="preserve"> still low </w:t>
      </w:r>
      <w:r w:rsidR="00A479F7">
        <w:t xml:space="preserve">rates of female participation in the workforce.  MDG 4 (Child mortality) and MDG 5 (Maternal Mortality) have mixed results. </w:t>
      </w:r>
    </w:p>
    <w:p w:rsidR="00A479F7" w:rsidRPr="002A4292" w:rsidRDefault="00A479F7" w:rsidP="00A479F7">
      <w:pPr>
        <w:pStyle w:val="Heading2"/>
      </w:pPr>
      <w:r w:rsidRPr="002A4292">
        <w:t xml:space="preserve">Development </w:t>
      </w:r>
      <w:r>
        <w:t>p</w:t>
      </w:r>
      <w:r w:rsidRPr="002A4292">
        <w:t xml:space="preserve">artners </w:t>
      </w:r>
    </w:p>
    <w:p w:rsidR="00233028" w:rsidRDefault="00233028" w:rsidP="00233028">
      <w:pPr>
        <w:pStyle w:val="BodyText"/>
      </w:pPr>
      <w:r>
        <w:t xml:space="preserve">Australia has historically been </w:t>
      </w:r>
      <w:r w:rsidR="006F4B73">
        <w:t>a major</w:t>
      </w:r>
      <w:r>
        <w:t xml:space="preserve"> development partner</w:t>
      </w:r>
      <w:r w:rsidR="00283596">
        <w:t xml:space="preserve"> in</w:t>
      </w:r>
      <w:r>
        <w:t xml:space="preserve"> Kiribati, providing $</w:t>
      </w:r>
      <w:r w:rsidR="00283596">
        <w:t>32.2</w:t>
      </w:r>
      <w:r>
        <w:t xml:space="preserve"> million in</w:t>
      </w:r>
      <w:r w:rsidR="00CD5F74">
        <w:t xml:space="preserve"> total ODA in</w:t>
      </w:r>
      <w:r>
        <w:t xml:space="preserve"> 2013–14. Australia’s relationship with the Government of Kiribati </w:t>
      </w:r>
      <w:r w:rsidR="00163149">
        <w:t xml:space="preserve">(GoK) </w:t>
      </w:r>
      <w:r>
        <w:t>remains strong</w:t>
      </w:r>
      <w:r w:rsidR="00464F51">
        <w:t xml:space="preserve"> even though </w:t>
      </w:r>
      <w:r>
        <w:t xml:space="preserve">other donors </w:t>
      </w:r>
      <w:r w:rsidR="002D6DCE">
        <w:t xml:space="preserve">have increased </w:t>
      </w:r>
      <w:r>
        <w:t xml:space="preserve">their assistance. In 2013, Japan </w:t>
      </w:r>
      <w:r w:rsidR="002D6DCE">
        <w:t xml:space="preserve">became </w:t>
      </w:r>
      <w:r>
        <w:t xml:space="preserve">the largest donor, primarily </w:t>
      </w:r>
      <w:r w:rsidR="008E6429">
        <w:t>due to</w:t>
      </w:r>
      <w:r>
        <w:t xml:space="preserve"> </w:t>
      </w:r>
      <w:r w:rsidR="002D6DCE">
        <w:t xml:space="preserve">a </w:t>
      </w:r>
      <w:r>
        <w:t>significant investment</w:t>
      </w:r>
      <w:r w:rsidR="008E6429">
        <w:t xml:space="preserve"> (approx. $40 million)</w:t>
      </w:r>
      <w:r>
        <w:t xml:space="preserve"> in the port redevelopment in Tarawa.  </w:t>
      </w:r>
    </w:p>
    <w:p w:rsidR="00C24AF3" w:rsidRPr="00EE7B02" w:rsidRDefault="00D565C9" w:rsidP="00EE4E1F">
      <w:pPr>
        <w:pStyle w:val="BodyText"/>
      </w:pPr>
      <w:r w:rsidRPr="00EE7B02">
        <w:t>DFAT</w:t>
      </w:r>
      <w:r w:rsidR="00A479F7" w:rsidRPr="00EE7B02">
        <w:t xml:space="preserve"> administers approximately 98 per cent of Australia’s official development assistance to Kiribati. </w:t>
      </w:r>
      <w:r w:rsidR="00B30F7E">
        <w:t xml:space="preserve">During 2013/14 several </w:t>
      </w:r>
      <w:r w:rsidR="00B30F7E" w:rsidRPr="00EE4E1F">
        <w:t xml:space="preserve">other </w:t>
      </w:r>
      <w:r w:rsidR="00EF7141" w:rsidRPr="00EE4E1F">
        <w:t xml:space="preserve">Australian </w:t>
      </w:r>
      <w:r w:rsidR="00B30F7E" w:rsidRPr="00EE4E1F">
        <w:t>Government Departments</w:t>
      </w:r>
      <w:r w:rsidR="00B30F7E">
        <w:t xml:space="preserve"> supported activities in Kiribati.  </w:t>
      </w:r>
      <w:r w:rsidR="00B30F7E" w:rsidRPr="00EE4E1F">
        <w:rPr>
          <w:b/>
        </w:rPr>
        <w:t>The Australian Public Service Commission</w:t>
      </w:r>
      <w:r w:rsidR="00B30F7E">
        <w:t xml:space="preserve"> partnered with the GoK to implement a whole of government public sector performance improvement plan to improve essential services delivery</w:t>
      </w:r>
      <w:r w:rsidR="00E54B36">
        <w:t xml:space="preserve"> by implementing performance frameworks for new delivery standards</w:t>
      </w:r>
      <w:r w:rsidR="00B30F7E">
        <w:t xml:space="preserve">.  </w:t>
      </w:r>
      <w:r w:rsidR="00A479F7" w:rsidRPr="00EE7B02">
        <w:t xml:space="preserve">The </w:t>
      </w:r>
      <w:r w:rsidR="00A479F7" w:rsidRPr="00EE7B02">
        <w:rPr>
          <w:b/>
        </w:rPr>
        <w:t>Department of Defence</w:t>
      </w:r>
      <w:r w:rsidR="00A479F7" w:rsidRPr="00EE7B02">
        <w:t xml:space="preserve"> supported defence co-operation activities, including</w:t>
      </w:r>
      <w:r w:rsidR="00C24AF3" w:rsidRPr="00EE7B02">
        <w:t xml:space="preserve"> the </w:t>
      </w:r>
      <w:r w:rsidR="00A479F7" w:rsidRPr="00EE7B02">
        <w:t xml:space="preserve">Pacific Patrol Boat Program </w:t>
      </w:r>
      <w:r w:rsidR="00C24AF3" w:rsidRPr="00EE7B02">
        <w:t xml:space="preserve">and </w:t>
      </w:r>
      <w:r w:rsidR="00E54B36" w:rsidRPr="00EE7B02">
        <w:t xml:space="preserve">police force </w:t>
      </w:r>
      <w:r w:rsidR="00C24AF3" w:rsidRPr="00EE7B02">
        <w:t xml:space="preserve">capacity </w:t>
      </w:r>
      <w:r w:rsidR="00A479F7" w:rsidRPr="00EE7B02">
        <w:t xml:space="preserve">building. </w:t>
      </w:r>
      <w:r w:rsidR="00DB4A1C">
        <w:t>The Australian Federal Police and the Attorney general’s Department also provide capacity building support.</w:t>
      </w:r>
    </w:p>
    <w:p w:rsidR="00A479F7" w:rsidRPr="002A4292" w:rsidRDefault="001C23D2" w:rsidP="00A479F7">
      <w:pPr>
        <w:pStyle w:val="BodyText"/>
      </w:pPr>
      <w:r>
        <w:t>Several</w:t>
      </w:r>
      <w:r w:rsidR="0033731F">
        <w:t xml:space="preserve"> </w:t>
      </w:r>
      <w:r w:rsidR="00A479F7" w:rsidRPr="002A4292">
        <w:t xml:space="preserve">other bilateral and multilateral donors </w:t>
      </w:r>
      <w:r w:rsidR="00A479F7">
        <w:t>support</w:t>
      </w:r>
      <w:r w:rsidR="00A479F7" w:rsidRPr="002A4292">
        <w:t xml:space="preserve"> Kiribati and </w:t>
      </w:r>
      <w:r w:rsidR="00A479F7">
        <w:t xml:space="preserve">Australia </w:t>
      </w:r>
      <w:r w:rsidR="000255AC">
        <w:t>cooperates</w:t>
      </w:r>
      <w:r w:rsidR="00A479F7" w:rsidRPr="002A4292">
        <w:t xml:space="preserve"> closely with </w:t>
      </w:r>
      <w:r w:rsidR="00A479F7">
        <w:t>them</w:t>
      </w:r>
      <w:r w:rsidR="000255AC">
        <w:t xml:space="preserve">.  </w:t>
      </w:r>
      <w:r w:rsidR="00A479F7">
        <w:t xml:space="preserve">Key </w:t>
      </w:r>
      <w:r w:rsidR="00A479F7" w:rsidRPr="000859E5">
        <w:t xml:space="preserve">Organisation for Economic Co-operation and Development (OECD) </w:t>
      </w:r>
      <w:r w:rsidR="00A479F7">
        <w:t>Development Assistance Committee (DAC) par</w:t>
      </w:r>
      <w:r w:rsidR="00A479F7" w:rsidRPr="000859E5">
        <w:t xml:space="preserve">tners are listed in </w:t>
      </w:r>
      <w:r w:rsidR="00A479F7">
        <w:t>T</w:t>
      </w:r>
      <w:r w:rsidR="00A479F7" w:rsidRPr="000859E5">
        <w:t xml:space="preserve">able </w:t>
      </w:r>
      <w:r w:rsidR="00163149">
        <w:t>1</w:t>
      </w:r>
      <w:r w:rsidR="00A479F7" w:rsidRPr="000859E5">
        <w:t>.</w:t>
      </w:r>
    </w:p>
    <w:p w:rsidR="00A479F7" w:rsidRPr="002A4292" w:rsidRDefault="005A6EBE" w:rsidP="00A479F7">
      <w:pPr>
        <w:pStyle w:val="Caption"/>
      </w:pPr>
      <w:r>
        <w:t>Table1</w:t>
      </w:r>
      <w:r w:rsidR="00A479F7" w:rsidRPr="002A4292">
        <w:t xml:space="preserve">: </w:t>
      </w:r>
      <w:r w:rsidR="00A479F7">
        <w:t xml:space="preserve">OECD DAC </w:t>
      </w:r>
      <w:r w:rsidR="00A479F7" w:rsidRPr="002A4292">
        <w:t xml:space="preserve">partner </w:t>
      </w:r>
      <w:r w:rsidR="00A479F7">
        <w:t>funding to</w:t>
      </w:r>
      <w:r w:rsidR="00A479F7" w:rsidRPr="002A4292">
        <w:t xml:space="preserve"> Kiribati in 201</w:t>
      </w:r>
      <w:r>
        <w:t>2</w:t>
      </w:r>
    </w:p>
    <w:tbl>
      <w:tblPr>
        <w:tblStyle w:val="APPR"/>
        <w:tblW w:w="8472" w:type="dxa"/>
        <w:tblLook w:val="04A0" w:firstRow="1" w:lastRow="0" w:firstColumn="1" w:lastColumn="0" w:noHBand="0" w:noVBand="1"/>
      </w:tblPr>
      <w:tblGrid>
        <w:gridCol w:w="2788"/>
        <w:gridCol w:w="1377"/>
        <w:gridCol w:w="3092"/>
        <w:gridCol w:w="1215"/>
      </w:tblGrid>
      <w:tr w:rsidR="00A479F7" w:rsidRPr="00A52843" w:rsidTr="00EE4E1F">
        <w:trPr>
          <w:cnfStyle w:val="100000000000" w:firstRow="1" w:lastRow="0" w:firstColumn="0" w:lastColumn="0" w:oddVBand="0" w:evenVBand="0" w:oddHBand="0" w:evenHBand="0" w:firstRowFirstColumn="0" w:firstRowLastColumn="0" w:lastRowFirstColumn="0" w:lastRowLastColumn="0"/>
        </w:trPr>
        <w:tc>
          <w:tcPr>
            <w:tcW w:w="2746" w:type="dxa"/>
          </w:tcPr>
          <w:p w:rsidR="00A479F7" w:rsidRPr="00A52843" w:rsidRDefault="00A479F7" w:rsidP="00F17DAF">
            <w:pPr>
              <w:pStyle w:val="TableTextColumnHeading"/>
              <w:rPr>
                <w:b/>
              </w:rPr>
            </w:pPr>
            <w:r w:rsidRPr="00A52843">
              <w:rPr>
                <w:b/>
              </w:rPr>
              <w:t>Donor</w:t>
            </w:r>
          </w:p>
        </w:tc>
        <w:tc>
          <w:tcPr>
            <w:tcW w:w="1349" w:type="dxa"/>
          </w:tcPr>
          <w:p w:rsidR="00A479F7" w:rsidRPr="00A52843" w:rsidRDefault="00A479F7" w:rsidP="00F17DAF">
            <w:pPr>
              <w:pStyle w:val="TableTextColumnHeading"/>
              <w:rPr>
                <w:b/>
              </w:rPr>
            </w:pPr>
            <w:r w:rsidRPr="00A52843">
              <w:rPr>
                <w:b/>
              </w:rPr>
              <w:t>201</w:t>
            </w:r>
            <w:r w:rsidR="005A6EBE">
              <w:rPr>
                <w:b/>
              </w:rPr>
              <w:t>2</w:t>
            </w:r>
          </w:p>
          <w:p w:rsidR="00A479F7" w:rsidRPr="00A52843" w:rsidRDefault="00A479F7" w:rsidP="00F17DAF">
            <w:pPr>
              <w:pStyle w:val="TableTextColumnHeading"/>
              <w:rPr>
                <w:b/>
              </w:rPr>
            </w:pPr>
            <w:r w:rsidRPr="00C91291">
              <w:t>(</w:t>
            </w:r>
            <w:r w:rsidR="005A6EBE" w:rsidRPr="00C91291">
              <w:t>US</w:t>
            </w:r>
            <w:r w:rsidR="00C04D97" w:rsidRPr="00C91291">
              <w:t xml:space="preserve"> </w:t>
            </w:r>
            <w:r w:rsidRPr="00C91291">
              <w:t>million)</w:t>
            </w:r>
          </w:p>
        </w:tc>
        <w:tc>
          <w:tcPr>
            <w:tcW w:w="3064" w:type="dxa"/>
          </w:tcPr>
          <w:p w:rsidR="00A479F7" w:rsidRPr="00A52843" w:rsidRDefault="00A479F7" w:rsidP="00F17DAF">
            <w:pPr>
              <w:pStyle w:val="TableTextColumnHeading"/>
              <w:rPr>
                <w:b/>
              </w:rPr>
            </w:pPr>
            <w:r w:rsidRPr="00A52843">
              <w:rPr>
                <w:b/>
              </w:rPr>
              <w:t xml:space="preserve">Donor </w:t>
            </w:r>
          </w:p>
        </w:tc>
        <w:tc>
          <w:tcPr>
            <w:tcW w:w="1173" w:type="dxa"/>
          </w:tcPr>
          <w:p w:rsidR="00A479F7" w:rsidRPr="00A52843" w:rsidRDefault="00A479F7" w:rsidP="00F17DAF">
            <w:pPr>
              <w:pStyle w:val="TableTextColumnHeading"/>
              <w:rPr>
                <w:b/>
              </w:rPr>
            </w:pPr>
            <w:r w:rsidRPr="00A52843">
              <w:rPr>
                <w:b/>
              </w:rPr>
              <w:t>201</w:t>
            </w:r>
            <w:r w:rsidR="001E5DC0">
              <w:rPr>
                <w:b/>
              </w:rPr>
              <w:t>2</w:t>
            </w:r>
          </w:p>
          <w:p w:rsidR="00A479F7" w:rsidRPr="00A52843" w:rsidRDefault="000255AC" w:rsidP="00F17DAF">
            <w:pPr>
              <w:pStyle w:val="TableTextColumnHeading"/>
              <w:rPr>
                <w:b/>
              </w:rPr>
            </w:pPr>
            <w:r w:rsidRPr="00C91291">
              <w:t>(US million)</w:t>
            </w:r>
          </w:p>
        </w:tc>
      </w:tr>
      <w:tr w:rsidR="00A479F7" w:rsidRPr="00A52843" w:rsidTr="00EE4E1F">
        <w:trPr>
          <w:cnfStyle w:val="100000000000" w:firstRow="1" w:lastRow="0" w:firstColumn="0" w:lastColumn="0" w:oddVBand="0" w:evenVBand="0" w:oddHBand="0" w:evenHBand="0" w:firstRowFirstColumn="0" w:firstRowLastColumn="0" w:lastRowFirstColumn="0" w:lastRowLastColumn="0"/>
        </w:trPr>
        <w:tc>
          <w:tcPr>
            <w:tcW w:w="2746" w:type="dxa"/>
          </w:tcPr>
          <w:p w:rsidR="00A479F7" w:rsidRPr="00A52843" w:rsidRDefault="00A479F7" w:rsidP="00F17DAF">
            <w:pPr>
              <w:pStyle w:val="TableTextEntries"/>
              <w:rPr>
                <w:b w:val="0"/>
              </w:rPr>
            </w:pPr>
            <w:r w:rsidRPr="00A52843">
              <w:rPr>
                <w:b w:val="0"/>
              </w:rPr>
              <w:t>Australia</w:t>
            </w:r>
          </w:p>
        </w:tc>
        <w:tc>
          <w:tcPr>
            <w:tcW w:w="1349" w:type="dxa"/>
          </w:tcPr>
          <w:p w:rsidR="00A479F7" w:rsidRPr="00A52843" w:rsidRDefault="00A479F7" w:rsidP="005A6EBE">
            <w:pPr>
              <w:pStyle w:val="TableTextEntries"/>
              <w:rPr>
                <w:b w:val="0"/>
              </w:rPr>
            </w:pPr>
            <w:r w:rsidRPr="00A52843">
              <w:rPr>
                <w:b w:val="0"/>
              </w:rPr>
              <w:t>$</w:t>
            </w:r>
            <w:r w:rsidR="005A6EBE">
              <w:rPr>
                <w:b w:val="0"/>
              </w:rPr>
              <w:t>30.4m</w:t>
            </w:r>
          </w:p>
        </w:tc>
        <w:tc>
          <w:tcPr>
            <w:tcW w:w="3064" w:type="dxa"/>
          </w:tcPr>
          <w:p w:rsidR="00A479F7" w:rsidRPr="00A52843" w:rsidRDefault="005A6EBE" w:rsidP="00F17DAF">
            <w:pPr>
              <w:pStyle w:val="TableTextEntries"/>
              <w:rPr>
                <w:b w:val="0"/>
              </w:rPr>
            </w:pPr>
            <w:r w:rsidRPr="00A52843">
              <w:rPr>
                <w:b w:val="0"/>
              </w:rPr>
              <w:t>World Bank (International Bank for Reconstruction and Development, International Development Association and International Finance Architecture</w:t>
            </w:r>
          </w:p>
        </w:tc>
        <w:tc>
          <w:tcPr>
            <w:tcW w:w="1173" w:type="dxa"/>
          </w:tcPr>
          <w:p w:rsidR="00A479F7" w:rsidRDefault="005A6EBE" w:rsidP="00F17DAF">
            <w:pPr>
              <w:pStyle w:val="TableTextEntries"/>
              <w:rPr>
                <w:b w:val="0"/>
              </w:rPr>
            </w:pPr>
            <w:r>
              <w:rPr>
                <w:b w:val="0"/>
              </w:rPr>
              <w:t>$0.9</w:t>
            </w:r>
            <w:r w:rsidR="00A479F7" w:rsidRPr="00A52843">
              <w:rPr>
                <w:b w:val="0"/>
              </w:rPr>
              <w:t xml:space="preserve"> </w:t>
            </w:r>
          </w:p>
          <w:p w:rsidR="005A6EBE" w:rsidRDefault="005A6EBE" w:rsidP="00F17DAF">
            <w:pPr>
              <w:pStyle w:val="TableTextEntries"/>
              <w:rPr>
                <w:b w:val="0"/>
              </w:rPr>
            </w:pPr>
          </w:p>
          <w:p w:rsidR="005A6EBE" w:rsidRDefault="005A6EBE" w:rsidP="00F17DAF">
            <w:pPr>
              <w:pStyle w:val="TableTextEntries"/>
              <w:rPr>
                <w:b w:val="0"/>
              </w:rPr>
            </w:pPr>
          </w:p>
          <w:p w:rsidR="005A6EBE" w:rsidRPr="00A52843" w:rsidRDefault="005A6EBE" w:rsidP="00F17DAF">
            <w:pPr>
              <w:pStyle w:val="TableTextEntries"/>
              <w:rPr>
                <w:b w:val="0"/>
              </w:rPr>
            </w:pPr>
          </w:p>
        </w:tc>
      </w:tr>
      <w:tr w:rsidR="00A479F7" w:rsidRPr="00A52843" w:rsidTr="00EE4E1F">
        <w:trPr>
          <w:cnfStyle w:val="100000000000" w:firstRow="1" w:lastRow="0" w:firstColumn="0" w:lastColumn="0" w:oddVBand="0" w:evenVBand="0" w:oddHBand="0" w:evenHBand="0" w:firstRowFirstColumn="0" w:firstRowLastColumn="0" w:lastRowFirstColumn="0" w:lastRowLastColumn="0"/>
        </w:trPr>
        <w:tc>
          <w:tcPr>
            <w:tcW w:w="2746" w:type="dxa"/>
          </w:tcPr>
          <w:p w:rsidR="005A6EBE" w:rsidRDefault="005A6EBE" w:rsidP="00F17DAF">
            <w:pPr>
              <w:pStyle w:val="TableTextEntries"/>
              <w:rPr>
                <w:b w:val="0"/>
              </w:rPr>
            </w:pPr>
            <w:r w:rsidRPr="00A52843">
              <w:rPr>
                <w:b w:val="0"/>
              </w:rPr>
              <w:t>Japan</w:t>
            </w:r>
          </w:p>
          <w:p w:rsidR="005A6EBE" w:rsidRDefault="005A6EBE" w:rsidP="00F17DAF">
            <w:pPr>
              <w:pStyle w:val="TableTextEntries"/>
              <w:rPr>
                <w:b w:val="0"/>
              </w:rPr>
            </w:pPr>
          </w:p>
          <w:p w:rsidR="00A479F7" w:rsidRPr="00A52843" w:rsidRDefault="00A479F7" w:rsidP="00F17DAF">
            <w:pPr>
              <w:pStyle w:val="TableTextEntries"/>
              <w:rPr>
                <w:b w:val="0"/>
              </w:rPr>
            </w:pPr>
            <w:r w:rsidRPr="00A52843">
              <w:rPr>
                <w:b w:val="0"/>
              </w:rPr>
              <w:t>New Zealand</w:t>
            </w:r>
          </w:p>
        </w:tc>
        <w:tc>
          <w:tcPr>
            <w:tcW w:w="1349" w:type="dxa"/>
          </w:tcPr>
          <w:p w:rsidR="005A6EBE" w:rsidRDefault="005A6EBE" w:rsidP="00F17DAF">
            <w:pPr>
              <w:pStyle w:val="TableTextEntries"/>
              <w:rPr>
                <w:b w:val="0"/>
              </w:rPr>
            </w:pPr>
            <w:r>
              <w:rPr>
                <w:b w:val="0"/>
              </w:rPr>
              <w:t>$17.4</w:t>
            </w:r>
          </w:p>
          <w:p w:rsidR="00A479F7" w:rsidRDefault="00A479F7" w:rsidP="00F17DAF">
            <w:pPr>
              <w:pStyle w:val="TableTextEntries"/>
              <w:rPr>
                <w:b w:val="0"/>
              </w:rPr>
            </w:pPr>
          </w:p>
          <w:p w:rsidR="005A6EBE" w:rsidRPr="00A52843" w:rsidRDefault="005A6EBE" w:rsidP="00F17DAF">
            <w:pPr>
              <w:pStyle w:val="TableTextEntries"/>
              <w:rPr>
                <w:b w:val="0"/>
              </w:rPr>
            </w:pPr>
            <w:r>
              <w:rPr>
                <w:b w:val="0"/>
              </w:rPr>
              <w:t>$12.6</w:t>
            </w:r>
          </w:p>
        </w:tc>
        <w:tc>
          <w:tcPr>
            <w:tcW w:w="3064" w:type="dxa"/>
          </w:tcPr>
          <w:p w:rsidR="005A6EBE" w:rsidRDefault="005A6EBE" w:rsidP="00F17DAF">
            <w:pPr>
              <w:pStyle w:val="TableTextEntries"/>
              <w:rPr>
                <w:b w:val="0"/>
              </w:rPr>
            </w:pPr>
          </w:p>
          <w:p w:rsidR="005A6EBE" w:rsidRPr="00A52843" w:rsidRDefault="005A6EBE" w:rsidP="00F17DAF">
            <w:pPr>
              <w:pStyle w:val="TableTextEntries"/>
              <w:rPr>
                <w:b w:val="0"/>
              </w:rPr>
            </w:pPr>
            <w:r w:rsidRPr="00A52843">
              <w:rPr>
                <w:b w:val="0"/>
              </w:rPr>
              <w:t>World Health Organization</w:t>
            </w:r>
          </w:p>
        </w:tc>
        <w:tc>
          <w:tcPr>
            <w:tcW w:w="1173" w:type="dxa"/>
          </w:tcPr>
          <w:p w:rsidR="005A6EBE" w:rsidRDefault="005A6EBE" w:rsidP="00F17DAF">
            <w:pPr>
              <w:pStyle w:val="TableTextEntries"/>
              <w:rPr>
                <w:b w:val="0"/>
              </w:rPr>
            </w:pPr>
          </w:p>
          <w:p w:rsidR="00A479F7" w:rsidRPr="00A52843" w:rsidRDefault="005A6EBE" w:rsidP="00F17DAF">
            <w:pPr>
              <w:pStyle w:val="TableTextEntries"/>
              <w:rPr>
                <w:b w:val="0"/>
              </w:rPr>
            </w:pPr>
            <w:r>
              <w:rPr>
                <w:b w:val="0"/>
              </w:rPr>
              <w:t>$0.6</w:t>
            </w:r>
            <w:r w:rsidR="00A479F7" w:rsidRPr="00A52843">
              <w:rPr>
                <w:b w:val="0"/>
              </w:rPr>
              <w:t xml:space="preserve"> </w:t>
            </w:r>
          </w:p>
        </w:tc>
      </w:tr>
      <w:tr w:rsidR="00A479F7" w:rsidRPr="00A52843" w:rsidTr="00EE4E1F">
        <w:trPr>
          <w:cnfStyle w:val="100000000000" w:firstRow="1" w:lastRow="0" w:firstColumn="0" w:lastColumn="0" w:oddVBand="0" w:evenVBand="0" w:oddHBand="0" w:evenHBand="0" w:firstRowFirstColumn="0" w:firstRowLastColumn="0" w:lastRowFirstColumn="0" w:lastRowLastColumn="0"/>
        </w:trPr>
        <w:tc>
          <w:tcPr>
            <w:tcW w:w="2746" w:type="dxa"/>
          </w:tcPr>
          <w:p w:rsidR="00A479F7" w:rsidRPr="00A52843" w:rsidRDefault="00A479F7" w:rsidP="00F17DAF">
            <w:pPr>
              <w:pStyle w:val="TableTextEntries"/>
              <w:rPr>
                <w:b w:val="0"/>
              </w:rPr>
            </w:pPr>
          </w:p>
        </w:tc>
        <w:tc>
          <w:tcPr>
            <w:tcW w:w="1349" w:type="dxa"/>
          </w:tcPr>
          <w:p w:rsidR="00A479F7" w:rsidRPr="00A52843" w:rsidRDefault="00A479F7" w:rsidP="00F17DAF">
            <w:pPr>
              <w:pStyle w:val="TableTextEntries"/>
              <w:rPr>
                <w:b w:val="0"/>
              </w:rPr>
            </w:pPr>
          </w:p>
        </w:tc>
        <w:tc>
          <w:tcPr>
            <w:tcW w:w="3064" w:type="dxa"/>
          </w:tcPr>
          <w:p w:rsidR="00A479F7" w:rsidRPr="00A52843" w:rsidRDefault="005A6EBE" w:rsidP="00F17DAF">
            <w:pPr>
              <w:pStyle w:val="TableTextEntries"/>
              <w:rPr>
                <w:b w:val="0"/>
              </w:rPr>
            </w:pPr>
            <w:r>
              <w:rPr>
                <w:b w:val="0"/>
              </w:rPr>
              <w:t>Korea</w:t>
            </w:r>
          </w:p>
        </w:tc>
        <w:tc>
          <w:tcPr>
            <w:tcW w:w="1173" w:type="dxa"/>
          </w:tcPr>
          <w:p w:rsidR="00A479F7" w:rsidRPr="00A52843" w:rsidRDefault="00A479F7" w:rsidP="00F17DAF">
            <w:pPr>
              <w:pStyle w:val="TableTextEntries"/>
              <w:rPr>
                <w:b w:val="0"/>
              </w:rPr>
            </w:pPr>
            <w:r w:rsidRPr="00A52843">
              <w:rPr>
                <w:b w:val="0"/>
              </w:rPr>
              <w:t>$0.</w:t>
            </w:r>
            <w:r w:rsidR="00163149">
              <w:rPr>
                <w:b w:val="0"/>
              </w:rPr>
              <w:t>5</w:t>
            </w:r>
            <w:r w:rsidRPr="00A52843">
              <w:rPr>
                <w:b w:val="0"/>
              </w:rPr>
              <w:t xml:space="preserve"> </w:t>
            </w:r>
          </w:p>
        </w:tc>
      </w:tr>
      <w:tr w:rsidR="00A479F7" w:rsidRPr="00A52843" w:rsidTr="00EE4E1F">
        <w:trPr>
          <w:cnfStyle w:val="100000000000" w:firstRow="1" w:lastRow="0" w:firstColumn="0" w:lastColumn="0" w:oddVBand="0" w:evenVBand="0" w:oddHBand="0" w:evenHBand="0" w:firstRowFirstColumn="0" w:firstRowLastColumn="0" w:lastRowFirstColumn="0" w:lastRowLastColumn="0"/>
        </w:trPr>
        <w:tc>
          <w:tcPr>
            <w:tcW w:w="2746" w:type="dxa"/>
          </w:tcPr>
          <w:p w:rsidR="00D87377" w:rsidRPr="00A52843" w:rsidRDefault="00A479F7" w:rsidP="00F17DAF">
            <w:pPr>
              <w:pStyle w:val="TableTextEntries"/>
              <w:rPr>
                <w:b w:val="0"/>
              </w:rPr>
            </w:pPr>
            <w:r w:rsidRPr="00A52843">
              <w:rPr>
                <w:b w:val="0"/>
              </w:rPr>
              <w:t>European Union</w:t>
            </w:r>
          </w:p>
        </w:tc>
        <w:tc>
          <w:tcPr>
            <w:tcW w:w="1349" w:type="dxa"/>
          </w:tcPr>
          <w:p w:rsidR="00D87377" w:rsidRPr="00A52843" w:rsidRDefault="005A6EBE" w:rsidP="00F17DAF">
            <w:pPr>
              <w:pStyle w:val="TableTextEntries"/>
              <w:rPr>
                <w:b w:val="0"/>
              </w:rPr>
            </w:pPr>
            <w:r>
              <w:rPr>
                <w:b w:val="0"/>
              </w:rPr>
              <w:t>$2</w:t>
            </w:r>
            <w:r w:rsidR="00A479F7" w:rsidRPr="00A52843">
              <w:rPr>
                <w:b w:val="0"/>
              </w:rPr>
              <w:t xml:space="preserve">.5 </w:t>
            </w:r>
          </w:p>
        </w:tc>
        <w:tc>
          <w:tcPr>
            <w:tcW w:w="4265" w:type="dxa"/>
            <w:gridSpan w:val="2"/>
          </w:tcPr>
          <w:p w:rsidR="00A479F7" w:rsidRPr="00A52843" w:rsidRDefault="00A479F7" w:rsidP="00F17DAF">
            <w:pPr>
              <w:pStyle w:val="TableTextEntries"/>
              <w:rPr>
                <w:b w:val="0"/>
              </w:rPr>
            </w:pPr>
          </w:p>
        </w:tc>
      </w:tr>
    </w:tbl>
    <w:p w:rsidR="005A6EBE" w:rsidRDefault="00A479F7" w:rsidP="005A6EBE">
      <w:pPr>
        <w:rPr>
          <w:rFonts w:ascii="Verdana" w:hAnsi="Verdana"/>
          <w:bCs/>
          <w:color w:val="365F91"/>
          <w:sz w:val="12"/>
          <w:szCs w:val="12"/>
        </w:rPr>
      </w:pPr>
      <w:r w:rsidRPr="00A52843">
        <w:t xml:space="preserve"> </w:t>
      </w:r>
      <w:r w:rsidR="005A6EBE">
        <w:rPr>
          <w:rFonts w:ascii="Verdana" w:hAnsi="Verdana"/>
          <w:bCs/>
          <w:sz w:val="12"/>
          <w:szCs w:val="12"/>
        </w:rPr>
        <w:t xml:space="preserve">Source: </w:t>
      </w:r>
      <w:hyperlink r:id="rId16" w:history="1">
        <w:r w:rsidR="005A6EBE">
          <w:rPr>
            <w:rStyle w:val="Hyperlink"/>
            <w:rFonts w:ascii="Verdana" w:hAnsi="Verdana"/>
            <w:bCs/>
            <w:sz w:val="12"/>
            <w:szCs w:val="12"/>
          </w:rPr>
          <w:t>OECD Stats</w:t>
        </w:r>
      </w:hyperlink>
      <w:r w:rsidR="005A6EBE">
        <w:rPr>
          <w:rFonts w:ascii="Verdana" w:hAnsi="Verdana"/>
          <w:bCs/>
          <w:sz w:val="12"/>
          <w:szCs w:val="12"/>
        </w:rPr>
        <w:t xml:space="preserve">. </w:t>
      </w:r>
      <w:r w:rsidR="005A6EBE">
        <w:rPr>
          <w:rFonts w:ascii="Verdana" w:hAnsi="Verdana"/>
          <w:bCs/>
          <w:sz w:val="12"/>
          <w:szCs w:val="12"/>
        </w:rPr>
        <w:br/>
      </w:r>
      <w:r w:rsidR="005A6EBE" w:rsidRPr="00250876">
        <w:rPr>
          <w:rFonts w:ascii="Verdana" w:hAnsi="Verdana"/>
          <w:bCs/>
          <w:sz w:val="16"/>
          <w:szCs w:val="16"/>
        </w:rPr>
        <w:t>Taiwan</w:t>
      </w:r>
      <w:r w:rsidR="000255AC" w:rsidRPr="00250876">
        <w:rPr>
          <w:rFonts w:ascii="Verdana" w:hAnsi="Verdana"/>
          <w:bCs/>
          <w:sz w:val="16"/>
          <w:szCs w:val="16"/>
        </w:rPr>
        <w:t>, a non-OECD member,</w:t>
      </w:r>
      <w:r w:rsidR="005A6EBE" w:rsidRPr="00250876">
        <w:rPr>
          <w:rFonts w:ascii="Verdana" w:hAnsi="Verdana"/>
          <w:bCs/>
          <w:sz w:val="16"/>
          <w:szCs w:val="16"/>
        </w:rPr>
        <w:t xml:space="preserve"> is also a major donor to Kiribati, with direct cash grants </w:t>
      </w:r>
      <w:r w:rsidR="000255AC" w:rsidRPr="00250876">
        <w:rPr>
          <w:rFonts w:ascii="Verdana" w:hAnsi="Verdana"/>
          <w:bCs/>
          <w:sz w:val="16"/>
          <w:szCs w:val="16"/>
        </w:rPr>
        <w:t xml:space="preserve">and technical assistance </w:t>
      </w:r>
      <w:r w:rsidR="005A6EBE" w:rsidRPr="00250876">
        <w:rPr>
          <w:rFonts w:ascii="Verdana" w:hAnsi="Verdana"/>
          <w:bCs/>
          <w:sz w:val="16"/>
          <w:szCs w:val="16"/>
        </w:rPr>
        <w:t>of approximately $11m annually</w:t>
      </w:r>
      <w:r w:rsidR="000255AC" w:rsidRPr="00250876">
        <w:rPr>
          <w:rFonts w:ascii="Verdana" w:hAnsi="Verdana"/>
          <w:bCs/>
          <w:sz w:val="16"/>
          <w:szCs w:val="16"/>
        </w:rPr>
        <w:t>.</w:t>
      </w:r>
      <w:r w:rsidR="000255AC">
        <w:rPr>
          <w:rFonts w:ascii="Verdana" w:hAnsi="Verdana"/>
          <w:bCs/>
          <w:sz w:val="12"/>
          <w:szCs w:val="12"/>
        </w:rPr>
        <w:t xml:space="preserve"> </w:t>
      </w:r>
      <w:r w:rsidR="005A6EBE">
        <w:rPr>
          <w:rFonts w:ascii="Verdana" w:hAnsi="Verdana"/>
          <w:bCs/>
          <w:sz w:val="12"/>
          <w:szCs w:val="12"/>
        </w:rPr>
        <w:t xml:space="preserve"> </w:t>
      </w:r>
    </w:p>
    <w:p w:rsidR="005A6EBE" w:rsidRDefault="005A6EBE" w:rsidP="005A6EBE">
      <w:pPr>
        <w:widowControl w:val="0"/>
        <w:rPr>
          <w:rFonts w:ascii="Calibri" w:hAnsi="Calibri"/>
          <w:color w:val="000000"/>
          <w:szCs w:val="20"/>
        </w:rPr>
      </w:pPr>
      <w:r>
        <w:t> </w:t>
      </w:r>
    </w:p>
    <w:p w:rsidR="00F26AE9" w:rsidRDefault="005A6EBE" w:rsidP="00956C59">
      <w:pPr>
        <w:spacing w:after="160" w:line="280" w:lineRule="exact"/>
        <w:rPr>
          <w:rFonts w:ascii="Helvetica" w:eastAsia="Times New Roman" w:hAnsi="Helvetica" w:cs="Arial"/>
          <w:color w:val="007FAD"/>
          <w:kern w:val="28"/>
          <w:sz w:val="28"/>
          <w:szCs w:val="28"/>
        </w:rPr>
      </w:pPr>
      <w:r w:rsidRPr="005B2AC1">
        <w:rPr>
          <w:rFonts w:ascii="Franklin Gothic Book" w:eastAsia="Times New Roman" w:hAnsi="Franklin Gothic Book"/>
          <w:noProof/>
          <w:sz w:val="21"/>
        </w:rPr>
        <mc:AlternateContent>
          <mc:Choice Requires="wps">
            <w:drawing>
              <wp:anchor distT="0" distB="0" distL="114300" distR="114300" simplePos="0" relativeHeight="251669504" behindDoc="0" locked="0" layoutInCell="1" allowOverlap="1" wp14:anchorId="63237F1D" wp14:editId="63D059DE">
                <wp:simplePos x="0" y="0"/>
                <wp:positionH relativeFrom="column">
                  <wp:posOffset>455930</wp:posOffset>
                </wp:positionH>
                <wp:positionV relativeFrom="paragraph">
                  <wp:posOffset>5499735</wp:posOffset>
                </wp:positionV>
                <wp:extent cx="3194685" cy="4310380"/>
                <wp:effectExtent l="0" t="381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94685" cy="43103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9pt;margin-top:433.05pt;width:251.55pt;height:33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" filled="f" stroked="f" insetpen="t">
                <o:lock v:ext="edit" shapetype="t"/>
                <v:textbox inset="0,0,0,0"/>
              </v:rect>
            </w:pict>
          </mc:Fallback>
        </mc:AlternateContent>
      </w:r>
      <w:r w:rsidR="00A479F7" w:rsidRPr="005B2AC1">
        <w:rPr>
          <w:rFonts w:ascii="Franklin Gothic Book" w:eastAsia="Times New Roman" w:hAnsi="Franklin Gothic Book"/>
          <w:sz w:val="21"/>
        </w:rPr>
        <w:t xml:space="preserve">The large number of </w:t>
      </w:r>
      <w:r w:rsidR="000255AC">
        <w:rPr>
          <w:rFonts w:ascii="Franklin Gothic Book" w:eastAsia="Times New Roman" w:hAnsi="Franklin Gothic Book"/>
          <w:sz w:val="21"/>
        </w:rPr>
        <w:t xml:space="preserve">relatively small donor-supported </w:t>
      </w:r>
      <w:r w:rsidR="00A479F7" w:rsidRPr="005B2AC1">
        <w:rPr>
          <w:rFonts w:ascii="Franklin Gothic Book" w:eastAsia="Times New Roman" w:hAnsi="Franklin Gothic Book"/>
          <w:sz w:val="21"/>
        </w:rPr>
        <w:t xml:space="preserve">development </w:t>
      </w:r>
      <w:r w:rsidR="0033731F">
        <w:rPr>
          <w:rFonts w:ascii="Franklin Gothic Book" w:eastAsia="Times New Roman" w:hAnsi="Franklin Gothic Book"/>
          <w:sz w:val="21"/>
        </w:rPr>
        <w:t xml:space="preserve">activities </w:t>
      </w:r>
      <w:r w:rsidR="00A479F7" w:rsidRPr="005B2AC1">
        <w:rPr>
          <w:rFonts w:ascii="Franklin Gothic Book" w:eastAsia="Times New Roman" w:hAnsi="Franklin Gothic Book"/>
          <w:sz w:val="21"/>
        </w:rPr>
        <w:t xml:space="preserve">results in high transaction costs for </w:t>
      </w:r>
      <w:r w:rsidR="000255AC">
        <w:rPr>
          <w:rFonts w:ascii="Franklin Gothic Book" w:eastAsia="Times New Roman" w:hAnsi="Franklin Gothic Book"/>
          <w:sz w:val="21"/>
        </w:rPr>
        <w:t xml:space="preserve">GoK. </w:t>
      </w:r>
      <w:r w:rsidR="00A479F7" w:rsidRPr="005B2AC1">
        <w:rPr>
          <w:rFonts w:ascii="Franklin Gothic Book" w:eastAsia="Times New Roman" w:hAnsi="Franklin Gothic Book"/>
          <w:sz w:val="21"/>
        </w:rPr>
        <w:t xml:space="preserve"> </w:t>
      </w:r>
      <w:r w:rsidR="000255AC">
        <w:rPr>
          <w:rFonts w:ascii="Franklin Gothic Book" w:eastAsia="Times New Roman" w:hAnsi="Franklin Gothic Book"/>
          <w:sz w:val="21"/>
        </w:rPr>
        <w:t xml:space="preserve">In recognition of this, </w:t>
      </w:r>
      <w:r w:rsidR="00A479F7" w:rsidRPr="005B2AC1">
        <w:rPr>
          <w:rFonts w:ascii="Franklin Gothic Book" w:eastAsia="Times New Roman" w:hAnsi="Franklin Gothic Book"/>
          <w:sz w:val="21"/>
        </w:rPr>
        <w:t>Australia coordinate</w:t>
      </w:r>
      <w:r w:rsidR="00B30F7E">
        <w:rPr>
          <w:rFonts w:ascii="Franklin Gothic Book" w:eastAsia="Times New Roman" w:hAnsi="Franklin Gothic Book"/>
          <w:sz w:val="21"/>
        </w:rPr>
        <w:t>s</w:t>
      </w:r>
      <w:r w:rsidR="00A479F7" w:rsidRPr="005B2AC1">
        <w:rPr>
          <w:rFonts w:ascii="Franklin Gothic Book" w:eastAsia="Times New Roman" w:hAnsi="Franklin Gothic Book"/>
          <w:sz w:val="21"/>
        </w:rPr>
        <w:t xml:space="preserve"> </w:t>
      </w:r>
      <w:r w:rsidR="0033731F">
        <w:rPr>
          <w:rFonts w:ascii="Franklin Gothic Book" w:eastAsia="Times New Roman" w:hAnsi="Franklin Gothic Book"/>
          <w:sz w:val="21"/>
        </w:rPr>
        <w:t>and consolidate</w:t>
      </w:r>
      <w:r w:rsidR="00B30F7E">
        <w:rPr>
          <w:rFonts w:ascii="Franklin Gothic Book" w:eastAsia="Times New Roman" w:hAnsi="Franklin Gothic Book"/>
          <w:sz w:val="21"/>
        </w:rPr>
        <w:t>s</w:t>
      </w:r>
      <w:r w:rsidR="0033731F">
        <w:rPr>
          <w:rFonts w:ascii="Franklin Gothic Book" w:eastAsia="Times New Roman" w:hAnsi="Franklin Gothic Book"/>
          <w:sz w:val="21"/>
        </w:rPr>
        <w:t xml:space="preserve"> </w:t>
      </w:r>
      <w:r w:rsidR="00A479F7" w:rsidRPr="005B2AC1">
        <w:rPr>
          <w:rFonts w:ascii="Franklin Gothic Book" w:eastAsia="Times New Roman" w:hAnsi="Franklin Gothic Book"/>
          <w:sz w:val="21"/>
        </w:rPr>
        <w:t>activities and align</w:t>
      </w:r>
      <w:r w:rsidR="00B30F7E">
        <w:rPr>
          <w:rFonts w:ascii="Franklin Gothic Book" w:eastAsia="Times New Roman" w:hAnsi="Franklin Gothic Book"/>
          <w:sz w:val="21"/>
        </w:rPr>
        <w:t>s</w:t>
      </w:r>
      <w:r w:rsidR="00A479F7" w:rsidRPr="005B2AC1">
        <w:rPr>
          <w:rFonts w:ascii="Franklin Gothic Book" w:eastAsia="Times New Roman" w:hAnsi="Franklin Gothic Book"/>
          <w:sz w:val="21"/>
        </w:rPr>
        <w:t xml:space="preserve"> investments behind </w:t>
      </w:r>
      <w:r w:rsidR="00B30F7E">
        <w:rPr>
          <w:rFonts w:ascii="Franklin Gothic Book" w:eastAsia="Times New Roman" w:hAnsi="Franklin Gothic Book"/>
          <w:sz w:val="21"/>
        </w:rPr>
        <w:t xml:space="preserve">GoK </w:t>
      </w:r>
      <w:r w:rsidR="00A479F7" w:rsidRPr="005B2AC1">
        <w:rPr>
          <w:rFonts w:ascii="Franklin Gothic Book" w:eastAsia="Times New Roman" w:hAnsi="Franklin Gothic Book"/>
          <w:sz w:val="21"/>
        </w:rPr>
        <w:t>priorities. Australia is strengthen</w:t>
      </w:r>
      <w:r w:rsidR="00B30F7E">
        <w:rPr>
          <w:rFonts w:ascii="Franklin Gothic Book" w:eastAsia="Times New Roman" w:hAnsi="Franklin Gothic Book"/>
          <w:sz w:val="21"/>
        </w:rPr>
        <w:t>ing</w:t>
      </w:r>
      <w:r w:rsidR="00A479F7" w:rsidRPr="005B2AC1">
        <w:rPr>
          <w:rFonts w:ascii="Franklin Gothic Book" w:eastAsia="Times New Roman" w:hAnsi="Franklin Gothic Book"/>
          <w:sz w:val="21"/>
        </w:rPr>
        <w:t xml:space="preserve"> the Go</w:t>
      </w:r>
      <w:r w:rsidR="00B30F7E">
        <w:rPr>
          <w:rFonts w:ascii="Franklin Gothic Book" w:eastAsia="Times New Roman" w:hAnsi="Franklin Gothic Book"/>
          <w:sz w:val="21"/>
        </w:rPr>
        <w:t xml:space="preserve">K’s </w:t>
      </w:r>
      <w:r w:rsidR="00A479F7" w:rsidRPr="005B2AC1">
        <w:rPr>
          <w:rFonts w:ascii="Franklin Gothic Book" w:eastAsia="Times New Roman" w:hAnsi="Franklin Gothic Book"/>
          <w:sz w:val="21"/>
        </w:rPr>
        <w:t xml:space="preserve">aid coordination function </w:t>
      </w:r>
      <w:r w:rsidR="00036E0A">
        <w:rPr>
          <w:rFonts w:ascii="Franklin Gothic Book" w:eastAsia="Times New Roman" w:hAnsi="Franklin Gothic Book"/>
          <w:sz w:val="21"/>
        </w:rPr>
        <w:t>through</w:t>
      </w:r>
      <w:r w:rsidR="00B30F7E">
        <w:rPr>
          <w:rFonts w:ascii="Franklin Gothic Book" w:eastAsia="Times New Roman" w:hAnsi="Franklin Gothic Book"/>
          <w:sz w:val="21"/>
        </w:rPr>
        <w:t xml:space="preserve"> capacity building in </w:t>
      </w:r>
      <w:r w:rsidR="00036E0A">
        <w:rPr>
          <w:rFonts w:ascii="Franklin Gothic Book" w:eastAsia="Times New Roman" w:hAnsi="Franklin Gothic Book"/>
          <w:sz w:val="21"/>
        </w:rPr>
        <w:t xml:space="preserve">the </w:t>
      </w:r>
      <w:r w:rsidR="00A479F7" w:rsidRPr="005B2AC1">
        <w:rPr>
          <w:rFonts w:ascii="Franklin Gothic Book" w:eastAsia="Times New Roman" w:hAnsi="Franklin Gothic Book"/>
          <w:sz w:val="21"/>
        </w:rPr>
        <w:t xml:space="preserve">National Economic and Planning Office. </w:t>
      </w:r>
      <w:r w:rsidR="000255AC">
        <w:rPr>
          <w:rFonts w:ascii="Franklin Gothic Book" w:eastAsia="Times New Roman" w:hAnsi="Franklin Gothic Book"/>
          <w:sz w:val="21"/>
        </w:rPr>
        <w:t xml:space="preserve"> GoK conducted a </w:t>
      </w:r>
      <w:r w:rsidR="00946C89">
        <w:rPr>
          <w:rFonts w:ascii="Franklin Gothic Book" w:eastAsia="Times New Roman" w:hAnsi="Franklin Gothic Book"/>
          <w:sz w:val="21"/>
        </w:rPr>
        <w:t xml:space="preserve">successful </w:t>
      </w:r>
      <w:r w:rsidR="000255AC">
        <w:rPr>
          <w:rFonts w:ascii="Franklin Gothic Book" w:eastAsia="Times New Roman" w:hAnsi="Franklin Gothic Book"/>
          <w:sz w:val="21"/>
        </w:rPr>
        <w:t>donor forum in early 2014.</w:t>
      </w:r>
      <w:r w:rsidR="00F26AE9">
        <w:rPr>
          <w:sz w:val="28"/>
        </w:rPr>
        <w:br w:type="page"/>
      </w:r>
    </w:p>
    <w:p w:rsidR="000D733F" w:rsidRPr="009E38C1" w:rsidRDefault="000D733F" w:rsidP="000D733F">
      <w:pPr>
        <w:pStyle w:val="Heading2"/>
        <w:rPr>
          <w:sz w:val="28"/>
        </w:rPr>
      </w:pPr>
      <w:r w:rsidRPr="009E38C1">
        <w:rPr>
          <w:sz w:val="28"/>
        </w:rPr>
        <w:t>Expenditure</w:t>
      </w:r>
    </w:p>
    <w:p w:rsidR="000D733F" w:rsidRDefault="000D733F" w:rsidP="000D733F">
      <w:pPr>
        <w:pStyle w:val="Caption"/>
      </w:pPr>
      <w:bookmarkStart w:id="2" w:name="_Toc373853206"/>
      <w:r>
        <w:t xml:space="preserve">Table </w:t>
      </w:r>
      <w:r w:rsidR="005A6EBE">
        <w:t>2:</w:t>
      </w:r>
      <w:r>
        <w:t xml:space="preserve"> Expenditure in FY 2013-14</w:t>
      </w:r>
    </w:p>
    <w:tbl>
      <w:tblPr>
        <w:tblStyle w:val="APPR"/>
        <w:tblW w:w="4987" w:type="pct"/>
        <w:tblLayout w:type="fixed"/>
        <w:tblLook w:val="0000" w:firstRow="0" w:lastRow="0" w:firstColumn="0" w:lastColumn="0" w:noHBand="0" w:noVBand="0"/>
      </w:tblPr>
      <w:tblGrid>
        <w:gridCol w:w="6497"/>
        <w:gridCol w:w="1256"/>
        <w:gridCol w:w="1340"/>
      </w:tblGrid>
      <w:tr w:rsidR="005A6EBE" w:rsidRPr="002A4292" w:rsidTr="00F17DAF">
        <w:trPr>
          <w:cantSplit/>
          <w:tblHeader w:val="0"/>
        </w:trPr>
        <w:tc>
          <w:tcPr>
            <w:tcW w:w="6130" w:type="dxa"/>
          </w:tcPr>
          <w:p w:rsidR="005A6EBE" w:rsidRPr="002A4292" w:rsidRDefault="005A6EBE" w:rsidP="00F17DAF">
            <w:pPr>
              <w:pStyle w:val="TableTextColumnHeading"/>
            </w:pPr>
            <w:r w:rsidRPr="002A4292">
              <w:t>Objective</w:t>
            </w:r>
          </w:p>
        </w:tc>
        <w:tc>
          <w:tcPr>
            <w:tcW w:w="1166" w:type="dxa"/>
          </w:tcPr>
          <w:p w:rsidR="005A6EBE" w:rsidRPr="002A4292" w:rsidRDefault="005A6EBE" w:rsidP="00F17DAF">
            <w:pPr>
              <w:pStyle w:val="TableTextColumnHeading"/>
              <w:jc w:val="right"/>
            </w:pPr>
            <w:r w:rsidRPr="002A4292">
              <w:t>A$ million</w:t>
            </w:r>
          </w:p>
        </w:tc>
        <w:tc>
          <w:tcPr>
            <w:tcW w:w="1233" w:type="dxa"/>
          </w:tcPr>
          <w:p w:rsidR="005A6EBE" w:rsidRPr="002A4292" w:rsidRDefault="005A6EBE" w:rsidP="00F17DAF">
            <w:pPr>
              <w:pStyle w:val="TableTextColumnHeading"/>
              <w:jc w:val="right"/>
            </w:pPr>
            <w:r w:rsidRPr="002A4292">
              <w:t>% of program</w:t>
            </w:r>
          </w:p>
        </w:tc>
      </w:tr>
      <w:tr w:rsidR="005A6EBE" w:rsidRPr="002A4292" w:rsidTr="00F17DAF">
        <w:trPr>
          <w:cnfStyle w:val="000000010000" w:firstRow="0" w:lastRow="0" w:firstColumn="0" w:lastColumn="0" w:oddVBand="0" w:evenVBand="0" w:oddHBand="0" w:evenHBand="1" w:firstRowFirstColumn="0" w:firstRowLastColumn="0" w:lastRowFirstColumn="0" w:lastRowLastColumn="0"/>
          <w:cantSplit/>
          <w:tblHeader w:val="0"/>
        </w:trPr>
        <w:tc>
          <w:tcPr>
            <w:tcW w:w="6130" w:type="dxa"/>
          </w:tcPr>
          <w:p w:rsidR="005A6EBE" w:rsidRPr="002A4292" w:rsidRDefault="005A6EBE" w:rsidP="00F17DAF">
            <w:pPr>
              <w:pStyle w:val="TableTextEntries"/>
            </w:pPr>
            <w:r w:rsidRPr="002A4292">
              <w:t>Outcome 1:</w:t>
            </w:r>
            <w:r>
              <w:t xml:space="preserve"> </w:t>
            </w:r>
            <w:r w:rsidRPr="002A4292">
              <w:t>Improved</w:t>
            </w:r>
            <w:r>
              <w:t xml:space="preserve"> standards in</w:t>
            </w:r>
            <w:r w:rsidRPr="002A4292">
              <w:t xml:space="preserve"> </w:t>
            </w:r>
            <w:r>
              <w:t>b</w:t>
            </w:r>
            <w:r w:rsidRPr="002A4292">
              <w:t xml:space="preserve">asic </w:t>
            </w:r>
            <w:r>
              <w:t>e</w:t>
            </w:r>
            <w:r w:rsidRPr="002A4292">
              <w:t>ducation</w:t>
            </w:r>
          </w:p>
        </w:tc>
        <w:tc>
          <w:tcPr>
            <w:tcW w:w="1166" w:type="dxa"/>
          </w:tcPr>
          <w:p w:rsidR="005A6EBE" w:rsidRPr="00634B78" w:rsidRDefault="00DB4A1C" w:rsidP="00F17DAF">
            <w:pPr>
              <w:pStyle w:val="TableTextEntries"/>
              <w:jc w:val="center"/>
            </w:pPr>
            <w:r>
              <w:t>7.5</w:t>
            </w:r>
          </w:p>
        </w:tc>
        <w:tc>
          <w:tcPr>
            <w:tcW w:w="1233" w:type="dxa"/>
          </w:tcPr>
          <w:p w:rsidR="005A6EBE" w:rsidRPr="00634B78" w:rsidRDefault="00DB4A1C" w:rsidP="00DB4A1C">
            <w:pPr>
              <w:pStyle w:val="TableTextEntries"/>
              <w:jc w:val="center"/>
            </w:pPr>
            <w:r>
              <w:t>27.0</w:t>
            </w:r>
          </w:p>
        </w:tc>
      </w:tr>
      <w:tr w:rsidR="005A6EBE" w:rsidRPr="002A4292" w:rsidTr="00F17DAF">
        <w:trPr>
          <w:cantSplit/>
          <w:tblHeader w:val="0"/>
        </w:trPr>
        <w:tc>
          <w:tcPr>
            <w:tcW w:w="6130" w:type="dxa"/>
          </w:tcPr>
          <w:p w:rsidR="005A6EBE" w:rsidRPr="002A4292" w:rsidRDefault="005A6EBE" w:rsidP="00F17DAF">
            <w:pPr>
              <w:pStyle w:val="TableTextEntries"/>
            </w:pPr>
            <w:r w:rsidRPr="002A4292">
              <w:t>Outcome 2:</w:t>
            </w:r>
            <w:r>
              <w:t xml:space="preserve"> Increased opportunities to develop internationally recognised w</w:t>
            </w:r>
            <w:r w:rsidRPr="002A4292">
              <w:t xml:space="preserve">orkforce </w:t>
            </w:r>
            <w:r>
              <w:t>skills</w:t>
            </w:r>
          </w:p>
        </w:tc>
        <w:tc>
          <w:tcPr>
            <w:tcW w:w="1166" w:type="dxa"/>
          </w:tcPr>
          <w:p w:rsidR="005A6EBE" w:rsidRPr="00634B78" w:rsidRDefault="00DB4A1C" w:rsidP="00F17DAF">
            <w:pPr>
              <w:pStyle w:val="TableTextEntries"/>
              <w:jc w:val="center"/>
            </w:pPr>
            <w:r>
              <w:t>6.3</w:t>
            </w:r>
          </w:p>
        </w:tc>
        <w:tc>
          <w:tcPr>
            <w:tcW w:w="1233" w:type="dxa"/>
          </w:tcPr>
          <w:p w:rsidR="005A6EBE" w:rsidRPr="00634B78" w:rsidRDefault="00DB4A1C" w:rsidP="00DB4A1C">
            <w:pPr>
              <w:pStyle w:val="TableTextEntries"/>
              <w:jc w:val="center"/>
            </w:pPr>
            <w:r>
              <w:t>23.0</w:t>
            </w:r>
          </w:p>
        </w:tc>
      </w:tr>
      <w:tr w:rsidR="005A6EBE" w:rsidRPr="002A4292" w:rsidTr="00F17DAF">
        <w:trPr>
          <w:cnfStyle w:val="000000010000" w:firstRow="0" w:lastRow="0" w:firstColumn="0" w:lastColumn="0" w:oddVBand="0" w:evenVBand="0" w:oddHBand="0" w:evenHBand="1" w:firstRowFirstColumn="0" w:firstRowLastColumn="0" w:lastRowFirstColumn="0" w:lastRowLastColumn="0"/>
          <w:cantSplit/>
          <w:tblHeader w:val="0"/>
        </w:trPr>
        <w:tc>
          <w:tcPr>
            <w:tcW w:w="6130" w:type="dxa"/>
          </w:tcPr>
          <w:p w:rsidR="005A6EBE" w:rsidRPr="002A4292" w:rsidRDefault="005A6EBE" w:rsidP="00F17DAF">
            <w:pPr>
              <w:pStyle w:val="TableTextEntries"/>
            </w:pPr>
            <w:r w:rsidRPr="002A4292">
              <w:t xml:space="preserve">Outcome 3: Improved </w:t>
            </w:r>
            <w:r>
              <w:t>g</w:t>
            </w:r>
            <w:r w:rsidRPr="002A4292">
              <w:t xml:space="preserve">rowth and </w:t>
            </w:r>
            <w:r>
              <w:t>e</w:t>
            </w:r>
            <w:r w:rsidRPr="002A4292">
              <w:t xml:space="preserve">conomic </w:t>
            </w:r>
            <w:r>
              <w:t>m</w:t>
            </w:r>
            <w:r w:rsidRPr="002A4292">
              <w:t>anagement</w:t>
            </w:r>
          </w:p>
        </w:tc>
        <w:tc>
          <w:tcPr>
            <w:tcW w:w="1166" w:type="dxa"/>
          </w:tcPr>
          <w:p w:rsidR="005A6EBE" w:rsidRPr="00634B78" w:rsidRDefault="005A6EBE" w:rsidP="00F17DAF">
            <w:pPr>
              <w:pStyle w:val="TableTextEntries"/>
              <w:jc w:val="center"/>
            </w:pPr>
            <w:r w:rsidRPr="00634B78">
              <w:t>0.9</w:t>
            </w:r>
          </w:p>
        </w:tc>
        <w:tc>
          <w:tcPr>
            <w:tcW w:w="1233" w:type="dxa"/>
          </w:tcPr>
          <w:p w:rsidR="005A6EBE" w:rsidRPr="00634B78" w:rsidRDefault="00CD5F74" w:rsidP="00DB4A1C">
            <w:pPr>
              <w:pStyle w:val="TableTextEntries"/>
              <w:jc w:val="center"/>
            </w:pPr>
            <w:r>
              <w:t>3.</w:t>
            </w:r>
            <w:r w:rsidR="00DB4A1C">
              <w:t>2</w:t>
            </w:r>
          </w:p>
        </w:tc>
      </w:tr>
      <w:tr w:rsidR="005A6EBE" w:rsidRPr="002A4292" w:rsidTr="00F17DAF">
        <w:trPr>
          <w:cantSplit/>
          <w:tblHeader w:val="0"/>
        </w:trPr>
        <w:tc>
          <w:tcPr>
            <w:tcW w:w="6130" w:type="dxa"/>
          </w:tcPr>
          <w:p w:rsidR="005A6EBE" w:rsidRPr="002A4292" w:rsidRDefault="005A6EBE" w:rsidP="00F17DAF">
            <w:pPr>
              <w:pStyle w:val="TableTextEntries"/>
            </w:pPr>
            <w:r w:rsidRPr="002A4292">
              <w:t xml:space="preserve">Outcome 4: Improved </w:t>
            </w:r>
            <w:r>
              <w:t>i</w:t>
            </w:r>
            <w:r w:rsidRPr="002A4292">
              <w:t xml:space="preserve">nfrastructure </w:t>
            </w:r>
            <w:r>
              <w:t>s</w:t>
            </w:r>
            <w:r w:rsidRPr="002A4292">
              <w:t>ervices</w:t>
            </w:r>
          </w:p>
        </w:tc>
        <w:tc>
          <w:tcPr>
            <w:tcW w:w="1166" w:type="dxa"/>
          </w:tcPr>
          <w:p w:rsidR="005A6EBE" w:rsidRPr="00634B78" w:rsidRDefault="009D1573" w:rsidP="00F17DAF">
            <w:pPr>
              <w:pStyle w:val="TableTextEntries"/>
              <w:jc w:val="center"/>
            </w:pPr>
            <w:r>
              <w:t>6.9</w:t>
            </w:r>
          </w:p>
        </w:tc>
        <w:tc>
          <w:tcPr>
            <w:tcW w:w="1233" w:type="dxa"/>
          </w:tcPr>
          <w:p w:rsidR="005A6EBE" w:rsidRPr="00634B78" w:rsidRDefault="00DB4A1C" w:rsidP="00F17DAF">
            <w:pPr>
              <w:pStyle w:val="TableTextEntries"/>
              <w:jc w:val="center"/>
            </w:pPr>
            <w:r>
              <w:t>25.0</w:t>
            </w:r>
          </w:p>
        </w:tc>
      </w:tr>
      <w:tr w:rsidR="005A6EBE" w:rsidRPr="002A4292" w:rsidTr="00F17DAF">
        <w:trPr>
          <w:cnfStyle w:val="000000010000" w:firstRow="0" w:lastRow="0" w:firstColumn="0" w:lastColumn="0" w:oddVBand="0" w:evenVBand="0" w:oddHBand="0" w:evenHBand="1" w:firstRowFirstColumn="0" w:firstRowLastColumn="0" w:lastRowFirstColumn="0" w:lastRowLastColumn="0"/>
          <w:cantSplit/>
          <w:tblHeader w:val="0"/>
        </w:trPr>
        <w:tc>
          <w:tcPr>
            <w:tcW w:w="6130" w:type="dxa"/>
          </w:tcPr>
          <w:p w:rsidR="005A6EBE" w:rsidRPr="002A4292" w:rsidRDefault="005A6EBE" w:rsidP="00F17DAF">
            <w:pPr>
              <w:pStyle w:val="TableTextEntries"/>
            </w:pPr>
            <w:r w:rsidRPr="002A4292">
              <w:t>Other*</w:t>
            </w:r>
          </w:p>
        </w:tc>
        <w:tc>
          <w:tcPr>
            <w:tcW w:w="1166" w:type="dxa"/>
          </w:tcPr>
          <w:p w:rsidR="005A6EBE" w:rsidRPr="00634B78" w:rsidRDefault="00CD5F74" w:rsidP="00F17DAF">
            <w:pPr>
              <w:pStyle w:val="TableTextEntries"/>
              <w:jc w:val="center"/>
            </w:pPr>
            <w:r>
              <w:t>6</w:t>
            </w:r>
          </w:p>
        </w:tc>
        <w:tc>
          <w:tcPr>
            <w:tcW w:w="1233" w:type="dxa"/>
          </w:tcPr>
          <w:p w:rsidR="005A6EBE" w:rsidRPr="00634B78" w:rsidRDefault="00DB4A1C" w:rsidP="00F17DAF">
            <w:pPr>
              <w:pStyle w:val="TableTextEntries"/>
              <w:jc w:val="center"/>
            </w:pPr>
            <w:r>
              <w:t>21.8</w:t>
            </w:r>
          </w:p>
        </w:tc>
      </w:tr>
    </w:tbl>
    <w:p w:rsidR="005A6EBE" w:rsidRPr="002A4292" w:rsidRDefault="005A6EBE" w:rsidP="005A6EBE">
      <w:pPr>
        <w:pStyle w:val="Note"/>
      </w:pPr>
      <w:r w:rsidRPr="002A4292">
        <w:t>Source: AidWorks</w:t>
      </w:r>
    </w:p>
    <w:p w:rsidR="005A6EBE" w:rsidRPr="00A52843" w:rsidRDefault="005A6EBE" w:rsidP="005A6EBE">
      <w:pPr>
        <w:pStyle w:val="Note"/>
      </w:pPr>
      <w:r w:rsidRPr="00A52843">
        <w:t xml:space="preserve">* Other includes expenditure on health, disability, gender, volunteers and programs administered by other Australian Government </w:t>
      </w:r>
      <w:r w:rsidR="00B30F7E">
        <w:t>agencies</w:t>
      </w:r>
      <w:r w:rsidRPr="00A52843">
        <w:t>.</w:t>
      </w:r>
    </w:p>
    <w:p w:rsidR="00990745" w:rsidRDefault="00990745">
      <w:pPr>
        <w:rPr>
          <w:rFonts w:ascii="Helvetica" w:eastAsia="Times New Roman" w:hAnsi="Helvetica" w:cs="Arial"/>
          <w:color w:val="007FAD"/>
          <w:kern w:val="28"/>
          <w:sz w:val="24"/>
        </w:rPr>
      </w:pPr>
    </w:p>
    <w:p w:rsidR="000D733F" w:rsidRPr="00EE4E1F" w:rsidRDefault="000D733F" w:rsidP="00EE4E1F">
      <w:pPr>
        <w:pStyle w:val="Heading2"/>
        <w:rPr>
          <w:sz w:val="28"/>
        </w:rPr>
      </w:pPr>
      <w:r w:rsidRPr="00EE4E1F">
        <w:rPr>
          <w:sz w:val="28"/>
        </w:rPr>
        <w:t>Progress towards objectives</w:t>
      </w:r>
      <w:r w:rsidRPr="00EE4E1F">
        <w:rPr>
          <w:sz w:val="28"/>
        </w:rPr>
        <w:tab/>
      </w:r>
    </w:p>
    <w:p w:rsidR="009D1573" w:rsidRPr="002A4292" w:rsidRDefault="009D1573" w:rsidP="009D1573">
      <w:pPr>
        <w:pStyle w:val="Caption"/>
      </w:pPr>
      <w:r w:rsidRPr="002A4292">
        <w:t xml:space="preserve">Table </w:t>
      </w:r>
      <w:r>
        <w:t>3:</w:t>
      </w:r>
      <w:r w:rsidRPr="002A4292">
        <w:t xml:space="preserve"> Rating of the program's progress towards </w:t>
      </w:r>
      <w:r>
        <w:t>partnership</w:t>
      </w:r>
      <w:r w:rsidRPr="002A4292">
        <w:t xml:space="preserve"> outcomes</w:t>
      </w:r>
    </w:p>
    <w:tbl>
      <w:tblPr>
        <w:tblStyle w:val="APPR"/>
        <w:tblW w:w="5000" w:type="pct"/>
        <w:tblLook w:val="0000" w:firstRow="0" w:lastRow="0" w:firstColumn="0" w:lastColumn="0" w:noHBand="0" w:noVBand="0"/>
      </w:tblPr>
      <w:tblGrid>
        <w:gridCol w:w="6578"/>
        <w:gridCol w:w="1233"/>
        <w:gridCol w:w="1306"/>
      </w:tblGrid>
      <w:tr w:rsidR="009D1573" w:rsidRPr="002A4292" w:rsidTr="009D1573">
        <w:trPr>
          <w:cantSplit/>
          <w:tblHeader w:val="0"/>
        </w:trPr>
        <w:tc>
          <w:tcPr>
            <w:tcW w:w="3583" w:type="pct"/>
          </w:tcPr>
          <w:p w:rsidR="009D1573" w:rsidRPr="0054649E" w:rsidRDefault="009D1573" w:rsidP="00F17DAF">
            <w:pPr>
              <w:pStyle w:val="TableTextColumnHeading"/>
            </w:pPr>
            <w:r w:rsidRPr="0054649E">
              <w:rPr>
                <w:noProof/>
                <w:lang w:eastAsia="en-AU"/>
              </w:rPr>
              <w:drawing>
                <wp:anchor distT="0" distB="0" distL="114300" distR="114300" simplePos="0" relativeHeight="251671552" behindDoc="0" locked="0" layoutInCell="1" allowOverlap="1" wp14:anchorId="6B1133FC" wp14:editId="0E043E51">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49E">
              <w:t>Partnerships outcomes</w:t>
            </w:r>
          </w:p>
        </w:tc>
        <w:tc>
          <w:tcPr>
            <w:tcW w:w="660" w:type="pct"/>
          </w:tcPr>
          <w:p w:rsidR="009D1573" w:rsidRPr="0054649E" w:rsidRDefault="009D1573" w:rsidP="00F17DAF">
            <w:pPr>
              <w:pStyle w:val="TableTextColumnHeading"/>
            </w:pPr>
            <w:r w:rsidRPr="0054649E">
              <w:t>Current rating</w:t>
            </w:r>
          </w:p>
        </w:tc>
        <w:tc>
          <w:tcPr>
            <w:tcW w:w="693" w:type="pct"/>
          </w:tcPr>
          <w:p w:rsidR="009D1573" w:rsidRPr="0054649E" w:rsidRDefault="009D1573" w:rsidP="00F17DAF">
            <w:pPr>
              <w:pStyle w:val="TableTextColumnHeading"/>
            </w:pPr>
            <w:r w:rsidRPr="0054649E">
              <w:t>Previous rating</w:t>
            </w:r>
          </w:p>
        </w:tc>
      </w:tr>
      <w:tr w:rsidR="009D1573" w:rsidRPr="002A4292" w:rsidTr="009D1573">
        <w:trPr>
          <w:cnfStyle w:val="000000010000" w:firstRow="0" w:lastRow="0" w:firstColumn="0" w:lastColumn="0" w:oddVBand="0" w:evenVBand="0" w:oddHBand="0" w:evenHBand="1" w:firstRowFirstColumn="0" w:firstRowLastColumn="0" w:lastRowFirstColumn="0" w:lastRowLastColumn="0"/>
          <w:cantSplit/>
          <w:tblHeader w:val="0"/>
        </w:trPr>
        <w:tc>
          <w:tcPr>
            <w:tcW w:w="3583" w:type="pct"/>
          </w:tcPr>
          <w:p w:rsidR="009D1573" w:rsidRPr="0054649E" w:rsidRDefault="009D1573" w:rsidP="00F17DAF">
            <w:pPr>
              <w:pStyle w:val="TableTextEntries"/>
            </w:pPr>
            <w:r w:rsidRPr="0054649E">
              <w:t>Outcome 1: Improved standards in basic education</w:t>
            </w:r>
          </w:p>
        </w:tc>
        <w:tc>
          <w:tcPr>
            <w:tcW w:w="660" w:type="pct"/>
            <w:shd w:val="clear" w:color="auto" w:fill="00B050"/>
            <w:noWrap/>
          </w:tcPr>
          <w:p w:rsidR="009D1573" w:rsidRPr="0054649E" w:rsidRDefault="00990745" w:rsidP="00C91291">
            <w:pPr>
              <w:pStyle w:val="TableTextEntries"/>
              <w:jc w:val="center"/>
            </w:pPr>
            <w:r w:rsidRPr="0054649E">
              <w:t>Green</w:t>
            </w:r>
          </w:p>
        </w:tc>
        <w:tc>
          <w:tcPr>
            <w:tcW w:w="693" w:type="pct"/>
            <w:shd w:val="clear" w:color="auto" w:fill="00B050"/>
            <w:noWrap/>
          </w:tcPr>
          <w:p w:rsidR="009D1573" w:rsidRPr="0054649E" w:rsidRDefault="009D1573" w:rsidP="00C91291">
            <w:pPr>
              <w:pStyle w:val="TableTextEntries"/>
              <w:jc w:val="center"/>
            </w:pPr>
            <w:r w:rsidRPr="0054649E">
              <w:t>Green</w:t>
            </w:r>
          </w:p>
        </w:tc>
      </w:tr>
      <w:tr w:rsidR="009D1573" w:rsidRPr="002A4292" w:rsidTr="001B5F35">
        <w:trPr>
          <w:cantSplit/>
          <w:tblHeader w:val="0"/>
        </w:trPr>
        <w:tc>
          <w:tcPr>
            <w:tcW w:w="3583" w:type="pct"/>
          </w:tcPr>
          <w:p w:rsidR="009D1573" w:rsidRPr="0054649E" w:rsidRDefault="009D1573" w:rsidP="00F17DAF">
            <w:pPr>
              <w:pStyle w:val="TableTextEntries"/>
            </w:pPr>
            <w:r w:rsidRPr="0054649E">
              <w:t>Outcome 2: Increased opportunities to develop internationally recognised workforce skills</w:t>
            </w:r>
          </w:p>
        </w:tc>
        <w:tc>
          <w:tcPr>
            <w:tcW w:w="660" w:type="pct"/>
            <w:tcBorders>
              <w:top w:val="nil"/>
              <w:bottom w:val="nil"/>
            </w:tcBorders>
            <w:shd w:val="clear" w:color="auto" w:fill="F79646" w:themeFill="accent6"/>
            <w:noWrap/>
          </w:tcPr>
          <w:p w:rsidR="009D1573" w:rsidRPr="0054649E" w:rsidRDefault="00990745" w:rsidP="00C91291">
            <w:pPr>
              <w:pStyle w:val="TableTextEntries"/>
              <w:jc w:val="center"/>
            </w:pPr>
            <w:r>
              <w:t>A</w:t>
            </w:r>
            <w:r w:rsidRPr="0054649E">
              <w:t>mber</w:t>
            </w:r>
          </w:p>
        </w:tc>
        <w:tc>
          <w:tcPr>
            <w:tcW w:w="693" w:type="pct"/>
            <w:tcBorders>
              <w:top w:val="nil"/>
              <w:bottom w:val="nil"/>
            </w:tcBorders>
            <w:shd w:val="clear" w:color="auto" w:fill="F79646" w:themeFill="accent6"/>
            <w:noWrap/>
          </w:tcPr>
          <w:p w:rsidR="009D1573" w:rsidRPr="0054649E" w:rsidRDefault="009D1573" w:rsidP="00C91291">
            <w:pPr>
              <w:pStyle w:val="TableTextEntries"/>
              <w:jc w:val="center"/>
            </w:pPr>
            <w:r w:rsidRPr="0054649E">
              <w:t>Amber</w:t>
            </w:r>
          </w:p>
        </w:tc>
      </w:tr>
      <w:tr w:rsidR="009D1573" w:rsidRPr="002A4292" w:rsidTr="009D1573">
        <w:trPr>
          <w:cnfStyle w:val="000000010000" w:firstRow="0" w:lastRow="0" w:firstColumn="0" w:lastColumn="0" w:oddVBand="0" w:evenVBand="0" w:oddHBand="0" w:evenHBand="1" w:firstRowFirstColumn="0" w:firstRowLastColumn="0" w:lastRowFirstColumn="0" w:lastRowLastColumn="0"/>
          <w:cantSplit/>
          <w:tblHeader w:val="0"/>
        </w:trPr>
        <w:tc>
          <w:tcPr>
            <w:tcW w:w="3583" w:type="pct"/>
          </w:tcPr>
          <w:p w:rsidR="009D1573" w:rsidRPr="0054649E" w:rsidRDefault="009D1573" w:rsidP="00F17DAF">
            <w:pPr>
              <w:pStyle w:val="TableTextEntries"/>
            </w:pPr>
            <w:r w:rsidRPr="0054649E">
              <w:t>Outcome 3: Improved growth and economic management</w:t>
            </w:r>
          </w:p>
        </w:tc>
        <w:tc>
          <w:tcPr>
            <w:tcW w:w="660" w:type="pct"/>
            <w:shd w:val="clear" w:color="auto" w:fill="00B050"/>
            <w:noWrap/>
          </w:tcPr>
          <w:p w:rsidR="009D1573" w:rsidRPr="0054649E" w:rsidRDefault="00990745" w:rsidP="00C91291">
            <w:pPr>
              <w:pStyle w:val="TableTextEntries"/>
              <w:jc w:val="center"/>
            </w:pPr>
            <w:r>
              <w:t>Green</w:t>
            </w:r>
          </w:p>
        </w:tc>
        <w:tc>
          <w:tcPr>
            <w:tcW w:w="693" w:type="pct"/>
            <w:shd w:val="clear" w:color="auto" w:fill="00B050"/>
            <w:noWrap/>
          </w:tcPr>
          <w:p w:rsidR="009D1573" w:rsidRPr="0054649E" w:rsidRDefault="009D1573" w:rsidP="00C91291">
            <w:pPr>
              <w:pStyle w:val="TableTextEntries"/>
              <w:jc w:val="center"/>
            </w:pPr>
            <w:r w:rsidRPr="0054649E">
              <w:t>Green</w:t>
            </w:r>
          </w:p>
        </w:tc>
      </w:tr>
      <w:tr w:rsidR="009D1573" w:rsidRPr="002A4292" w:rsidTr="001B5F35">
        <w:trPr>
          <w:cantSplit/>
          <w:tblHeader w:val="0"/>
        </w:trPr>
        <w:tc>
          <w:tcPr>
            <w:tcW w:w="3583" w:type="pct"/>
          </w:tcPr>
          <w:p w:rsidR="009D1573" w:rsidRPr="0054649E" w:rsidRDefault="009D1573" w:rsidP="00F17DAF">
            <w:pPr>
              <w:pStyle w:val="TableTextEntries"/>
            </w:pPr>
            <w:r w:rsidRPr="0054649E">
              <w:t>Outcome 4: Improved infrastructure services</w:t>
            </w:r>
          </w:p>
        </w:tc>
        <w:tc>
          <w:tcPr>
            <w:tcW w:w="660" w:type="pct"/>
            <w:tcBorders>
              <w:top w:val="nil"/>
              <w:bottom w:val="nil"/>
            </w:tcBorders>
            <w:shd w:val="clear" w:color="auto" w:fill="00B050"/>
            <w:noWrap/>
          </w:tcPr>
          <w:p w:rsidR="009D1573" w:rsidRPr="0054649E" w:rsidRDefault="00990745" w:rsidP="00C91291">
            <w:pPr>
              <w:pStyle w:val="TableTextEntries"/>
              <w:jc w:val="center"/>
            </w:pPr>
            <w:r>
              <w:t>Green</w:t>
            </w:r>
          </w:p>
        </w:tc>
        <w:tc>
          <w:tcPr>
            <w:tcW w:w="693" w:type="pct"/>
            <w:tcBorders>
              <w:top w:val="nil"/>
              <w:bottom w:val="single" w:sz="12" w:space="0" w:color="000000" w:themeColor="text1"/>
            </w:tcBorders>
            <w:shd w:val="clear" w:color="auto" w:fill="F79646" w:themeFill="accent6"/>
            <w:noWrap/>
          </w:tcPr>
          <w:p w:rsidR="009D1573" w:rsidRPr="0054649E" w:rsidRDefault="00990745" w:rsidP="00C91291">
            <w:pPr>
              <w:pStyle w:val="TableTextEntries"/>
              <w:tabs>
                <w:tab w:val="left" w:pos="945"/>
              </w:tabs>
              <w:jc w:val="center"/>
            </w:pPr>
            <w:r w:rsidRPr="001B5F35">
              <w:t>Amber</w:t>
            </w:r>
          </w:p>
        </w:tc>
      </w:tr>
    </w:tbl>
    <w:p w:rsidR="000D733F" w:rsidRPr="00180B19" w:rsidRDefault="009D1573" w:rsidP="000D733F">
      <w:pPr>
        <w:pStyle w:val="Note"/>
      </w:pPr>
      <w:r w:rsidRPr="002A4292">
        <w:t xml:space="preserve">Note: </w:t>
      </w:r>
    </w:p>
    <w:p w:rsidR="000D733F" w:rsidRPr="00180B19" w:rsidRDefault="000D733F" w:rsidP="000D733F">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0D733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0D733F">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0D733F" w:rsidRDefault="000D733F" w:rsidP="000D733F">
      <w:pPr>
        <w:pStyle w:val="Note"/>
      </w:pPr>
      <w:r>
        <w:t xml:space="preserve">Reporting period: </w:t>
      </w:r>
      <w:r w:rsidRPr="00180B19">
        <w:t xml:space="preserve"> </w:t>
      </w:r>
    </w:p>
    <w:p w:rsidR="000D733F" w:rsidRDefault="000D733F">
      <w:pPr>
        <w:rPr>
          <w:rFonts w:ascii="Helvetica" w:hAnsi="Helvetica" w:cs="Arial"/>
          <w:color w:val="0C7DAF"/>
          <w:kern w:val="28"/>
          <w:szCs w:val="28"/>
        </w:rPr>
      </w:pPr>
    </w:p>
    <w:p w:rsidR="00B62441" w:rsidRPr="002A4292" w:rsidRDefault="00B62441" w:rsidP="00E62ABA">
      <w:pPr>
        <w:pStyle w:val="Heading3"/>
      </w:pPr>
      <w:r w:rsidRPr="002A4292">
        <w:t xml:space="preserve">Outcome 1: Improved </w:t>
      </w:r>
      <w:r>
        <w:t>standards in b</w:t>
      </w:r>
      <w:r w:rsidRPr="002A4292">
        <w:t xml:space="preserve">asic </w:t>
      </w:r>
      <w:r>
        <w:t>e</w:t>
      </w:r>
      <w:r w:rsidRPr="002A4292">
        <w:t>ducation</w:t>
      </w:r>
    </w:p>
    <w:p w:rsidR="00B62441" w:rsidRPr="002A4292" w:rsidRDefault="00B62441" w:rsidP="00B62441">
      <w:pPr>
        <w:pStyle w:val="BodyText"/>
        <w:ind w:left="1440" w:hanging="1440"/>
      </w:pPr>
      <w:r w:rsidRPr="002A4292">
        <w:rPr>
          <w:b/>
        </w:rPr>
        <w:t xml:space="preserve">Commitment </w:t>
      </w:r>
      <w:r w:rsidRPr="002A4292">
        <w:rPr>
          <w:b/>
        </w:rPr>
        <w:tab/>
      </w:r>
      <w:r w:rsidRPr="002A4292">
        <w:t xml:space="preserve">Support efforts to </w:t>
      </w:r>
      <w:r w:rsidRPr="00E04644">
        <w:t>achieve improved standards in basic education, in terms of both access and quality</w:t>
      </w:r>
      <w:r>
        <w:t xml:space="preserve">. </w:t>
      </w:r>
    </w:p>
    <w:p w:rsidR="00B62441" w:rsidRPr="002A4292" w:rsidRDefault="002A648D" w:rsidP="00B62441">
      <w:pPr>
        <w:pStyle w:val="BodyText"/>
      </w:pPr>
      <w:r>
        <w:rPr>
          <w:b/>
        </w:rPr>
        <w:t>Targets</w:t>
      </w:r>
      <w:r w:rsidR="00B62441" w:rsidRPr="002A4292">
        <w:rPr>
          <w:b/>
        </w:rPr>
        <w:tab/>
      </w:r>
      <w:r w:rsidR="00B62441" w:rsidRPr="002A4292">
        <w:t xml:space="preserve">Improved functional literacy and numeracy of </w:t>
      </w:r>
      <w:r w:rsidR="00B30F7E">
        <w:t xml:space="preserve">primary </w:t>
      </w:r>
      <w:r w:rsidR="00B62441" w:rsidRPr="002A4292">
        <w:t>school</w:t>
      </w:r>
      <w:r w:rsidR="00B30F7E">
        <w:t xml:space="preserve"> </w:t>
      </w:r>
      <w:r w:rsidR="00B62441" w:rsidRPr="002A4292">
        <w:t>children.</w:t>
      </w:r>
    </w:p>
    <w:p w:rsidR="00B62441" w:rsidRPr="002A4292" w:rsidRDefault="00B62441" w:rsidP="00B62441">
      <w:pPr>
        <w:pStyle w:val="BodyText"/>
        <w:ind w:left="1440"/>
      </w:pPr>
      <w:r w:rsidRPr="002A4292">
        <w:t xml:space="preserve">Increased net enrolment rate for </w:t>
      </w:r>
      <w:r w:rsidR="00B30F7E">
        <w:t xml:space="preserve">children </w:t>
      </w:r>
      <w:r w:rsidRPr="002A4292">
        <w:t>at all levels of the education system.</w:t>
      </w:r>
    </w:p>
    <w:p w:rsidR="00B62441" w:rsidRPr="002A4292" w:rsidRDefault="00B62441" w:rsidP="00B62441">
      <w:pPr>
        <w:pStyle w:val="BodyText"/>
        <w:ind w:left="1440"/>
      </w:pPr>
      <w:r w:rsidRPr="002A4292">
        <w:t>Kiribati Education Management Information System data reported annually to key stakeholders.</w:t>
      </w:r>
    </w:p>
    <w:p w:rsidR="00B62441" w:rsidRPr="002A4292" w:rsidRDefault="00B62441" w:rsidP="00B62441">
      <w:pPr>
        <w:pStyle w:val="BodyText"/>
        <w:ind w:left="1440" w:hanging="1440"/>
        <w:rPr>
          <w:rFonts w:ascii="Georgia" w:hAnsi="Georgia"/>
          <w:sz w:val="19"/>
        </w:rPr>
      </w:pPr>
      <w:r w:rsidRPr="002A4292">
        <w:rPr>
          <w:b/>
        </w:rPr>
        <w:t>Rating</w:t>
      </w:r>
      <w:r w:rsidRPr="002A4292">
        <w:rPr>
          <w:b/>
        </w:rPr>
        <w:tab/>
      </w:r>
      <w:r w:rsidRPr="002A4292">
        <w:t xml:space="preserve">Green: </w:t>
      </w:r>
      <w:r w:rsidRPr="002A4292">
        <w:rPr>
          <w:lang w:val="en-US"/>
        </w:rPr>
        <w:t>Kiribati is not expected to meet the education MDGs</w:t>
      </w:r>
      <w:r w:rsidRPr="002A4292">
        <w:t xml:space="preserve"> by 2015. However, </w:t>
      </w:r>
      <w:r>
        <w:t>Kiribati and Australia are on track to achieve the p</w:t>
      </w:r>
      <w:r w:rsidRPr="002A4292">
        <w:t>artnership targets</w:t>
      </w:r>
      <w:r w:rsidRPr="002A4292">
        <w:rPr>
          <w:rFonts w:ascii="Georgia" w:hAnsi="Georgia"/>
          <w:sz w:val="19"/>
          <w:lang w:val="en-US"/>
        </w:rPr>
        <w:t>.</w:t>
      </w:r>
    </w:p>
    <w:p w:rsidR="00B62441" w:rsidRDefault="00B62441" w:rsidP="00B62441">
      <w:pPr>
        <w:pStyle w:val="BodyText"/>
      </w:pPr>
      <w:r w:rsidRPr="002A4292">
        <w:t xml:space="preserve">To </w:t>
      </w:r>
      <w:r w:rsidR="00856F9C">
        <w:t xml:space="preserve">help </w:t>
      </w:r>
      <w:r w:rsidRPr="002A4292">
        <w:t>address the poor quality of education in Kiribati, Australia has partnered with the Go</w:t>
      </w:r>
      <w:r w:rsidR="00250876">
        <w:t>K</w:t>
      </w:r>
      <w:r w:rsidRPr="002A4292">
        <w:t>, UNICEF and UNESCO to deliver the Kiribati Education Improvement Program</w:t>
      </w:r>
      <w:r w:rsidR="00250876">
        <w:t xml:space="preserve"> (KEIP)</w:t>
      </w:r>
      <w:r w:rsidR="008D4346">
        <w:t>.</w:t>
      </w:r>
      <w:r>
        <w:t xml:space="preserve"> </w:t>
      </w:r>
    </w:p>
    <w:p w:rsidR="00F26AE9" w:rsidRDefault="00F26AE9">
      <w:pPr>
        <w:rPr>
          <w:rFonts w:ascii="Helvetica" w:eastAsia="Times New Roman" w:hAnsi="Helvetica" w:cs="Arial"/>
          <w:color w:val="007FAD"/>
          <w:kern w:val="28"/>
          <w:sz w:val="24"/>
        </w:rPr>
      </w:pPr>
      <w:r>
        <w:br w:type="page"/>
      </w:r>
    </w:p>
    <w:p w:rsidR="00B62441" w:rsidRPr="00082E72" w:rsidRDefault="00B62441" w:rsidP="00E62ABA">
      <w:pPr>
        <w:pStyle w:val="Heading3"/>
        <w:rPr>
          <w:color w:val="FF0000"/>
        </w:rPr>
      </w:pPr>
      <w:r w:rsidRPr="002A4292">
        <w:t>Progress against targets</w:t>
      </w:r>
    </w:p>
    <w:p w:rsidR="00EF7671" w:rsidRDefault="0065317E" w:rsidP="00B62441">
      <w:pPr>
        <w:pStyle w:val="BodyText"/>
        <w:rPr>
          <w:lang w:eastAsia="zh-CN"/>
        </w:rPr>
      </w:pPr>
      <w:r>
        <w:rPr>
          <w:lang w:eastAsia="zh-CN"/>
        </w:rPr>
        <w:t xml:space="preserve">The </w:t>
      </w:r>
      <w:r w:rsidR="006E7138">
        <w:rPr>
          <w:lang w:eastAsia="zh-CN"/>
        </w:rPr>
        <w:t>ambition</w:t>
      </w:r>
      <w:r>
        <w:rPr>
          <w:lang w:eastAsia="zh-CN"/>
        </w:rPr>
        <w:t xml:space="preserve"> of </w:t>
      </w:r>
      <w:r w:rsidR="008D4346">
        <w:rPr>
          <w:lang w:eastAsia="zh-CN"/>
        </w:rPr>
        <w:t xml:space="preserve">KEIP </w:t>
      </w:r>
      <w:r>
        <w:rPr>
          <w:lang w:eastAsia="zh-CN"/>
        </w:rPr>
        <w:t>Phase II is that by 2015, all children (</w:t>
      </w:r>
      <w:r w:rsidR="00B30F7E">
        <w:rPr>
          <w:lang w:eastAsia="zh-CN"/>
        </w:rPr>
        <w:t xml:space="preserve">girls and </w:t>
      </w:r>
      <w:r>
        <w:rPr>
          <w:lang w:eastAsia="zh-CN"/>
        </w:rPr>
        <w:t>boys) in Years 1-4 in Kiribati participate in primary education and make progress toward functional literacy and numeracy after six years.  The primary school net enrolment rate has been static at 82% for several years, and is on a slightly declining trend</w:t>
      </w:r>
      <w:r w:rsidR="00DC4D4A">
        <w:rPr>
          <w:lang w:eastAsia="zh-CN"/>
        </w:rPr>
        <w:t>,</w:t>
      </w:r>
      <w:r>
        <w:rPr>
          <w:lang w:eastAsia="zh-CN"/>
        </w:rPr>
        <w:t xml:space="preserve"> while the </w:t>
      </w:r>
      <w:r w:rsidR="00B30F7E">
        <w:rPr>
          <w:lang w:eastAsia="zh-CN"/>
        </w:rPr>
        <w:t xml:space="preserve">retention </w:t>
      </w:r>
      <w:r>
        <w:rPr>
          <w:lang w:eastAsia="zh-CN"/>
        </w:rPr>
        <w:t>rate of 91.2% is trending positively.</w:t>
      </w:r>
    </w:p>
    <w:p w:rsidR="0065317E" w:rsidRPr="0065317E" w:rsidRDefault="0065317E" w:rsidP="0065317E">
      <w:pPr>
        <w:pStyle w:val="BodyText"/>
        <w:rPr>
          <w:lang w:eastAsia="zh-CN"/>
        </w:rPr>
      </w:pPr>
      <w:r w:rsidRPr="0065317E">
        <w:rPr>
          <w:lang w:eastAsia="zh-CN"/>
        </w:rPr>
        <w:t xml:space="preserve">The program remains </w:t>
      </w:r>
      <w:r w:rsidR="00DC4D4A">
        <w:rPr>
          <w:lang w:eastAsia="zh-CN"/>
        </w:rPr>
        <w:t>focused on early grade learning:</w:t>
      </w:r>
      <w:r w:rsidRPr="0065317E">
        <w:rPr>
          <w:lang w:eastAsia="zh-CN"/>
        </w:rPr>
        <w:t xml:space="preserve"> most activities have been implemented as planned; and the program is on track to meet its objectives</w:t>
      </w:r>
      <w:r w:rsidR="00036E0A">
        <w:rPr>
          <w:lang w:eastAsia="zh-CN"/>
        </w:rPr>
        <w:t>.</w:t>
      </w:r>
    </w:p>
    <w:p w:rsidR="0065317E" w:rsidRDefault="0065317E" w:rsidP="0065317E">
      <w:pPr>
        <w:pStyle w:val="BodyText"/>
        <w:rPr>
          <w:lang w:eastAsia="zh-CN"/>
        </w:rPr>
      </w:pPr>
      <w:r w:rsidRPr="0065317E">
        <w:rPr>
          <w:lang w:eastAsia="zh-CN"/>
        </w:rPr>
        <w:t>Key achievement</w:t>
      </w:r>
      <w:r>
        <w:rPr>
          <w:lang w:eastAsia="zh-CN"/>
        </w:rPr>
        <w:t>s for 2013/14</w:t>
      </w:r>
      <w:r w:rsidRPr="0065317E">
        <w:rPr>
          <w:lang w:eastAsia="zh-CN"/>
        </w:rPr>
        <w:t xml:space="preserve"> include: </w:t>
      </w:r>
    </w:p>
    <w:p w:rsidR="0065317E" w:rsidRPr="00DC3716" w:rsidRDefault="0065317E" w:rsidP="00EE4E1F">
      <w:pPr>
        <w:pStyle w:val="BodyText"/>
        <w:numPr>
          <w:ilvl w:val="0"/>
          <w:numId w:val="19"/>
        </w:numPr>
        <w:spacing w:after="0"/>
        <w:ind w:left="714" w:hanging="357"/>
        <w:rPr>
          <w:lang w:eastAsia="zh-CN"/>
        </w:rPr>
      </w:pPr>
      <w:r w:rsidRPr="00DC3716">
        <w:rPr>
          <w:lang w:eastAsia="zh-CN"/>
        </w:rPr>
        <w:t>5</w:t>
      </w:r>
      <w:r w:rsidR="008D4346">
        <w:rPr>
          <w:lang w:eastAsia="zh-CN"/>
        </w:rPr>
        <w:t>,</w:t>
      </w:r>
      <w:r w:rsidRPr="00DC3716">
        <w:rPr>
          <w:lang w:eastAsia="zh-CN"/>
        </w:rPr>
        <w:t xml:space="preserve">626 children (all Year 1 - 2) </w:t>
      </w:r>
      <w:r w:rsidR="008D4346">
        <w:rPr>
          <w:lang w:eastAsia="zh-CN"/>
        </w:rPr>
        <w:t xml:space="preserve">with </w:t>
      </w:r>
      <w:r w:rsidRPr="00DC3716">
        <w:rPr>
          <w:lang w:eastAsia="zh-CN"/>
        </w:rPr>
        <w:t xml:space="preserve">access </w:t>
      </w:r>
      <w:r w:rsidR="008D4346">
        <w:rPr>
          <w:lang w:eastAsia="zh-CN"/>
        </w:rPr>
        <w:t xml:space="preserve">to </w:t>
      </w:r>
      <w:r w:rsidRPr="00DC3716">
        <w:rPr>
          <w:lang w:eastAsia="zh-CN"/>
        </w:rPr>
        <w:t xml:space="preserve">the new curriculum; </w:t>
      </w:r>
    </w:p>
    <w:p w:rsidR="0065317E" w:rsidRPr="00DC3716" w:rsidRDefault="0065317E" w:rsidP="00EE4E1F">
      <w:pPr>
        <w:pStyle w:val="BodyText"/>
        <w:numPr>
          <w:ilvl w:val="0"/>
          <w:numId w:val="19"/>
        </w:numPr>
        <w:spacing w:after="0"/>
        <w:ind w:left="714" w:hanging="357"/>
        <w:rPr>
          <w:lang w:eastAsia="zh-CN"/>
        </w:rPr>
      </w:pPr>
      <w:r w:rsidRPr="00DC3716">
        <w:rPr>
          <w:lang w:eastAsia="zh-CN"/>
        </w:rPr>
        <w:t xml:space="preserve">323 teachers trained in the delivery </w:t>
      </w:r>
      <w:r w:rsidR="0046244F" w:rsidRPr="00DC3716">
        <w:rPr>
          <w:lang w:eastAsia="zh-CN"/>
        </w:rPr>
        <w:t xml:space="preserve">and assessment </w:t>
      </w:r>
      <w:r w:rsidRPr="00DC3716">
        <w:rPr>
          <w:lang w:eastAsia="zh-CN"/>
        </w:rPr>
        <w:t>of this new curriculum</w:t>
      </w:r>
      <w:r w:rsidR="0046244F" w:rsidRPr="00DC3716">
        <w:rPr>
          <w:lang w:eastAsia="zh-CN"/>
        </w:rPr>
        <w:t>;</w:t>
      </w:r>
    </w:p>
    <w:p w:rsidR="0065317E" w:rsidRPr="00DC3716" w:rsidRDefault="0046244F" w:rsidP="00EE4E1F">
      <w:pPr>
        <w:pStyle w:val="BodyText"/>
        <w:numPr>
          <w:ilvl w:val="0"/>
          <w:numId w:val="19"/>
        </w:numPr>
        <w:spacing w:after="0"/>
        <w:ind w:left="714" w:hanging="357"/>
        <w:rPr>
          <w:lang w:eastAsia="zh-CN"/>
        </w:rPr>
      </w:pPr>
      <w:r w:rsidRPr="00DC3716">
        <w:rPr>
          <w:lang w:eastAsia="zh-CN"/>
        </w:rPr>
        <w:t>615</w:t>
      </w:r>
      <w:r w:rsidR="0065317E" w:rsidRPr="00DC3716">
        <w:rPr>
          <w:lang w:eastAsia="zh-CN"/>
        </w:rPr>
        <w:t xml:space="preserve"> students and </w:t>
      </w:r>
      <w:r w:rsidR="00340DAE" w:rsidRPr="00DC3716">
        <w:rPr>
          <w:lang w:eastAsia="zh-CN"/>
        </w:rPr>
        <w:t xml:space="preserve">their </w:t>
      </w:r>
      <w:r w:rsidR="0065317E" w:rsidRPr="00DC3716">
        <w:rPr>
          <w:lang w:eastAsia="zh-CN"/>
        </w:rPr>
        <w:t xml:space="preserve">teachers benefit from </w:t>
      </w:r>
      <w:r w:rsidR="00340DAE" w:rsidRPr="00DC3716">
        <w:rPr>
          <w:lang w:eastAsia="zh-CN"/>
        </w:rPr>
        <w:t>school reconstruction</w:t>
      </w:r>
      <w:r w:rsidR="0065317E" w:rsidRPr="00DC3716">
        <w:rPr>
          <w:lang w:eastAsia="zh-CN"/>
        </w:rPr>
        <w:t xml:space="preserve">; </w:t>
      </w:r>
    </w:p>
    <w:p w:rsidR="0065317E" w:rsidRPr="00DC3716" w:rsidRDefault="0065317E" w:rsidP="00EE4E1F">
      <w:pPr>
        <w:pStyle w:val="BodyText"/>
        <w:numPr>
          <w:ilvl w:val="0"/>
          <w:numId w:val="19"/>
        </w:numPr>
        <w:spacing w:after="0"/>
        <w:ind w:left="714" w:hanging="357"/>
        <w:rPr>
          <w:lang w:eastAsia="zh-CN"/>
        </w:rPr>
      </w:pPr>
      <w:r w:rsidRPr="00DC3716">
        <w:rPr>
          <w:lang w:eastAsia="zh-CN"/>
        </w:rPr>
        <w:t xml:space="preserve">63 (46%) of school leaders trained in school management; and </w:t>
      </w:r>
    </w:p>
    <w:p w:rsidR="0065317E" w:rsidRDefault="00165C75" w:rsidP="00EE4E1F">
      <w:pPr>
        <w:pStyle w:val="BodyText"/>
        <w:numPr>
          <w:ilvl w:val="0"/>
          <w:numId w:val="19"/>
        </w:numPr>
        <w:spacing w:after="0"/>
        <w:ind w:left="714" w:hanging="357"/>
        <w:rPr>
          <w:lang w:eastAsia="zh-CN"/>
        </w:rPr>
      </w:pPr>
      <w:r>
        <w:rPr>
          <w:lang w:eastAsia="zh-CN"/>
        </w:rPr>
        <w:t xml:space="preserve">Preparation of </w:t>
      </w:r>
      <w:r w:rsidR="0065317E" w:rsidRPr="00DC3716">
        <w:rPr>
          <w:lang w:eastAsia="zh-CN"/>
        </w:rPr>
        <w:t>the draft Inclusive Education Policy (and implementing strategy) ready for approval.</w:t>
      </w:r>
    </w:p>
    <w:p w:rsidR="0065317E" w:rsidRDefault="0065317E" w:rsidP="0065317E">
      <w:pPr>
        <w:pStyle w:val="BodyText"/>
        <w:rPr>
          <w:lang w:eastAsia="zh-CN"/>
        </w:rPr>
      </w:pPr>
      <w:r w:rsidRPr="00DC3716">
        <w:rPr>
          <w:lang w:eastAsia="zh-CN"/>
        </w:rPr>
        <w:t>In 2013/14</w:t>
      </w:r>
      <w:r w:rsidR="008D4346">
        <w:rPr>
          <w:lang w:eastAsia="zh-CN"/>
        </w:rPr>
        <w:t>, after</w:t>
      </w:r>
      <w:r w:rsidRPr="00DC3716">
        <w:rPr>
          <w:lang w:eastAsia="zh-CN"/>
        </w:rPr>
        <w:t xml:space="preserve"> delays in school reconstruction </w:t>
      </w:r>
      <w:r w:rsidR="00261323">
        <w:rPr>
          <w:lang w:eastAsia="zh-CN"/>
        </w:rPr>
        <w:t>while</w:t>
      </w:r>
      <w:r w:rsidR="00C805F5">
        <w:rPr>
          <w:lang w:eastAsia="zh-CN"/>
        </w:rPr>
        <w:t xml:space="preserve"> building materials were</w:t>
      </w:r>
      <w:r w:rsidR="00426F3F" w:rsidRPr="00DC3716">
        <w:rPr>
          <w:lang w:eastAsia="zh-CN"/>
        </w:rPr>
        <w:t xml:space="preserve"> </w:t>
      </w:r>
      <w:r w:rsidR="00261323">
        <w:rPr>
          <w:lang w:eastAsia="zh-CN"/>
        </w:rPr>
        <w:t>agreed,</w:t>
      </w:r>
      <w:r w:rsidR="008D4346">
        <w:rPr>
          <w:lang w:eastAsia="zh-CN"/>
        </w:rPr>
        <w:t xml:space="preserve"> p</w:t>
      </w:r>
      <w:r w:rsidR="00082E72" w:rsidRPr="00DC3716">
        <w:rPr>
          <w:lang w:eastAsia="zh-CN"/>
        </w:rPr>
        <w:t xml:space="preserve">reparatory work on </w:t>
      </w:r>
      <w:r w:rsidR="00340DAE" w:rsidRPr="00DC3716">
        <w:rPr>
          <w:lang w:eastAsia="zh-CN"/>
        </w:rPr>
        <w:t xml:space="preserve">rehabilitating </w:t>
      </w:r>
      <w:r w:rsidR="00082E72" w:rsidRPr="00DC3716">
        <w:rPr>
          <w:lang w:eastAsia="zh-CN"/>
        </w:rPr>
        <w:t>seven schools in the Line and Phoenix Islands commenced</w:t>
      </w:r>
      <w:r w:rsidRPr="00DC3716">
        <w:rPr>
          <w:lang w:eastAsia="zh-CN"/>
        </w:rPr>
        <w:t xml:space="preserve">. </w:t>
      </w:r>
    </w:p>
    <w:p w:rsidR="00DC3716" w:rsidRPr="005F14B7" w:rsidRDefault="00DC3716" w:rsidP="00E62ABA">
      <w:pPr>
        <w:pStyle w:val="Heading3"/>
      </w:pPr>
      <w:r>
        <w:t>Steps to improve management, accountability and effectiveness</w:t>
      </w:r>
    </w:p>
    <w:p w:rsidR="00DC3716" w:rsidRPr="006A1DD5" w:rsidRDefault="001E5DC0" w:rsidP="00DC3716">
      <w:pPr>
        <w:pStyle w:val="BodyText"/>
        <w:rPr>
          <w:lang w:eastAsia="zh-CN"/>
        </w:rPr>
      </w:pPr>
      <w:r>
        <w:rPr>
          <w:lang w:eastAsia="zh-CN"/>
        </w:rPr>
        <w:t xml:space="preserve">For the remainder of </w:t>
      </w:r>
      <w:r w:rsidR="00DC4D4A" w:rsidRPr="006A1DD5">
        <w:rPr>
          <w:lang w:eastAsia="zh-CN"/>
        </w:rPr>
        <w:t xml:space="preserve">phase </w:t>
      </w:r>
      <w:r>
        <w:rPr>
          <w:lang w:eastAsia="zh-CN"/>
        </w:rPr>
        <w:t xml:space="preserve">II of </w:t>
      </w:r>
      <w:r w:rsidR="008D4346">
        <w:rPr>
          <w:lang w:eastAsia="zh-CN"/>
        </w:rPr>
        <w:t>KEIP</w:t>
      </w:r>
      <w:r>
        <w:rPr>
          <w:lang w:eastAsia="zh-CN"/>
        </w:rPr>
        <w:t>,</w:t>
      </w:r>
      <w:r w:rsidR="008D4346">
        <w:rPr>
          <w:lang w:eastAsia="zh-CN"/>
        </w:rPr>
        <w:t xml:space="preserve"> </w:t>
      </w:r>
      <w:r w:rsidR="00DC4D4A" w:rsidRPr="006A1DD5">
        <w:rPr>
          <w:lang w:eastAsia="zh-CN"/>
        </w:rPr>
        <w:t xml:space="preserve">implementing partners will: (a) consolidate curriculum reform and teacher professional development in support of the National Curriculum and Assessment Framework; (b) accelerate school rehabilitation; (c) strengthen the collection and analysis of student achievement information; (d) institutionalise </w:t>
      </w:r>
      <w:r w:rsidR="00DC4D4A" w:rsidRPr="006A1DD5">
        <w:rPr>
          <w:i/>
          <w:lang w:eastAsia="zh-CN"/>
        </w:rPr>
        <w:t>Education Partners in Kiribati</w:t>
      </w:r>
      <w:r w:rsidR="00DC4D4A" w:rsidRPr="006A1DD5">
        <w:rPr>
          <w:lang w:eastAsia="zh-CN"/>
        </w:rPr>
        <w:t xml:space="preserve"> as the mechanism for coordinating development partner activity; and (e) strengthen monitoring, evaluation and reporting.</w:t>
      </w:r>
      <w:r w:rsidR="00F33B3E">
        <w:rPr>
          <w:lang w:eastAsia="zh-CN"/>
        </w:rPr>
        <w:t xml:space="preserve"> </w:t>
      </w:r>
      <w:r w:rsidR="00DC3716" w:rsidRPr="006A1DD5">
        <w:rPr>
          <w:lang w:eastAsia="zh-CN"/>
        </w:rPr>
        <w:t>The findings of an independent evaluation of the Kiribati Education Improvement Program</w:t>
      </w:r>
      <w:r w:rsidR="00036E0A">
        <w:rPr>
          <w:lang w:eastAsia="zh-CN"/>
        </w:rPr>
        <w:t xml:space="preserve">, </w:t>
      </w:r>
      <w:r w:rsidR="00DC4D4A">
        <w:rPr>
          <w:lang w:eastAsia="zh-CN"/>
        </w:rPr>
        <w:t>due to be finalised in</w:t>
      </w:r>
      <w:r w:rsidR="00036E0A">
        <w:rPr>
          <w:lang w:eastAsia="zh-CN"/>
        </w:rPr>
        <w:t xml:space="preserve"> 2014/15</w:t>
      </w:r>
      <w:r w:rsidR="008D4346">
        <w:rPr>
          <w:lang w:eastAsia="zh-CN"/>
        </w:rPr>
        <w:t>,</w:t>
      </w:r>
      <w:r w:rsidR="00DC3716" w:rsidRPr="006A1DD5">
        <w:rPr>
          <w:lang w:eastAsia="zh-CN"/>
        </w:rPr>
        <w:t xml:space="preserve"> will inform </w:t>
      </w:r>
      <w:r w:rsidR="00DC4D4A">
        <w:rPr>
          <w:lang w:eastAsia="zh-CN"/>
        </w:rPr>
        <w:t>f</w:t>
      </w:r>
      <w:r w:rsidR="00856F9C">
        <w:rPr>
          <w:lang w:eastAsia="zh-CN"/>
        </w:rPr>
        <w:t xml:space="preserve">orward work programs. </w:t>
      </w:r>
      <w:r w:rsidR="00DC3716" w:rsidRPr="006A1DD5">
        <w:rPr>
          <w:lang w:eastAsia="zh-CN"/>
        </w:rPr>
        <w:t xml:space="preserve"> </w:t>
      </w:r>
    </w:p>
    <w:p w:rsidR="00956C59" w:rsidRDefault="00956C59" w:rsidP="00E62ABA">
      <w:pPr>
        <w:pStyle w:val="Heading3"/>
      </w:pPr>
    </w:p>
    <w:p w:rsidR="00B62441" w:rsidRPr="00C17E42" w:rsidRDefault="00B62441" w:rsidP="00E62ABA">
      <w:pPr>
        <w:pStyle w:val="Heading3"/>
      </w:pPr>
      <w:r w:rsidRPr="00C17E42">
        <w:t>Outcome 2: Workforce Skills Development</w:t>
      </w:r>
    </w:p>
    <w:p w:rsidR="00B62441" w:rsidRPr="002A4292" w:rsidRDefault="00B62441" w:rsidP="00B62441">
      <w:pPr>
        <w:pStyle w:val="BodyText"/>
        <w:ind w:left="1440" w:hanging="1440"/>
      </w:pPr>
      <w:r w:rsidRPr="002A4292">
        <w:rPr>
          <w:b/>
        </w:rPr>
        <w:t xml:space="preserve">Commitment </w:t>
      </w:r>
      <w:r>
        <w:rPr>
          <w:b/>
        </w:rPr>
        <w:tab/>
      </w:r>
      <w:r w:rsidRPr="002A4292">
        <w:t>Provide opportunities for people to develop workforce skills in areas of domestic and international industry demand</w:t>
      </w:r>
      <w:r>
        <w:t>.</w:t>
      </w:r>
    </w:p>
    <w:p w:rsidR="00B62441" w:rsidRPr="002A4292" w:rsidRDefault="002A648D" w:rsidP="00B62441">
      <w:pPr>
        <w:pStyle w:val="BodyText"/>
        <w:ind w:left="1440" w:hanging="1440"/>
        <w:rPr>
          <w:b/>
        </w:rPr>
      </w:pPr>
      <w:r>
        <w:rPr>
          <w:b/>
        </w:rPr>
        <w:t>Targets</w:t>
      </w:r>
      <w:r w:rsidRPr="002A4292">
        <w:rPr>
          <w:b/>
        </w:rPr>
        <w:t xml:space="preserve"> </w:t>
      </w:r>
      <w:r w:rsidR="00B62441">
        <w:tab/>
      </w:r>
      <w:r w:rsidR="00B62441" w:rsidRPr="002A4292">
        <w:t>I</w:t>
      </w:r>
      <w:r w:rsidR="00B62441" w:rsidRPr="002A4292">
        <w:rPr>
          <w:lang w:val="en-GB"/>
        </w:rPr>
        <w:t xml:space="preserve">ncrease </w:t>
      </w:r>
      <w:r w:rsidR="007A420F">
        <w:rPr>
          <w:lang w:val="en-GB"/>
        </w:rPr>
        <w:t xml:space="preserve">annually </w:t>
      </w:r>
      <w:r w:rsidR="00B62441" w:rsidRPr="002A4292">
        <w:rPr>
          <w:lang w:val="en-GB"/>
        </w:rPr>
        <w:t xml:space="preserve">the number of people aged 16 to 24 </w:t>
      </w:r>
      <w:r w:rsidR="00B62441">
        <w:rPr>
          <w:lang w:val="en-GB"/>
        </w:rPr>
        <w:t xml:space="preserve">years </w:t>
      </w:r>
      <w:r w:rsidR="00B62441" w:rsidRPr="002A4292">
        <w:rPr>
          <w:lang w:val="en-GB"/>
        </w:rPr>
        <w:t xml:space="preserve">enrolling in and completing </w:t>
      </w:r>
      <w:r w:rsidR="00B62441">
        <w:rPr>
          <w:bCs/>
          <w:lang w:val="en-GB"/>
        </w:rPr>
        <w:t>TVET</w:t>
      </w:r>
      <w:r w:rsidR="00B62441" w:rsidRPr="002A4292">
        <w:rPr>
          <w:bCs/>
          <w:lang w:val="en-GB"/>
        </w:rPr>
        <w:t xml:space="preserve"> </w:t>
      </w:r>
      <w:r w:rsidR="00B62441" w:rsidRPr="002A4292">
        <w:rPr>
          <w:lang w:val="en-GB"/>
        </w:rPr>
        <w:t>courses which have internationally recognised qualifications</w:t>
      </w:r>
      <w:r w:rsidR="00B62441" w:rsidRPr="002A4292">
        <w:t>.</w:t>
      </w:r>
    </w:p>
    <w:p w:rsidR="00B62441" w:rsidRPr="00DC3716" w:rsidRDefault="00B62441" w:rsidP="00B62441">
      <w:pPr>
        <w:pStyle w:val="BodyText"/>
        <w:ind w:left="1440"/>
      </w:pPr>
      <w:r w:rsidRPr="00DC3716">
        <w:t xml:space="preserve">Increase </w:t>
      </w:r>
      <w:r w:rsidR="00F40458" w:rsidRPr="00DC3716">
        <w:t xml:space="preserve">the number of </w:t>
      </w:r>
      <w:r w:rsidR="00DC3716" w:rsidRPr="00DC3716">
        <w:t>I</w:t>
      </w:r>
      <w:r w:rsidR="00F40458" w:rsidRPr="00DC3716">
        <w:t>-Kiribati</w:t>
      </w:r>
      <w:r w:rsidR="00DC3716" w:rsidRPr="00DC3716">
        <w:t xml:space="preserve"> women and men graduating</w:t>
      </w:r>
      <w:r w:rsidR="00F40458" w:rsidRPr="00DC3716">
        <w:t xml:space="preserve"> with qualifications from </w:t>
      </w:r>
      <w:r w:rsidR="00DC3716" w:rsidRPr="00DC3716">
        <w:t xml:space="preserve">post-secondary </w:t>
      </w:r>
      <w:r w:rsidR="00F40458" w:rsidRPr="00DC3716">
        <w:t xml:space="preserve">education institutions </w:t>
      </w:r>
    </w:p>
    <w:p w:rsidR="00B62441" w:rsidRPr="002A4292" w:rsidRDefault="00B62441" w:rsidP="00B62441">
      <w:pPr>
        <w:pStyle w:val="BodyText"/>
        <w:ind w:left="1440"/>
      </w:pPr>
      <w:r w:rsidRPr="00DC3716">
        <w:t xml:space="preserve">Increase the number of </w:t>
      </w:r>
      <w:r w:rsidR="00DC3716" w:rsidRPr="00DC3716">
        <w:t>I</w:t>
      </w:r>
      <w:r w:rsidRPr="00DC3716">
        <w:t>-Kiribati workers accessing employment opportunities overseas</w:t>
      </w:r>
      <w:r w:rsidRPr="002A4292">
        <w:t xml:space="preserve"> </w:t>
      </w:r>
    </w:p>
    <w:p w:rsidR="00B62441" w:rsidRPr="002A4292" w:rsidRDefault="00B62441" w:rsidP="00B62441">
      <w:pPr>
        <w:pStyle w:val="BodyText"/>
        <w:ind w:left="1440" w:hanging="1440"/>
      </w:pPr>
      <w:r w:rsidRPr="002A4292">
        <w:rPr>
          <w:b/>
        </w:rPr>
        <w:t xml:space="preserve">Rating </w:t>
      </w:r>
      <w:r w:rsidRPr="002A4292">
        <w:rPr>
          <w:b/>
        </w:rPr>
        <w:tab/>
      </w:r>
      <w:r w:rsidRPr="00C805F5">
        <w:t>Amber:</w:t>
      </w:r>
      <w:r w:rsidRPr="00C91291">
        <w:t xml:space="preserve"> </w:t>
      </w:r>
      <w:r w:rsidRPr="00A46742">
        <w:t xml:space="preserve">Results </w:t>
      </w:r>
      <w:r w:rsidRPr="00DC3716">
        <w:t xml:space="preserve">for the workforce skills development outcome </w:t>
      </w:r>
      <w:r w:rsidR="00C805F5">
        <w:t>remained mixed</w:t>
      </w:r>
      <w:r w:rsidRPr="00DC3716">
        <w:t xml:space="preserve"> </w:t>
      </w:r>
      <w:r w:rsidR="00261323">
        <w:t>for</w:t>
      </w:r>
      <w:r w:rsidRPr="00DC3716">
        <w:t xml:space="preserve"> </w:t>
      </w:r>
      <w:r w:rsidRPr="00007E65">
        <w:t>201</w:t>
      </w:r>
      <w:r w:rsidR="00E5084F" w:rsidRPr="00007E65">
        <w:t>3</w:t>
      </w:r>
      <w:r w:rsidRPr="00007E65">
        <w:t>–1</w:t>
      </w:r>
      <w:r w:rsidR="00E5084F" w:rsidRPr="00AF3407">
        <w:t>4</w:t>
      </w:r>
      <w:r w:rsidRPr="00AF3407">
        <w:t xml:space="preserve">. Australia’s support to strengthen the TVET sector </w:t>
      </w:r>
      <w:r w:rsidRPr="00DC3716">
        <w:t xml:space="preserve">is </w:t>
      </w:r>
      <w:r w:rsidR="00CB20A3" w:rsidRPr="00DC3716">
        <w:t>achieving patchy results and will be refocussed over 2014</w:t>
      </w:r>
      <w:r w:rsidR="00DC3716" w:rsidRPr="00DC3716">
        <w:t>-</w:t>
      </w:r>
      <w:r w:rsidR="00CB20A3" w:rsidRPr="00DC3716">
        <w:t xml:space="preserve">15. </w:t>
      </w:r>
      <w:r w:rsidR="00036E0A">
        <w:t>T</w:t>
      </w:r>
      <w:r w:rsidRPr="00DC3716">
        <w:t>he Kiribati</w:t>
      </w:r>
      <w:r w:rsidRPr="00007E65">
        <w:t xml:space="preserve">-Australia Nursing Initiative </w:t>
      </w:r>
      <w:r w:rsidR="00CB20A3" w:rsidRPr="00007E65">
        <w:t>will close once the final students graduate</w:t>
      </w:r>
      <w:r w:rsidR="00036E0A">
        <w:t xml:space="preserve"> in 2014</w:t>
      </w:r>
      <w:r w:rsidR="00CB20A3" w:rsidRPr="00007E65">
        <w:t xml:space="preserve">. </w:t>
      </w:r>
      <w:r w:rsidR="00856F9C">
        <w:t xml:space="preserve">We are confident improvements to the Australian Awards selection and preparation processes will improve </w:t>
      </w:r>
      <w:r w:rsidR="00F60371">
        <w:t xml:space="preserve">Scholarship </w:t>
      </w:r>
      <w:r w:rsidR="00DD5107" w:rsidRPr="00DC3716">
        <w:t>completion rates</w:t>
      </w:r>
      <w:r w:rsidR="00F47A3B">
        <w:t xml:space="preserve"> </w:t>
      </w:r>
      <w:r w:rsidR="00856F9C">
        <w:t xml:space="preserve">going forward. </w:t>
      </w:r>
    </w:p>
    <w:p w:rsidR="001C3B54" w:rsidRDefault="00B62441" w:rsidP="001E5DC0">
      <w:pPr>
        <w:pStyle w:val="BodyText"/>
        <w:rPr>
          <w:lang w:eastAsia="zh-CN"/>
        </w:rPr>
      </w:pPr>
      <w:r w:rsidRPr="002A4292">
        <w:rPr>
          <w:lang w:eastAsia="zh-CN"/>
        </w:rPr>
        <w:t xml:space="preserve">Australia is providing opportunities for </w:t>
      </w:r>
      <w:r w:rsidR="00DC3716">
        <w:rPr>
          <w:lang w:eastAsia="zh-CN"/>
        </w:rPr>
        <w:t>I-</w:t>
      </w:r>
      <w:r w:rsidRPr="002A4292">
        <w:rPr>
          <w:lang w:eastAsia="zh-CN"/>
        </w:rPr>
        <w:t xml:space="preserve">Kiribati women and men to develop workforce skills in </w:t>
      </w:r>
      <w:r w:rsidR="00F47A3B">
        <w:rPr>
          <w:lang w:eastAsia="zh-CN"/>
        </w:rPr>
        <w:t xml:space="preserve">demand in </w:t>
      </w:r>
      <w:r w:rsidRPr="002A4292">
        <w:rPr>
          <w:lang w:eastAsia="zh-CN"/>
        </w:rPr>
        <w:t xml:space="preserve">domestic and international </w:t>
      </w:r>
      <w:r w:rsidR="00F47A3B">
        <w:rPr>
          <w:lang w:eastAsia="zh-CN"/>
        </w:rPr>
        <w:t>labour market</w:t>
      </w:r>
      <w:r w:rsidR="00B30F7E">
        <w:rPr>
          <w:lang w:eastAsia="zh-CN"/>
        </w:rPr>
        <w:t>s</w:t>
      </w:r>
      <w:r w:rsidR="00F47A3B">
        <w:rPr>
          <w:lang w:eastAsia="zh-CN"/>
        </w:rPr>
        <w:t xml:space="preserve"> </w:t>
      </w:r>
      <w:r w:rsidRPr="002A4292">
        <w:rPr>
          <w:lang w:eastAsia="zh-CN"/>
        </w:rPr>
        <w:t xml:space="preserve">through </w:t>
      </w:r>
      <w:r w:rsidRPr="00DC3716">
        <w:rPr>
          <w:lang w:eastAsia="zh-CN"/>
        </w:rPr>
        <w:t>bilateral and regional programs. The Kiribati TVET Sector Strengthening Program</w:t>
      </w:r>
      <w:r w:rsidR="00BB1DDE">
        <w:rPr>
          <w:lang w:eastAsia="zh-CN"/>
        </w:rPr>
        <w:t xml:space="preserve"> </w:t>
      </w:r>
      <w:r w:rsidR="00BB1DDE" w:rsidRPr="00BB1DDE">
        <w:rPr>
          <w:lang w:eastAsia="zh-CN"/>
        </w:rPr>
        <w:t>(TVETSSP)</w:t>
      </w:r>
      <w:r w:rsidR="00BB1DDE">
        <w:rPr>
          <w:lang w:eastAsia="zh-CN"/>
        </w:rPr>
        <w:t xml:space="preserve"> </w:t>
      </w:r>
      <w:r w:rsidRPr="00DC3716">
        <w:rPr>
          <w:lang w:eastAsia="zh-CN"/>
        </w:rPr>
        <w:t>is working with the Kiribati Institute of Technology</w:t>
      </w:r>
      <w:r w:rsidR="00F47A3B">
        <w:rPr>
          <w:lang w:eastAsia="zh-CN"/>
        </w:rPr>
        <w:t xml:space="preserve"> (KIT)</w:t>
      </w:r>
      <w:r w:rsidRPr="00DC3716">
        <w:rPr>
          <w:lang w:eastAsia="zh-CN"/>
        </w:rPr>
        <w:t xml:space="preserve"> to expand </w:t>
      </w:r>
      <w:r w:rsidRPr="002A4292">
        <w:rPr>
          <w:lang w:eastAsia="zh-CN"/>
        </w:rPr>
        <w:t xml:space="preserve">and improve </w:t>
      </w:r>
      <w:r w:rsidR="00F47A3B">
        <w:rPr>
          <w:lang w:eastAsia="zh-CN"/>
        </w:rPr>
        <w:t>training and assessment, and underwrites KIT’s ability to issue qualifications recognised under the Australian Qualifications framework</w:t>
      </w:r>
      <w:r>
        <w:rPr>
          <w:lang w:eastAsia="zh-CN"/>
        </w:rPr>
        <w:t xml:space="preserve">. </w:t>
      </w:r>
    </w:p>
    <w:p w:rsidR="00B62441" w:rsidRDefault="00B62441" w:rsidP="00B62441">
      <w:pPr>
        <w:pStyle w:val="BodyText"/>
      </w:pPr>
      <w:r w:rsidRPr="002A4292">
        <w:t xml:space="preserve">Other programs that support access to training and employment opportunities in the region include scholarships (Australia Awards Scholarships and Kiribati-Australia Nursing Initiative Scholarships), the Australia-Pacific Technical College </w:t>
      </w:r>
      <w:r>
        <w:t xml:space="preserve">(APTC) </w:t>
      </w:r>
      <w:r w:rsidRPr="002A4292">
        <w:t xml:space="preserve">and the Pacific Seasonal Worker </w:t>
      </w:r>
      <w:r w:rsidR="00B30F7E">
        <w:t>Program</w:t>
      </w:r>
      <w:r>
        <w:t xml:space="preserve">. </w:t>
      </w:r>
    </w:p>
    <w:p w:rsidR="00B62441" w:rsidRPr="002A4292" w:rsidRDefault="00B62441" w:rsidP="00E62ABA">
      <w:pPr>
        <w:pStyle w:val="Heading3"/>
      </w:pPr>
      <w:r w:rsidRPr="002A4292">
        <w:t>Progress against targets</w:t>
      </w:r>
    </w:p>
    <w:p w:rsidR="00BB1DDE" w:rsidRDefault="00BB1DDE" w:rsidP="00B62441">
      <w:pPr>
        <w:pStyle w:val="BodyText"/>
      </w:pPr>
      <w:r w:rsidRPr="006152A2">
        <w:rPr>
          <w:u w:val="single"/>
        </w:rPr>
        <w:t>Kiribati TVET Sector Strengthening Program (TVETSSP)</w:t>
      </w:r>
      <w:r>
        <w:t xml:space="preserve">  </w:t>
      </w:r>
    </w:p>
    <w:p w:rsidR="00F17DAF" w:rsidRDefault="001E5DC0" w:rsidP="00B62441">
      <w:pPr>
        <w:pStyle w:val="BodyText"/>
      </w:pPr>
      <w:r>
        <w:t xml:space="preserve">TVETSSP progress </w:t>
      </w:r>
      <w:r w:rsidR="00E5084F" w:rsidRPr="00DC3716">
        <w:t>was mi</w:t>
      </w:r>
      <w:r w:rsidR="00F17DAF" w:rsidRPr="00DC3716">
        <w:t>x</w:t>
      </w:r>
      <w:r w:rsidR="00E5084F" w:rsidRPr="00DC3716">
        <w:t>ed</w:t>
      </w:r>
      <w:r w:rsidR="00B30F7E">
        <w:t xml:space="preserve"> in 2013-14</w:t>
      </w:r>
      <w:r w:rsidR="00E5084F" w:rsidRPr="00DC3716">
        <w:t xml:space="preserve">. </w:t>
      </w:r>
      <w:r w:rsidR="00F17DAF" w:rsidRPr="00007E65">
        <w:t xml:space="preserve">There has been good progress </w:t>
      </w:r>
      <w:r w:rsidR="000F6890">
        <w:t>in improving</w:t>
      </w:r>
      <w:r w:rsidR="00F17DAF" w:rsidRPr="00007E65">
        <w:t xml:space="preserve"> the quality, quantity, scope and equity of the training delivered at the K</w:t>
      </w:r>
      <w:r w:rsidR="002842B7">
        <w:t>IT</w:t>
      </w:r>
      <w:r w:rsidR="00F60371">
        <w:t xml:space="preserve">. </w:t>
      </w:r>
      <w:r w:rsidR="00F17DAF" w:rsidRPr="00007E65">
        <w:t xml:space="preserve">The competence and effectiveness of KIT trainers has increased.  </w:t>
      </w:r>
      <w:r w:rsidR="007A420F">
        <w:t xml:space="preserve">Most </w:t>
      </w:r>
      <w:r w:rsidR="00F17DAF" w:rsidRPr="00007E65">
        <w:t>training staff have the requisite technic</w:t>
      </w:r>
      <w:r w:rsidR="000F6890">
        <w:t>al and t</w:t>
      </w:r>
      <w:r w:rsidR="007A420F">
        <w:t>eaching</w:t>
      </w:r>
      <w:r w:rsidR="000F6890">
        <w:t xml:space="preserve"> qualifications </w:t>
      </w:r>
      <w:r w:rsidR="00F17DAF" w:rsidRPr="00007E65">
        <w:t xml:space="preserve">with the balance (mainly new trainers) in the process of gaining them.  </w:t>
      </w:r>
      <w:r w:rsidR="00F909C4" w:rsidRPr="00007E65">
        <w:t>Trainers</w:t>
      </w:r>
      <w:r w:rsidR="00F17DAF" w:rsidRPr="00007E65">
        <w:t xml:space="preserve">’ English language </w:t>
      </w:r>
      <w:r w:rsidR="00F909C4" w:rsidRPr="00007E65">
        <w:t>proficiency</w:t>
      </w:r>
      <w:r w:rsidR="00F17DAF" w:rsidRPr="00007E65">
        <w:t xml:space="preserve"> has also improved.</w:t>
      </w:r>
    </w:p>
    <w:p w:rsidR="00F17DAF" w:rsidRPr="00DC3716" w:rsidRDefault="00F17DAF" w:rsidP="00B62441">
      <w:pPr>
        <w:pStyle w:val="BodyText"/>
      </w:pPr>
      <w:r w:rsidRPr="00007E65">
        <w:t xml:space="preserve">While KIT equipment and training and assessment resources have been </w:t>
      </w:r>
      <w:r w:rsidRPr="00DC3716">
        <w:t>upgrade</w:t>
      </w:r>
      <w:r w:rsidR="00DD5107" w:rsidRPr="00DC3716">
        <w:t>d</w:t>
      </w:r>
      <w:r w:rsidRPr="00DC3716">
        <w:t xml:space="preserve"> and meet appropriate </w:t>
      </w:r>
      <w:r w:rsidR="00F909C4" w:rsidRPr="00007E65">
        <w:t>standards</w:t>
      </w:r>
      <w:r w:rsidRPr="00007E65">
        <w:t xml:space="preserve">, progress towards the planned facilities upgrade has been slow.  Since early 2014, </w:t>
      </w:r>
      <w:r w:rsidR="001C3B54" w:rsidRPr="00DC3716">
        <w:t xml:space="preserve">the rate of progress on this activity </w:t>
      </w:r>
      <w:r w:rsidR="00BB1DDE">
        <w:t>has</w:t>
      </w:r>
      <w:r w:rsidR="001C3B54" w:rsidRPr="00DC3716">
        <w:t xml:space="preserve"> increas</w:t>
      </w:r>
      <w:r w:rsidR="00BB1DDE">
        <w:t>ed.</w:t>
      </w:r>
    </w:p>
    <w:p w:rsidR="00F17DAF" w:rsidRPr="00DC3716" w:rsidRDefault="00F17DAF" w:rsidP="00B62441">
      <w:pPr>
        <w:pStyle w:val="BodyText"/>
      </w:pPr>
      <w:r w:rsidRPr="00DC3716">
        <w:t>Key achievements</w:t>
      </w:r>
      <w:r w:rsidR="00DD5107" w:rsidRPr="00DC3716">
        <w:t xml:space="preserve"> in 2013-14</w:t>
      </w:r>
      <w:r w:rsidRPr="00DC3716">
        <w:t>:</w:t>
      </w:r>
    </w:p>
    <w:p w:rsidR="00F17DAF" w:rsidRPr="00007E65" w:rsidRDefault="00F17DAF" w:rsidP="00EE4E1F">
      <w:pPr>
        <w:pStyle w:val="BodyText"/>
        <w:numPr>
          <w:ilvl w:val="0"/>
          <w:numId w:val="19"/>
        </w:numPr>
        <w:spacing w:after="0"/>
      </w:pPr>
      <w:r w:rsidRPr="00007E65">
        <w:t xml:space="preserve">One new course (plumbing) </w:t>
      </w:r>
      <w:r w:rsidR="005022A5" w:rsidRPr="00007E65">
        <w:t xml:space="preserve">was added </w:t>
      </w:r>
      <w:r w:rsidRPr="00007E65">
        <w:t>in 2014</w:t>
      </w:r>
    </w:p>
    <w:p w:rsidR="00F17DAF" w:rsidRPr="00AF3407" w:rsidRDefault="00F17DAF" w:rsidP="00EE4E1F">
      <w:pPr>
        <w:pStyle w:val="BodyText"/>
        <w:numPr>
          <w:ilvl w:val="0"/>
          <w:numId w:val="19"/>
        </w:numPr>
        <w:spacing w:after="0"/>
      </w:pPr>
      <w:r w:rsidRPr="00007E65">
        <w:t>256 fulltime students (146 women)</w:t>
      </w:r>
      <w:r w:rsidR="00DD5107" w:rsidRPr="00007E65">
        <w:t xml:space="preserve"> enrolled</w:t>
      </w:r>
      <w:r w:rsidR="005022A5" w:rsidRPr="00AF3407">
        <w:t xml:space="preserve"> in 2014</w:t>
      </w:r>
    </w:p>
    <w:p w:rsidR="00F17DAF" w:rsidRPr="00DC3716" w:rsidRDefault="00F8427F" w:rsidP="00EE4E1F">
      <w:pPr>
        <w:pStyle w:val="BodyText"/>
        <w:numPr>
          <w:ilvl w:val="0"/>
          <w:numId w:val="19"/>
        </w:numPr>
        <w:spacing w:after="0"/>
      </w:pPr>
      <w:r w:rsidRPr="00DC3716">
        <w:t>108</w:t>
      </w:r>
      <w:r w:rsidR="00D17713" w:rsidRPr="00DC3716">
        <w:t xml:space="preserve"> students </w:t>
      </w:r>
      <w:r w:rsidR="00480331" w:rsidRPr="00DC3716">
        <w:t xml:space="preserve">(54 women) </w:t>
      </w:r>
      <w:r w:rsidR="00D17713" w:rsidRPr="00DC3716">
        <w:t xml:space="preserve">graduated in 2013 </w:t>
      </w:r>
      <w:r w:rsidR="001B6700">
        <w:t xml:space="preserve">with </w:t>
      </w:r>
      <w:r w:rsidR="001B6700" w:rsidRPr="00DC3716">
        <w:t>globally</w:t>
      </w:r>
      <w:r w:rsidR="00D17713" w:rsidRPr="00DC3716">
        <w:t xml:space="preserve"> recognised qualificati</w:t>
      </w:r>
      <w:r w:rsidR="001B6700">
        <w:t>ons</w:t>
      </w:r>
    </w:p>
    <w:p w:rsidR="00F17DAF" w:rsidRDefault="00FC7ED8" w:rsidP="00EE4E1F">
      <w:pPr>
        <w:pStyle w:val="BodyText"/>
        <w:numPr>
          <w:ilvl w:val="0"/>
          <w:numId w:val="19"/>
        </w:numPr>
        <w:spacing w:after="0"/>
      </w:pPr>
      <w:r w:rsidRPr="00DC3716">
        <w:t>More people participat</w:t>
      </w:r>
      <w:r w:rsidR="001C3B54" w:rsidRPr="00DC3716">
        <w:t>ed</w:t>
      </w:r>
      <w:r w:rsidRPr="00DC3716">
        <w:t xml:space="preserve"> in a wider range of customised and public short-courses</w:t>
      </w:r>
    </w:p>
    <w:p w:rsidR="00386070" w:rsidRDefault="00B35B9E" w:rsidP="00EE4E1F">
      <w:pPr>
        <w:pStyle w:val="BodyText"/>
        <w:numPr>
          <w:ilvl w:val="0"/>
          <w:numId w:val="19"/>
        </w:numPr>
        <w:spacing w:after="0"/>
      </w:pPr>
      <w:r>
        <w:t xml:space="preserve">Plans for constructing new facilities at </w:t>
      </w:r>
      <w:r w:rsidR="001B6700">
        <w:t>KIT</w:t>
      </w:r>
      <w:r>
        <w:t xml:space="preserve"> were approved</w:t>
      </w:r>
      <w:r w:rsidR="00386070">
        <w:br/>
      </w:r>
    </w:p>
    <w:p w:rsidR="00AF2B1B" w:rsidRPr="00680E3D" w:rsidRDefault="00AF2B1B" w:rsidP="00680E3D">
      <w:pPr>
        <w:tabs>
          <w:tab w:val="left" w:pos="227"/>
        </w:tabs>
        <w:spacing w:after="160" w:line="280" w:lineRule="exact"/>
        <w:rPr>
          <w:rFonts w:ascii="Franklin Gothic Book" w:eastAsia="Times New Roman" w:hAnsi="Franklin Gothic Book"/>
          <w:sz w:val="21"/>
        </w:rPr>
      </w:pPr>
      <w:r w:rsidRPr="00680E3D">
        <w:rPr>
          <w:rFonts w:ascii="Franklin Gothic Book" w:eastAsia="Times New Roman" w:hAnsi="Franklin Gothic Book"/>
          <w:sz w:val="21"/>
        </w:rPr>
        <w:t xml:space="preserve">In 2013, sectoral reform included the development of a yet to be endorsed policy and strategic framework. Industry advisory mechanisms were established and work towards modernising the apprenticeship and trade-testing system continued. Initiatives focussing on strategic planning and institutional performance monitoring lagged.  </w:t>
      </w:r>
    </w:p>
    <w:p w:rsidR="00F909C4" w:rsidRPr="004E0CD1" w:rsidRDefault="00F909C4" w:rsidP="004E0CD1">
      <w:pPr>
        <w:pStyle w:val="BodyText"/>
        <w:spacing w:after="0"/>
        <w:rPr>
          <w:u w:val="single"/>
        </w:rPr>
      </w:pPr>
      <w:r w:rsidRPr="004E0CD1">
        <w:rPr>
          <w:u w:val="single"/>
        </w:rPr>
        <w:t>Kiribati Australia Nursing Initiative</w:t>
      </w:r>
    </w:p>
    <w:p w:rsidR="001C3B54" w:rsidRPr="00007E65" w:rsidRDefault="00F909C4" w:rsidP="001C3B54">
      <w:pPr>
        <w:tabs>
          <w:tab w:val="left" w:pos="227"/>
        </w:tabs>
        <w:spacing w:after="160" w:line="280" w:lineRule="exact"/>
        <w:rPr>
          <w:rFonts w:ascii="Franklin Gothic Book" w:eastAsia="Times New Roman" w:hAnsi="Franklin Gothic Book"/>
          <w:sz w:val="21"/>
        </w:rPr>
      </w:pPr>
      <w:r w:rsidRPr="00007E65">
        <w:rPr>
          <w:rFonts w:ascii="Franklin Gothic Book" w:eastAsia="Times New Roman" w:hAnsi="Franklin Gothic Book"/>
          <w:sz w:val="21"/>
        </w:rPr>
        <w:t xml:space="preserve">The Kiribati Australia Nursing Initiative (KANI) was designed (in 2006) to contribute to the Government of Kiribati’s efforts to address rapid population growth, urbanisation and youth unemployment through the emigration of skilled labour. </w:t>
      </w:r>
    </w:p>
    <w:p w:rsidR="003B447C" w:rsidRPr="00007E65" w:rsidRDefault="00796EFD" w:rsidP="001C3B54">
      <w:pPr>
        <w:tabs>
          <w:tab w:val="left" w:pos="227"/>
        </w:tabs>
        <w:spacing w:after="160" w:line="280" w:lineRule="exact"/>
        <w:rPr>
          <w:rFonts w:ascii="Franklin Gothic Book" w:eastAsia="Times New Roman" w:hAnsi="Franklin Gothic Book"/>
          <w:sz w:val="21"/>
        </w:rPr>
      </w:pPr>
      <w:r w:rsidRPr="00007E65">
        <w:rPr>
          <w:rFonts w:ascii="Franklin Gothic Book" w:eastAsia="Times New Roman" w:hAnsi="Franklin Gothic Book"/>
          <w:sz w:val="21"/>
        </w:rPr>
        <w:t xml:space="preserve">In December 2013, </w:t>
      </w:r>
      <w:r w:rsidR="009A42CE" w:rsidRPr="00007E65">
        <w:rPr>
          <w:rFonts w:ascii="Franklin Gothic Book" w:eastAsia="Times New Roman" w:hAnsi="Franklin Gothic Book"/>
          <w:sz w:val="21"/>
        </w:rPr>
        <w:t>twenty (20)</w:t>
      </w:r>
      <w:r w:rsidRPr="00007E65">
        <w:rPr>
          <w:rFonts w:ascii="Franklin Gothic Book" w:eastAsia="Times New Roman" w:hAnsi="Franklin Gothic Book"/>
          <w:sz w:val="21"/>
        </w:rPr>
        <w:t xml:space="preserve"> KANI scholars graduated and in April 2014 completed their transition to work program. </w:t>
      </w:r>
      <w:r w:rsidR="00B30F7E">
        <w:rPr>
          <w:rFonts w:ascii="Franklin Gothic Book" w:eastAsia="Times New Roman" w:hAnsi="Franklin Gothic Book"/>
          <w:sz w:val="21"/>
        </w:rPr>
        <w:t xml:space="preserve">One </w:t>
      </w:r>
      <w:r w:rsidRPr="00007E65">
        <w:rPr>
          <w:rFonts w:ascii="Franklin Gothic Book" w:eastAsia="Times New Roman" w:hAnsi="Franklin Gothic Book"/>
          <w:sz w:val="21"/>
        </w:rPr>
        <w:t>student remains</w:t>
      </w:r>
      <w:r w:rsidR="002B13CF" w:rsidRPr="00007E65">
        <w:rPr>
          <w:rFonts w:ascii="Franklin Gothic Book" w:eastAsia="Times New Roman" w:hAnsi="Franklin Gothic Book"/>
          <w:sz w:val="21"/>
        </w:rPr>
        <w:t xml:space="preserve"> and</w:t>
      </w:r>
      <w:r w:rsidRPr="00007E65">
        <w:rPr>
          <w:rFonts w:ascii="Franklin Gothic Book" w:eastAsia="Times New Roman" w:hAnsi="Franklin Gothic Book"/>
          <w:sz w:val="21"/>
        </w:rPr>
        <w:t xml:space="preserve"> is expected to graduate in July 2014. </w:t>
      </w:r>
      <w:r w:rsidR="00F909C4" w:rsidRPr="00007E65">
        <w:rPr>
          <w:rFonts w:ascii="Franklin Gothic Book" w:eastAsia="Times New Roman" w:hAnsi="Franklin Gothic Book"/>
          <w:sz w:val="21"/>
        </w:rPr>
        <w:t>By the</w:t>
      </w:r>
      <w:r w:rsidRPr="00007E65">
        <w:rPr>
          <w:rFonts w:ascii="Franklin Gothic Book" w:eastAsia="Times New Roman" w:hAnsi="Franklin Gothic Book"/>
          <w:sz w:val="21"/>
        </w:rPr>
        <w:t>n,</w:t>
      </w:r>
      <w:r w:rsidR="00F909C4" w:rsidRPr="00007E65">
        <w:rPr>
          <w:rFonts w:ascii="Franklin Gothic Book" w:eastAsia="Times New Roman" w:hAnsi="Franklin Gothic Book"/>
          <w:sz w:val="21"/>
        </w:rPr>
        <w:t xml:space="preserve"> 6</w:t>
      </w:r>
      <w:r w:rsidR="00C40854" w:rsidRPr="00007E65">
        <w:rPr>
          <w:rFonts w:ascii="Franklin Gothic Book" w:eastAsia="Times New Roman" w:hAnsi="Franklin Gothic Book"/>
          <w:sz w:val="21"/>
        </w:rPr>
        <w:t>7</w:t>
      </w:r>
      <w:r w:rsidR="00F909C4" w:rsidRPr="00007E65">
        <w:rPr>
          <w:rFonts w:ascii="Franklin Gothic Book" w:eastAsia="Times New Roman" w:hAnsi="Franklin Gothic Book"/>
          <w:sz w:val="21"/>
        </w:rPr>
        <w:t xml:space="preserve"> I-Kiribati women and men will have graduated with internationa</w:t>
      </w:r>
      <w:r w:rsidR="00027523" w:rsidRPr="00007E65">
        <w:rPr>
          <w:rFonts w:ascii="Franklin Gothic Book" w:eastAsia="Times New Roman" w:hAnsi="Franklin Gothic Book"/>
          <w:sz w:val="21"/>
        </w:rPr>
        <w:t>l</w:t>
      </w:r>
      <w:r w:rsidR="00F909C4" w:rsidRPr="00007E65">
        <w:rPr>
          <w:rFonts w:ascii="Franklin Gothic Book" w:eastAsia="Times New Roman" w:hAnsi="Franklin Gothic Book"/>
          <w:sz w:val="21"/>
        </w:rPr>
        <w:t>l</w:t>
      </w:r>
      <w:r w:rsidR="00027523" w:rsidRPr="00007E65">
        <w:rPr>
          <w:rFonts w:ascii="Franklin Gothic Book" w:eastAsia="Times New Roman" w:hAnsi="Franklin Gothic Book"/>
          <w:sz w:val="21"/>
        </w:rPr>
        <w:t>y</w:t>
      </w:r>
      <w:r w:rsidR="00F909C4" w:rsidRPr="00007E65">
        <w:rPr>
          <w:rFonts w:ascii="Franklin Gothic Book" w:eastAsia="Times New Roman" w:hAnsi="Franklin Gothic Book"/>
          <w:sz w:val="21"/>
        </w:rPr>
        <w:t xml:space="preserve"> recognised Bachelors qualifications, 6</w:t>
      </w:r>
      <w:r w:rsidR="00C40854" w:rsidRPr="00007E65">
        <w:rPr>
          <w:rFonts w:ascii="Franklin Gothic Book" w:eastAsia="Times New Roman" w:hAnsi="Franklin Gothic Book"/>
          <w:sz w:val="21"/>
        </w:rPr>
        <w:t>3</w:t>
      </w:r>
      <w:r w:rsidR="00F909C4" w:rsidRPr="00007E65">
        <w:rPr>
          <w:rFonts w:ascii="Franklin Gothic Book" w:eastAsia="Times New Roman" w:hAnsi="Franklin Gothic Book"/>
          <w:sz w:val="21"/>
        </w:rPr>
        <w:t xml:space="preserve"> with a Bachelor of Nursing (</w:t>
      </w:r>
      <w:r w:rsidR="00D329EF" w:rsidRPr="00007E65">
        <w:rPr>
          <w:rFonts w:ascii="Franklin Gothic Book" w:eastAsia="Times New Roman" w:hAnsi="Franklin Gothic Book"/>
          <w:sz w:val="21"/>
        </w:rPr>
        <w:t xml:space="preserve">and </w:t>
      </w:r>
      <w:r w:rsidR="00F909C4" w:rsidRPr="00007E65">
        <w:rPr>
          <w:rFonts w:ascii="Franklin Gothic Book" w:eastAsia="Times New Roman" w:hAnsi="Franklin Gothic Book"/>
          <w:sz w:val="21"/>
        </w:rPr>
        <w:t xml:space="preserve">3 in Social Work and 1 in Human Services). Another </w:t>
      </w:r>
      <w:r w:rsidR="00C40854" w:rsidRPr="00007E65">
        <w:rPr>
          <w:rFonts w:ascii="Franklin Gothic Book" w:eastAsia="Times New Roman" w:hAnsi="Franklin Gothic Book"/>
          <w:sz w:val="21"/>
        </w:rPr>
        <w:t>five</w:t>
      </w:r>
      <w:r w:rsidR="00D329EF" w:rsidRPr="00007E65">
        <w:rPr>
          <w:rFonts w:ascii="Franklin Gothic Book" w:eastAsia="Times New Roman" w:hAnsi="Franklin Gothic Book"/>
          <w:sz w:val="21"/>
        </w:rPr>
        <w:t xml:space="preserve"> (</w:t>
      </w:r>
      <w:r w:rsidR="00C40854" w:rsidRPr="00007E65">
        <w:rPr>
          <w:rFonts w:ascii="Franklin Gothic Book" w:eastAsia="Times New Roman" w:hAnsi="Franklin Gothic Book"/>
          <w:sz w:val="21"/>
        </w:rPr>
        <w:t>5</w:t>
      </w:r>
      <w:r w:rsidR="00D329EF" w:rsidRPr="00007E65">
        <w:rPr>
          <w:rFonts w:ascii="Franklin Gothic Book" w:eastAsia="Times New Roman" w:hAnsi="Franklin Gothic Book"/>
          <w:sz w:val="21"/>
        </w:rPr>
        <w:t xml:space="preserve">) </w:t>
      </w:r>
      <w:r w:rsidR="00050EC6" w:rsidRPr="00007E65">
        <w:rPr>
          <w:rFonts w:ascii="Franklin Gothic Book" w:eastAsia="Times New Roman" w:hAnsi="Franklin Gothic Book"/>
          <w:sz w:val="21"/>
        </w:rPr>
        <w:t xml:space="preserve">will have </w:t>
      </w:r>
      <w:r w:rsidR="00F909C4" w:rsidRPr="00007E65">
        <w:rPr>
          <w:rFonts w:ascii="Franklin Gothic Book" w:eastAsia="Times New Roman" w:hAnsi="Franklin Gothic Book"/>
          <w:sz w:val="21"/>
        </w:rPr>
        <w:t xml:space="preserve">gained Diploma level qualifications (4 in Nursing, 1 in Community Work) and 6 </w:t>
      </w:r>
      <w:r w:rsidR="00050EC6" w:rsidRPr="00007E65">
        <w:rPr>
          <w:rFonts w:ascii="Franklin Gothic Book" w:eastAsia="Times New Roman" w:hAnsi="Franklin Gothic Book"/>
          <w:sz w:val="21"/>
        </w:rPr>
        <w:t xml:space="preserve">will have </w:t>
      </w:r>
      <w:r w:rsidR="00F909C4" w:rsidRPr="00007E65">
        <w:rPr>
          <w:rFonts w:ascii="Franklin Gothic Book" w:eastAsia="Times New Roman" w:hAnsi="Franklin Gothic Book"/>
          <w:sz w:val="21"/>
        </w:rPr>
        <w:t xml:space="preserve">gained a Certificate III in Aged Care Work.  </w:t>
      </w:r>
      <w:r w:rsidR="00050EC6" w:rsidRPr="00007E65">
        <w:rPr>
          <w:rFonts w:ascii="Franklin Gothic Book" w:eastAsia="Times New Roman" w:hAnsi="Franklin Gothic Book"/>
          <w:sz w:val="21"/>
        </w:rPr>
        <w:t>A</w:t>
      </w:r>
      <w:r w:rsidR="00F909C4" w:rsidRPr="00007E65">
        <w:rPr>
          <w:rFonts w:ascii="Franklin Gothic Book" w:eastAsia="Times New Roman" w:hAnsi="Franklin Gothic Book"/>
          <w:sz w:val="21"/>
        </w:rPr>
        <w:t>t the time of writing</w:t>
      </w:r>
      <w:r w:rsidR="00C40854" w:rsidRPr="00007E65">
        <w:rPr>
          <w:rFonts w:ascii="Franklin Gothic Book" w:eastAsia="Times New Roman" w:hAnsi="Franklin Gothic Book"/>
          <w:sz w:val="21"/>
        </w:rPr>
        <w:t>, 29 graduates are working full-time and 23 part-</w:t>
      </w:r>
      <w:r w:rsidR="00F909C4" w:rsidRPr="00007E65">
        <w:rPr>
          <w:rFonts w:ascii="Franklin Gothic Book" w:eastAsia="Times New Roman" w:hAnsi="Franklin Gothic Book"/>
          <w:sz w:val="21"/>
        </w:rPr>
        <w:t>time in the health and aged care sector</w:t>
      </w:r>
      <w:r w:rsidR="00050EC6" w:rsidRPr="00007E65">
        <w:rPr>
          <w:rFonts w:ascii="Franklin Gothic Book" w:eastAsia="Times New Roman" w:hAnsi="Franklin Gothic Book"/>
          <w:sz w:val="21"/>
        </w:rPr>
        <w:t>s</w:t>
      </w:r>
      <w:r w:rsidR="00955D77">
        <w:rPr>
          <w:rFonts w:ascii="Franklin Gothic Book" w:eastAsia="Times New Roman" w:hAnsi="Franklin Gothic Book"/>
          <w:sz w:val="21"/>
        </w:rPr>
        <w:t xml:space="preserve"> in Australia</w:t>
      </w:r>
      <w:r w:rsidR="00F909C4" w:rsidRPr="00007E65">
        <w:rPr>
          <w:rFonts w:ascii="Franklin Gothic Book" w:eastAsia="Times New Roman" w:hAnsi="Franklin Gothic Book"/>
          <w:sz w:val="21"/>
        </w:rPr>
        <w:t xml:space="preserve">, predominately as nurses.  </w:t>
      </w:r>
    </w:p>
    <w:p w:rsidR="00D068A4" w:rsidRPr="004E0CD1" w:rsidRDefault="00D068A4" w:rsidP="00D068A4">
      <w:pPr>
        <w:tabs>
          <w:tab w:val="left" w:pos="227"/>
        </w:tabs>
        <w:spacing w:before="60"/>
        <w:rPr>
          <w:rFonts w:ascii="Franklin Gothic Book" w:eastAsia="Times New Roman" w:hAnsi="Franklin Gothic Book"/>
          <w:sz w:val="21"/>
          <w:szCs w:val="16"/>
          <w:u w:val="single"/>
        </w:rPr>
      </w:pPr>
      <w:r w:rsidRPr="004E0CD1">
        <w:rPr>
          <w:rFonts w:ascii="Franklin Gothic Book" w:eastAsia="Times New Roman" w:hAnsi="Franklin Gothic Book"/>
          <w:sz w:val="21"/>
          <w:szCs w:val="16"/>
          <w:u w:val="single"/>
        </w:rPr>
        <w:t>Australia Awards (Scholarships)</w:t>
      </w:r>
    </w:p>
    <w:p w:rsidR="00330B28" w:rsidRPr="00E62ABA" w:rsidRDefault="00261323" w:rsidP="00330B28">
      <w:pPr>
        <w:tabs>
          <w:tab w:val="left" w:pos="227"/>
        </w:tabs>
        <w:spacing w:after="160" w:line="280" w:lineRule="exact"/>
        <w:rPr>
          <w:rFonts w:ascii="Franklin Gothic Book" w:eastAsia="Times New Roman" w:hAnsi="Franklin Gothic Book"/>
          <w:sz w:val="21"/>
        </w:rPr>
      </w:pPr>
      <w:r>
        <w:rPr>
          <w:rFonts w:ascii="Franklin Gothic Book" w:eastAsia="Times New Roman" w:hAnsi="Franklin Gothic Book"/>
          <w:sz w:val="21"/>
        </w:rPr>
        <w:t>T</w:t>
      </w:r>
      <w:r w:rsidR="00330B28" w:rsidRPr="00007E65">
        <w:rPr>
          <w:rFonts w:ascii="Franklin Gothic Book" w:eastAsia="Times New Roman" w:hAnsi="Franklin Gothic Book"/>
          <w:sz w:val="21"/>
        </w:rPr>
        <w:t xml:space="preserve">he Australia Awards </w:t>
      </w:r>
      <w:r>
        <w:rPr>
          <w:rFonts w:ascii="Franklin Gothic Book" w:eastAsia="Times New Roman" w:hAnsi="Franklin Gothic Book"/>
          <w:sz w:val="21"/>
        </w:rPr>
        <w:t xml:space="preserve">program </w:t>
      </w:r>
      <w:r w:rsidR="00955D77">
        <w:rPr>
          <w:rFonts w:ascii="Franklin Gothic Book" w:eastAsia="Times New Roman" w:hAnsi="Franklin Gothic Book"/>
          <w:sz w:val="21"/>
        </w:rPr>
        <w:t xml:space="preserve">is a </w:t>
      </w:r>
      <w:r w:rsidR="00330B28" w:rsidRPr="00007E65">
        <w:rPr>
          <w:rFonts w:ascii="Franklin Gothic Book" w:eastAsia="Times New Roman" w:hAnsi="Franklin Gothic Book"/>
          <w:sz w:val="21"/>
        </w:rPr>
        <w:t xml:space="preserve">highly relevant and effective program for </w:t>
      </w:r>
      <w:r w:rsidRPr="00007E65">
        <w:rPr>
          <w:rFonts w:ascii="Franklin Gothic Book" w:eastAsia="Times New Roman" w:hAnsi="Franklin Gothic Book"/>
          <w:sz w:val="21"/>
        </w:rPr>
        <w:t xml:space="preserve">developing </w:t>
      </w:r>
      <w:r>
        <w:rPr>
          <w:rFonts w:ascii="Franklin Gothic Book" w:eastAsia="Times New Roman" w:hAnsi="Franklin Gothic Book"/>
          <w:sz w:val="21"/>
        </w:rPr>
        <w:t xml:space="preserve">capacity and leadership skills in </w:t>
      </w:r>
      <w:r w:rsidR="00330B28" w:rsidRPr="00007E65">
        <w:rPr>
          <w:rFonts w:ascii="Franklin Gothic Book" w:eastAsia="Times New Roman" w:hAnsi="Franklin Gothic Book"/>
          <w:sz w:val="21"/>
        </w:rPr>
        <w:t>Kiribati</w:t>
      </w:r>
      <w:r>
        <w:rPr>
          <w:rFonts w:ascii="Franklin Gothic Book" w:eastAsia="Times New Roman" w:hAnsi="Franklin Gothic Book"/>
          <w:sz w:val="21"/>
        </w:rPr>
        <w:t xml:space="preserve">.  </w:t>
      </w:r>
      <w:r w:rsidR="00330B28" w:rsidRPr="00007E65">
        <w:rPr>
          <w:rFonts w:ascii="Franklin Gothic Book" w:eastAsia="Times New Roman" w:hAnsi="Franklin Gothic Book"/>
          <w:sz w:val="21"/>
        </w:rPr>
        <w:t xml:space="preserve">DFAT </w:t>
      </w:r>
      <w:r w:rsidR="00955D77">
        <w:rPr>
          <w:rFonts w:ascii="Franklin Gothic Book" w:eastAsia="Times New Roman" w:hAnsi="Franklin Gothic Book"/>
          <w:sz w:val="21"/>
        </w:rPr>
        <w:t xml:space="preserve">uses the GoK </w:t>
      </w:r>
      <w:r w:rsidR="00330B28" w:rsidRPr="00007E65">
        <w:rPr>
          <w:rFonts w:ascii="Franklin Gothic Book" w:eastAsia="Times New Roman" w:hAnsi="Franklin Gothic Book"/>
          <w:sz w:val="21"/>
        </w:rPr>
        <w:t xml:space="preserve">human resource development priority list to align the program to </w:t>
      </w:r>
      <w:r>
        <w:rPr>
          <w:rFonts w:ascii="Franklin Gothic Book" w:eastAsia="Times New Roman" w:hAnsi="Franklin Gothic Book"/>
          <w:sz w:val="21"/>
        </w:rPr>
        <w:t xml:space="preserve">GoK </w:t>
      </w:r>
      <w:r w:rsidR="00330B28" w:rsidRPr="00007E65">
        <w:rPr>
          <w:rFonts w:ascii="Franklin Gothic Book" w:eastAsia="Times New Roman" w:hAnsi="Franklin Gothic Book"/>
          <w:sz w:val="21"/>
        </w:rPr>
        <w:t>needs</w:t>
      </w:r>
      <w:r>
        <w:rPr>
          <w:rFonts w:ascii="Franklin Gothic Book" w:eastAsia="Times New Roman" w:hAnsi="Franklin Gothic Book"/>
          <w:sz w:val="21"/>
        </w:rPr>
        <w:t xml:space="preserve">. </w:t>
      </w:r>
      <w:r w:rsidR="000F6890">
        <w:rPr>
          <w:rFonts w:ascii="Franklin Gothic Book" w:eastAsia="Times New Roman" w:hAnsi="Franklin Gothic Book"/>
          <w:sz w:val="21"/>
        </w:rPr>
        <w:t>In 2013</w:t>
      </w:r>
      <w:r w:rsidR="000F6890" w:rsidRPr="00007E65">
        <w:rPr>
          <w:rFonts w:ascii="Franklin Gothic Book" w:eastAsia="Times New Roman" w:hAnsi="Franklin Gothic Book"/>
          <w:sz w:val="21"/>
        </w:rPr>
        <w:t xml:space="preserve"> </w:t>
      </w:r>
      <w:r w:rsidR="000F6890">
        <w:rPr>
          <w:rFonts w:ascii="Franklin Gothic Book" w:eastAsia="Times New Roman" w:hAnsi="Franklin Gothic Book"/>
          <w:sz w:val="21"/>
        </w:rPr>
        <w:t>a</w:t>
      </w:r>
      <w:r w:rsidR="006C3EE0">
        <w:rPr>
          <w:rFonts w:ascii="Franklin Gothic Book" w:eastAsia="Times New Roman" w:hAnsi="Franklin Gothic Book"/>
          <w:sz w:val="21"/>
        </w:rPr>
        <w:t xml:space="preserve"> </w:t>
      </w:r>
      <w:r w:rsidR="00330B28" w:rsidRPr="00007E65">
        <w:rPr>
          <w:rFonts w:ascii="Franklin Gothic Book" w:eastAsia="Times New Roman" w:hAnsi="Franklin Gothic Book"/>
          <w:sz w:val="21"/>
        </w:rPr>
        <w:t xml:space="preserve">tracer study </w:t>
      </w:r>
      <w:r w:rsidR="00330B28" w:rsidRPr="00AF3407">
        <w:rPr>
          <w:rFonts w:ascii="Franklin Gothic Book" w:eastAsia="Times New Roman" w:hAnsi="Franklin Gothic Book"/>
          <w:sz w:val="21"/>
        </w:rPr>
        <w:t>found 96% of alumni were employed full-time</w:t>
      </w:r>
      <w:r w:rsidR="000F6890">
        <w:rPr>
          <w:rFonts w:ascii="Franklin Gothic Book" w:eastAsia="Times New Roman" w:hAnsi="Franklin Gothic Book"/>
          <w:sz w:val="21"/>
        </w:rPr>
        <w:t xml:space="preserve">, with 78% of these </w:t>
      </w:r>
      <w:r w:rsidR="00330B28" w:rsidRPr="008E5328">
        <w:rPr>
          <w:rFonts w:ascii="Franklin Gothic Book" w:eastAsia="Times New Roman" w:hAnsi="Franklin Gothic Book"/>
          <w:sz w:val="21"/>
        </w:rPr>
        <w:t>working in areas highly relevant to their studies</w:t>
      </w:r>
      <w:r w:rsidR="001B6700">
        <w:rPr>
          <w:rFonts w:ascii="Franklin Gothic Book" w:eastAsia="Times New Roman" w:hAnsi="Franklin Gothic Book"/>
          <w:sz w:val="21"/>
        </w:rPr>
        <w:t>.</w:t>
      </w:r>
      <w:r w:rsidR="000F6890">
        <w:rPr>
          <w:rFonts w:ascii="Franklin Gothic Book" w:eastAsia="Times New Roman" w:hAnsi="Franklin Gothic Book"/>
          <w:sz w:val="21"/>
        </w:rPr>
        <w:t xml:space="preserve"> </w:t>
      </w:r>
      <w:r w:rsidR="00330B28" w:rsidRPr="008E5328">
        <w:rPr>
          <w:rFonts w:ascii="Franklin Gothic Book" w:eastAsia="Times New Roman" w:hAnsi="Franklin Gothic Book"/>
          <w:sz w:val="21"/>
        </w:rPr>
        <w:t xml:space="preserve">46 </w:t>
      </w:r>
      <w:r w:rsidR="006131D6">
        <w:rPr>
          <w:rFonts w:ascii="Franklin Gothic Book" w:eastAsia="Times New Roman" w:hAnsi="Franklin Gothic Book"/>
          <w:sz w:val="21"/>
        </w:rPr>
        <w:t xml:space="preserve">Australia Award </w:t>
      </w:r>
      <w:r w:rsidR="00330B28" w:rsidRPr="008E5328">
        <w:rPr>
          <w:rFonts w:ascii="Franklin Gothic Book" w:eastAsia="Times New Roman" w:hAnsi="Franklin Gothic Book"/>
          <w:sz w:val="21"/>
        </w:rPr>
        <w:t>alumni</w:t>
      </w:r>
      <w:r w:rsidR="006131D6">
        <w:rPr>
          <w:rFonts w:ascii="Franklin Gothic Book" w:eastAsia="Times New Roman" w:hAnsi="Franklin Gothic Book"/>
          <w:sz w:val="21"/>
        </w:rPr>
        <w:t xml:space="preserve"> are currently</w:t>
      </w:r>
      <w:r w:rsidR="00330B28" w:rsidRPr="008E5328">
        <w:rPr>
          <w:rFonts w:ascii="Franklin Gothic Book" w:eastAsia="Times New Roman" w:hAnsi="Franklin Gothic Book"/>
          <w:sz w:val="21"/>
        </w:rPr>
        <w:t xml:space="preserve"> in senior</w:t>
      </w:r>
      <w:r w:rsidR="006131D6">
        <w:rPr>
          <w:rFonts w:ascii="Franklin Gothic Book" w:eastAsia="Times New Roman" w:hAnsi="Franklin Gothic Book"/>
          <w:sz w:val="21"/>
        </w:rPr>
        <w:t xml:space="preserve"> and high profile</w:t>
      </w:r>
      <w:r w:rsidR="00330B28" w:rsidRPr="008E5328">
        <w:rPr>
          <w:rFonts w:ascii="Franklin Gothic Book" w:eastAsia="Times New Roman" w:hAnsi="Franklin Gothic Book"/>
          <w:sz w:val="21"/>
        </w:rPr>
        <w:t xml:space="preserve"> positions,</w:t>
      </w:r>
      <w:r w:rsidR="00330B28" w:rsidRPr="00E62ABA">
        <w:rPr>
          <w:rFonts w:ascii="Franklin Gothic Book" w:eastAsia="Times New Roman" w:hAnsi="Franklin Gothic Book"/>
          <w:sz w:val="21"/>
        </w:rPr>
        <w:t xml:space="preserve"> including Government Ministers, MPs, Secretaries and in high </w:t>
      </w:r>
      <w:r w:rsidR="00BB19A6">
        <w:rPr>
          <w:rFonts w:ascii="Franklin Gothic Book" w:eastAsia="Times New Roman" w:hAnsi="Franklin Gothic Book"/>
          <w:sz w:val="21"/>
        </w:rPr>
        <w:t xml:space="preserve">level </w:t>
      </w:r>
      <w:r w:rsidR="00330B28" w:rsidRPr="00E62ABA">
        <w:rPr>
          <w:rFonts w:ascii="Franklin Gothic Book" w:eastAsia="Times New Roman" w:hAnsi="Franklin Gothic Book"/>
          <w:sz w:val="21"/>
        </w:rPr>
        <w:t>positions in State Owned Enterprises.</w:t>
      </w:r>
    </w:p>
    <w:p w:rsidR="00330B28" w:rsidRPr="00007E65" w:rsidRDefault="00330B28" w:rsidP="00007E65">
      <w:pPr>
        <w:tabs>
          <w:tab w:val="left" w:pos="227"/>
        </w:tabs>
        <w:spacing w:after="160" w:line="280" w:lineRule="exact"/>
        <w:rPr>
          <w:rFonts w:ascii="Franklin Gothic Book" w:eastAsia="Times New Roman" w:hAnsi="Franklin Gothic Book"/>
          <w:sz w:val="21"/>
        </w:rPr>
      </w:pPr>
      <w:r w:rsidRPr="00007E65">
        <w:rPr>
          <w:rFonts w:ascii="Franklin Gothic Book" w:eastAsia="Times New Roman" w:hAnsi="Franklin Gothic Book"/>
          <w:sz w:val="21"/>
        </w:rPr>
        <w:t>In 2013, 30 awardees (an increase of 2 awards) were selected and</w:t>
      </w:r>
      <w:r w:rsidR="00955D77">
        <w:rPr>
          <w:rFonts w:ascii="Franklin Gothic Book" w:eastAsia="Times New Roman" w:hAnsi="Franklin Gothic Book"/>
          <w:sz w:val="21"/>
        </w:rPr>
        <w:t>,</w:t>
      </w:r>
      <w:r w:rsidRPr="00007E65">
        <w:rPr>
          <w:rFonts w:ascii="Franklin Gothic Book" w:eastAsia="Times New Roman" w:hAnsi="Franklin Gothic Book"/>
          <w:sz w:val="21"/>
        </w:rPr>
        <w:t xml:space="preserve"> in 2014</w:t>
      </w:r>
      <w:r w:rsidR="00955D77">
        <w:rPr>
          <w:rFonts w:ascii="Franklin Gothic Book" w:eastAsia="Times New Roman" w:hAnsi="Franklin Gothic Book"/>
          <w:sz w:val="21"/>
        </w:rPr>
        <w:t>, they</w:t>
      </w:r>
      <w:r w:rsidRPr="00007E65">
        <w:rPr>
          <w:rFonts w:ascii="Franklin Gothic Book" w:eastAsia="Times New Roman" w:hAnsi="Franklin Gothic Book"/>
          <w:sz w:val="21"/>
        </w:rPr>
        <w:t xml:space="preserve"> mobilised to </w:t>
      </w:r>
      <w:r w:rsidR="00F60371">
        <w:rPr>
          <w:rFonts w:ascii="Franklin Gothic Book" w:eastAsia="Times New Roman" w:hAnsi="Franklin Gothic Book"/>
          <w:sz w:val="21"/>
        </w:rPr>
        <w:t xml:space="preserve">universities in </w:t>
      </w:r>
      <w:r w:rsidRPr="00007E65">
        <w:rPr>
          <w:rFonts w:ascii="Franklin Gothic Book" w:eastAsia="Times New Roman" w:hAnsi="Franklin Gothic Book"/>
          <w:sz w:val="21"/>
        </w:rPr>
        <w:t xml:space="preserve">Australia and the region. There are currently 95 students’ on-award, 27 in Australia and 68 at </w:t>
      </w:r>
      <w:r w:rsidR="00261323">
        <w:rPr>
          <w:rFonts w:ascii="Franklin Gothic Book" w:eastAsia="Times New Roman" w:hAnsi="Franklin Gothic Book"/>
          <w:sz w:val="21"/>
        </w:rPr>
        <w:t xml:space="preserve">Pacific </w:t>
      </w:r>
      <w:r w:rsidRPr="00007E65">
        <w:rPr>
          <w:rFonts w:ascii="Franklin Gothic Book" w:eastAsia="Times New Roman" w:hAnsi="Franklin Gothic Book"/>
          <w:sz w:val="21"/>
        </w:rPr>
        <w:t xml:space="preserve">regional institutions. </w:t>
      </w:r>
    </w:p>
    <w:p w:rsidR="00330B28" w:rsidRDefault="00330B28" w:rsidP="00007E65">
      <w:pPr>
        <w:tabs>
          <w:tab w:val="left" w:pos="227"/>
        </w:tabs>
        <w:spacing w:after="160" w:line="280" w:lineRule="exact"/>
        <w:rPr>
          <w:rFonts w:ascii="Franklin Gothic Book" w:eastAsia="Times New Roman" w:hAnsi="Franklin Gothic Book"/>
          <w:sz w:val="21"/>
          <w:szCs w:val="16"/>
        </w:rPr>
      </w:pPr>
      <w:r w:rsidRPr="00007E65">
        <w:rPr>
          <w:rFonts w:ascii="Franklin Gothic Book" w:eastAsia="Times New Roman" w:hAnsi="Franklin Gothic Book"/>
          <w:sz w:val="21"/>
        </w:rPr>
        <w:t xml:space="preserve">In 2014 a new </w:t>
      </w:r>
      <w:r w:rsidR="00261323">
        <w:rPr>
          <w:rFonts w:ascii="Franklin Gothic Book" w:eastAsia="Times New Roman" w:hAnsi="Franklin Gothic Book"/>
          <w:sz w:val="21"/>
        </w:rPr>
        <w:t>selection process was adopted in h</w:t>
      </w:r>
      <w:r w:rsidR="006C3EE0">
        <w:rPr>
          <w:rFonts w:ascii="Franklin Gothic Book" w:eastAsia="Times New Roman" w:hAnsi="Franklin Gothic Book"/>
          <w:sz w:val="21"/>
        </w:rPr>
        <w:t xml:space="preserve">armony </w:t>
      </w:r>
      <w:r w:rsidRPr="00007E65">
        <w:rPr>
          <w:rFonts w:ascii="Franklin Gothic Book" w:eastAsia="Times New Roman" w:hAnsi="Franklin Gothic Book"/>
          <w:sz w:val="21"/>
        </w:rPr>
        <w:t>with the New Zealand Aid Programme</w:t>
      </w:r>
      <w:r w:rsidR="00261323">
        <w:rPr>
          <w:rFonts w:ascii="Franklin Gothic Book" w:eastAsia="Times New Roman" w:hAnsi="Franklin Gothic Book"/>
          <w:sz w:val="21"/>
        </w:rPr>
        <w:t xml:space="preserve">.  It </w:t>
      </w:r>
      <w:r w:rsidRPr="00007E65">
        <w:rPr>
          <w:rFonts w:ascii="Franklin Gothic Book" w:eastAsia="Times New Roman" w:hAnsi="Franklin Gothic Book"/>
          <w:sz w:val="21"/>
        </w:rPr>
        <w:t xml:space="preserve">included </w:t>
      </w:r>
      <w:r w:rsidR="006C3EE0">
        <w:rPr>
          <w:rFonts w:ascii="Franklin Gothic Book" w:eastAsia="Times New Roman" w:hAnsi="Franklin Gothic Book"/>
          <w:sz w:val="21"/>
        </w:rPr>
        <w:t xml:space="preserve">official </w:t>
      </w:r>
      <w:r w:rsidR="00955D77">
        <w:rPr>
          <w:rFonts w:ascii="Franklin Gothic Book" w:eastAsia="Times New Roman" w:hAnsi="Franklin Gothic Book"/>
          <w:sz w:val="21"/>
        </w:rPr>
        <w:t>GoK</w:t>
      </w:r>
      <w:r w:rsidRPr="00007E65">
        <w:rPr>
          <w:rFonts w:ascii="Franklin Gothic Book" w:eastAsia="Times New Roman" w:hAnsi="Franklin Gothic Book"/>
          <w:sz w:val="21"/>
        </w:rPr>
        <w:t xml:space="preserve"> participation at key stages. This change was driven by historical</w:t>
      </w:r>
      <w:r w:rsidR="00955D77">
        <w:rPr>
          <w:rFonts w:ascii="Franklin Gothic Book" w:eastAsia="Times New Roman" w:hAnsi="Franklin Gothic Book"/>
          <w:sz w:val="21"/>
        </w:rPr>
        <w:t>ly</w:t>
      </w:r>
      <w:r w:rsidRPr="00007E65">
        <w:rPr>
          <w:rFonts w:ascii="Franklin Gothic Book" w:eastAsia="Times New Roman" w:hAnsi="Franklin Gothic Book"/>
          <w:sz w:val="21"/>
        </w:rPr>
        <w:t xml:space="preserve"> low completion rates and a new </w:t>
      </w:r>
      <w:r w:rsidR="00AA2FD6">
        <w:rPr>
          <w:rFonts w:ascii="Franklin Gothic Book" w:eastAsia="Times New Roman" w:hAnsi="Franklin Gothic Book"/>
          <w:sz w:val="21"/>
        </w:rPr>
        <w:t>DFAT</w:t>
      </w:r>
      <w:r w:rsidR="00AA2FD6" w:rsidRPr="00007E65">
        <w:rPr>
          <w:rFonts w:ascii="Franklin Gothic Book" w:eastAsia="Times New Roman" w:hAnsi="Franklin Gothic Book"/>
          <w:sz w:val="21"/>
        </w:rPr>
        <w:t xml:space="preserve"> </w:t>
      </w:r>
      <w:r w:rsidRPr="00007E65">
        <w:rPr>
          <w:rFonts w:ascii="Franklin Gothic Book" w:eastAsia="Times New Roman" w:hAnsi="Franklin Gothic Book"/>
          <w:sz w:val="21"/>
        </w:rPr>
        <w:t xml:space="preserve">standard in selection policy. </w:t>
      </w:r>
      <w:r w:rsidR="00261323">
        <w:rPr>
          <w:rFonts w:ascii="Franklin Gothic Book" w:eastAsia="Times New Roman" w:hAnsi="Franklin Gothic Book"/>
          <w:sz w:val="21"/>
        </w:rPr>
        <w:t>32</w:t>
      </w:r>
      <w:r w:rsidRPr="00007E65">
        <w:rPr>
          <w:rFonts w:ascii="Franklin Gothic Book" w:eastAsia="Times New Roman" w:hAnsi="Franklin Gothic Book"/>
          <w:sz w:val="21"/>
        </w:rPr>
        <w:t xml:space="preserve"> candidates</w:t>
      </w:r>
      <w:r w:rsidR="00261323">
        <w:rPr>
          <w:rFonts w:ascii="Franklin Gothic Book" w:eastAsia="Times New Roman" w:hAnsi="Franklin Gothic Book"/>
          <w:sz w:val="21"/>
        </w:rPr>
        <w:t xml:space="preserve"> have been </w:t>
      </w:r>
      <w:r w:rsidR="00261323" w:rsidRPr="00007E65">
        <w:rPr>
          <w:rFonts w:ascii="Franklin Gothic Book" w:eastAsia="Times New Roman" w:hAnsi="Franklin Gothic Book"/>
          <w:sz w:val="21"/>
        </w:rPr>
        <w:t xml:space="preserve">shortlisted </w:t>
      </w:r>
      <w:r w:rsidRPr="00007E65">
        <w:rPr>
          <w:rFonts w:ascii="Franklin Gothic Book" w:eastAsia="Times New Roman" w:hAnsi="Franklin Gothic Book"/>
          <w:sz w:val="21"/>
        </w:rPr>
        <w:t>(a further increase of 2 awards) for the</w:t>
      </w:r>
      <w:r>
        <w:rPr>
          <w:rFonts w:ascii="Franklin Gothic Book" w:eastAsia="Times New Roman" w:hAnsi="Franklin Gothic Book"/>
          <w:sz w:val="21"/>
          <w:szCs w:val="16"/>
        </w:rPr>
        <w:t xml:space="preserve"> 2015 intake</w:t>
      </w:r>
      <w:r w:rsidR="006C3EE0">
        <w:rPr>
          <w:rFonts w:ascii="Franklin Gothic Book" w:eastAsia="Times New Roman" w:hAnsi="Franklin Gothic Book"/>
          <w:sz w:val="21"/>
          <w:szCs w:val="16"/>
        </w:rPr>
        <w:t xml:space="preserve">. </w:t>
      </w:r>
    </w:p>
    <w:p w:rsidR="00007E65" w:rsidRPr="00AF3407" w:rsidRDefault="00007E65" w:rsidP="00007E65">
      <w:pPr>
        <w:tabs>
          <w:tab w:val="left" w:pos="227"/>
        </w:tabs>
        <w:spacing w:line="280" w:lineRule="exact"/>
        <w:rPr>
          <w:rFonts w:ascii="Franklin Gothic Book" w:eastAsia="Times New Roman" w:hAnsi="Franklin Gothic Book"/>
          <w:sz w:val="21"/>
          <w:szCs w:val="16"/>
          <w:u w:val="single"/>
        </w:rPr>
      </w:pPr>
      <w:r w:rsidRPr="00AF3407">
        <w:rPr>
          <w:rFonts w:ascii="Franklin Gothic Book" w:eastAsia="Times New Roman" w:hAnsi="Franklin Gothic Book"/>
          <w:sz w:val="21"/>
          <w:szCs w:val="16"/>
          <w:u w:val="single"/>
        </w:rPr>
        <w:t>Seasonal Worker Program</w:t>
      </w:r>
    </w:p>
    <w:p w:rsidR="00007E65" w:rsidRPr="006A1DD5" w:rsidRDefault="00007E65" w:rsidP="00007E65">
      <w:pPr>
        <w:pStyle w:val="BodyText"/>
      </w:pPr>
      <w:r>
        <w:t xml:space="preserve">For 2013-14 </w:t>
      </w:r>
      <w:r w:rsidR="00261323">
        <w:t xml:space="preserve">some </w:t>
      </w:r>
      <w:r>
        <w:t>2</w:t>
      </w:r>
      <w:r w:rsidR="006E357F">
        <w:t>,</w:t>
      </w:r>
      <w:r>
        <w:t>500 places</w:t>
      </w:r>
      <w:r w:rsidR="00261323">
        <w:t xml:space="preserve"> were</w:t>
      </w:r>
      <w:r>
        <w:t xml:space="preserve"> made available for seasonal workers under the Seasonal Worker Program</w:t>
      </w:r>
      <w:r w:rsidR="007A420F">
        <w:t xml:space="preserve"> (SWP)</w:t>
      </w:r>
      <w:r>
        <w:t xml:space="preserve">. While Kiribati values </w:t>
      </w:r>
      <w:r w:rsidR="00261323">
        <w:t>this</w:t>
      </w:r>
      <w:r>
        <w:t xml:space="preserve"> program, participation rates have not matched domestic interest. </w:t>
      </w:r>
      <w:r w:rsidR="00955D77">
        <w:t>Only</w:t>
      </w:r>
      <w:r>
        <w:t xml:space="preserve"> 14 visas </w:t>
      </w:r>
      <w:r w:rsidR="00261323">
        <w:t xml:space="preserve">were </w:t>
      </w:r>
      <w:r>
        <w:t>granted to I-Kiribati workers in 2013-14 (compared to 34 for the previous year). Since inception of the pilot program in 2010, participation of women on the program to date has been lower than anticipated (at 17</w:t>
      </w:r>
      <w:r w:rsidR="00AF3407">
        <w:t> </w:t>
      </w:r>
      <w:r>
        <w:t>per cent).</w:t>
      </w:r>
    </w:p>
    <w:p w:rsidR="00007E65" w:rsidRPr="005F14B7" w:rsidRDefault="00007E65" w:rsidP="00E62ABA">
      <w:pPr>
        <w:pStyle w:val="Heading3"/>
      </w:pPr>
      <w:r>
        <w:t>Steps to improve management, accountability and effectiveness</w:t>
      </w:r>
    </w:p>
    <w:p w:rsidR="00007E65" w:rsidRPr="006A1DD5" w:rsidRDefault="00007E65" w:rsidP="00007E65">
      <w:pPr>
        <w:pStyle w:val="BodyText"/>
        <w:rPr>
          <w:lang w:eastAsia="zh-CN"/>
        </w:rPr>
      </w:pPr>
      <w:r w:rsidRPr="006A1DD5">
        <w:rPr>
          <w:lang w:eastAsia="zh-CN"/>
        </w:rPr>
        <w:t xml:space="preserve">A renewed </w:t>
      </w:r>
      <w:r w:rsidR="00EC2A83">
        <w:rPr>
          <w:lang w:eastAsia="zh-CN"/>
        </w:rPr>
        <w:t xml:space="preserve">and sharper </w:t>
      </w:r>
      <w:r w:rsidRPr="006A1DD5">
        <w:rPr>
          <w:lang w:eastAsia="zh-CN"/>
        </w:rPr>
        <w:t>focus on outcomes will be the driver for adjustments within this p</w:t>
      </w:r>
      <w:r w:rsidR="00955D77">
        <w:rPr>
          <w:lang w:eastAsia="zh-CN"/>
        </w:rPr>
        <w:t>r</w:t>
      </w:r>
      <w:r w:rsidR="00F60371">
        <w:rPr>
          <w:lang w:eastAsia="zh-CN"/>
        </w:rPr>
        <w:t xml:space="preserve">iority outcome.  </w:t>
      </w:r>
      <w:r w:rsidRPr="006A1DD5">
        <w:rPr>
          <w:lang w:eastAsia="zh-CN"/>
        </w:rPr>
        <w:t xml:space="preserve"> For the T</w:t>
      </w:r>
      <w:r w:rsidR="00EC2A83">
        <w:rPr>
          <w:lang w:eastAsia="zh-CN"/>
        </w:rPr>
        <w:t>VE</w:t>
      </w:r>
      <w:r w:rsidR="00637EEF">
        <w:rPr>
          <w:lang w:eastAsia="zh-CN"/>
        </w:rPr>
        <w:t>T</w:t>
      </w:r>
      <w:r w:rsidR="00EC2A83">
        <w:rPr>
          <w:lang w:eastAsia="zh-CN"/>
        </w:rPr>
        <w:t>SSP</w:t>
      </w:r>
      <w:r w:rsidR="006E357F">
        <w:rPr>
          <w:lang w:eastAsia="zh-CN"/>
        </w:rPr>
        <w:t>,</w:t>
      </w:r>
      <w:r w:rsidRPr="006A1DD5">
        <w:rPr>
          <w:lang w:eastAsia="zh-CN"/>
        </w:rPr>
        <w:t xml:space="preserve"> effort will be concentrated on improving the quality and relevance of training at the K</w:t>
      </w:r>
      <w:r w:rsidR="00EC2A83">
        <w:rPr>
          <w:lang w:eastAsia="zh-CN"/>
        </w:rPr>
        <w:t>IT</w:t>
      </w:r>
      <w:r w:rsidRPr="006A1DD5">
        <w:rPr>
          <w:lang w:eastAsia="zh-CN"/>
        </w:rPr>
        <w:t xml:space="preserve"> and strengthening strategic partnerships with TAFE</w:t>
      </w:r>
      <w:r w:rsidR="00AA2FD6">
        <w:rPr>
          <w:lang w:eastAsia="zh-CN"/>
        </w:rPr>
        <w:t xml:space="preserve"> </w:t>
      </w:r>
      <w:r w:rsidRPr="006A1DD5">
        <w:rPr>
          <w:lang w:eastAsia="zh-CN"/>
        </w:rPr>
        <w:t>S</w:t>
      </w:r>
      <w:r w:rsidR="00AA2FD6">
        <w:rPr>
          <w:lang w:eastAsia="zh-CN"/>
        </w:rPr>
        <w:t xml:space="preserve">outh </w:t>
      </w:r>
      <w:r w:rsidRPr="006A1DD5">
        <w:rPr>
          <w:lang w:eastAsia="zh-CN"/>
        </w:rPr>
        <w:t>A</w:t>
      </w:r>
      <w:r w:rsidR="00AA2FD6">
        <w:rPr>
          <w:lang w:eastAsia="zh-CN"/>
        </w:rPr>
        <w:t>ustralia</w:t>
      </w:r>
      <w:r w:rsidRPr="006A1DD5">
        <w:rPr>
          <w:lang w:eastAsia="zh-CN"/>
        </w:rPr>
        <w:t xml:space="preserve"> and the A</w:t>
      </w:r>
      <w:r w:rsidR="00EC2A83">
        <w:rPr>
          <w:lang w:eastAsia="zh-CN"/>
        </w:rPr>
        <w:t>PTC</w:t>
      </w:r>
      <w:r w:rsidRPr="006A1DD5">
        <w:rPr>
          <w:lang w:eastAsia="zh-CN"/>
        </w:rPr>
        <w:t>. Work here will: (a) consolidate trainers’ technical and training and assessment skills; (b) improve aspects of student assessment; (c) enhance student administration practices; (d) see the planned upgrade of facilities commence; and (e) strengthen monitoring, evaluation and reporting. A program evaluation is planned for late 2014.</w:t>
      </w:r>
    </w:p>
    <w:p w:rsidR="00007E65" w:rsidRPr="006A1DD5" w:rsidRDefault="00EC2A83" w:rsidP="00007E65">
      <w:pPr>
        <w:pStyle w:val="BodyText"/>
        <w:rPr>
          <w:lang w:eastAsia="zh-CN"/>
        </w:rPr>
      </w:pPr>
      <w:r>
        <w:rPr>
          <w:lang w:eastAsia="zh-CN"/>
        </w:rPr>
        <w:t>Upgrades</w:t>
      </w:r>
      <w:r w:rsidR="00007E65" w:rsidRPr="006A1DD5">
        <w:rPr>
          <w:lang w:eastAsia="zh-CN"/>
        </w:rPr>
        <w:t xml:space="preserve"> to the Australia Awards selection process</w:t>
      </w:r>
      <w:r w:rsidR="00955D77">
        <w:rPr>
          <w:lang w:eastAsia="zh-CN"/>
        </w:rPr>
        <w:t xml:space="preserve"> </w:t>
      </w:r>
      <w:r w:rsidR="00007E65" w:rsidRPr="006A1DD5">
        <w:rPr>
          <w:lang w:eastAsia="zh-CN"/>
        </w:rPr>
        <w:t xml:space="preserve">underpin efforts to improve scholarship completion rates. These efforts sit alongside a revitalised preparatory and pre-departure program and ongoing pastoral care and academic support.  </w:t>
      </w:r>
    </w:p>
    <w:p w:rsidR="002A648D" w:rsidRPr="003B447C" w:rsidRDefault="002A648D" w:rsidP="002A648D">
      <w:pPr>
        <w:tabs>
          <w:tab w:val="left" w:pos="227"/>
        </w:tabs>
        <w:spacing w:after="160" w:line="280" w:lineRule="exact"/>
        <w:rPr>
          <w:rFonts w:ascii="Franklin Gothic Book" w:eastAsia="Times New Roman" w:hAnsi="Franklin Gothic Book"/>
          <w:color w:val="FF0000"/>
          <w:sz w:val="21"/>
        </w:rPr>
      </w:pPr>
      <w:r w:rsidRPr="00007E65">
        <w:rPr>
          <w:rFonts w:ascii="Franklin Gothic Book" w:eastAsia="Times New Roman" w:hAnsi="Franklin Gothic Book"/>
          <w:sz w:val="21"/>
        </w:rPr>
        <w:t>While a 2013 independent evaluation found the program relevant and innovative, Australia</w:t>
      </w:r>
      <w:r>
        <w:rPr>
          <w:rFonts w:ascii="Franklin Gothic Book" w:eastAsia="Times New Roman" w:hAnsi="Franklin Gothic Book"/>
          <w:sz w:val="21"/>
        </w:rPr>
        <w:t xml:space="preserve"> considers more comprehensive </w:t>
      </w:r>
      <w:r w:rsidRPr="00007E65">
        <w:rPr>
          <w:rFonts w:ascii="Franklin Gothic Book" w:eastAsia="Times New Roman" w:hAnsi="Franklin Gothic Book"/>
          <w:sz w:val="21"/>
        </w:rPr>
        <w:t xml:space="preserve">and cost effective mechanisms exist for </w:t>
      </w:r>
      <w:r>
        <w:rPr>
          <w:rFonts w:ascii="Franklin Gothic Book" w:eastAsia="Times New Roman" w:hAnsi="Franklin Gothic Book"/>
          <w:sz w:val="21"/>
        </w:rPr>
        <w:t>boosting</w:t>
      </w:r>
      <w:r w:rsidRPr="00007E65">
        <w:rPr>
          <w:rFonts w:ascii="Franklin Gothic Book" w:eastAsia="Times New Roman" w:hAnsi="Franklin Gothic Book"/>
          <w:sz w:val="21"/>
        </w:rPr>
        <w:t xml:space="preserve"> youth employment and supporting increased labour mobility</w:t>
      </w:r>
      <w:r>
        <w:rPr>
          <w:rFonts w:ascii="Franklin Gothic Book" w:eastAsia="Times New Roman" w:hAnsi="Franklin Gothic Book"/>
          <w:sz w:val="21"/>
        </w:rPr>
        <w:t xml:space="preserve">. Therefore KANI will conclude in </w:t>
      </w:r>
      <w:r w:rsidRPr="00007E65">
        <w:rPr>
          <w:rFonts w:ascii="Franklin Gothic Book" w:eastAsia="Times New Roman" w:hAnsi="Franklin Gothic Book"/>
          <w:sz w:val="21"/>
        </w:rPr>
        <w:t>July 2014 once the final scholar graduat</w:t>
      </w:r>
      <w:r>
        <w:rPr>
          <w:rFonts w:ascii="Franklin Gothic Book" w:eastAsia="Times New Roman" w:hAnsi="Franklin Gothic Book"/>
          <w:sz w:val="21"/>
        </w:rPr>
        <w:t>es</w:t>
      </w:r>
      <w:r>
        <w:rPr>
          <w:rFonts w:ascii="Franklin Gothic Book" w:eastAsia="Times New Roman" w:hAnsi="Franklin Gothic Book"/>
          <w:color w:val="FF0000"/>
          <w:sz w:val="21"/>
        </w:rPr>
        <w:t>.</w:t>
      </w:r>
    </w:p>
    <w:p w:rsidR="00F26AE9" w:rsidRDefault="00D42EC7" w:rsidP="00956C59">
      <w:pPr>
        <w:pStyle w:val="BodyText"/>
        <w:rPr>
          <w:rFonts w:ascii="Helvetica" w:hAnsi="Helvetica" w:cs="Arial"/>
          <w:color w:val="007FAD"/>
          <w:kern w:val="28"/>
          <w:sz w:val="24"/>
        </w:rPr>
      </w:pPr>
      <w:r>
        <w:t>O</w:t>
      </w:r>
      <w:r w:rsidR="00007E65" w:rsidRPr="006A1DD5">
        <w:t xml:space="preserve">ther options for further </w:t>
      </w:r>
      <w:r w:rsidR="00955D77">
        <w:t xml:space="preserve">boosting </w:t>
      </w:r>
      <w:r w:rsidR="00007E65" w:rsidRPr="006A1DD5">
        <w:t xml:space="preserve">youth employment and supporting increased labour mobility will be </w:t>
      </w:r>
      <w:r w:rsidR="006C3EE0">
        <w:t>explored</w:t>
      </w:r>
      <w:r w:rsidR="00007E65" w:rsidRPr="006A1DD5">
        <w:t>. Additional assistance will also be directed to improving I-Kiribati workers’ participation in the S</w:t>
      </w:r>
      <w:r w:rsidR="007A420F">
        <w:t xml:space="preserve">WP </w:t>
      </w:r>
      <w:r w:rsidR="00007E65" w:rsidRPr="006A1DD5">
        <w:t xml:space="preserve">focussing on: (a) marketing of I-Kiribati workers to employers; and (b) </w:t>
      </w:r>
      <w:r w:rsidR="00214D0A">
        <w:t xml:space="preserve">identifying </w:t>
      </w:r>
      <w:r w:rsidR="00007E65" w:rsidRPr="006A1DD5">
        <w:t xml:space="preserve">a larger work-ready pool of workers that can be mobilised quickly. </w:t>
      </w:r>
    </w:p>
    <w:p w:rsidR="00956C59" w:rsidRDefault="00956C59" w:rsidP="00E62ABA">
      <w:pPr>
        <w:pStyle w:val="Heading3"/>
      </w:pPr>
    </w:p>
    <w:p w:rsidR="00956C59" w:rsidRDefault="00956C59" w:rsidP="00E62ABA">
      <w:pPr>
        <w:pStyle w:val="Heading3"/>
      </w:pPr>
    </w:p>
    <w:p w:rsidR="00956C59" w:rsidRDefault="00956C59" w:rsidP="00E62ABA">
      <w:pPr>
        <w:pStyle w:val="Heading3"/>
      </w:pPr>
    </w:p>
    <w:p w:rsidR="00956C59" w:rsidRDefault="00956C59" w:rsidP="00E62ABA">
      <w:pPr>
        <w:pStyle w:val="Heading3"/>
      </w:pPr>
    </w:p>
    <w:p w:rsidR="00956C59" w:rsidRDefault="00956C59" w:rsidP="00E62ABA">
      <w:pPr>
        <w:pStyle w:val="Heading3"/>
      </w:pPr>
    </w:p>
    <w:p w:rsidR="00956C59" w:rsidRDefault="00956C59" w:rsidP="00E62ABA">
      <w:pPr>
        <w:pStyle w:val="Heading3"/>
      </w:pPr>
    </w:p>
    <w:p w:rsidR="00EF7671" w:rsidRPr="00FD1244" w:rsidRDefault="00EF7671" w:rsidP="00E62ABA">
      <w:pPr>
        <w:pStyle w:val="Heading3"/>
      </w:pPr>
      <w:r w:rsidRPr="00FD1244">
        <w:t>Outcome 3: Improved growth and economic management</w:t>
      </w:r>
    </w:p>
    <w:p w:rsidR="00EF7671" w:rsidRPr="002A4292" w:rsidRDefault="00EF7671" w:rsidP="00EF7671">
      <w:pPr>
        <w:pStyle w:val="BodyText"/>
        <w:ind w:left="1440" w:hanging="1440"/>
      </w:pPr>
      <w:r w:rsidRPr="002A4292">
        <w:rPr>
          <w:b/>
        </w:rPr>
        <w:t xml:space="preserve">Commitment </w:t>
      </w:r>
      <w:r>
        <w:rPr>
          <w:b/>
        </w:rPr>
        <w:tab/>
      </w:r>
      <w:r w:rsidRPr="002A4292">
        <w:t>Strengthen economic management to support mutually agree</w:t>
      </w:r>
      <w:r>
        <w:t>d Kiribati-led economic reforms.</w:t>
      </w:r>
    </w:p>
    <w:p w:rsidR="00EF7671" w:rsidRPr="002A4292" w:rsidRDefault="002A648D" w:rsidP="00EF7671">
      <w:pPr>
        <w:pStyle w:val="BodyText"/>
        <w:ind w:left="1440" w:hanging="1440"/>
      </w:pPr>
      <w:r>
        <w:rPr>
          <w:b/>
        </w:rPr>
        <w:t>Targets</w:t>
      </w:r>
      <w:r w:rsidR="00EF7671">
        <w:rPr>
          <w:b/>
        </w:rPr>
        <w:tab/>
      </w:r>
      <w:r w:rsidR="00EF7671" w:rsidRPr="002A4292">
        <w:t>Strengthened expenditure control to reflect better planning and financial discipline (on track)</w:t>
      </w:r>
      <w:r w:rsidR="00EF7671">
        <w:t>.</w:t>
      </w:r>
    </w:p>
    <w:p w:rsidR="00EF7671" w:rsidRPr="002A4292" w:rsidRDefault="00EF7671" w:rsidP="00EF7671">
      <w:pPr>
        <w:pStyle w:val="BodyText"/>
        <w:ind w:left="1440"/>
      </w:pPr>
      <w:r w:rsidRPr="002A4292">
        <w:t>Increased revenue through</w:t>
      </w:r>
      <w:r>
        <w:t xml:space="preserve"> an</w:t>
      </w:r>
      <w:r w:rsidRPr="002A4292">
        <w:t xml:space="preserve"> expanded revenue base and improved compliance, including</w:t>
      </w:r>
      <w:r>
        <w:t xml:space="preserve"> through</w:t>
      </w:r>
      <w:r w:rsidRPr="002A4292">
        <w:t xml:space="preserve"> fishing revenues (on track)</w:t>
      </w:r>
      <w:r>
        <w:t>.</w:t>
      </w:r>
    </w:p>
    <w:p w:rsidR="00EF7671" w:rsidRPr="002A4292" w:rsidRDefault="00EF7671" w:rsidP="00EF7671">
      <w:pPr>
        <w:pStyle w:val="BodyText"/>
        <w:ind w:left="1440"/>
      </w:pPr>
      <w:r w:rsidRPr="002A4292">
        <w:t>Improved state</w:t>
      </w:r>
      <w:r>
        <w:t>-</w:t>
      </w:r>
      <w:r w:rsidRPr="002A4292">
        <w:t>owned enterprise oversight, management</w:t>
      </w:r>
      <w:r w:rsidR="00955D77">
        <w:t xml:space="preserve">, </w:t>
      </w:r>
      <w:r w:rsidRPr="002A4292">
        <w:t>service delivery and reduced costs (on track)</w:t>
      </w:r>
      <w:r>
        <w:t>.</w:t>
      </w:r>
    </w:p>
    <w:p w:rsidR="00EF7671" w:rsidRPr="002A4292" w:rsidRDefault="00EF7671" w:rsidP="00EF7671">
      <w:pPr>
        <w:pStyle w:val="BodyText"/>
        <w:ind w:left="720" w:firstLine="720"/>
      </w:pPr>
      <w:r w:rsidRPr="002A4292">
        <w:t>Improv</w:t>
      </w:r>
      <w:r>
        <w:t>ed</w:t>
      </w:r>
      <w:r w:rsidRPr="002A4292">
        <w:t xml:space="preserve"> aid effectiveness and alignment (on track)</w:t>
      </w:r>
      <w:r>
        <w:t>.</w:t>
      </w:r>
    </w:p>
    <w:p w:rsidR="00EF7671" w:rsidRPr="002A4292" w:rsidRDefault="00EF7671" w:rsidP="00EF7671">
      <w:pPr>
        <w:pStyle w:val="BodyText"/>
        <w:ind w:left="1440" w:hanging="1440"/>
      </w:pPr>
      <w:r w:rsidRPr="002A4292">
        <w:rPr>
          <w:b/>
        </w:rPr>
        <w:t xml:space="preserve">Rating </w:t>
      </w:r>
      <w:r w:rsidRPr="002A4292">
        <w:rPr>
          <w:b/>
        </w:rPr>
        <w:tab/>
      </w:r>
      <w:r w:rsidRPr="002A4292">
        <w:t xml:space="preserve">Green: </w:t>
      </w:r>
      <w:r>
        <w:t>Australia’s</w:t>
      </w:r>
      <w:r w:rsidRPr="002A4292">
        <w:t xml:space="preserve"> support for improved growth and economic management</w:t>
      </w:r>
      <w:r w:rsidR="00955D77">
        <w:t xml:space="preserve"> has </w:t>
      </w:r>
      <w:r w:rsidRPr="002A4292">
        <w:t>improved from an uncertain beginning in 2011</w:t>
      </w:r>
      <w:r w:rsidR="00955D77">
        <w:t xml:space="preserve"> and is on track</w:t>
      </w:r>
      <w:r w:rsidRPr="002A4292">
        <w:t xml:space="preserve">. </w:t>
      </w:r>
    </w:p>
    <w:p w:rsidR="00A46DCF" w:rsidRDefault="00EF7671" w:rsidP="00EF7671">
      <w:pPr>
        <w:pStyle w:val="BodyText"/>
      </w:pPr>
      <w:r w:rsidRPr="002A4292">
        <w:t xml:space="preserve">There is a pressing need to improve growth and economic management in </w:t>
      </w:r>
      <w:r w:rsidRPr="00E62ABA">
        <w:t xml:space="preserve">Kiribati. </w:t>
      </w:r>
      <w:r w:rsidR="00454D26" w:rsidRPr="00E62ABA">
        <w:t xml:space="preserve">With gross domestic product per </w:t>
      </w:r>
      <w:r w:rsidR="00454D26" w:rsidRPr="00A46742">
        <w:t>capita at A$1</w:t>
      </w:r>
      <w:r w:rsidR="00214D0A">
        <w:t>,</w:t>
      </w:r>
      <w:r w:rsidR="00454D26" w:rsidRPr="00A46742">
        <w:t>62</w:t>
      </w:r>
      <w:r w:rsidR="00B43BF1" w:rsidRPr="00A46742">
        <w:t>0</w:t>
      </w:r>
      <w:r w:rsidR="004D24B9">
        <w:rPr>
          <w:rStyle w:val="FootnoteReference"/>
        </w:rPr>
        <w:footnoteReference w:id="5"/>
      </w:r>
      <w:r w:rsidR="004D24B9" w:rsidRPr="00A46742">
        <w:t xml:space="preserve"> per annum</w:t>
      </w:r>
      <w:r w:rsidR="007A420F">
        <w:t xml:space="preserve"> and declining</w:t>
      </w:r>
      <w:r w:rsidRPr="00A46742">
        <w:t xml:space="preserve">, Kiribati is one of the poorest countries in the region. </w:t>
      </w:r>
      <w:r w:rsidR="00576EDE">
        <w:t xml:space="preserve">In recognition of this, </w:t>
      </w:r>
      <w:r w:rsidR="000E06EE">
        <w:t>Australia continue</w:t>
      </w:r>
      <w:r w:rsidR="00214D0A">
        <w:t>s</w:t>
      </w:r>
      <w:r w:rsidR="000E06EE">
        <w:t xml:space="preserve"> to provide strategic technical assistance</w:t>
      </w:r>
      <w:r w:rsidR="00576EDE">
        <w:t xml:space="preserve"> to the Ministry of </w:t>
      </w:r>
      <w:r w:rsidR="00563107">
        <w:t>Finance</w:t>
      </w:r>
      <w:r w:rsidR="00775630">
        <w:t xml:space="preserve"> </w:t>
      </w:r>
      <w:r w:rsidR="00F60371">
        <w:t xml:space="preserve">and Economic Planning </w:t>
      </w:r>
      <w:r w:rsidR="00F60371" w:rsidRPr="00584819">
        <w:rPr>
          <w:szCs w:val="21"/>
        </w:rPr>
        <w:t>to undertake key reforms to strengthen governance, improve budget planning and better coordinate development partner efforts</w:t>
      </w:r>
      <w:r w:rsidR="007A420F">
        <w:rPr>
          <w:szCs w:val="21"/>
        </w:rPr>
        <w:t>.</w:t>
      </w:r>
      <w:r w:rsidR="00F60371">
        <w:t xml:space="preserve"> </w:t>
      </w:r>
      <w:r w:rsidR="00890D15">
        <w:t xml:space="preserve">To support the implementation of the VAT, further technical assistance is being provided to the Kiribati Taxation Office. </w:t>
      </w:r>
      <w:r w:rsidR="00563107" w:rsidRPr="002D4E99">
        <w:t>On the fiscal fr</w:t>
      </w:r>
      <w:r w:rsidR="00563107">
        <w:t xml:space="preserve">ont, GoK recorded a surplus of over AUD </w:t>
      </w:r>
      <w:r w:rsidR="00563107" w:rsidRPr="002D4E99">
        <w:t>18</w:t>
      </w:r>
      <w:r w:rsidR="00563107">
        <w:t xml:space="preserve"> </w:t>
      </w:r>
      <w:r w:rsidR="00563107" w:rsidRPr="002D4E99">
        <w:t>million</w:t>
      </w:r>
      <w:r w:rsidR="00563107">
        <w:t xml:space="preserve"> in 2013 –the </w:t>
      </w:r>
      <w:r w:rsidR="00563107" w:rsidRPr="002D4E99">
        <w:t xml:space="preserve">first </w:t>
      </w:r>
      <w:r w:rsidR="00563107">
        <w:t xml:space="preserve">surplus </w:t>
      </w:r>
      <w:r w:rsidR="00563107" w:rsidRPr="002D4E99">
        <w:t xml:space="preserve">since 1998 </w:t>
      </w:r>
      <w:r w:rsidR="007A420F">
        <w:t xml:space="preserve">is </w:t>
      </w:r>
      <w:r w:rsidR="00563107">
        <w:t>attributed to</w:t>
      </w:r>
      <w:r w:rsidR="00563107" w:rsidRPr="002D4E99">
        <w:t xml:space="preserve"> high fishing revenue</w:t>
      </w:r>
      <w:r w:rsidR="007A420F">
        <w:t xml:space="preserve"> and prudent expenditure control</w:t>
      </w:r>
      <w:r w:rsidR="00563107" w:rsidRPr="002D4E99">
        <w:t>.</w:t>
      </w:r>
      <w:r w:rsidR="00890D15">
        <w:t xml:space="preserve">  </w:t>
      </w:r>
      <w:r w:rsidR="00F60371">
        <w:t>Revenue flows from fisheries will however likely remain volatile.</w:t>
      </w:r>
      <w:r w:rsidR="00890D15">
        <w:t xml:space="preserve">  </w:t>
      </w:r>
      <w:r w:rsidR="00DE3075">
        <w:t xml:space="preserve">GoK </w:t>
      </w:r>
      <w:r w:rsidR="007A420F">
        <w:t>further confirmed their commitment to responsible fiscal management</w:t>
      </w:r>
      <w:r w:rsidR="007A420F" w:rsidDel="007A420F">
        <w:t xml:space="preserve"> </w:t>
      </w:r>
      <w:r w:rsidR="007A420F">
        <w:t>by</w:t>
      </w:r>
      <w:r w:rsidR="00DE3075">
        <w:t xml:space="preserve"> </w:t>
      </w:r>
      <w:r w:rsidR="005D59D6">
        <w:t>return</w:t>
      </w:r>
      <w:r w:rsidR="00DE3075">
        <w:t xml:space="preserve">ing part of </w:t>
      </w:r>
      <w:r w:rsidR="007A420F">
        <w:t>this</w:t>
      </w:r>
      <w:r w:rsidR="00DE3075">
        <w:t xml:space="preserve"> </w:t>
      </w:r>
      <w:r w:rsidR="00563107">
        <w:t>surplus</w:t>
      </w:r>
      <w:r w:rsidR="006152A2">
        <w:t xml:space="preserve"> </w:t>
      </w:r>
      <w:r w:rsidR="005D59D6">
        <w:t>to the RERF</w:t>
      </w:r>
      <w:r w:rsidR="007A420F">
        <w:t>.</w:t>
      </w:r>
    </w:p>
    <w:p w:rsidR="00EF7671" w:rsidRPr="00E62ABA" w:rsidRDefault="00576EDE" w:rsidP="00EF7671">
      <w:pPr>
        <w:pStyle w:val="BodyText"/>
      </w:pPr>
      <w:r>
        <w:t>In 2013 Australia supported the development and launch of Kiribati’s first National Fisheries Policy.  This policy</w:t>
      </w:r>
      <w:r w:rsidR="007A420F">
        <w:t xml:space="preserve">, which </w:t>
      </w:r>
      <w:r>
        <w:t>provides a framework for maximising and sustaining ocean resources</w:t>
      </w:r>
      <w:r w:rsidR="00F60371">
        <w:t xml:space="preserve"> through to 2025</w:t>
      </w:r>
      <w:r w:rsidR="00A46DCF">
        <w:t>,</w:t>
      </w:r>
      <w:r>
        <w:t xml:space="preserve"> has become an important tool for </w:t>
      </w:r>
      <w:r w:rsidR="007A420F">
        <w:t xml:space="preserve">framing </w:t>
      </w:r>
      <w:r>
        <w:t>donor support to the fisheries sector</w:t>
      </w:r>
      <w:r w:rsidR="00F60371">
        <w:t xml:space="preserve">. </w:t>
      </w:r>
      <w:r>
        <w:t xml:space="preserve">  </w:t>
      </w:r>
      <w:r w:rsidR="00563107">
        <w:t xml:space="preserve">   </w:t>
      </w:r>
    </w:p>
    <w:p w:rsidR="00AE3D42" w:rsidRDefault="00AE3D42" w:rsidP="00AE3D42">
      <w:pPr>
        <w:pStyle w:val="BodyText"/>
      </w:pPr>
      <w:r>
        <w:t>Priority Outcome 3 remains on track.  The Go</w:t>
      </w:r>
      <w:r w:rsidR="00214D0A">
        <w:t>K</w:t>
      </w:r>
      <w:r>
        <w:t xml:space="preserve"> continues to pursue key economic reforms </w:t>
      </w:r>
      <w:r w:rsidR="008B34F5">
        <w:t xml:space="preserve">with strong support from </w:t>
      </w:r>
      <w:r w:rsidR="00775630">
        <w:t xml:space="preserve">other </w:t>
      </w:r>
      <w:r w:rsidR="008B34F5">
        <w:t>donor partners (</w:t>
      </w:r>
      <w:r w:rsidR="0033625E" w:rsidRPr="002D4E99">
        <w:t xml:space="preserve">New Zealand </w:t>
      </w:r>
      <w:r w:rsidRPr="002D4E99">
        <w:t xml:space="preserve">World Bank, ADB, IMF, </w:t>
      </w:r>
      <w:r w:rsidR="0033625E">
        <w:t xml:space="preserve">and </w:t>
      </w:r>
      <w:r w:rsidRPr="002D4E99">
        <w:t>EU</w:t>
      </w:r>
      <w:r w:rsidR="008B34F5">
        <w:t>)</w:t>
      </w:r>
      <w:r w:rsidRPr="002D4E99">
        <w:t xml:space="preserve">. In 2013 </w:t>
      </w:r>
      <w:r w:rsidR="002D4E99">
        <w:t xml:space="preserve">the </w:t>
      </w:r>
      <w:r w:rsidRPr="002D4E99">
        <w:t xml:space="preserve">growth rate </w:t>
      </w:r>
      <w:r w:rsidR="002D4E99">
        <w:t xml:space="preserve">was </w:t>
      </w:r>
      <w:r w:rsidRPr="002D4E99">
        <w:t>2.9</w:t>
      </w:r>
      <w:r w:rsidR="002D4E99">
        <w:t xml:space="preserve"> percent, compared to 0.8 percent</w:t>
      </w:r>
      <w:r w:rsidRPr="002D4E99">
        <w:t xml:space="preserve"> in 2011. </w:t>
      </w:r>
      <w:r w:rsidR="008B34F5">
        <w:t xml:space="preserve">This increase </w:t>
      </w:r>
      <w:r w:rsidRPr="002D4E99">
        <w:t xml:space="preserve">is attributed </w:t>
      </w:r>
      <w:r w:rsidR="002D4E99">
        <w:t xml:space="preserve">to increased </w:t>
      </w:r>
      <w:r w:rsidRPr="002D4E99">
        <w:t xml:space="preserve">donor </w:t>
      </w:r>
      <w:r w:rsidR="002D4E99">
        <w:t xml:space="preserve">support </w:t>
      </w:r>
      <w:r w:rsidR="00775630">
        <w:t xml:space="preserve">(particularly </w:t>
      </w:r>
      <w:r w:rsidR="007A420F">
        <w:t xml:space="preserve">to </w:t>
      </w:r>
      <w:r w:rsidR="00775630">
        <w:t xml:space="preserve">infrastructure </w:t>
      </w:r>
      <w:r w:rsidR="007A420F">
        <w:t>upgrade</w:t>
      </w:r>
      <w:r w:rsidR="00DF2F8D">
        <w:t>s</w:t>
      </w:r>
      <w:r w:rsidR="00775630">
        <w:t xml:space="preserve">) </w:t>
      </w:r>
      <w:r w:rsidRPr="002D4E99">
        <w:t xml:space="preserve">and </w:t>
      </w:r>
      <w:r w:rsidR="002D4E99">
        <w:t>strengthened</w:t>
      </w:r>
      <w:r w:rsidRPr="002D4E99">
        <w:t xml:space="preserve"> private sector activit</w:t>
      </w:r>
      <w:r w:rsidR="002D4E99">
        <w:t>y</w:t>
      </w:r>
      <w:r w:rsidR="008B34F5">
        <w:t>,</w:t>
      </w:r>
      <w:r w:rsidR="002D4E99">
        <w:t xml:space="preserve"> </w:t>
      </w:r>
      <w:r w:rsidRPr="002D4E99">
        <w:t xml:space="preserve">domestic retail, wholesale and service-related activities. The improvement in cash and debt management is also noted </w:t>
      </w:r>
      <w:r w:rsidR="00920332">
        <w:t>with</w:t>
      </w:r>
      <w:r w:rsidR="00920332" w:rsidRPr="002D4E99">
        <w:t xml:space="preserve"> </w:t>
      </w:r>
      <w:r w:rsidRPr="002D4E99">
        <w:t>control</w:t>
      </w:r>
      <w:r w:rsidR="00920332">
        <w:t>s on</w:t>
      </w:r>
      <w:r w:rsidRPr="002D4E99">
        <w:t xml:space="preserve"> new borrowing, clearing of commercial debt and </w:t>
      </w:r>
      <w:r w:rsidR="00AA2FD6">
        <w:t xml:space="preserve">introduction of </w:t>
      </w:r>
      <w:r w:rsidRPr="002D4E99">
        <w:t>guidelines on SOE</w:t>
      </w:r>
      <w:r w:rsidR="002D4E99">
        <w:t xml:space="preserve"> subsidies.</w:t>
      </w:r>
      <w:r>
        <w:t xml:space="preserve">  </w:t>
      </w:r>
    </w:p>
    <w:p w:rsidR="001F17ED" w:rsidRPr="002D4E99" w:rsidRDefault="001F17ED" w:rsidP="002D4E99">
      <w:pPr>
        <w:pStyle w:val="BodyText"/>
        <w:rPr>
          <w:rFonts w:ascii="Helvetica" w:hAnsi="Helvetica" w:cs="Arial"/>
          <w:color w:val="007FAD"/>
          <w:kern w:val="28"/>
          <w:sz w:val="24"/>
        </w:rPr>
      </w:pPr>
      <w:r w:rsidRPr="002D4E99">
        <w:rPr>
          <w:rFonts w:ascii="Helvetica" w:hAnsi="Helvetica" w:cs="Arial"/>
          <w:color w:val="007FAD"/>
          <w:kern w:val="28"/>
          <w:sz w:val="24"/>
        </w:rPr>
        <w:t xml:space="preserve">Steps to improve </w:t>
      </w:r>
      <w:r w:rsidR="002D4E99" w:rsidRPr="002D4E99">
        <w:rPr>
          <w:rFonts w:ascii="Helvetica" w:hAnsi="Helvetica" w:cs="Arial"/>
          <w:color w:val="007FAD"/>
          <w:kern w:val="28"/>
          <w:sz w:val="24"/>
        </w:rPr>
        <w:t>management</w:t>
      </w:r>
      <w:r w:rsidR="002D4E99">
        <w:rPr>
          <w:rFonts w:ascii="Helvetica" w:hAnsi="Helvetica" w:cs="Arial"/>
          <w:color w:val="007FAD"/>
          <w:kern w:val="28"/>
          <w:sz w:val="24"/>
        </w:rPr>
        <w:t>,</w:t>
      </w:r>
      <w:r w:rsidRPr="002D4E99">
        <w:rPr>
          <w:rFonts w:ascii="Helvetica" w:hAnsi="Helvetica" w:cs="Arial"/>
          <w:color w:val="007FAD"/>
          <w:kern w:val="28"/>
          <w:sz w:val="24"/>
        </w:rPr>
        <w:t xml:space="preserve"> accountability and effectiveness</w:t>
      </w:r>
    </w:p>
    <w:p w:rsidR="00920332" w:rsidRDefault="00E62ABA" w:rsidP="00F62629">
      <w:pPr>
        <w:pStyle w:val="BodyText"/>
      </w:pPr>
      <w:r w:rsidRPr="00E62ABA">
        <w:t xml:space="preserve">Despite </w:t>
      </w:r>
      <w:r w:rsidR="008B34F5">
        <w:t xml:space="preserve">clear evidence of </w:t>
      </w:r>
      <w:r w:rsidRPr="00E62ABA">
        <w:t xml:space="preserve">GoK </w:t>
      </w:r>
      <w:r w:rsidR="008B34F5">
        <w:t>having</w:t>
      </w:r>
      <w:r w:rsidRPr="00E62ABA">
        <w:t xml:space="preserve"> met agreed reform benchmarks in the multi-donor budget support program, due to budget constraints </w:t>
      </w:r>
      <w:r w:rsidR="00F52893">
        <w:t xml:space="preserve">Australia has not </w:t>
      </w:r>
      <w:r w:rsidR="00BB5A56">
        <w:t xml:space="preserve">yet </w:t>
      </w:r>
      <w:r w:rsidR="00F52893">
        <w:t xml:space="preserve">been in a position to </w:t>
      </w:r>
      <w:r w:rsidRPr="00E62ABA">
        <w:t xml:space="preserve">contribute </w:t>
      </w:r>
      <w:r w:rsidR="00775630" w:rsidRPr="00E62ABA">
        <w:t xml:space="preserve">financially </w:t>
      </w:r>
      <w:r w:rsidRPr="00E62ABA">
        <w:t>to the program</w:t>
      </w:r>
      <w:r w:rsidR="00920332">
        <w:t xml:space="preserve">, as was </w:t>
      </w:r>
      <w:r w:rsidR="00BB5A56">
        <w:t>the</w:t>
      </w:r>
      <w:r w:rsidR="00775630">
        <w:t xml:space="preserve"> </w:t>
      </w:r>
      <w:r w:rsidR="00920332">
        <w:t>initial intent</w:t>
      </w:r>
      <w:r w:rsidRPr="00E62ABA">
        <w:t xml:space="preserve">.  To maintain Australia’s engagement and momentum for meaningful action on reform targets, </w:t>
      </w:r>
      <w:r w:rsidR="00BB5A56">
        <w:t xml:space="preserve">the Kiribati program </w:t>
      </w:r>
      <w:r w:rsidRPr="00E62ABA">
        <w:t xml:space="preserve">will endeavour to increase </w:t>
      </w:r>
      <w:r w:rsidR="00775630">
        <w:t>its</w:t>
      </w:r>
      <w:r w:rsidRPr="00E62ABA">
        <w:t xml:space="preserve"> </w:t>
      </w:r>
      <w:r>
        <w:t xml:space="preserve">financial </w:t>
      </w:r>
      <w:r w:rsidRPr="00E62ABA">
        <w:t>involvement in 2014-1</w:t>
      </w:r>
      <w:r>
        <w:t>5</w:t>
      </w:r>
      <w:r w:rsidR="00920332">
        <w:t>,</w:t>
      </w:r>
      <w:r w:rsidR="00F52893">
        <w:t xml:space="preserve"> should </w:t>
      </w:r>
      <w:r w:rsidR="0033625E">
        <w:t xml:space="preserve">program </w:t>
      </w:r>
      <w:r w:rsidR="00F52893">
        <w:t>funding permit</w:t>
      </w:r>
      <w:r w:rsidRPr="00E62ABA">
        <w:t>.</w:t>
      </w:r>
      <w:r w:rsidR="00920332">
        <w:t xml:space="preserve"> Regardless of </w:t>
      </w:r>
      <w:r w:rsidR="00775630">
        <w:t xml:space="preserve">its </w:t>
      </w:r>
      <w:r w:rsidR="00920332">
        <w:t xml:space="preserve">ability to provide direct budget support, Australia’s strategic contribution to the program through technical assistance will continue. Maintaining </w:t>
      </w:r>
      <w:r>
        <w:t xml:space="preserve">close and strategic dialogue with multilateral partners (led by the World Bank) will be critical to encouraging success in phase two of the </w:t>
      </w:r>
      <w:r w:rsidR="0033625E">
        <w:t xml:space="preserve">economic reform </w:t>
      </w:r>
      <w:r>
        <w:t>program.  A continued commitment on the part of all donors to align pro</w:t>
      </w:r>
      <w:r w:rsidR="00AF6212">
        <w:t>c</w:t>
      </w:r>
      <w:r>
        <w:t>esses, reform benchmarks and supervis</w:t>
      </w:r>
      <w:r w:rsidR="00775630">
        <w:t>e</w:t>
      </w:r>
      <w:r>
        <w:t xml:space="preserve"> missions will both foster increased likelihood of success, as well as reduce the administrative burden on GoK.</w:t>
      </w:r>
      <w:r w:rsidR="00DE3075">
        <w:t xml:space="preserve">  Australia will further consider how support to this priority area aligns with and complements its Economic Diplomacy Strategy.  </w:t>
      </w:r>
    </w:p>
    <w:p w:rsidR="00956C59" w:rsidRDefault="00956C59" w:rsidP="00E62ABA">
      <w:pPr>
        <w:pStyle w:val="Heading3"/>
      </w:pPr>
    </w:p>
    <w:p w:rsidR="00EF7671" w:rsidRPr="00EE4AB8" w:rsidRDefault="00EF7671" w:rsidP="00E62ABA">
      <w:pPr>
        <w:pStyle w:val="Heading3"/>
      </w:pPr>
      <w:r w:rsidRPr="002A4292">
        <w:t>Outcome 4</w:t>
      </w:r>
      <w:r w:rsidRPr="00EE4AB8">
        <w:t>: Improved infrastructure services</w:t>
      </w:r>
    </w:p>
    <w:p w:rsidR="00EF7671" w:rsidRPr="002A4292" w:rsidRDefault="00EF7671" w:rsidP="00EF7671">
      <w:pPr>
        <w:pStyle w:val="BodyText"/>
        <w:ind w:left="1440" w:hanging="1440"/>
      </w:pPr>
      <w:r w:rsidRPr="00EE4AB8">
        <w:rPr>
          <w:b/>
        </w:rPr>
        <w:t xml:space="preserve">Commitment </w:t>
      </w:r>
      <w:r>
        <w:rPr>
          <w:b/>
        </w:rPr>
        <w:tab/>
      </w:r>
      <w:r w:rsidRPr="00EE4AB8">
        <w:t>Improved infrastructure services through increasing access to telecommunications and sanitation services and improving the main road network.</w:t>
      </w:r>
    </w:p>
    <w:p w:rsidR="00EF7671" w:rsidRPr="002A4292" w:rsidRDefault="002A648D" w:rsidP="00EF7671">
      <w:pPr>
        <w:pStyle w:val="BodyText"/>
      </w:pPr>
      <w:r>
        <w:rPr>
          <w:b/>
        </w:rPr>
        <w:t>Targets</w:t>
      </w:r>
      <w:r w:rsidR="00EF7671">
        <w:rPr>
          <w:b/>
        </w:rPr>
        <w:tab/>
      </w:r>
      <w:r w:rsidR="00956C59">
        <w:rPr>
          <w:b/>
        </w:rPr>
        <w:tab/>
      </w:r>
      <w:r w:rsidR="00EF7671" w:rsidRPr="002A4292">
        <w:t>Increased access to telecommunication services</w:t>
      </w:r>
      <w:r w:rsidR="00EF7671">
        <w:t>.</w:t>
      </w:r>
    </w:p>
    <w:p w:rsidR="00EF7671" w:rsidRPr="002A4292" w:rsidRDefault="00EF7671" w:rsidP="00EF7671">
      <w:pPr>
        <w:pStyle w:val="BodyText"/>
        <w:ind w:left="1440"/>
      </w:pPr>
      <w:r w:rsidRPr="002A4292">
        <w:t>Improved health of South Tarawa’s population through enhanc</w:t>
      </w:r>
      <w:r>
        <w:t xml:space="preserve">ing </w:t>
      </w:r>
      <w:r w:rsidRPr="002A4292">
        <w:t xml:space="preserve">access to sanitation </w:t>
      </w:r>
      <w:r w:rsidRPr="00ED7684">
        <w:t>services</w:t>
      </w:r>
      <w:r>
        <w:t>.</w:t>
      </w:r>
    </w:p>
    <w:p w:rsidR="00EF7671" w:rsidRPr="002A4292" w:rsidRDefault="00EF7671" w:rsidP="00EF7671">
      <w:pPr>
        <w:pStyle w:val="BodyText"/>
        <w:ind w:left="1440"/>
      </w:pPr>
      <w:r w:rsidRPr="002A4292">
        <w:t xml:space="preserve">Improved main road network on South Tarawa and strengthened road finance and maintenance capacity </w:t>
      </w:r>
    </w:p>
    <w:p w:rsidR="00EF7671" w:rsidRPr="002A4292" w:rsidRDefault="00EF7671" w:rsidP="00EF7671">
      <w:pPr>
        <w:pStyle w:val="BodyText"/>
        <w:ind w:left="1440"/>
      </w:pPr>
      <w:r w:rsidRPr="002A4292">
        <w:t>Reduced dependence on diesel for power generation</w:t>
      </w:r>
      <w:r>
        <w:t>.</w:t>
      </w:r>
    </w:p>
    <w:p w:rsidR="00EF7671" w:rsidRPr="002A4292" w:rsidRDefault="00EF7671" w:rsidP="00EF7671">
      <w:pPr>
        <w:pStyle w:val="BodyText"/>
        <w:ind w:left="720" w:firstLine="720"/>
      </w:pPr>
      <w:r>
        <w:t>C</w:t>
      </w:r>
      <w:r w:rsidRPr="002A4292">
        <w:t>oordinate</w:t>
      </w:r>
      <w:r>
        <w:t>d</w:t>
      </w:r>
      <w:r w:rsidRPr="002A4292">
        <w:t xml:space="preserve"> infrastructure investments</w:t>
      </w:r>
      <w:r>
        <w:t>.</w:t>
      </w:r>
    </w:p>
    <w:p w:rsidR="00EF7671" w:rsidRPr="002A4292" w:rsidRDefault="00EF7671" w:rsidP="00EF7671">
      <w:pPr>
        <w:pStyle w:val="BodyText"/>
        <w:ind w:left="1440" w:hanging="1440"/>
      </w:pPr>
      <w:r w:rsidRPr="002A4292">
        <w:rPr>
          <w:b/>
        </w:rPr>
        <w:t xml:space="preserve">Rating </w:t>
      </w:r>
      <w:r w:rsidRPr="002A4292">
        <w:rPr>
          <w:b/>
        </w:rPr>
        <w:tab/>
      </w:r>
      <w:r w:rsidR="0033625E">
        <w:t>Green</w:t>
      </w:r>
      <w:r w:rsidRPr="002A4292">
        <w:t xml:space="preserve">: </w:t>
      </w:r>
      <w:r w:rsidR="005B7868">
        <w:t xml:space="preserve"> </w:t>
      </w:r>
      <w:r w:rsidR="00670DA2">
        <w:t>positive progress has been achieved with</w:t>
      </w:r>
      <w:r w:rsidR="008D5C27">
        <w:t xml:space="preserve"> </w:t>
      </w:r>
      <w:r>
        <w:rPr>
          <w:rFonts w:eastAsia="SimSun"/>
        </w:rPr>
        <w:t>Australia’s</w:t>
      </w:r>
      <w:r w:rsidRPr="002A4292">
        <w:rPr>
          <w:rFonts w:eastAsia="SimSun"/>
        </w:rPr>
        <w:t xml:space="preserve"> infrastructure investments </w:t>
      </w:r>
      <w:r w:rsidR="00670DA2">
        <w:rPr>
          <w:rFonts w:eastAsia="SimSun"/>
        </w:rPr>
        <w:t xml:space="preserve">after </w:t>
      </w:r>
      <w:r w:rsidRPr="002A4292">
        <w:rPr>
          <w:rFonts w:eastAsia="SimSun"/>
        </w:rPr>
        <w:t xml:space="preserve">experienced </w:t>
      </w:r>
      <w:r w:rsidR="008D5C27">
        <w:rPr>
          <w:rFonts w:eastAsia="SimSun"/>
        </w:rPr>
        <w:t xml:space="preserve">initial </w:t>
      </w:r>
      <w:r w:rsidR="00670DA2">
        <w:rPr>
          <w:rFonts w:eastAsia="SimSun"/>
        </w:rPr>
        <w:t xml:space="preserve">planning </w:t>
      </w:r>
      <w:r w:rsidRPr="002A4292">
        <w:rPr>
          <w:rFonts w:eastAsia="SimSun"/>
        </w:rPr>
        <w:t>delays</w:t>
      </w:r>
      <w:r w:rsidR="00670DA2">
        <w:rPr>
          <w:rFonts w:eastAsia="SimSun"/>
        </w:rPr>
        <w:t xml:space="preserve">.  </w:t>
      </w:r>
      <w:r w:rsidR="00022E8F">
        <w:rPr>
          <w:rFonts w:eastAsia="SimSun"/>
        </w:rPr>
        <w:t xml:space="preserve">Unseasonal heavy rainfall has </w:t>
      </w:r>
      <w:r w:rsidR="00AF6212">
        <w:rPr>
          <w:rFonts w:eastAsia="SimSun"/>
        </w:rPr>
        <w:t>extended</w:t>
      </w:r>
      <w:r w:rsidR="00022E8F">
        <w:rPr>
          <w:rFonts w:eastAsia="SimSun"/>
        </w:rPr>
        <w:t xml:space="preserve"> the completion time for the</w:t>
      </w:r>
      <w:r w:rsidR="00670DA2">
        <w:rPr>
          <w:rFonts w:eastAsia="SimSun"/>
        </w:rPr>
        <w:t xml:space="preserve"> road project </w:t>
      </w:r>
      <w:r w:rsidR="00022E8F">
        <w:rPr>
          <w:rFonts w:eastAsia="SimSun"/>
        </w:rPr>
        <w:t xml:space="preserve">by </w:t>
      </w:r>
      <w:r w:rsidR="00330B28">
        <w:rPr>
          <w:rFonts w:eastAsia="SimSun"/>
        </w:rPr>
        <w:t>two</w:t>
      </w:r>
      <w:r w:rsidR="00022E8F">
        <w:rPr>
          <w:rFonts w:eastAsia="SimSun"/>
        </w:rPr>
        <w:t xml:space="preserve"> months.</w:t>
      </w:r>
    </w:p>
    <w:p w:rsidR="00EF7671" w:rsidRDefault="00BB5A56" w:rsidP="00EF7671">
      <w:pPr>
        <w:pStyle w:val="BodyText"/>
        <w:rPr>
          <w:rFonts w:cstheme="minorHAnsi"/>
          <w:bCs/>
        </w:rPr>
      </w:pPr>
      <w:r>
        <w:t xml:space="preserve">Australia shares development objectives for these programs with the multilateral banks (World Bank and Asian Development Bank).  </w:t>
      </w:r>
      <w:r w:rsidR="00EF7671">
        <w:t>Australia’s</w:t>
      </w:r>
      <w:r w:rsidR="00EF7671" w:rsidRPr="002A4292">
        <w:t xml:space="preserve"> support for infrastructure </w:t>
      </w:r>
      <w:r w:rsidR="00AF6212">
        <w:t>includes</w:t>
      </w:r>
      <w:r w:rsidR="00EF7671" w:rsidRPr="002A4292">
        <w:t xml:space="preserve"> programs in the telecommunications, sanitation, transport and energy sectors</w:t>
      </w:r>
      <w:r w:rsidR="00EF7671">
        <w:t xml:space="preserve">. </w:t>
      </w:r>
      <w:r>
        <w:t>This</w:t>
      </w:r>
      <w:r w:rsidR="00775630">
        <w:t xml:space="preserve"> </w:t>
      </w:r>
      <w:r w:rsidR="00EF7671" w:rsidRPr="002A4292">
        <w:rPr>
          <w:rFonts w:cstheme="minorHAnsi"/>
          <w:bCs/>
        </w:rPr>
        <w:t xml:space="preserve">support is provided in partnership with the </w:t>
      </w:r>
      <w:r w:rsidR="00EF7671" w:rsidRPr="002A4292">
        <w:t>multilateral development banks</w:t>
      </w:r>
      <w:r w:rsidR="00EF7671" w:rsidRPr="002A4292">
        <w:rPr>
          <w:rFonts w:cstheme="minorHAnsi"/>
          <w:bCs/>
        </w:rPr>
        <w:t xml:space="preserve"> </w:t>
      </w:r>
    </w:p>
    <w:p w:rsidR="006C06D7" w:rsidRDefault="00713B61" w:rsidP="006C06D7">
      <w:pPr>
        <w:pStyle w:val="BodyText"/>
        <w:rPr>
          <w:rFonts w:cstheme="minorHAnsi"/>
          <w:bCs/>
        </w:rPr>
      </w:pPr>
      <w:r>
        <w:rPr>
          <w:rFonts w:cstheme="minorHAnsi"/>
          <w:bCs/>
        </w:rPr>
        <w:t>In 2013-14 there was better progress on some of the</w:t>
      </w:r>
      <w:r w:rsidR="00AF6212">
        <w:rPr>
          <w:rFonts w:cstheme="minorHAnsi"/>
          <w:bCs/>
        </w:rPr>
        <w:t>se</w:t>
      </w:r>
      <w:r>
        <w:rPr>
          <w:rFonts w:cstheme="minorHAnsi"/>
          <w:bCs/>
        </w:rPr>
        <w:t xml:space="preserve"> projects</w:t>
      </w:r>
      <w:r w:rsidR="008D5C27">
        <w:rPr>
          <w:rFonts w:cstheme="minorHAnsi"/>
          <w:bCs/>
        </w:rPr>
        <w:t xml:space="preserve">, including physical works commencing on the road and tendering of the sanitation project.  While </w:t>
      </w:r>
      <w:r w:rsidR="00E62ABA">
        <w:rPr>
          <w:rFonts w:cstheme="minorHAnsi"/>
          <w:bCs/>
        </w:rPr>
        <w:t>cost over</w:t>
      </w:r>
      <w:r w:rsidR="00775630">
        <w:rPr>
          <w:rFonts w:cstheme="minorHAnsi"/>
          <w:bCs/>
        </w:rPr>
        <w:t>-</w:t>
      </w:r>
      <w:r w:rsidR="00E62ABA">
        <w:rPr>
          <w:rFonts w:cstheme="minorHAnsi"/>
          <w:bCs/>
        </w:rPr>
        <w:t>runs on both projects remain</w:t>
      </w:r>
      <w:r w:rsidR="008D5C27">
        <w:rPr>
          <w:rFonts w:cstheme="minorHAnsi"/>
          <w:bCs/>
        </w:rPr>
        <w:t xml:space="preserve"> a concern, Australia continue</w:t>
      </w:r>
      <w:r w:rsidR="00022E8F">
        <w:rPr>
          <w:rFonts w:cstheme="minorHAnsi"/>
          <w:bCs/>
        </w:rPr>
        <w:t>s</w:t>
      </w:r>
      <w:r w:rsidR="008D5C27">
        <w:rPr>
          <w:rFonts w:cstheme="minorHAnsi"/>
          <w:bCs/>
        </w:rPr>
        <w:t xml:space="preserve"> to work with implementing partners </w:t>
      </w:r>
      <w:r w:rsidR="00775630">
        <w:rPr>
          <w:rFonts w:cstheme="minorHAnsi"/>
          <w:bCs/>
        </w:rPr>
        <w:t>to assist</w:t>
      </w:r>
      <w:r w:rsidR="008D5C27">
        <w:rPr>
          <w:rFonts w:cstheme="minorHAnsi"/>
          <w:bCs/>
        </w:rPr>
        <w:t xml:space="preserve"> GoK to </w:t>
      </w:r>
      <w:r w:rsidR="00DE3075">
        <w:rPr>
          <w:rFonts w:cstheme="minorHAnsi"/>
          <w:bCs/>
        </w:rPr>
        <w:t xml:space="preserve">contain these.  GoK’s </w:t>
      </w:r>
      <w:r w:rsidR="00A46DCF">
        <w:rPr>
          <w:rFonts w:cstheme="minorHAnsi"/>
          <w:bCs/>
        </w:rPr>
        <w:t xml:space="preserve">own </w:t>
      </w:r>
      <w:r w:rsidR="00DE3075">
        <w:rPr>
          <w:rFonts w:cstheme="minorHAnsi"/>
          <w:bCs/>
        </w:rPr>
        <w:t xml:space="preserve">investment in infrastructure has markedly grown over the reporting period.  Decisions </w:t>
      </w:r>
      <w:r w:rsidR="00FE3CD9">
        <w:rPr>
          <w:rFonts w:cstheme="minorHAnsi"/>
          <w:bCs/>
        </w:rPr>
        <w:t>to increase scope on existing infrastructure projects, including strengthened coastal protection measure</w:t>
      </w:r>
      <w:r w:rsidR="0033625E">
        <w:rPr>
          <w:rFonts w:cstheme="minorHAnsi"/>
          <w:bCs/>
        </w:rPr>
        <w:t>s</w:t>
      </w:r>
      <w:r w:rsidR="00FE3CD9">
        <w:rPr>
          <w:rFonts w:cstheme="minorHAnsi"/>
          <w:bCs/>
        </w:rPr>
        <w:t xml:space="preserve"> and resurfacing of additional feeder roads, are being made at GoK Cabinet level. </w:t>
      </w:r>
      <w:r w:rsidR="0033625E">
        <w:rPr>
          <w:rFonts w:cstheme="minorHAnsi"/>
          <w:bCs/>
        </w:rPr>
        <w:t>We have seen the promise of</w:t>
      </w:r>
      <w:r w:rsidR="006C06D7" w:rsidRPr="008D5C27">
        <w:rPr>
          <w:rFonts w:cstheme="minorHAnsi"/>
          <w:bCs/>
        </w:rPr>
        <w:t xml:space="preserve"> </w:t>
      </w:r>
      <w:r w:rsidR="008D5C27">
        <w:rPr>
          <w:rFonts w:cstheme="minorHAnsi"/>
          <w:bCs/>
        </w:rPr>
        <w:t>good</w:t>
      </w:r>
      <w:r w:rsidR="008D5C27" w:rsidRPr="008D5C27">
        <w:rPr>
          <w:rFonts w:cstheme="minorHAnsi"/>
          <w:bCs/>
        </w:rPr>
        <w:t xml:space="preserve"> </w:t>
      </w:r>
      <w:r w:rsidR="006C06D7" w:rsidRPr="008D5C27">
        <w:rPr>
          <w:rFonts w:cstheme="minorHAnsi"/>
          <w:bCs/>
        </w:rPr>
        <w:t>results in th</w:t>
      </w:r>
      <w:r w:rsidR="008D5C27">
        <w:rPr>
          <w:rFonts w:cstheme="minorHAnsi"/>
          <w:bCs/>
        </w:rPr>
        <w:t>e</w:t>
      </w:r>
      <w:r w:rsidR="006C06D7" w:rsidRPr="008D5C27">
        <w:rPr>
          <w:rFonts w:cstheme="minorHAnsi"/>
          <w:bCs/>
        </w:rPr>
        <w:t xml:space="preserve"> telecommunication</w:t>
      </w:r>
      <w:r w:rsidR="008D5C27">
        <w:rPr>
          <w:rFonts w:cstheme="minorHAnsi"/>
          <w:bCs/>
        </w:rPr>
        <w:t xml:space="preserve"> reform program</w:t>
      </w:r>
      <w:r w:rsidRPr="008D5C27">
        <w:rPr>
          <w:rFonts w:cstheme="minorHAnsi"/>
          <w:bCs/>
        </w:rPr>
        <w:t>, including the approval of new a telecommunications bill in Parliament (</w:t>
      </w:r>
      <w:r w:rsidR="00330B28">
        <w:rPr>
          <w:rFonts w:cstheme="minorHAnsi"/>
          <w:bCs/>
        </w:rPr>
        <w:t>2013</w:t>
      </w:r>
      <w:r w:rsidRPr="008D5C27">
        <w:rPr>
          <w:rFonts w:cstheme="minorHAnsi"/>
          <w:bCs/>
        </w:rPr>
        <w:t>) to encourage competition</w:t>
      </w:r>
      <w:r w:rsidR="006C06D7" w:rsidRPr="008D5C27">
        <w:rPr>
          <w:rFonts w:cstheme="minorHAnsi"/>
          <w:bCs/>
        </w:rPr>
        <w:t>, and the listing</w:t>
      </w:r>
      <w:r w:rsidR="00DD2367" w:rsidRPr="008D5C27">
        <w:rPr>
          <w:rFonts w:cstheme="minorHAnsi"/>
          <w:bCs/>
        </w:rPr>
        <w:t xml:space="preserve"> of the </w:t>
      </w:r>
      <w:r w:rsidR="00DD2367" w:rsidRPr="00352F2D">
        <w:rPr>
          <w:rFonts w:cstheme="minorHAnsi"/>
          <w:bCs/>
        </w:rPr>
        <w:t>s</w:t>
      </w:r>
      <w:r w:rsidR="00DD2367" w:rsidRPr="008D5C27">
        <w:rPr>
          <w:rFonts w:cstheme="minorHAnsi"/>
          <w:bCs/>
        </w:rPr>
        <w:t>tate-</w:t>
      </w:r>
      <w:r w:rsidR="00DD2367" w:rsidRPr="00352F2D">
        <w:rPr>
          <w:rFonts w:cstheme="minorHAnsi"/>
          <w:bCs/>
        </w:rPr>
        <w:t>o</w:t>
      </w:r>
      <w:r w:rsidR="00DD2367" w:rsidRPr="008D5C27">
        <w:rPr>
          <w:rFonts w:cstheme="minorHAnsi"/>
          <w:bCs/>
        </w:rPr>
        <w:t xml:space="preserve">wned </w:t>
      </w:r>
      <w:r w:rsidR="00DD2367" w:rsidRPr="00352F2D">
        <w:rPr>
          <w:rFonts w:cstheme="minorHAnsi"/>
          <w:bCs/>
        </w:rPr>
        <w:t>telecommunic</w:t>
      </w:r>
      <w:r w:rsidR="006C06D7" w:rsidRPr="00352F2D">
        <w:rPr>
          <w:rFonts w:cstheme="minorHAnsi"/>
          <w:bCs/>
        </w:rPr>
        <w:t>ations</w:t>
      </w:r>
      <w:r w:rsidR="006C06D7" w:rsidRPr="008D5C27">
        <w:rPr>
          <w:rFonts w:cstheme="minorHAnsi"/>
          <w:bCs/>
        </w:rPr>
        <w:t xml:space="preserve"> company for sale in</w:t>
      </w:r>
      <w:r w:rsidR="008D5C27">
        <w:rPr>
          <w:rFonts w:cstheme="minorHAnsi"/>
          <w:bCs/>
        </w:rPr>
        <w:t xml:space="preserve"> June</w:t>
      </w:r>
      <w:r w:rsidR="006C06D7" w:rsidRPr="008D5C27">
        <w:rPr>
          <w:rFonts w:cstheme="minorHAnsi"/>
          <w:bCs/>
        </w:rPr>
        <w:t xml:space="preserve"> 2014</w:t>
      </w:r>
      <w:r w:rsidRPr="00E235DF">
        <w:rPr>
          <w:rFonts w:cstheme="minorHAnsi"/>
          <w:bCs/>
        </w:rPr>
        <w:t>.</w:t>
      </w:r>
      <w:r w:rsidR="00022E8F" w:rsidRPr="003845F0">
        <w:rPr>
          <w:rFonts w:cstheme="minorHAnsi"/>
          <w:bCs/>
        </w:rPr>
        <w:t xml:space="preserve"> </w:t>
      </w:r>
      <w:r w:rsidR="006C06D7" w:rsidRPr="003845F0">
        <w:rPr>
          <w:rFonts w:cstheme="minorHAnsi"/>
          <w:bCs/>
        </w:rPr>
        <w:t xml:space="preserve"> In terms of increase</w:t>
      </w:r>
      <w:r w:rsidR="008D5C27" w:rsidRPr="003845F0">
        <w:rPr>
          <w:rFonts w:cstheme="minorHAnsi"/>
          <w:bCs/>
        </w:rPr>
        <w:t>d</w:t>
      </w:r>
      <w:r w:rsidR="006C06D7" w:rsidRPr="003845F0">
        <w:rPr>
          <w:rFonts w:cstheme="minorHAnsi"/>
          <w:bCs/>
        </w:rPr>
        <w:t xml:space="preserve"> access to telecommunications, it is too early to see results as the regulatory and policy frameworks </w:t>
      </w:r>
      <w:r w:rsidR="00F52893" w:rsidRPr="003845F0">
        <w:rPr>
          <w:rFonts w:cstheme="minorHAnsi"/>
          <w:bCs/>
        </w:rPr>
        <w:t>remain in the development phase</w:t>
      </w:r>
      <w:r w:rsidR="006C06D7" w:rsidRPr="003845F0">
        <w:rPr>
          <w:rFonts w:cstheme="minorHAnsi"/>
          <w:bCs/>
        </w:rPr>
        <w:t>.</w:t>
      </w:r>
      <w:r w:rsidR="006C06D7" w:rsidRPr="006C06D7">
        <w:rPr>
          <w:rFonts w:cstheme="minorHAnsi"/>
          <w:bCs/>
        </w:rPr>
        <w:t xml:space="preserve">  </w:t>
      </w:r>
    </w:p>
    <w:p w:rsidR="006131D6" w:rsidRDefault="00990745" w:rsidP="00EF7671">
      <w:pPr>
        <w:pStyle w:val="BodyText"/>
        <w:rPr>
          <w:rFonts w:cstheme="minorHAnsi"/>
          <w:bCs/>
        </w:rPr>
      </w:pPr>
      <w:r>
        <w:rPr>
          <w:rFonts w:cstheme="minorHAnsi"/>
          <w:bCs/>
        </w:rPr>
        <w:t xml:space="preserve">Despite </w:t>
      </w:r>
      <w:r w:rsidR="008D5C27">
        <w:rPr>
          <w:rFonts w:cstheme="minorHAnsi"/>
          <w:bCs/>
        </w:rPr>
        <w:t>p</w:t>
      </w:r>
      <w:r w:rsidR="006C06D7">
        <w:rPr>
          <w:rFonts w:cstheme="minorHAnsi"/>
          <w:bCs/>
        </w:rPr>
        <w:t xml:space="preserve">hysical works on the </w:t>
      </w:r>
      <w:r w:rsidR="008D5C27">
        <w:rPr>
          <w:rFonts w:cstheme="minorHAnsi"/>
          <w:bCs/>
        </w:rPr>
        <w:t>s</w:t>
      </w:r>
      <w:r w:rsidR="006C06D7">
        <w:rPr>
          <w:rFonts w:cstheme="minorHAnsi"/>
          <w:bCs/>
        </w:rPr>
        <w:t xml:space="preserve">anitation </w:t>
      </w:r>
      <w:r w:rsidR="008D5C27">
        <w:rPr>
          <w:rFonts w:cstheme="minorHAnsi"/>
          <w:bCs/>
        </w:rPr>
        <w:t xml:space="preserve">project </w:t>
      </w:r>
      <w:r>
        <w:rPr>
          <w:rFonts w:cstheme="minorHAnsi"/>
          <w:bCs/>
        </w:rPr>
        <w:t xml:space="preserve">being </w:t>
      </w:r>
      <w:r w:rsidR="006C06D7">
        <w:rPr>
          <w:rFonts w:cstheme="minorHAnsi"/>
          <w:bCs/>
        </w:rPr>
        <w:t>delayed</w:t>
      </w:r>
      <w:r w:rsidR="008D5C27">
        <w:rPr>
          <w:rFonts w:cstheme="minorHAnsi"/>
          <w:bCs/>
        </w:rPr>
        <w:t>,</w:t>
      </w:r>
      <w:r w:rsidR="006C06D7">
        <w:rPr>
          <w:rFonts w:cstheme="minorHAnsi"/>
          <w:bCs/>
        </w:rPr>
        <w:t xml:space="preserve"> t</w:t>
      </w:r>
      <w:r w:rsidR="006C06D7" w:rsidRPr="006C06D7">
        <w:rPr>
          <w:rFonts w:cstheme="minorHAnsi"/>
          <w:bCs/>
        </w:rPr>
        <w:t xml:space="preserve">he project </w:t>
      </w:r>
      <w:r w:rsidR="008D5C27">
        <w:rPr>
          <w:rFonts w:cstheme="minorHAnsi"/>
          <w:bCs/>
        </w:rPr>
        <w:t>has seen real success</w:t>
      </w:r>
      <w:r w:rsidR="006C06D7" w:rsidRPr="006C06D7">
        <w:rPr>
          <w:rFonts w:cstheme="minorHAnsi"/>
          <w:bCs/>
        </w:rPr>
        <w:t xml:space="preserve"> in community engagement</w:t>
      </w:r>
      <w:r w:rsidR="00AF6212">
        <w:rPr>
          <w:rFonts w:cstheme="minorHAnsi"/>
          <w:bCs/>
        </w:rPr>
        <w:t xml:space="preserve"> and</w:t>
      </w:r>
      <w:r w:rsidR="006C06D7" w:rsidRPr="006C06D7">
        <w:rPr>
          <w:rFonts w:cstheme="minorHAnsi"/>
          <w:bCs/>
        </w:rPr>
        <w:t xml:space="preserve"> enhancing public awareness of</w:t>
      </w:r>
      <w:r w:rsidR="008D5C27">
        <w:rPr>
          <w:rFonts w:cstheme="minorHAnsi"/>
          <w:bCs/>
        </w:rPr>
        <w:t xml:space="preserve"> safe</w:t>
      </w:r>
      <w:r w:rsidR="006C06D7" w:rsidRPr="006C06D7">
        <w:rPr>
          <w:rFonts w:cstheme="minorHAnsi"/>
          <w:bCs/>
        </w:rPr>
        <w:t xml:space="preserve"> </w:t>
      </w:r>
      <w:r w:rsidR="008D5C27" w:rsidRPr="006C06D7">
        <w:rPr>
          <w:rFonts w:cstheme="minorHAnsi"/>
          <w:bCs/>
        </w:rPr>
        <w:t>hygiene</w:t>
      </w:r>
      <w:r w:rsidR="006C06D7" w:rsidRPr="006C06D7">
        <w:rPr>
          <w:rFonts w:cstheme="minorHAnsi"/>
          <w:bCs/>
        </w:rPr>
        <w:t xml:space="preserve"> and sanitation </w:t>
      </w:r>
      <w:r w:rsidR="00B91E13" w:rsidRPr="006C06D7">
        <w:rPr>
          <w:rFonts w:cstheme="minorHAnsi"/>
          <w:bCs/>
        </w:rPr>
        <w:t>practices</w:t>
      </w:r>
      <w:r w:rsidR="006C06D7" w:rsidRPr="006C06D7">
        <w:rPr>
          <w:rFonts w:cstheme="minorHAnsi"/>
          <w:bCs/>
        </w:rPr>
        <w:t>.</w:t>
      </w:r>
      <w:r w:rsidR="009E389A">
        <w:rPr>
          <w:rFonts w:cstheme="minorHAnsi"/>
          <w:bCs/>
        </w:rPr>
        <w:t xml:space="preserve">  This project will continue to be a key resilience building activity.  </w:t>
      </w:r>
      <w:r w:rsidR="006C06D7" w:rsidRPr="006C06D7">
        <w:rPr>
          <w:rFonts w:cstheme="minorHAnsi"/>
          <w:bCs/>
        </w:rPr>
        <w:t xml:space="preserve">  </w:t>
      </w:r>
    </w:p>
    <w:p w:rsidR="009E389A" w:rsidRDefault="0033625E" w:rsidP="009E389A">
      <w:pPr>
        <w:pStyle w:val="BodyText"/>
      </w:pPr>
      <w:r>
        <w:rPr>
          <w:rFonts w:cstheme="minorHAnsi"/>
          <w:bCs/>
        </w:rPr>
        <w:t xml:space="preserve">During 2013/14 Australia continued its financial support for the </w:t>
      </w:r>
      <w:r w:rsidR="00FC39C3">
        <w:rPr>
          <w:rFonts w:cstheme="minorHAnsi"/>
          <w:bCs/>
        </w:rPr>
        <w:t>World Bank lead Kiribati Road Rehabilitation Project (KRRP).  Development goals for the KRRP are shared with the WB, ADB and GoK. T</w:t>
      </w:r>
      <w:r w:rsidR="00B91E13">
        <w:rPr>
          <w:rFonts w:cstheme="minorHAnsi"/>
          <w:bCs/>
        </w:rPr>
        <w:t>he road contractor</w:t>
      </w:r>
      <w:r w:rsidR="00990745">
        <w:rPr>
          <w:rFonts w:cstheme="minorHAnsi"/>
          <w:bCs/>
        </w:rPr>
        <w:t xml:space="preserve"> </w:t>
      </w:r>
      <w:r w:rsidR="00B91E13">
        <w:rPr>
          <w:rFonts w:cstheme="minorHAnsi"/>
          <w:bCs/>
        </w:rPr>
        <w:t xml:space="preserve">mobilised </w:t>
      </w:r>
      <w:r w:rsidR="00AF6212">
        <w:rPr>
          <w:rFonts w:cstheme="minorHAnsi"/>
          <w:bCs/>
        </w:rPr>
        <w:t>in</w:t>
      </w:r>
      <w:r w:rsidR="00B91E13">
        <w:rPr>
          <w:rFonts w:cstheme="minorHAnsi"/>
          <w:bCs/>
        </w:rPr>
        <w:t xml:space="preserve"> July 2013 and </w:t>
      </w:r>
      <w:r w:rsidR="009C2360">
        <w:rPr>
          <w:rFonts w:cstheme="minorHAnsi"/>
          <w:bCs/>
        </w:rPr>
        <w:t>has projected an actual completion date of p</w:t>
      </w:r>
      <w:r w:rsidR="00AF6212">
        <w:rPr>
          <w:rFonts w:cstheme="minorHAnsi"/>
          <w:bCs/>
        </w:rPr>
        <w:t>hysical works for mid-July 2015</w:t>
      </w:r>
      <w:r w:rsidR="009C2360">
        <w:rPr>
          <w:rFonts w:cstheme="minorHAnsi"/>
          <w:bCs/>
        </w:rPr>
        <w:t>.</w:t>
      </w:r>
      <w:r w:rsidR="00330B28">
        <w:rPr>
          <w:rFonts w:cstheme="minorHAnsi"/>
          <w:bCs/>
        </w:rPr>
        <w:t xml:space="preserve">  DFAT remains actively engaged in supervision missions</w:t>
      </w:r>
      <w:r w:rsidR="006131D6">
        <w:rPr>
          <w:rFonts w:cstheme="minorHAnsi"/>
          <w:bCs/>
        </w:rPr>
        <w:t xml:space="preserve"> by supporting </w:t>
      </w:r>
      <w:r w:rsidR="00330B28">
        <w:rPr>
          <w:rFonts w:cstheme="minorHAnsi"/>
          <w:bCs/>
        </w:rPr>
        <w:t xml:space="preserve">GoK to promote donor coordination through the </w:t>
      </w:r>
      <w:r w:rsidR="00C963F4" w:rsidRPr="002A4292">
        <w:t>Kiribati Fiduciary Services Unit</w:t>
      </w:r>
      <w:r w:rsidR="00C963F4">
        <w:rPr>
          <w:rFonts w:cstheme="minorHAnsi"/>
          <w:bCs/>
        </w:rPr>
        <w:t xml:space="preserve"> (</w:t>
      </w:r>
      <w:r w:rsidR="00330B28">
        <w:rPr>
          <w:rFonts w:cstheme="minorHAnsi"/>
          <w:bCs/>
        </w:rPr>
        <w:t>K</w:t>
      </w:r>
      <w:r w:rsidR="00AF6212">
        <w:rPr>
          <w:rFonts w:cstheme="minorHAnsi"/>
          <w:bCs/>
        </w:rPr>
        <w:t>FSU</w:t>
      </w:r>
      <w:r w:rsidR="00C963F4">
        <w:rPr>
          <w:rFonts w:cstheme="minorHAnsi"/>
          <w:bCs/>
        </w:rPr>
        <w:t>)</w:t>
      </w:r>
      <w:r w:rsidR="00AF6212">
        <w:rPr>
          <w:rFonts w:cstheme="minorHAnsi"/>
          <w:bCs/>
        </w:rPr>
        <w:t xml:space="preserve"> </w:t>
      </w:r>
      <w:r w:rsidR="00330B28">
        <w:rPr>
          <w:rFonts w:cstheme="minorHAnsi"/>
          <w:bCs/>
        </w:rPr>
        <w:t>and the National Infrastructure Development Steering Committee</w:t>
      </w:r>
      <w:r w:rsidR="00AF6212">
        <w:rPr>
          <w:rFonts w:cstheme="minorHAnsi"/>
          <w:bCs/>
        </w:rPr>
        <w:t xml:space="preserve"> (NIDSC)</w:t>
      </w:r>
      <w:r w:rsidR="00330B28">
        <w:rPr>
          <w:rFonts w:cstheme="minorHAnsi"/>
          <w:bCs/>
        </w:rPr>
        <w:t xml:space="preserve">.   </w:t>
      </w:r>
      <w:r w:rsidR="009E389A">
        <w:t>The KRRP includes provisions for a strengthened finish to the road surface to protect it against damage from ocean overtopping.  The project further includes the construction of coastal protection measures in vulnerable locations as a safeguard for the new road.</w:t>
      </w:r>
    </w:p>
    <w:p w:rsidR="00E539A4" w:rsidRDefault="009C2360" w:rsidP="00EF7671">
      <w:pPr>
        <w:pStyle w:val="BodyText"/>
        <w:rPr>
          <w:rFonts w:cstheme="minorHAnsi"/>
          <w:bCs/>
        </w:rPr>
      </w:pPr>
      <w:r>
        <w:rPr>
          <w:rFonts w:cstheme="minorHAnsi"/>
          <w:bCs/>
        </w:rPr>
        <w:t xml:space="preserve">The approval of the four sites for installation of solar panels under the </w:t>
      </w:r>
      <w:r w:rsidR="006C06D7">
        <w:rPr>
          <w:rFonts w:cstheme="minorHAnsi"/>
          <w:bCs/>
        </w:rPr>
        <w:t>Solar Energy Project</w:t>
      </w:r>
      <w:r>
        <w:rPr>
          <w:rFonts w:cstheme="minorHAnsi"/>
          <w:bCs/>
        </w:rPr>
        <w:t xml:space="preserve"> </w:t>
      </w:r>
      <w:r w:rsidR="006C06D7" w:rsidRPr="006C06D7">
        <w:rPr>
          <w:rFonts w:cstheme="minorHAnsi"/>
          <w:bCs/>
        </w:rPr>
        <w:t xml:space="preserve">was granted in mid-2013. </w:t>
      </w:r>
      <w:r w:rsidR="006131D6">
        <w:rPr>
          <w:rFonts w:cstheme="minorHAnsi"/>
          <w:bCs/>
        </w:rPr>
        <w:t>With other donors active in this sector,</w:t>
      </w:r>
      <w:r w:rsidR="00775630">
        <w:rPr>
          <w:rFonts w:cstheme="minorHAnsi"/>
          <w:bCs/>
        </w:rPr>
        <w:t xml:space="preserve"> </w:t>
      </w:r>
      <w:r w:rsidR="006131D6">
        <w:rPr>
          <w:rFonts w:cstheme="minorHAnsi"/>
          <w:bCs/>
        </w:rPr>
        <w:t>t</w:t>
      </w:r>
      <w:r w:rsidR="001D16B0">
        <w:rPr>
          <w:rFonts w:cstheme="minorHAnsi"/>
          <w:bCs/>
        </w:rPr>
        <w:t xml:space="preserve">he World Bank has been proactive in </w:t>
      </w:r>
      <w:r w:rsidR="006131D6">
        <w:rPr>
          <w:rFonts w:cstheme="minorHAnsi"/>
          <w:bCs/>
        </w:rPr>
        <w:t>looking for</w:t>
      </w:r>
      <w:r w:rsidR="001D16B0">
        <w:rPr>
          <w:rFonts w:cstheme="minorHAnsi"/>
          <w:bCs/>
        </w:rPr>
        <w:t xml:space="preserve"> complementary activities that support </w:t>
      </w:r>
      <w:r w:rsidR="005C3826">
        <w:rPr>
          <w:rFonts w:cstheme="minorHAnsi"/>
          <w:bCs/>
        </w:rPr>
        <w:t>installation</w:t>
      </w:r>
      <w:r w:rsidR="00E539A4">
        <w:rPr>
          <w:rFonts w:cstheme="minorHAnsi"/>
          <w:bCs/>
        </w:rPr>
        <w:t xml:space="preserve"> of common equipment.</w:t>
      </w:r>
    </w:p>
    <w:p w:rsidR="001F17ED" w:rsidRPr="005F14B7" w:rsidRDefault="001F17ED" w:rsidP="00E62ABA">
      <w:pPr>
        <w:pStyle w:val="Heading3"/>
      </w:pPr>
      <w:r>
        <w:t>Steps to improve management, accountability and effectiveness</w:t>
      </w:r>
    </w:p>
    <w:p w:rsidR="001F17ED" w:rsidRDefault="00E62ABA" w:rsidP="00E62ABA">
      <w:pPr>
        <w:pStyle w:val="BodyText"/>
        <w:rPr>
          <w:rFonts w:cstheme="minorHAnsi"/>
          <w:bCs/>
        </w:rPr>
      </w:pPr>
      <w:r w:rsidRPr="00E62ABA">
        <w:rPr>
          <w:rFonts w:cstheme="minorHAnsi"/>
          <w:bCs/>
        </w:rPr>
        <w:t xml:space="preserve">In recognition of the importance of improved management, accountability and effectiveness in the infrastructure portfolio, DFAT will continue the engagement of specialist technical representation on all supervision missions.  This </w:t>
      </w:r>
      <w:r w:rsidR="00844811">
        <w:rPr>
          <w:rFonts w:cstheme="minorHAnsi"/>
          <w:bCs/>
        </w:rPr>
        <w:t xml:space="preserve">provides an added layer of quality assurance, as well as supporting GoK with high quality advice.  </w:t>
      </w:r>
    </w:p>
    <w:p w:rsidR="00844811" w:rsidRDefault="00844811" w:rsidP="00E62ABA">
      <w:pPr>
        <w:pStyle w:val="BodyText"/>
        <w:rPr>
          <w:rFonts w:cstheme="minorHAnsi"/>
          <w:bCs/>
        </w:rPr>
      </w:pPr>
      <w:r>
        <w:rPr>
          <w:rFonts w:cstheme="minorHAnsi"/>
          <w:bCs/>
        </w:rPr>
        <w:t xml:space="preserve">Engagement with the NIDSC will be prioritised in 2014-15 in recognition of the strategic oversight that this forum is providing to all donor-funded infrastructure projects.  </w:t>
      </w:r>
    </w:p>
    <w:p w:rsidR="00D83AE8" w:rsidRDefault="00D83AE8">
      <w:pPr>
        <w:rPr>
          <w:rFonts w:ascii="Helvetica" w:eastAsia="Times New Roman" w:hAnsi="Helvetica" w:cs="Arial"/>
          <w:color w:val="007FAD"/>
          <w:kern w:val="28"/>
          <w:sz w:val="24"/>
        </w:rPr>
      </w:pPr>
    </w:p>
    <w:p w:rsidR="00A1299C" w:rsidRPr="00E539A4" w:rsidRDefault="006C06D7" w:rsidP="00E539A4">
      <w:pPr>
        <w:rPr>
          <w:rFonts w:ascii="Helvetica" w:eastAsia="Times New Roman" w:hAnsi="Helvetica" w:cs="Arial"/>
          <w:color w:val="007FAD"/>
          <w:kern w:val="28"/>
          <w:sz w:val="24"/>
        </w:rPr>
      </w:pPr>
      <w:r w:rsidRPr="00E539A4">
        <w:rPr>
          <w:rFonts w:ascii="Helvetica" w:eastAsia="Times New Roman" w:hAnsi="Helvetica" w:cs="Arial"/>
          <w:color w:val="007FAD"/>
          <w:kern w:val="28"/>
          <w:sz w:val="24"/>
        </w:rPr>
        <w:t>Other</w:t>
      </w:r>
      <w:r w:rsidR="006131D6">
        <w:rPr>
          <w:rFonts w:ascii="Helvetica" w:eastAsia="Times New Roman" w:hAnsi="Helvetica" w:cs="Arial"/>
          <w:color w:val="007FAD"/>
          <w:kern w:val="28"/>
          <w:sz w:val="24"/>
        </w:rPr>
        <w:t xml:space="preserve"> Sectors</w:t>
      </w:r>
    </w:p>
    <w:p w:rsidR="00A1299C" w:rsidRDefault="002963AA" w:rsidP="000B5082">
      <w:pPr>
        <w:pStyle w:val="BodyText"/>
        <w:rPr>
          <w:rFonts w:cstheme="minorHAnsi"/>
          <w:bCs/>
          <w:u w:val="single"/>
        </w:rPr>
      </w:pPr>
      <w:r>
        <w:rPr>
          <w:rFonts w:cstheme="minorHAnsi"/>
          <w:bCs/>
          <w:u w:val="single"/>
        </w:rPr>
        <w:t>Resilience building and climate adaptation</w:t>
      </w:r>
    </w:p>
    <w:p w:rsidR="00895820" w:rsidRDefault="000924A3" w:rsidP="000B5082">
      <w:pPr>
        <w:pStyle w:val="BodyText"/>
      </w:pPr>
      <w:r>
        <w:t xml:space="preserve">In </w:t>
      </w:r>
      <w:r w:rsidR="00895820">
        <w:t>acknowledge</w:t>
      </w:r>
      <w:r>
        <w:t>ment of Kiribati’s vulnerability to the impacts o</w:t>
      </w:r>
      <w:r w:rsidR="00895820">
        <w:t>f climate change</w:t>
      </w:r>
      <w:r>
        <w:t>, Australia provides</w:t>
      </w:r>
      <w:r w:rsidR="00895820">
        <w:t xml:space="preserve"> </w:t>
      </w:r>
      <w:r w:rsidR="002C44F1">
        <w:t xml:space="preserve">adaptation </w:t>
      </w:r>
      <w:r w:rsidR="00895820">
        <w:t xml:space="preserve">support through </w:t>
      </w:r>
      <w:r>
        <w:t xml:space="preserve">both </w:t>
      </w:r>
      <w:r w:rsidR="00895820">
        <w:t xml:space="preserve">bilateral and regional initiatives. </w:t>
      </w:r>
      <w:r w:rsidR="009733F3">
        <w:t>With a renewed focus on mainstreaming our support to climate change, an i</w:t>
      </w:r>
      <w:r w:rsidR="00895820">
        <w:t xml:space="preserve">ncreased investment is being made to manage potential future climate change impacts by safeguarding infrastructure investments.  </w:t>
      </w:r>
    </w:p>
    <w:p w:rsidR="00A1299C" w:rsidRDefault="00775630" w:rsidP="00702D28">
      <w:pPr>
        <w:pStyle w:val="BodyText"/>
        <w:rPr>
          <w:rFonts w:cstheme="minorHAnsi"/>
          <w:bCs/>
        </w:rPr>
      </w:pPr>
      <w:r>
        <w:rPr>
          <w:rFonts w:cstheme="minorHAnsi"/>
          <w:bCs/>
        </w:rPr>
        <w:t>Australia’s regional climate change support is valued in Kiribati.  It</w:t>
      </w:r>
      <w:r w:rsidR="00895820" w:rsidRPr="007D7DFB">
        <w:t xml:space="preserve"> has</w:t>
      </w:r>
      <w:r w:rsidR="00895820">
        <w:t xml:space="preserve"> also</w:t>
      </w:r>
      <w:r w:rsidR="00895820" w:rsidRPr="007D7DFB">
        <w:t xml:space="preserve"> been a major partner and contributor to the WB-led Kiribati Adaptation Program (KAP)</w:t>
      </w:r>
      <w:r w:rsidR="00895820">
        <w:t>.  The third phase of this pro</w:t>
      </w:r>
      <w:r w:rsidR="002C44F1">
        <w:t>gram</w:t>
      </w:r>
      <w:r w:rsidR="00895820">
        <w:t xml:space="preserve">, </w:t>
      </w:r>
      <w:r w:rsidR="00A1299C" w:rsidRPr="00A1299C">
        <w:rPr>
          <w:rFonts w:cstheme="minorHAnsi"/>
          <w:bCs/>
        </w:rPr>
        <w:t>KAP</w:t>
      </w:r>
      <w:r w:rsidR="00895820">
        <w:rPr>
          <w:rFonts w:cstheme="minorHAnsi"/>
          <w:bCs/>
        </w:rPr>
        <w:t xml:space="preserve"> </w:t>
      </w:r>
      <w:r w:rsidR="00A1299C" w:rsidRPr="00A1299C">
        <w:rPr>
          <w:rFonts w:cstheme="minorHAnsi"/>
          <w:bCs/>
        </w:rPr>
        <w:t>III</w:t>
      </w:r>
      <w:r w:rsidR="00895820">
        <w:rPr>
          <w:rFonts w:cstheme="minorHAnsi"/>
          <w:bCs/>
        </w:rPr>
        <w:t xml:space="preserve">, </w:t>
      </w:r>
      <w:r w:rsidR="00895820" w:rsidRPr="005D1AB0">
        <w:rPr>
          <w:szCs w:val="20"/>
        </w:rPr>
        <w:t>target</w:t>
      </w:r>
      <w:r w:rsidR="00895820">
        <w:rPr>
          <w:szCs w:val="20"/>
        </w:rPr>
        <w:t>s</w:t>
      </w:r>
      <w:r w:rsidR="00895820" w:rsidRPr="005D1AB0">
        <w:rPr>
          <w:szCs w:val="20"/>
        </w:rPr>
        <w:t xml:space="preserve"> two key climate-related risks facing Kiribati </w:t>
      </w:r>
      <w:r>
        <w:rPr>
          <w:szCs w:val="20"/>
        </w:rPr>
        <w:t xml:space="preserve">through </w:t>
      </w:r>
      <w:r w:rsidR="002C44F1">
        <w:rPr>
          <w:szCs w:val="20"/>
        </w:rPr>
        <w:t xml:space="preserve">better </w:t>
      </w:r>
      <w:r w:rsidR="00895820" w:rsidRPr="005D1AB0">
        <w:rPr>
          <w:szCs w:val="20"/>
        </w:rPr>
        <w:t xml:space="preserve">coastal </w:t>
      </w:r>
      <w:r w:rsidR="002C44F1">
        <w:rPr>
          <w:szCs w:val="20"/>
        </w:rPr>
        <w:t>protection</w:t>
      </w:r>
      <w:r w:rsidR="00895820" w:rsidRPr="005D1AB0">
        <w:rPr>
          <w:szCs w:val="20"/>
        </w:rPr>
        <w:t xml:space="preserve"> and </w:t>
      </w:r>
      <w:r w:rsidR="002C44F1">
        <w:rPr>
          <w:szCs w:val="20"/>
        </w:rPr>
        <w:t xml:space="preserve">better management of </w:t>
      </w:r>
      <w:r w:rsidR="00895820" w:rsidRPr="005D1AB0">
        <w:rPr>
          <w:szCs w:val="20"/>
        </w:rPr>
        <w:t xml:space="preserve">freshwater supplies. </w:t>
      </w:r>
      <w:r w:rsidR="00895820">
        <w:rPr>
          <w:szCs w:val="20"/>
        </w:rPr>
        <w:t xml:space="preserve">Activities </w:t>
      </w:r>
      <w:r w:rsidR="00895820">
        <w:t>focus on: i</w:t>
      </w:r>
      <w:r w:rsidR="002C44F1">
        <w:t xml:space="preserve">mproving water use </w:t>
      </w:r>
      <w:r w:rsidR="00895820">
        <w:t>through reducing leakage in the existing systems; improving management and planning in water and coastal engineering; increasing yield in rainwater harvesting systems; and strengthening coastal resilience through building seawalls</w:t>
      </w:r>
      <w:r w:rsidR="00D42EC7">
        <w:t xml:space="preserve"> and</w:t>
      </w:r>
      <w:r w:rsidR="00895820">
        <w:t xml:space="preserve"> mangrove planting</w:t>
      </w:r>
      <w:r w:rsidR="00D42EC7">
        <w:t xml:space="preserve">.  </w:t>
      </w:r>
      <w:r w:rsidR="00895820">
        <w:t xml:space="preserve"> </w:t>
      </w:r>
      <w:r w:rsidR="00895820">
        <w:rPr>
          <w:rFonts w:cstheme="minorHAnsi"/>
          <w:bCs/>
        </w:rPr>
        <w:t>While some of the l</w:t>
      </w:r>
      <w:r w:rsidR="00A1299C" w:rsidRPr="00A1299C">
        <w:rPr>
          <w:rFonts w:cstheme="minorHAnsi"/>
          <w:bCs/>
        </w:rPr>
        <w:t>essons learnt</w:t>
      </w:r>
      <w:r w:rsidR="00895820">
        <w:rPr>
          <w:rFonts w:cstheme="minorHAnsi"/>
          <w:bCs/>
        </w:rPr>
        <w:t xml:space="preserve"> from previous phases of KAP </w:t>
      </w:r>
      <w:r w:rsidR="00A1299C" w:rsidRPr="00A1299C">
        <w:rPr>
          <w:rFonts w:cstheme="minorHAnsi"/>
          <w:bCs/>
        </w:rPr>
        <w:t xml:space="preserve">have been taken on board to </w:t>
      </w:r>
      <w:r w:rsidR="002C44F1">
        <w:rPr>
          <w:rFonts w:cstheme="minorHAnsi"/>
          <w:bCs/>
        </w:rPr>
        <w:t>garner</w:t>
      </w:r>
      <w:r w:rsidR="00A1299C" w:rsidRPr="00A1299C">
        <w:rPr>
          <w:rFonts w:cstheme="minorHAnsi"/>
          <w:bCs/>
        </w:rPr>
        <w:t xml:space="preserve"> community support</w:t>
      </w:r>
      <w:r w:rsidR="002C44F1">
        <w:rPr>
          <w:rFonts w:cstheme="minorHAnsi"/>
          <w:bCs/>
        </w:rPr>
        <w:t>,</w:t>
      </w:r>
      <w:r w:rsidR="00895820">
        <w:rPr>
          <w:rFonts w:cstheme="minorHAnsi"/>
          <w:bCs/>
        </w:rPr>
        <w:t xml:space="preserve"> concerns around slow implementation and low budget disbursement have raised </w:t>
      </w:r>
      <w:r w:rsidR="002C44F1">
        <w:rPr>
          <w:rFonts w:cstheme="minorHAnsi"/>
          <w:bCs/>
        </w:rPr>
        <w:t>questions</w:t>
      </w:r>
      <w:r w:rsidR="00895820">
        <w:rPr>
          <w:rFonts w:cstheme="minorHAnsi"/>
          <w:bCs/>
        </w:rPr>
        <w:t xml:space="preserve"> about the effectiveness of KAP management.  The mid-term review of KAP III, occurring in September 2014, will provide Australia with a credible assessment of performance and </w:t>
      </w:r>
      <w:r w:rsidR="002C44F1">
        <w:rPr>
          <w:rFonts w:cstheme="minorHAnsi"/>
          <w:bCs/>
        </w:rPr>
        <w:t xml:space="preserve">recommend adjustment if required. </w:t>
      </w:r>
    </w:p>
    <w:p w:rsidR="00702D28" w:rsidRDefault="00702D28" w:rsidP="00C91291">
      <w:pPr>
        <w:pStyle w:val="BodyText"/>
        <w:rPr>
          <w:rFonts w:cstheme="minorHAnsi"/>
          <w:bCs/>
        </w:rPr>
      </w:pPr>
      <w:r w:rsidRPr="00702D28">
        <w:rPr>
          <w:rFonts w:cstheme="minorHAnsi"/>
          <w:bCs/>
        </w:rPr>
        <w:t xml:space="preserve">Australia </w:t>
      </w:r>
      <w:r w:rsidR="00ED1F73">
        <w:rPr>
          <w:rFonts w:cstheme="minorHAnsi"/>
          <w:bCs/>
        </w:rPr>
        <w:t xml:space="preserve">also </w:t>
      </w:r>
      <w:r w:rsidRPr="00702D28">
        <w:rPr>
          <w:rFonts w:cstheme="minorHAnsi"/>
          <w:bCs/>
        </w:rPr>
        <w:t xml:space="preserve">supports the Climate and </w:t>
      </w:r>
      <w:r w:rsidR="00FB1EAE">
        <w:rPr>
          <w:rFonts w:cstheme="minorHAnsi"/>
          <w:bCs/>
        </w:rPr>
        <w:t>Oceans Support Program</w:t>
      </w:r>
      <w:r w:rsidRPr="00702D28">
        <w:rPr>
          <w:rFonts w:cstheme="minorHAnsi"/>
          <w:bCs/>
        </w:rPr>
        <w:t xml:space="preserve">, which is a capacity development program </w:t>
      </w:r>
      <w:r w:rsidR="00614803">
        <w:rPr>
          <w:rFonts w:cstheme="minorHAnsi"/>
          <w:bCs/>
        </w:rPr>
        <w:t xml:space="preserve">to </w:t>
      </w:r>
      <w:r w:rsidRPr="00702D28">
        <w:rPr>
          <w:rFonts w:cstheme="minorHAnsi"/>
          <w:bCs/>
        </w:rPr>
        <w:t xml:space="preserve">the Kiribati Meteorology Service.  </w:t>
      </w:r>
      <w:r w:rsidR="000924A3">
        <w:rPr>
          <w:rFonts w:cstheme="minorHAnsi"/>
          <w:bCs/>
        </w:rPr>
        <w:t>Under the project</w:t>
      </w:r>
      <w:r w:rsidRPr="00702D28">
        <w:rPr>
          <w:rFonts w:cstheme="minorHAnsi"/>
          <w:bCs/>
        </w:rPr>
        <w:t xml:space="preserve"> new software tools </w:t>
      </w:r>
      <w:r w:rsidR="000924A3">
        <w:rPr>
          <w:rFonts w:cstheme="minorHAnsi"/>
          <w:bCs/>
        </w:rPr>
        <w:t xml:space="preserve">are to be developed </w:t>
      </w:r>
      <w:r w:rsidRPr="00702D28">
        <w:rPr>
          <w:rFonts w:cstheme="minorHAnsi"/>
          <w:bCs/>
        </w:rPr>
        <w:t xml:space="preserve">to help predict fish migration patterns and improved weather forecast predictions in Kiribati. </w:t>
      </w:r>
    </w:p>
    <w:p w:rsidR="00FE63BB" w:rsidRDefault="009733F3" w:rsidP="00956C59">
      <w:pPr>
        <w:pStyle w:val="BodyText"/>
        <w:rPr>
          <w:rFonts w:ascii="Franklin Gothic Medium" w:hAnsi="Franklin Gothic Medium"/>
          <w:u w:val="single"/>
        </w:rPr>
      </w:pPr>
      <w:r w:rsidRPr="00D41EC2">
        <w:rPr>
          <w:rFonts w:cstheme="minorHAnsi"/>
          <w:bCs/>
        </w:rPr>
        <w:t xml:space="preserve">The Australian-funded Bonriki Inundation Vulnerability Assessment </w:t>
      </w:r>
      <w:r w:rsidR="00CA7616">
        <w:rPr>
          <w:rFonts w:cstheme="minorHAnsi"/>
          <w:bCs/>
        </w:rPr>
        <w:t xml:space="preserve">has completed its </w:t>
      </w:r>
      <w:r w:rsidR="00ED1F73">
        <w:rPr>
          <w:rFonts w:cstheme="minorHAnsi"/>
          <w:bCs/>
        </w:rPr>
        <w:t xml:space="preserve">3-D </w:t>
      </w:r>
      <w:r w:rsidR="00CA7616">
        <w:rPr>
          <w:rFonts w:cstheme="minorHAnsi"/>
          <w:bCs/>
        </w:rPr>
        <w:t xml:space="preserve">mapping of the fragile water lens.  The </w:t>
      </w:r>
      <w:r w:rsidR="00614803">
        <w:rPr>
          <w:rFonts w:cstheme="minorHAnsi"/>
          <w:bCs/>
        </w:rPr>
        <w:t>data</w:t>
      </w:r>
      <w:r w:rsidR="00CA7616">
        <w:rPr>
          <w:rFonts w:cstheme="minorHAnsi"/>
          <w:bCs/>
        </w:rPr>
        <w:t xml:space="preserve"> will be used for </w:t>
      </w:r>
      <w:r w:rsidRPr="00D41EC2">
        <w:rPr>
          <w:rFonts w:cstheme="minorHAnsi"/>
          <w:bCs/>
        </w:rPr>
        <w:t>scenario planning</w:t>
      </w:r>
      <w:r w:rsidR="00CA7616">
        <w:rPr>
          <w:rFonts w:cstheme="minorHAnsi"/>
          <w:bCs/>
        </w:rPr>
        <w:t xml:space="preserve"> and to build resilience and </w:t>
      </w:r>
      <w:r w:rsidRPr="00D41EC2">
        <w:rPr>
          <w:rFonts w:cstheme="minorHAnsi"/>
          <w:bCs/>
        </w:rPr>
        <w:t>disaster preparedness to protect this vital asset</w:t>
      </w:r>
      <w:r w:rsidR="00CA7616">
        <w:rPr>
          <w:rFonts w:cstheme="minorHAnsi"/>
          <w:bCs/>
        </w:rPr>
        <w:t xml:space="preserve"> against weather-related shocks and changing climate patterns.  </w:t>
      </w:r>
      <w:r w:rsidRPr="00D41EC2">
        <w:rPr>
          <w:rFonts w:cstheme="minorHAnsi"/>
          <w:bCs/>
        </w:rPr>
        <w:t xml:space="preserve"> </w:t>
      </w:r>
    </w:p>
    <w:p w:rsidR="00154E68" w:rsidRPr="00EE4E1F" w:rsidRDefault="00154E68" w:rsidP="00154E68">
      <w:pPr>
        <w:pStyle w:val="BodyText"/>
        <w:rPr>
          <w:rFonts w:cstheme="minorHAnsi"/>
          <w:bCs/>
          <w:u w:val="single"/>
        </w:rPr>
      </w:pPr>
      <w:r w:rsidRPr="00EE4E1F">
        <w:rPr>
          <w:rFonts w:cstheme="minorHAnsi"/>
          <w:bCs/>
          <w:u w:val="single"/>
        </w:rPr>
        <w:t>Health, Gender and Disability</w:t>
      </w:r>
    </w:p>
    <w:p w:rsidR="00154E68" w:rsidRDefault="00154E68" w:rsidP="00154E68">
      <w:pPr>
        <w:pStyle w:val="BodyText"/>
      </w:pPr>
      <w:r>
        <w:t xml:space="preserve">While support to health, gender and disability is not prioritised in the Partnership for Development, Australia remains a core partner in these sectors. Kiribati is not on track to meet its health-related MDG targets. Improvement in infant and under-five mortality has stalled; maternal outcomes are variable; and the incidence of tuberculosis is amongst the highest in the Pacific. Donor partner efforts towards improving health </w:t>
      </w:r>
      <w:r w:rsidR="00716730">
        <w:t xml:space="preserve">outcomes </w:t>
      </w:r>
      <w:r>
        <w:t xml:space="preserve">have been fragmented.  </w:t>
      </w:r>
    </w:p>
    <w:p w:rsidR="00154E68" w:rsidRDefault="00154E68" w:rsidP="00154E68">
      <w:pPr>
        <w:pStyle w:val="BodyText"/>
      </w:pPr>
      <w:r>
        <w:t>Neither the number of people with disabilities nor the different kinds of impairments in Kiribati have been carefully quantified. The impact of non-communicable diseases, particularly diabetes, is a major driver</w:t>
      </w:r>
      <w:r w:rsidR="00716730">
        <w:t xml:space="preserve"> of the high incidence of amputations</w:t>
      </w:r>
      <w:r>
        <w:t xml:space="preserve">. People with disabilities in Kiribati are frequently excluded from mainstream society and </w:t>
      </w:r>
      <w:r w:rsidR="00716730">
        <w:t xml:space="preserve">disabled children </w:t>
      </w:r>
      <w:r>
        <w:t xml:space="preserve">are unlikely to attend school.  </w:t>
      </w:r>
    </w:p>
    <w:p w:rsidR="00154E68" w:rsidRDefault="00154E68" w:rsidP="00154E68">
      <w:pPr>
        <w:pStyle w:val="BodyText"/>
      </w:pPr>
      <w:r>
        <w:t>While there is strong political will from GoK leaders to mainstream gender into national policies, efforts are often hindered by limited technical capacity, resources and gender awareness.  Women in Kiribati are over-represented among the income and asset poor</w:t>
      </w:r>
      <w:r w:rsidR="00FE63BB">
        <w:t>, while</w:t>
      </w:r>
      <w:r>
        <w:t xml:space="preserve"> sexual and physical violence has been experienced by women and girls aged between 15-49 years at a rate of 68% - the highest in the Pacific</w:t>
      </w:r>
      <w:r>
        <w:rPr>
          <w:vertAlign w:val="superscript"/>
        </w:rPr>
        <w:footnoteReference w:customMarkFollows="1" w:id="6"/>
        <w:t>[</w:t>
      </w:r>
      <w:r w:rsidR="00D83AE8">
        <w:rPr>
          <w:vertAlign w:val="superscript"/>
        </w:rPr>
        <w:t>5]</w:t>
      </w:r>
      <w:r>
        <w:t>.</w:t>
      </w:r>
    </w:p>
    <w:p w:rsidR="00680E3D" w:rsidRDefault="00680E3D" w:rsidP="00154E68">
      <w:pPr>
        <w:pStyle w:val="BodyText"/>
      </w:pPr>
      <w:r w:rsidRPr="00680E3D">
        <w:t>2013 QAI reports show that several programs are not adequately</w:t>
      </w:r>
      <w:r w:rsidR="00FE63BB">
        <w:t xml:space="preserve"> addressing</w:t>
      </w:r>
      <w:r w:rsidRPr="00680E3D">
        <w:t xml:space="preserve"> issues of gender equality. The Economic Growth and Economic Management program will therefore seek additional support to better analyse and improve responses to gender equality.  </w:t>
      </w:r>
    </w:p>
    <w:p w:rsidR="00154E68" w:rsidRDefault="00154E68" w:rsidP="00154E68">
      <w:pPr>
        <w:pStyle w:val="BodyText"/>
      </w:pPr>
      <w:r>
        <w:t>Over the reporting period, some significant achievements have been made through Australian support, including:</w:t>
      </w:r>
    </w:p>
    <w:p w:rsidR="00154E68" w:rsidRPr="009648FE" w:rsidRDefault="00154E68" w:rsidP="00154E68">
      <w:pPr>
        <w:pStyle w:val="ListParagraph"/>
        <w:numPr>
          <w:ilvl w:val="0"/>
          <w:numId w:val="42"/>
        </w:numPr>
        <w:spacing w:after="160" w:line="280" w:lineRule="exact"/>
        <w:rPr>
          <w:rFonts w:ascii="Franklin Gothic Book" w:hAnsi="Franklin Gothic Book"/>
          <w:sz w:val="21"/>
        </w:rPr>
      </w:pPr>
      <w:r w:rsidRPr="009648FE">
        <w:rPr>
          <w:rFonts w:ascii="Franklin Gothic Book" w:hAnsi="Franklin Gothic Book"/>
          <w:sz w:val="21"/>
        </w:rPr>
        <w:t>The construction of the Betio Maternity Ward in 2014  will serve up to 2,500 women in Betio and adjacent communities and help to relieve congestion at the main hospital;</w:t>
      </w:r>
    </w:p>
    <w:p w:rsidR="00DF2F8D" w:rsidRDefault="00DF2F8D" w:rsidP="00DF2F8D">
      <w:pPr>
        <w:pStyle w:val="ListParagraph"/>
        <w:numPr>
          <w:ilvl w:val="0"/>
          <w:numId w:val="42"/>
        </w:numPr>
        <w:spacing w:after="160" w:line="280" w:lineRule="exact"/>
        <w:rPr>
          <w:rFonts w:ascii="Franklin Gothic Book" w:hAnsi="Franklin Gothic Book"/>
          <w:sz w:val="21"/>
          <w:szCs w:val="21"/>
        </w:rPr>
      </w:pPr>
      <w:r>
        <w:rPr>
          <w:rFonts w:ascii="Franklin Gothic Book" w:hAnsi="Franklin Gothic Book"/>
          <w:sz w:val="21"/>
          <w:szCs w:val="21"/>
        </w:rPr>
        <w:t>The TB case detection rate has increased and the treatment success rate of sputum smear positive TB patients has improved with ongoing provision of equitable and accessible tuberculosis services to the community, especially the isolated and the poor</w:t>
      </w:r>
      <w:r w:rsidR="00E235DF">
        <w:rPr>
          <w:rFonts w:ascii="Franklin Gothic Book" w:hAnsi="Franklin Gothic Book"/>
          <w:sz w:val="21"/>
          <w:szCs w:val="21"/>
        </w:rPr>
        <w:t>.</w:t>
      </w:r>
      <w:r>
        <w:rPr>
          <w:rFonts w:ascii="Franklin Gothic Book" w:hAnsi="Franklin Gothic Book"/>
          <w:sz w:val="21"/>
          <w:szCs w:val="21"/>
        </w:rPr>
        <w:t xml:space="preserve"> </w:t>
      </w:r>
    </w:p>
    <w:p w:rsidR="00154E68" w:rsidRPr="009648FE" w:rsidRDefault="00154E68" w:rsidP="00154E68">
      <w:pPr>
        <w:pStyle w:val="ListParagraph"/>
        <w:numPr>
          <w:ilvl w:val="0"/>
          <w:numId w:val="42"/>
        </w:numPr>
        <w:spacing w:after="160" w:line="280" w:lineRule="exact"/>
        <w:rPr>
          <w:rFonts w:ascii="Franklin Gothic Book" w:hAnsi="Franklin Gothic Book"/>
          <w:sz w:val="21"/>
        </w:rPr>
      </w:pPr>
      <w:r w:rsidRPr="009648FE">
        <w:rPr>
          <w:rFonts w:ascii="Franklin Gothic Book" w:hAnsi="Franklin Gothic Book"/>
          <w:sz w:val="21"/>
        </w:rPr>
        <w:t>for the first time,</w:t>
      </w:r>
      <w:r>
        <w:rPr>
          <w:rFonts w:ascii="Franklin Gothic Book" w:hAnsi="Franklin Gothic Book"/>
          <w:sz w:val="21"/>
        </w:rPr>
        <w:t xml:space="preserve"> in 2013</w:t>
      </w:r>
      <w:r w:rsidRPr="009648FE">
        <w:rPr>
          <w:rFonts w:ascii="Franklin Gothic Book" w:hAnsi="Franklin Gothic Book"/>
          <w:sz w:val="21"/>
        </w:rPr>
        <w:t xml:space="preserve"> up to 18 new medical graduates (15 trained in Cuba and 3 </w:t>
      </w:r>
      <w:r w:rsidR="00FE63BB">
        <w:rPr>
          <w:rFonts w:ascii="Franklin Gothic Book" w:hAnsi="Franklin Gothic Book"/>
          <w:sz w:val="21"/>
        </w:rPr>
        <w:t>in</w:t>
      </w:r>
      <w:r w:rsidR="00FE63BB" w:rsidRPr="009648FE">
        <w:rPr>
          <w:rFonts w:ascii="Franklin Gothic Book" w:hAnsi="Franklin Gothic Book"/>
          <w:sz w:val="21"/>
        </w:rPr>
        <w:t xml:space="preserve"> </w:t>
      </w:r>
      <w:r w:rsidRPr="009648FE">
        <w:rPr>
          <w:rFonts w:ascii="Franklin Gothic Book" w:hAnsi="Franklin Gothic Book"/>
          <w:sz w:val="21"/>
        </w:rPr>
        <w:t>the Fiji School of Medicine) are currently undertaking 18</w:t>
      </w:r>
      <w:r w:rsidR="00FE63BB">
        <w:rPr>
          <w:rFonts w:ascii="Franklin Gothic Book" w:hAnsi="Franklin Gothic Book"/>
          <w:sz w:val="21"/>
        </w:rPr>
        <w:t>-</w:t>
      </w:r>
      <w:r w:rsidRPr="009648FE">
        <w:rPr>
          <w:rFonts w:ascii="Franklin Gothic Book" w:hAnsi="Franklin Gothic Book"/>
          <w:sz w:val="21"/>
        </w:rPr>
        <w:t>month internship training in Kiribati;</w:t>
      </w:r>
    </w:p>
    <w:p w:rsidR="00154E68" w:rsidRPr="009648FE" w:rsidRDefault="00154E68" w:rsidP="00154E68">
      <w:pPr>
        <w:pStyle w:val="ListParagraph"/>
        <w:numPr>
          <w:ilvl w:val="0"/>
          <w:numId w:val="42"/>
        </w:numPr>
        <w:spacing w:after="160" w:line="280" w:lineRule="exact"/>
        <w:rPr>
          <w:rFonts w:ascii="Franklin Gothic Book" w:hAnsi="Franklin Gothic Book"/>
          <w:sz w:val="21"/>
        </w:rPr>
      </w:pPr>
      <w:r w:rsidRPr="009648FE">
        <w:rPr>
          <w:rFonts w:ascii="Franklin Gothic Book" w:hAnsi="Franklin Gothic Book"/>
          <w:sz w:val="21"/>
        </w:rPr>
        <w:t>through Australia’s regional health programs, specialised secondary and tertiary health care services and training in Kiribati have been delivered.  The variety of specialised clinical visits received to date is impacting directly in the prevention, reduction or removal of long-term disability for many patients in Kiribati.</w:t>
      </w:r>
    </w:p>
    <w:p w:rsidR="00154E68" w:rsidRPr="00EE4E1F" w:rsidRDefault="00154E68" w:rsidP="00154E68">
      <w:pPr>
        <w:pStyle w:val="BodyText"/>
        <w:numPr>
          <w:ilvl w:val="0"/>
          <w:numId w:val="42"/>
        </w:numPr>
        <w:rPr>
          <w:rFonts w:ascii="Franklin Gothic Medium" w:hAnsi="Franklin Gothic Medium"/>
        </w:rPr>
      </w:pPr>
      <w:r>
        <w:t xml:space="preserve">ongoing funding to support the Kiribati School and Centre for Children with Special Needs has enabled: children with disability access to quality education with increased enrolment rate from 80 (2008) to 137 (2014); the School’s formal registration as </w:t>
      </w:r>
      <w:r w:rsidR="00E235DF">
        <w:t xml:space="preserve">an </w:t>
      </w:r>
      <w:r>
        <w:t>NGO in May 2014; the development of the School’s child protection policy; and the recruitment of a dedicated child protection officer</w:t>
      </w:r>
      <w:r w:rsidR="0095471E">
        <w:t>.</w:t>
      </w:r>
    </w:p>
    <w:p w:rsidR="00F26AE9" w:rsidRDefault="00F26AE9" w:rsidP="00F26AE9">
      <w:pPr>
        <w:pStyle w:val="BodyText"/>
        <w:numPr>
          <w:ilvl w:val="0"/>
          <w:numId w:val="42"/>
        </w:numPr>
        <w:rPr>
          <w:rFonts w:ascii="Franklin Gothic Medium" w:hAnsi="Franklin Gothic Medium"/>
          <w:szCs w:val="21"/>
        </w:rPr>
      </w:pPr>
      <w:r>
        <w:t>targeted support to the Women’s Development Division, Kiribati Family Health Association (KFHA), the Kiribati Police Services (KPS), Ministry of Health and Medical Services (MHMS) and the Judiciary to build capacity and community awareness on the new Family Peace Act and related family violence issues; and improve facilities for victims of violence within Police and MHMS.</w:t>
      </w:r>
    </w:p>
    <w:p w:rsidR="00330B28" w:rsidRDefault="00330B28" w:rsidP="00F26AE9">
      <w:pPr>
        <w:pStyle w:val="Heading3"/>
      </w:pPr>
      <w:r w:rsidRPr="004A470B">
        <w:t>Regional Support</w:t>
      </w:r>
    </w:p>
    <w:p w:rsidR="00330B28" w:rsidRDefault="006365AA" w:rsidP="00330B28">
      <w:pPr>
        <w:pStyle w:val="BodyText"/>
      </w:pPr>
      <w:r>
        <w:t xml:space="preserve">Australia </w:t>
      </w:r>
      <w:r w:rsidR="00330B28" w:rsidRPr="00532C69">
        <w:t xml:space="preserve">has a portfolio of regional initiatives implemented in the Pacific with partners including 14 countries, </w:t>
      </w:r>
      <w:r w:rsidR="00330B28">
        <w:t>four</w:t>
      </w:r>
      <w:r w:rsidR="00330B28" w:rsidRPr="00532C69">
        <w:t xml:space="preserve"> regional organisations and a number of multilateral institutions</w:t>
      </w:r>
      <w:r w:rsidR="00CD13AA">
        <w:t xml:space="preserve"> impact</w:t>
      </w:r>
      <w:r>
        <w:t>ing</w:t>
      </w:r>
      <w:r w:rsidR="00CD13AA">
        <w:t xml:space="preserve"> positively upon Kiribati</w:t>
      </w:r>
      <w:r w:rsidR="00330B28" w:rsidRPr="00532C69">
        <w:t>.  In 2013-14, there were 32 regional initiatives active in Kiribati, valued</w:t>
      </w:r>
      <w:r>
        <w:t xml:space="preserve"> at approximately $4.4 million - all </w:t>
      </w:r>
      <w:r w:rsidR="00330B28" w:rsidRPr="00532C69">
        <w:t xml:space="preserve">strategically complement Australia’s bilateral priorities.  In 2013, the </w:t>
      </w:r>
      <w:r>
        <w:t>APTC</w:t>
      </w:r>
      <w:r w:rsidR="00330B28" w:rsidRPr="00532C69">
        <w:t xml:space="preserve"> provided 8</w:t>
      </w:r>
      <w:r w:rsidR="00CD13AA">
        <w:t>2</w:t>
      </w:r>
      <w:r w:rsidR="00330B28" w:rsidRPr="00532C69">
        <w:t xml:space="preserve"> i-Kiribati graduates with internationally recognised qualifications.  </w:t>
      </w:r>
      <w:r w:rsidR="00330B28">
        <w:t>There are s</w:t>
      </w:r>
      <w:r w:rsidR="00330B28" w:rsidRPr="00532C69">
        <w:t xml:space="preserve">everal regional </w:t>
      </w:r>
      <w:r w:rsidR="00330B28">
        <w:t xml:space="preserve">fisheries </w:t>
      </w:r>
      <w:r w:rsidR="00330B28" w:rsidRPr="00532C69">
        <w:t>initiatives including support to Forum Fisheries Agency (FFA) and a community based fisheries and aquaculture program</w:t>
      </w:r>
      <w:r w:rsidR="00330B28">
        <w:t xml:space="preserve"> that</w:t>
      </w:r>
      <w:r w:rsidR="00330B28" w:rsidRPr="00532C69">
        <w:t xml:space="preserve"> </w:t>
      </w:r>
      <w:r w:rsidR="00330B28">
        <w:t>continue to support Kiribati to maximise its ocean resources through better data collection, strategic planning advice and tangible community-based activities. In the health sector, Australia’s Biomedical Eq</w:t>
      </w:r>
      <w:r>
        <w:t xml:space="preserve">uipment Maintenance Initiative </w:t>
      </w:r>
      <w:r w:rsidR="00330B28">
        <w:t xml:space="preserve">has filled an important gap in the maintenance and upkeep of critical hospital equipment through the provision of a roaming biomedical engineer.  </w:t>
      </w:r>
      <w:r w:rsidR="00713CDB">
        <w:t xml:space="preserve">Further detail of these and other global and regional initiatives impacting Kiribati are </w:t>
      </w:r>
      <w:r w:rsidR="00713CDB" w:rsidRPr="00D83AE8">
        <w:t>available in Annex E.</w:t>
      </w:r>
    </w:p>
    <w:p w:rsidR="000D733F" w:rsidRDefault="000D733F" w:rsidP="00E62ABA">
      <w:pPr>
        <w:pStyle w:val="Heading3"/>
      </w:pPr>
      <w:r w:rsidRPr="009E38C1">
        <w:t>Mutual Obligations</w:t>
      </w:r>
      <w:r w:rsidRPr="009E38C1">
        <w:rPr>
          <w:sz w:val="32"/>
          <w:szCs w:val="32"/>
        </w:rPr>
        <w:tab/>
      </w:r>
      <w:r>
        <w:tab/>
      </w:r>
      <w:r>
        <w:tab/>
      </w:r>
      <w:r>
        <w:tab/>
      </w:r>
    </w:p>
    <w:p w:rsidR="002D2442" w:rsidRDefault="00312A68" w:rsidP="002D2442">
      <w:pPr>
        <w:pStyle w:val="BodyText"/>
      </w:pPr>
      <w:r>
        <w:t>The Australia Kiribati Partnership for Development is based on mutual obligation and shared goals.  Australia and Kiribati continue to work to meet these goals.</w:t>
      </w:r>
    </w:p>
    <w:p w:rsidR="002D2442" w:rsidRPr="002D2442" w:rsidRDefault="002D2442" w:rsidP="00956C59">
      <w:pPr>
        <w:pStyle w:val="ListBullet"/>
        <w:spacing w:after="160"/>
        <w:ind w:left="709" w:hanging="357"/>
        <w:rPr>
          <w:rFonts w:ascii="Helvetica" w:hAnsi="Helvetica" w:cs="Arial"/>
          <w:color w:val="007FAD"/>
          <w:kern w:val="28"/>
          <w:sz w:val="28"/>
          <w:szCs w:val="28"/>
        </w:rPr>
      </w:pPr>
      <w:r>
        <w:t>To reduce future GoK debt and improve the economic outlook,  GoK has cleared all non-concessional debts and passed legislation to better control the initiation of any new non-concessional loans</w:t>
      </w:r>
    </w:p>
    <w:p w:rsidR="008E5328" w:rsidRPr="004A488D" w:rsidRDefault="00CF21AD" w:rsidP="008E5328">
      <w:pPr>
        <w:pStyle w:val="ListBullet"/>
        <w:spacing w:after="200" w:line="276" w:lineRule="auto"/>
        <w:ind w:left="709"/>
        <w:rPr>
          <w:rFonts w:ascii="Helvetica" w:hAnsi="Helvetica" w:cs="Arial"/>
          <w:color w:val="007FAD"/>
          <w:kern w:val="28"/>
          <w:sz w:val="28"/>
          <w:szCs w:val="28"/>
        </w:rPr>
      </w:pPr>
      <w:r>
        <w:t xml:space="preserve">To bring Kiribati into line with most Pacific countries, </w:t>
      </w:r>
      <w:r w:rsidR="00022347">
        <w:t xml:space="preserve">in 2014 </w:t>
      </w:r>
      <w:r w:rsidR="008E5328">
        <w:t>GoK commenced the collection of a VAT</w:t>
      </w:r>
      <w:r>
        <w:t xml:space="preserve"> </w:t>
      </w:r>
      <w:r w:rsidR="008E5328">
        <w:t xml:space="preserve">aimed at increasing internal revenue and simplifying collection processes. </w:t>
      </w:r>
    </w:p>
    <w:p w:rsidR="008E5328" w:rsidRPr="004A488D" w:rsidRDefault="008E5328" w:rsidP="008E5328">
      <w:pPr>
        <w:pStyle w:val="ListBullet"/>
        <w:spacing w:after="200" w:line="276" w:lineRule="auto"/>
        <w:ind w:left="709"/>
        <w:rPr>
          <w:rFonts w:ascii="Helvetica" w:hAnsi="Helvetica" w:cs="Arial"/>
          <w:color w:val="007FAD"/>
          <w:kern w:val="28"/>
          <w:sz w:val="28"/>
          <w:szCs w:val="28"/>
        </w:rPr>
      </w:pPr>
      <w:r>
        <w:t xml:space="preserve">To support improved coordination across all infrastructure projects, GoK has established a </w:t>
      </w:r>
      <w:r w:rsidR="006365AA">
        <w:t>NIDSC</w:t>
      </w:r>
      <w:r>
        <w:t xml:space="preserve">, chaired by the Secretary to Cabinet.  </w:t>
      </w:r>
      <w:r w:rsidR="00022347">
        <w:t>T</w:t>
      </w:r>
      <w:r>
        <w:t>he NIDSC me</w:t>
      </w:r>
      <w:r w:rsidR="00022347">
        <w:t>e</w:t>
      </w:r>
      <w:r>
        <w:t>t</w:t>
      </w:r>
      <w:r w:rsidR="00022347">
        <w:t>s</w:t>
      </w:r>
      <w:r>
        <w:t xml:space="preserve"> </w:t>
      </w:r>
      <w:r w:rsidR="00CF21AD">
        <w:t>frequent</w:t>
      </w:r>
      <w:r w:rsidR="00022347">
        <w:t>ly</w:t>
      </w:r>
      <w:r w:rsidR="00CF21AD">
        <w:t xml:space="preserve"> </w:t>
      </w:r>
      <w:r>
        <w:t xml:space="preserve">to provide guidance and leadership to the projects. </w:t>
      </w:r>
    </w:p>
    <w:p w:rsidR="00716730" w:rsidRDefault="00716730" w:rsidP="00A46DCF">
      <w:pPr>
        <w:pStyle w:val="ListBullet"/>
        <w:spacing w:after="200" w:line="276" w:lineRule="auto"/>
        <w:ind w:left="709"/>
      </w:pPr>
      <w:r>
        <w:t xml:space="preserve">Continued Australian </w:t>
      </w:r>
      <w:r w:rsidRPr="00B242E2">
        <w:t>funding</w:t>
      </w:r>
      <w:r>
        <w:t xml:space="preserve"> for KRRP remains </w:t>
      </w:r>
      <w:r w:rsidRPr="00B242E2">
        <w:t>contingent on the Go</w:t>
      </w:r>
      <w:r>
        <w:t>K</w:t>
      </w:r>
      <w:r w:rsidRPr="00B242E2">
        <w:t xml:space="preserve"> meeting key performance milestones</w:t>
      </w:r>
      <w:r w:rsidR="00A46DCF">
        <w:t xml:space="preserve">. These include </w:t>
      </w:r>
      <w:r>
        <w:t>maintaining a full staff complement at the KFSU to support its operational functionality.</w:t>
      </w:r>
    </w:p>
    <w:p w:rsidR="003305E3" w:rsidRPr="00E62ABA" w:rsidRDefault="008E5328" w:rsidP="00C30C3B">
      <w:pPr>
        <w:pStyle w:val="ListBullet"/>
        <w:spacing w:after="200" w:line="276" w:lineRule="auto"/>
        <w:ind w:left="709"/>
      </w:pPr>
      <w:r>
        <w:t>To assist with safeguarding investment</w:t>
      </w:r>
      <w:r w:rsidR="00CD13AA">
        <w:t>s</w:t>
      </w:r>
      <w:r>
        <w:t xml:space="preserve"> in the K</w:t>
      </w:r>
      <w:r w:rsidR="006365AA">
        <w:t>RRP</w:t>
      </w:r>
      <w:r>
        <w:t>, GoK has agreed to increase its contribution to strengthening co</w:t>
      </w:r>
      <w:r w:rsidR="00E613F2">
        <w:t>a</w:t>
      </w:r>
      <w:r>
        <w:t>stal protection measures by $2.4 million.</w:t>
      </w:r>
    </w:p>
    <w:p w:rsidR="000D733F" w:rsidRPr="001375E3" w:rsidRDefault="000D733F" w:rsidP="00E62ABA">
      <w:pPr>
        <w:pStyle w:val="Heading3"/>
        <w:rPr>
          <w:sz w:val="32"/>
          <w:szCs w:val="32"/>
        </w:rPr>
      </w:pPr>
      <w:r w:rsidRPr="009E38C1">
        <w:t xml:space="preserve">Program Quality and Management </w:t>
      </w:r>
      <w:r w:rsidRPr="009E38C1">
        <w:tab/>
      </w:r>
      <w:r>
        <w:tab/>
      </w:r>
    </w:p>
    <w:p w:rsidR="00551E86" w:rsidRDefault="00AD195E" w:rsidP="00551E86">
      <w:pPr>
        <w:pStyle w:val="BodyText"/>
      </w:pPr>
      <w:r>
        <w:t xml:space="preserve">Under the Australia-Kiribati Partnership for Development </w:t>
      </w:r>
      <w:r w:rsidR="00312A68" w:rsidRPr="00551E86">
        <w:t>DFAT</w:t>
      </w:r>
      <w:r>
        <w:t xml:space="preserve"> assess</w:t>
      </w:r>
      <w:r w:rsidR="00637EEF">
        <w:t>es</w:t>
      </w:r>
      <w:r>
        <w:t xml:space="preserve"> </w:t>
      </w:r>
      <w:r w:rsidR="00312A68" w:rsidRPr="00551E86">
        <w:t xml:space="preserve">each program against objectives set out during </w:t>
      </w:r>
      <w:r w:rsidR="00CF21AD">
        <w:t xml:space="preserve">the </w:t>
      </w:r>
      <w:r w:rsidR="00312A68" w:rsidRPr="00551E86">
        <w:t>design</w:t>
      </w:r>
      <w:r w:rsidR="00CF21AD">
        <w:t xml:space="preserve"> phase</w:t>
      </w:r>
      <w:r w:rsidR="00312A68" w:rsidRPr="00551E86">
        <w:t xml:space="preserve">. </w:t>
      </w:r>
      <w:r w:rsidR="00551E86" w:rsidRPr="00551E86">
        <w:t>The</w:t>
      </w:r>
      <w:r w:rsidR="00551E86">
        <w:t xml:space="preserve"> Quality at Implementation reports found that monitoring </w:t>
      </w:r>
      <w:r>
        <w:t xml:space="preserve">has </w:t>
      </w:r>
      <w:r w:rsidR="00551E86">
        <w:t xml:space="preserve">improved from the last reporting year.  </w:t>
      </w:r>
    </w:p>
    <w:p w:rsidR="00551E86" w:rsidRDefault="00196941" w:rsidP="00551E86">
      <w:pPr>
        <w:pStyle w:val="BodyText"/>
        <w:rPr>
          <w:rFonts w:ascii="Helvetica" w:hAnsi="Helvetica" w:cs="Arial"/>
          <w:b/>
          <w:color w:val="124486"/>
          <w:kern w:val="28"/>
          <w:sz w:val="22"/>
          <w:szCs w:val="22"/>
          <w:lang w:eastAsia="zh-CN"/>
        </w:rPr>
      </w:pPr>
      <w:r>
        <w:t xml:space="preserve">While no formal evaluations were undertaken during the reporting period, an independent evaluation of KEIP </w:t>
      </w:r>
      <w:r w:rsidR="001F17ED">
        <w:t>will be finalised</w:t>
      </w:r>
      <w:r>
        <w:t xml:space="preserve"> for 2014/15</w:t>
      </w:r>
      <w:r w:rsidR="001F17ED">
        <w:t xml:space="preserve"> and a review of TVETSSP </w:t>
      </w:r>
      <w:r w:rsidR="00CF21AD">
        <w:t xml:space="preserve">will be </w:t>
      </w:r>
      <w:r w:rsidR="001F17ED">
        <w:t>undertaken</w:t>
      </w:r>
      <w:r>
        <w:t>.</w:t>
      </w:r>
      <w:r w:rsidR="00AD195E">
        <w:t xml:space="preserve"> The KANI independent review, undertaken in 2012/13, was published in 2013/14.</w:t>
      </w:r>
    </w:p>
    <w:p w:rsidR="000D733F" w:rsidRPr="00F26AE9" w:rsidRDefault="000D733F" w:rsidP="00F26AE9">
      <w:pPr>
        <w:pStyle w:val="Heading3"/>
      </w:pPr>
      <w:r>
        <w:t xml:space="preserve">Analysis of </w:t>
      </w:r>
      <w:r w:rsidRPr="00180B19">
        <w:t xml:space="preserve">Quality at Implementation </w:t>
      </w:r>
      <w:r>
        <w:t xml:space="preserve">Reports </w:t>
      </w:r>
    </w:p>
    <w:p w:rsidR="000D733F" w:rsidRPr="005023D9" w:rsidRDefault="00551E86" w:rsidP="00551E86">
      <w:pPr>
        <w:pStyle w:val="BodyText"/>
      </w:pPr>
      <w:r w:rsidRPr="002A4292">
        <w:t xml:space="preserve">Quality at </w:t>
      </w:r>
      <w:r w:rsidR="00CF21AD">
        <w:t>I</w:t>
      </w:r>
      <w:r w:rsidRPr="002A4292">
        <w:t>mplementation ratings for all active Kiribati initiatives</w:t>
      </w:r>
      <w:r>
        <w:t xml:space="preserve"> are in Annex B. Trends in 2013</w:t>
      </w:r>
      <w:r w:rsidRPr="002A4292">
        <w:t xml:space="preserve"> ratings were similar to 201</w:t>
      </w:r>
      <w:r>
        <w:t>2</w:t>
      </w:r>
      <w:r w:rsidR="00E613F2">
        <w:t>,</w:t>
      </w:r>
      <w:r>
        <w:t xml:space="preserve"> however </w:t>
      </w:r>
      <w:r w:rsidRPr="00E62ABA">
        <w:t>each outcome/initiative ha</w:t>
      </w:r>
      <w:r w:rsidR="00AD195E">
        <w:t>s</w:t>
      </w:r>
      <w:r w:rsidRPr="00E62ABA">
        <w:t xml:space="preserve"> improved in 2013 with </w:t>
      </w:r>
      <w:r w:rsidR="00E613F2">
        <w:t xml:space="preserve">the </w:t>
      </w:r>
      <w:r w:rsidRPr="00E62ABA">
        <w:t xml:space="preserve">exception of Workforce Development (which had only minor decreases).  Relevance, effectiveness and sustainability continued to be the highest scores.  </w:t>
      </w:r>
      <w:r w:rsidRPr="00252274">
        <w:t xml:space="preserve">The continuing low </w:t>
      </w:r>
      <w:r w:rsidR="00252274">
        <w:t>ratings for</w:t>
      </w:r>
      <w:r w:rsidRPr="00252274">
        <w:t xml:space="preserve"> KANI has been monitored and addressed through the 2013 evaluation of the program and </w:t>
      </w:r>
      <w:r w:rsidR="000B5082" w:rsidRPr="00252274">
        <w:t>a</w:t>
      </w:r>
      <w:r w:rsidRPr="00252274">
        <w:t xml:space="preserve"> decision </w:t>
      </w:r>
      <w:r w:rsidR="000B5082" w:rsidRPr="00252274">
        <w:t xml:space="preserve">has been made to </w:t>
      </w:r>
      <w:r w:rsidRPr="00252274">
        <w:t xml:space="preserve">not </w:t>
      </w:r>
      <w:r w:rsidR="00E613F2">
        <w:t>extend</w:t>
      </w:r>
      <w:r w:rsidR="000B5082" w:rsidRPr="00252274">
        <w:t xml:space="preserve"> it beyond its current phase</w:t>
      </w:r>
      <w:r w:rsidRPr="00E62ABA">
        <w:t xml:space="preserve">. </w:t>
      </w:r>
    </w:p>
    <w:p w:rsidR="00956C59" w:rsidRDefault="00956C59" w:rsidP="00E62ABA">
      <w:pPr>
        <w:pStyle w:val="Heading3"/>
      </w:pPr>
    </w:p>
    <w:p w:rsidR="0026310D" w:rsidRDefault="0026310D" w:rsidP="00E62ABA">
      <w:pPr>
        <w:pStyle w:val="Heading3"/>
      </w:pPr>
    </w:p>
    <w:p w:rsidR="000D733F" w:rsidRDefault="000D733F" w:rsidP="00E62ABA">
      <w:pPr>
        <w:pStyle w:val="Heading3"/>
      </w:pPr>
      <w:r>
        <w:t xml:space="preserve">Performance </w:t>
      </w:r>
      <w:r w:rsidR="004F4630">
        <w:t>of key delivery partners</w:t>
      </w:r>
    </w:p>
    <w:p w:rsidR="00AE3D42" w:rsidRPr="0014222F" w:rsidRDefault="005A00AA" w:rsidP="00E62ABA">
      <w:pPr>
        <w:pStyle w:val="ListBullet"/>
        <w:spacing w:after="200" w:line="276" w:lineRule="auto"/>
        <w:ind w:left="709"/>
      </w:pPr>
      <w:r w:rsidRPr="0014222F">
        <w:t xml:space="preserve">DFAT engages </w:t>
      </w:r>
      <w:r w:rsidR="004F2BBD" w:rsidRPr="0014222F">
        <w:t xml:space="preserve">three key managing contractors to deliver </w:t>
      </w:r>
      <w:r w:rsidR="006365AA">
        <w:t xml:space="preserve">major elements </w:t>
      </w:r>
      <w:r w:rsidR="004F2BBD" w:rsidRPr="0014222F">
        <w:t xml:space="preserve">of its development assistance program in Kiribati - Scope Global </w:t>
      </w:r>
      <w:r w:rsidR="006E357F">
        <w:t>(</w:t>
      </w:r>
      <w:r w:rsidR="00CF21AD">
        <w:t xml:space="preserve">formerly Austraining International) </w:t>
      </w:r>
      <w:r w:rsidR="004F2BBD" w:rsidRPr="0014222F">
        <w:t>manages the T</w:t>
      </w:r>
      <w:r w:rsidR="002A766B">
        <w:t xml:space="preserve">VETSSP </w:t>
      </w:r>
      <w:r w:rsidR="004F2BBD" w:rsidRPr="0014222F">
        <w:t xml:space="preserve">and co-manages the </w:t>
      </w:r>
      <w:r w:rsidR="005D018C" w:rsidRPr="0014222F">
        <w:t xml:space="preserve">Australian Volunteers for </w:t>
      </w:r>
      <w:r w:rsidR="00CF21AD">
        <w:t>I</w:t>
      </w:r>
      <w:r w:rsidR="005D018C" w:rsidRPr="0014222F">
        <w:t>nternational Development program; Coffey International Development manages the KEIP; and Australian Volunteers International manages PACTAM</w:t>
      </w:r>
      <w:r w:rsidR="002A766B">
        <w:t xml:space="preserve"> advisers</w:t>
      </w:r>
      <w:r w:rsidR="005D018C" w:rsidRPr="0014222F">
        <w:t xml:space="preserve"> and co-manages the Australian Volunteers for </w:t>
      </w:r>
      <w:r w:rsidR="00CF21AD">
        <w:t>I</w:t>
      </w:r>
      <w:r w:rsidR="005D018C" w:rsidRPr="0014222F">
        <w:t>nternational Development program. All have developed effective working relationships with partner government and DFAT</w:t>
      </w:r>
      <w:r w:rsidR="002A766B">
        <w:t>,</w:t>
      </w:r>
      <w:r w:rsidR="005D018C" w:rsidRPr="0014222F">
        <w:t xml:space="preserve"> provide</w:t>
      </w:r>
      <w:r w:rsidR="00E613F2">
        <w:t>d</w:t>
      </w:r>
      <w:r w:rsidR="005D018C" w:rsidRPr="0014222F">
        <w:t xml:space="preserve"> sound strategic advice and </w:t>
      </w:r>
      <w:r w:rsidR="002A766B">
        <w:t>deliver</w:t>
      </w:r>
      <w:r w:rsidR="00E613F2">
        <w:t>ed</w:t>
      </w:r>
      <w:r w:rsidR="002A766B">
        <w:t xml:space="preserve"> </w:t>
      </w:r>
      <w:r w:rsidR="005D018C" w:rsidRPr="0014222F">
        <w:t>effective programs.</w:t>
      </w:r>
    </w:p>
    <w:p w:rsidR="00A45430" w:rsidRDefault="00AE3D42" w:rsidP="00AE3D42">
      <w:pPr>
        <w:pStyle w:val="ListBullet"/>
        <w:spacing w:after="200" w:line="276" w:lineRule="auto"/>
        <w:ind w:left="709"/>
      </w:pPr>
      <w:r>
        <w:t>DFAT partners with the W</w:t>
      </w:r>
      <w:r w:rsidR="00E613F2">
        <w:t xml:space="preserve">orld </w:t>
      </w:r>
      <w:r>
        <w:t>B</w:t>
      </w:r>
      <w:r w:rsidR="00E613F2">
        <w:t>ank</w:t>
      </w:r>
      <w:r w:rsidR="002A766B">
        <w:t xml:space="preserve"> </w:t>
      </w:r>
      <w:r>
        <w:t xml:space="preserve">and Asian Development Bank in economic growth and infrastructure programs in Kiribati.  Overall, DFAT is </w:t>
      </w:r>
      <w:r w:rsidR="00E235DF">
        <w:t xml:space="preserve">well </w:t>
      </w:r>
      <w:r>
        <w:t xml:space="preserve">satisfied with the performance of the multilateral banks.  Regular supervision missions (minimum of quarterly) have proved essential for progress at a project level.  The shift to delegate large scale projects to junior staff was an initial concern but can be well managed if sufficient oversight is provided by more experienced officers.  </w:t>
      </w:r>
    </w:p>
    <w:p w:rsidR="005A00AA" w:rsidRDefault="00AD195E" w:rsidP="00AE3D42">
      <w:pPr>
        <w:pStyle w:val="ListBullet"/>
        <w:spacing w:after="200" w:line="276" w:lineRule="auto"/>
        <w:ind w:left="709"/>
      </w:pPr>
      <w:r>
        <w:t>The B</w:t>
      </w:r>
      <w:r w:rsidR="00AE3D42">
        <w:t>ank</w:t>
      </w:r>
      <w:r w:rsidR="00D42EC7">
        <w:t>s</w:t>
      </w:r>
      <w:r>
        <w:t>’</w:t>
      </w:r>
      <w:r w:rsidR="00AE3D42">
        <w:t xml:space="preserve"> analytical work and technical advice to GoK is invaluable and </w:t>
      </w:r>
      <w:r w:rsidR="002A766B">
        <w:t xml:space="preserve">their engagement in Kiribati </w:t>
      </w:r>
      <w:r w:rsidR="00AE3D42">
        <w:t>should continue to be supported.  Equally, DFAT should continue to engage with the multilateral banks to encourage simplified and aligned reporting and procurement processes</w:t>
      </w:r>
      <w:r w:rsidR="002A766B">
        <w:t xml:space="preserve"> that are more in line with microstate capacity</w:t>
      </w:r>
      <w:r w:rsidR="00AE3D42">
        <w:t xml:space="preserve">. </w:t>
      </w:r>
    </w:p>
    <w:p w:rsidR="00113DC6" w:rsidRPr="00E539A4" w:rsidRDefault="005A00AA" w:rsidP="002A766B">
      <w:pPr>
        <w:pStyle w:val="ListBullet"/>
        <w:spacing w:after="200" w:line="276" w:lineRule="auto"/>
        <w:ind w:left="709"/>
        <w:rPr>
          <w:rFonts w:ascii="Helvetica" w:hAnsi="Helvetica" w:cs="Arial"/>
          <w:color w:val="124486"/>
          <w:spacing w:val="-10"/>
          <w:kern w:val="28"/>
          <w:sz w:val="32"/>
          <w:szCs w:val="32"/>
        </w:rPr>
      </w:pPr>
      <w:r>
        <w:t xml:space="preserve">DFAT also partners with UNESCO </w:t>
      </w:r>
      <w:r w:rsidR="00E613F2">
        <w:t xml:space="preserve">and UNICEF </w:t>
      </w:r>
      <w:r>
        <w:t>- through the K</w:t>
      </w:r>
      <w:r w:rsidR="002A766B">
        <w:t>EIP</w:t>
      </w:r>
      <w:r w:rsidR="00AD195E">
        <w:t xml:space="preserve"> - </w:t>
      </w:r>
      <w:r>
        <w:t xml:space="preserve">to support the implementation of the GoK’s Education Sector Strategic Plan. UNESCO </w:t>
      </w:r>
      <w:r w:rsidR="00E613F2">
        <w:t xml:space="preserve">and UNICEF </w:t>
      </w:r>
      <w:r>
        <w:t>ha</w:t>
      </w:r>
      <w:r w:rsidR="00713CDB">
        <w:t>ve</w:t>
      </w:r>
      <w:r>
        <w:t xml:space="preserve"> proven to be engaged member</w:t>
      </w:r>
      <w:r w:rsidR="00D42EC7">
        <w:t>s</w:t>
      </w:r>
      <w:r>
        <w:t xml:space="preserve"> of the Education Partners in Kiribati forum and has worked collaboratively and effectively with the Ministry of Education.</w:t>
      </w:r>
    </w:p>
    <w:p w:rsidR="00E539A4" w:rsidRDefault="00E539A4" w:rsidP="00E539A4">
      <w:pPr>
        <w:pStyle w:val="ListBullet"/>
        <w:numPr>
          <w:ilvl w:val="0"/>
          <w:numId w:val="0"/>
        </w:numPr>
        <w:spacing w:after="200" w:line="276" w:lineRule="auto"/>
        <w:rPr>
          <w:rFonts w:ascii="Helvetica" w:hAnsi="Helvetica" w:cs="Arial"/>
          <w:color w:val="007FAD"/>
          <w:kern w:val="28"/>
          <w:sz w:val="24"/>
        </w:rPr>
      </w:pPr>
      <w:r w:rsidRPr="00E539A4">
        <w:rPr>
          <w:rFonts w:ascii="Helvetica" w:hAnsi="Helvetica" w:cs="Arial"/>
          <w:color w:val="007FAD"/>
          <w:kern w:val="28"/>
          <w:sz w:val="24"/>
        </w:rPr>
        <w:t xml:space="preserve">Management Consequences </w:t>
      </w:r>
    </w:p>
    <w:p w:rsidR="007920BC" w:rsidRDefault="007920BC" w:rsidP="007920BC">
      <w:pPr>
        <w:spacing w:after="160" w:line="280" w:lineRule="exact"/>
        <w:rPr>
          <w:rFonts w:ascii="Franklin Gothic Book" w:hAnsi="Franklin Gothic Book"/>
          <w:sz w:val="21"/>
          <w:szCs w:val="21"/>
          <w:u w:val="single"/>
        </w:rPr>
      </w:pPr>
      <w:r>
        <w:rPr>
          <w:rFonts w:ascii="Franklin Gothic Book" w:hAnsi="Franklin Gothic Book"/>
          <w:sz w:val="21"/>
          <w:szCs w:val="21"/>
          <w:u w:val="single"/>
        </w:rPr>
        <w:t xml:space="preserve">Managing the </w:t>
      </w:r>
      <w:r w:rsidR="007804A1">
        <w:rPr>
          <w:rFonts w:ascii="Franklin Gothic Book" w:hAnsi="Franklin Gothic Book"/>
          <w:sz w:val="21"/>
          <w:szCs w:val="21"/>
          <w:u w:val="single"/>
        </w:rPr>
        <w:t>program allocation</w:t>
      </w:r>
    </w:p>
    <w:p w:rsidR="007920BC" w:rsidRDefault="007920BC" w:rsidP="00956C59">
      <w:pPr>
        <w:pStyle w:val="ListBullet"/>
        <w:spacing w:after="160"/>
        <w:ind w:left="709" w:hanging="357"/>
        <w:rPr>
          <w:szCs w:val="21"/>
        </w:rPr>
      </w:pPr>
      <w:r>
        <w:t>The Kiribati program</w:t>
      </w:r>
      <w:r w:rsidR="00BB5A56">
        <w:t xml:space="preserve"> for 2014/2015 </w:t>
      </w:r>
      <w:r>
        <w:t xml:space="preserve">is fully programmed due to our commitment to </w:t>
      </w:r>
      <w:r w:rsidR="009F2EAA">
        <w:t>help</w:t>
      </w:r>
      <w:r>
        <w:t xml:space="preserve"> </w:t>
      </w:r>
      <w:r w:rsidR="00E235DF">
        <w:t>finance </w:t>
      </w:r>
      <w:r>
        <w:t>the K</w:t>
      </w:r>
      <w:r w:rsidR="00E235DF">
        <w:t>RRP</w:t>
      </w:r>
      <w:r>
        <w:t xml:space="preserve">. Counsellor Development will progressively monitor program expenditure drawdowns over the course of the financial year to keep actual expenditure in line within </w:t>
      </w:r>
      <w:r w:rsidR="009F2EAA">
        <w:t xml:space="preserve">the </w:t>
      </w:r>
      <w:r>
        <w:t>allocations</w:t>
      </w:r>
      <w:r w:rsidR="009F2EAA">
        <w:t xml:space="preserve"> to Kiribati</w:t>
      </w:r>
      <w:r>
        <w:t xml:space="preserve">.  Post will actively seek out other sources of funding </w:t>
      </w:r>
      <w:r w:rsidR="00BB5A56">
        <w:t xml:space="preserve">that may be </w:t>
      </w:r>
      <w:r>
        <w:t xml:space="preserve">available for application in Kiribati (eg through regional, global, incentive and innovation funds). </w:t>
      </w:r>
    </w:p>
    <w:p w:rsidR="007920BC" w:rsidRDefault="007920BC" w:rsidP="007920BC">
      <w:pPr>
        <w:spacing w:after="160" w:line="280" w:lineRule="exact"/>
        <w:rPr>
          <w:rFonts w:ascii="Franklin Gothic Book" w:hAnsi="Franklin Gothic Book"/>
          <w:sz w:val="21"/>
          <w:szCs w:val="21"/>
          <w:u w:val="single"/>
        </w:rPr>
      </w:pPr>
      <w:r>
        <w:rPr>
          <w:rFonts w:ascii="Franklin Gothic Book" w:hAnsi="Franklin Gothic Book"/>
          <w:sz w:val="21"/>
          <w:szCs w:val="21"/>
        </w:rPr>
        <w:t> </w:t>
      </w:r>
      <w:r>
        <w:rPr>
          <w:rFonts w:ascii="Franklin Gothic Book" w:hAnsi="Franklin Gothic Book"/>
          <w:sz w:val="21"/>
          <w:szCs w:val="21"/>
          <w:u w:val="single"/>
        </w:rPr>
        <w:t>Use of the Kiribati Government Development Fund</w:t>
      </w:r>
    </w:p>
    <w:p w:rsidR="007920BC" w:rsidRDefault="007920BC" w:rsidP="00956C59">
      <w:pPr>
        <w:pStyle w:val="ListBullet"/>
        <w:spacing w:after="160"/>
        <w:ind w:left="709" w:hanging="357"/>
        <w:rPr>
          <w:szCs w:val="21"/>
        </w:rPr>
      </w:pPr>
      <w:r>
        <w:t xml:space="preserve">Use of </w:t>
      </w:r>
      <w:r w:rsidR="007804A1">
        <w:t>GoK</w:t>
      </w:r>
      <w:r>
        <w:t xml:space="preserve"> systems</w:t>
      </w:r>
      <w:r w:rsidR="007804A1">
        <w:t xml:space="preserve"> for the delivery of DFAT investments is </w:t>
      </w:r>
      <w:r>
        <w:t>restricted to the current limited use of the Kiribati Government Development Fund.  Effectiveness of activities supported through this fund by way of Accountable Cash Grant agreements will be closely monitored</w:t>
      </w:r>
      <w:r w:rsidR="007804A1">
        <w:t xml:space="preserve"> and post w</w:t>
      </w:r>
      <w:r>
        <w:t xml:space="preserve">ill continue to require timely financial acquittals. </w:t>
      </w:r>
    </w:p>
    <w:p w:rsidR="00A46DCF" w:rsidRPr="00A46DCF" w:rsidRDefault="007920BC" w:rsidP="00956C59">
      <w:pPr>
        <w:pStyle w:val="ListBullet"/>
        <w:spacing w:after="160"/>
        <w:ind w:left="709" w:hanging="357"/>
        <w:rPr>
          <w:szCs w:val="21"/>
          <w:u w:val="single"/>
        </w:rPr>
      </w:pPr>
      <w:r>
        <w:t>Australia will continue to work with other development partners to assist GoK refine and implement its comprehensive public financial management (PFM) and procurement reform program.</w:t>
      </w:r>
    </w:p>
    <w:p w:rsidR="007920BC" w:rsidRPr="000E6C24" w:rsidRDefault="007920BC" w:rsidP="00A46DCF">
      <w:pPr>
        <w:spacing w:after="160" w:line="280" w:lineRule="exact"/>
        <w:rPr>
          <w:rFonts w:ascii="Franklin Gothic Book" w:hAnsi="Franklin Gothic Book"/>
          <w:sz w:val="21"/>
          <w:szCs w:val="21"/>
          <w:u w:val="single"/>
        </w:rPr>
      </w:pPr>
      <w:r w:rsidRPr="000E6C24">
        <w:rPr>
          <w:rFonts w:ascii="Franklin Gothic Book" w:hAnsi="Franklin Gothic Book"/>
          <w:sz w:val="21"/>
          <w:szCs w:val="21"/>
          <w:u w:val="single"/>
        </w:rPr>
        <w:t xml:space="preserve"> </w:t>
      </w:r>
      <w:r w:rsidRPr="00A46DCF">
        <w:rPr>
          <w:rFonts w:ascii="Franklin Gothic Book" w:hAnsi="Franklin Gothic Book"/>
          <w:sz w:val="21"/>
          <w:szCs w:val="21"/>
          <w:u w:val="single"/>
        </w:rPr>
        <w:t>Preparing</w:t>
      </w:r>
      <w:r w:rsidRPr="000E6C24">
        <w:rPr>
          <w:rFonts w:ascii="Franklin Gothic Book" w:hAnsi="Franklin Gothic Book"/>
          <w:sz w:val="21"/>
          <w:szCs w:val="21"/>
          <w:u w:val="single"/>
        </w:rPr>
        <w:t xml:space="preserve"> the Aid Investment Plan</w:t>
      </w:r>
    </w:p>
    <w:p w:rsidR="007920BC" w:rsidRPr="009F2EAA" w:rsidRDefault="007920BC" w:rsidP="00956C59">
      <w:pPr>
        <w:pStyle w:val="ListBullet"/>
        <w:spacing w:after="160"/>
        <w:ind w:left="709" w:hanging="357"/>
        <w:rPr>
          <w:szCs w:val="21"/>
        </w:rPr>
      </w:pPr>
      <w:r>
        <w:t xml:space="preserve">As the existing Australia-Kiribati Partnership for Development is scheduled to expire in 2015, </w:t>
      </w:r>
      <w:r w:rsidR="009F2EAA">
        <w:t xml:space="preserve">The Kiribati program (post and desk) </w:t>
      </w:r>
      <w:r>
        <w:t xml:space="preserve">will </w:t>
      </w:r>
      <w:r w:rsidR="009F2EAA">
        <w:t xml:space="preserve">work with GoK to </w:t>
      </w:r>
      <w:r>
        <w:t xml:space="preserve">prepare </w:t>
      </w:r>
      <w:r w:rsidR="009F2EAA">
        <w:t xml:space="preserve">an Aid Investment Plan (AIP) </w:t>
      </w:r>
      <w:r w:rsidR="007804A1">
        <w:t>early in financial year 2014</w:t>
      </w:r>
      <w:r>
        <w:t>/201</w:t>
      </w:r>
      <w:r w:rsidR="007804A1">
        <w:t>5</w:t>
      </w:r>
      <w:r>
        <w:t xml:space="preserve">.  The AIP will bring the aid program to Kiribati into sharper alignment with Australia’s </w:t>
      </w:r>
      <w:r w:rsidR="007804A1">
        <w:t>new</w:t>
      </w:r>
      <w:r>
        <w:t xml:space="preserve"> aid paradigm.  In preparation for this re-alignment Australia will undertake analysis in the health sector to determine the need for additional donor assistance. </w:t>
      </w:r>
    </w:p>
    <w:p w:rsidR="009F2EAA" w:rsidRPr="00AE5346" w:rsidRDefault="009F2EAA" w:rsidP="00956C59">
      <w:pPr>
        <w:pStyle w:val="ListBullet"/>
        <w:spacing w:after="160"/>
        <w:ind w:left="709" w:hanging="357"/>
        <w:rPr>
          <w:szCs w:val="21"/>
        </w:rPr>
      </w:pPr>
      <w:r>
        <w:t xml:space="preserve">To inform  the development of the AIP, the Kiribati program will update the 2012 Assessment of National Systems </w:t>
      </w:r>
      <w:r w:rsidR="00022347">
        <w:t xml:space="preserve">(ANS) </w:t>
      </w:r>
      <w:r>
        <w:t>to look at fiduciary risks associated with investing funds through government systems eg by budget support</w:t>
      </w:r>
      <w:r w:rsidR="00022347">
        <w:t>.  The ANS</w:t>
      </w:r>
      <w:r>
        <w:t xml:space="preserve"> </w:t>
      </w:r>
      <w:r w:rsidR="00022347">
        <w:t xml:space="preserve">update will review budget planning and controls along with procurement practice with a view </w:t>
      </w:r>
      <w:r w:rsidR="00BB5A56">
        <w:t>to</w:t>
      </w:r>
      <w:r w:rsidR="00022347">
        <w:t xml:space="preserve"> identifying and managing risk. </w:t>
      </w:r>
    </w:p>
    <w:p w:rsidR="00AE5346" w:rsidRDefault="00AE5346" w:rsidP="00956C59">
      <w:pPr>
        <w:pStyle w:val="ListBullet"/>
        <w:spacing w:after="160"/>
        <w:ind w:left="709" w:hanging="357"/>
        <w:rPr>
          <w:szCs w:val="21"/>
        </w:rPr>
      </w:pPr>
      <w:r>
        <w:rPr>
          <w:szCs w:val="21"/>
        </w:rPr>
        <w:t xml:space="preserve">The Kiribati program will develop a gender plan and take action to address gender issues </w:t>
      </w:r>
      <w:r w:rsidR="007804A1">
        <w:rPr>
          <w:szCs w:val="21"/>
        </w:rPr>
        <w:t xml:space="preserve">effectively </w:t>
      </w:r>
      <w:r>
        <w:rPr>
          <w:szCs w:val="21"/>
        </w:rPr>
        <w:t xml:space="preserve">in the implementation of each program. </w:t>
      </w:r>
      <w:r w:rsidR="004B2FD1">
        <w:rPr>
          <w:szCs w:val="21"/>
        </w:rPr>
        <w:t xml:space="preserve"> Mainstreaming child protection </w:t>
      </w:r>
      <w:r w:rsidR="00E235DF">
        <w:rPr>
          <w:szCs w:val="21"/>
        </w:rPr>
        <w:t xml:space="preserve">measures </w:t>
      </w:r>
      <w:r w:rsidR="004B2FD1">
        <w:rPr>
          <w:szCs w:val="21"/>
        </w:rPr>
        <w:t>will continue.</w:t>
      </w:r>
    </w:p>
    <w:p w:rsidR="00BB4330" w:rsidRDefault="00BB4330" w:rsidP="004B20BA">
      <w:pPr>
        <w:pStyle w:val="Caption"/>
        <w:rPr>
          <w:rFonts w:ascii="Helvetica" w:hAnsi="Helvetica"/>
          <w:color w:val="007FAD"/>
          <w:kern w:val="28"/>
          <w:sz w:val="24"/>
          <w:szCs w:val="24"/>
        </w:rPr>
      </w:pPr>
    </w:p>
    <w:p w:rsidR="004B20BA" w:rsidRPr="004B20BA" w:rsidRDefault="004B20BA" w:rsidP="004B20BA">
      <w:pPr>
        <w:pStyle w:val="Caption"/>
        <w:rPr>
          <w:rFonts w:ascii="Helvetica" w:hAnsi="Helvetica"/>
          <w:color w:val="007FAD"/>
          <w:kern w:val="28"/>
          <w:sz w:val="24"/>
          <w:szCs w:val="24"/>
        </w:rPr>
      </w:pPr>
      <w:r w:rsidRPr="004B20BA">
        <w:rPr>
          <w:rFonts w:ascii="Helvetica" w:hAnsi="Helvetica"/>
          <w:color w:val="007FAD"/>
          <w:kern w:val="28"/>
          <w:sz w:val="24"/>
          <w:szCs w:val="24"/>
        </w:rPr>
        <w:t>Risks associated with the program and management actions</w:t>
      </w:r>
    </w:p>
    <w:tbl>
      <w:tblPr>
        <w:tblStyle w:val="APPR"/>
        <w:tblW w:w="5000" w:type="pct"/>
        <w:tblBorders>
          <w:top w:val="none" w:sz="0" w:space="0" w:color="auto"/>
          <w:bottom w:val="none" w:sz="0" w:space="0" w:color="auto"/>
        </w:tblBorders>
        <w:tblLook w:val="0600" w:firstRow="0" w:lastRow="0" w:firstColumn="0" w:lastColumn="0" w:noHBand="1" w:noVBand="1"/>
      </w:tblPr>
      <w:tblGrid>
        <w:gridCol w:w="3381"/>
        <w:gridCol w:w="5736"/>
      </w:tblGrid>
      <w:tr w:rsidR="004B20BA" w:rsidRPr="004B20BA" w:rsidTr="00EE4E1F">
        <w:trPr>
          <w:cantSplit/>
        </w:trPr>
        <w:tc>
          <w:tcPr>
            <w:tcW w:w="1830" w:type="pct"/>
            <w:tcBorders>
              <w:top w:val="single" w:sz="12" w:space="0" w:color="000000" w:themeColor="text1"/>
            </w:tcBorders>
            <w:hideMark/>
          </w:tcPr>
          <w:p w:rsidR="004B20BA" w:rsidRPr="004B20BA" w:rsidRDefault="004B20BA" w:rsidP="00EF7141">
            <w:pPr>
              <w:pStyle w:val="TableTextColumnHeading"/>
              <w:rPr>
                <w:sz w:val="18"/>
              </w:rPr>
            </w:pPr>
            <w:r w:rsidRPr="004B20BA">
              <w:rPr>
                <w:sz w:val="18"/>
              </w:rPr>
              <w:t>Most significant risks</w:t>
            </w:r>
          </w:p>
        </w:tc>
        <w:tc>
          <w:tcPr>
            <w:tcW w:w="3122" w:type="pct"/>
            <w:tcBorders>
              <w:top w:val="single" w:sz="12" w:space="0" w:color="000000" w:themeColor="text1"/>
            </w:tcBorders>
          </w:tcPr>
          <w:p w:rsidR="004B20BA" w:rsidRPr="004B20BA" w:rsidRDefault="004B20BA" w:rsidP="00EF7141">
            <w:pPr>
              <w:pStyle w:val="TableTextColumnHeading"/>
              <w:rPr>
                <w:sz w:val="18"/>
              </w:rPr>
            </w:pPr>
            <w:r w:rsidRPr="004B20BA">
              <w:rPr>
                <w:sz w:val="18"/>
              </w:rPr>
              <w:t xml:space="preserve">Management response—What? Who? How? When? </w:t>
            </w:r>
          </w:p>
        </w:tc>
      </w:tr>
      <w:tr w:rsidR="004B20BA" w:rsidRPr="004B20BA" w:rsidTr="00EE4E1F">
        <w:trPr>
          <w:cantSplit/>
          <w:tblHeader w:val="0"/>
        </w:trPr>
        <w:tc>
          <w:tcPr>
            <w:tcW w:w="1830" w:type="pct"/>
            <w:hideMark/>
          </w:tcPr>
          <w:p w:rsidR="004B20BA" w:rsidRPr="004B20BA" w:rsidRDefault="004B20BA" w:rsidP="004B2FD1">
            <w:pPr>
              <w:pStyle w:val="TableTextEntries"/>
              <w:rPr>
                <w:sz w:val="18"/>
              </w:rPr>
            </w:pPr>
            <w:r w:rsidRPr="004B20BA">
              <w:rPr>
                <w:sz w:val="18"/>
              </w:rPr>
              <w:t xml:space="preserve">The high level of donor activity in some sectors will </w:t>
            </w:r>
            <w:r w:rsidR="004B2FD1">
              <w:rPr>
                <w:sz w:val="18"/>
              </w:rPr>
              <w:t xml:space="preserve">stretch GOK capacity to </w:t>
            </w:r>
            <w:r w:rsidRPr="004B20BA">
              <w:rPr>
                <w:sz w:val="18"/>
              </w:rPr>
              <w:t>coordinat</w:t>
            </w:r>
            <w:r w:rsidR="004B2FD1">
              <w:rPr>
                <w:sz w:val="18"/>
              </w:rPr>
              <w:t xml:space="preserve">e </w:t>
            </w:r>
            <w:r w:rsidR="00FC619F">
              <w:rPr>
                <w:sz w:val="18"/>
              </w:rPr>
              <w:t>investments</w:t>
            </w:r>
            <w:r w:rsidRPr="004B20BA">
              <w:rPr>
                <w:sz w:val="18"/>
              </w:rPr>
              <w:t>.</w:t>
            </w:r>
          </w:p>
        </w:tc>
        <w:tc>
          <w:tcPr>
            <w:tcW w:w="3122" w:type="pct"/>
          </w:tcPr>
          <w:p w:rsidR="004B20BA" w:rsidRPr="004B20BA" w:rsidRDefault="004B20BA" w:rsidP="00EF7141">
            <w:pPr>
              <w:pStyle w:val="TableTextEntries"/>
              <w:rPr>
                <w:sz w:val="18"/>
              </w:rPr>
            </w:pPr>
            <w:r w:rsidRPr="004B20BA">
              <w:rPr>
                <w:sz w:val="18"/>
              </w:rPr>
              <w:t xml:space="preserve">Noting the high level of donor activity in </w:t>
            </w:r>
            <w:r w:rsidR="00FC619F">
              <w:rPr>
                <w:sz w:val="18"/>
              </w:rPr>
              <w:t>some</w:t>
            </w:r>
            <w:r w:rsidRPr="004B20BA">
              <w:rPr>
                <w:sz w:val="18"/>
              </w:rPr>
              <w:t xml:space="preserve"> sectors, particularly infrastructure and economic growth, the High Commission team will work with donor partners and GoK to strengthen communication and coordination between relevant stakeholders.  Coordinating bodies, such as the Kiribati Fiduciary Services Unit and the National Economic Planning Office, will remain key </w:t>
            </w:r>
            <w:r w:rsidR="00FC619F">
              <w:rPr>
                <w:sz w:val="18"/>
              </w:rPr>
              <w:t>to achieving efficiency gains</w:t>
            </w:r>
            <w:r w:rsidRPr="004B20BA">
              <w:rPr>
                <w:sz w:val="18"/>
              </w:rPr>
              <w:t>.</w:t>
            </w:r>
          </w:p>
        </w:tc>
      </w:tr>
      <w:tr w:rsidR="004B20BA" w:rsidRPr="004B20BA" w:rsidTr="00EE4E1F">
        <w:trPr>
          <w:cantSplit/>
          <w:tblHeader w:val="0"/>
        </w:trPr>
        <w:tc>
          <w:tcPr>
            <w:tcW w:w="1830" w:type="pct"/>
          </w:tcPr>
          <w:p w:rsidR="004B20BA" w:rsidRPr="004B20BA" w:rsidRDefault="004B20BA" w:rsidP="00EF7141">
            <w:pPr>
              <w:pStyle w:val="TableTextEntries"/>
              <w:rPr>
                <w:sz w:val="18"/>
              </w:rPr>
            </w:pPr>
            <w:r w:rsidRPr="004B20BA">
              <w:rPr>
                <w:sz w:val="18"/>
              </w:rPr>
              <w:t xml:space="preserve">Administrative and reporting requirements of development partners, particularly the multilateral development banks, will strain available resources and reduce national focus on project implementation. </w:t>
            </w:r>
          </w:p>
        </w:tc>
        <w:tc>
          <w:tcPr>
            <w:tcW w:w="3122" w:type="pct"/>
          </w:tcPr>
          <w:p w:rsidR="004B20BA" w:rsidRPr="004B20BA" w:rsidRDefault="004B20BA" w:rsidP="00EF7141">
            <w:pPr>
              <w:pStyle w:val="TableTextEntries"/>
              <w:rPr>
                <w:sz w:val="18"/>
              </w:rPr>
            </w:pPr>
            <w:r w:rsidRPr="004B20BA">
              <w:rPr>
                <w:sz w:val="18"/>
              </w:rPr>
              <w:t xml:space="preserve">Director Microstates, High Commissioner and Counsellor in Tarawa continue to advocate for simplified multilateral bank processes across the Pacific, and particularly in the microstates.  </w:t>
            </w:r>
          </w:p>
          <w:p w:rsidR="004B20BA" w:rsidRPr="004B20BA" w:rsidRDefault="004B20BA" w:rsidP="00EF7141">
            <w:pPr>
              <w:pStyle w:val="TableTextEntries"/>
              <w:rPr>
                <w:sz w:val="18"/>
              </w:rPr>
            </w:pPr>
            <w:r w:rsidRPr="004B20BA">
              <w:rPr>
                <w:sz w:val="18"/>
              </w:rPr>
              <w:t xml:space="preserve">Australia will continue to coordinate with the multilateral banks at a program level around reporting timeframes and templates to reduce the burden of multiple donor requirements. </w:t>
            </w:r>
          </w:p>
          <w:p w:rsidR="004B20BA" w:rsidRPr="004B20BA" w:rsidRDefault="004B20BA" w:rsidP="00EF7141">
            <w:pPr>
              <w:pStyle w:val="TableTextEntries"/>
              <w:rPr>
                <w:sz w:val="18"/>
              </w:rPr>
            </w:pPr>
          </w:p>
        </w:tc>
      </w:tr>
      <w:tr w:rsidR="004B20BA" w:rsidRPr="004B20BA" w:rsidTr="00EE4E1F">
        <w:trPr>
          <w:cantSplit/>
          <w:tblHeader w:val="0"/>
        </w:trPr>
        <w:tc>
          <w:tcPr>
            <w:tcW w:w="1830" w:type="pct"/>
          </w:tcPr>
          <w:p w:rsidR="004B20BA" w:rsidRPr="004B20BA" w:rsidRDefault="004B20BA" w:rsidP="004B2FD1">
            <w:pPr>
              <w:pStyle w:val="TableTextEntries"/>
              <w:rPr>
                <w:sz w:val="18"/>
              </w:rPr>
            </w:pPr>
            <w:r w:rsidRPr="004B20BA">
              <w:rPr>
                <w:sz w:val="18"/>
              </w:rPr>
              <w:t xml:space="preserve">Limited growth in the </w:t>
            </w:r>
            <w:r w:rsidR="004B2FD1">
              <w:rPr>
                <w:sz w:val="18"/>
              </w:rPr>
              <w:t xml:space="preserve">bilateral allocation to Kiribati </w:t>
            </w:r>
            <w:r w:rsidR="00FC39C3">
              <w:rPr>
                <w:sz w:val="18"/>
              </w:rPr>
              <w:t>may</w:t>
            </w:r>
            <w:r w:rsidR="00FC39C3" w:rsidRPr="004B20BA">
              <w:rPr>
                <w:sz w:val="18"/>
              </w:rPr>
              <w:t xml:space="preserve"> </w:t>
            </w:r>
            <w:r w:rsidRPr="004B20BA">
              <w:rPr>
                <w:sz w:val="18"/>
              </w:rPr>
              <w:t>result in Australia being less able to provide flexible assistance and be the donor of choice Kiribati.</w:t>
            </w:r>
          </w:p>
        </w:tc>
        <w:tc>
          <w:tcPr>
            <w:tcW w:w="3122" w:type="pct"/>
          </w:tcPr>
          <w:p w:rsidR="004B20BA" w:rsidRPr="004B20BA" w:rsidRDefault="004B20BA" w:rsidP="00EF7141">
            <w:pPr>
              <w:pStyle w:val="TableTextEntries"/>
              <w:rPr>
                <w:sz w:val="18"/>
              </w:rPr>
            </w:pPr>
            <w:r w:rsidRPr="004B20BA">
              <w:rPr>
                <w:sz w:val="18"/>
              </w:rPr>
              <w:t>High Commissioner and Counsellor in Tarawa will continue strong and clear communication with GoK</w:t>
            </w:r>
            <w:r w:rsidR="00FC619F">
              <w:rPr>
                <w:sz w:val="18"/>
              </w:rPr>
              <w:t xml:space="preserve"> so as to contain expectations</w:t>
            </w:r>
            <w:r w:rsidR="00E235DF">
              <w:rPr>
                <w:sz w:val="18"/>
              </w:rPr>
              <w:t xml:space="preserve"> of an expanding scope of Australian finance aid investments</w:t>
            </w:r>
            <w:r w:rsidR="00FC619F">
              <w:rPr>
                <w:sz w:val="18"/>
              </w:rPr>
              <w:t>.</w:t>
            </w:r>
            <w:r w:rsidRPr="004B20BA">
              <w:rPr>
                <w:sz w:val="18"/>
              </w:rPr>
              <w:t xml:space="preserve">  </w:t>
            </w:r>
          </w:p>
          <w:p w:rsidR="004B20BA" w:rsidRPr="004B20BA" w:rsidRDefault="004B20BA" w:rsidP="00EF7141">
            <w:pPr>
              <w:pStyle w:val="TableTextEntries"/>
              <w:rPr>
                <w:sz w:val="18"/>
              </w:rPr>
            </w:pPr>
          </w:p>
          <w:p w:rsidR="004B20BA" w:rsidRPr="004B20BA" w:rsidRDefault="004B20BA" w:rsidP="00EF7141">
            <w:pPr>
              <w:pStyle w:val="TableTextEntries"/>
              <w:rPr>
                <w:sz w:val="18"/>
              </w:rPr>
            </w:pPr>
          </w:p>
        </w:tc>
      </w:tr>
      <w:tr w:rsidR="000800F5" w:rsidRPr="004B20BA" w:rsidTr="00EE4E1F">
        <w:trPr>
          <w:cantSplit/>
          <w:tblHeader w:val="0"/>
        </w:trPr>
        <w:tc>
          <w:tcPr>
            <w:tcW w:w="1830" w:type="pct"/>
          </w:tcPr>
          <w:p w:rsidR="000800F5" w:rsidRDefault="000800F5" w:rsidP="00EF7141">
            <w:pPr>
              <w:pStyle w:val="TableTextEntries"/>
              <w:rPr>
                <w:sz w:val="18"/>
              </w:rPr>
            </w:pPr>
            <w:r w:rsidRPr="000800F5">
              <w:rPr>
                <w:sz w:val="18"/>
              </w:rPr>
              <w:t>Re-emergence of fiscal pressures (</w:t>
            </w:r>
            <w:r w:rsidR="0026310D" w:rsidRPr="000800F5">
              <w:rPr>
                <w:sz w:val="18"/>
              </w:rPr>
              <w:t>e.g.</w:t>
            </w:r>
            <w:r w:rsidRPr="000800F5">
              <w:rPr>
                <w:sz w:val="18"/>
              </w:rPr>
              <w:t xml:space="preserve"> due to an external shock) requiring unsustainable drawdowns from the RERF</w:t>
            </w:r>
          </w:p>
          <w:p w:rsidR="000800F5" w:rsidRPr="004B20BA" w:rsidRDefault="000800F5" w:rsidP="00EF7141">
            <w:pPr>
              <w:pStyle w:val="TableTextEntries"/>
              <w:rPr>
                <w:sz w:val="18"/>
              </w:rPr>
            </w:pPr>
          </w:p>
        </w:tc>
        <w:tc>
          <w:tcPr>
            <w:tcW w:w="3122" w:type="pct"/>
          </w:tcPr>
          <w:p w:rsidR="000800F5" w:rsidRDefault="000800F5" w:rsidP="00FC619F">
            <w:pPr>
              <w:pStyle w:val="TableTextEntries"/>
              <w:rPr>
                <w:sz w:val="18"/>
              </w:rPr>
            </w:pPr>
            <w:r w:rsidRPr="000800F5">
              <w:rPr>
                <w:sz w:val="18"/>
              </w:rPr>
              <w:t>High Commissioner and Counsellor to continue dialogue with key GoK counterparts on the fundamental importance of both prudent fiscal policy and RERF management.   Maintain a supportive approach to GoK’s technical assistance requirements in relation to fiscal management.  Liaise with the IMF and MDBs as they closely monitor Kiribati’s fiscal outlook.</w:t>
            </w:r>
          </w:p>
          <w:p w:rsidR="000800F5" w:rsidRPr="004B20BA" w:rsidRDefault="000800F5" w:rsidP="00FC619F">
            <w:pPr>
              <w:pStyle w:val="TableTextEntries"/>
              <w:rPr>
                <w:sz w:val="18"/>
              </w:rPr>
            </w:pPr>
          </w:p>
        </w:tc>
      </w:tr>
      <w:tr w:rsidR="004B20BA" w:rsidRPr="004B20BA" w:rsidTr="00EE4E1F">
        <w:trPr>
          <w:cantSplit/>
          <w:tblHeader w:val="0"/>
        </w:trPr>
        <w:tc>
          <w:tcPr>
            <w:tcW w:w="1830" w:type="pct"/>
          </w:tcPr>
          <w:p w:rsidR="004B20BA" w:rsidRPr="00A46DCF" w:rsidRDefault="004B20BA" w:rsidP="00EF7141">
            <w:pPr>
              <w:pStyle w:val="TableTextEntries"/>
              <w:rPr>
                <w:sz w:val="18"/>
                <w:highlight w:val="yellow"/>
              </w:rPr>
            </w:pPr>
          </w:p>
        </w:tc>
        <w:tc>
          <w:tcPr>
            <w:tcW w:w="3122" w:type="pct"/>
          </w:tcPr>
          <w:p w:rsidR="004B20BA" w:rsidRPr="00A46DCF" w:rsidRDefault="004B20BA" w:rsidP="00FC619F">
            <w:pPr>
              <w:pStyle w:val="TableTextEntries"/>
              <w:rPr>
                <w:sz w:val="18"/>
                <w:highlight w:val="yellow"/>
              </w:rPr>
            </w:pPr>
          </w:p>
        </w:tc>
      </w:tr>
    </w:tbl>
    <w:p w:rsidR="00CA113C" w:rsidRPr="004B20BA" w:rsidRDefault="00CA113C" w:rsidP="00113DC6">
      <w:pPr>
        <w:pStyle w:val="ListBullet"/>
        <w:numPr>
          <w:ilvl w:val="0"/>
          <w:numId w:val="0"/>
        </w:numPr>
        <w:spacing w:after="200" w:line="276" w:lineRule="auto"/>
        <w:rPr>
          <w:rFonts w:ascii="Helvetica" w:hAnsi="Helvetica" w:cs="Arial"/>
          <w:b/>
          <w:color w:val="124486"/>
          <w:spacing w:val="-10"/>
          <w:kern w:val="28"/>
          <w:sz w:val="32"/>
          <w:szCs w:val="32"/>
        </w:rPr>
        <w:sectPr w:rsidR="00CA113C" w:rsidRPr="004B20BA" w:rsidSect="00956C59">
          <w:headerReference w:type="default" r:id="rId18"/>
          <w:type w:val="nextColumn"/>
          <w:pgSz w:w="11907" w:h="16840" w:code="9"/>
          <w:pgMar w:top="1702" w:right="1531" w:bottom="851" w:left="1531" w:header="851" w:footer="567" w:gutter="0"/>
          <w:pgNumType w:start="1"/>
          <w:cols w:space="720"/>
          <w:docGrid w:linePitch="326"/>
        </w:sectPr>
      </w:pPr>
    </w:p>
    <w:p w:rsidR="000D733F" w:rsidRPr="009E38C1" w:rsidRDefault="000D733F" w:rsidP="000D733F">
      <w:pPr>
        <w:pStyle w:val="Heading2"/>
        <w:rPr>
          <w:sz w:val="28"/>
        </w:rPr>
      </w:pPr>
      <w:r w:rsidRPr="009E38C1">
        <w:rPr>
          <w:sz w:val="28"/>
        </w:rPr>
        <w:t xml:space="preserve">Annex A </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rsidR="000D733F" w:rsidRPr="00180B19" w:rsidRDefault="000D733F" w:rsidP="000D733F">
            <w:pPr>
              <w:pStyle w:val="TableTextColumnHeading"/>
            </w:pPr>
            <w:r w:rsidRPr="00FE4491">
              <w:t>Rating</w:t>
            </w:r>
          </w:p>
        </w:tc>
        <w:tc>
          <w:tcPr>
            <w:tcW w:w="6896" w:type="dxa"/>
          </w:tcPr>
          <w:p w:rsidR="000D733F" w:rsidRPr="00180B19" w:rsidRDefault="000D733F" w:rsidP="000D733F">
            <w:pPr>
              <w:pStyle w:val="TableTextColumnHeading"/>
            </w:pPr>
            <w:r w:rsidRPr="00FE4491">
              <w:t xml:space="preserve">Progress made in </w:t>
            </w:r>
            <w:r>
              <w:t>2013-14</w:t>
            </w:r>
          </w:p>
        </w:tc>
      </w:tr>
      <w:tr w:rsidR="000D733F" w:rsidRPr="00180B19" w:rsidTr="00C91291">
        <w:trPr>
          <w:cnfStyle w:val="000000010000" w:firstRow="0" w:lastRow="0" w:firstColumn="0" w:lastColumn="0" w:oddVBand="0" w:evenVBand="0" w:oddHBand="0" w:evenHBand="1" w:firstRowFirstColumn="0" w:firstRowLastColumn="0" w:lastRowFirstColumn="0" w:lastRowLastColumn="0"/>
        </w:trPr>
        <w:tc>
          <w:tcPr>
            <w:tcW w:w="6473" w:type="dxa"/>
          </w:tcPr>
          <w:p w:rsidR="00B13498" w:rsidRPr="00100AA2" w:rsidRDefault="00B13498" w:rsidP="00DB050E">
            <w:pPr>
              <w:pStyle w:val="TableTextEntries"/>
            </w:pPr>
            <w:r>
              <w:t>Aus</w:t>
            </w:r>
            <w:r w:rsidR="00DB050E">
              <w:t>tralia</w:t>
            </w:r>
            <w:r>
              <w:t xml:space="preserve"> to increase our body of analytical work across multiple sectors</w:t>
            </w:r>
          </w:p>
        </w:tc>
        <w:tc>
          <w:tcPr>
            <w:tcW w:w="964" w:type="dxa"/>
            <w:shd w:val="clear" w:color="auto" w:fill="00B050"/>
            <w:vAlign w:val="center"/>
          </w:tcPr>
          <w:p w:rsidR="000D733F" w:rsidRPr="00C91291" w:rsidRDefault="0015760A" w:rsidP="0015760A">
            <w:pPr>
              <w:pStyle w:val="TableTextEntries"/>
              <w:jc w:val="center"/>
              <w:rPr>
                <w:color w:val="FFFFFF" w:themeColor="background1"/>
              </w:rPr>
            </w:pPr>
            <w:r w:rsidRPr="00C91291">
              <w:rPr>
                <w:color w:val="FFFFFF" w:themeColor="background1"/>
              </w:rPr>
              <w:t>Achieve</w:t>
            </w:r>
            <w:r w:rsidR="00B13498" w:rsidRPr="00A46742">
              <w:rPr>
                <w:color w:val="FFFFFF" w:themeColor="background1"/>
              </w:rPr>
              <w:t>d</w:t>
            </w:r>
          </w:p>
        </w:tc>
        <w:tc>
          <w:tcPr>
            <w:tcW w:w="6896" w:type="dxa"/>
          </w:tcPr>
          <w:p w:rsidR="000D733F" w:rsidRPr="00B30E77" w:rsidRDefault="0015760A" w:rsidP="002A766B">
            <w:pPr>
              <w:pStyle w:val="TableTextEntries"/>
              <w:rPr>
                <w:color w:val="92D050"/>
              </w:rPr>
            </w:pPr>
            <w:r>
              <w:t>A</w:t>
            </w:r>
            <w:r w:rsidR="00B13498" w:rsidRPr="00B13498">
              <w:t>nalytical work completed includ</w:t>
            </w:r>
            <w:r>
              <w:t>es the</w:t>
            </w:r>
            <w:r w:rsidR="00B13498">
              <w:t xml:space="preserve"> Kiribati </w:t>
            </w:r>
            <w:r w:rsidR="00B13498" w:rsidRPr="00B13498">
              <w:t xml:space="preserve">Poverty </w:t>
            </w:r>
            <w:r w:rsidR="00B13498">
              <w:t xml:space="preserve">Assessment, </w:t>
            </w:r>
            <w:r>
              <w:t xml:space="preserve">health sector concept note prepared and shared with Government, </w:t>
            </w:r>
            <w:r w:rsidR="002B5078">
              <w:t xml:space="preserve">Situation and Needs </w:t>
            </w:r>
            <w:r w:rsidR="002A766B">
              <w:t>A</w:t>
            </w:r>
            <w:r w:rsidR="002B5078">
              <w:t xml:space="preserve">ssessment of Disaster Risk Management and Climate Change, </w:t>
            </w:r>
            <w:r>
              <w:t xml:space="preserve">technical support to assist with the development of the </w:t>
            </w:r>
            <w:r w:rsidR="002B5078">
              <w:t>N</w:t>
            </w:r>
            <w:r w:rsidR="00B13498">
              <w:t xml:space="preserve">ational </w:t>
            </w:r>
            <w:r w:rsidR="002B5078">
              <w:t>F</w:t>
            </w:r>
            <w:r w:rsidR="00B13498">
              <w:t>isheries</w:t>
            </w:r>
            <w:r w:rsidR="002B5078">
              <w:t xml:space="preserve"> Policy</w:t>
            </w:r>
            <w:r w:rsidR="00B13498">
              <w:t xml:space="preserve">, KANI review completed, </w:t>
            </w:r>
            <w:r>
              <w:t xml:space="preserve">and preparatory work for the </w:t>
            </w:r>
            <w:r w:rsidR="00B13498">
              <w:t xml:space="preserve">KEIP independent review.  </w:t>
            </w:r>
            <w:r w:rsidR="00B13498" w:rsidRPr="00B13498">
              <w:t xml:space="preserve"> </w:t>
            </w:r>
          </w:p>
        </w:tc>
      </w:tr>
      <w:tr w:rsidR="000D733F" w:rsidRPr="00180B19" w:rsidTr="005971FB">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B13498" w:rsidP="002A766B">
            <w:pPr>
              <w:pStyle w:val="TableTextEntries"/>
            </w:pPr>
            <w:r>
              <w:t>Aus</w:t>
            </w:r>
            <w:r w:rsidR="002A766B">
              <w:t xml:space="preserve">tralia </w:t>
            </w:r>
            <w:r>
              <w:t xml:space="preserve"> to continue policy discussions with GoK </w:t>
            </w:r>
            <w:r w:rsidR="002B5078">
              <w:t>at the Partnership Talks, particularly around strengthening the National Infrastructure Development Steering Committee</w:t>
            </w:r>
          </w:p>
        </w:tc>
        <w:tc>
          <w:tcPr>
            <w:tcW w:w="964" w:type="dxa"/>
            <w:shd w:val="clear" w:color="auto" w:fill="00B050"/>
            <w:vAlign w:val="center"/>
          </w:tcPr>
          <w:p w:rsidR="000D733F" w:rsidRPr="00443639" w:rsidRDefault="000D733F" w:rsidP="002B5078">
            <w:pPr>
              <w:pStyle w:val="TableTextEntries"/>
              <w:jc w:val="center"/>
              <w:rPr>
                <w:color w:val="FFFFFF" w:themeColor="background1"/>
              </w:rPr>
            </w:pPr>
            <w:r>
              <w:rPr>
                <w:color w:val="FFFFFF" w:themeColor="background1"/>
              </w:rPr>
              <w:t>Achieved</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896" w:type="dxa"/>
          </w:tcPr>
          <w:p w:rsidR="000D733F" w:rsidRPr="002B5078" w:rsidRDefault="002B5078" w:rsidP="0015760A">
            <w:pPr>
              <w:pStyle w:val="TableTextEntries"/>
            </w:pPr>
            <w:r w:rsidRPr="002B5078">
              <w:t xml:space="preserve">Partnership Talks </w:t>
            </w:r>
            <w:r w:rsidR="004B2FD1">
              <w:t xml:space="preserve">were </w:t>
            </w:r>
            <w:r w:rsidRPr="002B5078">
              <w:t xml:space="preserve">held in February 2014.  The effectiveness of the National Infrastructure Development Steering Committee was discussed.  Agreement between GoK and Australia with that the NIDSC would meet at least quarterly.  </w:t>
            </w:r>
          </w:p>
        </w:tc>
      </w:tr>
      <w:tr w:rsidR="000D733F" w:rsidRPr="00180B19" w:rsidTr="005971FB">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2B5078" w:rsidP="000D733F">
            <w:pPr>
              <w:pStyle w:val="TableTextEntries"/>
            </w:pPr>
            <w:r>
              <w:t xml:space="preserve">Reform to the selection of Australia scholarship recipients, including harmonisation with New Zealand </w:t>
            </w:r>
          </w:p>
        </w:tc>
        <w:tc>
          <w:tcPr>
            <w:tcW w:w="964" w:type="dxa"/>
            <w:shd w:val="clear" w:color="auto" w:fill="00B050"/>
            <w:vAlign w:val="center"/>
          </w:tcPr>
          <w:p w:rsidR="000D733F" w:rsidRPr="00443639" w:rsidRDefault="000D733F" w:rsidP="002B5078">
            <w:pPr>
              <w:pStyle w:val="TableTextEntries"/>
              <w:jc w:val="center"/>
              <w:rPr>
                <w:color w:val="FFFFFF" w:themeColor="background1"/>
              </w:rPr>
            </w:pPr>
            <w:r>
              <w:rPr>
                <w:color w:val="FFFFFF" w:themeColor="background1"/>
              </w:rPr>
              <w:t>Achieved</w:t>
            </w:r>
          </w:p>
        </w:tc>
        <w:tc>
          <w:tcPr>
            <w:tcW w:w="6896" w:type="dxa"/>
          </w:tcPr>
          <w:p w:rsidR="000D733F" w:rsidRPr="002B5078" w:rsidRDefault="0015760A" w:rsidP="002A766B">
            <w:pPr>
              <w:pStyle w:val="TableTextEntries"/>
            </w:pPr>
            <w:r>
              <w:t xml:space="preserve">Australia and New Zealand </w:t>
            </w:r>
            <w:r w:rsidR="002B5078">
              <w:t xml:space="preserve">conducted the first </w:t>
            </w:r>
            <w:r>
              <w:t>merit based and</w:t>
            </w:r>
            <w:r w:rsidR="002B5078">
              <w:t xml:space="preserve"> fully harmonisation scholarship selection process in 2014. </w:t>
            </w:r>
          </w:p>
        </w:tc>
      </w:tr>
      <w:tr w:rsidR="000D733F" w:rsidRPr="00180B19" w:rsidTr="005971FB">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00AA2" w:rsidRDefault="002B5078" w:rsidP="003845F0">
            <w:pPr>
              <w:pStyle w:val="TableTextEntries"/>
            </w:pPr>
            <w:r>
              <w:t>Aus</w:t>
            </w:r>
            <w:r w:rsidR="002A766B">
              <w:t xml:space="preserve">tralia </w:t>
            </w:r>
            <w:r>
              <w:t>to use the findings of the independent review of the Kiribati-Australia Nursing Initiative (KANI)</w:t>
            </w:r>
            <w:r w:rsidR="005971FB">
              <w:t xml:space="preserve"> to inform a decision about how to resh</w:t>
            </w:r>
            <w:r w:rsidR="003845F0">
              <w:t>ape</w:t>
            </w:r>
            <w:r w:rsidR="005971FB">
              <w:t xml:space="preserve"> support to this sector</w:t>
            </w:r>
          </w:p>
        </w:tc>
        <w:tc>
          <w:tcPr>
            <w:tcW w:w="964" w:type="dxa"/>
            <w:shd w:val="clear" w:color="auto" w:fill="00B050"/>
            <w:vAlign w:val="center"/>
          </w:tcPr>
          <w:p w:rsidR="000D733F" w:rsidRPr="00443639" w:rsidRDefault="005971FB" w:rsidP="002B5078">
            <w:pPr>
              <w:pStyle w:val="TableTextEntries"/>
              <w:jc w:val="center"/>
              <w:rPr>
                <w:color w:val="FFFFFF" w:themeColor="background1"/>
              </w:rPr>
            </w:pPr>
            <w:r>
              <w:rPr>
                <w:color w:val="FFFFFF" w:themeColor="background1"/>
              </w:rPr>
              <w:t>Achieved</w:t>
            </w:r>
          </w:p>
        </w:tc>
        <w:tc>
          <w:tcPr>
            <w:tcW w:w="6896" w:type="dxa"/>
          </w:tcPr>
          <w:p w:rsidR="000D733F" w:rsidRPr="002B5078" w:rsidRDefault="005971FB" w:rsidP="003845F0">
            <w:pPr>
              <w:pStyle w:val="TableTextEntries"/>
            </w:pPr>
            <w:r>
              <w:t xml:space="preserve">The final KANI students graduated from their studies in 2014 and the KANI initiative is being closed down.  Support to the sector will be further examined in 2014-15, with likely future support redirected to the Kiribati School of Nursing. </w:t>
            </w:r>
          </w:p>
        </w:tc>
      </w:tr>
      <w:tr w:rsidR="000D733F" w:rsidRPr="00180B19" w:rsidTr="005971FB">
        <w:trPr>
          <w:cnfStyle w:val="000000010000" w:firstRow="0" w:lastRow="0" w:firstColumn="0" w:lastColumn="0" w:oddVBand="0" w:evenVBand="0" w:oddHBand="0" w:evenHBand="1" w:firstRowFirstColumn="0" w:firstRowLastColumn="0" w:lastRowFirstColumn="0" w:lastRowLastColumn="0"/>
          <w:trHeight w:val="637"/>
        </w:trPr>
        <w:tc>
          <w:tcPr>
            <w:tcW w:w="6473" w:type="dxa"/>
          </w:tcPr>
          <w:p w:rsidR="000D733F" w:rsidRDefault="005971FB" w:rsidP="005971FB">
            <w:pPr>
              <w:pStyle w:val="TableTextEntries"/>
            </w:pPr>
            <w:r>
              <w:t>Aus</w:t>
            </w:r>
            <w:r w:rsidR="002A766B">
              <w:t xml:space="preserve">tralia </w:t>
            </w:r>
            <w:r>
              <w:t>to continue working with multilateral banks to assess their management structures in small island states</w:t>
            </w:r>
          </w:p>
          <w:p w:rsidR="005971FB" w:rsidRPr="00100AA2" w:rsidRDefault="005971FB" w:rsidP="005971FB">
            <w:pPr>
              <w:pStyle w:val="TableTextEntries"/>
            </w:pPr>
          </w:p>
        </w:tc>
        <w:tc>
          <w:tcPr>
            <w:tcW w:w="964" w:type="dxa"/>
            <w:shd w:val="clear" w:color="auto" w:fill="F79646" w:themeFill="accent6"/>
            <w:vAlign w:val="center"/>
          </w:tcPr>
          <w:p w:rsidR="000D733F" w:rsidRPr="00443639" w:rsidRDefault="005971FB" w:rsidP="002B5078">
            <w:pPr>
              <w:pStyle w:val="TableTextEntries"/>
              <w:jc w:val="center"/>
              <w:rPr>
                <w:color w:val="FFFFFF" w:themeColor="background1"/>
              </w:rPr>
            </w:pPr>
            <w:r w:rsidRPr="00FC39C3">
              <w:rPr>
                <w:color w:val="FFFFFF" w:themeColor="background1"/>
              </w:rPr>
              <w:t>Partly</w:t>
            </w:r>
            <w:r>
              <w:rPr>
                <w:color w:val="FFFFFF" w:themeColor="background1"/>
              </w:rPr>
              <w:t xml:space="preserve"> achieved</w:t>
            </w:r>
          </w:p>
        </w:tc>
        <w:tc>
          <w:tcPr>
            <w:tcW w:w="6896" w:type="dxa"/>
          </w:tcPr>
          <w:p w:rsidR="000D733F" w:rsidRPr="002B5078" w:rsidRDefault="005971FB" w:rsidP="003845F0">
            <w:pPr>
              <w:pStyle w:val="TableTextEntries"/>
            </w:pPr>
            <w:r>
              <w:t xml:space="preserve">DFAT has continued engagement with the World Bank and ADB </w:t>
            </w:r>
            <w:r w:rsidR="0015760A">
              <w:t>encouraging them to adapt their processes to microstate operations. The</w:t>
            </w:r>
            <w:r>
              <w:t xml:space="preserve"> in-country </w:t>
            </w:r>
            <w:r w:rsidR="0015760A">
              <w:t xml:space="preserve">liaison position </w:t>
            </w:r>
            <w:r>
              <w:t xml:space="preserve">remains </w:t>
            </w:r>
            <w:r w:rsidR="00D42EC7">
              <w:t>vacant;</w:t>
            </w:r>
            <w:r>
              <w:t xml:space="preserve"> DFAT is largely satisfied with the frequency and structure of most supervision missions.  DFAT will continue stressing the importance of regular missions and strategic dialogue between multilateral partners and GoK.</w:t>
            </w:r>
          </w:p>
        </w:tc>
      </w:tr>
      <w:tr w:rsidR="005971FB" w:rsidRPr="00180B19" w:rsidTr="005971FB">
        <w:trPr>
          <w:cnfStyle w:val="000000010000" w:firstRow="0" w:lastRow="0" w:firstColumn="0" w:lastColumn="0" w:oddVBand="0" w:evenVBand="0" w:oddHBand="0" w:evenHBand="1" w:firstRowFirstColumn="0" w:firstRowLastColumn="0" w:lastRowFirstColumn="0" w:lastRowLastColumn="0"/>
          <w:trHeight w:val="637"/>
        </w:trPr>
        <w:tc>
          <w:tcPr>
            <w:tcW w:w="6473" w:type="dxa"/>
          </w:tcPr>
          <w:p w:rsidR="005971FB" w:rsidRDefault="005971FB" w:rsidP="002A766B">
            <w:pPr>
              <w:pStyle w:val="TableTextEntries"/>
            </w:pPr>
            <w:r>
              <w:t>Aus</w:t>
            </w:r>
            <w:r w:rsidR="002A766B">
              <w:t xml:space="preserve">tralia </w:t>
            </w:r>
            <w:r>
              <w:t>to examine options for improving monitoring and evaluation across the Kiribati program</w:t>
            </w:r>
          </w:p>
        </w:tc>
        <w:tc>
          <w:tcPr>
            <w:tcW w:w="964" w:type="dxa"/>
            <w:tcBorders>
              <w:bottom w:val="single" w:sz="12" w:space="0" w:color="000000" w:themeColor="text1"/>
            </w:tcBorders>
            <w:shd w:val="clear" w:color="auto" w:fill="00B050"/>
            <w:vAlign w:val="center"/>
          </w:tcPr>
          <w:p w:rsidR="005971FB" w:rsidRPr="00443639" w:rsidRDefault="005971FB" w:rsidP="005971FB">
            <w:pPr>
              <w:pStyle w:val="TableTextEntries"/>
              <w:jc w:val="center"/>
              <w:rPr>
                <w:color w:val="FFFFFF" w:themeColor="background1"/>
              </w:rPr>
            </w:pPr>
            <w:r>
              <w:rPr>
                <w:color w:val="FFFFFF" w:themeColor="background1"/>
              </w:rPr>
              <w:t>Achieved</w:t>
            </w:r>
          </w:p>
        </w:tc>
        <w:tc>
          <w:tcPr>
            <w:tcW w:w="6896" w:type="dxa"/>
          </w:tcPr>
          <w:p w:rsidR="005971FB" w:rsidRPr="002B5078" w:rsidRDefault="002D2BD3" w:rsidP="003845F0">
            <w:pPr>
              <w:pStyle w:val="TableTextEntries"/>
            </w:pPr>
            <w:r>
              <w:t>In-line with this commitment, DFAT has conducted</w:t>
            </w:r>
            <w:r w:rsidR="0015760A">
              <w:t xml:space="preserve"> or is planning</w:t>
            </w:r>
            <w:r>
              <w:t xml:space="preserve"> independent reviews of the basic education program and KANI to improve performance and develop performance benchmarks.  Future evaluation is also planned for </w:t>
            </w:r>
            <w:r w:rsidR="0015760A">
              <w:t xml:space="preserve">the </w:t>
            </w:r>
            <w:r>
              <w:t>climate change (KAP)</w:t>
            </w:r>
            <w:r w:rsidR="0015760A">
              <w:t xml:space="preserve"> program in 2014/15</w:t>
            </w:r>
            <w:r>
              <w:t xml:space="preserve">. </w:t>
            </w: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r>
        <w:br w:type="page"/>
      </w:r>
    </w:p>
    <w:p w:rsidR="000D733F" w:rsidRPr="009E38C1" w:rsidRDefault="000D733F" w:rsidP="000D733F">
      <w:pPr>
        <w:pStyle w:val="Heading2"/>
        <w:tabs>
          <w:tab w:val="left" w:pos="1560"/>
        </w:tabs>
        <w:rPr>
          <w:sz w:val="28"/>
        </w:rPr>
      </w:pPr>
      <w:r w:rsidRPr="009E38C1">
        <w:rPr>
          <w:sz w:val="28"/>
        </w:rPr>
        <w:t xml:space="preserve">Annex B </w:t>
      </w:r>
      <w:r w:rsidRPr="009E38C1">
        <w:rPr>
          <w:sz w:val="28"/>
        </w:rPr>
        <w:tab/>
      </w:r>
    </w:p>
    <w:p w:rsidR="003F4EDB" w:rsidRPr="00B96133" w:rsidRDefault="003F4EDB" w:rsidP="003F4EDB">
      <w:pPr>
        <w:pStyle w:val="Heading2"/>
      </w:pPr>
      <w:r w:rsidRPr="00B96133">
        <w:t>Quality at implementation ratings</w:t>
      </w:r>
    </w:p>
    <w:tbl>
      <w:tblPr>
        <w:tblStyle w:val="APPR"/>
        <w:tblW w:w="4459" w:type="pct"/>
        <w:tblLayout w:type="fixed"/>
        <w:tblLook w:val="0000" w:firstRow="0" w:lastRow="0" w:firstColumn="0" w:lastColumn="0" w:noHBand="0" w:noVBand="0"/>
      </w:tblPr>
      <w:tblGrid>
        <w:gridCol w:w="3486"/>
        <w:gridCol w:w="3034"/>
        <w:gridCol w:w="889"/>
        <w:gridCol w:w="57"/>
        <w:gridCol w:w="917"/>
        <w:gridCol w:w="917"/>
        <w:gridCol w:w="917"/>
        <w:gridCol w:w="888"/>
        <w:gridCol w:w="888"/>
        <w:gridCol w:w="889"/>
      </w:tblGrid>
      <w:tr w:rsidR="003F4EDB" w:rsidRPr="009D53C4" w:rsidTr="00956C59">
        <w:trPr>
          <w:trHeight w:val="1588"/>
          <w:tblHeader w:val="0"/>
        </w:trPr>
        <w:tc>
          <w:tcPr>
            <w:tcW w:w="1348" w:type="pct"/>
          </w:tcPr>
          <w:p w:rsidR="003F4EDB" w:rsidRPr="00FE4491" w:rsidRDefault="003F4EDB" w:rsidP="00956C59">
            <w:pPr>
              <w:pStyle w:val="TableTextColumnHeading"/>
            </w:pPr>
            <w:r w:rsidRPr="00FE4491">
              <w:rPr>
                <w:noProof/>
                <w:lang w:eastAsia="en-AU"/>
              </w:rPr>
              <w:drawing>
                <wp:anchor distT="0" distB="0" distL="114300" distR="114300" simplePos="0" relativeHeight="251673600" behindDoc="0" locked="0" layoutInCell="1" allowOverlap="1" wp14:anchorId="221F0983" wp14:editId="1BBC9A85">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1177" w:type="pct"/>
            <w:textDirection w:val="btLr"/>
          </w:tcPr>
          <w:p w:rsidR="003F4EDB" w:rsidRPr="00FE4491" w:rsidRDefault="003F4EDB" w:rsidP="00956C59">
            <w:pPr>
              <w:pStyle w:val="TableTextColumnHeading"/>
            </w:pPr>
            <w:r w:rsidRPr="00FE4491">
              <w:t>Approved budget and duration</w:t>
            </w:r>
          </w:p>
        </w:tc>
        <w:tc>
          <w:tcPr>
            <w:tcW w:w="348" w:type="pct"/>
            <w:gridSpan w:val="2"/>
            <w:textDirection w:val="btLr"/>
          </w:tcPr>
          <w:p w:rsidR="003F4EDB" w:rsidRPr="00FE4491" w:rsidRDefault="003F4EDB" w:rsidP="00956C59">
            <w:pPr>
              <w:pStyle w:val="TableTextColumnHeading"/>
            </w:pPr>
            <w:r w:rsidRPr="00FE4491">
              <w:t>QaI year</w:t>
            </w:r>
          </w:p>
        </w:tc>
        <w:tc>
          <w:tcPr>
            <w:tcW w:w="348" w:type="pct"/>
            <w:textDirection w:val="btLr"/>
          </w:tcPr>
          <w:p w:rsidR="003F4EDB" w:rsidRPr="00FE4491" w:rsidRDefault="003F4EDB" w:rsidP="00956C59">
            <w:pPr>
              <w:pStyle w:val="TableTextColumnHeading"/>
            </w:pPr>
            <w:r w:rsidRPr="00FE4491">
              <w:t>Relevance</w:t>
            </w:r>
          </w:p>
        </w:tc>
        <w:tc>
          <w:tcPr>
            <w:tcW w:w="348" w:type="pct"/>
            <w:textDirection w:val="btLr"/>
          </w:tcPr>
          <w:p w:rsidR="003F4EDB" w:rsidRPr="00FE4491" w:rsidRDefault="003F4EDB" w:rsidP="00956C59">
            <w:pPr>
              <w:pStyle w:val="TableTextColumnHeading"/>
            </w:pPr>
            <w:r w:rsidRPr="00FE4491">
              <w:t>Effectiveness</w:t>
            </w:r>
          </w:p>
        </w:tc>
        <w:tc>
          <w:tcPr>
            <w:tcW w:w="348" w:type="pct"/>
            <w:textDirection w:val="btLr"/>
          </w:tcPr>
          <w:p w:rsidR="003F4EDB" w:rsidRPr="00FE4491" w:rsidRDefault="003F4EDB" w:rsidP="00956C59">
            <w:pPr>
              <w:pStyle w:val="TableTextColumnHeading"/>
            </w:pPr>
            <w:r w:rsidRPr="00FE4491">
              <w:t>Efficiency</w:t>
            </w:r>
          </w:p>
        </w:tc>
        <w:tc>
          <w:tcPr>
            <w:tcW w:w="337" w:type="pct"/>
            <w:textDirection w:val="btLr"/>
          </w:tcPr>
          <w:p w:rsidR="003F4EDB" w:rsidRPr="00FE4491" w:rsidRDefault="003F4EDB" w:rsidP="00956C59">
            <w:pPr>
              <w:pStyle w:val="TableTextColumnHeading"/>
            </w:pPr>
            <w:r w:rsidRPr="00FE4491">
              <w:t xml:space="preserve">Monitoring and </w:t>
            </w:r>
            <w:r>
              <w:t>e</w:t>
            </w:r>
            <w:r w:rsidRPr="00FE4491">
              <w:t>valuation</w:t>
            </w:r>
          </w:p>
        </w:tc>
        <w:tc>
          <w:tcPr>
            <w:tcW w:w="337" w:type="pct"/>
            <w:textDirection w:val="btLr"/>
          </w:tcPr>
          <w:p w:rsidR="003F4EDB" w:rsidRPr="00FE4491" w:rsidRDefault="003F4EDB" w:rsidP="00956C59">
            <w:pPr>
              <w:pStyle w:val="TableTextColumnHeading"/>
            </w:pPr>
            <w:r w:rsidRPr="00FE4491">
              <w:t>Sustainability</w:t>
            </w:r>
          </w:p>
        </w:tc>
        <w:tc>
          <w:tcPr>
            <w:tcW w:w="332" w:type="pct"/>
            <w:textDirection w:val="btLr"/>
          </w:tcPr>
          <w:p w:rsidR="003F4EDB" w:rsidRPr="00FE4491" w:rsidRDefault="003F4EDB" w:rsidP="00956C59">
            <w:pPr>
              <w:pStyle w:val="TableTextColumnHeading"/>
            </w:pPr>
            <w:r w:rsidRPr="00FE4491">
              <w:t>Gender equality</w:t>
            </w:r>
          </w:p>
        </w:tc>
      </w:tr>
      <w:tr w:rsidR="003F4EDB" w:rsidRPr="009D53C4" w:rsidTr="00956C59">
        <w:trPr>
          <w:cnfStyle w:val="000000010000" w:firstRow="0" w:lastRow="0" w:firstColumn="0" w:lastColumn="0" w:oddVBand="0" w:evenVBand="0" w:oddHBand="0" w:evenHBand="1" w:firstRowFirstColumn="0" w:firstRowLastColumn="0" w:lastRowFirstColumn="0" w:lastRowLastColumn="0"/>
          <w:tblHeader w:val="0"/>
        </w:trPr>
        <w:tc>
          <w:tcPr>
            <w:tcW w:w="1348" w:type="pct"/>
            <w:vMerge w:val="restar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rsidRPr="0097453A">
              <w:rPr>
                <w:b/>
              </w:rPr>
              <w:t>Outcome 1</w:t>
            </w:r>
            <w:r>
              <w:t>: Basic education</w:t>
            </w:r>
          </w:p>
        </w:tc>
        <w:tc>
          <w:tcPr>
            <w:tcW w:w="1177" w:type="pct"/>
            <w:vMerge w:val="restart"/>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r w:rsidRPr="00091898">
              <w:t>$43 220 855</w:t>
            </w:r>
          </w:p>
          <w:p w:rsidR="003F4EDB" w:rsidRPr="00C915EE" w:rsidRDefault="003F4EDB" w:rsidP="00956C59">
            <w:pPr>
              <w:pStyle w:val="TableTextEntries"/>
            </w:pPr>
            <w:r>
              <w:t>1 July 2009</w:t>
            </w:r>
            <w:r w:rsidRPr="00C915EE">
              <w:t>–31</w:t>
            </w:r>
            <w:r>
              <w:t xml:space="preserve"> December 2015</w:t>
            </w: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2013</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Pr="00FE4491" w:rsidRDefault="003F4EDB" w:rsidP="00956C59">
            <w:pPr>
              <w:pStyle w:val="TableTextEntries"/>
              <w:jc w:val="center"/>
            </w:pPr>
            <w:r>
              <w:t>6</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48" w:type="pct"/>
            <w:tcBorders>
              <w:top w:val="single" w:sz="4" w:space="0" w:color="auto"/>
              <w:left w:val="single" w:sz="4" w:space="0" w:color="auto"/>
              <w:bottom w:val="single" w:sz="4" w:space="0" w:color="auto"/>
              <w:right w:val="single" w:sz="4" w:space="0" w:color="auto"/>
            </w:tcBorders>
            <w:shd w:val="clear" w:color="auto" w:fill="92D050"/>
            <w:noWrap/>
          </w:tcPr>
          <w:p w:rsidR="003F4EDB" w:rsidRPr="00FE4491" w:rsidRDefault="003F4EDB" w:rsidP="00956C59">
            <w:pPr>
              <w:pStyle w:val="TableTextEntries"/>
              <w:jc w:val="center"/>
            </w:pPr>
            <w:r>
              <w:t>5</w:t>
            </w:r>
          </w:p>
        </w:tc>
        <w:tc>
          <w:tcPr>
            <w:tcW w:w="337" w:type="pct"/>
            <w:tcBorders>
              <w:top w:val="single" w:sz="4" w:space="0" w:color="auto"/>
              <w:left w:val="single" w:sz="4" w:space="0" w:color="auto"/>
              <w:bottom w:val="single" w:sz="4" w:space="0" w:color="auto"/>
              <w:right w:val="single" w:sz="4" w:space="0" w:color="auto"/>
            </w:tcBorders>
            <w:shd w:val="clear" w:color="auto" w:fill="92D050"/>
            <w:noWrap/>
          </w:tcPr>
          <w:p w:rsidR="003F4EDB" w:rsidRPr="00FE4491" w:rsidRDefault="003F4EDB" w:rsidP="00956C59">
            <w:pPr>
              <w:pStyle w:val="TableTextEntries"/>
              <w:jc w:val="center"/>
            </w:pPr>
            <w:r>
              <w:t>5</w:t>
            </w:r>
          </w:p>
        </w:tc>
        <w:tc>
          <w:tcPr>
            <w:tcW w:w="337" w:type="pct"/>
            <w:tcBorders>
              <w:top w:val="single" w:sz="4" w:space="0" w:color="auto"/>
              <w:left w:val="single" w:sz="4" w:space="0" w:color="auto"/>
              <w:bottom w:val="single" w:sz="4" w:space="0" w:color="auto"/>
              <w:right w:val="single" w:sz="4" w:space="0" w:color="auto"/>
            </w:tcBorders>
            <w:shd w:val="clear" w:color="auto" w:fill="92D050"/>
            <w:noWrap/>
          </w:tcPr>
          <w:p w:rsidR="003F4EDB" w:rsidRPr="00FE4491" w:rsidRDefault="003F4EDB" w:rsidP="00956C59">
            <w:pPr>
              <w:pStyle w:val="TableTextEntries"/>
              <w:jc w:val="center"/>
            </w:pPr>
            <w:r>
              <w:t>5</w:t>
            </w:r>
          </w:p>
        </w:tc>
        <w:tc>
          <w:tcPr>
            <w:tcW w:w="332" w:type="pct"/>
            <w:tcBorders>
              <w:top w:val="single" w:sz="4" w:space="0" w:color="auto"/>
              <w:left w:val="single" w:sz="4" w:space="0" w:color="auto"/>
              <w:bottom w:val="single" w:sz="4" w:space="0" w:color="auto"/>
              <w:right w:val="single" w:sz="4" w:space="0" w:color="auto"/>
            </w:tcBorders>
            <w:shd w:val="clear" w:color="auto" w:fill="92D050"/>
            <w:noWrap/>
          </w:tcPr>
          <w:p w:rsidR="003F4EDB" w:rsidRPr="00FE4491" w:rsidRDefault="003F4EDB" w:rsidP="00956C59">
            <w:pPr>
              <w:pStyle w:val="TableTextEntries"/>
              <w:jc w:val="center"/>
            </w:pPr>
            <w:r>
              <w:t>5</w:t>
            </w:r>
          </w:p>
        </w:tc>
      </w:tr>
      <w:tr w:rsidR="003F4EDB" w:rsidRPr="009D53C4" w:rsidTr="00956C59">
        <w:trPr>
          <w:tblHeader w:val="0"/>
        </w:trPr>
        <w:tc>
          <w:tcPr>
            <w:tcW w:w="1348" w:type="pct"/>
            <w:vMerge/>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p>
        </w:tc>
        <w:tc>
          <w:tcPr>
            <w:tcW w:w="1177" w:type="pct"/>
            <w:vMerge/>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2012</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Pr="00FE4491" w:rsidRDefault="003F4EDB" w:rsidP="00956C59">
            <w:pPr>
              <w:pStyle w:val="TableTextEntries"/>
              <w:jc w:val="center"/>
            </w:pPr>
            <w:r>
              <w:t>6</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32" w:type="pct"/>
            <w:tcBorders>
              <w:top w:val="single" w:sz="4" w:space="0" w:color="auto"/>
              <w:left w:val="single" w:sz="4" w:space="0" w:color="auto"/>
              <w:bottom w:val="single" w:sz="4" w:space="0" w:color="auto"/>
              <w:right w:val="single" w:sz="4" w:space="0" w:color="auto"/>
            </w:tcBorders>
            <w:shd w:val="clear" w:color="auto" w:fill="92D050"/>
            <w:noWrap/>
          </w:tcPr>
          <w:p w:rsidR="003F4EDB" w:rsidRPr="00FE4491" w:rsidRDefault="003F4EDB" w:rsidP="00956C59">
            <w:pPr>
              <w:pStyle w:val="TableTextEntries"/>
              <w:jc w:val="center"/>
            </w:pPr>
            <w:r>
              <w:t>5</w:t>
            </w:r>
          </w:p>
        </w:tc>
      </w:tr>
      <w:tr w:rsidR="0069498C" w:rsidRPr="009D53C4" w:rsidTr="0069498C">
        <w:trPr>
          <w:cnfStyle w:val="000000010000" w:firstRow="0" w:lastRow="0" w:firstColumn="0" w:lastColumn="0" w:oddVBand="0" w:evenVBand="0" w:oddHBand="0" w:evenHBand="1" w:firstRowFirstColumn="0" w:firstRowLastColumn="0" w:lastRowFirstColumn="0" w:lastRowLastColumn="0"/>
          <w:tblHeader w:val="0"/>
        </w:trPr>
        <w:tc>
          <w:tcPr>
            <w:tcW w:w="1348" w:type="pct"/>
            <w:vMerge w:val="restar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rsidRPr="0097453A">
              <w:rPr>
                <w:b/>
              </w:rPr>
              <w:t>Outcome 2:</w:t>
            </w:r>
            <w:r>
              <w:t xml:space="preserve"> </w:t>
            </w:r>
            <w:r w:rsidRPr="00CB1923">
              <w:t xml:space="preserve">Workforce </w:t>
            </w:r>
            <w:r>
              <w:t>s</w:t>
            </w:r>
            <w:r w:rsidRPr="00CB1923">
              <w:t xml:space="preserve">kills </w:t>
            </w:r>
            <w:r>
              <w:t>d</w:t>
            </w:r>
            <w:r w:rsidRPr="00CB1923">
              <w:t>evelopment</w:t>
            </w:r>
          </w:p>
        </w:tc>
        <w:tc>
          <w:tcPr>
            <w:tcW w:w="1177" w:type="pct"/>
            <w:vMerge w:val="restart"/>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r w:rsidRPr="00091898">
              <w:t>$26 755 460</w:t>
            </w:r>
          </w:p>
          <w:p w:rsidR="003F4EDB" w:rsidRPr="00C915EE" w:rsidRDefault="003F4EDB" w:rsidP="00956C59">
            <w:pPr>
              <w:pStyle w:val="TableTextEntries"/>
            </w:pPr>
            <w:r w:rsidRPr="00C915EE">
              <w:t>15</w:t>
            </w:r>
            <w:r>
              <w:t xml:space="preserve"> February 2010</w:t>
            </w:r>
            <w:r w:rsidRPr="00C915EE">
              <w:t>–30</w:t>
            </w:r>
            <w:r>
              <w:t xml:space="preserve"> June 20</w:t>
            </w:r>
            <w:r w:rsidRPr="00C915EE">
              <w:t>16</w:t>
            </w: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2013</w:t>
            </w:r>
          </w:p>
        </w:tc>
        <w:tc>
          <w:tcPr>
            <w:tcW w:w="348" w:type="pct"/>
            <w:gridSpan w:val="2"/>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48"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Pr="00FE4491" w:rsidRDefault="003F4EDB" w:rsidP="00956C59">
            <w:pPr>
              <w:pStyle w:val="TableTextEntries"/>
              <w:jc w:val="center"/>
            </w:pPr>
            <w:r>
              <w:t>3</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37"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Pr="00FE4491" w:rsidRDefault="003F4EDB" w:rsidP="00956C59">
            <w:pPr>
              <w:pStyle w:val="TableTextEntries"/>
              <w:jc w:val="center"/>
            </w:pPr>
            <w:r>
              <w:t>3</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32"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Pr="00FE4491" w:rsidRDefault="003F4EDB" w:rsidP="00956C59">
            <w:pPr>
              <w:pStyle w:val="TableTextEntries"/>
              <w:jc w:val="center"/>
            </w:pPr>
            <w:r>
              <w:t>3</w:t>
            </w:r>
          </w:p>
        </w:tc>
      </w:tr>
      <w:tr w:rsidR="003F4EDB" w:rsidRPr="009D53C4" w:rsidTr="0069498C">
        <w:trPr>
          <w:tblHeader w:val="0"/>
        </w:trPr>
        <w:tc>
          <w:tcPr>
            <w:tcW w:w="1348" w:type="pct"/>
            <w:vMerge/>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p>
        </w:tc>
        <w:tc>
          <w:tcPr>
            <w:tcW w:w="1177" w:type="pct"/>
            <w:vMerge/>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2012</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Pr="00FE4491" w:rsidRDefault="003F4EDB" w:rsidP="00956C59">
            <w:pPr>
              <w:pStyle w:val="TableTextEntries"/>
              <w:jc w:val="center"/>
            </w:pPr>
            <w:r>
              <w:t>5</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37"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Pr="00FE4491" w:rsidRDefault="003F4EDB" w:rsidP="00956C59">
            <w:pPr>
              <w:pStyle w:val="TableTextEntries"/>
              <w:jc w:val="center"/>
            </w:pPr>
            <w:r>
              <w:t>3</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c>
          <w:tcPr>
            <w:tcW w:w="332" w:type="pct"/>
            <w:tcBorders>
              <w:top w:val="single" w:sz="4" w:space="0" w:color="auto"/>
              <w:left w:val="single" w:sz="4" w:space="0" w:color="auto"/>
              <w:bottom w:val="single" w:sz="4" w:space="0" w:color="auto"/>
              <w:right w:val="single" w:sz="4" w:space="0" w:color="auto"/>
            </w:tcBorders>
            <w:shd w:val="clear" w:color="auto" w:fill="FFFF00"/>
            <w:noWrap/>
          </w:tcPr>
          <w:p w:rsidR="003F4EDB" w:rsidRPr="00FE4491" w:rsidRDefault="003F4EDB" w:rsidP="00956C59">
            <w:pPr>
              <w:pStyle w:val="TableTextEntries"/>
              <w:jc w:val="center"/>
            </w:pPr>
            <w:r>
              <w:t>4</w:t>
            </w:r>
          </w:p>
        </w:tc>
      </w:tr>
      <w:tr w:rsidR="003F4EDB" w:rsidRPr="009D53C4" w:rsidTr="0069498C">
        <w:trPr>
          <w:cnfStyle w:val="000000010000" w:firstRow="0" w:lastRow="0" w:firstColumn="0" w:lastColumn="0" w:oddVBand="0" w:evenVBand="0" w:oddHBand="0" w:evenHBand="1" w:firstRowFirstColumn="0" w:firstRowLastColumn="0" w:lastRowFirstColumn="0" w:lastRowLastColumn="0"/>
          <w:tblHeader w:val="0"/>
        </w:trPr>
        <w:tc>
          <w:tcPr>
            <w:tcW w:w="1348" w:type="pct"/>
            <w:vMerge w:val="restar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rsidRPr="0097453A">
              <w:rPr>
                <w:b/>
              </w:rPr>
              <w:t>Outcome 2</w:t>
            </w:r>
            <w:r>
              <w:t>: Kiribati- Australia Nursing Initiative</w:t>
            </w:r>
          </w:p>
        </w:tc>
        <w:tc>
          <w:tcPr>
            <w:tcW w:w="1177" w:type="pct"/>
            <w:vMerge w:val="restart"/>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r w:rsidRPr="00091898">
              <w:t>$20 651 293</w:t>
            </w:r>
          </w:p>
          <w:p w:rsidR="003F4EDB" w:rsidRPr="00C915EE" w:rsidRDefault="003F4EDB" w:rsidP="00956C59">
            <w:pPr>
              <w:pStyle w:val="TableTextEntries"/>
            </w:pPr>
            <w:r w:rsidRPr="00C915EE">
              <w:t>21</w:t>
            </w:r>
            <w:r>
              <w:t xml:space="preserve"> March 20</w:t>
            </w:r>
            <w:r w:rsidRPr="00C915EE">
              <w:t>06–30</w:t>
            </w:r>
            <w:r>
              <w:t xml:space="preserve"> June 2016</w:t>
            </w: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2013</w:t>
            </w:r>
          </w:p>
        </w:tc>
        <w:tc>
          <w:tcPr>
            <w:tcW w:w="348" w:type="pct"/>
            <w:gridSpan w:val="2"/>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48"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Pr="00BF1320" w:rsidRDefault="003F4EDB" w:rsidP="00956C59">
            <w:pPr>
              <w:pStyle w:val="TableTextEntries"/>
              <w:jc w:val="center"/>
              <w:rPr>
                <w:color w:val="000000" w:themeColor="text1"/>
              </w:rPr>
            </w:pPr>
            <w:r w:rsidRPr="00BF1320">
              <w:rPr>
                <w:color w:val="000000" w:themeColor="text1"/>
              </w:rPr>
              <w:t>3</w:t>
            </w:r>
          </w:p>
        </w:tc>
        <w:tc>
          <w:tcPr>
            <w:tcW w:w="348"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c>
          <w:tcPr>
            <w:tcW w:w="337"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69498C" w:rsidP="00956C59">
            <w:pPr>
              <w:pStyle w:val="TableTextEntries"/>
              <w:jc w:val="center"/>
            </w:pPr>
            <w:r>
              <w:t>3</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2"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r>
      <w:tr w:rsidR="003F4EDB" w:rsidRPr="009D53C4" w:rsidTr="0069498C">
        <w:trPr>
          <w:tblHeader w:val="0"/>
        </w:trPr>
        <w:tc>
          <w:tcPr>
            <w:tcW w:w="1348" w:type="pct"/>
            <w:vMerge/>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p>
        </w:tc>
        <w:tc>
          <w:tcPr>
            <w:tcW w:w="1177" w:type="pct"/>
            <w:vMerge/>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2012</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48"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Pr="00BF1320" w:rsidRDefault="003F4EDB" w:rsidP="00956C59">
            <w:pPr>
              <w:pStyle w:val="TableTextEntries"/>
              <w:jc w:val="center"/>
              <w:rPr>
                <w:color w:val="000000" w:themeColor="text1"/>
              </w:rPr>
            </w:pPr>
            <w:r w:rsidRPr="00BF1320">
              <w:rPr>
                <w:color w:val="000000" w:themeColor="text1"/>
              </w:rPr>
              <w:t>3</w:t>
            </w:r>
          </w:p>
        </w:tc>
        <w:tc>
          <w:tcPr>
            <w:tcW w:w="348" w:type="pct"/>
            <w:tcBorders>
              <w:top w:val="single" w:sz="4" w:space="0" w:color="auto"/>
              <w:left w:val="single" w:sz="4" w:space="0" w:color="auto"/>
              <w:bottom w:val="single" w:sz="4" w:space="0" w:color="auto"/>
              <w:right w:val="single" w:sz="4" w:space="0" w:color="auto"/>
            </w:tcBorders>
            <w:shd w:val="clear" w:color="auto" w:fill="FF0000"/>
            <w:noWrap/>
          </w:tcPr>
          <w:p w:rsidR="003F4EDB" w:rsidRDefault="003F4EDB" w:rsidP="00956C59">
            <w:pPr>
              <w:pStyle w:val="TableTextEntries"/>
              <w:jc w:val="center"/>
            </w:pPr>
            <w:r>
              <w:t>2</w:t>
            </w:r>
          </w:p>
        </w:tc>
        <w:tc>
          <w:tcPr>
            <w:tcW w:w="337"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c>
          <w:tcPr>
            <w:tcW w:w="337"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c>
          <w:tcPr>
            <w:tcW w:w="332"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r>
      <w:tr w:rsidR="003F4EDB" w:rsidRPr="009D53C4" w:rsidTr="0069498C">
        <w:trPr>
          <w:cnfStyle w:val="000000010000" w:firstRow="0" w:lastRow="0" w:firstColumn="0" w:lastColumn="0" w:oddVBand="0" w:evenVBand="0" w:oddHBand="0" w:evenHBand="1" w:firstRowFirstColumn="0" w:firstRowLastColumn="0" w:lastRowFirstColumn="0" w:lastRowLastColumn="0"/>
          <w:tblHeader w:val="0"/>
        </w:trPr>
        <w:tc>
          <w:tcPr>
            <w:tcW w:w="1348" w:type="pct"/>
            <w:vMerge w:val="restar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rsidRPr="0097453A">
              <w:rPr>
                <w:b/>
              </w:rPr>
              <w:t>Outcome 2</w:t>
            </w:r>
            <w:r>
              <w:t>: Australia Awards</w:t>
            </w:r>
          </w:p>
        </w:tc>
        <w:tc>
          <w:tcPr>
            <w:tcW w:w="1177" w:type="pct"/>
            <w:vMerge w:val="restart"/>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r w:rsidRPr="00091898">
              <w:t>$2 875 576</w:t>
            </w:r>
          </w:p>
          <w:p w:rsidR="003F4EDB" w:rsidRPr="00C915EE" w:rsidRDefault="003F4EDB" w:rsidP="00956C59">
            <w:pPr>
              <w:pStyle w:val="TableTextEntries"/>
            </w:pPr>
            <w:r w:rsidRPr="00C915EE">
              <w:t>1</w:t>
            </w:r>
            <w:r>
              <w:t xml:space="preserve"> March 2010</w:t>
            </w:r>
            <w:r w:rsidRPr="00C915EE">
              <w:t>–30</w:t>
            </w:r>
            <w:r>
              <w:t xml:space="preserve"> June 2017</w:t>
            </w: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2013</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48"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2" w:type="pct"/>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r>
      <w:tr w:rsidR="003F4EDB" w:rsidRPr="009D53C4" w:rsidTr="0069498C">
        <w:trPr>
          <w:tblHeader w:val="0"/>
        </w:trPr>
        <w:tc>
          <w:tcPr>
            <w:tcW w:w="1348" w:type="pct"/>
            <w:vMerge/>
            <w:tcBorders>
              <w:top w:val="single" w:sz="4" w:space="0" w:color="auto"/>
              <w:left w:val="single" w:sz="4" w:space="0" w:color="auto"/>
              <w:bottom w:val="single" w:sz="4" w:space="0" w:color="auto"/>
              <w:right w:val="single" w:sz="4" w:space="0" w:color="auto"/>
            </w:tcBorders>
          </w:tcPr>
          <w:p w:rsidR="003F4EDB" w:rsidRDefault="003F4EDB" w:rsidP="00956C59">
            <w:pPr>
              <w:pStyle w:val="TableTextEntries"/>
            </w:pPr>
          </w:p>
        </w:tc>
        <w:tc>
          <w:tcPr>
            <w:tcW w:w="1177" w:type="pct"/>
            <w:vMerge/>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2012</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48"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c>
          <w:tcPr>
            <w:tcW w:w="348" w:type="pct"/>
            <w:tcBorders>
              <w:top w:val="single" w:sz="4" w:space="0" w:color="auto"/>
              <w:left w:val="single" w:sz="4" w:space="0" w:color="auto"/>
              <w:bottom w:val="single" w:sz="4" w:space="0" w:color="auto"/>
              <w:right w:val="single" w:sz="4" w:space="0" w:color="auto"/>
            </w:tcBorders>
            <w:shd w:val="clear" w:color="auto" w:fill="FF0000"/>
            <w:noWrap/>
          </w:tcPr>
          <w:p w:rsidR="003F4EDB" w:rsidRDefault="003F4EDB" w:rsidP="00956C59">
            <w:pPr>
              <w:pStyle w:val="TableTextEntries"/>
              <w:jc w:val="center"/>
            </w:pPr>
            <w:r>
              <w:t>2</w:t>
            </w:r>
          </w:p>
        </w:tc>
        <w:tc>
          <w:tcPr>
            <w:tcW w:w="337"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2"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r>
      <w:tr w:rsidR="003F4EDB" w:rsidRPr="009D53C4" w:rsidTr="0069498C">
        <w:trPr>
          <w:cnfStyle w:val="000000010000" w:firstRow="0" w:lastRow="0" w:firstColumn="0" w:lastColumn="0" w:oddVBand="0" w:evenVBand="0" w:oddHBand="0" w:evenHBand="1" w:firstRowFirstColumn="0" w:firstRowLastColumn="0" w:lastRowFirstColumn="0" w:lastRowLastColumn="0"/>
          <w:tblHeader w:val="0"/>
        </w:trPr>
        <w:tc>
          <w:tcPr>
            <w:tcW w:w="1348" w:type="pct"/>
            <w:vMerge w:val="restart"/>
            <w:tcBorders>
              <w:top w:val="single" w:sz="4" w:space="0" w:color="auto"/>
              <w:left w:val="single" w:sz="4" w:space="0" w:color="auto"/>
              <w:bottom w:val="single" w:sz="4" w:space="0" w:color="auto"/>
              <w:right w:val="single" w:sz="4" w:space="0" w:color="auto"/>
            </w:tcBorders>
          </w:tcPr>
          <w:p w:rsidR="003F4EDB" w:rsidRDefault="003F4EDB" w:rsidP="00956C59">
            <w:pPr>
              <w:pStyle w:val="TableTextEntries"/>
            </w:pPr>
            <w:r w:rsidRPr="0097453A">
              <w:rPr>
                <w:b/>
              </w:rPr>
              <w:t>Outcome 3</w:t>
            </w:r>
            <w:r>
              <w:t>: Growth and e</w:t>
            </w:r>
            <w:r w:rsidRPr="007E3860">
              <w:t xml:space="preserve">conomic </w:t>
            </w:r>
            <w:r>
              <w:t>m</w:t>
            </w:r>
            <w:r w:rsidRPr="007E3860">
              <w:t>anagement</w:t>
            </w:r>
          </w:p>
        </w:tc>
        <w:tc>
          <w:tcPr>
            <w:tcW w:w="1177" w:type="pct"/>
            <w:vMerge w:val="restart"/>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r w:rsidRPr="00091898">
              <w:t>$13 188 647</w:t>
            </w:r>
          </w:p>
          <w:p w:rsidR="003F4EDB" w:rsidRPr="00C915EE" w:rsidRDefault="003F4EDB" w:rsidP="00956C59">
            <w:pPr>
              <w:pStyle w:val="TableTextEntries"/>
            </w:pPr>
            <w:r w:rsidRPr="00C915EE">
              <w:t>28</w:t>
            </w:r>
            <w:r>
              <w:t xml:space="preserve"> May 2010</w:t>
            </w:r>
            <w:r w:rsidRPr="00C915EE">
              <w:t>–30</w:t>
            </w:r>
            <w:r>
              <w:t xml:space="preserve"> June 2020</w:t>
            </w: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2013</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6</w:t>
            </w:r>
          </w:p>
        </w:tc>
        <w:tc>
          <w:tcPr>
            <w:tcW w:w="348" w:type="pct"/>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48" w:type="pct"/>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7" w:type="pct"/>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32"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r>
      <w:tr w:rsidR="003F4EDB" w:rsidRPr="009D53C4" w:rsidTr="0069498C">
        <w:trPr>
          <w:tblHeader w:val="0"/>
        </w:trPr>
        <w:tc>
          <w:tcPr>
            <w:tcW w:w="1348" w:type="pct"/>
            <w:vMerge/>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p>
        </w:tc>
        <w:tc>
          <w:tcPr>
            <w:tcW w:w="1177" w:type="pct"/>
            <w:vMerge/>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2012</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6</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7"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2"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r>
      <w:tr w:rsidR="003F4EDB" w:rsidRPr="009D53C4" w:rsidTr="00956C59">
        <w:trPr>
          <w:cnfStyle w:val="000000010000" w:firstRow="0" w:lastRow="0" w:firstColumn="0" w:lastColumn="0" w:oddVBand="0" w:evenVBand="0" w:oddHBand="0" w:evenHBand="1" w:firstRowFirstColumn="0" w:firstRowLastColumn="0" w:lastRowFirstColumn="0" w:lastRowLastColumn="0"/>
          <w:tblHeader w:val="0"/>
        </w:trPr>
        <w:tc>
          <w:tcPr>
            <w:tcW w:w="1348" w:type="pct"/>
            <w:vMerge w:val="restar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rsidRPr="0097453A">
              <w:rPr>
                <w:b/>
              </w:rPr>
              <w:t>Outcome 4</w:t>
            </w:r>
            <w:r>
              <w:t>: Infrastructure</w:t>
            </w:r>
          </w:p>
        </w:tc>
        <w:tc>
          <w:tcPr>
            <w:tcW w:w="1177" w:type="pct"/>
            <w:vMerge w:val="restart"/>
            <w:tcBorders>
              <w:top w:val="single" w:sz="4" w:space="0" w:color="auto"/>
              <w:left w:val="single" w:sz="4" w:space="0" w:color="auto"/>
              <w:bottom w:val="single" w:sz="4" w:space="0" w:color="auto"/>
              <w:right w:val="single" w:sz="4" w:space="0" w:color="auto"/>
            </w:tcBorders>
          </w:tcPr>
          <w:p w:rsidR="003F4EDB" w:rsidRPr="00091898" w:rsidRDefault="003F4EDB" w:rsidP="00956C59">
            <w:pPr>
              <w:pStyle w:val="TableTextEntries"/>
            </w:pPr>
            <w:r w:rsidRPr="00091898">
              <w:t>$34 375 000</w:t>
            </w:r>
          </w:p>
          <w:p w:rsidR="003F4EDB" w:rsidRPr="00C915EE" w:rsidRDefault="003F4EDB" w:rsidP="00956C59">
            <w:pPr>
              <w:pStyle w:val="TableTextEntries"/>
            </w:pPr>
            <w:r w:rsidRPr="00C915EE">
              <w:t>1</w:t>
            </w:r>
            <w:r>
              <w:t xml:space="preserve"> June 20</w:t>
            </w:r>
            <w:r w:rsidRPr="00C915EE">
              <w:t>11–30</w:t>
            </w:r>
            <w:r>
              <w:t xml:space="preserve"> June 20</w:t>
            </w:r>
            <w:r w:rsidRPr="00C915EE">
              <w:t>16</w:t>
            </w: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2013</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48"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7" w:type="pct"/>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2"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r>
      <w:tr w:rsidR="003F4EDB" w:rsidRPr="009D53C4" w:rsidTr="0069498C">
        <w:trPr>
          <w:tblHeader w:val="0"/>
        </w:trPr>
        <w:tc>
          <w:tcPr>
            <w:tcW w:w="1348" w:type="pct"/>
            <w:vMerge/>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p>
        </w:tc>
        <w:tc>
          <w:tcPr>
            <w:tcW w:w="1177" w:type="pct"/>
            <w:vMerge/>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p>
        </w:tc>
        <w:tc>
          <w:tcPr>
            <w:tcW w:w="337" w:type="pct"/>
            <w:tcBorders>
              <w:top w:val="single" w:sz="4" w:space="0" w:color="auto"/>
              <w:left w:val="single" w:sz="4" w:space="0" w:color="auto"/>
              <w:bottom w:val="single" w:sz="4" w:space="0" w:color="auto"/>
              <w:right w:val="single" w:sz="4" w:space="0" w:color="auto"/>
            </w:tcBorders>
          </w:tcPr>
          <w:p w:rsidR="003F4EDB" w:rsidRPr="00FE4491" w:rsidRDefault="003F4EDB" w:rsidP="00956C59">
            <w:pPr>
              <w:pStyle w:val="TableTextEntries"/>
            </w:pPr>
            <w:r>
              <w:t>2012</w:t>
            </w:r>
          </w:p>
        </w:tc>
        <w:tc>
          <w:tcPr>
            <w:tcW w:w="348" w:type="pct"/>
            <w:gridSpan w:val="2"/>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48" w:type="pct"/>
            <w:tcBorders>
              <w:top w:val="single" w:sz="4" w:space="0" w:color="auto"/>
              <w:left w:val="single" w:sz="4" w:space="0" w:color="auto"/>
              <w:bottom w:val="single" w:sz="4" w:space="0" w:color="auto"/>
              <w:right w:val="single" w:sz="4" w:space="0" w:color="auto"/>
            </w:tcBorders>
            <w:shd w:val="clear" w:color="auto" w:fill="92D050"/>
            <w:noWrap/>
          </w:tcPr>
          <w:p w:rsidR="003F4EDB" w:rsidRDefault="003F4EDB" w:rsidP="00956C59">
            <w:pPr>
              <w:pStyle w:val="TableTextEntries"/>
              <w:jc w:val="center"/>
            </w:pPr>
            <w:r>
              <w:t>5</w:t>
            </w:r>
          </w:p>
        </w:tc>
        <w:tc>
          <w:tcPr>
            <w:tcW w:w="348" w:type="pct"/>
            <w:tcBorders>
              <w:top w:val="single" w:sz="4" w:space="0" w:color="auto"/>
              <w:left w:val="single" w:sz="4" w:space="0" w:color="auto"/>
              <w:bottom w:val="single" w:sz="4" w:space="0" w:color="auto"/>
              <w:right w:val="single" w:sz="4" w:space="0" w:color="auto"/>
            </w:tcBorders>
            <w:shd w:val="clear" w:color="auto" w:fill="FF0000"/>
            <w:noWrap/>
          </w:tcPr>
          <w:p w:rsidR="003F4EDB" w:rsidRDefault="003F4EDB" w:rsidP="00956C59">
            <w:pPr>
              <w:pStyle w:val="TableTextEntries"/>
              <w:jc w:val="center"/>
            </w:pPr>
            <w:r>
              <w:t>2</w:t>
            </w:r>
          </w:p>
        </w:tc>
        <w:tc>
          <w:tcPr>
            <w:tcW w:w="337" w:type="pct"/>
            <w:tcBorders>
              <w:top w:val="single" w:sz="4" w:space="0" w:color="auto"/>
              <w:left w:val="single" w:sz="4" w:space="0" w:color="auto"/>
              <w:bottom w:val="single" w:sz="4" w:space="0" w:color="auto"/>
              <w:right w:val="single" w:sz="4" w:space="0" w:color="auto"/>
            </w:tcBorders>
            <w:shd w:val="clear" w:color="auto" w:fill="F79646" w:themeFill="accent6"/>
            <w:noWrap/>
          </w:tcPr>
          <w:p w:rsidR="003F4EDB" w:rsidRDefault="003F4EDB" w:rsidP="00956C59">
            <w:pPr>
              <w:pStyle w:val="TableTextEntries"/>
              <w:jc w:val="center"/>
            </w:pPr>
            <w:r>
              <w:t>3</w:t>
            </w:r>
          </w:p>
        </w:tc>
        <w:tc>
          <w:tcPr>
            <w:tcW w:w="337"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c>
          <w:tcPr>
            <w:tcW w:w="332" w:type="pct"/>
            <w:tcBorders>
              <w:top w:val="single" w:sz="4" w:space="0" w:color="auto"/>
              <w:left w:val="single" w:sz="4" w:space="0" w:color="auto"/>
              <w:bottom w:val="single" w:sz="4" w:space="0" w:color="auto"/>
              <w:right w:val="single" w:sz="4" w:space="0" w:color="auto"/>
            </w:tcBorders>
            <w:shd w:val="clear" w:color="auto" w:fill="FFFF00"/>
            <w:noWrap/>
          </w:tcPr>
          <w:p w:rsidR="003F4EDB" w:rsidRDefault="003F4EDB" w:rsidP="00956C59">
            <w:pPr>
              <w:pStyle w:val="TableTextEntries"/>
              <w:jc w:val="center"/>
            </w:pPr>
            <w:r>
              <w:t>4</w:t>
            </w:r>
          </w:p>
        </w:tc>
      </w:tr>
    </w:tbl>
    <w:p w:rsidR="003F4EDB" w:rsidRDefault="003F4EDB" w:rsidP="003F4EDB"/>
    <w:p w:rsidR="003F4EDB" w:rsidRPr="000612A8" w:rsidRDefault="003F4EDB" w:rsidP="000D733F">
      <w:pPr>
        <w:pStyle w:val="Note"/>
        <w:rPr>
          <w:b/>
        </w:rPr>
      </w:pPr>
    </w:p>
    <w:p w:rsidR="000D733F" w:rsidRDefault="000D733F" w:rsidP="000D733F">
      <w:pPr>
        <w:pStyle w:val="Note"/>
      </w:pPr>
      <w:r w:rsidRPr="000612A8">
        <w:rPr>
          <w:b/>
        </w:rPr>
        <w:t>Definitions of rating scale:</w:t>
      </w:r>
      <w:r>
        <w:tab/>
      </w:r>
    </w:p>
    <w:p w:rsidR="000D733F" w:rsidRDefault="000D733F" w:rsidP="000D733F">
      <w:pPr>
        <w:pStyle w:val="Note"/>
      </w:pPr>
      <w:r>
        <w:t>Satisfactory (4, 5 and 6)</w:t>
      </w:r>
    </w:p>
    <w:p w:rsidR="000D733F" w:rsidRDefault="000D733F" w:rsidP="000D733F">
      <w:pPr>
        <w:pStyle w:val="Note"/>
      </w:pPr>
      <w:r w:rsidRPr="00593946">
        <w:rPr>
          <w:color w:val="72AF2F"/>
        </w:rPr>
        <w:sym w:font="Webdings" w:char="F067"/>
      </w:r>
      <w:r>
        <w:t xml:space="preserve"> = 6 = Very high quality</w:t>
      </w:r>
    </w:p>
    <w:p w:rsidR="000D733F" w:rsidRDefault="000D733F" w:rsidP="000D733F">
      <w:pPr>
        <w:pStyle w:val="Note"/>
      </w:pPr>
      <w:r w:rsidRPr="00593946">
        <w:rPr>
          <w:color w:val="72AF2F"/>
        </w:rPr>
        <w:sym w:font="Webdings" w:char="F067"/>
      </w:r>
      <w:r>
        <w:t xml:space="preserve"> = 5 = Good quality</w:t>
      </w:r>
    </w:p>
    <w:p w:rsidR="000D733F" w:rsidRDefault="000D733F" w:rsidP="000D733F">
      <w:pPr>
        <w:pStyle w:val="Note"/>
      </w:pPr>
      <w:r w:rsidRPr="000774FD">
        <w:rPr>
          <w:color w:val="FFFF00"/>
        </w:rPr>
        <w:sym w:font="Webdings" w:char="F067"/>
      </w:r>
      <w:r>
        <w:t xml:space="preserve"> = 4 = Adequate quality, needs some work</w:t>
      </w:r>
    </w:p>
    <w:p w:rsidR="000D733F" w:rsidRDefault="000D733F" w:rsidP="000D733F">
      <w:pPr>
        <w:pStyle w:val="Note"/>
      </w:pPr>
      <w:r>
        <w:t>Less than satisfactory (1, 2 and 3)</w:t>
      </w:r>
    </w:p>
    <w:p w:rsidR="000D733F" w:rsidRDefault="000D733F" w:rsidP="000D733F">
      <w:pPr>
        <w:pStyle w:val="Note"/>
      </w:pPr>
      <w:r w:rsidRPr="00593946">
        <w:rPr>
          <w:color w:val="E36C0A"/>
        </w:rPr>
        <w:sym w:font="Webdings" w:char="F067"/>
      </w:r>
      <w:r w:rsidRPr="00593946">
        <w:rPr>
          <w:color w:val="E36C0A"/>
        </w:rPr>
        <w:t xml:space="preserve"> </w:t>
      </w:r>
      <w:r>
        <w:t>= 3 = Less than adequate quality; needs significant work</w:t>
      </w:r>
    </w:p>
    <w:p w:rsidR="000D733F" w:rsidRDefault="000D733F" w:rsidP="000D733F">
      <w:pPr>
        <w:pStyle w:val="Note"/>
      </w:pPr>
      <w:r w:rsidRPr="000774FD">
        <w:rPr>
          <w:color w:val="FF0000"/>
        </w:rPr>
        <w:sym w:font="Webdings" w:char="F067"/>
      </w:r>
      <w:r>
        <w:t xml:space="preserve"> = 2 = Poor quality; needs major work to improve</w:t>
      </w:r>
    </w:p>
    <w:p w:rsidR="000D733F" w:rsidRDefault="000D733F" w:rsidP="000D733F">
      <w:pPr>
        <w:pStyle w:val="Note"/>
      </w:pPr>
      <w:r w:rsidRPr="000774FD">
        <w:rPr>
          <w:color w:val="FF0000"/>
        </w:rPr>
        <w:sym w:font="Webdings" w:char="F067"/>
      </w:r>
      <w:r>
        <w:t xml:space="preserve"> = 1 = Very poor quality; needs major overhaul</w:t>
      </w:r>
    </w:p>
    <w:p w:rsidR="000D733F" w:rsidRDefault="000D733F" w:rsidP="000D733F">
      <w:pPr>
        <w:pStyle w:val="Note"/>
      </w:pPr>
    </w:p>
    <w:p w:rsidR="000D733F" w:rsidRDefault="000D733F" w:rsidP="000D733F">
      <w:pPr>
        <w:spacing w:after="200" w:line="276" w:lineRule="auto"/>
        <w:rPr>
          <w:rFonts w:ascii="Franklin Gothic Demi" w:hAnsi="Franklin Gothic Demi" w:cs="Arial"/>
          <w:color w:val="AD495D"/>
          <w:kern w:val="28"/>
          <w:sz w:val="28"/>
          <w:szCs w:val="28"/>
        </w:rPr>
      </w:pPr>
      <w:r>
        <w:br w:type="page"/>
      </w:r>
    </w:p>
    <w:p w:rsidR="000D733F" w:rsidRPr="009E38C1" w:rsidRDefault="000D733F" w:rsidP="000D733F">
      <w:pPr>
        <w:pStyle w:val="Heading2"/>
        <w:rPr>
          <w:sz w:val="28"/>
        </w:rPr>
      </w:pPr>
      <w:r w:rsidRPr="009E38C1">
        <w:rPr>
          <w:sz w:val="28"/>
        </w:rPr>
        <w:t>Annex C</w:t>
      </w:r>
    </w:p>
    <w:p w:rsidR="000D733F" w:rsidRPr="009E38C1" w:rsidRDefault="000D733F" w:rsidP="000D733F">
      <w:pPr>
        <w:pStyle w:val="Heading2"/>
        <w:rPr>
          <w:sz w:val="28"/>
        </w:rPr>
      </w:pPr>
      <w:r w:rsidRPr="009E38C1">
        <w:rPr>
          <w:sz w:val="28"/>
        </w:rPr>
        <w:t>Evaluation and Review Pipeline Planning</w:t>
      </w:r>
    </w:p>
    <w:p w:rsidR="000D733F" w:rsidRPr="00071B95" w:rsidRDefault="000D733F" w:rsidP="000D733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ColumnHeading"/>
              <w:rPr>
                <w:b/>
              </w:rPr>
            </w:pPr>
            <w:r w:rsidRPr="00071B95">
              <w:rPr>
                <w:b/>
              </w:rPr>
              <w:t xml:space="preserve">Name of </w:t>
            </w:r>
            <w:r w:rsidR="00501CD2">
              <w:rPr>
                <w:b/>
              </w:rPr>
              <w:t>Investment</w:t>
            </w:r>
          </w:p>
        </w:tc>
        <w:tc>
          <w:tcPr>
            <w:tcW w:w="1933" w:type="dxa"/>
          </w:tcPr>
          <w:p w:rsidR="000D733F" w:rsidRPr="00071B95" w:rsidRDefault="000D733F" w:rsidP="000D733F">
            <w:pPr>
              <w:pStyle w:val="TableTextColumnHeading"/>
              <w:rPr>
                <w:b/>
              </w:rPr>
            </w:pPr>
            <w:r w:rsidRPr="00071B95">
              <w:rPr>
                <w:b/>
              </w:rPr>
              <w:t>Aidworks number</w:t>
            </w:r>
          </w:p>
        </w:tc>
        <w:tc>
          <w:tcPr>
            <w:tcW w:w="2031" w:type="dxa"/>
          </w:tcPr>
          <w:p w:rsidR="000D733F" w:rsidRPr="00071B95" w:rsidRDefault="000D733F" w:rsidP="000D733F">
            <w:pPr>
              <w:pStyle w:val="TableTextColumnHeading"/>
              <w:rPr>
                <w:b/>
              </w:rPr>
            </w:pPr>
            <w:r>
              <w:rPr>
                <w:b/>
              </w:rPr>
              <w:t>Name of evaluation</w:t>
            </w:r>
          </w:p>
        </w:tc>
        <w:tc>
          <w:tcPr>
            <w:tcW w:w="1939" w:type="dxa"/>
          </w:tcPr>
          <w:p w:rsidR="000D733F" w:rsidRPr="00071B95" w:rsidRDefault="000D733F" w:rsidP="000D733F">
            <w:pPr>
              <w:pStyle w:val="TableTextColumnHeading"/>
              <w:rPr>
                <w:b/>
              </w:rPr>
            </w:pPr>
            <w:r w:rsidRPr="00071B95">
              <w:rPr>
                <w:b/>
              </w:rPr>
              <w:t xml:space="preserve">Date </w:t>
            </w:r>
            <w:r>
              <w:rPr>
                <w:b/>
              </w:rPr>
              <w:t>finalised</w:t>
            </w:r>
          </w:p>
        </w:tc>
        <w:tc>
          <w:tcPr>
            <w:tcW w:w="1921" w:type="dxa"/>
          </w:tcPr>
          <w:p w:rsidR="000D733F" w:rsidRPr="00071B95" w:rsidRDefault="000D733F" w:rsidP="000D733F">
            <w:pPr>
              <w:pStyle w:val="TableTextColumnHeading"/>
              <w:rPr>
                <w:b/>
              </w:rPr>
            </w:pPr>
            <w:r w:rsidRPr="00071B95">
              <w:rPr>
                <w:b/>
              </w:rPr>
              <w:t>Date Evaluation report Uploaded into Aidworks</w:t>
            </w:r>
          </w:p>
        </w:tc>
        <w:tc>
          <w:tcPr>
            <w:tcW w:w="1743" w:type="dxa"/>
          </w:tcPr>
          <w:p w:rsidR="000D733F" w:rsidRPr="00071B95" w:rsidRDefault="000D733F" w:rsidP="000D733F">
            <w:pPr>
              <w:pStyle w:val="TableTextColumnHeading"/>
              <w:rPr>
                <w:b/>
              </w:rPr>
            </w:pPr>
            <w:r w:rsidRPr="00071B95">
              <w:rPr>
                <w:b/>
              </w:rPr>
              <w:t>Date Management response uploaded into Aidworks</w:t>
            </w:r>
          </w:p>
        </w:tc>
        <w:tc>
          <w:tcPr>
            <w:tcW w:w="1503" w:type="dxa"/>
          </w:tcPr>
          <w:p w:rsidR="000D733F" w:rsidRPr="00071B95" w:rsidRDefault="000D733F" w:rsidP="000D733F">
            <w:pPr>
              <w:pStyle w:val="TableTextColumnHeading"/>
              <w:rPr>
                <w:b/>
              </w:rPr>
            </w:pPr>
            <w:r w:rsidRPr="00071B95">
              <w:rPr>
                <w:b/>
              </w:rPr>
              <w:t>Published on website</w:t>
            </w: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Entries"/>
            </w:pP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503" w:type="dxa"/>
          </w:tcPr>
          <w:p w:rsidR="000D733F" w:rsidRPr="00071B95" w:rsidRDefault="000D733F" w:rsidP="00850A87">
            <w:pPr>
              <w:pStyle w:val="TableTextEntries"/>
              <w:rPr>
                <w:b w:val="0"/>
              </w:rPr>
            </w:pP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Entries"/>
            </w:pP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503" w:type="dxa"/>
          </w:tcPr>
          <w:p w:rsidR="000D733F" w:rsidRPr="00071B95" w:rsidRDefault="000D733F" w:rsidP="000D733F">
            <w:pPr>
              <w:pStyle w:val="TableTextEntries"/>
            </w:pP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CD13AA" w:rsidRDefault="0015760A" w:rsidP="002A766B">
            <w:pPr>
              <w:pStyle w:val="Caption"/>
              <w:rPr>
                <w:b w:val="0"/>
              </w:rPr>
            </w:pPr>
            <w:r>
              <w:rPr>
                <w:b w:val="0"/>
              </w:rPr>
              <w:t>No</w:t>
            </w:r>
            <w:r w:rsidR="002A766B">
              <w:rPr>
                <w:b w:val="0"/>
              </w:rPr>
              <w:t>ne</w:t>
            </w:r>
            <w:r>
              <w:rPr>
                <w:b w:val="0"/>
              </w:rPr>
              <w:t xml:space="preserve"> </w:t>
            </w:r>
            <w:r w:rsidRPr="0015760A">
              <w:rPr>
                <w:b w:val="0"/>
              </w:rPr>
              <w:t>undertaken</w:t>
            </w: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503" w:type="dxa"/>
          </w:tcPr>
          <w:p w:rsidR="000D733F" w:rsidRPr="00071B95" w:rsidRDefault="000D733F" w:rsidP="000D733F">
            <w:pPr>
              <w:pStyle w:val="TableTextEntries"/>
            </w:pPr>
          </w:p>
        </w:tc>
      </w:tr>
    </w:tbl>
    <w:p w:rsidR="000D733F" w:rsidRPr="00071B95" w:rsidRDefault="000D733F" w:rsidP="000D733F">
      <w:pPr>
        <w:rPr>
          <w:b/>
        </w:rPr>
      </w:pPr>
    </w:p>
    <w:p w:rsidR="000D733F" w:rsidRPr="00071B95" w:rsidRDefault="000D733F" w:rsidP="000D733F">
      <w:pPr>
        <w:pStyle w:val="Caption"/>
      </w:pPr>
      <w:r w:rsidRPr="00071B95">
        <w:t xml:space="preserve">List of evaluations planned in the next 12 months </w:t>
      </w:r>
    </w:p>
    <w:p w:rsidR="000D733F" w:rsidRDefault="000D733F" w:rsidP="000D733F">
      <w:pPr>
        <w:pStyle w:val="TableTextColumnHeading"/>
        <w:sectPr w:rsidR="000D733F" w:rsidSect="003F4EDB">
          <w:headerReference w:type="even" r:id="rId19"/>
          <w:footerReference w:type="first" r:id="rId20"/>
          <w:pgSz w:w="16838" w:h="11906" w:orient="landscape" w:code="9"/>
          <w:pgMar w:top="1276"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rsidTr="000D733F">
        <w:tc>
          <w:tcPr>
            <w:tcW w:w="2601" w:type="dxa"/>
          </w:tcPr>
          <w:p w:rsidR="000D733F" w:rsidRPr="00071B95" w:rsidRDefault="000D733F" w:rsidP="000D733F">
            <w:pPr>
              <w:pStyle w:val="TableTextColumnHeading"/>
            </w:pPr>
            <w:r w:rsidRPr="00071B95">
              <w:t xml:space="preserve">Name of </w:t>
            </w:r>
            <w:r w:rsidR="00501CD2">
              <w:t>Investment</w:t>
            </w:r>
          </w:p>
        </w:tc>
        <w:tc>
          <w:tcPr>
            <w:tcW w:w="2530" w:type="dxa"/>
          </w:tcPr>
          <w:p w:rsidR="000D733F" w:rsidRPr="00071B95" w:rsidRDefault="000D733F" w:rsidP="000D733F">
            <w:pPr>
              <w:pStyle w:val="TableTextColumnHeading"/>
            </w:pPr>
            <w:r w:rsidRPr="00071B95">
              <w:t>Aidworks number</w:t>
            </w:r>
          </w:p>
        </w:tc>
        <w:tc>
          <w:tcPr>
            <w:tcW w:w="2612" w:type="dxa"/>
          </w:tcPr>
          <w:p w:rsidR="000D733F" w:rsidRPr="00071B95" w:rsidRDefault="000D733F" w:rsidP="000D733F">
            <w:pPr>
              <w:pStyle w:val="TableTextColumnHeading"/>
            </w:pPr>
            <w:r w:rsidRPr="00071B95">
              <w:t>Type of evaluation</w:t>
            </w:r>
          </w:p>
        </w:tc>
        <w:tc>
          <w:tcPr>
            <w:tcW w:w="2612" w:type="dxa"/>
          </w:tcPr>
          <w:p w:rsidR="000D733F" w:rsidRPr="00071B95" w:rsidRDefault="000D733F" w:rsidP="000D733F">
            <w:pPr>
              <w:pStyle w:val="TableTextColumnHeading"/>
            </w:pPr>
            <w:r w:rsidRPr="00071B95">
              <w:t>Purpose of evaluation</w:t>
            </w:r>
          </w:p>
        </w:tc>
        <w:tc>
          <w:tcPr>
            <w:tcW w:w="2617" w:type="dxa"/>
          </w:tcPr>
          <w:p w:rsidR="000D733F" w:rsidRPr="00071B95" w:rsidRDefault="000D733F" w:rsidP="000D733F">
            <w:pPr>
              <w:pStyle w:val="TableTextColumnHeading"/>
            </w:pPr>
            <w:r w:rsidRPr="00071B95">
              <w:t>Expected completion date</w:t>
            </w:r>
          </w:p>
        </w:tc>
      </w:tr>
      <w:tr w:rsidR="000D733F" w:rsidRPr="00071B95" w:rsidTr="000D733F">
        <w:tc>
          <w:tcPr>
            <w:tcW w:w="2601" w:type="dxa"/>
          </w:tcPr>
          <w:p w:rsidR="000D733F" w:rsidRDefault="00F84E7B" w:rsidP="003275D0">
            <w:pPr>
              <w:pStyle w:val="TableTextEntries"/>
            </w:pPr>
            <w:r>
              <w:t>Basic Education</w:t>
            </w:r>
          </w:p>
          <w:p w:rsidR="00B43BF1" w:rsidRDefault="00B43BF1" w:rsidP="003275D0">
            <w:pPr>
              <w:pStyle w:val="TableTextEntries"/>
            </w:pPr>
          </w:p>
          <w:p w:rsidR="00B43BF1" w:rsidRPr="003275D0" w:rsidRDefault="00B43BF1" w:rsidP="003275D0">
            <w:pPr>
              <w:pStyle w:val="TableTextEntries"/>
            </w:pPr>
            <w:r>
              <w:t>KAP III</w:t>
            </w:r>
          </w:p>
        </w:tc>
        <w:tc>
          <w:tcPr>
            <w:tcW w:w="2530" w:type="dxa"/>
          </w:tcPr>
          <w:p w:rsidR="000D733F" w:rsidRDefault="00C169CF" w:rsidP="003275D0">
            <w:pPr>
              <w:pStyle w:val="TableTextEntries"/>
            </w:pPr>
            <w:r>
              <w:t>INK501</w:t>
            </w:r>
          </w:p>
          <w:p w:rsidR="00C169CF" w:rsidRDefault="00C169CF" w:rsidP="003275D0">
            <w:pPr>
              <w:pStyle w:val="TableTextEntries"/>
            </w:pPr>
          </w:p>
          <w:p w:rsidR="00C169CF" w:rsidRPr="003275D0" w:rsidRDefault="00C169CF" w:rsidP="003275D0">
            <w:pPr>
              <w:pStyle w:val="TableTextEntries"/>
            </w:pPr>
            <w:r>
              <w:t>INJ569</w:t>
            </w:r>
          </w:p>
        </w:tc>
        <w:tc>
          <w:tcPr>
            <w:tcW w:w="2612" w:type="dxa"/>
          </w:tcPr>
          <w:p w:rsidR="000D733F" w:rsidRDefault="00F84E7B" w:rsidP="003275D0">
            <w:pPr>
              <w:pStyle w:val="TableTextEntries"/>
            </w:pPr>
            <w:r>
              <w:t>Independent Review</w:t>
            </w:r>
          </w:p>
          <w:p w:rsidR="00B43BF1" w:rsidRDefault="00B43BF1" w:rsidP="003275D0">
            <w:pPr>
              <w:pStyle w:val="TableTextEntries"/>
            </w:pPr>
          </w:p>
          <w:p w:rsidR="00B43BF1" w:rsidRDefault="00B43BF1" w:rsidP="003275D0">
            <w:pPr>
              <w:pStyle w:val="TableTextEntries"/>
            </w:pPr>
            <w:r>
              <w:t>Independent Review</w:t>
            </w:r>
          </w:p>
          <w:p w:rsidR="00B43BF1" w:rsidRPr="00C91291" w:rsidRDefault="00B43BF1" w:rsidP="003275D0">
            <w:pPr>
              <w:pStyle w:val="TableTextEntries"/>
              <w:rPr>
                <w:i/>
              </w:rPr>
            </w:pPr>
            <w:r w:rsidRPr="00C91291">
              <w:rPr>
                <w:i/>
              </w:rPr>
              <w:t>(partner with the World Bank)</w:t>
            </w:r>
          </w:p>
        </w:tc>
        <w:tc>
          <w:tcPr>
            <w:tcW w:w="2612" w:type="dxa"/>
          </w:tcPr>
          <w:p w:rsidR="000D733F" w:rsidRDefault="000D733F" w:rsidP="00F84E7B">
            <w:pPr>
              <w:pStyle w:val="TableTextEntries"/>
              <w:rPr>
                <w:color w:val="000000" w:themeColor="text1" w:themeShade="BF"/>
              </w:rPr>
            </w:pPr>
          </w:p>
          <w:p w:rsidR="00B43BF1" w:rsidRDefault="00B43BF1" w:rsidP="00F84E7B">
            <w:pPr>
              <w:pStyle w:val="TableTextEntries"/>
              <w:rPr>
                <w:color w:val="000000" w:themeColor="text1" w:themeShade="BF"/>
              </w:rPr>
            </w:pPr>
          </w:p>
          <w:p w:rsidR="00B43BF1" w:rsidRPr="003275D0" w:rsidRDefault="00B43BF1" w:rsidP="00F84E7B">
            <w:pPr>
              <w:pStyle w:val="TableTextEntries"/>
              <w:rPr>
                <w:color w:val="000000" w:themeColor="text1" w:themeShade="BF"/>
              </w:rPr>
            </w:pPr>
            <w:r>
              <w:rPr>
                <w:color w:val="000000" w:themeColor="text1" w:themeShade="BF"/>
              </w:rPr>
              <w:t>Assess mid-term progress</w:t>
            </w:r>
          </w:p>
        </w:tc>
        <w:tc>
          <w:tcPr>
            <w:tcW w:w="2617" w:type="dxa"/>
          </w:tcPr>
          <w:p w:rsidR="000D733F" w:rsidRDefault="00F84E7B" w:rsidP="003275D0">
            <w:pPr>
              <w:pStyle w:val="TableTextEntries"/>
            </w:pPr>
            <w:r>
              <w:t>October 2014</w:t>
            </w:r>
          </w:p>
          <w:p w:rsidR="00B43BF1" w:rsidRDefault="00B43BF1" w:rsidP="003275D0">
            <w:pPr>
              <w:pStyle w:val="TableTextEntries"/>
            </w:pPr>
          </w:p>
          <w:p w:rsidR="00B43BF1" w:rsidRPr="003275D0" w:rsidRDefault="00B43BF1" w:rsidP="003275D0">
            <w:pPr>
              <w:pStyle w:val="TableTextEntries"/>
            </w:pPr>
            <w:r>
              <w:t>November 2014</w:t>
            </w:r>
          </w:p>
        </w:tc>
      </w:tr>
      <w:tr w:rsidR="000D733F" w:rsidRPr="00071B95" w:rsidTr="000D733F">
        <w:tc>
          <w:tcPr>
            <w:tcW w:w="2601" w:type="dxa"/>
          </w:tcPr>
          <w:p w:rsidR="000D733F" w:rsidRPr="00071B95" w:rsidRDefault="000D733F" w:rsidP="000D733F">
            <w:pPr>
              <w:pStyle w:val="TableTextEntries"/>
            </w:pPr>
          </w:p>
        </w:tc>
        <w:tc>
          <w:tcPr>
            <w:tcW w:w="2530" w:type="dxa"/>
          </w:tcPr>
          <w:p w:rsidR="000D733F" w:rsidRPr="00071B95" w:rsidRDefault="000D733F" w:rsidP="000D733F">
            <w:pPr>
              <w:pStyle w:val="TableTextEntries"/>
            </w:pPr>
          </w:p>
        </w:tc>
        <w:tc>
          <w:tcPr>
            <w:tcW w:w="2612" w:type="dxa"/>
          </w:tcPr>
          <w:p w:rsidR="000D733F" w:rsidRPr="00071B95" w:rsidRDefault="000D733F" w:rsidP="000D733F">
            <w:pPr>
              <w:pStyle w:val="TableTextEntries"/>
            </w:pPr>
          </w:p>
        </w:tc>
        <w:tc>
          <w:tcPr>
            <w:tcW w:w="2612" w:type="dxa"/>
          </w:tcPr>
          <w:p w:rsidR="000D733F" w:rsidRPr="00071B95" w:rsidRDefault="000D733F" w:rsidP="000D733F">
            <w:pPr>
              <w:pStyle w:val="TableTextEntries"/>
            </w:pPr>
          </w:p>
        </w:tc>
        <w:tc>
          <w:tcPr>
            <w:tcW w:w="2617" w:type="dxa"/>
          </w:tcPr>
          <w:p w:rsidR="000D733F" w:rsidRPr="00071B95" w:rsidRDefault="000D733F" w:rsidP="000D733F">
            <w:pPr>
              <w:pStyle w:val="TableTextEntries"/>
            </w:pPr>
          </w:p>
        </w:tc>
      </w:tr>
    </w:tbl>
    <w:p w:rsidR="000D733F" w:rsidRDefault="000D733F" w:rsidP="000D733F">
      <w:pPr>
        <w:rPr>
          <w:b/>
        </w:rPr>
        <w:sectPr w:rsidR="000D733F"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9E38C1" w:rsidRDefault="000D733F" w:rsidP="000D733F">
      <w:pPr>
        <w:pStyle w:val="Heading2"/>
        <w:rPr>
          <w:sz w:val="28"/>
        </w:rPr>
      </w:pPr>
      <w:r w:rsidRPr="009E38C1">
        <w:rPr>
          <w:sz w:val="28"/>
        </w:rPr>
        <w:t>Annex D</w:t>
      </w:r>
    </w:p>
    <w:p w:rsidR="000D733F" w:rsidRPr="009E38C1" w:rsidRDefault="000D733F" w:rsidP="000D733F">
      <w:pPr>
        <w:pStyle w:val="Heading2"/>
        <w:rPr>
          <w:sz w:val="28"/>
        </w:rPr>
      </w:pPr>
      <w:r w:rsidRPr="009E38C1">
        <w:rPr>
          <w:sz w:val="28"/>
        </w:rPr>
        <w:t>Performance Benchmarks 2014 -15</w:t>
      </w:r>
    </w:p>
    <w:p w:rsidR="000D733F" w:rsidRDefault="000D733F" w:rsidP="000D733F">
      <w:pPr>
        <w:pStyle w:val="BodyText"/>
      </w:pPr>
      <w:r w:rsidRPr="007C1EF5">
        <w:t>Identify a small set of performance benchmarks to be used to assess the performance of the country or regional program in 2014-15. Performance benchmarks can reflect intended results (e.g. 250 scholarships provided), milestones (e.g. construction started</w:t>
      </w:r>
      <w:r w:rsidR="009A25EB">
        <w:t>/completed</w:t>
      </w:r>
      <w:r w:rsidRPr="007C1EF5">
        <w:t xml:space="preserve"> on an infrastructure project) or measures of increased effectiveness and efficiency (e.g. better investment quality ratings). </w:t>
      </w:r>
    </w:p>
    <w:tbl>
      <w:tblPr>
        <w:tblStyle w:val="DFATTable"/>
        <w:tblW w:w="4961" w:type="pct"/>
        <w:tblInd w:w="108" w:type="dxa"/>
        <w:tblLook w:val="04A0" w:firstRow="1" w:lastRow="0" w:firstColumn="1" w:lastColumn="0" w:noHBand="0" w:noVBand="1"/>
      </w:tblPr>
      <w:tblGrid>
        <w:gridCol w:w="3193"/>
        <w:gridCol w:w="3300"/>
        <w:gridCol w:w="7280"/>
      </w:tblGrid>
      <w:tr w:rsidR="005566E2" w:rsidRPr="004F7D80" w:rsidTr="005566E2">
        <w:trPr>
          <w:tblHeader/>
        </w:trPr>
        <w:tc>
          <w:tcPr>
            <w:tcW w:w="1159" w:type="pct"/>
            <w:tcMar>
              <w:top w:w="57" w:type="dxa"/>
              <w:bottom w:w="57" w:type="dxa"/>
            </w:tcMar>
          </w:tcPr>
          <w:p w:rsidR="005566E2" w:rsidRPr="002749B6" w:rsidRDefault="005566E2" w:rsidP="00DC3716">
            <w:pPr>
              <w:pStyle w:val="TableHeading1"/>
            </w:pPr>
            <w:r>
              <w:t>Aid</w:t>
            </w:r>
            <w:r w:rsidRPr="002749B6">
              <w:t xml:space="preserve"> objective</w:t>
            </w:r>
          </w:p>
        </w:tc>
        <w:tc>
          <w:tcPr>
            <w:tcW w:w="1198" w:type="pct"/>
          </w:tcPr>
          <w:p w:rsidR="005566E2" w:rsidRPr="002749B6" w:rsidRDefault="005566E2" w:rsidP="002C001C">
            <w:pPr>
              <w:pStyle w:val="TableHeading1"/>
            </w:pPr>
            <w:r w:rsidRPr="002749B6">
              <w:t xml:space="preserve">2014-15 </w:t>
            </w:r>
            <w:r>
              <w:t xml:space="preserve">performance </w:t>
            </w:r>
            <w:r w:rsidRPr="002749B6">
              <w:t>benchmark</w:t>
            </w:r>
            <w:r>
              <w:t>s</w:t>
            </w:r>
            <w:r w:rsidRPr="002749B6">
              <w:t xml:space="preserve"> </w:t>
            </w:r>
          </w:p>
        </w:tc>
        <w:tc>
          <w:tcPr>
            <w:tcW w:w="2643" w:type="pct"/>
          </w:tcPr>
          <w:p w:rsidR="005566E2" w:rsidRPr="002749B6" w:rsidRDefault="005566E2" w:rsidP="002C001C">
            <w:pPr>
              <w:pStyle w:val="TableHeading1"/>
            </w:pPr>
            <w:r>
              <w:t>Rationale for selecting these</w:t>
            </w:r>
            <w:r w:rsidRPr="002749B6">
              <w:t xml:space="preserve"> performance benchmark</w:t>
            </w:r>
            <w:r>
              <w:t>s</w:t>
            </w:r>
          </w:p>
        </w:tc>
      </w:tr>
      <w:tr w:rsidR="00330B28" w:rsidRPr="004F7D80" w:rsidTr="005566E2">
        <w:tc>
          <w:tcPr>
            <w:tcW w:w="1159" w:type="pct"/>
            <w:tcMar>
              <w:top w:w="57" w:type="dxa"/>
              <w:bottom w:w="57" w:type="dxa"/>
            </w:tcMar>
          </w:tcPr>
          <w:p w:rsidR="00330B28" w:rsidRPr="002749B6" w:rsidRDefault="00330B28" w:rsidP="00DC3716">
            <w:pPr>
              <w:pStyle w:val="TableTextEntries"/>
            </w:pPr>
          </w:p>
        </w:tc>
        <w:tc>
          <w:tcPr>
            <w:tcW w:w="1198" w:type="pct"/>
          </w:tcPr>
          <w:p w:rsidR="00330B28" w:rsidRPr="002749B6" w:rsidRDefault="00330B28" w:rsidP="00DC3716">
            <w:pPr>
              <w:pStyle w:val="TableTextEntries"/>
            </w:pPr>
          </w:p>
        </w:tc>
        <w:tc>
          <w:tcPr>
            <w:tcW w:w="2643" w:type="pct"/>
          </w:tcPr>
          <w:p w:rsidR="00330B28" w:rsidRPr="002749B6" w:rsidRDefault="00330B28" w:rsidP="00DC3716">
            <w:pPr>
              <w:pStyle w:val="TableTextEntries"/>
            </w:pPr>
          </w:p>
        </w:tc>
      </w:tr>
      <w:tr w:rsidR="00330B28" w:rsidRPr="004F7D80" w:rsidTr="0094647C">
        <w:tc>
          <w:tcPr>
            <w:tcW w:w="5000" w:type="pct"/>
            <w:gridSpan w:val="3"/>
            <w:tcMar>
              <w:top w:w="57" w:type="dxa"/>
              <w:bottom w:w="57" w:type="dxa"/>
            </w:tcMar>
          </w:tcPr>
          <w:p w:rsidR="00330B28" w:rsidRPr="002749B6" w:rsidRDefault="00330B28" w:rsidP="00DC3716">
            <w:pPr>
              <w:pStyle w:val="TableHeading2"/>
            </w:pPr>
            <w:r>
              <w:t>Priority Outcome 1: Basic Education</w:t>
            </w:r>
          </w:p>
        </w:tc>
      </w:tr>
      <w:tr w:rsidR="00FC4EAD" w:rsidRPr="004F7D80" w:rsidTr="005566E2">
        <w:tc>
          <w:tcPr>
            <w:tcW w:w="1159" w:type="pct"/>
            <w:tcMar>
              <w:top w:w="57" w:type="dxa"/>
              <w:bottom w:w="57" w:type="dxa"/>
            </w:tcMar>
          </w:tcPr>
          <w:p w:rsidR="00FC4EAD" w:rsidRPr="002749B6" w:rsidRDefault="00FC4EAD" w:rsidP="002C001C">
            <w:pPr>
              <w:spacing w:before="40" w:after="40"/>
            </w:pPr>
            <w:r>
              <w:rPr>
                <w:rFonts w:ascii="Arial" w:hAnsi="Arial" w:cs="Arial"/>
                <w:sz w:val="16"/>
                <w:szCs w:val="16"/>
              </w:rPr>
              <w:t>All children participate in basic education and achieve functional numeracy and literacy</w:t>
            </w:r>
          </w:p>
        </w:tc>
        <w:tc>
          <w:tcPr>
            <w:tcW w:w="1198" w:type="pct"/>
          </w:tcPr>
          <w:p w:rsidR="00FC4EAD" w:rsidRDefault="00FC4EAD" w:rsidP="002C001C">
            <w:pPr>
              <w:pStyle w:val="TableTextEntries"/>
              <w:spacing w:after="0"/>
            </w:pPr>
            <w:r>
              <w:t>Findings of the 2014 KEIP Independent Evaluation used to strengthen performance over the balance of the current phase of KEIP and inform the design of the next.</w:t>
            </w:r>
          </w:p>
          <w:p w:rsidR="00FC4EAD" w:rsidRDefault="00FC4EAD" w:rsidP="002C001C">
            <w:pPr>
              <w:pStyle w:val="TableTextEntries"/>
              <w:spacing w:before="0" w:after="0"/>
            </w:pPr>
          </w:p>
          <w:p w:rsidR="00FC4EAD" w:rsidRDefault="00FC4EAD" w:rsidP="002C001C">
            <w:pPr>
              <w:pStyle w:val="TableTextEntries"/>
              <w:spacing w:before="0" w:after="0"/>
            </w:pPr>
            <w:r>
              <w:t>Year 4 curriculum support materials are prepared in 2014 &amp; implemented in 2015.</w:t>
            </w:r>
          </w:p>
          <w:p w:rsidR="00FC4EAD" w:rsidRDefault="00FC4EAD" w:rsidP="002C001C">
            <w:pPr>
              <w:pStyle w:val="TableTextEntries"/>
              <w:spacing w:before="0" w:after="0"/>
            </w:pPr>
          </w:p>
          <w:p w:rsidR="00FC4EAD" w:rsidRDefault="00FC4EAD" w:rsidP="002C001C">
            <w:pPr>
              <w:pStyle w:val="TableTextEntries"/>
              <w:spacing w:before="0" w:after="0"/>
            </w:pPr>
            <w:r>
              <w:t>The Year 3-4 Teacher Professional Development Program and the School Leaders Professional Development Program is delivered.</w:t>
            </w:r>
          </w:p>
          <w:p w:rsidR="00FC4EAD" w:rsidRDefault="00FC4EAD" w:rsidP="002C001C">
            <w:pPr>
              <w:pStyle w:val="TableTextEntries"/>
              <w:spacing w:before="0" w:after="0"/>
            </w:pPr>
          </w:p>
          <w:p w:rsidR="00FC4EAD" w:rsidRDefault="00FC4EAD" w:rsidP="002C001C">
            <w:pPr>
              <w:pStyle w:val="TableTextEntries"/>
              <w:spacing w:before="0" w:after="0"/>
            </w:pPr>
            <w:r>
              <w:t>Ten schools are rehabilitated to meet National Infrastructure Standards.</w:t>
            </w:r>
          </w:p>
          <w:p w:rsidR="00FC4EAD" w:rsidRDefault="00FC4EAD" w:rsidP="002C001C">
            <w:pPr>
              <w:pStyle w:val="TableTextEntries"/>
              <w:spacing w:before="0" w:after="0"/>
            </w:pPr>
          </w:p>
          <w:p w:rsidR="00FC4EAD" w:rsidRPr="002749B6" w:rsidRDefault="00FC4EAD" w:rsidP="002C001C">
            <w:pPr>
              <w:pStyle w:val="TableTextEntries"/>
              <w:spacing w:before="0" w:after="0"/>
            </w:pPr>
            <w:r>
              <w:t>Sectoral planning, monitoring and evaluation enhanced - with the ESSP Monitoring and Evaluation Framework finalised by mid-2015</w:t>
            </w:r>
          </w:p>
        </w:tc>
        <w:tc>
          <w:tcPr>
            <w:tcW w:w="2643" w:type="pct"/>
          </w:tcPr>
          <w:p w:rsidR="00FC4EAD" w:rsidRDefault="00FC4EAD" w:rsidP="002C001C">
            <w:pPr>
              <w:pStyle w:val="TableTextEntries"/>
            </w:pPr>
            <w:r>
              <w:t xml:space="preserve">The desire to prioritise effective investments in education and workforce skills development - to provide skills for productive livelihoods - is central to efforts to reduce poverty through sustainable economic growth. Investment in these domains represents 75 per cent of Australian development assistance in Kiribati. </w:t>
            </w:r>
          </w:p>
          <w:p w:rsidR="00FC4EAD" w:rsidRDefault="00FC4EAD" w:rsidP="002C001C">
            <w:pPr>
              <w:pStyle w:val="TableTextEntries"/>
            </w:pPr>
            <w:r>
              <w:t>We aim to improve the quality of basic education in I-Kiribati primary schools so that all children participate in school and achieve functional literacy after six years of schooling.</w:t>
            </w:r>
          </w:p>
          <w:p w:rsidR="00FC4EAD" w:rsidRDefault="00FC4EAD" w:rsidP="002C001C">
            <w:pPr>
              <w:pStyle w:val="TableTextEntries"/>
            </w:pPr>
            <w:r>
              <w:t>To achieve that end work is clustered into five sets of mutually supporting activities: (a) curriculum reform; (b) teacher and school leader professional development; (c) school rehabilitation; (d) community engagement; (e) sectoral oversight of service delivery.</w:t>
            </w:r>
          </w:p>
          <w:p w:rsidR="00FC4EAD" w:rsidRPr="002749B6" w:rsidRDefault="00FC4EAD" w:rsidP="002C001C">
            <w:pPr>
              <w:pStyle w:val="TableTextEntries"/>
            </w:pPr>
          </w:p>
        </w:tc>
      </w:tr>
    </w:tbl>
    <w:p w:rsidR="00762C76" w:rsidRPr="009E38C1" w:rsidRDefault="00762C76" w:rsidP="00762C76">
      <w:pPr>
        <w:pStyle w:val="Heading2"/>
        <w:rPr>
          <w:sz w:val="28"/>
        </w:rPr>
      </w:pPr>
      <w:r w:rsidRPr="009E38C1">
        <w:rPr>
          <w:sz w:val="28"/>
        </w:rPr>
        <w:t>Performance Benchmarks 2014 -15</w:t>
      </w:r>
      <w:r>
        <w:rPr>
          <w:sz w:val="28"/>
        </w:rPr>
        <w:t xml:space="preserve"> </w:t>
      </w:r>
      <w:r w:rsidR="005566E2">
        <w:rPr>
          <w:sz w:val="28"/>
        </w:rPr>
        <w:t>(</w:t>
      </w:r>
      <w:r>
        <w:rPr>
          <w:sz w:val="28"/>
        </w:rPr>
        <w:t>continued</w:t>
      </w:r>
      <w:r w:rsidR="005566E2">
        <w:rPr>
          <w:sz w:val="28"/>
        </w:rPr>
        <w:t>)</w:t>
      </w:r>
    </w:p>
    <w:p w:rsidR="00633247" w:rsidRDefault="00633247" w:rsidP="00330B28">
      <w:pPr>
        <w:rPr>
          <w:iCs/>
        </w:rPr>
      </w:pPr>
    </w:p>
    <w:tbl>
      <w:tblPr>
        <w:tblStyle w:val="DFATTable"/>
        <w:tblW w:w="4961" w:type="pct"/>
        <w:tblInd w:w="108" w:type="dxa"/>
        <w:tblLook w:val="04A0" w:firstRow="1" w:lastRow="0" w:firstColumn="1" w:lastColumn="0" w:noHBand="0" w:noVBand="1"/>
      </w:tblPr>
      <w:tblGrid>
        <w:gridCol w:w="3193"/>
        <w:gridCol w:w="3300"/>
        <w:gridCol w:w="7280"/>
      </w:tblGrid>
      <w:tr w:rsidR="00633247" w:rsidRPr="004F7D80" w:rsidTr="0094647C">
        <w:trPr>
          <w:tblHeader/>
        </w:trPr>
        <w:tc>
          <w:tcPr>
            <w:tcW w:w="1159" w:type="pct"/>
            <w:tcMar>
              <w:top w:w="57" w:type="dxa"/>
              <w:bottom w:w="57" w:type="dxa"/>
            </w:tcMar>
          </w:tcPr>
          <w:p w:rsidR="00633247" w:rsidRPr="002749B6" w:rsidRDefault="00633247" w:rsidP="002853A6">
            <w:pPr>
              <w:pStyle w:val="TableHeading1"/>
            </w:pPr>
            <w:r>
              <w:t>Aid</w:t>
            </w:r>
            <w:r w:rsidRPr="002749B6">
              <w:t xml:space="preserve"> objective</w:t>
            </w:r>
          </w:p>
        </w:tc>
        <w:tc>
          <w:tcPr>
            <w:tcW w:w="1198" w:type="pct"/>
          </w:tcPr>
          <w:p w:rsidR="00633247" w:rsidRPr="002749B6" w:rsidRDefault="00633247" w:rsidP="002853A6">
            <w:pPr>
              <w:pStyle w:val="TableHeading1"/>
            </w:pPr>
            <w:r w:rsidRPr="002749B6">
              <w:t xml:space="preserve">2014-15 </w:t>
            </w:r>
            <w:r w:rsidR="005566E2">
              <w:t xml:space="preserve">performance </w:t>
            </w:r>
            <w:r w:rsidRPr="002749B6">
              <w:t>benchmark</w:t>
            </w:r>
            <w:r w:rsidR="005566E2">
              <w:t>s</w:t>
            </w:r>
            <w:r w:rsidRPr="002749B6">
              <w:t xml:space="preserve"> </w:t>
            </w:r>
          </w:p>
        </w:tc>
        <w:tc>
          <w:tcPr>
            <w:tcW w:w="2642" w:type="pct"/>
          </w:tcPr>
          <w:p w:rsidR="00633247" w:rsidRPr="002749B6" w:rsidRDefault="002853A6" w:rsidP="002853A6">
            <w:pPr>
              <w:pStyle w:val="TableHeading1"/>
            </w:pPr>
            <w:r>
              <w:t>Rationale for selecting these</w:t>
            </w:r>
            <w:r w:rsidR="00633247" w:rsidRPr="002749B6">
              <w:t xml:space="preserve"> performance benchmark</w:t>
            </w:r>
            <w:r>
              <w:t>s</w:t>
            </w:r>
          </w:p>
        </w:tc>
      </w:tr>
      <w:tr w:rsidR="00633247" w:rsidRPr="004F7D80" w:rsidTr="0094647C">
        <w:tc>
          <w:tcPr>
            <w:tcW w:w="1159" w:type="pct"/>
            <w:tcMar>
              <w:top w:w="57" w:type="dxa"/>
              <w:bottom w:w="57" w:type="dxa"/>
            </w:tcMar>
          </w:tcPr>
          <w:p w:rsidR="00633247" w:rsidRPr="002749B6" w:rsidRDefault="00633247" w:rsidP="002853A6">
            <w:pPr>
              <w:pStyle w:val="TableTextEntries"/>
            </w:pPr>
          </w:p>
        </w:tc>
        <w:tc>
          <w:tcPr>
            <w:tcW w:w="1198" w:type="pct"/>
          </w:tcPr>
          <w:p w:rsidR="00633247" w:rsidRPr="002749B6" w:rsidRDefault="00633247" w:rsidP="002853A6">
            <w:pPr>
              <w:pStyle w:val="TableTextEntries"/>
            </w:pPr>
          </w:p>
        </w:tc>
        <w:tc>
          <w:tcPr>
            <w:tcW w:w="2642" w:type="pct"/>
          </w:tcPr>
          <w:p w:rsidR="00633247" w:rsidRPr="002749B6" w:rsidRDefault="00633247" w:rsidP="002853A6">
            <w:pPr>
              <w:pStyle w:val="TableTextEntries"/>
            </w:pPr>
          </w:p>
        </w:tc>
      </w:tr>
      <w:tr w:rsidR="00633247" w:rsidRPr="004F7D80" w:rsidTr="0094647C">
        <w:tc>
          <w:tcPr>
            <w:tcW w:w="5000" w:type="pct"/>
            <w:gridSpan w:val="3"/>
            <w:tcMar>
              <w:top w:w="57" w:type="dxa"/>
              <w:bottom w:w="57" w:type="dxa"/>
            </w:tcMar>
          </w:tcPr>
          <w:p w:rsidR="00633247" w:rsidRPr="002749B6" w:rsidRDefault="00633247" w:rsidP="00762C76">
            <w:pPr>
              <w:pStyle w:val="TableHeading2"/>
            </w:pPr>
            <w:r>
              <w:t xml:space="preserve">Priority Outcome </w:t>
            </w:r>
            <w:r w:rsidR="00762C76">
              <w:t>2</w:t>
            </w:r>
            <w:r>
              <w:t>: Workforce Skills Development</w:t>
            </w:r>
          </w:p>
        </w:tc>
      </w:tr>
      <w:tr w:rsidR="0094647C" w:rsidRPr="004F7D80" w:rsidTr="0094647C">
        <w:tc>
          <w:tcPr>
            <w:tcW w:w="1159" w:type="pct"/>
            <w:tcMar>
              <w:top w:w="57" w:type="dxa"/>
              <w:bottom w:w="57" w:type="dxa"/>
            </w:tcMar>
          </w:tcPr>
          <w:p w:rsidR="0094647C" w:rsidRPr="009136CA" w:rsidRDefault="0094647C" w:rsidP="002853A6">
            <w:pPr>
              <w:spacing w:before="40" w:after="40"/>
              <w:rPr>
                <w:rFonts w:ascii="Arial" w:hAnsi="Arial" w:cs="Arial"/>
                <w:sz w:val="16"/>
                <w:szCs w:val="16"/>
              </w:rPr>
            </w:pPr>
            <w:r>
              <w:rPr>
                <w:rFonts w:ascii="Arial" w:hAnsi="Arial" w:cs="Arial"/>
                <w:sz w:val="16"/>
                <w:szCs w:val="16"/>
              </w:rPr>
              <w:t>M</w:t>
            </w:r>
            <w:r w:rsidRPr="009136CA">
              <w:rPr>
                <w:rFonts w:ascii="Arial" w:hAnsi="Arial" w:cs="Arial"/>
                <w:sz w:val="16"/>
                <w:szCs w:val="16"/>
              </w:rPr>
              <w:t xml:space="preserve">ore </w:t>
            </w:r>
            <w:r>
              <w:rPr>
                <w:rFonts w:ascii="Arial" w:hAnsi="Arial" w:cs="Arial"/>
                <w:sz w:val="16"/>
                <w:szCs w:val="16"/>
              </w:rPr>
              <w:t xml:space="preserve">young </w:t>
            </w:r>
            <w:r w:rsidRPr="009136CA">
              <w:rPr>
                <w:rFonts w:ascii="Arial" w:hAnsi="Arial" w:cs="Arial"/>
                <w:sz w:val="16"/>
                <w:szCs w:val="16"/>
              </w:rPr>
              <w:t xml:space="preserve">I-Kiribati women and men (16-24 years) </w:t>
            </w:r>
            <w:r>
              <w:rPr>
                <w:rFonts w:ascii="Arial" w:hAnsi="Arial" w:cs="Arial"/>
                <w:sz w:val="16"/>
                <w:szCs w:val="16"/>
              </w:rPr>
              <w:t>gain</w:t>
            </w:r>
            <w:r w:rsidRPr="009136CA">
              <w:rPr>
                <w:rFonts w:ascii="Arial" w:hAnsi="Arial" w:cs="Arial"/>
                <w:sz w:val="16"/>
                <w:szCs w:val="16"/>
              </w:rPr>
              <w:t xml:space="preserve"> recognised</w:t>
            </w:r>
            <w:r>
              <w:rPr>
                <w:rFonts w:ascii="Arial" w:hAnsi="Arial" w:cs="Arial"/>
                <w:sz w:val="16"/>
                <w:szCs w:val="16"/>
              </w:rPr>
              <w:t xml:space="preserve"> and valued</w:t>
            </w:r>
            <w:r w:rsidRPr="009136CA">
              <w:rPr>
                <w:rFonts w:ascii="Arial" w:hAnsi="Arial" w:cs="Arial"/>
                <w:sz w:val="16"/>
                <w:szCs w:val="16"/>
              </w:rPr>
              <w:t xml:space="preserve"> </w:t>
            </w:r>
            <w:r>
              <w:rPr>
                <w:rFonts w:ascii="Arial" w:hAnsi="Arial" w:cs="Arial"/>
                <w:sz w:val="16"/>
                <w:szCs w:val="16"/>
              </w:rPr>
              <w:t xml:space="preserve">professional and vocational </w:t>
            </w:r>
            <w:r w:rsidRPr="009136CA">
              <w:rPr>
                <w:rFonts w:ascii="Arial" w:hAnsi="Arial" w:cs="Arial"/>
                <w:sz w:val="16"/>
                <w:szCs w:val="16"/>
              </w:rPr>
              <w:t xml:space="preserve">qualifications </w:t>
            </w:r>
            <w:r>
              <w:rPr>
                <w:rFonts w:ascii="Arial" w:hAnsi="Arial" w:cs="Arial"/>
                <w:sz w:val="16"/>
                <w:szCs w:val="16"/>
              </w:rPr>
              <w:t>and</w:t>
            </w:r>
            <w:r w:rsidRPr="009136CA">
              <w:rPr>
                <w:rFonts w:ascii="Arial" w:hAnsi="Arial" w:cs="Arial"/>
                <w:sz w:val="16"/>
                <w:szCs w:val="16"/>
              </w:rPr>
              <w:t xml:space="preserve"> access employment and training opportunities domestically and abroad.</w:t>
            </w:r>
          </w:p>
          <w:p w:rsidR="0094647C" w:rsidRPr="005E2851" w:rsidRDefault="0094647C" w:rsidP="002853A6">
            <w:pPr>
              <w:spacing w:before="40" w:after="40"/>
              <w:rPr>
                <w:rFonts w:ascii="Arial" w:hAnsi="Arial" w:cs="Arial"/>
                <w:sz w:val="16"/>
                <w:szCs w:val="16"/>
              </w:rPr>
            </w:pPr>
          </w:p>
        </w:tc>
        <w:tc>
          <w:tcPr>
            <w:tcW w:w="1198" w:type="pct"/>
          </w:tcPr>
          <w:p w:rsidR="0094647C" w:rsidRDefault="0094647C" w:rsidP="002853A6">
            <w:pPr>
              <w:pStyle w:val="TableTextEntries"/>
            </w:pPr>
            <w:r>
              <w:t>All trainers at KIT have the necessary technical and training / assessment qualifications and skills.</w:t>
            </w:r>
          </w:p>
          <w:p w:rsidR="0094647C" w:rsidRDefault="0094647C" w:rsidP="002853A6">
            <w:pPr>
              <w:pStyle w:val="TableTextEntries"/>
              <w:spacing w:before="0" w:after="0"/>
            </w:pPr>
          </w:p>
          <w:p w:rsidR="0094647C" w:rsidRDefault="0094647C" w:rsidP="002853A6">
            <w:pPr>
              <w:pStyle w:val="TableTextEntries"/>
              <w:spacing w:before="0" w:after="0"/>
            </w:pPr>
            <w:r>
              <w:t>Delivery and administration of training and assessment services complies with Australian VET quality Framework requirements.</w:t>
            </w:r>
          </w:p>
          <w:p w:rsidR="0094647C" w:rsidRDefault="0094647C" w:rsidP="002853A6">
            <w:pPr>
              <w:pStyle w:val="TableTextEntries"/>
              <w:spacing w:before="0" w:after="0"/>
            </w:pPr>
          </w:p>
          <w:p w:rsidR="0094647C" w:rsidRDefault="0094647C" w:rsidP="002853A6">
            <w:pPr>
              <w:pStyle w:val="TableTextEntries"/>
              <w:spacing w:before="0" w:after="0"/>
            </w:pPr>
            <w:r>
              <w:t>More students enrol and/complete courses at KIT leading to an internationally recognised qualification.</w:t>
            </w:r>
          </w:p>
          <w:p w:rsidR="0094647C" w:rsidRDefault="0094647C" w:rsidP="002853A6">
            <w:pPr>
              <w:pStyle w:val="TableTextEntries"/>
              <w:spacing w:before="0" w:after="0"/>
            </w:pPr>
          </w:p>
          <w:p w:rsidR="0094647C" w:rsidRDefault="0094647C" w:rsidP="002853A6">
            <w:pPr>
              <w:pStyle w:val="TableTextEntries"/>
              <w:spacing w:before="0" w:after="0"/>
            </w:pPr>
            <w:r>
              <w:t>Work commences (and progresses satisfactorily) on the upgrade of facilities at KIT.</w:t>
            </w:r>
          </w:p>
          <w:p w:rsidR="0094647C" w:rsidRDefault="0094647C" w:rsidP="002853A6">
            <w:pPr>
              <w:pStyle w:val="TableTextEntries"/>
              <w:spacing w:before="0" w:after="0"/>
            </w:pPr>
          </w:p>
          <w:p w:rsidR="0094647C" w:rsidRPr="002749B6" w:rsidRDefault="0094647C" w:rsidP="002853A6">
            <w:pPr>
              <w:pStyle w:val="TableTextEntries"/>
              <w:spacing w:before="0" w:after="0"/>
            </w:pPr>
            <w:r>
              <w:t>Refining the Australia Award selection and preparation processes.</w:t>
            </w:r>
          </w:p>
        </w:tc>
        <w:tc>
          <w:tcPr>
            <w:tcW w:w="2642" w:type="pct"/>
          </w:tcPr>
          <w:p w:rsidR="0094647C" w:rsidRDefault="0094647C" w:rsidP="002853A6">
            <w:pPr>
              <w:pStyle w:val="TableTextEntries"/>
            </w:pPr>
            <w:r>
              <w:t xml:space="preserve">The desire to prioritise effective investments in education and workforce skills development - to provide skills for productive livelihoods - is central to efforts to reduce poverty through sustainable economic growth. Investment in these domains represents 75 per cent of Australian development assistance in Kiribati. </w:t>
            </w:r>
          </w:p>
          <w:p w:rsidR="0094647C" w:rsidRDefault="0094647C" w:rsidP="002853A6">
            <w:pPr>
              <w:pStyle w:val="TableTextEntries"/>
            </w:pPr>
            <w:r>
              <w:t>We aim to increase the employability of young I-Kiribati women and men by ensuring they graduate with valued and quality assured qualifications in areas of labour market demand.</w:t>
            </w:r>
          </w:p>
          <w:p w:rsidR="0094647C" w:rsidRDefault="0094647C" w:rsidP="002853A6">
            <w:pPr>
              <w:pStyle w:val="TableTextEntries"/>
            </w:pPr>
            <w:r>
              <w:t>To achieve that end, we seek to improve the relevance, quality, quantity, scope and equity of training and assessment at the Kiribati Institute of Technology, and secur</w:t>
            </w:r>
            <w:r w:rsidR="002853A6">
              <w:t>e</w:t>
            </w:r>
            <w:r>
              <w:t xml:space="preserve"> better comple</w:t>
            </w:r>
            <w:r w:rsidR="002853A6">
              <w:t>tion rates for Australia Award s</w:t>
            </w:r>
            <w:r>
              <w:t>cholars.</w:t>
            </w:r>
          </w:p>
          <w:p w:rsidR="0094647C" w:rsidRPr="002749B6" w:rsidRDefault="0094647C" w:rsidP="002853A6">
            <w:pPr>
              <w:pStyle w:val="TableTextEntries"/>
            </w:pPr>
            <w:r>
              <w:t xml:space="preserve">In 2014-15 activities will focus on: (a) </w:t>
            </w:r>
            <w:r w:rsidRPr="006A1DD5">
              <w:rPr>
                <w:lang w:eastAsia="zh-CN"/>
              </w:rPr>
              <w:t>consolidat</w:t>
            </w:r>
            <w:r>
              <w:rPr>
                <w:lang w:eastAsia="zh-CN"/>
              </w:rPr>
              <w:t>ing</w:t>
            </w:r>
            <w:r w:rsidRPr="006A1DD5">
              <w:rPr>
                <w:lang w:eastAsia="zh-CN"/>
              </w:rPr>
              <w:t xml:space="preserve"> </w:t>
            </w:r>
            <w:r>
              <w:rPr>
                <w:lang w:eastAsia="zh-CN"/>
              </w:rPr>
              <w:t xml:space="preserve">KIT </w:t>
            </w:r>
            <w:r w:rsidRPr="006A1DD5">
              <w:rPr>
                <w:lang w:eastAsia="zh-CN"/>
              </w:rPr>
              <w:t>trainers’ technical and training and assessment skills; (b) improv</w:t>
            </w:r>
            <w:r>
              <w:rPr>
                <w:lang w:eastAsia="zh-CN"/>
              </w:rPr>
              <w:t>ing</w:t>
            </w:r>
            <w:r w:rsidRPr="006A1DD5">
              <w:rPr>
                <w:lang w:eastAsia="zh-CN"/>
              </w:rPr>
              <w:t xml:space="preserve"> </w:t>
            </w:r>
            <w:r>
              <w:rPr>
                <w:lang w:eastAsia="zh-CN"/>
              </w:rPr>
              <w:t>training and</w:t>
            </w:r>
            <w:r w:rsidRPr="006A1DD5">
              <w:rPr>
                <w:lang w:eastAsia="zh-CN"/>
              </w:rPr>
              <w:t xml:space="preserve"> assessment</w:t>
            </w:r>
            <w:r>
              <w:rPr>
                <w:lang w:eastAsia="zh-CN"/>
              </w:rPr>
              <w:t xml:space="preserve"> services; (c) enhancing </w:t>
            </w:r>
            <w:r w:rsidRPr="006A1DD5">
              <w:rPr>
                <w:lang w:eastAsia="zh-CN"/>
              </w:rPr>
              <w:t>student administration practices; (</w:t>
            </w:r>
            <w:r>
              <w:rPr>
                <w:lang w:eastAsia="zh-CN"/>
              </w:rPr>
              <w:t>d</w:t>
            </w:r>
            <w:r w:rsidRPr="006A1DD5">
              <w:rPr>
                <w:lang w:eastAsia="zh-CN"/>
              </w:rPr>
              <w:t>) upgrad</w:t>
            </w:r>
            <w:r>
              <w:rPr>
                <w:lang w:eastAsia="zh-CN"/>
              </w:rPr>
              <w:t>ing</w:t>
            </w:r>
            <w:r w:rsidRPr="006A1DD5">
              <w:rPr>
                <w:lang w:eastAsia="zh-CN"/>
              </w:rPr>
              <w:t xml:space="preserve"> facilities </w:t>
            </w:r>
            <w:r>
              <w:rPr>
                <w:lang w:eastAsia="zh-CN"/>
              </w:rPr>
              <w:t>at KIT</w:t>
            </w:r>
            <w:r w:rsidRPr="006A1DD5">
              <w:rPr>
                <w:lang w:eastAsia="zh-CN"/>
              </w:rPr>
              <w:t>; and (</w:t>
            </w:r>
            <w:r>
              <w:rPr>
                <w:lang w:eastAsia="zh-CN"/>
              </w:rPr>
              <w:t>d</w:t>
            </w:r>
            <w:r w:rsidRPr="006A1DD5">
              <w:rPr>
                <w:lang w:eastAsia="zh-CN"/>
              </w:rPr>
              <w:t xml:space="preserve">) </w:t>
            </w:r>
            <w:r>
              <w:rPr>
                <w:lang w:eastAsia="zh-CN"/>
              </w:rPr>
              <w:t>refining scholarship selection and preparation processes</w:t>
            </w:r>
            <w:r w:rsidRPr="006A1DD5">
              <w:rPr>
                <w:lang w:eastAsia="zh-CN"/>
              </w:rPr>
              <w:t>.</w:t>
            </w:r>
            <w:r w:rsidR="002853A6">
              <w:rPr>
                <w:lang w:eastAsia="zh-CN"/>
              </w:rPr>
              <w:t xml:space="preserve"> </w:t>
            </w:r>
          </w:p>
        </w:tc>
      </w:tr>
    </w:tbl>
    <w:p w:rsidR="00330B28" w:rsidRDefault="00330B28" w:rsidP="00330B28">
      <w:pPr>
        <w:rPr>
          <w:iCs/>
        </w:rPr>
      </w:pPr>
      <w:r>
        <w:rPr>
          <w:iCs/>
        </w:rPr>
        <w:br w:type="page"/>
      </w:r>
    </w:p>
    <w:p w:rsidR="00762C76" w:rsidRPr="009E38C1" w:rsidRDefault="00762C76" w:rsidP="00762C76">
      <w:pPr>
        <w:pStyle w:val="Heading2"/>
        <w:rPr>
          <w:sz w:val="28"/>
        </w:rPr>
      </w:pPr>
      <w:r w:rsidRPr="009E38C1">
        <w:rPr>
          <w:sz w:val="28"/>
        </w:rPr>
        <w:t>Performance Benchmarks 2014 -15</w:t>
      </w:r>
      <w:r>
        <w:rPr>
          <w:sz w:val="28"/>
        </w:rPr>
        <w:t xml:space="preserve"> </w:t>
      </w:r>
      <w:r w:rsidR="005566E2">
        <w:rPr>
          <w:sz w:val="28"/>
        </w:rPr>
        <w:t>(</w:t>
      </w:r>
      <w:r>
        <w:rPr>
          <w:sz w:val="28"/>
        </w:rPr>
        <w:t>continued</w:t>
      </w:r>
      <w:r w:rsidR="005566E2">
        <w:rPr>
          <w:sz w:val="28"/>
        </w:rPr>
        <w:t>)</w:t>
      </w:r>
    </w:p>
    <w:p w:rsidR="00633247" w:rsidRDefault="00633247" w:rsidP="00330B28">
      <w:pPr>
        <w:rPr>
          <w:iCs/>
        </w:rPr>
      </w:pPr>
    </w:p>
    <w:tbl>
      <w:tblPr>
        <w:tblStyle w:val="DFATTable"/>
        <w:tblW w:w="4961" w:type="pct"/>
        <w:tblInd w:w="108" w:type="dxa"/>
        <w:tblLook w:val="04A0" w:firstRow="1" w:lastRow="0" w:firstColumn="1" w:lastColumn="0" w:noHBand="0" w:noVBand="1"/>
      </w:tblPr>
      <w:tblGrid>
        <w:gridCol w:w="3193"/>
        <w:gridCol w:w="3300"/>
        <w:gridCol w:w="7280"/>
      </w:tblGrid>
      <w:tr w:rsidR="00633247" w:rsidRPr="002749B6" w:rsidTr="0094647C">
        <w:trPr>
          <w:tblHeader/>
        </w:trPr>
        <w:tc>
          <w:tcPr>
            <w:tcW w:w="1159" w:type="pct"/>
            <w:tcMar>
              <w:top w:w="57" w:type="dxa"/>
              <w:bottom w:w="57" w:type="dxa"/>
            </w:tcMar>
          </w:tcPr>
          <w:p w:rsidR="00633247" w:rsidRPr="002749B6" w:rsidRDefault="00633247" w:rsidP="002853A6">
            <w:pPr>
              <w:pStyle w:val="TableHeading1"/>
            </w:pPr>
            <w:r>
              <w:t>Aid</w:t>
            </w:r>
            <w:r w:rsidRPr="002749B6">
              <w:t xml:space="preserve"> objective</w:t>
            </w:r>
          </w:p>
        </w:tc>
        <w:tc>
          <w:tcPr>
            <w:tcW w:w="1198" w:type="pct"/>
          </w:tcPr>
          <w:p w:rsidR="00633247" w:rsidRPr="002749B6" w:rsidRDefault="00633247" w:rsidP="002853A6">
            <w:pPr>
              <w:pStyle w:val="TableHeading1"/>
            </w:pPr>
            <w:r w:rsidRPr="002749B6">
              <w:t xml:space="preserve">2014-15 benchmark </w:t>
            </w:r>
          </w:p>
        </w:tc>
        <w:tc>
          <w:tcPr>
            <w:tcW w:w="2642" w:type="pct"/>
          </w:tcPr>
          <w:p w:rsidR="00633247" w:rsidRPr="002749B6" w:rsidRDefault="00633247" w:rsidP="002853A6">
            <w:pPr>
              <w:pStyle w:val="TableHeading1"/>
            </w:pPr>
            <w:r w:rsidRPr="002749B6">
              <w:t>Rationale for selecting this performance benchmark</w:t>
            </w:r>
          </w:p>
        </w:tc>
      </w:tr>
      <w:tr w:rsidR="00633247" w:rsidRPr="002749B6" w:rsidTr="0094647C">
        <w:tc>
          <w:tcPr>
            <w:tcW w:w="1159" w:type="pct"/>
            <w:tcMar>
              <w:top w:w="57" w:type="dxa"/>
              <w:bottom w:w="57" w:type="dxa"/>
            </w:tcMar>
          </w:tcPr>
          <w:p w:rsidR="00633247" w:rsidRPr="002749B6" w:rsidRDefault="00633247" w:rsidP="002853A6">
            <w:pPr>
              <w:pStyle w:val="TableTextEntries"/>
            </w:pPr>
          </w:p>
        </w:tc>
        <w:tc>
          <w:tcPr>
            <w:tcW w:w="1198" w:type="pct"/>
          </w:tcPr>
          <w:p w:rsidR="00633247" w:rsidRPr="002749B6" w:rsidRDefault="00633247" w:rsidP="002853A6">
            <w:pPr>
              <w:pStyle w:val="TableTextEntries"/>
            </w:pPr>
          </w:p>
        </w:tc>
        <w:tc>
          <w:tcPr>
            <w:tcW w:w="2642" w:type="pct"/>
          </w:tcPr>
          <w:p w:rsidR="00633247" w:rsidRPr="002749B6" w:rsidRDefault="00633247" w:rsidP="002853A6">
            <w:pPr>
              <w:pStyle w:val="TableTextEntries"/>
            </w:pPr>
          </w:p>
        </w:tc>
      </w:tr>
      <w:tr w:rsidR="00330B28" w:rsidRPr="004F7D80" w:rsidTr="0094647C">
        <w:tc>
          <w:tcPr>
            <w:tcW w:w="5000" w:type="pct"/>
            <w:gridSpan w:val="3"/>
            <w:tcMar>
              <w:top w:w="57" w:type="dxa"/>
              <w:bottom w:w="57" w:type="dxa"/>
            </w:tcMar>
          </w:tcPr>
          <w:p w:rsidR="00330B28" w:rsidRPr="002749B6" w:rsidRDefault="00330B28" w:rsidP="00DC3716">
            <w:pPr>
              <w:pStyle w:val="TableHeading2"/>
            </w:pPr>
            <w:r>
              <w:t>Priority Outcome 3: Economic Growth</w:t>
            </w:r>
          </w:p>
        </w:tc>
      </w:tr>
      <w:tr w:rsidR="00330B28" w:rsidRPr="004F7D80" w:rsidTr="0094647C">
        <w:tc>
          <w:tcPr>
            <w:tcW w:w="1159" w:type="pct"/>
            <w:tcMar>
              <w:top w:w="57" w:type="dxa"/>
              <w:bottom w:w="57" w:type="dxa"/>
            </w:tcMar>
          </w:tcPr>
          <w:p w:rsidR="00330B28" w:rsidRDefault="00330B28" w:rsidP="00DC3716">
            <w:pPr>
              <w:pStyle w:val="TableTextEntries"/>
            </w:pPr>
            <w:r>
              <w:t>Strengthen economic management in support of mutually agreed GoK-led economic reforms that improve public financial management, increase revenue, reduce the cost of public enterprise and increase the size and participation of the private sector</w:t>
            </w:r>
            <w:r w:rsidRPr="002749B6">
              <w:t xml:space="preserve">. </w:t>
            </w:r>
          </w:p>
          <w:p w:rsidR="00330B28" w:rsidRPr="002749B6" w:rsidRDefault="00330B28" w:rsidP="00DC3716">
            <w:pPr>
              <w:pStyle w:val="TableTextEntries"/>
            </w:pPr>
          </w:p>
        </w:tc>
        <w:tc>
          <w:tcPr>
            <w:tcW w:w="1198" w:type="pct"/>
          </w:tcPr>
          <w:p w:rsidR="00330B28" w:rsidRDefault="00330B28" w:rsidP="00DC3716">
            <w:pPr>
              <w:pStyle w:val="TableTextEntries"/>
            </w:pPr>
            <w:r>
              <w:t>Increased revenue through an expanded revenue base and improved compliance</w:t>
            </w:r>
          </w:p>
          <w:p w:rsidR="00330B28" w:rsidRDefault="00330B28" w:rsidP="00DC3716">
            <w:pPr>
              <w:pStyle w:val="TableTextEntries"/>
            </w:pPr>
          </w:p>
          <w:p w:rsidR="00330B28" w:rsidRDefault="00330B28" w:rsidP="00DC3716">
            <w:pPr>
              <w:pStyle w:val="TableTextEntries"/>
            </w:pPr>
          </w:p>
          <w:p w:rsidR="00330B28" w:rsidRDefault="00330B28" w:rsidP="00DC3716">
            <w:pPr>
              <w:pStyle w:val="TableTextEntries"/>
            </w:pPr>
          </w:p>
          <w:p w:rsidR="00330B28" w:rsidRDefault="00330B28" w:rsidP="00DC3716">
            <w:pPr>
              <w:pStyle w:val="TableTextEntries"/>
            </w:pPr>
          </w:p>
          <w:p w:rsidR="00330B28" w:rsidRDefault="00330B28" w:rsidP="00DC3716">
            <w:pPr>
              <w:pStyle w:val="TableTextEntries"/>
            </w:pPr>
            <w:r>
              <w:t>Improve state-owned enterprise oversight, management and service delivery, including by increasing privatisation and reducing costs on GoK</w:t>
            </w:r>
          </w:p>
          <w:p w:rsidR="00330B28" w:rsidRDefault="00330B28" w:rsidP="00DC3716">
            <w:pPr>
              <w:pStyle w:val="TableTextEntries"/>
            </w:pPr>
          </w:p>
          <w:p w:rsidR="00330B28" w:rsidRDefault="00330B28" w:rsidP="00DC3716">
            <w:pPr>
              <w:pStyle w:val="TableTextEntries"/>
            </w:pPr>
          </w:p>
          <w:p w:rsidR="00330B28" w:rsidRDefault="00330B28" w:rsidP="00DC3716">
            <w:pPr>
              <w:pStyle w:val="TableTextEntries"/>
            </w:pPr>
          </w:p>
          <w:p w:rsidR="00330B28" w:rsidRPr="002749B6" w:rsidRDefault="00330B28" w:rsidP="00DC3716">
            <w:pPr>
              <w:pStyle w:val="TableTextEntries"/>
            </w:pPr>
            <w:r>
              <w:t xml:space="preserve">Improve aid effectiveness, alignment and donor coordination </w:t>
            </w:r>
          </w:p>
        </w:tc>
        <w:tc>
          <w:tcPr>
            <w:tcW w:w="2642" w:type="pct"/>
          </w:tcPr>
          <w:p w:rsidR="00330B28" w:rsidRDefault="00330B28" w:rsidP="00DC3716">
            <w:pPr>
              <w:pStyle w:val="TableTextEntries"/>
            </w:pPr>
            <w:r>
              <w:t>With the introduction of the V</w:t>
            </w:r>
            <w:r w:rsidR="0010152B">
              <w:t>AT</w:t>
            </w:r>
            <w:r>
              <w:t xml:space="preserve"> in April 2014 with the support of Australia, it is anticipated that GoK revenue will increase over the coming financial year.  As VAT collected is embedded in the tax department’s operations, the advisers focus will sensibly shift to improving collection and compliance measure.  </w:t>
            </w:r>
          </w:p>
          <w:p w:rsidR="00330B28" w:rsidRDefault="00330B28" w:rsidP="00DC3716">
            <w:pPr>
              <w:pStyle w:val="TableTextEntries"/>
            </w:pPr>
          </w:p>
          <w:p w:rsidR="00330B28" w:rsidRDefault="00330B28" w:rsidP="00DC3716">
            <w:pPr>
              <w:pStyle w:val="TableTextEntries"/>
            </w:pPr>
          </w:p>
          <w:p w:rsidR="00330B28" w:rsidRDefault="00330B28" w:rsidP="00DC3716">
            <w:pPr>
              <w:pStyle w:val="TableTextEntries"/>
            </w:pPr>
            <w:r>
              <w:t xml:space="preserve">Australia’s support to the reform and privatisation of the underperforming Telecommunications Services Kiribati Limited (TSKL) will progress over 2014-15.  It is anticipated that the tender of this service provider will conclude in late October 2014, with privatisation proceeding in the months following.  This is expected to reduce the economic burden on GoK, improve service and increase private sector participation.  </w:t>
            </w:r>
          </w:p>
          <w:p w:rsidR="00330B28" w:rsidRDefault="00330B28" w:rsidP="00DC3716">
            <w:pPr>
              <w:pStyle w:val="TableTextEntries"/>
            </w:pPr>
          </w:p>
          <w:p w:rsidR="00330B28" w:rsidRDefault="00330B28" w:rsidP="00DC3716">
            <w:pPr>
              <w:pStyle w:val="TableTextEntries"/>
            </w:pPr>
          </w:p>
          <w:p w:rsidR="00330B28" w:rsidRPr="002749B6" w:rsidRDefault="00330B28" w:rsidP="0010152B">
            <w:pPr>
              <w:pStyle w:val="TableTextEntries"/>
            </w:pPr>
            <w:r>
              <w:t xml:space="preserve">By continuing to support </w:t>
            </w:r>
            <w:r w:rsidR="0010152B">
              <w:t xml:space="preserve">the </w:t>
            </w:r>
            <w:r>
              <w:t xml:space="preserve">position of </w:t>
            </w:r>
            <w:r w:rsidR="0010152B">
              <w:t xml:space="preserve">the </w:t>
            </w:r>
            <w:r>
              <w:t xml:space="preserve">Director of the National Economic Planning Office, Australia will aim to improve the coordination and effectiveness of donor funded activities in Kiribati, resulting in </w:t>
            </w:r>
            <w:r w:rsidR="0010152B">
              <w:t>improved</w:t>
            </w:r>
            <w:r>
              <w:t xml:space="preserve"> development outcomes. </w:t>
            </w:r>
          </w:p>
        </w:tc>
      </w:tr>
    </w:tbl>
    <w:p w:rsidR="0094647C" w:rsidRDefault="0094647C" w:rsidP="00DC3716">
      <w:pPr>
        <w:pStyle w:val="TableHeading2"/>
      </w:pPr>
    </w:p>
    <w:p w:rsidR="00762C76" w:rsidRDefault="00762C76" w:rsidP="00DC3716">
      <w:pPr>
        <w:pStyle w:val="TableHeading2"/>
      </w:pPr>
    </w:p>
    <w:p w:rsidR="00762C76" w:rsidRDefault="00762C76" w:rsidP="00DC3716">
      <w:pPr>
        <w:pStyle w:val="TableHeading2"/>
      </w:pPr>
    </w:p>
    <w:p w:rsidR="00762C76" w:rsidRDefault="00762C76" w:rsidP="00DC3716">
      <w:pPr>
        <w:pStyle w:val="TableHeading2"/>
      </w:pPr>
    </w:p>
    <w:p w:rsidR="00762C76" w:rsidRDefault="00762C76" w:rsidP="00DC3716">
      <w:pPr>
        <w:pStyle w:val="TableHeading2"/>
      </w:pPr>
    </w:p>
    <w:p w:rsidR="00762C76" w:rsidRDefault="00762C76" w:rsidP="00DC3716">
      <w:pPr>
        <w:pStyle w:val="TableHeading2"/>
      </w:pPr>
    </w:p>
    <w:p w:rsidR="00762C76" w:rsidRDefault="00762C76" w:rsidP="00DC3716">
      <w:pPr>
        <w:pStyle w:val="TableHeading2"/>
      </w:pPr>
    </w:p>
    <w:p w:rsidR="00762C76" w:rsidRDefault="00762C76" w:rsidP="00DC3716">
      <w:pPr>
        <w:pStyle w:val="TableHeading2"/>
      </w:pPr>
    </w:p>
    <w:p w:rsidR="00762C76" w:rsidRDefault="00762C76" w:rsidP="00DC3716">
      <w:pPr>
        <w:pStyle w:val="TableHeading2"/>
      </w:pPr>
    </w:p>
    <w:p w:rsidR="00762C76" w:rsidRPr="009E38C1" w:rsidRDefault="00762C76" w:rsidP="00762C76">
      <w:pPr>
        <w:pStyle w:val="Heading2"/>
        <w:rPr>
          <w:sz w:val="28"/>
        </w:rPr>
      </w:pPr>
      <w:r w:rsidRPr="009E38C1">
        <w:rPr>
          <w:sz w:val="28"/>
        </w:rPr>
        <w:t>Performance Benchmarks 2014 -15</w:t>
      </w:r>
      <w:r>
        <w:rPr>
          <w:sz w:val="28"/>
        </w:rPr>
        <w:t xml:space="preserve"> </w:t>
      </w:r>
      <w:r w:rsidR="005566E2">
        <w:rPr>
          <w:sz w:val="28"/>
        </w:rPr>
        <w:t>(</w:t>
      </w:r>
      <w:r>
        <w:rPr>
          <w:sz w:val="28"/>
        </w:rPr>
        <w:t>continued</w:t>
      </w:r>
      <w:r w:rsidR="005566E2">
        <w:rPr>
          <w:sz w:val="28"/>
        </w:rPr>
        <w:t>)</w:t>
      </w:r>
    </w:p>
    <w:p w:rsidR="00633247" w:rsidRDefault="00633247" w:rsidP="00DC3716">
      <w:pPr>
        <w:pStyle w:val="TableHeading2"/>
      </w:pPr>
    </w:p>
    <w:tbl>
      <w:tblPr>
        <w:tblStyle w:val="DFATTable"/>
        <w:tblW w:w="4961" w:type="pct"/>
        <w:tblInd w:w="108" w:type="dxa"/>
        <w:tblLook w:val="04A0" w:firstRow="1" w:lastRow="0" w:firstColumn="1" w:lastColumn="0" w:noHBand="0" w:noVBand="1"/>
      </w:tblPr>
      <w:tblGrid>
        <w:gridCol w:w="3193"/>
        <w:gridCol w:w="3300"/>
        <w:gridCol w:w="7280"/>
      </w:tblGrid>
      <w:tr w:rsidR="00633247" w:rsidRPr="002749B6" w:rsidTr="0094647C">
        <w:trPr>
          <w:tblHeader/>
        </w:trPr>
        <w:tc>
          <w:tcPr>
            <w:tcW w:w="1159" w:type="pct"/>
            <w:tcMar>
              <w:top w:w="57" w:type="dxa"/>
              <w:bottom w:w="57" w:type="dxa"/>
            </w:tcMar>
          </w:tcPr>
          <w:p w:rsidR="00633247" w:rsidRPr="002749B6" w:rsidRDefault="00633247" w:rsidP="002853A6">
            <w:pPr>
              <w:pStyle w:val="TableHeading1"/>
            </w:pPr>
            <w:r>
              <w:t>Aid</w:t>
            </w:r>
            <w:r w:rsidRPr="002749B6">
              <w:t xml:space="preserve"> objective</w:t>
            </w:r>
          </w:p>
        </w:tc>
        <w:tc>
          <w:tcPr>
            <w:tcW w:w="1198" w:type="pct"/>
          </w:tcPr>
          <w:p w:rsidR="00633247" w:rsidRPr="002749B6" w:rsidRDefault="00633247" w:rsidP="002853A6">
            <w:pPr>
              <w:pStyle w:val="TableHeading1"/>
            </w:pPr>
            <w:r w:rsidRPr="002749B6">
              <w:t xml:space="preserve">2014-15 benchmark </w:t>
            </w:r>
          </w:p>
        </w:tc>
        <w:tc>
          <w:tcPr>
            <w:tcW w:w="2642" w:type="pct"/>
          </w:tcPr>
          <w:p w:rsidR="00633247" w:rsidRPr="002749B6" w:rsidRDefault="00633247" w:rsidP="002853A6">
            <w:pPr>
              <w:pStyle w:val="TableHeading1"/>
            </w:pPr>
            <w:r w:rsidRPr="002749B6">
              <w:t>Rationale for selecting this performance benchmark</w:t>
            </w:r>
          </w:p>
        </w:tc>
      </w:tr>
      <w:tr w:rsidR="00633247" w:rsidRPr="002749B6" w:rsidTr="0094647C">
        <w:tc>
          <w:tcPr>
            <w:tcW w:w="1159" w:type="pct"/>
            <w:tcMar>
              <w:top w:w="57" w:type="dxa"/>
              <w:bottom w:w="57" w:type="dxa"/>
            </w:tcMar>
          </w:tcPr>
          <w:p w:rsidR="00633247" w:rsidRPr="002749B6" w:rsidRDefault="00633247" w:rsidP="002853A6">
            <w:pPr>
              <w:pStyle w:val="TableTextEntries"/>
            </w:pPr>
          </w:p>
        </w:tc>
        <w:tc>
          <w:tcPr>
            <w:tcW w:w="1198" w:type="pct"/>
          </w:tcPr>
          <w:p w:rsidR="00633247" w:rsidRPr="002749B6" w:rsidRDefault="00633247" w:rsidP="002853A6">
            <w:pPr>
              <w:pStyle w:val="TableTextEntries"/>
            </w:pPr>
          </w:p>
        </w:tc>
        <w:tc>
          <w:tcPr>
            <w:tcW w:w="2642" w:type="pct"/>
          </w:tcPr>
          <w:p w:rsidR="00633247" w:rsidRPr="002749B6" w:rsidRDefault="00633247" w:rsidP="002853A6">
            <w:pPr>
              <w:pStyle w:val="TableTextEntries"/>
            </w:pPr>
          </w:p>
        </w:tc>
      </w:tr>
      <w:tr w:rsidR="00330B28" w:rsidRPr="004F7D80" w:rsidTr="0094647C">
        <w:tc>
          <w:tcPr>
            <w:tcW w:w="5000" w:type="pct"/>
            <w:gridSpan w:val="3"/>
            <w:tcMar>
              <w:top w:w="57" w:type="dxa"/>
              <w:bottom w:w="57" w:type="dxa"/>
            </w:tcMar>
          </w:tcPr>
          <w:p w:rsidR="00330B28" w:rsidRPr="002749B6" w:rsidRDefault="00330B28" w:rsidP="00DC3716">
            <w:pPr>
              <w:pStyle w:val="TableHeading2"/>
            </w:pPr>
            <w:r>
              <w:t>Priority Outcome 4: Infrastructure</w:t>
            </w:r>
          </w:p>
        </w:tc>
      </w:tr>
      <w:tr w:rsidR="00330B28" w:rsidRPr="004F7D80" w:rsidTr="0094647C">
        <w:trPr>
          <w:trHeight w:val="495"/>
        </w:trPr>
        <w:tc>
          <w:tcPr>
            <w:tcW w:w="1159" w:type="pct"/>
            <w:tcMar>
              <w:top w:w="57" w:type="dxa"/>
              <w:bottom w:w="57" w:type="dxa"/>
            </w:tcMar>
          </w:tcPr>
          <w:p w:rsidR="00330B28" w:rsidRPr="002749B6" w:rsidRDefault="00330B28" w:rsidP="00DC3716">
            <w:pPr>
              <w:pStyle w:val="TableTextEntries"/>
            </w:pPr>
            <w:r>
              <w:t xml:space="preserve">Improve infrastructure services through increasing access to telecommunications and sanitation services and improving the main road. </w:t>
            </w:r>
          </w:p>
        </w:tc>
        <w:tc>
          <w:tcPr>
            <w:tcW w:w="1198" w:type="pct"/>
          </w:tcPr>
          <w:p w:rsidR="00330B28" w:rsidRDefault="00330B28" w:rsidP="00DC3716">
            <w:pPr>
              <w:pStyle w:val="TableTextEntries"/>
              <w:spacing w:before="0"/>
              <w:rPr>
                <w:color w:val="000000" w:themeColor="text1" w:themeShade="BF"/>
              </w:rPr>
            </w:pPr>
            <w:r>
              <w:rPr>
                <w:color w:val="000000" w:themeColor="text1" w:themeShade="BF"/>
              </w:rPr>
              <w:t>Improve telecommunications service on South Tarawa</w:t>
            </w:r>
          </w:p>
          <w:p w:rsidR="00330B28" w:rsidRDefault="00330B28" w:rsidP="00DC3716">
            <w:pPr>
              <w:pStyle w:val="TableTextEntries"/>
              <w:spacing w:before="0"/>
              <w:rPr>
                <w:color w:val="000000" w:themeColor="text1" w:themeShade="BF"/>
              </w:rPr>
            </w:pPr>
          </w:p>
          <w:p w:rsidR="00330B28" w:rsidRDefault="00330B28" w:rsidP="00DC3716">
            <w:pPr>
              <w:pStyle w:val="TableTextEntries"/>
              <w:spacing w:before="0"/>
              <w:rPr>
                <w:color w:val="000000" w:themeColor="text1" w:themeShade="BF"/>
              </w:rPr>
            </w:pPr>
          </w:p>
          <w:p w:rsidR="00330B28" w:rsidRDefault="00330B28" w:rsidP="00DC3716">
            <w:pPr>
              <w:pStyle w:val="TableTextEntries"/>
              <w:spacing w:before="0"/>
              <w:rPr>
                <w:color w:val="000000" w:themeColor="text1" w:themeShade="BF"/>
              </w:rPr>
            </w:pPr>
          </w:p>
          <w:p w:rsidR="00330B28" w:rsidRPr="002749B6" w:rsidRDefault="00330B28" w:rsidP="00DC3716">
            <w:pPr>
              <w:pStyle w:val="TableTextEntries"/>
              <w:spacing w:before="0"/>
              <w:rPr>
                <w:color w:val="000000" w:themeColor="text1" w:themeShade="BF"/>
              </w:rPr>
            </w:pPr>
          </w:p>
        </w:tc>
        <w:tc>
          <w:tcPr>
            <w:tcW w:w="2642" w:type="pct"/>
          </w:tcPr>
          <w:p w:rsidR="00330B28" w:rsidRPr="002749B6" w:rsidRDefault="00330B28" w:rsidP="00DC3716">
            <w:pPr>
              <w:pStyle w:val="TableTextEntries"/>
              <w:spacing w:before="0"/>
            </w:pPr>
            <w:r>
              <w:t xml:space="preserve">Australia’s support to the privatisation of Telecommunications Services Kiribati Limited (TSKL), it is anticipated to improve telecommunications access and service across the county as whole.  In 2014-15, service on South Tarawa should continue to be strengthened as the rollout of the 3G network continues.   </w:t>
            </w:r>
          </w:p>
        </w:tc>
      </w:tr>
      <w:tr w:rsidR="00330B28" w:rsidRPr="004F7D80" w:rsidTr="0094647C">
        <w:trPr>
          <w:trHeight w:val="762"/>
        </w:trPr>
        <w:tc>
          <w:tcPr>
            <w:tcW w:w="1159" w:type="pct"/>
            <w:tcMar>
              <w:top w:w="57" w:type="dxa"/>
              <w:bottom w:w="57" w:type="dxa"/>
            </w:tcMar>
          </w:tcPr>
          <w:p w:rsidR="00330B28" w:rsidRPr="002749B6" w:rsidRDefault="00330B28" w:rsidP="00DC3716">
            <w:pPr>
              <w:pStyle w:val="TableTextEntries"/>
            </w:pPr>
          </w:p>
        </w:tc>
        <w:tc>
          <w:tcPr>
            <w:tcW w:w="1198" w:type="pct"/>
          </w:tcPr>
          <w:p w:rsidR="00330B28" w:rsidRDefault="00330B28" w:rsidP="00DC3716">
            <w:pPr>
              <w:pStyle w:val="TableTextEntries"/>
              <w:spacing w:before="0"/>
            </w:pPr>
            <w:r>
              <w:t>Improve the main road network on South Tarawa and strengthen road finance and maintenance capacity</w:t>
            </w:r>
          </w:p>
          <w:p w:rsidR="00330B28" w:rsidRDefault="00330B28" w:rsidP="00DC3716">
            <w:pPr>
              <w:pStyle w:val="TableTextEntries"/>
              <w:spacing w:before="0"/>
            </w:pPr>
          </w:p>
          <w:p w:rsidR="00330B28" w:rsidRDefault="00330B28" w:rsidP="00DC3716">
            <w:pPr>
              <w:pStyle w:val="TableTextEntries"/>
              <w:spacing w:before="0"/>
            </w:pPr>
          </w:p>
          <w:p w:rsidR="00330B28" w:rsidRDefault="00330B28" w:rsidP="00DC3716">
            <w:pPr>
              <w:pStyle w:val="TableTextEntries"/>
              <w:spacing w:before="0"/>
            </w:pPr>
            <w:r>
              <w:t xml:space="preserve">Enhance access to sanitation services by rehabilitating the existing sewage network </w:t>
            </w:r>
          </w:p>
          <w:p w:rsidR="00330B28" w:rsidRDefault="00330B28" w:rsidP="00DC3716">
            <w:pPr>
              <w:pStyle w:val="TableTextEntries"/>
              <w:spacing w:before="0"/>
            </w:pPr>
          </w:p>
          <w:p w:rsidR="00330B28" w:rsidRDefault="00330B28" w:rsidP="00DC3716">
            <w:pPr>
              <w:pStyle w:val="TableTextEntries"/>
              <w:spacing w:before="0"/>
            </w:pPr>
          </w:p>
          <w:p w:rsidR="00330B28" w:rsidRDefault="00330B28" w:rsidP="00DC3716">
            <w:pPr>
              <w:pStyle w:val="TableTextEntries"/>
              <w:spacing w:before="0"/>
            </w:pPr>
          </w:p>
          <w:p w:rsidR="00330B28" w:rsidRDefault="00330B28" w:rsidP="00DC3716">
            <w:pPr>
              <w:pStyle w:val="TableTextEntries"/>
              <w:spacing w:before="0"/>
            </w:pPr>
          </w:p>
          <w:p w:rsidR="00330B28" w:rsidRPr="002749B6" w:rsidRDefault="00330B28" w:rsidP="00DC3716">
            <w:pPr>
              <w:pStyle w:val="TableTextEntries"/>
              <w:spacing w:before="0"/>
            </w:pPr>
            <w:r>
              <w:t>Donor funded infrastructure investments will be coordinated and complementary</w:t>
            </w:r>
          </w:p>
        </w:tc>
        <w:tc>
          <w:tcPr>
            <w:tcW w:w="2642" w:type="pct"/>
          </w:tcPr>
          <w:p w:rsidR="00330B28" w:rsidRDefault="00330B28" w:rsidP="00DC3716">
            <w:pPr>
              <w:pStyle w:val="TableTextEntries"/>
              <w:spacing w:before="0"/>
            </w:pPr>
            <w:r>
              <w:t xml:space="preserve">With a projected completed date of 31 July 2015, the Kiribati Road Rehabilitation Project (KRRP) will continue to construct a new road network across South Tarawa in 2014-15. This essential infrastructure network will better allow Kiribati to connect to international transport ports.  </w:t>
            </w:r>
          </w:p>
          <w:p w:rsidR="00330B28" w:rsidRDefault="00330B28" w:rsidP="00DC3716">
            <w:pPr>
              <w:pStyle w:val="TableTextEntries"/>
              <w:spacing w:before="0"/>
            </w:pPr>
          </w:p>
          <w:p w:rsidR="00330B28" w:rsidRDefault="00330B28" w:rsidP="00DC3716">
            <w:pPr>
              <w:pStyle w:val="TableTextEntries"/>
              <w:spacing w:before="0"/>
            </w:pPr>
          </w:p>
          <w:p w:rsidR="00330B28" w:rsidRDefault="00330B28" w:rsidP="00DC3716">
            <w:pPr>
              <w:pStyle w:val="TableTextEntries"/>
              <w:spacing w:before="0"/>
            </w:pPr>
            <w:r>
              <w:t xml:space="preserve">The South Tarawa Sanitation Improvement Sector Program (STSISP) will commence rehabilitating the currently dilapidated sewage network on South Tarawa in 2014-15. Once completed (in outwards years), it is anticipated that health outcomes in Kiribati will improve as a result of reduced waterborne illnesses and improved sanitation services.    </w:t>
            </w:r>
          </w:p>
          <w:p w:rsidR="00330B28" w:rsidRDefault="00330B28" w:rsidP="00DC3716">
            <w:pPr>
              <w:pStyle w:val="TableTextEntries"/>
              <w:spacing w:before="0"/>
            </w:pPr>
          </w:p>
          <w:p w:rsidR="00330B28" w:rsidRDefault="00330B28" w:rsidP="00DC3716">
            <w:pPr>
              <w:pStyle w:val="TableTextEntries"/>
              <w:spacing w:before="0"/>
            </w:pPr>
          </w:p>
          <w:p w:rsidR="00330B28" w:rsidRDefault="00330B28" w:rsidP="00DC3716">
            <w:pPr>
              <w:pStyle w:val="TableTextEntries"/>
              <w:spacing w:before="0"/>
            </w:pPr>
            <w:r>
              <w:t>Noting the large number of infrastructure projects occurring in Kiribati, Australia will continue to support the Kiribati Fiduciary Services Unit at the Ministry of Finance and the National Infrastructure Development Steering Committee (NIDSC) to coordinate donor funded infrastructure projects in 2014-15.</w:t>
            </w:r>
          </w:p>
          <w:p w:rsidR="00330B28" w:rsidRPr="002749B6" w:rsidRDefault="00330B28" w:rsidP="00DC3716">
            <w:pPr>
              <w:pStyle w:val="TableTextEntries"/>
              <w:spacing w:before="0"/>
            </w:pPr>
          </w:p>
        </w:tc>
      </w:tr>
      <w:bookmarkEnd w:id="2"/>
    </w:tbl>
    <w:p w:rsidR="00165C75" w:rsidRDefault="00165C75" w:rsidP="009E79EC"/>
    <w:p w:rsidR="00F62629" w:rsidRDefault="00165C75">
      <w:pPr>
        <w:sectPr w:rsidR="00F62629" w:rsidSect="009E3336">
          <w:pgSz w:w="16840" w:h="11907" w:orient="landscape" w:code="9"/>
          <w:pgMar w:top="1871" w:right="2268" w:bottom="1871" w:left="907" w:header="851" w:footer="454" w:gutter="0"/>
          <w:cols w:space="720"/>
          <w:docGrid w:linePitch="272"/>
        </w:sectPr>
      </w:pPr>
      <w:r>
        <w:br w:type="page"/>
      </w:r>
    </w:p>
    <w:p w:rsidR="00165C75" w:rsidRDefault="00165C75"/>
    <w:p w:rsidR="00EA3E56" w:rsidRDefault="00EA3E56" w:rsidP="00EA3E56">
      <w:pPr>
        <w:pStyle w:val="Heading2"/>
        <w:spacing w:before="0" w:line="276" w:lineRule="auto"/>
        <w:rPr>
          <w:sz w:val="28"/>
        </w:rPr>
      </w:pPr>
      <w:r>
        <w:rPr>
          <w:sz w:val="28"/>
        </w:rPr>
        <w:t xml:space="preserve">Annex E </w:t>
      </w:r>
    </w:p>
    <w:p w:rsidR="00EA3E56" w:rsidRDefault="00EA3E56" w:rsidP="00EA3E56">
      <w:pPr>
        <w:pStyle w:val="Heading2"/>
        <w:spacing w:before="0" w:line="276" w:lineRule="auto"/>
        <w:rPr>
          <w:sz w:val="28"/>
        </w:rPr>
      </w:pPr>
      <w:r>
        <w:rPr>
          <w:sz w:val="28"/>
        </w:rPr>
        <w:t xml:space="preserve">Annual performance of selected </w:t>
      </w:r>
      <w:r w:rsidR="00DD02F1">
        <w:rPr>
          <w:sz w:val="28"/>
        </w:rPr>
        <w:t>g</w:t>
      </w:r>
      <w:r w:rsidR="00C923A2">
        <w:rPr>
          <w:sz w:val="28"/>
        </w:rPr>
        <w:t xml:space="preserve">lobal and </w:t>
      </w:r>
      <w:r w:rsidR="00DD02F1">
        <w:rPr>
          <w:sz w:val="28"/>
        </w:rPr>
        <w:t>r</w:t>
      </w:r>
      <w:r>
        <w:rPr>
          <w:sz w:val="28"/>
        </w:rPr>
        <w:t>egional</w:t>
      </w:r>
      <w:r w:rsidR="00DD02F1">
        <w:rPr>
          <w:sz w:val="28"/>
        </w:rPr>
        <w:t xml:space="preserve"> program with reach to </w:t>
      </w:r>
      <w:r w:rsidRPr="00D80DA6">
        <w:rPr>
          <w:sz w:val="28"/>
        </w:rPr>
        <w:t xml:space="preserve">Kiribati </w:t>
      </w:r>
      <w:r w:rsidR="00DD02F1">
        <w:rPr>
          <w:sz w:val="28"/>
        </w:rPr>
        <w:t xml:space="preserve">in </w:t>
      </w:r>
      <w:r w:rsidRPr="00D80DA6">
        <w:rPr>
          <w:sz w:val="28"/>
        </w:rPr>
        <w:t>2013</w:t>
      </w:r>
      <w:r>
        <w:rPr>
          <w:sz w:val="28"/>
        </w:rPr>
        <w:t>/14</w:t>
      </w:r>
      <w:r w:rsidRPr="00D80DA6">
        <w:rPr>
          <w:sz w:val="28"/>
        </w:rPr>
        <w:tab/>
      </w:r>
      <w:r w:rsidRPr="00D80DA6">
        <w:rPr>
          <w:sz w:val="28"/>
        </w:rPr>
        <w:tab/>
      </w:r>
    </w:p>
    <w:p w:rsidR="002D2442" w:rsidRPr="00AC6F49" w:rsidRDefault="00EA3E56" w:rsidP="00EA3E56">
      <w:pPr>
        <w:pStyle w:val="ListBullet"/>
        <w:numPr>
          <w:ilvl w:val="0"/>
          <w:numId w:val="0"/>
        </w:numPr>
        <w:spacing w:line="276" w:lineRule="auto"/>
      </w:pPr>
      <w:r w:rsidRPr="002B1D75">
        <w:t xml:space="preserve">This Annex outlines the country-level results of selected investments </w:t>
      </w:r>
      <w:r w:rsidR="00E41C57">
        <w:t>funded from</w:t>
      </w:r>
      <w:r w:rsidR="00C923A2">
        <w:t xml:space="preserve"> global and regional </w:t>
      </w:r>
      <w:r w:rsidR="00E41C57">
        <w:t>allocations</w:t>
      </w:r>
      <w:r w:rsidRPr="002B1D75">
        <w:t>. All information included in this annex is drawn from internal and external reporting produced by DFAT and our implementing partners</w:t>
      </w:r>
      <w:r w:rsidR="00C923A2">
        <w:t>.</w:t>
      </w:r>
      <w:r w:rsidRPr="002B1D75">
        <w:t xml:space="preserve"> This information </w:t>
      </w:r>
      <w:r w:rsidR="0026310D">
        <w:t xml:space="preserve">does not reflect all </w:t>
      </w:r>
      <w:r w:rsidR="00C923A2">
        <w:t xml:space="preserve">global and </w:t>
      </w:r>
      <w:r w:rsidR="0026310D">
        <w:t xml:space="preserve">regional investments in Kiribati, but does report on the larger initiatives. </w:t>
      </w:r>
    </w:p>
    <w:p w:rsidR="002D2442" w:rsidRDefault="00C923A2" w:rsidP="00EA3E56">
      <w:pPr>
        <w:pStyle w:val="Heading2"/>
        <w:spacing w:before="0" w:line="276" w:lineRule="auto"/>
        <w:rPr>
          <w:sz w:val="32"/>
          <w:szCs w:val="32"/>
        </w:rPr>
      </w:pPr>
      <w:r>
        <w:rPr>
          <w:sz w:val="28"/>
        </w:rPr>
        <w:t xml:space="preserve">Global and Regional </w:t>
      </w:r>
      <w:r w:rsidR="00EA3E56" w:rsidRPr="002B1D75">
        <w:rPr>
          <w:sz w:val="28"/>
        </w:rPr>
        <w:t>Contributions to Kiribati Country Program Outcomes</w:t>
      </w:r>
      <w:r w:rsidR="00EA3E56" w:rsidRPr="009E38C1">
        <w:rPr>
          <w:sz w:val="28"/>
        </w:rPr>
        <w:t xml:space="preserve"> </w:t>
      </w:r>
      <w:r w:rsidR="00EA3E56" w:rsidRPr="009E38C1">
        <w:rPr>
          <w:sz w:val="28"/>
        </w:rPr>
        <w:tab/>
      </w:r>
      <w:r w:rsidR="00EA3E56">
        <w:rPr>
          <w:sz w:val="32"/>
          <w:szCs w:val="32"/>
        </w:rPr>
        <w:tab/>
      </w:r>
    </w:p>
    <w:p w:rsidR="002D2442" w:rsidRPr="00C2231B" w:rsidRDefault="00C923A2" w:rsidP="002D2442">
      <w:pPr>
        <w:pStyle w:val="Caption"/>
        <w:spacing w:before="0" w:after="120" w:line="276" w:lineRule="auto"/>
        <w:rPr>
          <w:rFonts w:cs="Times New Roman"/>
          <w:sz w:val="21"/>
          <w:szCs w:val="24"/>
        </w:rPr>
      </w:pPr>
      <w:r>
        <w:rPr>
          <w:rFonts w:cs="Times New Roman"/>
          <w:sz w:val="21"/>
          <w:szCs w:val="24"/>
        </w:rPr>
        <w:t xml:space="preserve">Global and </w:t>
      </w:r>
      <w:r w:rsidR="002D2442" w:rsidRPr="002D2442">
        <w:rPr>
          <w:rFonts w:cs="Times New Roman"/>
          <w:sz w:val="21"/>
          <w:szCs w:val="24"/>
        </w:rPr>
        <w:t xml:space="preserve">Regional Program ODA attributed to </w:t>
      </w:r>
      <w:r w:rsidR="00E41C57">
        <w:rPr>
          <w:rFonts w:cs="Times New Roman"/>
          <w:sz w:val="21"/>
          <w:szCs w:val="24"/>
        </w:rPr>
        <w:t>Kiribati</w:t>
      </w:r>
      <w:r w:rsidR="002D2442" w:rsidRPr="002D2442">
        <w:rPr>
          <w:rFonts w:cs="Times New Roman"/>
          <w:sz w:val="21"/>
          <w:szCs w:val="24"/>
        </w:rPr>
        <w:t xml:space="preserve"> in 2013/14 was </w:t>
      </w:r>
      <w:r w:rsidR="002D2442" w:rsidRPr="002D2442">
        <w:rPr>
          <w:rFonts w:cs="Times New Roman"/>
          <w:b/>
          <w:sz w:val="21"/>
          <w:szCs w:val="24"/>
        </w:rPr>
        <w:t>$8,490,478</w:t>
      </w:r>
      <w:r w:rsidR="002D2442" w:rsidRPr="002D2442">
        <w:rPr>
          <w:rFonts w:cs="Times New Roman"/>
          <w:sz w:val="21"/>
          <w:szCs w:val="24"/>
        </w:rPr>
        <w:t xml:space="preserve">, with </w:t>
      </w:r>
      <w:r w:rsidR="002D2442" w:rsidRPr="00C2231B">
        <w:rPr>
          <w:rFonts w:cs="Times New Roman"/>
          <w:b/>
          <w:sz w:val="21"/>
          <w:szCs w:val="24"/>
        </w:rPr>
        <w:t>$4,041,695</w:t>
      </w:r>
      <w:r w:rsidR="00E41C57" w:rsidRPr="00C2231B">
        <w:rPr>
          <w:rFonts w:cs="Times New Roman"/>
          <w:b/>
          <w:sz w:val="21"/>
          <w:szCs w:val="24"/>
        </w:rPr>
        <w:t xml:space="preserve"> </w:t>
      </w:r>
      <w:r w:rsidR="00E41C57" w:rsidRPr="00C2231B">
        <w:rPr>
          <w:rFonts w:cs="Times New Roman"/>
          <w:sz w:val="21"/>
          <w:szCs w:val="24"/>
        </w:rPr>
        <w:t>anticipated for 2014/15.</w:t>
      </w:r>
    </w:p>
    <w:p w:rsidR="0026310D" w:rsidRPr="00C2231B" w:rsidRDefault="0026310D" w:rsidP="0026310D">
      <w:pPr>
        <w:pStyle w:val="ListBullet"/>
        <w:spacing w:after="200" w:line="276" w:lineRule="auto"/>
        <w:ind w:left="709"/>
      </w:pPr>
      <w:r w:rsidRPr="00C2231B">
        <w:rPr>
          <w:rFonts w:ascii="Helvetica" w:hAnsi="Helvetica" w:cs="Arial"/>
          <w:color w:val="007FAD"/>
          <w:kern w:val="28"/>
          <w:szCs w:val="21"/>
        </w:rPr>
        <w:t>Pacific Re</w:t>
      </w:r>
      <w:r w:rsidR="00C2231B">
        <w:rPr>
          <w:rFonts w:ascii="Helvetica" w:hAnsi="Helvetica" w:cs="Arial"/>
          <w:color w:val="007FAD"/>
          <w:kern w:val="28"/>
          <w:szCs w:val="21"/>
        </w:rPr>
        <w:t xml:space="preserve">gional Infrastructure Facility </w:t>
      </w:r>
      <w:r w:rsidR="00C2231B" w:rsidRPr="00C2231B">
        <w:t>has provided recurrent technical assistance to review of the implementation and coordination of the infrastructure program in Kiribati</w:t>
      </w:r>
      <w:r w:rsidR="00C2231B">
        <w:t xml:space="preserve">.  This support has been fundamental in strengthening the Kiribati Fiduciary Services Unit.  </w:t>
      </w:r>
      <w:r w:rsidRPr="00C2231B">
        <w:rPr>
          <w:rStyle w:val="BodyTextChar"/>
          <w:sz w:val="18"/>
        </w:rPr>
        <w:t xml:space="preserve">  </w:t>
      </w:r>
    </w:p>
    <w:p w:rsidR="00800E96" w:rsidRDefault="00800E96" w:rsidP="00800E96">
      <w:pPr>
        <w:pStyle w:val="ListBullet"/>
        <w:tabs>
          <w:tab w:val="clear" w:pos="284"/>
        </w:tabs>
        <w:spacing w:line="276" w:lineRule="auto"/>
        <w:ind w:left="709"/>
      </w:pPr>
      <w:r>
        <w:t xml:space="preserve">Pacific Regional core funding to the </w:t>
      </w:r>
      <w:r w:rsidRPr="00800E96">
        <w:rPr>
          <w:rFonts w:ascii="Helvetica" w:hAnsi="Helvetica" w:cs="Arial"/>
          <w:color w:val="007FAD"/>
          <w:kern w:val="28"/>
          <w:szCs w:val="21"/>
        </w:rPr>
        <w:t xml:space="preserve">Australia Pacific Technical College </w:t>
      </w:r>
      <w:r w:rsidR="008D0A4A">
        <w:t>supported 238 enrolments</w:t>
      </w:r>
      <w:r>
        <w:t xml:space="preserve"> and 174 graduates from Kiribati (with 83 graduates in August 2014)</w:t>
      </w:r>
    </w:p>
    <w:p w:rsidR="00800E96" w:rsidRDefault="00AE7D75" w:rsidP="0026310D">
      <w:pPr>
        <w:pStyle w:val="ListBullet"/>
        <w:spacing w:after="200" w:line="276" w:lineRule="auto"/>
        <w:ind w:left="709"/>
      </w:pPr>
      <w:r>
        <w:t xml:space="preserve">Support from the </w:t>
      </w:r>
      <w:r w:rsidR="00E41C57">
        <w:t>global</w:t>
      </w:r>
      <w:r>
        <w:t xml:space="preserve"> </w:t>
      </w:r>
      <w:r w:rsidRPr="00AE7D75">
        <w:rPr>
          <w:rFonts w:ascii="Helvetica" w:hAnsi="Helvetica" w:cs="Arial"/>
          <w:color w:val="007FAD"/>
          <w:kern w:val="28"/>
          <w:szCs w:val="21"/>
        </w:rPr>
        <w:t>Disability Inclusive Development</w:t>
      </w:r>
      <w:r>
        <w:rPr>
          <w:rFonts w:ascii="Helvetica" w:hAnsi="Helvetica" w:cs="Arial"/>
          <w:color w:val="007FAD"/>
          <w:kern w:val="28"/>
          <w:szCs w:val="21"/>
        </w:rPr>
        <w:t xml:space="preserve"> </w:t>
      </w:r>
      <w:r>
        <w:t xml:space="preserve">budget measure was used to support the School and Centre for Children with Special Needs, the Tungaru Rehabilitation Centre and </w:t>
      </w:r>
      <w:r w:rsidR="00E41C57">
        <w:t>inclusive</w:t>
      </w:r>
      <w:r>
        <w:t xml:space="preserve"> education through KEIP.</w:t>
      </w:r>
    </w:p>
    <w:p w:rsidR="00AE7D75" w:rsidRPr="00AE7D75" w:rsidRDefault="00AE7D75" w:rsidP="0026310D">
      <w:pPr>
        <w:pStyle w:val="ListBullet"/>
        <w:spacing w:after="200" w:line="276" w:lineRule="auto"/>
        <w:ind w:left="709"/>
      </w:pPr>
      <w:r>
        <w:t xml:space="preserve">The </w:t>
      </w:r>
      <w:r w:rsidRPr="00AE7D75">
        <w:rPr>
          <w:rFonts w:ascii="Helvetica" w:hAnsi="Helvetica" w:cs="Arial"/>
          <w:color w:val="007FAD"/>
          <w:kern w:val="28"/>
          <w:szCs w:val="21"/>
        </w:rPr>
        <w:t>Climate and Oceans Support Program in the Pacific</w:t>
      </w:r>
      <w:r>
        <w:t xml:space="preserve"> has delivered a </w:t>
      </w:r>
      <w:r w:rsidRPr="00702D28">
        <w:rPr>
          <w:rFonts w:cstheme="minorHAnsi"/>
          <w:bCs/>
        </w:rPr>
        <w:t xml:space="preserve">capacity development program </w:t>
      </w:r>
      <w:r>
        <w:rPr>
          <w:rFonts w:cstheme="minorHAnsi"/>
          <w:bCs/>
        </w:rPr>
        <w:t xml:space="preserve">to </w:t>
      </w:r>
      <w:r w:rsidRPr="00702D28">
        <w:rPr>
          <w:rFonts w:cstheme="minorHAnsi"/>
          <w:bCs/>
        </w:rPr>
        <w:t>the Kiribati Meteorology Service</w:t>
      </w:r>
      <w:r w:rsidR="002F5B7B">
        <w:rPr>
          <w:rFonts w:cstheme="minorHAnsi"/>
          <w:bCs/>
        </w:rPr>
        <w:t xml:space="preserve">, including the development of </w:t>
      </w:r>
      <w:r w:rsidR="00E41C57">
        <w:rPr>
          <w:rFonts w:cstheme="minorHAnsi"/>
          <w:bCs/>
        </w:rPr>
        <w:t>short-term</w:t>
      </w:r>
      <w:r w:rsidR="002F5B7B">
        <w:rPr>
          <w:rFonts w:cstheme="minorHAnsi"/>
          <w:bCs/>
        </w:rPr>
        <w:t xml:space="preserve"> weather </w:t>
      </w:r>
      <w:r w:rsidR="00E41C57">
        <w:rPr>
          <w:rFonts w:cstheme="minorHAnsi"/>
          <w:bCs/>
        </w:rPr>
        <w:t>predictions</w:t>
      </w:r>
      <w:r w:rsidR="002F5B7B">
        <w:rPr>
          <w:rFonts w:cstheme="minorHAnsi"/>
          <w:bCs/>
        </w:rPr>
        <w:t xml:space="preserve"> </w:t>
      </w:r>
      <w:r w:rsidR="00E41C57">
        <w:rPr>
          <w:rFonts w:cstheme="minorHAnsi"/>
          <w:bCs/>
        </w:rPr>
        <w:t>of</w:t>
      </w:r>
      <w:r w:rsidR="002F5B7B">
        <w:rPr>
          <w:rFonts w:cstheme="minorHAnsi"/>
          <w:bCs/>
        </w:rPr>
        <w:t xml:space="preserve"> tide and sea levels, seasonal climate outlooks, drought and flooding risks and extreme weather events</w:t>
      </w:r>
      <w:r w:rsidRPr="00702D28">
        <w:rPr>
          <w:rFonts w:cstheme="minorHAnsi"/>
          <w:bCs/>
        </w:rPr>
        <w:t>.</w:t>
      </w:r>
    </w:p>
    <w:p w:rsidR="00AE7D75" w:rsidRDefault="00AE7D75" w:rsidP="00AE7D75">
      <w:pPr>
        <w:pStyle w:val="ListBullet"/>
        <w:tabs>
          <w:tab w:val="clear" w:pos="284"/>
        </w:tabs>
        <w:spacing w:line="276" w:lineRule="auto"/>
        <w:ind w:left="709"/>
      </w:pPr>
      <w:r w:rsidRPr="002B1D75">
        <w:t xml:space="preserve">The </w:t>
      </w:r>
      <w:r w:rsidRPr="00AE7D75">
        <w:rPr>
          <w:rFonts w:ascii="Helvetica" w:hAnsi="Helvetica" w:cs="Arial"/>
          <w:color w:val="007FAD"/>
          <w:kern w:val="28"/>
          <w:szCs w:val="21"/>
        </w:rPr>
        <w:t>Pacific Financial Technical Assistance Centre</w:t>
      </w:r>
      <w:r w:rsidR="00E41C57">
        <w:t xml:space="preserve"> </w:t>
      </w:r>
      <w:r w:rsidRPr="002B1D75">
        <w:t>provided Kiribati with support to reform public debt and cash management</w:t>
      </w:r>
      <w:r w:rsidR="00E41C57">
        <w:t>;</w:t>
      </w:r>
      <w:r w:rsidRPr="002B1D75">
        <w:t xml:space="preserve"> budgeting and planning process</w:t>
      </w:r>
      <w:r>
        <w:t>es; introduce</w:t>
      </w:r>
      <w:r w:rsidRPr="002B1D75">
        <w:t xml:space="preserve"> VAT; and </w:t>
      </w:r>
      <w:r w:rsidR="00E41C57">
        <w:t xml:space="preserve">to </w:t>
      </w:r>
      <w:r w:rsidRPr="002B1D75">
        <w:t>develop alte</w:t>
      </w:r>
      <w:r w:rsidR="00E41C57">
        <w:t xml:space="preserve">rnative </w:t>
      </w:r>
      <w:r w:rsidR="008D0A4A">
        <w:t>GDP</w:t>
      </w:r>
      <w:r w:rsidR="00E41C57">
        <w:t xml:space="preserve"> </w:t>
      </w:r>
      <w:r w:rsidRPr="002B1D75">
        <w:t>measures.</w:t>
      </w:r>
    </w:p>
    <w:p w:rsidR="00E41C57" w:rsidRPr="00E41C57" w:rsidRDefault="00AE7D75" w:rsidP="00AE7D75">
      <w:pPr>
        <w:pStyle w:val="ListBullet"/>
        <w:tabs>
          <w:tab w:val="clear" w:pos="284"/>
        </w:tabs>
        <w:spacing w:line="276" w:lineRule="auto"/>
        <w:ind w:left="709"/>
        <w:rPr>
          <w:rFonts w:eastAsia="SimSun"/>
          <w:color w:val="007FAD"/>
          <w:kern w:val="28"/>
        </w:rPr>
      </w:pPr>
      <w:r w:rsidRPr="00034413">
        <w:t xml:space="preserve">The </w:t>
      </w:r>
      <w:r w:rsidRPr="00E41C57">
        <w:rPr>
          <w:rFonts w:ascii="Helvetica" w:hAnsi="Helvetica" w:cs="Arial"/>
          <w:color w:val="007FAD"/>
          <w:kern w:val="28"/>
          <w:szCs w:val="21"/>
        </w:rPr>
        <w:t>International Finance Corporation</w:t>
      </w:r>
      <w:r w:rsidRPr="00034413">
        <w:t xml:space="preserve"> advised the </w:t>
      </w:r>
      <w:r w:rsidR="008D0A4A">
        <w:t>GoK</w:t>
      </w:r>
      <w:r w:rsidRPr="00034413">
        <w:t xml:space="preserve"> on preparing and implementing a tender for the selection of a suitable partner for a public-private partnership for the redevelopment of the Otintaai Hotel</w:t>
      </w:r>
      <w:r w:rsidR="00E41C57">
        <w:t>.</w:t>
      </w:r>
      <w:r w:rsidRPr="00034413">
        <w:t xml:space="preserve"> </w:t>
      </w:r>
    </w:p>
    <w:p w:rsidR="0026310D" w:rsidRPr="00E41C57" w:rsidRDefault="00AE7D75" w:rsidP="00AE7D75">
      <w:pPr>
        <w:pStyle w:val="ListBullet"/>
        <w:tabs>
          <w:tab w:val="clear" w:pos="284"/>
        </w:tabs>
        <w:spacing w:line="276" w:lineRule="auto"/>
        <w:ind w:left="709"/>
        <w:rPr>
          <w:rStyle w:val="BodyTextChar"/>
          <w:rFonts w:eastAsia="SimSun"/>
          <w:color w:val="007FAD"/>
          <w:kern w:val="28"/>
        </w:rPr>
      </w:pPr>
      <w:r w:rsidRPr="002B1D75">
        <w:t xml:space="preserve">The </w:t>
      </w:r>
      <w:r w:rsidRPr="00E41C57">
        <w:rPr>
          <w:rFonts w:ascii="Helvetica" w:hAnsi="Helvetica" w:cs="Arial"/>
          <w:color w:val="007FAD"/>
          <w:kern w:val="28"/>
          <w:szCs w:val="21"/>
        </w:rPr>
        <w:t>Pacific Islands Centre for Public Administration</w:t>
      </w:r>
      <w:r w:rsidRPr="002B1D75">
        <w:t xml:space="preserve"> provided advisory services to Kiribati on workforce planning and performance management, and delivered training in Kiribati on </w:t>
      </w:r>
      <w:r>
        <w:t xml:space="preserve">service </w:t>
      </w:r>
      <w:r w:rsidRPr="002B1D75">
        <w:t>delivery and human resource management</w:t>
      </w:r>
      <w:r>
        <w:t>.</w:t>
      </w:r>
      <w:r w:rsidR="0026310D" w:rsidRPr="00E41C57">
        <w:rPr>
          <w:rStyle w:val="BodyTextChar"/>
          <w:rFonts w:eastAsia="SimSun"/>
        </w:rPr>
        <w:br w:type="page"/>
      </w:r>
    </w:p>
    <w:p w:rsidR="00EA3E56" w:rsidRDefault="00EA3E56" w:rsidP="00EA3E56">
      <w:pPr>
        <w:pStyle w:val="Heading2"/>
        <w:spacing w:before="0" w:line="276" w:lineRule="auto"/>
        <w:rPr>
          <w:rStyle w:val="BodyTextChar"/>
        </w:rPr>
      </w:pPr>
    </w:p>
    <w:p w:rsidR="00EA3E56" w:rsidRDefault="00EA3E56" w:rsidP="00F62629">
      <w:pPr>
        <w:pStyle w:val="ListBullet"/>
        <w:tabs>
          <w:tab w:val="clear" w:pos="284"/>
        </w:tabs>
        <w:spacing w:line="276" w:lineRule="auto"/>
        <w:ind w:left="709"/>
      </w:pPr>
      <w:r w:rsidRPr="00034413">
        <w:t xml:space="preserve">The </w:t>
      </w:r>
      <w:r w:rsidRPr="00AE7D75">
        <w:rPr>
          <w:rFonts w:ascii="Helvetica" w:hAnsi="Helvetica" w:cs="Arial"/>
          <w:color w:val="007FAD"/>
          <w:kern w:val="28"/>
          <w:szCs w:val="21"/>
        </w:rPr>
        <w:t xml:space="preserve">Royal Australian College of Surgeons’ Pacific Islands Program </w:t>
      </w:r>
      <w:r w:rsidRPr="00034413">
        <w:t>supported three teams of surgeons to visit Kiribati in 2013, to provide specialist services in opht</w:t>
      </w:r>
      <w:r w:rsidR="00E41C57">
        <w:t>halmology, ear nose and throat</w:t>
      </w:r>
      <w:r w:rsidRPr="00034413">
        <w:t>, and orthopaedic</w:t>
      </w:r>
      <w:r w:rsidR="008D0A4A" w:rsidRPr="008D0A4A">
        <w:t xml:space="preserve"> </w:t>
      </w:r>
      <w:r w:rsidR="008D0A4A" w:rsidRPr="00034413">
        <w:t>surgery</w:t>
      </w:r>
      <w:r>
        <w:t>.</w:t>
      </w:r>
    </w:p>
    <w:p w:rsidR="00EA3E56" w:rsidRDefault="00EA3E56" w:rsidP="00F62629">
      <w:pPr>
        <w:pStyle w:val="ListBullet"/>
        <w:tabs>
          <w:tab w:val="clear" w:pos="284"/>
        </w:tabs>
        <w:spacing w:line="276" w:lineRule="auto"/>
        <w:ind w:left="709"/>
      </w:pPr>
      <w:r>
        <w:t xml:space="preserve">The </w:t>
      </w:r>
      <w:r w:rsidRPr="00AE7D75">
        <w:rPr>
          <w:rFonts w:ascii="Helvetica" w:hAnsi="Helvetica" w:cs="Arial"/>
          <w:color w:val="007FAD"/>
          <w:kern w:val="28"/>
          <w:szCs w:val="21"/>
        </w:rPr>
        <w:t>UNICEF multi-country program for Maternal and Child Health</w:t>
      </w:r>
      <w:r w:rsidRPr="00034413">
        <w:t xml:space="preserve"> has supported legislative reform in Kiribati to strengthen implementation of the Convent</w:t>
      </w:r>
      <w:r w:rsidR="00E41C57">
        <w:t>ion on the Rights of the Child</w:t>
      </w:r>
      <w:r w:rsidRPr="00034413">
        <w:t>, and has delivered community road shows to raise awareness of child protection among families and communities</w:t>
      </w:r>
      <w:r>
        <w:t>.</w:t>
      </w:r>
    </w:p>
    <w:p w:rsidR="00EA3E56" w:rsidRDefault="00EA3E56" w:rsidP="00F62629">
      <w:pPr>
        <w:pStyle w:val="ListBullet"/>
        <w:tabs>
          <w:tab w:val="clear" w:pos="284"/>
        </w:tabs>
        <w:spacing w:line="276" w:lineRule="auto"/>
        <w:ind w:left="709"/>
      </w:pPr>
      <w:r w:rsidRPr="00034413">
        <w:t xml:space="preserve">Through the </w:t>
      </w:r>
      <w:r w:rsidRPr="00AE7D75">
        <w:rPr>
          <w:rFonts w:ascii="Helvetica" w:hAnsi="Helvetica" w:cs="Arial"/>
          <w:color w:val="007FAD"/>
          <w:kern w:val="28"/>
          <w:szCs w:val="21"/>
        </w:rPr>
        <w:t>Pacific Disability Forum</w:t>
      </w:r>
      <w:r w:rsidRPr="00034413">
        <w:t>, Disab</w:t>
      </w:r>
      <w:r w:rsidR="00E41C57">
        <w:t xml:space="preserve">led Persons’ Organisation </w:t>
      </w:r>
      <w:r w:rsidRPr="00034413">
        <w:t xml:space="preserve">members in Kiribati </w:t>
      </w:r>
      <w:r>
        <w:t xml:space="preserve">have </w:t>
      </w:r>
      <w:r w:rsidRPr="00034413">
        <w:t>received capacity building on board training, good governance, leadership, financial management, and awareness of the Convention on the Rights of Persons with Disabilities</w:t>
      </w:r>
      <w:r>
        <w:t>.</w:t>
      </w:r>
    </w:p>
    <w:p w:rsidR="00C65E0F" w:rsidRDefault="00C65E0F" w:rsidP="00C65E0F">
      <w:pPr>
        <w:pStyle w:val="ListBullet"/>
        <w:tabs>
          <w:tab w:val="clear" w:pos="284"/>
        </w:tabs>
        <w:spacing w:line="276" w:lineRule="auto"/>
        <w:ind w:left="709"/>
      </w:pPr>
      <w:r w:rsidRPr="002B1D75">
        <w:t xml:space="preserve">The </w:t>
      </w:r>
      <w:r w:rsidRPr="00AE7D75">
        <w:rPr>
          <w:rFonts w:ascii="Helvetica" w:hAnsi="Helvetica" w:cs="Arial"/>
          <w:color w:val="007FAD"/>
          <w:kern w:val="28"/>
          <w:szCs w:val="21"/>
        </w:rPr>
        <w:t>Aust</w:t>
      </w:r>
      <w:r w:rsidR="00E41C57">
        <w:rPr>
          <w:rFonts w:ascii="Helvetica" w:hAnsi="Helvetica" w:cs="Arial"/>
          <w:color w:val="007FAD"/>
          <w:kern w:val="28"/>
          <w:szCs w:val="21"/>
        </w:rPr>
        <w:t>ralian Sports Outreach Program</w:t>
      </w:r>
      <w:r w:rsidRPr="002B1D75">
        <w:t xml:space="preserve"> has partnered with the Kiribati Ministry of Internal and Social Affairs (Sports) to deliver the Kiribati Community Clubs</w:t>
      </w:r>
      <w:r>
        <w:t xml:space="preserve"> Program</w:t>
      </w:r>
      <w:r w:rsidRPr="002B1D75">
        <w:t>. This program uses sport-based activities through community clubs to contribute toward positive health related behaviour an</w:t>
      </w:r>
      <w:r>
        <w:t>d youth leadership.</w:t>
      </w:r>
    </w:p>
    <w:p w:rsidR="00C923A2" w:rsidRDefault="00C923A2" w:rsidP="00C923A2">
      <w:pPr>
        <w:pStyle w:val="ListBullet"/>
        <w:ind w:left="709"/>
      </w:pPr>
      <w:r>
        <w:t xml:space="preserve">Epidemiological training was provided under the </w:t>
      </w:r>
      <w:r w:rsidRPr="00C923A2">
        <w:rPr>
          <w:rFonts w:ascii="Helvetica" w:hAnsi="Helvetica" w:cs="Arial"/>
          <w:color w:val="007FAD"/>
          <w:kern w:val="28"/>
          <w:szCs w:val="21"/>
        </w:rPr>
        <w:t>Pacific Public Sector Linkages Program</w:t>
      </w:r>
      <w:r>
        <w:t xml:space="preserve"> to assist </w:t>
      </w:r>
      <w:r w:rsidR="00E41C57">
        <w:t>Kiribati</w:t>
      </w:r>
      <w:r>
        <w:t xml:space="preserve"> with communicable diseases surveillance. </w:t>
      </w:r>
    </w:p>
    <w:p w:rsidR="00C923A2" w:rsidRDefault="00C923A2" w:rsidP="00C923A2">
      <w:pPr>
        <w:pStyle w:val="ListBullet"/>
        <w:ind w:left="709"/>
      </w:pPr>
      <w:r>
        <w:t xml:space="preserve">Under the </w:t>
      </w:r>
      <w:r w:rsidRPr="00C923A2">
        <w:rPr>
          <w:rFonts w:ascii="Helvetica" w:hAnsi="Helvetica" w:cs="Arial"/>
          <w:color w:val="007FAD"/>
          <w:kern w:val="28"/>
          <w:szCs w:val="21"/>
        </w:rPr>
        <w:t>Pacific Police Development Program</w:t>
      </w:r>
      <w:r>
        <w:t>, the Australian Attorney-General’s Department (AGD) provides assistance to strengthen domestic crime and policing laws.  Suppo</w:t>
      </w:r>
      <w:r w:rsidR="0072492D">
        <w:t>rt has focused on implementing</w:t>
      </w:r>
      <w:r>
        <w:t xml:space="preserve"> Kiribati’s new policing legislation</w:t>
      </w:r>
      <w:r w:rsidR="0072492D">
        <w:t>.</w:t>
      </w:r>
      <w:r>
        <w:t xml:space="preserve"> </w:t>
      </w:r>
      <w:r w:rsidR="0072492D">
        <w:t>I</w:t>
      </w:r>
      <w:r>
        <w:t xml:space="preserve">n-country training </w:t>
      </w:r>
      <w:r w:rsidR="0072492D">
        <w:t xml:space="preserve">has been delivered </w:t>
      </w:r>
      <w:r>
        <w:t>on governance procedures, police powers to investigate and solve crime</w:t>
      </w:r>
      <w:r w:rsidR="0072492D">
        <w:t xml:space="preserve"> (</w:t>
      </w:r>
      <w:r>
        <w:t>including sexual and gender based violence</w:t>
      </w:r>
      <w:r w:rsidR="0072492D">
        <w:t>)</w:t>
      </w:r>
      <w:r>
        <w:t xml:space="preserve">, and the development of new Rules of Court and determinations to assist Kiribati police to use their powers in line with international standards. </w:t>
      </w:r>
      <w:r w:rsidR="0072492D">
        <w:t>T</w:t>
      </w:r>
      <w:r>
        <w:t>he Kiribati Office of the Attorney-General</w:t>
      </w:r>
      <w:r w:rsidR="0072492D">
        <w:t xml:space="preserve"> also</w:t>
      </w:r>
      <w:r>
        <w:t xml:space="preserve"> participated in </w:t>
      </w:r>
      <w:r w:rsidR="0072492D">
        <w:t xml:space="preserve">the </w:t>
      </w:r>
      <w:r>
        <w:t>AGD’s 2013 Pacific Legal Policy Twinning Program. </w:t>
      </w:r>
    </w:p>
    <w:p w:rsidR="00047CEC" w:rsidRDefault="00047CEC" w:rsidP="00C923A2">
      <w:pPr>
        <w:pStyle w:val="ListBullet"/>
        <w:ind w:left="709"/>
      </w:pPr>
      <w:r>
        <w:rPr>
          <w:szCs w:val="21"/>
        </w:rPr>
        <w:t xml:space="preserve">The </w:t>
      </w:r>
      <w:r w:rsidRPr="00047CEC">
        <w:rPr>
          <w:rFonts w:ascii="Helvetica" w:hAnsi="Helvetica" w:cs="Arial"/>
          <w:color w:val="007FAD"/>
          <w:kern w:val="28"/>
          <w:szCs w:val="21"/>
        </w:rPr>
        <w:t>Department of Defence</w:t>
      </w:r>
      <w:r>
        <w:rPr>
          <w:szCs w:val="21"/>
        </w:rPr>
        <w:t xml:space="preserve"> </w:t>
      </w:r>
      <w:r w:rsidRPr="00047CEC">
        <w:t>supported defence co-operation activities, including the Pacific Patrol Boat Program (which undertook maritime surveillance and fisheries protection) and capacity building for Kiribati’s police force (with the assistance of the Australian Federal Police)</w:t>
      </w:r>
      <w:r>
        <w:t>.</w:t>
      </w:r>
    </w:p>
    <w:p w:rsidR="002657BE" w:rsidRDefault="002657BE" w:rsidP="00C923A2">
      <w:pPr>
        <w:pStyle w:val="ListBullet"/>
        <w:ind w:left="709"/>
      </w:pPr>
      <w:r>
        <w:t xml:space="preserve">Australian funding to the </w:t>
      </w:r>
      <w:r w:rsidRPr="002657BE">
        <w:rPr>
          <w:rFonts w:ascii="Helvetica" w:hAnsi="Helvetica" w:cs="Arial"/>
          <w:color w:val="007FAD"/>
          <w:kern w:val="28"/>
          <w:szCs w:val="21"/>
        </w:rPr>
        <w:t>Forum Fisheries Agency</w:t>
      </w:r>
      <w:r w:rsidR="00E41C57">
        <w:rPr>
          <w:rFonts w:ascii="Helvetica" w:hAnsi="Helvetica" w:cs="Arial"/>
          <w:color w:val="007FAD"/>
          <w:kern w:val="28"/>
          <w:szCs w:val="21"/>
        </w:rPr>
        <w:t xml:space="preserve"> (FFA)</w:t>
      </w:r>
      <w:r>
        <w:t xml:space="preserve"> has p</w:t>
      </w:r>
      <w:r w:rsidR="007D2791">
        <w:t>rovided expertise and technical</w:t>
      </w:r>
      <w:r>
        <w:t> assistances to its members, including Kiribati, to strengthening national and regional capacity in managing fisheries resources in a sustainable way</w:t>
      </w:r>
      <w:r w:rsidR="002F5B7B">
        <w:t xml:space="preserve">.  Further fisheries support has been provided to </w:t>
      </w:r>
      <w:r w:rsidR="00E41C57">
        <w:t xml:space="preserve">the </w:t>
      </w:r>
      <w:r w:rsidR="00E41C57" w:rsidRPr="006A4180">
        <w:t xml:space="preserve">Secretariat of the Pacific Community </w:t>
      </w:r>
      <w:r w:rsidR="00E41C57">
        <w:t>(</w:t>
      </w:r>
      <w:r w:rsidR="002F5B7B">
        <w:t>SPC</w:t>
      </w:r>
      <w:r w:rsidR="00E41C57">
        <w:t>)</w:t>
      </w:r>
      <w:r w:rsidR="002F5B7B">
        <w:t xml:space="preserve"> to allow for the implementation of a pilot </w:t>
      </w:r>
      <w:r w:rsidR="002F5B7B" w:rsidRPr="002F5B7B">
        <w:rPr>
          <w:rFonts w:ascii="Helvetica" w:hAnsi="Helvetica" w:cs="Arial"/>
          <w:color w:val="007FAD"/>
          <w:kern w:val="28"/>
          <w:szCs w:val="21"/>
        </w:rPr>
        <w:t>Community-Based Fisheries Management Pro</w:t>
      </w:r>
      <w:r w:rsidR="002F5B7B">
        <w:rPr>
          <w:rFonts w:ascii="Helvetica" w:hAnsi="Helvetica" w:cs="Arial"/>
          <w:color w:val="007FAD"/>
          <w:kern w:val="28"/>
          <w:szCs w:val="21"/>
        </w:rPr>
        <w:t>gra</w:t>
      </w:r>
      <w:r w:rsidR="007D2791">
        <w:rPr>
          <w:rFonts w:ascii="Helvetica" w:hAnsi="Helvetica" w:cs="Arial"/>
          <w:color w:val="007FAD"/>
          <w:kern w:val="28"/>
          <w:szCs w:val="21"/>
        </w:rPr>
        <w:t xml:space="preserve">m.  </w:t>
      </w:r>
      <w:r w:rsidR="007D2791" w:rsidRPr="007D2791">
        <w:t>Delivered in Butaritari and North Tarawa</w:t>
      </w:r>
      <w:r w:rsidR="007D2791">
        <w:t>, the project aims to develop</w:t>
      </w:r>
      <w:r w:rsidR="007D2791" w:rsidRPr="007D2791">
        <w:t xml:space="preserve"> and nurture the structures, processes and capacity to sustain</w:t>
      </w:r>
      <w:r w:rsidR="007D2791">
        <w:t>ably manage coastal fisheries at the community level.</w:t>
      </w:r>
      <w:r w:rsidR="007D2791">
        <w:rPr>
          <w:rFonts w:ascii="Arial" w:hAnsi="Arial" w:cs="Arial"/>
        </w:rPr>
        <w:t xml:space="preserve">  </w:t>
      </w:r>
      <w:r w:rsidR="002F5B7B">
        <w:t xml:space="preserve"> </w:t>
      </w:r>
    </w:p>
    <w:p w:rsidR="0072492D" w:rsidRDefault="0072492D" w:rsidP="0072492D">
      <w:pPr>
        <w:pStyle w:val="ListBullet"/>
        <w:ind w:left="709"/>
      </w:pPr>
      <w:r w:rsidRPr="0072492D">
        <w:rPr>
          <w:rFonts w:ascii="Helvetica" w:hAnsi="Helvetica" w:cs="Arial"/>
          <w:color w:val="007FAD"/>
          <w:kern w:val="28"/>
          <w:szCs w:val="21"/>
        </w:rPr>
        <w:t>The Australian Public Service Commission</w:t>
      </w:r>
      <w:r>
        <w:t xml:space="preserve"> partnered with the GoK to implement a whole of government public sector performance improvement plan, to support GoK with its key priority of improving delivery of essential services to citizens. A number of key supporting outcomes have been achieved, including the development and implementation of a public service induction/education program, and results-oriented performance management framework; and the development of a public service customer service delivery standard. </w:t>
      </w:r>
    </w:p>
    <w:p w:rsidR="002F5B7B" w:rsidRDefault="002F5B7B" w:rsidP="00C923A2">
      <w:pPr>
        <w:pStyle w:val="ListBullet"/>
        <w:ind w:left="709"/>
      </w:pPr>
      <w:r w:rsidRPr="0072492D">
        <w:rPr>
          <w:rFonts w:ascii="Helvetica" w:hAnsi="Helvetica" w:cs="Arial"/>
          <w:color w:val="007FAD"/>
          <w:kern w:val="28"/>
          <w:szCs w:val="21"/>
        </w:rPr>
        <w:t>International Climate Change Adaptation Initiative</w:t>
      </w:r>
      <w:r>
        <w:rPr>
          <w:rFonts w:ascii="Helvetica" w:hAnsi="Helvetica" w:cs="Arial"/>
          <w:color w:val="007FAD"/>
          <w:kern w:val="28"/>
          <w:szCs w:val="21"/>
        </w:rPr>
        <w:t xml:space="preserve"> (ICCAI)</w:t>
      </w:r>
      <w:r>
        <w:t xml:space="preserve"> provided core funding to SPREP to assist with the development of the Kiri</w:t>
      </w:r>
      <w:r w:rsidR="00E41C57">
        <w:t>bati Joint Implementation Plan</w:t>
      </w:r>
      <w:r>
        <w:t xml:space="preserve"> on Climate Adaptation and Disaster Risk Reduction.  Further ICCAI funding was provided to SPC for the </w:t>
      </w:r>
      <w:r w:rsidRPr="00D41EC2">
        <w:rPr>
          <w:rFonts w:cstheme="minorHAnsi"/>
          <w:bCs/>
        </w:rPr>
        <w:t>Bonriki Inundation Vulnerability Assessment</w:t>
      </w:r>
      <w:r>
        <w:rPr>
          <w:rFonts w:cstheme="minorHAnsi"/>
          <w:bCs/>
        </w:rPr>
        <w:t>, which has completed its 3-D mapping of the fragile water lens.</w:t>
      </w:r>
    </w:p>
    <w:p w:rsidR="00F62629" w:rsidRDefault="00F62629" w:rsidP="00EA3E56">
      <w:pPr>
        <w:pStyle w:val="Heading2"/>
        <w:spacing w:before="0" w:line="276" w:lineRule="auto"/>
        <w:rPr>
          <w:sz w:val="28"/>
        </w:rPr>
      </w:pPr>
    </w:p>
    <w:p w:rsidR="00EA3E56" w:rsidRPr="009E38C1" w:rsidRDefault="00EA3E56" w:rsidP="00EA3E56">
      <w:pPr>
        <w:pStyle w:val="Heading2"/>
        <w:spacing w:before="0" w:line="276" w:lineRule="auto"/>
        <w:rPr>
          <w:sz w:val="28"/>
        </w:rPr>
      </w:pPr>
      <w:r w:rsidRPr="00034413">
        <w:rPr>
          <w:sz w:val="28"/>
        </w:rPr>
        <w:t>Case study: Training for observers in Kiribati to monitor fisheries</w:t>
      </w:r>
    </w:p>
    <w:p w:rsidR="00EA3E56" w:rsidRDefault="00EA3E56" w:rsidP="00EA3E56">
      <w:pPr>
        <w:pBdr>
          <w:top w:val="single" w:sz="4" w:space="1" w:color="auto"/>
          <w:bottom w:val="single" w:sz="4" w:space="1" w:color="auto"/>
        </w:pBdr>
        <w:spacing w:after="120" w:line="276" w:lineRule="auto"/>
        <w:rPr>
          <w:rFonts w:ascii="Franklin Gothic Book" w:eastAsia="Times New Roman" w:hAnsi="Franklin Gothic Book"/>
          <w:sz w:val="21"/>
        </w:rPr>
      </w:pPr>
      <w:r w:rsidRPr="006A4180">
        <w:rPr>
          <w:rFonts w:ascii="Franklin Gothic Book" w:eastAsia="Times New Roman" w:hAnsi="Franklin Gothic Book"/>
          <w:sz w:val="21"/>
        </w:rPr>
        <w:t>Austr</w:t>
      </w:r>
      <w:r w:rsidR="00E41C57">
        <w:rPr>
          <w:rFonts w:ascii="Franklin Gothic Book" w:eastAsia="Times New Roman" w:hAnsi="Franklin Gothic Book"/>
          <w:sz w:val="21"/>
        </w:rPr>
        <w:t xml:space="preserve">alia’s aid program, through </w:t>
      </w:r>
      <w:r w:rsidRPr="006A4180">
        <w:rPr>
          <w:rFonts w:ascii="Franklin Gothic Book" w:eastAsia="Times New Roman" w:hAnsi="Franklin Gothic Book"/>
          <w:sz w:val="21"/>
        </w:rPr>
        <w:t xml:space="preserve">SPC and the FFA is helping </w:t>
      </w:r>
      <w:r w:rsidR="00E41C57" w:rsidRPr="006A4180">
        <w:rPr>
          <w:rFonts w:ascii="Franklin Gothic Book" w:eastAsia="Times New Roman" w:hAnsi="Franklin Gothic Book"/>
          <w:sz w:val="21"/>
        </w:rPr>
        <w:t>safeguard</w:t>
      </w:r>
      <w:r w:rsidRPr="006A4180">
        <w:rPr>
          <w:rFonts w:ascii="Franklin Gothic Book" w:eastAsia="Times New Roman" w:hAnsi="Franklin Gothic Book"/>
          <w:sz w:val="21"/>
        </w:rPr>
        <w:t xml:space="preserve"> the long term conservation and sustainable exploitation of fisheries resources in Kiribati. </w:t>
      </w:r>
      <w:r>
        <w:rPr>
          <w:rFonts w:ascii="Franklin Gothic Book" w:eastAsia="Times New Roman" w:hAnsi="Franklin Gothic Book"/>
          <w:sz w:val="21"/>
        </w:rPr>
        <w:t xml:space="preserve"> </w:t>
      </w:r>
      <w:r w:rsidRPr="006A4180">
        <w:rPr>
          <w:rFonts w:ascii="Franklin Gothic Book" w:eastAsia="Times New Roman" w:hAnsi="Franklin Gothic Book"/>
          <w:sz w:val="21"/>
        </w:rPr>
        <w:t>Fisheries provide Kiribati with food, income and livelihoods for local communities, as well as being a major source of government revenue. Fish provides approximately 89</w:t>
      </w:r>
      <w:r>
        <w:rPr>
          <w:rFonts w:ascii="Franklin Gothic Book" w:eastAsia="Times New Roman" w:hAnsi="Franklin Gothic Book"/>
          <w:sz w:val="21"/>
        </w:rPr>
        <w:t xml:space="preserve"> percent</w:t>
      </w:r>
      <w:r w:rsidRPr="006A4180">
        <w:rPr>
          <w:rFonts w:ascii="Franklin Gothic Book" w:eastAsia="Times New Roman" w:hAnsi="Franklin Gothic Book"/>
          <w:sz w:val="21"/>
        </w:rPr>
        <w:t xml:space="preserve"> of the daily intake of animal protein in Kiribati, and up to 58</w:t>
      </w:r>
      <w:r>
        <w:rPr>
          <w:rFonts w:ascii="Franklin Gothic Book" w:eastAsia="Times New Roman" w:hAnsi="Franklin Gothic Book"/>
          <w:sz w:val="21"/>
        </w:rPr>
        <w:t xml:space="preserve"> percent</w:t>
      </w:r>
      <w:r w:rsidRPr="006A4180">
        <w:rPr>
          <w:rFonts w:ascii="Franklin Gothic Book" w:eastAsia="Times New Roman" w:hAnsi="Franklin Gothic Book"/>
          <w:sz w:val="21"/>
        </w:rPr>
        <w:t xml:space="preserve"> of coastal households in Kiribati derive their first or second income from fisheries.</w:t>
      </w:r>
      <w:r>
        <w:rPr>
          <w:rFonts w:ascii="Franklin Gothic Book" w:eastAsia="Times New Roman" w:hAnsi="Franklin Gothic Book"/>
          <w:sz w:val="21"/>
        </w:rPr>
        <w:t xml:space="preserve"> </w:t>
      </w:r>
      <w:r w:rsidRPr="006A4180">
        <w:rPr>
          <w:rFonts w:ascii="Franklin Gothic Book" w:eastAsia="Times New Roman" w:hAnsi="Franklin Gothic Book"/>
          <w:sz w:val="21"/>
        </w:rPr>
        <w:t>In 2013, with Australia’s fisheries assistance, the FFA and SPC provided increased national support to their members such as Kiribati, in accordance with agreed country service level agreements. The range of national services supported by Australia’s funding included:</w:t>
      </w:r>
      <w:r>
        <w:rPr>
          <w:rFonts w:ascii="Franklin Gothic Book" w:eastAsia="Times New Roman" w:hAnsi="Franklin Gothic Book"/>
          <w:sz w:val="21"/>
        </w:rPr>
        <w:t xml:space="preserve"> n</w:t>
      </w:r>
      <w:r w:rsidRPr="006A4180">
        <w:rPr>
          <w:rFonts w:ascii="Franklin Gothic Book" w:eastAsia="Times New Roman" w:hAnsi="Franklin Gothic Book"/>
          <w:sz w:val="21"/>
        </w:rPr>
        <w:t>ational institutional strength</w:t>
      </w:r>
      <w:r>
        <w:rPr>
          <w:rFonts w:ascii="Franklin Gothic Book" w:eastAsia="Times New Roman" w:hAnsi="Franklin Gothic Book"/>
          <w:sz w:val="21"/>
        </w:rPr>
        <w:t>ening and legislative reviews; i</w:t>
      </w:r>
      <w:r w:rsidRPr="006A4180">
        <w:rPr>
          <w:rFonts w:ascii="Franklin Gothic Book" w:eastAsia="Times New Roman" w:hAnsi="Franklin Gothic Book"/>
          <w:sz w:val="21"/>
        </w:rPr>
        <w:t>nvestm</w:t>
      </w:r>
      <w:r>
        <w:rPr>
          <w:rFonts w:ascii="Franklin Gothic Book" w:eastAsia="Times New Roman" w:hAnsi="Franklin Gothic Book"/>
          <w:sz w:val="21"/>
        </w:rPr>
        <w:t>ent analysis and facilitation; t</w:t>
      </w:r>
      <w:r w:rsidRPr="006A4180">
        <w:rPr>
          <w:rFonts w:ascii="Franklin Gothic Book" w:eastAsia="Times New Roman" w:hAnsi="Franklin Gothic Book"/>
          <w:sz w:val="21"/>
        </w:rPr>
        <w:t>echnical fisheries management advice and bio-economic analyses; and</w:t>
      </w:r>
      <w:r>
        <w:rPr>
          <w:rFonts w:ascii="Franklin Gothic Book" w:eastAsia="Times New Roman" w:hAnsi="Franklin Gothic Book"/>
          <w:sz w:val="21"/>
        </w:rPr>
        <w:t xml:space="preserve"> f</w:t>
      </w:r>
      <w:r w:rsidRPr="006A4180">
        <w:rPr>
          <w:rFonts w:ascii="Franklin Gothic Book" w:eastAsia="Times New Roman" w:hAnsi="Franklin Gothic Book"/>
          <w:sz w:val="21"/>
        </w:rPr>
        <w:t>isheries training (including negotiation courses, observer training and evidence, investigation and prosecution training).</w:t>
      </w:r>
    </w:p>
    <w:p w:rsidR="00EA3E56" w:rsidRPr="00034413" w:rsidRDefault="00EA3E56" w:rsidP="00EA3E56">
      <w:pPr>
        <w:pBdr>
          <w:top w:val="single" w:sz="4" w:space="1" w:color="auto"/>
          <w:bottom w:val="single" w:sz="4" w:space="1" w:color="auto"/>
        </w:pBdr>
        <w:spacing w:after="120" w:line="276" w:lineRule="auto"/>
        <w:rPr>
          <w:rFonts w:ascii="Franklin Gothic Book" w:eastAsia="Times New Roman" w:hAnsi="Franklin Gothic Book"/>
          <w:sz w:val="21"/>
        </w:rPr>
      </w:pPr>
    </w:p>
    <w:p w:rsidR="000D733F" w:rsidRPr="00D95DDC" w:rsidRDefault="000D733F" w:rsidP="009E79EC"/>
    <w:sectPr w:rsidR="000D733F" w:rsidRPr="00D95DDC" w:rsidSect="00931D7C">
      <w:pgSz w:w="11907" w:h="16840" w:code="9"/>
      <w:pgMar w:top="1560" w:right="1871" w:bottom="907" w:left="1871"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92D" w:rsidRDefault="0072492D" w:rsidP="0050529F">
      <w:r>
        <w:separator/>
      </w:r>
    </w:p>
    <w:p w:rsidR="0072492D" w:rsidRDefault="0072492D"/>
    <w:p w:rsidR="0072492D" w:rsidRDefault="0072492D"/>
    <w:p w:rsidR="0072492D" w:rsidRDefault="0072492D"/>
    <w:p w:rsidR="0072492D" w:rsidRDefault="0072492D"/>
    <w:p w:rsidR="0072492D" w:rsidRDefault="0072492D"/>
    <w:p w:rsidR="0072492D" w:rsidRDefault="0072492D"/>
  </w:endnote>
  <w:endnote w:type="continuationSeparator" w:id="0">
    <w:p w:rsidR="0072492D" w:rsidRDefault="0072492D" w:rsidP="0050529F">
      <w:r>
        <w:continuationSeparator/>
      </w:r>
    </w:p>
    <w:p w:rsidR="0072492D" w:rsidRDefault="0072492D"/>
    <w:p w:rsidR="0072492D" w:rsidRDefault="0072492D"/>
    <w:p w:rsidR="0072492D" w:rsidRDefault="0072492D"/>
    <w:p w:rsidR="0072492D" w:rsidRDefault="0072492D"/>
    <w:p w:rsidR="0072492D" w:rsidRDefault="0072492D"/>
    <w:p w:rsidR="0072492D" w:rsidRDefault="00724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2D" w:rsidRPr="0091071F" w:rsidRDefault="0072492D" w:rsidP="000D733F">
    <w:pPr>
      <w:pStyle w:val="Footer"/>
    </w:pPr>
    <w:r w:rsidRPr="0091071F">
      <w:fldChar w:fldCharType="begin"/>
    </w:r>
    <w:r w:rsidRPr="0091071F">
      <w:instrText xml:space="preserve"> PAGE </w:instrText>
    </w:r>
    <w:r w:rsidRPr="0091071F">
      <w:fldChar w:fldCharType="separate"/>
    </w:r>
    <w:r w:rsidR="00DD02F1">
      <w:rPr>
        <w:noProof/>
      </w:rPr>
      <w:t>24</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2D" w:rsidRPr="0091071F" w:rsidRDefault="0072492D" w:rsidP="000D733F">
    <w:pPr>
      <w:pStyle w:val="Footer"/>
    </w:pPr>
    <w:r>
      <w:tab/>
    </w:r>
    <w:r>
      <w:tab/>
    </w:r>
    <w:r w:rsidR="00CB1C9F">
      <w:fldChar w:fldCharType="begin"/>
    </w:r>
    <w:r w:rsidR="00CB1C9F">
      <w:instrText xml:space="preserve"> STYLEREF Title \* MERGEFORMAT </w:instrText>
    </w:r>
    <w:r w:rsidR="00CB1C9F">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6E064B">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B" w:rsidRDefault="006E06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2D" w:rsidRPr="004C4A3E" w:rsidRDefault="0072492D"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57F98257" wp14:editId="1A0A1CEC">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DD02F1">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DD02F1">
      <w:rPr>
        <w:rFonts w:ascii="Franklin Gothic Medium" w:hAnsi="Franklin Gothic Medium"/>
        <w:noProof/>
        <w:color w:val="54534A"/>
        <w:sz w:val="14"/>
        <w:szCs w:val="14"/>
      </w:rPr>
      <w:t>24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6DA3F025" wp14:editId="4540AD68">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5D495342" wp14:editId="610BFB11">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92D" w:rsidRDefault="0072492D" w:rsidP="00E17529">
      <w:r>
        <w:separator/>
      </w:r>
    </w:p>
  </w:footnote>
  <w:footnote w:type="continuationSeparator" w:id="0">
    <w:p w:rsidR="0072492D" w:rsidRDefault="0072492D" w:rsidP="0050529F">
      <w:r>
        <w:continuationSeparator/>
      </w:r>
    </w:p>
    <w:p w:rsidR="0072492D" w:rsidRDefault="0072492D"/>
    <w:p w:rsidR="0072492D" w:rsidRDefault="0072492D"/>
    <w:p w:rsidR="0072492D" w:rsidRDefault="0072492D"/>
    <w:p w:rsidR="0072492D" w:rsidRDefault="0072492D"/>
    <w:p w:rsidR="0072492D" w:rsidRDefault="0072492D"/>
    <w:p w:rsidR="0072492D" w:rsidRDefault="0072492D"/>
  </w:footnote>
  <w:footnote w:id="1">
    <w:p w:rsidR="0072492D" w:rsidRDefault="0072492D" w:rsidP="002D2442">
      <w:pPr>
        <w:pStyle w:val="FootnoteText"/>
      </w:pPr>
      <w:r>
        <w:rPr>
          <w:rStyle w:val="FootnoteReference"/>
        </w:rPr>
        <w:footnoteRef/>
      </w:r>
      <w:r>
        <w:t xml:space="preserve"> IMF Article IV, 2014 </w:t>
      </w:r>
    </w:p>
  </w:footnote>
  <w:footnote w:id="2">
    <w:p w:rsidR="0072492D" w:rsidRDefault="0072492D">
      <w:pPr>
        <w:pStyle w:val="FootnoteText"/>
      </w:pPr>
      <w:r>
        <w:rPr>
          <w:rStyle w:val="FootnoteReference"/>
        </w:rPr>
        <w:footnoteRef/>
      </w:r>
      <w:r>
        <w:t xml:space="preserve"> KJIP, GoK, 2014</w:t>
      </w:r>
    </w:p>
  </w:footnote>
  <w:footnote w:id="3">
    <w:p w:rsidR="0072492D" w:rsidRDefault="0072492D">
      <w:pPr>
        <w:pStyle w:val="FootnoteText"/>
      </w:pPr>
      <w:r>
        <w:rPr>
          <w:rStyle w:val="FootnoteReference"/>
        </w:rPr>
        <w:footnoteRef/>
      </w:r>
      <w:r>
        <w:t xml:space="preserve"> IMF Article IV, 2014, DFAT Poverty Assessment.</w:t>
      </w:r>
    </w:p>
    <w:p w:rsidR="0072492D" w:rsidRDefault="0072492D">
      <w:pPr>
        <w:pStyle w:val="FootnoteText"/>
      </w:pPr>
    </w:p>
  </w:footnote>
  <w:footnote w:id="4">
    <w:p w:rsidR="0072492D" w:rsidRDefault="0072492D">
      <w:pPr>
        <w:pStyle w:val="FootnoteText"/>
      </w:pPr>
      <w:r>
        <w:rPr>
          <w:rStyle w:val="FootnoteReference"/>
        </w:rPr>
        <w:footnoteRef/>
      </w:r>
      <w:r>
        <w:t xml:space="preserve"> PIFS 2014, 2014 Pacific Regional MDG Tracking Report</w:t>
      </w:r>
    </w:p>
  </w:footnote>
  <w:footnote w:id="5">
    <w:p w:rsidR="0072492D" w:rsidRDefault="0072492D">
      <w:pPr>
        <w:pStyle w:val="FootnoteText"/>
      </w:pPr>
      <w:r>
        <w:rPr>
          <w:rStyle w:val="FootnoteReference"/>
        </w:rPr>
        <w:footnoteRef/>
      </w:r>
      <w:r>
        <w:t xml:space="preserve"> Kiribati National Statistics Office</w:t>
      </w:r>
    </w:p>
  </w:footnote>
  <w:footnote w:id="6">
    <w:p w:rsidR="0072492D" w:rsidRDefault="0072492D" w:rsidP="00154E68">
      <w:pPr>
        <w:pStyle w:val="FootnoteText"/>
      </w:pPr>
      <w:r>
        <w:rPr>
          <w:rStyle w:val="FootnoteReference"/>
        </w:rPr>
        <w:t>[5]</w:t>
      </w:r>
      <w:r>
        <w:t xml:space="preserve"> Kiribati Gender Stocktake report, 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B" w:rsidRDefault="006E0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B" w:rsidRDefault="006E0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4B" w:rsidRDefault="006E06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2D" w:rsidRDefault="0072492D" w:rsidP="00AA31F2"/>
  <w:p w:rsidR="0072492D" w:rsidRDefault="0072492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2D" w:rsidRDefault="007249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42E2BC"/>
    <w:lvl w:ilvl="0">
      <w:start w:val="1"/>
      <w:numFmt w:val="decimal"/>
      <w:lvlText w:val="%1."/>
      <w:lvlJc w:val="left"/>
      <w:pPr>
        <w:tabs>
          <w:tab w:val="num" w:pos="1492"/>
        </w:tabs>
        <w:ind w:left="1492" w:hanging="360"/>
      </w:pPr>
    </w:lvl>
  </w:abstractNum>
  <w:abstractNum w:abstractNumId="1">
    <w:nsid w:val="FFFFFF7D"/>
    <w:multiLevelType w:val="singleLevel"/>
    <w:tmpl w:val="C700039E"/>
    <w:lvl w:ilvl="0">
      <w:start w:val="1"/>
      <w:numFmt w:val="decimal"/>
      <w:lvlText w:val="%1."/>
      <w:lvlJc w:val="left"/>
      <w:pPr>
        <w:tabs>
          <w:tab w:val="num" w:pos="1209"/>
        </w:tabs>
        <w:ind w:left="1209" w:hanging="360"/>
      </w:pPr>
    </w:lvl>
  </w:abstractNum>
  <w:abstractNum w:abstractNumId="2">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nsid w:val="FFFFFF80"/>
    <w:multiLevelType w:val="singleLevel"/>
    <w:tmpl w:val="5D388F5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2A4867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5A1B6D"/>
    <w:multiLevelType w:val="hybridMultilevel"/>
    <w:tmpl w:val="B492C8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EF56B5"/>
    <w:multiLevelType w:val="multilevel"/>
    <w:tmpl w:val="68A05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F446706"/>
    <w:multiLevelType w:val="multilevel"/>
    <w:tmpl w:val="37D8D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0275A1D"/>
    <w:multiLevelType w:val="hybridMultilevel"/>
    <w:tmpl w:val="C76027E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29D372E"/>
    <w:multiLevelType w:val="hybridMultilevel"/>
    <w:tmpl w:val="3A960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5F7CAC"/>
    <w:multiLevelType w:val="hybridMultilevel"/>
    <w:tmpl w:val="2B4096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E5F62DA"/>
    <w:multiLevelType w:val="hybridMultilevel"/>
    <w:tmpl w:val="F8BAA13A"/>
    <w:lvl w:ilvl="0" w:tplc="B06CCE38">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7">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8">
    <w:nsid w:val="23065CD5"/>
    <w:multiLevelType w:val="hybridMultilevel"/>
    <w:tmpl w:val="1F52E71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nsid w:val="2779171F"/>
    <w:multiLevelType w:val="multilevel"/>
    <w:tmpl w:val="6AFCC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3">
    <w:nsid w:val="2836510B"/>
    <w:multiLevelType w:val="multilevel"/>
    <w:tmpl w:val="CC08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2B7011AC"/>
    <w:multiLevelType w:val="multilevel"/>
    <w:tmpl w:val="28EAE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B9407DC"/>
    <w:multiLevelType w:val="hybridMultilevel"/>
    <w:tmpl w:val="87CC25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AC2A42"/>
    <w:multiLevelType w:val="multilevel"/>
    <w:tmpl w:val="E6060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94F11ED"/>
    <w:multiLevelType w:val="hybridMultilevel"/>
    <w:tmpl w:val="B674F790"/>
    <w:lvl w:ilvl="0" w:tplc="C7689996">
      <w:start w:val="6"/>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FD53B31"/>
    <w:multiLevelType w:val="hybridMultilevel"/>
    <w:tmpl w:val="A04E65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28F2FCE"/>
    <w:multiLevelType w:val="multilevel"/>
    <w:tmpl w:val="44840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F7A528B"/>
    <w:multiLevelType w:val="hybridMultilevel"/>
    <w:tmpl w:val="2CFC47E2"/>
    <w:lvl w:ilvl="0" w:tplc="FF1C96C4">
      <w:start w:val="1"/>
      <w:numFmt w:val="bullet"/>
      <w:pStyle w:val="ListBullet"/>
      <w:lvlText w:val="›"/>
      <w:lvlJc w:val="left"/>
      <w:pPr>
        <w:ind w:left="4755" w:hanging="360"/>
      </w:pPr>
      <w:rPr>
        <w:rFonts w:ascii="Times New Roman" w:hAnsi="Times New Roman" w:cs="Times New Roman" w:hint="default"/>
        <w:color w:val="auto"/>
        <w:position w:val="3"/>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1"/>
  </w:num>
  <w:num w:numId="3">
    <w:abstractNumId w:val="13"/>
  </w:num>
  <w:num w:numId="4">
    <w:abstractNumId w:val="30"/>
  </w:num>
  <w:num w:numId="5">
    <w:abstractNumId w:val="28"/>
  </w:num>
  <w:num w:numId="6">
    <w:abstractNumId w:val="26"/>
  </w:num>
  <w:num w:numId="7">
    <w:abstractNumId w:val="35"/>
  </w:num>
  <w:num w:numId="8">
    <w:abstractNumId w:val="12"/>
  </w:num>
  <w:num w:numId="9">
    <w:abstractNumId w:val="17"/>
  </w:num>
  <w:num w:numId="10">
    <w:abstractNumId w:val="37"/>
  </w:num>
  <w:num w:numId="11">
    <w:abstractNumId w:val="38"/>
  </w:num>
  <w:num w:numId="12">
    <w:abstractNumId w:val="2"/>
  </w:num>
  <w:num w:numId="13">
    <w:abstractNumId w:val="6"/>
  </w:num>
  <w:num w:numId="14">
    <w:abstractNumId w:val="34"/>
  </w:num>
  <w:num w:numId="15">
    <w:abstractNumId w:val="5"/>
  </w:num>
  <w:num w:numId="16">
    <w:abstractNumId w:val="22"/>
  </w:num>
  <w:num w:numId="17">
    <w:abstractNumId w:val="19"/>
  </w:num>
  <w:num w:numId="18">
    <w:abstractNumId w:val="16"/>
  </w:num>
  <w:num w:numId="19">
    <w:abstractNumId w:val="29"/>
  </w:num>
  <w:num w:numId="20">
    <w:abstractNumId w:val="15"/>
  </w:num>
  <w:num w:numId="21">
    <w:abstractNumId w:val="18"/>
  </w:num>
  <w:num w:numId="22">
    <w:abstractNumId w:val="16"/>
  </w:num>
  <w:num w:numId="23">
    <w:abstractNumId w:val="16"/>
  </w:num>
  <w:num w:numId="24">
    <w:abstractNumId w:val="16"/>
  </w:num>
  <w:num w:numId="25">
    <w:abstractNumId w:val="16"/>
  </w:num>
  <w:num w:numId="26">
    <w:abstractNumId w:val="16"/>
  </w:num>
  <w:num w:numId="27">
    <w:abstractNumId w:val="38"/>
  </w:num>
  <w:num w:numId="28">
    <w:abstractNumId w:val="4"/>
  </w:num>
  <w:num w:numId="29">
    <w:abstractNumId w:val="3"/>
  </w:num>
  <w:num w:numId="30">
    <w:abstractNumId w:val="1"/>
  </w:num>
  <w:num w:numId="31">
    <w:abstractNumId w:val="0"/>
  </w:num>
  <w:num w:numId="32">
    <w:abstractNumId w:val="11"/>
  </w:num>
  <w:num w:numId="33">
    <w:abstractNumId w:val="21"/>
  </w:num>
  <w:num w:numId="34">
    <w:abstractNumId w:val="36"/>
  </w:num>
  <w:num w:numId="35">
    <w:abstractNumId w:val="24"/>
  </w:num>
  <w:num w:numId="36">
    <w:abstractNumId w:val="8"/>
  </w:num>
  <w:num w:numId="37">
    <w:abstractNumId w:val="23"/>
  </w:num>
  <w:num w:numId="38">
    <w:abstractNumId w:val="27"/>
  </w:num>
  <w:num w:numId="39">
    <w:abstractNumId w:val="9"/>
  </w:num>
  <w:num w:numId="40">
    <w:abstractNumId w:val="38"/>
  </w:num>
  <w:num w:numId="41">
    <w:abstractNumId w:val="16"/>
  </w:num>
  <w:num w:numId="42">
    <w:abstractNumId w:val="14"/>
  </w:num>
  <w:num w:numId="43">
    <w:abstractNumId w:val="16"/>
  </w:num>
  <w:num w:numId="44">
    <w:abstractNumId w:val="10"/>
  </w:num>
  <w:num w:numId="45">
    <w:abstractNumId w:val="10"/>
  </w:num>
  <w:num w:numId="46">
    <w:abstractNumId w:val="25"/>
  </w:num>
  <w:num w:numId="47">
    <w:abstractNumId w:val="16"/>
  </w:num>
  <w:num w:numId="48">
    <w:abstractNumId w:val="10"/>
  </w:num>
  <w:num w:numId="49">
    <w:abstractNumId w:val="7"/>
  </w:num>
  <w:num w:numId="50">
    <w:abstractNumId w:val="16"/>
  </w:num>
  <w:num w:numId="51">
    <w:abstractNumId w:val="38"/>
  </w:num>
  <w:num w:numId="52">
    <w:abstractNumId w:val="16"/>
  </w:num>
  <w:num w:numId="53">
    <w:abstractNumId w:val="14"/>
  </w:num>
  <w:num w:numId="54">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01D"/>
    <w:rsid w:val="00002161"/>
    <w:rsid w:val="0000242A"/>
    <w:rsid w:val="00002A92"/>
    <w:rsid w:val="00002E28"/>
    <w:rsid w:val="000039CF"/>
    <w:rsid w:val="00004E18"/>
    <w:rsid w:val="00007E65"/>
    <w:rsid w:val="00007E94"/>
    <w:rsid w:val="000142A2"/>
    <w:rsid w:val="000143D9"/>
    <w:rsid w:val="00020121"/>
    <w:rsid w:val="00021A9E"/>
    <w:rsid w:val="00022347"/>
    <w:rsid w:val="00022E8F"/>
    <w:rsid w:val="000255AC"/>
    <w:rsid w:val="00027523"/>
    <w:rsid w:val="00027629"/>
    <w:rsid w:val="00030111"/>
    <w:rsid w:val="00031100"/>
    <w:rsid w:val="00031EB5"/>
    <w:rsid w:val="0003231A"/>
    <w:rsid w:val="00036E0A"/>
    <w:rsid w:val="00040AF6"/>
    <w:rsid w:val="000426DF"/>
    <w:rsid w:val="00047CEC"/>
    <w:rsid w:val="00050EC6"/>
    <w:rsid w:val="000529AD"/>
    <w:rsid w:val="0005506B"/>
    <w:rsid w:val="000550B0"/>
    <w:rsid w:val="00055E78"/>
    <w:rsid w:val="00057589"/>
    <w:rsid w:val="00057D09"/>
    <w:rsid w:val="00060586"/>
    <w:rsid w:val="000612A8"/>
    <w:rsid w:val="00071B95"/>
    <w:rsid w:val="0007395B"/>
    <w:rsid w:val="000745E2"/>
    <w:rsid w:val="0007703B"/>
    <w:rsid w:val="000774FD"/>
    <w:rsid w:val="000800F5"/>
    <w:rsid w:val="000818C0"/>
    <w:rsid w:val="00081F4E"/>
    <w:rsid w:val="00082E72"/>
    <w:rsid w:val="000905A8"/>
    <w:rsid w:val="00091878"/>
    <w:rsid w:val="000924A3"/>
    <w:rsid w:val="000957FC"/>
    <w:rsid w:val="00095CF5"/>
    <w:rsid w:val="000979A0"/>
    <w:rsid w:val="00097B02"/>
    <w:rsid w:val="000A1618"/>
    <w:rsid w:val="000A4247"/>
    <w:rsid w:val="000A45A3"/>
    <w:rsid w:val="000B3121"/>
    <w:rsid w:val="000B5082"/>
    <w:rsid w:val="000B68F6"/>
    <w:rsid w:val="000B6BE5"/>
    <w:rsid w:val="000B6FEA"/>
    <w:rsid w:val="000B75E8"/>
    <w:rsid w:val="000C258A"/>
    <w:rsid w:val="000C29BF"/>
    <w:rsid w:val="000C4A7A"/>
    <w:rsid w:val="000C6080"/>
    <w:rsid w:val="000C60A8"/>
    <w:rsid w:val="000D04C4"/>
    <w:rsid w:val="000D151B"/>
    <w:rsid w:val="000D1993"/>
    <w:rsid w:val="000D733F"/>
    <w:rsid w:val="000D7952"/>
    <w:rsid w:val="000E06EE"/>
    <w:rsid w:val="000E2ED6"/>
    <w:rsid w:val="000E4573"/>
    <w:rsid w:val="000E6C24"/>
    <w:rsid w:val="000E7297"/>
    <w:rsid w:val="000E7A8D"/>
    <w:rsid w:val="000F2D94"/>
    <w:rsid w:val="000F59FB"/>
    <w:rsid w:val="000F6890"/>
    <w:rsid w:val="00100485"/>
    <w:rsid w:val="00100AA2"/>
    <w:rsid w:val="0010152B"/>
    <w:rsid w:val="00106185"/>
    <w:rsid w:val="00106BDC"/>
    <w:rsid w:val="0010729C"/>
    <w:rsid w:val="00112E97"/>
    <w:rsid w:val="001139DE"/>
    <w:rsid w:val="00113DC6"/>
    <w:rsid w:val="00114751"/>
    <w:rsid w:val="001154CA"/>
    <w:rsid w:val="001171DE"/>
    <w:rsid w:val="00120FC7"/>
    <w:rsid w:val="00122038"/>
    <w:rsid w:val="001227C3"/>
    <w:rsid w:val="0012429A"/>
    <w:rsid w:val="001258C6"/>
    <w:rsid w:val="0012793C"/>
    <w:rsid w:val="00131FF0"/>
    <w:rsid w:val="00132003"/>
    <w:rsid w:val="00132731"/>
    <w:rsid w:val="00133406"/>
    <w:rsid w:val="00133AAD"/>
    <w:rsid w:val="00135806"/>
    <w:rsid w:val="001366B4"/>
    <w:rsid w:val="001375E3"/>
    <w:rsid w:val="00141A30"/>
    <w:rsid w:val="0014222F"/>
    <w:rsid w:val="00143053"/>
    <w:rsid w:val="0014411B"/>
    <w:rsid w:val="001448E7"/>
    <w:rsid w:val="001457DF"/>
    <w:rsid w:val="00147846"/>
    <w:rsid w:val="0015043E"/>
    <w:rsid w:val="00152DFD"/>
    <w:rsid w:val="00154E68"/>
    <w:rsid w:val="00154EF9"/>
    <w:rsid w:val="00155A97"/>
    <w:rsid w:val="0015760A"/>
    <w:rsid w:val="00157858"/>
    <w:rsid w:val="001612CE"/>
    <w:rsid w:val="001624FB"/>
    <w:rsid w:val="00163149"/>
    <w:rsid w:val="00164C4F"/>
    <w:rsid w:val="0016544D"/>
    <w:rsid w:val="001657F1"/>
    <w:rsid w:val="00165C75"/>
    <w:rsid w:val="00167331"/>
    <w:rsid w:val="0016740F"/>
    <w:rsid w:val="00171BB2"/>
    <w:rsid w:val="00173338"/>
    <w:rsid w:val="00173C6E"/>
    <w:rsid w:val="00175E4C"/>
    <w:rsid w:val="00180B19"/>
    <w:rsid w:val="0018196F"/>
    <w:rsid w:val="001829BB"/>
    <w:rsid w:val="0018305E"/>
    <w:rsid w:val="0018353A"/>
    <w:rsid w:val="00192498"/>
    <w:rsid w:val="001929DD"/>
    <w:rsid w:val="001943B6"/>
    <w:rsid w:val="00194806"/>
    <w:rsid w:val="00196941"/>
    <w:rsid w:val="001A374B"/>
    <w:rsid w:val="001B1A0C"/>
    <w:rsid w:val="001B2948"/>
    <w:rsid w:val="001B41CD"/>
    <w:rsid w:val="001B5D6E"/>
    <w:rsid w:val="001B5F35"/>
    <w:rsid w:val="001B6700"/>
    <w:rsid w:val="001B714C"/>
    <w:rsid w:val="001C1EA0"/>
    <w:rsid w:val="001C20FD"/>
    <w:rsid w:val="001C23D2"/>
    <w:rsid w:val="001C31B9"/>
    <w:rsid w:val="001C3B54"/>
    <w:rsid w:val="001C4E9C"/>
    <w:rsid w:val="001C507E"/>
    <w:rsid w:val="001C700E"/>
    <w:rsid w:val="001C7117"/>
    <w:rsid w:val="001C745A"/>
    <w:rsid w:val="001C7DDD"/>
    <w:rsid w:val="001D16B0"/>
    <w:rsid w:val="001D20FC"/>
    <w:rsid w:val="001D210A"/>
    <w:rsid w:val="001D6059"/>
    <w:rsid w:val="001D7E98"/>
    <w:rsid w:val="001E175A"/>
    <w:rsid w:val="001E4BDE"/>
    <w:rsid w:val="001E5DC0"/>
    <w:rsid w:val="001E6635"/>
    <w:rsid w:val="001F12A2"/>
    <w:rsid w:val="001F17ED"/>
    <w:rsid w:val="001F40E1"/>
    <w:rsid w:val="001F5CB1"/>
    <w:rsid w:val="001F61A8"/>
    <w:rsid w:val="001F7480"/>
    <w:rsid w:val="00201174"/>
    <w:rsid w:val="00202880"/>
    <w:rsid w:val="00202E4E"/>
    <w:rsid w:val="00203BCC"/>
    <w:rsid w:val="00205E0B"/>
    <w:rsid w:val="00205F2B"/>
    <w:rsid w:val="002115BD"/>
    <w:rsid w:val="002126BA"/>
    <w:rsid w:val="00212B27"/>
    <w:rsid w:val="00214D0A"/>
    <w:rsid w:val="0021515C"/>
    <w:rsid w:val="00216A25"/>
    <w:rsid w:val="002227A9"/>
    <w:rsid w:val="00226DEE"/>
    <w:rsid w:val="00231D45"/>
    <w:rsid w:val="00233028"/>
    <w:rsid w:val="002335A9"/>
    <w:rsid w:val="002343CF"/>
    <w:rsid w:val="00235D29"/>
    <w:rsid w:val="002363D9"/>
    <w:rsid w:val="00236B8C"/>
    <w:rsid w:val="00237268"/>
    <w:rsid w:val="00237C4B"/>
    <w:rsid w:val="00240D59"/>
    <w:rsid w:val="002441D5"/>
    <w:rsid w:val="00246E5F"/>
    <w:rsid w:val="00250876"/>
    <w:rsid w:val="00250B90"/>
    <w:rsid w:val="00252274"/>
    <w:rsid w:val="00261323"/>
    <w:rsid w:val="00261E78"/>
    <w:rsid w:val="0026310D"/>
    <w:rsid w:val="00263F5F"/>
    <w:rsid w:val="002657BE"/>
    <w:rsid w:val="00270898"/>
    <w:rsid w:val="00272AF0"/>
    <w:rsid w:val="00273C6F"/>
    <w:rsid w:val="00275C42"/>
    <w:rsid w:val="00283596"/>
    <w:rsid w:val="002842B7"/>
    <w:rsid w:val="002849B4"/>
    <w:rsid w:val="002853A6"/>
    <w:rsid w:val="002911A4"/>
    <w:rsid w:val="00291F1C"/>
    <w:rsid w:val="002963AA"/>
    <w:rsid w:val="00296BFB"/>
    <w:rsid w:val="00297FA7"/>
    <w:rsid w:val="002A15F4"/>
    <w:rsid w:val="002A1935"/>
    <w:rsid w:val="002A1A79"/>
    <w:rsid w:val="002A21D1"/>
    <w:rsid w:val="002A22F7"/>
    <w:rsid w:val="002A42C3"/>
    <w:rsid w:val="002A4D70"/>
    <w:rsid w:val="002A648D"/>
    <w:rsid w:val="002A766B"/>
    <w:rsid w:val="002B13CF"/>
    <w:rsid w:val="002B1CB1"/>
    <w:rsid w:val="002B1F66"/>
    <w:rsid w:val="002B31B3"/>
    <w:rsid w:val="002B433A"/>
    <w:rsid w:val="002B5078"/>
    <w:rsid w:val="002B5883"/>
    <w:rsid w:val="002B61A8"/>
    <w:rsid w:val="002B6EBE"/>
    <w:rsid w:val="002B79D4"/>
    <w:rsid w:val="002C001C"/>
    <w:rsid w:val="002C1E00"/>
    <w:rsid w:val="002C44F1"/>
    <w:rsid w:val="002C639B"/>
    <w:rsid w:val="002C6B6A"/>
    <w:rsid w:val="002C7BAC"/>
    <w:rsid w:val="002D1328"/>
    <w:rsid w:val="002D2442"/>
    <w:rsid w:val="002D2BD3"/>
    <w:rsid w:val="002D2D16"/>
    <w:rsid w:val="002D2D4A"/>
    <w:rsid w:val="002D4E99"/>
    <w:rsid w:val="002D5D7B"/>
    <w:rsid w:val="002D6914"/>
    <w:rsid w:val="002D6DCE"/>
    <w:rsid w:val="002D6DF0"/>
    <w:rsid w:val="002D7FFA"/>
    <w:rsid w:val="002E0904"/>
    <w:rsid w:val="002E55EA"/>
    <w:rsid w:val="002E5604"/>
    <w:rsid w:val="002F479A"/>
    <w:rsid w:val="002F54F3"/>
    <w:rsid w:val="002F5A14"/>
    <w:rsid w:val="002F5B7B"/>
    <w:rsid w:val="00303038"/>
    <w:rsid w:val="0030318A"/>
    <w:rsid w:val="00304AEA"/>
    <w:rsid w:val="0030646D"/>
    <w:rsid w:val="003065FA"/>
    <w:rsid w:val="00306734"/>
    <w:rsid w:val="00310426"/>
    <w:rsid w:val="00310974"/>
    <w:rsid w:val="00312A68"/>
    <w:rsid w:val="00315135"/>
    <w:rsid w:val="00315D13"/>
    <w:rsid w:val="003167E5"/>
    <w:rsid w:val="00320FCE"/>
    <w:rsid w:val="003223F8"/>
    <w:rsid w:val="0032292A"/>
    <w:rsid w:val="00322D92"/>
    <w:rsid w:val="0032486D"/>
    <w:rsid w:val="003260C0"/>
    <w:rsid w:val="003266E1"/>
    <w:rsid w:val="00326B5A"/>
    <w:rsid w:val="003275D0"/>
    <w:rsid w:val="003279FD"/>
    <w:rsid w:val="003305E3"/>
    <w:rsid w:val="00330B28"/>
    <w:rsid w:val="003326BE"/>
    <w:rsid w:val="003327F8"/>
    <w:rsid w:val="003345C3"/>
    <w:rsid w:val="00335F19"/>
    <w:rsid w:val="0033625E"/>
    <w:rsid w:val="003363C7"/>
    <w:rsid w:val="0033731F"/>
    <w:rsid w:val="00340DAE"/>
    <w:rsid w:val="00341177"/>
    <w:rsid w:val="00341311"/>
    <w:rsid w:val="0034290B"/>
    <w:rsid w:val="00342BF7"/>
    <w:rsid w:val="00343B25"/>
    <w:rsid w:val="00345B8E"/>
    <w:rsid w:val="00351ACA"/>
    <w:rsid w:val="00352AE5"/>
    <w:rsid w:val="00352F2D"/>
    <w:rsid w:val="00357648"/>
    <w:rsid w:val="00357AF7"/>
    <w:rsid w:val="00360662"/>
    <w:rsid w:val="00371F53"/>
    <w:rsid w:val="00372E1B"/>
    <w:rsid w:val="003743C8"/>
    <w:rsid w:val="0037493E"/>
    <w:rsid w:val="003801C7"/>
    <w:rsid w:val="00383294"/>
    <w:rsid w:val="00383F3F"/>
    <w:rsid w:val="00384342"/>
    <w:rsid w:val="003845F0"/>
    <w:rsid w:val="003849ED"/>
    <w:rsid w:val="00385A4C"/>
    <w:rsid w:val="00386070"/>
    <w:rsid w:val="00392981"/>
    <w:rsid w:val="003949BD"/>
    <w:rsid w:val="00395CFA"/>
    <w:rsid w:val="003A27D2"/>
    <w:rsid w:val="003A2D7B"/>
    <w:rsid w:val="003A344F"/>
    <w:rsid w:val="003A74BF"/>
    <w:rsid w:val="003B122C"/>
    <w:rsid w:val="003B2756"/>
    <w:rsid w:val="003B2E2D"/>
    <w:rsid w:val="003B447C"/>
    <w:rsid w:val="003B5F7E"/>
    <w:rsid w:val="003C288C"/>
    <w:rsid w:val="003C31EE"/>
    <w:rsid w:val="003C7721"/>
    <w:rsid w:val="003D081D"/>
    <w:rsid w:val="003D2E2F"/>
    <w:rsid w:val="003D44F4"/>
    <w:rsid w:val="003E0A58"/>
    <w:rsid w:val="003E0E66"/>
    <w:rsid w:val="003E4982"/>
    <w:rsid w:val="003E63B3"/>
    <w:rsid w:val="003E7AA9"/>
    <w:rsid w:val="003F4EDB"/>
    <w:rsid w:val="003F5A04"/>
    <w:rsid w:val="00403075"/>
    <w:rsid w:val="00403152"/>
    <w:rsid w:val="00403AAA"/>
    <w:rsid w:val="00406000"/>
    <w:rsid w:val="00412707"/>
    <w:rsid w:val="00413539"/>
    <w:rsid w:val="0041396D"/>
    <w:rsid w:val="00415A92"/>
    <w:rsid w:val="00415E4B"/>
    <w:rsid w:val="00416507"/>
    <w:rsid w:val="0041730D"/>
    <w:rsid w:val="00420E02"/>
    <w:rsid w:val="00421D95"/>
    <w:rsid w:val="004228CD"/>
    <w:rsid w:val="0042527A"/>
    <w:rsid w:val="00426354"/>
    <w:rsid w:val="00426F3F"/>
    <w:rsid w:val="004309E9"/>
    <w:rsid w:val="00437C95"/>
    <w:rsid w:val="00441E77"/>
    <w:rsid w:val="0044223C"/>
    <w:rsid w:val="00443639"/>
    <w:rsid w:val="004450BD"/>
    <w:rsid w:val="004453CE"/>
    <w:rsid w:val="00445A3B"/>
    <w:rsid w:val="00445C4E"/>
    <w:rsid w:val="00446742"/>
    <w:rsid w:val="0045475F"/>
    <w:rsid w:val="00454D26"/>
    <w:rsid w:val="00462000"/>
    <w:rsid w:val="0046244F"/>
    <w:rsid w:val="00464F51"/>
    <w:rsid w:val="00466C98"/>
    <w:rsid w:val="00467C3F"/>
    <w:rsid w:val="00467CE4"/>
    <w:rsid w:val="00467F63"/>
    <w:rsid w:val="0047710F"/>
    <w:rsid w:val="00480331"/>
    <w:rsid w:val="00481777"/>
    <w:rsid w:val="00490BDE"/>
    <w:rsid w:val="00494504"/>
    <w:rsid w:val="004957EC"/>
    <w:rsid w:val="00496F8D"/>
    <w:rsid w:val="004A2EC3"/>
    <w:rsid w:val="004A4682"/>
    <w:rsid w:val="004A568F"/>
    <w:rsid w:val="004A7400"/>
    <w:rsid w:val="004B201A"/>
    <w:rsid w:val="004B20BA"/>
    <w:rsid w:val="004B2FD1"/>
    <w:rsid w:val="004B41B9"/>
    <w:rsid w:val="004B4A44"/>
    <w:rsid w:val="004B64F3"/>
    <w:rsid w:val="004C0ACC"/>
    <w:rsid w:val="004C33EA"/>
    <w:rsid w:val="004C36CF"/>
    <w:rsid w:val="004C4A3E"/>
    <w:rsid w:val="004C59EA"/>
    <w:rsid w:val="004C65C6"/>
    <w:rsid w:val="004C660D"/>
    <w:rsid w:val="004C7E92"/>
    <w:rsid w:val="004D0699"/>
    <w:rsid w:val="004D1529"/>
    <w:rsid w:val="004D19CE"/>
    <w:rsid w:val="004D23F6"/>
    <w:rsid w:val="004D24B9"/>
    <w:rsid w:val="004D2ED0"/>
    <w:rsid w:val="004D4522"/>
    <w:rsid w:val="004D703D"/>
    <w:rsid w:val="004E01E9"/>
    <w:rsid w:val="004E0CD1"/>
    <w:rsid w:val="004E3E40"/>
    <w:rsid w:val="004E570D"/>
    <w:rsid w:val="004E6400"/>
    <w:rsid w:val="004E642E"/>
    <w:rsid w:val="004E6924"/>
    <w:rsid w:val="004E6A61"/>
    <w:rsid w:val="004E6E33"/>
    <w:rsid w:val="004E702A"/>
    <w:rsid w:val="004F0C2D"/>
    <w:rsid w:val="004F2BBD"/>
    <w:rsid w:val="004F3D7E"/>
    <w:rsid w:val="004F4630"/>
    <w:rsid w:val="004F521E"/>
    <w:rsid w:val="004F54FF"/>
    <w:rsid w:val="004F6FEE"/>
    <w:rsid w:val="00500EB4"/>
    <w:rsid w:val="00501CD2"/>
    <w:rsid w:val="005022A5"/>
    <w:rsid w:val="00503974"/>
    <w:rsid w:val="0050439B"/>
    <w:rsid w:val="00504F33"/>
    <w:rsid w:val="0050529F"/>
    <w:rsid w:val="00506A51"/>
    <w:rsid w:val="005110C3"/>
    <w:rsid w:val="00514B5E"/>
    <w:rsid w:val="005157C1"/>
    <w:rsid w:val="00515954"/>
    <w:rsid w:val="00515E3D"/>
    <w:rsid w:val="00516134"/>
    <w:rsid w:val="00517E68"/>
    <w:rsid w:val="005208AC"/>
    <w:rsid w:val="0052286C"/>
    <w:rsid w:val="00522AB9"/>
    <w:rsid w:val="0052492D"/>
    <w:rsid w:val="005265B9"/>
    <w:rsid w:val="005307E8"/>
    <w:rsid w:val="0053175E"/>
    <w:rsid w:val="00533533"/>
    <w:rsid w:val="00534CCB"/>
    <w:rsid w:val="00535C99"/>
    <w:rsid w:val="00535E24"/>
    <w:rsid w:val="00537E02"/>
    <w:rsid w:val="00542718"/>
    <w:rsid w:val="00543224"/>
    <w:rsid w:val="00543564"/>
    <w:rsid w:val="005440F6"/>
    <w:rsid w:val="00544CCD"/>
    <w:rsid w:val="0054557A"/>
    <w:rsid w:val="00546DD6"/>
    <w:rsid w:val="005508C7"/>
    <w:rsid w:val="0055172C"/>
    <w:rsid w:val="00551E86"/>
    <w:rsid w:val="005561C2"/>
    <w:rsid w:val="005566E2"/>
    <w:rsid w:val="0055771D"/>
    <w:rsid w:val="005618CA"/>
    <w:rsid w:val="00563107"/>
    <w:rsid w:val="00565055"/>
    <w:rsid w:val="00565635"/>
    <w:rsid w:val="00567FCF"/>
    <w:rsid w:val="00570765"/>
    <w:rsid w:val="00571521"/>
    <w:rsid w:val="005732BD"/>
    <w:rsid w:val="005733F9"/>
    <w:rsid w:val="00573E59"/>
    <w:rsid w:val="00575295"/>
    <w:rsid w:val="00576EDE"/>
    <w:rsid w:val="00581C01"/>
    <w:rsid w:val="0058242D"/>
    <w:rsid w:val="00582549"/>
    <w:rsid w:val="005845CB"/>
    <w:rsid w:val="00584819"/>
    <w:rsid w:val="0058498A"/>
    <w:rsid w:val="0058535F"/>
    <w:rsid w:val="00586350"/>
    <w:rsid w:val="0059461A"/>
    <w:rsid w:val="0059552B"/>
    <w:rsid w:val="005971FB"/>
    <w:rsid w:val="00597520"/>
    <w:rsid w:val="005A00AA"/>
    <w:rsid w:val="005A18C5"/>
    <w:rsid w:val="005A3ED5"/>
    <w:rsid w:val="005A511C"/>
    <w:rsid w:val="005A6EBE"/>
    <w:rsid w:val="005A7CF6"/>
    <w:rsid w:val="005B2AC1"/>
    <w:rsid w:val="005B42EE"/>
    <w:rsid w:val="005B4F7A"/>
    <w:rsid w:val="005B537E"/>
    <w:rsid w:val="005B7868"/>
    <w:rsid w:val="005B7C71"/>
    <w:rsid w:val="005C3826"/>
    <w:rsid w:val="005C4A6B"/>
    <w:rsid w:val="005C661F"/>
    <w:rsid w:val="005D018C"/>
    <w:rsid w:val="005D2A59"/>
    <w:rsid w:val="005D59D6"/>
    <w:rsid w:val="005F0C00"/>
    <w:rsid w:val="005F15ED"/>
    <w:rsid w:val="005F28C0"/>
    <w:rsid w:val="005F33F2"/>
    <w:rsid w:val="005F460C"/>
    <w:rsid w:val="005F51F6"/>
    <w:rsid w:val="005F5803"/>
    <w:rsid w:val="005F74D0"/>
    <w:rsid w:val="005F7E0A"/>
    <w:rsid w:val="00600404"/>
    <w:rsid w:val="0060117A"/>
    <w:rsid w:val="00612E14"/>
    <w:rsid w:val="006131D6"/>
    <w:rsid w:val="00614803"/>
    <w:rsid w:val="006152A2"/>
    <w:rsid w:val="00617F30"/>
    <w:rsid w:val="006231CF"/>
    <w:rsid w:val="0062598A"/>
    <w:rsid w:val="00625A52"/>
    <w:rsid w:val="0062686B"/>
    <w:rsid w:val="006300E5"/>
    <w:rsid w:val="00633247"/>
    <w:rsid w:val="00633A74"/>
    <w:rsid w:val="006365AA"/>
    <w:rsid w:val="006374C8"/>
    <w:rsid w:val="00637549"/>
    <w:rsid w:val="00637EEF"/>
    <w:rsid w:val="00642A6F"/>
    <w:rsid w:val="00642E50"/>
    <w:rsid w:val="00643933"/>
    <w:rsid w:val="00646049"/>
    <w:rsid w:val="00647FBA"/>
    <w:rsid w:val="0065268F"/>
    <w:rsid w:val="0065317E"/>
    <w:rsid w:val="0065391A"/>
    <w:rsid w:val="0065679C"/>
    <w:rsid w:val="00657108"/>
    <w:rsid w:val="00661E73"/>
    <w:rsid w:val="00663306"/>
    <w:rsid w:val="006636CC"/>
    <w:rsid w:val="00663909"/>
    <w:rsid w:val="00663A84"/>
    <w:rsid w:val="00663E95"/>
    <w:rsid w:val="006659FF"/>
    <w:rsid w:val="006671BC"/>
    <w:rsid w:val="00670DA2"/>
    <w:rsid w:val="0067299B"/>
    <w:rsid w:val="00673287"/>
    <w:rsid w:val="00680679"/>
    <w:rsid w:val="00680E3D"/>
    <w:rsid w:val="0068146D"/>
    <w:rsid w:val="00682DB1"/>
    <w:rsid w:val="00683FFB"/>
    <w:rsid w:val="0068768A"/>
    <w:rsid w:val="00690BEA"/>
    <w:rsid w:val="0069498C"/>
    <w:rsid w:val="00695279"/>
    <w:rsid w:val="00697C69"/>
    <w:rsid w:val="006B0F12"/>
    <w:rsid w:val="006B33A7"/>
    <w:rsid w:val="006C06D7"/>
    <w:rsid w:val="006C1260"/>
    <w:rsid w:val="006C2232"/>
    <w:rsid w:val="006C3A48"/>
    <w:rsid w:val="006C3EE0"/>
    <w:rsid w:val="006C6800"/>
    <w:rsid w:val="006C7D76"/>
    <w:rsid w:val="006D05F0"/>
    <w:rsid w:val="006D0BC5"/>
    <w:rsid w:val="006D1255"/>
    <w:rsid w:val="006D2CF2"/>
    <w:rsid w:val="006D2E37"/>
    <w:rsid w:val="006D34C3"/>
    <w:rsid w:val="006D3F60"/>
    <w:rsid w:val="006E064B"/>
    <w:rsid w:val="006E2670"/>
    <w:rsid w:val="006E327C"/>
    <w:rsid w:val="006E357F"/>
    <w:rsid w:val="006E4CFF"/>
    <w:rsid w:val="006E7138"/>
    <w:rsid w:val="006E7795"/>
    <w:rsid w:val="006E7E9F"/>
    <w:rsid w:val="006E7FA8"/>
    <w:rsid w:val="006F00DB"/>
    <w:rsid w:val="006F4623"/>
    <w:rsid w:val="006F4B40"/>
    <w:rsid w:val="006F4B73"/>
    <w:rsid w:val="00701FEA"/>
    <w:rsid w:val="00702D28"/>
    <w:rsid w:val="007040D1"/>
    <w:rsid w:val="00704C4D"/>
    <w:rsid w:val="00705A00"/>
    <w:rsid w:val="007069F7"/>
    <w:rsid w:val="00706DE1"/>
    <w:rsid w:val="00710059"/>
    <w:rsid w:val="00710337"/>
    <w:rsid w:val="00710F0A"/>
    <w:rsid w:val="007110C9"/>
    <w:rsid w:val="00712349"/>
    <w:rsid w:val="00712FCE"/>
    <w:rsid w:val="007131CA"/>
    <w:rsid w:val="00713B61"/>
    <w:rsid w:val="00713CDB"/>
    <w:rsid w:val="00714BA3"/>
    <w:rsid w:val="00715180"/>
    <w:rsid w:val="0071537B"/>
    <w:rsid w:val="00716730"/>
    <w:rsid w:val="007167AE"/>
    <w:rsid w:val="00716E7E"/>
    <w:rsid w:val="00721098"/>
    <w:rsid w:val="0072492D"/>
    <w:rsid w:val="0072495B"/>
    <w:rsid w:val="007311E0"/>
    <w:rsid w:val="007358AF"/>
    <w:rsid w:val="007360D3"/>
    <w:rsid w:val="0073644C"/>
    <w:rsid w:val="00736D2D"/>
    <w:rsid w:val="00737641"/>
    <w:rsid w:val="00737C72"/>
    <w:rsid w:val="00744B9C"/>
    <w:rsid w:val="007452F9"/>
    <w:rsid w:val="0074660C"/>
    <w:rsid w:val="00747B69"/>
    <w:rsid w:val="00750E77"/>
    <w:rsid w:val="00751449"/>
    <w:rsid w:val="00755D95"/>
    <w:rsid w:val="00756B0E"/>
    <w:rsid w:val="00757BAA"/>
    <w:rsid w:val="00762B9C"/>
    <w:rsid w:val="00762C76"/>
    <w:rsid w:val="00766491"/>
    <w:rsid w:val="00766BCF"/>
    <w:rsid w:val="00767F39"/>
    <w:rsid w:val="007705BC"/>
    <w:rsid w:val="007726E1"/>
    <w:rsid w:val="00774F4B"/>
    <w:rsid w:val="00775630"/>
    <w:rsid w:val="007804A1"/>
    <w:rsid w:val="007920BC"/>
    <w:rsid w:val="0079256F"/>
    <w:rsid w:val="0079307B"/>
    <w:rsid w:val="007941CF"/>
    <w:rsid w:val="00796EFA"/>
    <w:rsid w:val="00796EFD"/>
    <w:rsid w:val="00796F48"/>
    <w:rsid w:val="007A2A5E"/>
    <w:rsid w:val="007A3C6A"/>
    <w:rsid w:val="007A420F"/>
    <w:rsid w:val="007A5821"/>
    <w:rsid w:val="007A6B87"/>
    <w:rsid w:val="007B0EBF"/>
    <w:rsid w:val="007B12EF"/>
    <w:rsid w:val="007B4BD7"/>
    <w:rsid w:val="007B51E2"/>
    <w:rsid w:val="007B551D"/>
    <w:rsid w:val="007B6F81"/>
    <w:rsid w:val="007C08B4"/>
    <w:rsid w:val="007C0B11"/>
    <w:rsid w:val="007C3D3A"/>
    <w:rsid w:val="007D0A64"/>
    <w:rsid w:val="007D0C65"/>
    <w:rsid w:val="007D2791"/>
    <w:rsid w:val="007D37C6"/>
    <w:rsid w:val="007D5D8D"/>
    <w:rsid w:val="007D608D"/>
    <w:rsid w:val="007E10A5"/>
    <w:rsid w:val="007E2A95"/>
    <w:rsid w:val="007E3D71"/>
    <w:rsid w:val="007F0036"/>
    <w:rsid w:val="007F2841"/>
    <w:rsid w:val="007F3E30"/>
    <w:rsid w:val="007F69D3"/>
    <w:rsid w:val="007F777D"/>
    <w:rsid w:val="0080096B"/>
    <w:rsid w:val="00800B90"/>
    <w:rsid w:val="00800E96"/>
    <w:rsid w:val="00802A66"/>
    <w:rsid w:val="00805ADD"/>
    <w:rsid w:val="008103A0"/>
    <w:rsid w:val="00810DE3"/>
    <w:rsid w:val="008174AC"/>
    <w:rsid w:val="00817BB9"/>
    <w:rsid w:val="00817C3D"/>
    <w:rsid w:val="00821541"/>
    <w:rsid w:val="00821A06"/>
    <w:rsid w:val="008220F3"/>
    <w:rsid w:val="00822273"/>
    <w:rsid w:val="008235DB"/>
    <w:rsid w:val="00826FE4"/>
    <w:rsid w:val="00830647"/>
    <w:rsid w:val="00830E80"/>
    <w:rsid w:val="00832911"/>
    <w:rsid w:val="00833071"/>
    <w:rsid w:val="00833EB7"/>
    <w:rsid w:val="0084092F"/>
    <w:rsid w:val="00842378"/>
    <w:rsid w:val="00844811"/>
    <w:rsid w:val="00844C87"/>
    <w:rsid w:val="008500E0"/>
    <w:rsid w:val="00850A87"/>
    <w:rsid w:val="008532FB"/>
    <w:rsid w:val="008540F0"/>
    <w:rsid w:val="00855C57"/>
    <w:rsid w:val="008568C0"/>
    <w:rsid w:val="00856F9C"/>
    <w:rsid w:val="00861ABE"/>
    <w:rsid w:val="00864874"/>
    <w:rsid w:val="00871CA1"/>
    <w:rsid w:val="00874F47"/>
    <w:rsid w:val="00877D87"/>
    <w:rsid w:val="00880255"/>
    <w:rsid w:val="008810FA"/>
    <w:rsid w:val="00883832"/>
    <w:rsid w:val="00884878"/>
    <w:rsid w:val="00885B9C"/>
    <w:rsid w:val="008868F6"/>
    <w:rsid w:val="00886D18"/>
    <w:rsid w:val="00890D15"/>
    <w:rsid w:val="00890EF7"/>
    <w:rsid w:val="00892303"/>
    <w:rsid w:val="00895820"/>
    <w:rsid w:val="00896927"/>
    <w:rsid w:val="00897E16"/>
    <w:rsid w:val="008A144E"/>
    <w:rsid w:val="008A310A"/>
    <w:rsid w:val="008A6603"/>
    <w:rsid w:val="008B34F5"/>
    <w:rsid w:val="008B5F65"/>
    <w:rsid w:val="008C0FBD"/>
    <w:rsid w:val="008C4903"/>
    <w:rsid w:val="008C5617"/>
    <w:rsid w:val="008C6687"/>
    <w:rsid w:val="008C6BF5"/>
    <w:rsid w:val="008C70BD"/>
    <w:rsid w:val="008C79C7"/>
    <w:rsid w:val="008C7AC8"/>
    <w:rsid w:val="008D0242"/>
    <w:rsid w:val="008D0A4A"/>
    <w:rsid w:val="008D27EF"/>
    <w:rsid w:val="008D28B9"/>
    <w:rsid w:val="008D28DF"/>
    <w:rsid w:val="008D2DC8"/>
    <w:rsid w:val="008D34F9"/>
    <w:rsid w:val="008D3D46"/>
    <w:rsid w:val="008D4346"/>
    <w:rsid w:val="008D5C27"/>
    <w:rsid w:val="008D5C69"/>
    <w:rsid w:val="008D745E"/>
    <w:rsid w:val="008E29AB"/>
    <w:rsid w:val="008E44A5"/>
    <w:rsid w:val="008E4EF2"/>
    <w:rsid w:val="008E5328"/>
    <w:rsid w:val="008E5DBA"/>
    <w:rsid w:val="008E6429"/>
    <w:rsid w:val="008F06F2"/>
    <w:rsid w:val="008F1E28"/>
    <w:rsid w:val="008F4C4B"/>
    <w:rsid w:val="008F5D80"/>
    <w:rsid w:val="008F7B8C"/>
    <w:rsid w:val="009006D2"/>
    <w:rsid w:val="009103F3"/>
    <w:rsid w:val="009126A4"/>
    <w:rsid w:val="009163AF"/>
    <w:rsid w:val="00916D52"/>
    <w:rsid w:val="00920332"/>
    <w:rsid w:val="00923D3D"/>
    <w:rsid w:val="00924B24"/>
    <w:rsid w:val="00924CCB"/>
    <w:rsid w:val="0092520A"/>
    <w:rsid w:val="00927978"/>
    <w:rsid w:val="00930109"/>
    <w:rsid w:val="009310FA"/>
    <w:rsid w:val="00931D7C"/>
    <w:rsid w:val="00932FAD"/>
    <w:rsid w:val="00936ECF"/>
    <w:rsid w:val="00937307"/>
    <w:rsid w:val="00940E7B"/>
    <w:rsid w:val="009445BA"/>
    <w:rsid w:val="00945130"/>
    <w:rsid w:val="00945B0A"/>
    <w:rsid w:val="0094647C"/>
    <w:rsid w:val="00946C89"/>
    <w:rsid w:val="00946F68"/>
    <w:rsid w:val="009475F3"/>
    <w:rsid w:val="00951562"/>
    <w:rsid w:val="00951651"/>
    <w:rsid w:val="00953CAB"/>
    <w:rsid w:val="0095471E"/>
    <w:rsid w:val="00954EF3"/>
    <w:rsid w:val="00955D77"/>
    <w:rsid w:val="0095603B"/>
    <w:rsid w:val="00956C59"/>
    <w:rsid w:val="00957948"/>
    <w:rsid w:val="009648FE"/>
    <w:rsid w:val="009668EF"/>
    <w:rsid w:val="009713CF"/>
    <w:rsid w:val="009729A9"/>
    <w:rsid w:val="009733F3"/>
    <w:rsid w:val="009743D1"/>
    <w:rsid w:val="0097453A"/>
    <w:rsid w:val="00974B46"/>
    <w:rsid w:val="009761F8"/>
    <w:rsid w:val="00976AF1"/>
    <w:rsid w:val="00976FB3"/>
    <w:rsid w:val="0098030D"/>
    <w:rsid w:val="00981B13"/>
    <w:rsid w:val="00981E62"/>
    <w:rsid w:val="00990745"/>
    <w:rsid w:val="009928E1"/>
    <w:rsid w:val="00992BA2"/>
    <w:rsid w:val="0099488A"/>
    <w:rsid w:val="00994D57"/>
    <w:rsid w:val="00996460"/>
    <w:rsid w:val="0099677B"/>
    <w:rsid w:val="009A1E07"/>
    <w:rsid w:val="009A238F"/>
    <w:rsid w:val="009A25EB"/>
    <w:rsid w:val="009A290D"/>
    <w:rsid w:val="009A42CE"/>
    <w:rsid w:val="009B5190"/>
    <w:rsid w:val="009B5381"/>
    <w:rsid w:val="009B654F"/>
    <w:rsid w:val="009C16DF"/>
    <w:rsid w:val="009C1FDC"/>
    <w:rsid w:val="009C2360"/>
    <w:rsid w:val="009C4804"/>
    <w:rsid w:val="009D104E"/>
    <w:rsid w:val="009D1573"/>
    <w:rsid w:val="009D1FDF"/>
    <w:rsid w:val="009D2B4D"/>
    <w:rsid w:val="009D3524"/>
    <w:rsid w:val="009D5236"/>
    <w:rsid w:val="009E1667"/>
    <w:rsid w:val="009E1CA8"/>
    <w:rsid w:val="009E28E1"/>
    <w:rsid w:val="009E3336"/>
    <w:rsid w:val="009E389A"/>
    <w:rsid w:val="009E38C1"/>
    <w:rsid w:val="009E6780"/>
    <w:rsid w:val="009E79EC"/>
    <w:rsid w:val="009F04A7"/>
    <w:rsid w:val="009F2EAA"/>
    <w:rsid w:val="009F4D99"/>
    <w:rsid w:val="009F50F0"/>
    <w:rsid w:val="00A01327"/>
    <w:rsid w:val="00A018E7"/>
    <w:rsid w:val="00A03911"/>
    <w:rsid w:val="00A05140"/>
    <w:rsid w:val="00A06FC9"/>
    <w:rsid w:val="00A10DE1"/>
    <w:rsid w:val="00A11D59"/>
    <w:rsid w:val="00A123C7"/>
    <w:rsid w:val="00A1299C"/>
    <w:rsid w:val="00A13029"/>
    <w:rsid w:val="00A1310E"/>
    <w:rsid w:val="00A14E44"/>
    <w:rsid w:val="00A14E66"/>
    <w:rsid w:val="00A178F8"/>
    <w:rsid w:val="00A20730"/>
    <w:rsid w:val="00A22538"/>
    <w:rsid w:val="00A27E2B"/>
    <w:rsid w:val="00A33B7B"/>
    <w:rsid w:val="00A34039"/>
    <w:rsid w:val="00A3552E"/>
    <w:rsid w:val="00A35E94"/>
    <w:rsid w:val="00A36449"/>
    <w:rsid w:val="00A417FA"/>
    <w:rsid w:val="00A42001"/>
    <w:rsid w:val="00A42760"/>
    <w:rsid w:val="00A443C7"/>
    <w:rsid w:val="00A45430"/>
    <w:rsid w:val="00A458B3"/>
    <w:rsid w:val="00A45B60"/>
    <w:rsid w:val="00A45E73"/>
    <w:rsid w:val="00A46742"/>
    <w:rsid w:val="00A46DCF"/>
    <w:rsid w:val="00A479F7"/>
    <w:rsid w:val="00A50EEC"/>
    <w:rsid w:val="00A52E9B"/>
    <w:rsid w:val="00A5551F"/>
    <w:rsid w:val="00A61B0C"/>
    <w:rsid w:val="00A6265E"/>
    <w:rsid w:val="00A62E17"/>
    <w:rsid w:val="00A65CAA"/>
    <w:rsid w:val="00A662CF"/>
    <w:rsid w:val="00A766FD"/>
    <w:rsid w:val="00A80353"/>
    <w:rsid w:val="00A820E7"/>
    <w:rsid w:val="00A827F9"/>
    <w:rsid w:val="00A82DF8"/>
    <w:rsid w:val="00A83D5D"/>
    <w:rsid w:val="00A9333E"/>
    <w:rsid w:val="00A94EC5"/>
    <w:rsid w:val="00A9554E"/>
    <w:rsid w:val="00AA2FD6"/>
    <w:rsid w:val="00AA31F2"/>
    <w:rsid w:val="00AA406C"/>
    <w:rsid w:val="00AA4F9F"/>
    <w:rsid w:val="00AA5E1B"/>
    <w:rsid w:val="00AA7256"/>
    <w:rsid w:val="00AB0987"/>
    <w:rsid w:val="00AB3900"/>
    <w:rsid w:val="00AB7215"/>
    <w:rsid w:val="00AC005D"/>
    <w:rsid w:val="00AC14DE"/>
    <w:rsid w:val="00AC56C2"/>
    <w:rsid w:val="00AC5E19"/>
    <w:rsid w:val="00AC6F49"/>
    <w:rsid w:val="00AD0833"/>
    <w:rsid w:val="00AD195E"/>
    <w:rsid w:val="00AD2723"/>
    <w:rsid w:val="00AD445D"/>
    <w:rsid w:val="00AD5DA6"/>
    <w:rsid w:val="00AD6F47"/>
    <w:rsid w:val="00AE17D7"/>
    <w:rsid w:val="00AE2781"/>
    <w:rsid w:val="00AE3D42"/>
    <w:rsid w:val="00AE5346"/>
    <w:rsid w:val="00AE5C52"/>
    <w:rsid w:val="00AE6D76"/>
    <w:rsid w:val="00AE6E0A"/>
    <w:rsid w:val="00AE7D75"/>
    <w:rsid w:val="00AF045F"/>
    <w:rsid w:val="00AF0804"/>
    <w:rsid w:val="00AF0FA2"/>
    <w:rsid w:val="00AF0FDD"/>
    <w:rsid w:val="00AF2B1B"/>
    <w:rsid w:val="00AF3407"/>
    <w:rsid w:val="00AF5A70"/>
    <w:rsid w:val="00AF5C5C"/>
    <w:rsid w:val="00AF6212"/>
    <w:rsid w:val="00B03FB1"/>
    <w:rsid w:val="00B103FB"/>
    <w:rsid w:val="00B13498"/>
    <w:rsid w:val="00B15829"/>
    <w:rsid w:val="00B16BCA"/>
    <w:rsid w:val="00B17A9D"/>
    <w:rsid w:val="00B206FA"/>
    <w:rsid w:val="00B21B97"/>
    <w:rsid w:val="00B21C2F"/>
    <w:rsid w:val="00B249B7"/>
    <w:rsid w:val="00B2764E"/>
    <w:rsid w:val="00B30E77"/>
    <w:rsid w:val="00B30F7E"/>
    <w:rsid w:val="00B33F27"/>
    <w:rsid w:val="00B34B88"/>
    <w:rsid w:val="00B35B9E"/>
    <w:rsid w:val="00B37A25"/>
    <w:rsid w:val="00B43BF1"/>
    <w:rsid w:val="00B44032"/>
    <w:rsid w:val="00B456CC"/>
    <w:rsid w:val="00B478EF"/>
    <w:rsid w:val="00B51BAD"/>
    <w:rsid w:val="00B55BE4"/>
    <w:rsid w:val="00B564A3"/>
    <w:rsid w:val="00B56514"/>
    <w:rsid w:val="00B56551"/>
    <w:rsid w:val="00B57AE9"/>
    <w:rsid w:val="00B57CA2"/>
    <w:rsid w:val="00B62441"/>
    <w:rsid w:val="00B638BD"/>
    <w:rsid w:val="00B65EB5"/>
    <w:rsid w:val="00B66555"/>
    <w:rsid w:val="00B71672"/>
    <w:rsid w:val="00B72CEC"/>
    <w:rsid w:val="00B73156"/>
    <w:rsid w:val="00B74929"/>
    <w:rsid w:val="00B7716B"/>
    <w:rsid w:val="00B777E6"/>
    <w:rsid w:val="00B80134"/>
    <w:rsid w:val="00B80707"/>
    <w:rsid w:val="00B861D4"/>
    <w:rsid w:val="00B8737A"/>
    <w:rsid w:val="00B87675"/>
    <w:rsid w:val="00B87E37"/>
    <w:rsid w:val="00B910DF"/>
    <w:rsid w:val="00B91E13"/>
    <w:rsid w:val="00B922B9"/>
    <w:rsid w:val="00B95043"/>
    <w:rsid w:val="00B9749F"/>
    <w:rsid w:val="00BA3026"/>
    <w:rsid w:val="00BA3EFF"/>
    <w:rsid w:val="00BA4972"/>
    <w:rsid w:val="00BA5FE7"/>
    <w:rsid w:val="00BB19A6"/>
    <w:rsid w:val="00BB1C24"/>
    <w:rsid w:val="00BB1DDE"/>
    <w:rsid w:val="00BB2580"/>
    <w:rsid w:val="00BB27EC"/>
    <w:rsid w:val="00BB37EE"/>
    <w:rsid w:val="00BB4330"/>
    <w:rsid w:val="00BB4DE0"/>
    <w:rsid w:val="00BB530B"/>
    <w:rsid w:val="00BB58D3"/>
    <w:rsid w:val="00BB5A56"/>
    <w:rsid w:val="00BC179B"/>
    <w:rsid w:val="00BC432E"/>
    <w:rsid w:val="00BC5C64"/>
    <w:rsid w:val="00BC6774"/>
    <w:rsid w:val="00BC6C8B"/>
    <w:rsid w:val="00BC6EEF"/>
    <w:rsid w:val="00BC7980"/>
    <w:rsid w:val="00BD28C5"/>
    <w:rsid w:val="00BD2FEE"/>
    <w:rsid w:val="00BD4671"/>
    <w:rsid w:val="00BD4D43"/>
    <w:rsid w:val="00BD7695"/>
    <w:rsid w:val="00BE0D5C"/>
    <w:rsid w:val="00BE0EE1"/>
    <w:rsid w:val="00BE31F1"/>
    <w:rsid w:val="00BE3A96"/>
    <w:rsid w:val="00BE48A3"/>
    <w:rsid w:val="00BE4BDF"/>
    <w:rsid w:val="00BE5FED"/>
    <w:rsid w:val="00BE63FC"/>
    <w:rsid w:val="00BE65E4"/>
    <w:rsid w:val="00BE7539"/>
    <w:rsid w:val="00BE7D81"/>
    <w:rsid w:val="00BF0687"/>
    <w:rsid w:val="00BF0AA7"/>
    <w:rsid w:val="00BF2F97"/>
    <w:rsid w:val="00BF6D38"/>
    <w:rsid w:val="00C00765"/>
    <w:rsid w:val="00C00E26"/>
    <w:rsid w:val="00C03A2E"/>
    <w:rsid w:val="00C04D97"/>
    <w:rsid w:val="00C06287"/>
    <w:rsid w:val="00C12309"/>
    <w:rsid w:val="00C169CF"/>
    <w:rsid w:val="00C20D5E"/>
    <w:rsid w:val="00C2231B"/>
    <w:rsid w:val="00C22563"/>
    <w:rsid w:val="00C23583"/>
    <w:rsid w:val="00C24AF3"/>
    <w:rsid w:val="00C30C3B"/>
    <w:rsid w:val="00C312CC"/>
    <w:rsid w:val="00C3325E"/>
    <w:rsid w:val="00C35422"/>
    <w:rsid w:val="00C36C67"/>
    <w:rsid w:val="00C4064A"/>
    <w:rsid w:val="00C4066A"/>
    <w:rsid w:val="00C40854"/>
    <w:rsid w:val="00C40D0E"/>
    <w:rsid w:val="00C469FC"/>
    <w:rsid w:val="00C51DF7"/>
    <w:rsid w:val="00C5255D"/>
    <w:rsid w:val="00C56BAB"/>
    <w:rsid w:val="00C57E14"/>
    <w:rsid w:val="00C602B7"/>
    <w:rsid w:val="00C60D92"/>
    <w:rsid w:val="00C65930"/>
    <w:rsid w:val="00C65E0F"/>
    <w:rsid w:val="00C7331C"/>
    <w:rsid w:val="00C75AB0"/>
    <w:rsid w:val="00C805F5"/>
    <w:rsid w:val="00C821F7"/>
    <w:rsid w:val="00C82AA4"/>
    <w:rsid w:val="00C8305C"/>
    <w:rsid w:val="00C844D6"/>
    <w:rsid w:val="00C85FF6"/>
    <w:rsid w:val="00C91291"/>
    <w:rsid w:val="00C923A2"/>
    <w:rsid w:val="00C9326B"/>
    <w:rsid w:val="00C95691"/>
    <w:rsid w:val="00C963F4"/>
    <w:rsid w:val="00C96A47"/>
    <w:rsid w:val="00C970CE"/>
    <w:rsid w:val="00CA113C"/>
    <w:rsid w:val="00CA1ECD"/>
    <w:rsid w:val="00CA4C7F"/>
    <w:rsid w:val="00CA7616"/>
    <w:rsid w:val="00CB13B7"/>
    <w:rsid w:val="00CB1C9F"/>
    <w:rsid w:val="00CB20A3"/>
    <w:rsid w:val="00CB7087"/>
    <w:rsid w:val="00CB723D"/>
    <w:rsid w:val="00CC41EE"/>
    <w:rsid w:val="00CC5DE2"/>
    <w:rsid w:val="00CC70E7"/>
    <w:rsid w:val="00CD061B"/>
    <w:rsid w:val="00CD0BF5"/>
    <w:rsid w:val="00CD0FA4"/>
    <w:rsid w:val="00CD1089"/>
    <w:rsid w:val="00CD13AA"/>
    <w:rsid w:val="00CD1BCD"/>
    <w:rsid w:val="00CD41F8"/>
    <w:rsid w:val="00CD5F74"/>
    <w:rsid w:val="00CD6D61"/>
    <w:rsid w:val="00CD7D66"/>
    <w:rsid w:val="00CD7FFC"/>
    <w:rsid w:val="00CE2C6E"/>
    <w:rsid w:val="00CE2D75"/>
    <w:rsid w:val="00CE6C66"/>
    <w:rsid w:val="00CE799B"/>
    <w:rsid w:val="00CF046A"/>
    <w:rsid w:val="00CF1CAA"/>
    <w:rsid w:val="00CF21AD"/>
    <w:rsid w:val="00CF321C"/>
    <w:rsid w:val="00CF4FE6"/>
    <w:rsid w:val="00CF556F"/>
    <w:rsid w:val="00CF5974"/>
    <w:rsid w:val="00D0030F"/>
    <w:rsid w:val="00D0445F"/>
    <w:rsid w:val="00D0608D"/>
    <w:rsid w:val="00D061D5"/>
    <w:rsid w:val="00D068A4"/>
    <w:rsid w:val="00D06E87"/>
    <w:rsid w:val="00D06EFC"/>
    <w:rsid w:val="00D074BF"/>
    <w:rsid w:val="00D1197E"/>
    <w:rsid w:val="00D122E5"/>
    <w:rsid w:val="00D1619E"/>
    <w:rsid w:val="00D17713"/>
    <w:rsid w:val="00D206B3"/>
    <w:rsid w:val="00D219C1"/>
    <w:rsid w:val="00D22C33"/>
    <w:rsid w:val="00D2358C"/>
    <w:rsid w:val="00D27373"/>
    <w:rsid w:val="00D32833"/>
    <w:rsid w:val="00D329EF"/>
    <w:rsid w:val="00D33DA7"/>
    <w:rsid w:val="00D3507E"/>
    <w:rsid w:val="00D354D0"/>
    <w:rsid w:val="00D41D9A"/>
    <w:rsid w:val="00D41EC2"/>
    <w:rsid w:val="00D420E2"/>
    <w:rsid w:val="00D42EC7"/>
    <w:rsid w:val="00D461E5"/>
    <w:rsid w:val="00D472D8"/>
    <w:rsid w:val="00D5255B"/>
    <w:rsid w:val="00D538F6"/>
    <w:rsid w:val="00D5457D"/>
    <w:rsid w:val="00D54EF5"/>
    <w:rsid w:val="00D565C9"/>
    <w:rsid w:val="00D56FF4"/>
    <w:rsid w:val="00D61E55"/>
    <w:rsid w:val="00D6213A"/>
    <w:rsid w:val="00D674E5"/>
    <w:rsid w:val="00D70223"/>
    <w:rsid w:val="00D73760"/>
    <w:rsid w:val="00D74036"/>
    <w:rsid w:val="00D802BD"/>
    <w:rsid w:val="00D808EE"/>
    <w:rsid w:val="00D8137E"/>
    <w:rsid w:val="00D83AE8"/>
    <w:rsid w:val="00D87377"/>
    <w:rsid w:val="00D87FE7"/>
    <w:rsid w:val="00D91885"/>
    <w:rsid w:val="00D93663"/>
    <w:rsid w:val="00D94097"/>
    <w:rsid w:val="00D95655"/>
    <w:rsid w:val="00D95DDC"/>
    <w:rsid w:val="00D96B60"/>
    <w:rsid w:val="00DA0634"/>
    <w:rsid w:val="00DA3E6F"/>
    <w:rsid w:val="00DA62C5"/>
    <w:rsid w:val="00DA7CB8"/>
    <w:rsid w:val="00DA7DA7"/>
    <w:rsid w:val="00DB050E"/>
    <w:rsid w:val="00DB0871"/>
    <w:rsid w:val="00DB0CB2"/>
    <w:rsid w:val="00DB3BFB"/>
    <w:rsid w:val="00DB4A1C"/>
    <w:rsid w:val="00DC08BC"/>
    <w:rsid w:val="00DC1F63"/>
    <w:rsid w:val="00DC3716"/>
    <w:rsid w:val="00DC4D4A"/>
    <w:rsid w:val="00DD02F1"/>
    <w:rsid w:val="00DD1011"/>
    <w:rsid w:val="00DD2367"/>
    <w:rsid w:val="00DD5107"/>
    <w:rsid w:val="00DD5310"/>
    <w:rsid w:val="00DD608F"/>
    <w:rsid w:val="00DE221F"/>
    <w:rsid w:val="00DE3075"/>
    <w:rsid w:val="00DE3A2A"/>
    <w:rsid w:val="00DE55E6"/>
    <w:rsid w:val="00DE5DBB"/>
    <w:rsid w:val="00DF169D"/>
    <w:rsid w:val="00DF2F8D"/>
    <w:rsid w:val="00DF7AE1"/>
    <w:rsid w:val="00E0241F"/>
    <w:rsid w:val="00E04482"/>
    <w:rsid w:val="00E04D37"/>
    <w:rsid w:val="00E05840"/>
    <w:rsid w:val="00E07968"/>
    <w:rsid w:val="00E1032D"/>
    <w:rsid w:val="00E10BA8"/>
    <w:rsid w:val="00E12448"/>
    <w:rsid w:val="00E14683"/>
    <w:rsid w:val="00E17529"/>
    <w:rsid w:val="00E207DB"/>
    <w:rsid w:val="00E21EFB"/>
    <w:rsid w:val="00E2267F"/>
    <w:rsid w:val="00E235D4"/>
    <w:rsid w:val="00E235DF"/>
    <w:rsid w:val="00E24B07"/>
    <w:rsid w:val="00E25FBA"/>
    <w:rsid w:val="00E270B7"/>
    <w:rsid w:val="00E27C9F"/>
    <w:rsid w:val="00E36A50"/>
    <w:rsid w:val="00E4178F"/>
    <w:rsid w:val="00E41B22"/>
    <w:rsid w:val="00E41C57"/>
    <w:rsid w:val="00E43C87"/>
    <w:rsid w:val="00E44BDB"/>
    <w:rsid w:val="00E5084F"/>
    <w:rsid w:val="00E52715"/>
    <w:rsid w:val="00E528EB"/>
    <w:rsid w:val="00E5370B"/>
    <w:rsid w:val="00E539A4"/>
    <w:rsid w:val="00E54B36"/>
    <w:rsid w:val="00E56811"/>
    <w:rsid w:val="00E56A3E"/>
    <w:rsid w:val="00E57BFF"/>
    <w:rsid w:val="00E6139F"/>
    <w:rsid w:val="00E613F2"/>
    <w:rsid w:val="00E61E1E"/>
    <w:rsid w:val="00E62387"/>
    <w:rsid w:val="00E62ABA"/>
    <w:rsid w:val="00E64B3B"/>
    <w:rsid w:val="00E67D97"/>
    <w:rsid w:val="00E708A4"/>
    <w:rsid w:val="00E71A05"/>
    <w:rsid w:val="00E742BC"/>
    <w:rsid w:val="00E744A4"/>
    <w:rsid w:val="00E80AB0"/>
    <w:rsid w:val="00E8435E"/>
    <w:rsid w:val="00E90B9D"/>
    <w:rsid w:val="00E923F1"/>
    <w:rsid w:val="00E93762"/>
    <w:rsid w:val="00E96A6F"/>
    <w:rsid w:val="00EA1B79"/>
    <w:rsid w:val="00EA3E56"/>
    <w:rsid w:val="00EA42B1"/>
    <w:rsid w:val="00EA4BDE"/>
    <w:rsid w:val="00EA6D03"/>
    <w:rsid w:val="00EB0455"/>
    <w:rsid w:val="00EB1D3D"/>
    <w:rsid w:val="00EB3D8A"/>
    <w:rsid w:val="00EB4AF9"/>
    <w:rsid w:val="00EB6139"/>
    <w:rsid w:val="00EB711D"/>
    <w:rsid w:val="00EC0476"/>
    <w:rsid w:val="00EC2A83"/>
    <w:rsid w:val="00EC71ED"/>
    <w:rsid w:val="00EC7486"/>
    <w:rsid w:val="00ED04F4"/>
    <w:rsid w:val="00ED1F73"/>
    <w:rsid w:val="00ED2536"/>
    <w:rsid w:val="00ED27A5"/>
    <w:rsid w:val="00ED7684"/>
    <w:rsid w:val="00ED7B38"/>
    <w:rsid w:val="00EE0057"/>
    <w:rsid w:val="00EE0E84"/>
    <w:rsid w:val="00EE120A"/>
    <w:rsid w:val="00EE208F"/>
    <w:rsid w:val="00EE308D"/>
    <w:rsid w:val="00EE44C9"/>
    <w:rsid w:val="00EE4E1F"/>
    <w:rsid w:val="00EE7B02"/>
    <w:rsid w:val="00EF087C"/>
    <w:rsid w:val="00EF2769"/>
    <w:rsid w:val="00EF366A"/>
    <w:rsid w:val="00EF4DF3"/>
    <w:rsid w:val="00EF7141"/>
    <w:rsid w:val="00EF7671"/>
    <w:rsid w:val="00F02F28"/>
    <w:rsid w:val="00F0799D"/>
    <w:rsid w:val="00F12744"/>
    <w:rsid w:val="00F13F24"/>
    <w:rsid w:val="00F1419E"/>
    <w:rsid w:val="00F1472A"/>
    <w:rsid w:val="00F17DAF"/>
    <w:rsid w:val="00F209D8"/>
    <w:rsid w:val="00F26AE9"/>
    <w:rsid w:val="00F27ED1"/>
    <w:rsid w:val="00F30CF8"/>
    <w:rsid w:val="00F31315"/>
    <w:rsid w:val="00F33B3E"/>
    <w:rsid w:val="00F40408"/>
    <w:rsid w:val="00F40458"/>
    <w:rsid w:val="00F417C6"/>
    <w:rsid w:val="00F42301"/>
    <w:rsid w:val="00F42F5E"/>
    <w:rsid w:val="00F43BA3"/>
    <w:rsid w:val="00F46297"/>
    <w:rsid w:val="00F46ABC"/>
    <w:rsid w:val="00F47A3B"/>
    <w:rsid w:val="00F5172B"/>
    <w:rsid w:val="00F52893"/>
    <w:rsid w:val="00F53655"/>
    <w:rsid w:val="00F53C1E"/>
    <w:rsid w:val="00F55290"/>
    <w:rsid w:val="00F55956"/>
    <w:rsid w:val="00F55B26"/>
    <w:rsid w:val="00F56CA9"/>
    <w:rsid w:val="00F577C4"/>
    <w:rsid w:val="00F602A2"/>
    <w:rsid w:val="00F60371"/>
    <w:rsid w:val="00F6071E"/>
    <w:rsid w:val="00F60BC7"/>
    <w:rsid w:val="00F614AD"/>
    <w:rsid w:val="00F616C5"/>
    <w:rsid w:val="00F62629"/>
    <w:rsid w:val="00F62CFC"/>
    <w:rsid w:val="00F639E2"/>
    <w:rsid w:val="00F65284"/>
    <w:rsid w:val="00F711FF"/>
    <w:rsid w:val="00F71512"/>
    <w:rsid w:val="00F74363"/>
    <w:rsid w:val="00F74FA5"/>
    <w:rsid w:val="00F7658C"/>
    <w:rsid w:val="00F769FF"/>
    <w:rsid w:val="00F77609"/>
    <w:rsid w:val="00F77E6A"/>
    <w:rsid w:val="00F81D93"/>
    <w:rsid w:val="00F831FB"/>
    <w:rsid w:val="00F8427F"/>
    <w:rsid w:val="00F84E7B"/>
    <w:rsid w:val="00F86C62"/>
    <w:rsid w:val="00F907B5"/>
    <w:rsid w:val="00F909C4"/>
    <w:rsid w:val="00F913CA"/>
    <w:rsid w:val="00F922EF"/>
    <w:rsid w:val="00F93164"/>
    <w:rsid w:val="00F93332"/>
    <w:rsid w:val="00F93C98"/>
    <w:rsid w:val="00F940A3"/>
    <w:rsid w:val="00F9413F"/>
    <w:rsid w:val="00F94A2D"/>
    <w:rsid w:val="00F94D21"/>
    <w:rsid w:val="00FA11D0"/>
    <w:rsid w:val="00FA14EB"/>
    <w:rsid w:val="00FA344A"/>
    <w:rsid w:val="00FA39DE"/>
    <w:rsid w:val="00FA406D"/>
    <w:rsid w:val="00FA44DE"/>
    <w:rsid w:val="00FA4570"/>
    <w:rsid w:val="00FA690F"/>
    <w:rsid w:val="00FB1EAE"/>
    <w:rsid w:val="00FB1F1E"/>
    <w:rsid w:val="00FB3748"/>
    <w:rsid w:val="00FB5056"/>
    <w:rsid w:val="00FC015B"/>
    <w:rsid w:val="00FC019D"/>
    <w:rsid w:val="00FC19A6"/>
    <w:rsid w:val="00FC39C3"/>
    <w:rsid w:val="00FC3C87"/>
    <w:rsid w:val="00FC4EAD"/>
    <w:rsid w:val="00FC619F"/>
    <w:rsid w:val="00FC7ED8"/>
    <w:rsid w:val="00FD0CB0"/>
    <w:rsid w:val="00FD1315"/>
    <w:rsid w:val="00FD19F3"/>
    <w:rsid w:val="00FD7BD8"/>
    <w:rsid w:val="00FE1536"/>
    <w:rsid w:val="00FE25EE"/>
    <w:rsid w:val="00FE3CD9"/>
    <w:rsid w:val="00FE4491"/>
    <w:rsid w:val="00FE5718"/>
    <w:rsid w:val="00FE5F94"/>
    <w:rsid w:val="00FE63BB"/>
    <w:rsid w:val="00FE68CD"/>
    <w:rsid w:val="00FF061A"/>
    <w:rsid w:val="00FF2137"/>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E62ABA"/>
    <w:pPr>
      <w:keepNext w:val="0"/>
      <w:numPr>
        <w:ilvl w:val="2"/>
      </w:numPr>
      <w:spacing w:before="240" w:after="160" w:line="280" w:lineRule="exact"/>
      <w:outlineLvl w:val="2"/>
    </w:pPr>
    <w:rPr>
      <w:szCs w:val="24"/>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E62ABA"/>
    <w:rPr>
      <w:rFonts w:ascii="Helvetica" w:eastAsia="Times New Roman" w:hAnsi="Helvetica" w:cs="Arial"/>
      <w:color w:val="007FAD"/>
      <w:kern w:val="28"/>
      <w:sz w:val="24"/>
      <w:szCs w:val="24"/>
    </w:rPr>
  </w:style>
  <w:style w:type="character" w:customStyle="1" w:styleId="Heading4Char">
    <w:name w:val="Heading 4 Char"/>
    <w:basedOn w:val="DefaultParagraphFont"/>
    <w:link w:val="Heading4"/>
    <w:rsid w:val="009E79EC"/>
    <w:rPr>
      <w:rFonts w:ascii="Helvetica" w:eastAsia="Times New Roman" w:hAnsi="Helvetica" w:cs="Arial"/>
      <w:b/>
      <w:color w:val="007FAD"/>
      <w:kern w:val="28"/>
      <w:sz w:val="24"/>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uiPriority w:val="99"/>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uiPriority w:val="99"/>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List Paragraph11,ADB List Paragraph"/>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lines">
    <w:name w:val="lines"/>
    <w:basedOn w:val="Normal"/>
    <w:rsid w:val="00713B61"/>
    <w:rPr>
      <w:rFonts w:ascii="Arial" w:eastAsia="Times New Roman" w:hAnsi="Arial"/>
      <w:sz w:val="16"/>
      <w:lang w:eastAsia="en-US"/>
    </w:rPr>
  </w:style>
  <w:style w:type="paragraph" w:customStyle="1" w:styleId="Dash">
    <w:name w:val="Dash"/>
    <w:basedOn w:val="Normal"/>
    <w:link w:val="DashChar"/>
    <w:qFormat/>
    <w:rsid w:val="007C0B11"/>
    <w:pPr>
      <w:spacing w:after="240" w:line="320" w:lineRule="exact"/>
    </w:pPr>
    <w:rPr>
      <w:rFonts w:ascii="Palatino" w:eastAsia="Times New Roman" w:hAnsi="Palatino"/>
      <w:color w:val="000000"/>
      <w:sz w:val="22"/>
      <w:szCs w:val="22"/>
    </w:rPr>
  </w:style>
  <w:style w:type="character" w:customStyle="1" w:styleId="DashChar">
    <w:name w:val="Dash Char"/>
    <w:link w:val="Dash"/>
    <w:locked/>
    <w:rsid w:val="007C0B11"/>
    <w:rPr>
      <w:rFonts w:ascii="Palatino" w:eastAsia="Times New Roman" w:hAnsi="Palatino" w:cs="Times New Roman"/>
      <w:color w:val="000000"/>
    </w:rPr>
  </w:style>
  <w:style w:type="character" w:customStyle="1" w:styleId="ListParagraphChar">
    <w:name w:val="List Paragraph Char"/>
    <w:aliases w:val="List Paragraph1 Char,List Paragraph11 Char,ADB List Paragraph Char"/>
    <w:basedOn w:val="DefaultParagraphFont"/>
    <w:link w:val="ListParagraph"/>
    <w:uiPriority w:val="34"/>
    <w:locked/>
    <w:rsid w:val="007C0B11"/>
    <w:rPr>
      <w:rFonts w:ascii="Times New Roman" w:eastAsia="Times New Roman" w:hAnsi="Times New Roman" w:cs="Times New Roman"/>
      <w:szCs w:val="24"/>
    </w:rPr>
  </w:style>
  <w:style w:type="character" w:customStyle="1" w:styleId="caps1">
    <w:name w:val="caps1"/>
    <w:basedOn w:val="DefaultParagraphFont"/>
    <w:rsid w:val="001C23D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E62ABA"/>
    <w:pPr>
      <w:keepNext w:val="0"/>
      <w:numPr>
        <w:ilvl w:val="2"/>
      </w:numPr>
      <w:spacing w:before="240" w:after="160" w:line="280" w:lineRule="exact"/>
      <w:outlineLvl w:val="2"/>
    </w:pPr>
    <w:rPr>
      <w:szCs w:val="24"/>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E62ABA"/>
    <w:rPr>
      <w:rFonts w:ascii="Helvetica" w:eastAsia="Times New Roman" w:hAnsi="Helvetica" w:cs="Arial"/>
      <w:color w:val="007FAD"/>
      <w:kern w:val="28"/>
      <w:sz w:val="24"/>
      <w:szCs w:val="24"/>
    </w:rPr>
  </w:style>
  <w:style w:type="character" w:customStyle="1" w:styleId="Heading4Char">
    <w:name w:val="Heading 4 Char"/>
    <w:basedOn w:val="DefaultParagraphFont"/>
    <w:link w:val="Heading4"/>
    <w:rsid w:val="009E79EC"/>
    <w:rPr>
      <w:rFonts w:ascii="Helvetica" w:eastAsia="Times New Roman" w:hAnsi="Helvetica" w:cs="Arial"/>
      <w:b/>
      <w:color w:val="007FAD"/>
      <w:kern w:val="28"/>
      <w:sz w:val="24"/>
      <w:szCs w:val="24"/>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uiPriority w:val="99"/>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uiPriority w:val="99"/>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ormal + Font:9 Point,Superscript 3 Point Times,Ref,de nota al pie,(NECG) 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List Paragraph11,ADB List Paragraph"/>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lines">
    <w:name w:val="lines"/>
    <w:basedOn w:val="Normal"/>
    <w:rsid w:val="00713B61"/>
    <w:rPr>
      <w:rFonts w:ascii="Arial" w:eastAsia="Times New Roman" w:hAnsi="Arial"/>
      <w:sz w:val="16"/>
      <w:lang w:eastAsia="en-US"/>
    </w:rPr>
  </w:style>
  <w:style w:type="paragraph" w:customStyle="1" w:styleId="Dash">
    <w:name w:val="Dash"/>
    <w:basedOn w:val="Normal"/>
    <w:link w:val="DashChar"/>
    <w:qFormat/>
    <w:rsid w:val="007C0B11"/>
    <w:pPr>
      <w:spacing w:after="240" w:line="320" w:lineRule="exact"/>
    </w:pPr>
    <w:rPr>
      <w:rFonts w:ascii="Palatino" w:eastAsia="Times New Roman" w:hAnsi="Palatino"/>
      <w:color w:val="000000"/>
      <w:sz w:val="22"/>
      <w:szCs w:val="22"/>
    </w:rPr>
  </w:style>
  <w:style w:type="character" w:customStyle="1" w:styleId="DashChar">
    <w:name w:val="Dash Char"/>
    <w:link w:val="Dash"/>
    <w:locked/>
    <w:rsid w:val="007C0B11"/>
    <w:rPr>
      <w:rFonts w:ascii="Palatino" w:eastAsia="Times New Roman" w:hAnsi="Palatino" w:cs="Times New Roman"/>
      <w:color w:val="000000"/>
    </w:rPr>
  </w:style>
  <w:style w:type="character" w:customStyle="1" w:styleId="ListParagraphChar">
    <w:name w:val="List Paragraph Char"/>
    <w:aliases w:val="List Paragraph1 Char,List Paragraph11 Char,ADB List Paragraph Char"/>
    <w:basedOn w:val="DefaultParagraphFont"/>
    <w:link w:val="ListParagraph"/>
    <w:uiPriority w:val="34"/>
    <w:locked/>
    <w:rsid w:val="007C0B11"/>
    <w:rPr>
      <w:rFonts w:ascii="Times New Roman" w:eastAsia="Times New Roman" w:hAnsi="Times New Roman" w:cs="Times New Roman"/>
      <w:szCs w:val="24"/>
    </w:rPr>
  </w:style>
  <w:style w:type="character" w:customStyle="1" w:styleId="caps1">
    <w:name w:val="caps1"/>
    <w:basedOn w:val="DefaultParagraphFont"/>
    <w:rsid w:val="001C23D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3868">
      <w:bodyDiv w:val="1"/>
      <w:marLeft w:val="0"/>
      <w:marRight w:val="0"/>
      <w:marTop w:val="0"/>
      <w:marBottom w:val="0"/>
      <w:divBdr>
        <w:top w:val="none" w:sz="0" w:space="0" w:color="auto"/>
        <w:left w:val="none" w:sz="0" w:space="0" w:color="auto"/>
        <w:bottom w:val="none" w:sz="0" w:space="0" w:color="auto"/>
        <w:right w:val="none" w:sz="0" w:space="0" w:color="auto"/>
      </w:divBdr>
    </w:div>
    <w:div w:id="125664231">
      <w:bodyDiv w:val="1"/>
      <w:marLeft w:val="0"/>
      <w:marRight w:val="0"/>
      <w:marTop w:val="0"/>
      <w:marBottom w:val="0"/>
      <w:divBdr>
        <w:top w:val="none" w:sz="0" w:space="0" w:color="auto"/>
        <w:left w:val="none" w:sz="0" w:space="0" w:color="auto"/>
        <w:bottom w:val="none" w:sz="0" w:space="0" w:color="auto"/>
        <w:right w:val="none" w:sz="0" w:space="0" w:color="auto"/>
      </w:divBdr>
    </w:div>
    <w:div w:id="167981869">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92834373">
      <w:bodyDiv w:val="1"/>
      <w:marLeft w:val="0"/>
      <w:marRight w:val="0"/>
      <w:marTop w:val="0"/>
      <w:marBottom w:val="0"/>
      <w:divBdr>
        <w:top w:val="none" w:sz="0" w:space="0" w:color="auto"/>
        <w:left w:val="none" w:sz="0" w:space="0" w:color="auto"/>
        <w:bottom w:val="none" w:sz="0" w:space="0" w:color="auto"/>
        <w:right w:val="none" w:sz="0" w:space="0" w:color="auto"/>
      </w:divBdr>
    </w:div>
    <w:div w:id="342707271">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47160851">
      <w:bodyDiv w:val="1"/>
      <w:marLeft w:val="0"/>
      <w:marRight w:val="0"/>
      <w:marTop w:val="0"/>
      <w:marBottom w:val="0"/>
      <w:divBdr>
        <w:top w:val="none" w:sz="0" w:space="0" w:color="auto"/>
        <w:left w:val="none" w:sz="0" w:space="0" w:color="auto"/>
        <w:bottom w:val="none" w:sz="0" w:space="0" w:color="auto"/>
        <w:right w:val="none" w:sz="0" w:space="0" w:color="auto"/>
      </w:divBdr>
    </w:div>
    <w:div w:id="580020243">
      <w:bodyDiv w:val="1"/>
      <w:marLeft w:val="0"/>
      <w:marRight w:val="0"/>
      <w:marTop w:val="0"/>
      <w:marBottom w:val="0"/>
      <w:divBdr>
        <w:top w:val="none" w:sz="0" w:space="0" w:color="auto"/>
        <w:left w:val="none" w:sz="0" w:space="0" w:color="auto"/>
        <w:bottom w:val="none" w:sz="0" w:space="0" w:color="auto"/>
        <w:right w:val="none" w:sz="0" w:space="0" w:color="auto"/>
      </w:divBdr>
    </w:div>
    <w:div w:id="623118760">
      <w:bodyDiv w:val="1"/>
      <w:marLeft w:val="0"/>
      <w:marRight w:val="0"/>
      <w:marTop w:val="0"/>
      <w:marBottom w:val="0"/>
      <w:divBdr>
        <w:top w:val="none" w:sz="0" w:space="0" w:color="auto"/>
        <w:left w:val="none" w:sz="0" w:space="0" w:color="auto"/>
        <w:bottom w:val="none" w:sz="0" w:space="0" w:color="auto"/>
        <w:right w:val="none" w:sz="0" w:space="0" w:color="auto"/>
      </w:divBdr>
    </w:div>
    <w:div w:id="642543959">
      <w:bodyDiv w:val="1"/>
      <w:marLeft w:val="0"/>
      <w:marRight w:val="0"/>
      <w:marTop w:val="0"/>
      <w:marBottom w:val="0"/>
      <w:divBdr>
        <w:top w:val="none" w:sz="0" w:space="0" w:color="auto"/>
        <w:left w:val="none" w:sz="0" w:space="0" w:color="auto"/>
        <w:bottom w:val="none" w:sz="0" w:space="0" w:color="auto"/>
        <w:right w:val="none" w:sz="0" w:space="0" w:color="auto"/>
      </w:divBdr>
    </w:div>
    <w:div w:id="722096741">
      <w:bodyDiv w:val="1"/>
      <w:marLeft w:val="0"/>
      <w:marRight w:val="0"/>
      <w:marTop w:val="0"/>
      <w:marBottom w:val="0"/>
      <w:divBdr>
        <w:top w:val="none" w:sz="0" w:space="0" w:color="auto"/>
        <w:left w:val="none" w:sz="0" w:space="0" w:color="auto"/>
        <w:bottom w:val="none" w:sz="0" w:space="0" w:color="auto"/>
        <w:right w:val="none" w:sz="0" w:space="0" w:color="auto"/>
      </w:divBdr>
    </w:div>
    <w:div w:id="734666479">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241068">
      <w:bodyDiv w:val="1"/>
      <w:marLeft w:val="0"/>
      <w:marRight w:val="0"/>
      <w:marTop w:val="0"/>
      <w:marBottom w:val="0"/>
      <w:divBdr>
        <w:top w:val="none" w:sz="0" w:space="0" w:color="auto"/>
        <w:left w:val="none" w:sz="0" w:space="0" w:color="auto"/>
        <w:bottom w:val="none" w:sz="0" w:space="0" w:color="auto"/>
        <w:right w:val="none" w:sz="0" w:space="0" w:color="auto"/>
      </w:divBdr>
    </w:div>
    <w:div w:id="1076171667">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07165368">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29682102">
      <w:bodyDiv w:val="1"/>
      <w:marLeft w:val="0"/>
      <w:marRight w:val="0"/>
      <w:marTop w:val="0"/>
      <w:marBottom w:val="0"/>
      <w:divBdr>
        <w:top w:val="none" w:sz="0" w:space="0" w:color="auto"/>
        <w:left w:val="none" w:sz="0" w:space="0" w:color="auto"/>
        <w:bottom w:val="none" w:sz="0" w:space="0" w:color="auto"/>
        <w:right w:val="none" w:sz="0" w:space="0" w:color="auto"/>
      </w:divBdr>
    </w:div>
    <w:div w:id="1230917901">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97896634">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76534351">
      <w:bodyDiv w:val="1"/>
      <w:marLeft w:val="0"/>
      <w:marRight w:val="0"/>
      <w:marTop w:val="0"/>
      <w:marBottom w:val="0"/>
      <w:divBdr>
        <w:top w:val="none" w:sz="0" w:space="0" w:color="auto"/>
        <w:left w:val="none" w:sz="0" w:space="0" w:color="auto"/>
        <w:bottom w:val="none" w:sz="0" w:space="0" w:color="auto"/>
        <w:right w:val="none" w:sz="0" w:space="0" w:color="auto"/>
      </w:divBdr>
    </w:div>
    <w:div w:id="1505362403">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858552">
      <w:bodyDiv w:val="1"/>
      <w:marLeft w:val="0"/>
      <w:marRight w:val="0"/>
      <w:marTop w:val="0"/>
      <w:marBottom w:val="0"/>
      <w:divBdr>
        <w:top w:val="none" w:sz="0" w:space="0" w:color="auto"/>
        <w:left w:val="none" w:sz="0" w:space="0" w:color="auto"/>
        <w:bottom w:val="none" w:sz="0" w:space="0" w:color="auto"/>
        <w:right w:val="none" w:sz="0" w:space="0" w:color="auto"/>
      </w:divBdr>
    </w:div>
    <w:div w:id="1745450474">
      <w:bodyDiv w:val="1"/>
      <w:marLeft w:val="0"/>
      <w:marRight w:val="0"/>
      <w:marTop w:val="0"/>
      <w:marBottom w:val="0"/>
      <w:divBdr>
        <w:top w:val="none" w:sz="0" w:space="0" w:color="auto"/>
        <w:left w:val="none" w:sz="0" w:space="0" w:color="auto"/>
        <w:bottom w:val="none" w:sz="0" w:space="0" w:color="auto"/>
        <w:right w:val="none" w:sz="0" w:space="0" w:color="auto"/>
      </w:divBdr>
    </w:div>
    <w:div w:id="1750035705">
      <w:bodyDiv w:val="1"/>
      <w:marLeft w:val="0"/>
      <w:marRight w:val="0"/>
      <w:marTop w:val="0"/>
      <w:marBottom w:val="0"/>
      <w:divBdr>
        <w:top w:val="none" w:sz="0" w:space="0" w:color="auto"/>
        <w:left w:val="none" w:sz="0" w:space="0" w:color="auto"/>
        <w:bottom w:val="none" w:sz="0" w:space="0" w:color="auto"/>
        <w:right w:val="none" w:sz="0" w:space="0" w:color="auto"/>
      </w:divBdr>
    </w:div>
    <w:div w:id="1880359637">
      <w:bodyDiv w:val="1"/>
      <w:marLeft w:val="0"/>
      <w:marRight w:val="0"/>
      <w:marTop w:val="0"/>
      <w:marBottom w:val="0"/>
      <w:divBdr>
        <w:top w:val="none" w:sz="0" w:space="0" w:color="auto"/>
        <w:left w:val="none" w:sz="0" w:space="0" w:color="auto"/>
        <w:bottom w:val="none" w:sz="0" w:space="0" w:color="auto"/>
        <w:right w:val="none" w:sz="0" w:space="0" w:color="auto"/>
      </w:divBdr>
    </w:div>
    <w:div w:id="1967158888">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37802981">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tats.oecd.org/Index.aspx?DataSetCode=CRS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8F254D-E5FA-4455-B472-F5D06C2FC261}"/>
</file>

<file path=customXml/itemProps2.xml><?xml version="1.0" encoding="utf-8"?>
<ds:datastoreItem xmlns:ds="http://schemas.openxmlformats.org/officeDocument/2006/customXml" ds:itemID="{56796FE9-E77B-41E4-AFDA-EB6D11E68E8B}"/>
</file>

<file path=customXml/itemProps3.xml><?xml version="1.0" encoding="utf-8"?>
<ds:datastoreItem xmlns:ds="http://schemas.openxmlformats.org/officeDocument/2006/customXml" ds:itemID="{543DB37F-B673-4B42-9A3D-B8521540175E}"/>
</file>

<file path=customXml/itemProps4.xml><?xml version="1.0" encoding="utf-8"?>
<ds:datastoreItem xmlns:ds="http://schemas.openxmlformats.org/officeDocument/2006/customXml" ds:itemID="{F49F6EC8-B8A3-45C0-ACE0-A83AB26C97D2}"/>
</file>

<file path=docProps/app.xml><?xml version="1.0" encoding="utf-8"?>
<Properties xmlns="http://schemas.openxmlformats.org/officeDocument/2006/extended-properties" xmlns:vt="http://schemas.openxmlformats.org/officeDocument/2006/docPropsVTypes">
  <Template>8F807713</Template>
  <TotalTime>0</TotalTime>
  <Pages>25</Pages>
  <Words>9201</Words>
  <Characters>52446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2014-10-28T23:18:00Z</dcterms:created>
  <dcterms:modified xsi:type="dcterms:W3CDTF">2014-10-28T23:18:00Z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